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1A5C" w14:textId="77777777" w:rsidR="00000000" w:rsidRDefault="0053651E">
      <w:pPr>
        <w:divId w:val="834302458"/>
        <w:rPr>
          <w:rFonts w:eastAsia="Times New Roman"/>
          <w:vanish/>
          <w:sz w:val="20"/>
          <w:szCs w:val="20"/>
        </w:rPr>
      </w:pPr>
      <w:r>
        <w:rPr>
          <w:rFonts w:eastAsia="Times New Roman"/>
          <w:vanish/>
          <w:sz w:val="20"/>
          <w:szCs w:val="20"/>
        </w:rPr>
        <w:t xml:space="preserve">0000879101 KIMCO REALTY CORP false --12-31 FY 2019 5 50 1 3 5 0 0 1 3 5 10 4 5 10 1 3 246.4 247.6 20.9 23.6 4 4 3 7 5 1 5.2 1 001 0 2 0.4 98 98 0 0 0 0 21 2010 2011 2012 2013 2014 2015 2016 2017 2018 </w:t>
      </w:r>
      <w:r>
        <w:rPr>
          <w:rFonts w:eastAsia="Times New Roman"/>
          <w:vanish/>
          <w:sz w:val="20"/>
          <w:szCs w:val="20"/>
        </w:rPr>
        <w:t>Expiration dates ranging from 2021 to 2032. Includes restricted assets of consolidated variable interest entities ("VIEs") at December 31, 2019 and December 31, 2018 of $245,489 and $239,012, respectively. See Footnote 9 of the Notes to Consolidated Financ</w:t>
      </w:r>
      <w:r>
        <w:rPr>
          <w:rFonts w:eastAsia="Times New Roman"/>
          <w:vanish/>
          <w:sz w:val="20"/>
          <w:szCs w:val="20"/>
        </w:rPr>
        <w:t>ial Statements. During the year ended December 31, 2019, the Prudential Investment Program recognized an impairment charge on a property of $29.9 million, of which the Company's share was $3.7 million. These units are redeemable for cash by the holder or a</w:t>
      </w:r>
      <w:r>
        <w:rPr>
          <w:rFonts w:eastAsia="Times New Roman"/>
          <w:vanish/>
          <w:sz w:val="20"/>
          <w:szCs w:val="20"/>
        </w:rPr>
        <w:t xml:space="preserve">t the Company's option, shares of the Company's common stock, based upon the conversion calculation as defined in the agreement. These units are included in Noncontrolling interests on the Company’s Consolidated Balance Sheets. The Company determined that </w:t>
      </w:r>
      <w:r>
        <w:rPr>
          <w:rFonts w:eastAsia="Times New Roman"/>
          <w:vanish/>
          <w:sz w:val="20"/>
          <w:szCs w:val="20"/>
        </w:rPr>
        <w:t>its valuation of these Mortgages payable was classified within Level 3 of the fair value hierarchy. The year ended December 31, 2018 includes a charge of $1.6 million related to the recording of a deferred tax valuation allowance. The effect of the assumed</w:t>
      </w:r>
      <w:r>
        <w:rPr>
          <w:rFonts w:eastAsia="Times New Roman"/>
          <w:vanish/>
          <w:sz w:val="20"/>
          <w:szCs w:val="20"/>
        </w:rPr>
        <w:t xml:space="preserve"> conversion of certain convertible units had an anti-dilutive effect upon the calculation of Income from continuing operations per share. Accordingly, the impact of such conversions has not been included in the determination of diluted earnings per share c</w:t>
      </w:r>
      <w:r>
        <w:rPr>
          <w:rFonts w:eastAsia="Times New Roman"/>
          <w:vanish/>
          <w:sz w:val="20"/>
          <w:szCs w:val="20"/>
        </w:rPr>
        <w:t>alculations. Additionally, there were 0.5 million, 1.3 million and 3.1 million stock options that were not dilutive as of December 31, 2019, 2018 and 2017, respectively. During December 2018, the Company recognized an impairment charge of $41.0 million rel</w:t>
      </w:r>
      <w:r>
        <w:rPr>
          <w:rFonts w:eastAsia="Times New Roman"/>
          <w:vanish/>
          <w:sz w:val="20"/>
          <w:szCs w:val="20"/>
        </w:rPr>
        <w:t>ated to a development project located in Jacksonville, FL, for which the Company no longer intends to develop. The Company is marketing the property as is for sale. Expiration dates ranging from 2027 to 2035 and tax year 2018 includes alternative minimum t</w:t>
      </w:r>
      <w:r>
        <w:rPr>
          <w:rFonts w:eastAsia="Times New Roman"/>
          <w:vanish/>
          <w:sz w:val="20"/>
          <w:szCs w:val="20"/>
        </w:rPr>
        <w:t>ax credit carryovers of $3.5 million that did not expire. The alternative minimum tax credits were recognized in 2019. The weighted-average grant date fair value for restricted stock issued during the years ended December 31, 2019, 2018 and 2017 were $18.0</w:t>
      </w:r>
      <w:r>
        <w:rPr>
          <w:rFonts w:eastAsia="Times New Roman"/>
          <w:vanish/>
          <w:sz w:val="20"/>
          <w:szCs w:val="20"/>
        </w:rPr>
        <w:t>3, $14.72 and $25.04, respectively. During the year ended December 31, 2018, a joint venture recognized an impairment charge related to the pending foreclosure of a property, of which the Company's share was $5.2 million. All adjustments to "GAAP net incom</w:t>
      </w:r>
      <w:r>
        <w:rPr>
          <w:rFonts w:eastAsia="Times New Roman"/>
          <w:vanish/>
          <w:sz w:val="20"/>
          <w:szCs w:val="20"/>
        </w:rPr>
        <w:t xml:space="preserve">e from REIT operations" are net of amounts attributable to noncontrolling interests and TRSs. The year ended December 31, 2018 includes a charge of $0.3 million related to the recording of a deferred tax valuation allowance. Weighted-average interest rate </w:t>
      </w:r>
      <w:r>
        <w:rPr>
          <w:rFonts w:eastAsia="Times New Roman"/>
          <w:vanish/>
          <w:sz w:val="20"/>
          <w:szCs w:val="20"/>
        </w:rPr>
        <w:t xml:space="preserve">Representing 98 property interests and 21.3 million square feet of GLA, as of December 31, 2019, and 109 property interests and 23.2 million square feet of GLA, as of December 31, 2018. Fair value measurement as of date of deconsolidation. See Footnotes 5 </w:t>
      </w:r>
      <w:r>
        <w:rPr>
          <w:rFonts w:eastAsia="Times New Roman"/>
          <w:vanish/>
          <w:sz w:val="20"/>
          <w:szCs w:val="20"/>
        </w:rPr>
        <w:t>and 7 to the Notes to the Consolidated Financial Statements. Includes non-recourse liabilities of consolidated VIEs at December 31, 2019 and December 31, 2018 of $153,436 and $143,186, respectively. See Footnote 9 of the Notes to Consolidated Financial Sta</w:t>
      </w:r>
      <w:r>
        <w:rPr>
          <w:rFonts w:eastAsia="Times New Roman"/>
          <w:vanish/>
          <w:sz w:val="20"/>
          <w:szCs w:val="20"/>
        </w:rPr>
        <w:t>tements. During the year ended December 31, 2017, the Company recognized a cumulative foreign currency translation loss of $4.8 million due to the substantial liquidation of the Company's investments in Canada during 2017. During March 2018, the Company so</w:t>
      </w:r>
      <w:r>
        <w:rPr>
          <w:rFonts w:eastAsia="Times New Roman"/>
          <w:vanish/>
          <w:sz w:val="20"/>
          <w:szCs w:val="20"/>
        </w:rPr>
        <w:t>ld a portion of its investment in an operating property to its partner and amended the partnership agreement to provide for joint control of the entity. As a result of the amendment, the Company no longer consolidates the entity. As of the date of deconsol</w:t>
      </w:r>
      <w:r>
        <w:rPr>
          <w:rFonts w:eastAsia="Times New Roman"/>
          <w:vanish/>
          <w:sz w:val="20"/>
          <w:szCs w:val="20"/>
        </w:rPr>
        <w:t xml:space="preserve">idation, the Company had an investment in this unconsolidated property of $62.4 million. Includes the Company's previously held equity interest investment, net of noncontrolling interest of the remaining partners. The year ended December 31, 2019 includes </w:t>
      </w:r>
      <w:r>
        <w:rPr>
          <w:rFonts w:eastAsia="Times New Roman"/>
          <w:vanish/>
          <w:sz w:val="20"/>
          <w:szCs w:val="20"/>
        </w:rPr>
        <w:t>a tax benefit from AMT Credit refunds of $3.7 million and $3.1 million related to the recording of a deferred tax valuation allowance. The Company utilized an aggregate $36.1 million associated with Internal Revenue Code 26 U.S.C. §1031 sales proceeds. Rep</w:t>
      </w:r>
      <w:r>
        <w:rPr>
          <w:rFonts w:eastAsia="Times New Roman"/>
          <w:vanish/>
          <w:sz w:val="20"/>
          <w:szCs w:val="20"/>
        </w:rPr>
        <w:t>resents four separate joint ventures, with four separate accounts managed by Prudential Global Investment Management. One of these ventures disposed of all its properties during 2019. Amounts relate to dispositions/deeds in lieu/foreclosures during the res</w:t>
      </w:r>
      <w:r>
        <w:rPr>
          <w:rFonts w:eastAsia="Times New Roman"/>
          <w:vanish/>
          <w:sz w:val="20"/>
          <w:szCs w:val="20"/>
        </w:rPr>
        <w:t>pective years shown. Represents partial repayments. As of December 31, 2018, these notes had an outstanding balance of $484.9 million. Average remaining term includes extensions See Footnote 15 of the Notes to Consolidated Financial Statements for addition</w:t>
      </w:r>
      <w:r>
        <w:rPr>
          <w:rFonts w:eastAsia="Times New Roman"/>
          <w:vanish/>
          <w:sz w:val="20"/>
          <w:szCs w:val="20"/>
        </w:rPr>
        <w:t>al disclosure on fair value. Includes fair market value of debt adjustments, net and deferred financing costs, net. Includes capitalized costs of interest, real estate taxes, insurance, legal costs and payroll of $21.3 million and $24.9 million, as of Dece</w:t>
      </w:r>
      <w:r>
        <w:rPr>
          <w:rFonts w:eastAsia="Times New Roman"/>
          <w:vanish/>
          <w:sz w:val="20"/>
          <w:szCs w:val="20"/>
        </w:rPr>
        <w:t>mber 31, 2019 and 2018, respectively. During the year ended December 31, 2018, a joint venture investment distributed cash proceeds resulting from the refinancing of an existing loan of which the Company's share was $3.6 million. This distribution was in e</w:t>
      </w:r>
      <w:r>
        <w:rPr>
          <w:rFonts w:eastAsia="Times New Roman"/>
          <w:vanish/>
          <w:sz w:val="20"/>
          <w:szCs w:val="20"/>
        </w:rPr>
        <w:t>xcess of the Company's carrying basis in this joint venture investment and to that extent was recognized as income. In accordance with the Tax Cuts and Jobs Act, effective for tax years beginning on January 1, 2018, Section 162(m) of the Code a $1.0 millio</w:t>
      </w:r>
      <w:r>
        <w:rPr>
          <w:rFonts w:eastAsia="Times New Roman"/>
          <w:vanish/>
          <w:sz w:val="20"/>
          <w:szCs w:val="20"/>
        </w:rPr>
        <w:t xml:space="preserve">n limit per executive was placed on the amount a company can deduct for executive compensation for each of their CEO, CFO and the other three most highly paid executives. Federal statutory tax rate of 21% for the years ended December 31, 2019 and 2018 and </w:t>
      </w:r>
      <w:r>
        <w:rPr>
          <w:rFonts w:eastAsia="Times New Roman"/>
          <w:vanish/>
          <w:sz w:val="20"/>
          <w:szCs w:val="20"/>
        </w:rPr>
        <w:t>federal statutory tax rate of 35% for the years ended December 31, 2017. During the year ended December 31, 2018, the Company recorded an adjustment of $7.5 million to the estimated redemption fair market value of this noncontrolling interest in accordance</w:t>
      </w:r>
      <w:r>
        <w:rPr>
          <w:rFonts w:eastAsia="Times New Roman"/>
          <w:vanish/>
          <w:sz w:val="20"/>
          <w:szCs w:val="20"/>
        </w:rPr>
        <w:t xml:space="preserve"> with the provisions of the joint venture agreement and ASC 480 – Accounting for Redeemable Equity Instruments. The Company revalues the fair market value of this noncontrolling interest on a recurring basis and determined that its valuation was classified</w:t>
      </w:r>
      <w:r>
        <w:rPr>
          <w:rFonts w:eastAsia="Times New Roman"/>
          <w:vanish/>
          <w:sz w:val="20"/>
          <w:szCs w:val="20"/>
        </w:rPr>
        <w:t xml:space="preserve"> within Level 3 of the fair value hierarchy. The estimated fair market value of this noncontrolling interest was based upon a discounted cash flow model, for which a capitalization rate of 5.00% and discount rate of 6.00% were utilized in the model based u</w:t>
      </w:r>
      <w:r>
        <w:rPr>
          <w:rFonts w:eastAsia="Times New Roman"/>
          <w:vanish/>
          <w:sz w:val="20"/>
          <w:szCs w:val="20"/>
        </w:rPr>
        <w:t>pon unobservable rates that the Company believes to be within a reasonable range of current market rates. No adjustment to fair value was required during the year ended December 31, 2019. Volatility is based on the annualized standard deviation of the dail</w:t>
      </w:r>
      <w:r>
        <w:rPr>
          <w:rFonts w:eastAsia="Times New Roman"/>
          <w:vanish/>
          <w:sz w:val="20"/>
          <w:szCs w:val="20"/>
        </w:rPr>
        <w:t>y logarithmic returns on dividend-adjusted closing prices over the look-back period based on the term of the award. These impairment charges relate to adjustments to property carrying values for properties which the Company has marketed for sale as part of</w:t>
      </w:r>
      <w:r>
        <w:rPr>
          <w:rFonts w:eastAsia="Times New Roman"/>
          <w:vanish/>
          <w:sz w:val="20"/>
          <w:szCs w:val="20"/>
        </w:rPr>
        <w:t xml:space="preserve"> its active capital recycling program and as such has adjusted the anticipated hold periods for such properties. During 2019, the Company sold a land parcel at this development project for a sales price of $32.5 million, which resulted in a gain of $4.3 mi</w:t>
      </w:r>
      <w:r>
        <w:rPr>
          <w:rFonts w:eastAsia="Times New Roman"/>
          <w:vanish/>
          <w:sz w:val="20"/>
          <w:szCs w:val="20"/>
        </w:rPr>
        <w:t xml:space="preserve">llion, which is included in Gain on sale of operating properties/change in control of interests on the Company’s Consolidated Statements of Income. These units are redeemable for cash by the holder or callable by the Company and are included in Redeemable </w:t>
      </w:r>
      <w:r>
        <w:rPr>
          <w:rFonts w:eastAsia="Times New Roman"/>
          <w:vanish/>
          <w:sz w:val="20"/>
          <w:szCs w:val="20"/>
        </w:rPr>
        <w:t>noncontrolling interests on the Company's Consolidated Balance Sheets. Included in Other Assets on the Company's Consolidated Balance Sheets. Total Shareholder Returns, as used in the performance share awards computation, are measured based on cumulative d</w:t>
      </w:r>
      <w:r>
        <w:rPr>
          <w:rFonts w:eastAsia="Times New Roman"/>
          <w:vanish/>
          <w:sz w:val="20"/>
          <w:szCs w:val="20"/>
        </w:rPr>
        <w:t xml:space="preserve">ividend stock prices, as such a zero percent dividend yield is utilized. Redemption charges resulting from the difference between the redemption amount and the carrying amount of the respective preferred stock class on the Company's Condensed Consolidated </w:t>
      </w:r>
      <w:r>
        <w:rPr>
          <w:rFonts w:eastAsia="Times New Roman"/>
          <w:vanish/>
          <w:sz w:val="20"/>
          <w:szCs w:val="20"/>
        </w:rPr>
        <w:t>Balance Sheets are accounted for in accordance with the FASB's guidance on Distinguishing Liabilities from Equity. These charges were subtracted from net income attributable to the Company to arrive at net income available to the Company's common sharehold</w:t>
      </w:r>
      <w:r>
        <w:rPr>
          <w:rFonts w:eastAsia="Times New Roman"/>
          <w:vanish/>
          <w:sz w:val="20"/>
          <w:szCs w:val="20"/>
        </w:rPr>
        <w:t>ers and used in the calculation of earnings per share. The aggregate cost for Federal income tax purposes was approximately $7.8 million as of December 31, 2019. During 2017, the Company recognized an impairment charge of $16.2 million related to a propert</w:t>
      </w:r>
      <w:r>
        <w:rPr>
          <w:rFonts w:eastAsia="Times New Roman"/>
          <w:vanish/>
          <w:sz w:val="20"/>
          <w:szCs w:val="20"/>
        </w:rPr>
        <w:t xml:space="preserve">y for which the Company had re-evaluated its long-term plan for the property due to unfavorable local market conditions. The Company recorded an early extinguishment of debt charge of $12.8 million resulting from the early repayment of these notes. During </w:t>
      </w:r>
      <w:r>
        <w:rPr>
          <w:rFonts w:eastAsia="Times New Roman"/>
          <w:vanish/>
          <w:sz w:val="20"/>
          <w:szCs w:val="20"/>
        </w:rPr>
        <w:t>the year ended December 31, 2017, a joint venture recognized an impairment charge related to the pending sale of a property, of which the Company's share was $3.4 million. The Company determined that the valuation of its Senior Unsecured Notes were classif</w:t>
      </w:r>
      <w:r>
        <w:rPr>
          <w:rFonts w:eastAsia="Times New Roman"/>
          <w:vanish/>
          <w:sz w:val="20"/>
          <w:szCs w:val="20"/>
        </w:rPr>
        <w:t>ied within Level 2 of the fair value hierarchy and its Credit Facility was classified within Level 3 of the fair value hierarchy. The estimated fair value amounts classified as Level 2 as of December 31, 2019 and 2018, were $4.8 billion and $4.0 billion, r</w:t>
      </w:r>
      <w:r>
        <w:rPr>
          <w:rFonts w:eastAsia="Times New Roman"/>
          <w:vanish/>
          <w:sz w:val="20"/>
          <w:szCs w:val="20"/>
        </w:rPr>
        <w:t>espectively. The estimated fair value amounts classified as Level 3 as of December 31, 2019 and 2018, were $199.9 million and $97.6 million, respectively. The negative balance for costs capitalized subsequent to acquisition could include parcels/out-parcel</w:t>
      </w:r>
      <w:r>
        <w:rPr>
          <w:rFonts w:eastAsia="Times New Roman"/>
          <w:vanish/>
          <w:sz w:val="20"/>
          <w:szCs w:val="20"/>
        </w:rPr>
        <w:t>s sold, assets held-for-sale, provision for losses and/or demolition of part of a property for redevelopment. The Company acquired a partner's ownership interest in a property which was held in a joint venture in which the Company had a noncontrolling inte</w:t>
      </w:r>
      <w:r>
        <w:rPr>
          <w:rFonts w:eastAsia="Times New Roman"/>
          <w:vanish/>
          <w:sz w:val="20"/>
          <w:szCs w:val="20"/>
        </w:rPr>
        <w:t>rest. The Company now has a 69.51% controlling interest in this property and has deemed this entity to be a VIE for which the Company is the primary beneficiary and consolidates the asset. The Company evaluated this transaction pursuant to the FASB's Conso</w:t>
      </w:r>
      <w:r>
        <w:rPr>
          <w:rFonts w:eastAsia="Times New Roman"/>
          <w:vanish/>
          <w:sz w:val="20"/>
          <w:szCs w:val="20"/>
        </w:rPr>
        <w:t>lidation guidance and, as a result, recognized a gain on change in control of interests of $0.1 million resulting from the fair value adjustment associated with the Company's previously held equity interest, which are included in the purchase price above i</w:t>
      </w:r>
      <w:r>
        <w:rPr>
          <w:rFonts w:eastAsia="Times New Roman"/>
          <w:vanish/>
          <w:sz w:val="20"/>
          <w:szCs w:val="20"/>
        </w:rPr>
        <w:t>n Other Consideration. At December 31, 2018 and 2017, the Company had accumulated amortization relating to in-place leases, tenant relationships and above-market leases aggregating $466,576 and $459,211, respectively. Amounts relate to increases/(decreases</w:t>
      </w:r>
      <w:r>
        <w:rPr>
          <w:rFonts w:eastAsia="Times New Roman"/>
          <w:vanish/>
          <w:sz w:val="20"/>
          <w:szCs w:val="20"/>
        </w:rPr>
        <w:t xml:space="preserve">) from foreign currency translation adjustments. The weighted-average grant date fair value for performance shares issued during the years ended December 31, 2019, 2018 and 2017 were $22.00, $15.40 and $23.35, respectively. Shopping center includes active </w:t>
      </w:r>
      <w:r>
        <w:rPr>
          <w:rFonts w:eastAsia="Times New Roman"/>
          <w:vanish/>
          <w:sz w:val="20"/>
          <w:szCs w:val="20"/>
        </w:rPr>
        <w:t xml:space="preserve">real estate under development project or land held for development. During 2019, the Company redeemed all 5,223,313 Class A Units for a total redemption price of $5.8 million. Includes the land parcel sale at Dania Pointe, noted above in Footnote 4 of the </w:t>
      </w:r>
      <w:r>
        <w:rPr>
          <w:rFonts w:eastAsia="Times New Roman"/>
          <w:vanish/>
          <w:sz w:val="20"/>
          <w:szCs w:val="20"/>
        </w:rPr>
        <w:t>Notes to Consolidated Financial Statements. Gross leasable area ("GLA") For the years ended December 31, 2019, 2018 and 2017, the corresponding common stock equivalent of these vested awards were 104,551, 0 and 0 shares, respectively. During 2019, the Comp</w:t>
      </w:r>
      <w:r>
        <w:rPr>
          <w:rFonts w:eastAsia="Times New Roman"/>
          <w:vanish/>
          <w:sz w:val="20"/>
          <w:szCs w:val="20"/>
        </w:rPr>
        <w:t xml:space="preserve">any reclassified this project to Land and Building and improvements on the Company's Consolidated Balance Sheets, as a result of the Company's intention to discontinue development of this project and to market it for sale as is. The as is value, estimated </w:t>
      </w:r>
      <w:r>
        <w:rPr>
          <w:rFonts w:eastAsia="Times New Roman"/>
          <w:vanish/>
          <w:sz w:val="20"/>
          <w:szCs w:val="20"/>
        </w:rPr>
        <w:t>fair value, was below the carrying value and as such, the Company recorded an impairment charge of $11.5 million during the year ended December 31, 2019. The Company manages these joint venture investments and, where applicable, earns acquisition fees, lea</w:t>
      </w:r>
      <w:r>
        <w:rPr>
          <w:rFonts w:eastAsia="Times New Roman"/>
          <w:vanish/>
          <w:sz w:val="20"/>
          <w:szCs w:val="20"/>
        </w:rPr>
        <w:t>sing commissions, property management fees, asset management fees and construction management fees. During 2019, this development project, aggregating $80.5 million (including capitalized costs of $9.2 million), was placed in service and primarily reclassi</w:t>
      </w:r>
      <w:r>
        <w:rPr>
          <w:rFonts w:eastAsia="Times New Roman"/>
          <w:vanish/>
          <w:sz w:val="20"/>
          <w:szCs w:val="20"/>
        </w:rPr>
        <w:t>fied to Land and Building and improvements on the Company's Consolidated Balance Sheets. Includes allowances on accounts receivable and straight-line rents. 245,489 239,012 153,436 143,186 1.00 1.00 7,054,000 7,054,000 19,580 42,580 19,580 42,580 489,500 1</w:t>
      </w:r>
      <w:r>
        <w:rPr>
          <w:rFonts w:eastAsia="Times New Roman"/>
          <w:vanish/>
          <w:sz w:val="20"/>
          <w:szCs w:val="20"/>
        </w:rPr>
        <w:t>,064,500 6,019,240 5,996,240 0.01 0.01 750,000,000 750,000,000 431,814,951 421,388,879 431,814,951 421,388,879 15,690 17,549 14,480 1,531 13,308 2,631 00008791012019-01-012019-12-31 0000879101kim:CommonStock1Member2019-01-012019-12-31 0000879101kim:ClassLC</w:t>
      </w:r>
      <w:r>
        <w:rPr>
          <w:rFonts w:eastAsia="Times New Roman"/>
          <w:vanish/>
          <w:sz w:val="20"/>
          <w:szCs w:val="20"/>
        </w:rPr>
        <w:t>umulativeRedeemablePreferredStockMember2019-01-012019-12-31 0000879101kim:ClassMCumulativeRedeemablePreferredStockMember2019-01-012019-12-31 iso4217:USD 00008791012019-06-28 xbrli:shares 00008791012020-02-05 thunderdome:item 00008791012019-12-31 0000879101</w:t>
      </w:r>
      <w:r>
        <w:rPr>
          <w:rFonts w:eastAsia="Times New Roman"/>
          <w:vanish/>
          <w:sz w:val="20"/>
          <w:szCs w:val="20"/>
        </w:rPr>
        <w:t>2018-12-31 0000879101kim:RealEstateUnderDevelopmentMember2019-12-31 0000879101kim:RealEstateUnderDevelopmentMember2018-12-31 0000879101kim:InvestmentsInAndAdvancesToRealEstateJointVenturesMember2019-12-31 0000879101kim:InvestmentsInAndAdvancesToRealEstateJ</w:t>
      </w:r>
      <w:r>
        <w:rPr>
          <w:rFonts w:eastAsia="Times New Roman"/>
          <w:vanish/>
          <w:sz w:val="20"/>
          <w:szCs w:val="20"/>
        </w:rPr>
        <w:t>ointVenturesMember2018-12-31 0000879101kim:OtherRealEstateInvestmentsMember2019-12-31 0000879101kim:OtherRealEstateInvestmentsMember2018-12-31 00008791012018-01-012018-12-31 00008791012017-01-012017-12-31 0000879101kim:JointVenturesMember2019-01-012019-12-</w:t>
      </w:r>
      <w:r>
        <w:rPr>
          <w:rFonts w:eastAsia="Times New Roman"/>
          <w:vanish/>
          <w:sz w:val="20"/>
          <w:szCs w:val="20"/>
        </w:rPr>
        <w:t>31 0000879101kim:JointVenturesMember2018-01-012018-12-31 0000879101kim:JointVenturesMember2017-01-012017-12-31 0000879101kim:OtherRealEstateInvestmentsMember2019-01-012019-12-31 0000879101kim:OtherRealEstateInvestmentsMember2018-01-012018-12-31 0000879101k</w:t>
      </w:r>
      <w:r>
        <w:rPr>
          <w:rFonts w:eastAsia="Times New Roman"/>
          <w:vanish/>
          <w:sz w:val="20"/>
          <w:szCs w:val="20"/>
        </w:rPr>
        <w:t>im:OtherRealEstateInvestmentsMember2017-01-012017-12-31 iso4217:USDxbrli:shares 0000879101us-gaap:RetainedEarningsMember2016-12-31 0000879101us-gaap:AccumulatedOtherComprehensiveIncomeMember2016-12-31 0000879101us-gaap:PreferredStockMember2016-12-31 000087</w:t>
      </w:r>
      <w:r>
        <w:rPr>
          <w:rFonts w:eastAsia="Times New Roman"/>
          <w:vanish/>
          <w:sz w:val="20"/>
          <w:szCs w:val="20"/>
        </w:rPr>
        <w:t>9101us-gaap:CommonStockMember2016-12-31 0000879101us-gaap:AdditionalPaidInCapitalMember2016-12-31 0000879101us-gaap:ParentMember2016-12-31 0000879101us-gaap:NoncontrollingInterestMember2016-12-31 00008791012016-12-31 0000879101us-gaap:RetainedEarningsMembe</w:t>
      </w:r>
      <w:r>
        <w:rPr>
          <w:rFonts w:eastAsia="Times New Roman"/>
          <w:vanish/>
          <w:sz w:val="20"/>
          <w:szCs w:val="20"/>
        </w:rPr>
        <w:t>r2017-01-012017-12-31 0000879101us-gaap:AccumulatedOtherComprehensiveIncomeMember2017-01-012017-12-31 0000879101us-gaap:PreferredStockMember2017-01-012017-12-31 0000879101us-gaap:CommonStockMember2017-01-012017-12-31 0000879101us-gaap:AdditionalPaidInCapit</w:t>
      </w:r>
      <w:r>
        <w:rPr>
          <w:rFonts w:eastAsia="Times New Roman"/>
          <w:vanish/>
          <w:sz w:val="20"/>
          <w:szCs w:val="20"/>
        </w:rPr>
        <w:t>alMember2017-01-012017-12-31 0000879101us-gaap:ParentMember2017-01-012017-12-31 0000879101us-gaap:NoncontrollingInterestMember2017-01-012017-12-31 0000879101us-gaap:RetainedEarningsMember2017-12-31 0000879101us-gaap:AccumulatedOtherComprehensiveIncomeMembe</w:t>
      </w:r>
      <w:r>
        <w:rPr>
          <w:rFonts w:eastAsia="Times New Roman"/>
          <w:vanish/>
          <w:sz w:val="20"/>
          <w:szCs w:val="20"/>
        </w:rPr>
        <w:t>r2017-12-31 0000879101us-gaap:PreferredStockMember2017-12-31 0000879101us-gaap:CommonStockMember2017-12-31 0000879101us-gaap:AdditionalPaidInCapitalMember2017-12-31 0000879101us-gaap:ParentMember2017-12-31 0000879101us-gaap:NoncontrollingInterestMember2017</w:t>
      </w:r>
      <w:r>
        <w:rPr>
          <w:rFonts w:eastAsia="Times New Roman"/>
          <w:vanish/>
          <w:sz w:val="20"/>
          <w:szCs w:val="20"/>
        </w:rPr>
        <w:t>-12-31 00008791012017-12-31 0000879101us-gaap:AccountingStandardsUpdate201705Memberus-gaap:RetainedEarningsMember2017-12-31 0000879101us-gaap:AccountingStandardsUpdate201705Memberus-gaap:AccumulatedOtherComprehensiveIncomeMember2017-12-31 0000879101us-gaap</w:t>
      </w:r>
      <w:r>
        <w:rPr>
          <w:rFonts w:eastAsia="Times New Roman"/>
          <w:vanish/>
          <w:sz w:val="20"/>
          <w:szCs w:val="20"/>
        </w:rPr>
        <w:t>:AccountingStandardsUpdate201705Memberus-gaap:PreferredStockMember2017-12-31 0000879101us-gaap:AccountingStandardsUpdate201705Memberus-gaap:CommonStockMember2017-12-31 0000879101us-gaap:AccountingStandardsUpdate201705Memberus-gaap:AdditionalPaidInCapitalMe</w:t>
      </w:r>
      <w:r>
        <w:rPr>
          <w:rFonts w:eastAsia="Times New Roman"/>
          <w:vanish/>
          <w:sz w:val="20"/>
          <w:szCs w:val="20"/>
        </w:rPr>
        <w:t>mber2017-12-31 0000879101us-gaap:AccountingStandardsUpdate201705Memberus-gaap:ParentMember2017-12-31 0000879101us-gaap:AccountingStandardsUpdate201705Memberus-gaap:NoncontrollingInterestMember2017-12-31 0000879101us-gaap:AccountingStandardsUpdate201705Memb</w:t>
      </w:r>
      <w:r>
        <w:rPr>
          <w:rFonts w:eastAsia="Times New Roman"/>
          <w:vanish/>
          <w:sz w:val="20"/>
          <w:szCs w:val="20"/>
        </w:rPr>
        <w:t>er2017-12-31 0000879101us-gaap:AccountingStandardsUpdate201601Memberus-gaap:RetainedEarningsMember2017-12-31 0000879101us-gaap:AccountingStandardsUpdate201601Memberus-gaap:AccumulatedOtherComprehensiveIncomeMember2017-12-31 0000879101us-gaap:AccountingStan</w:t>
      </w:r>
      <w:r>
        <w:rPr>
          <w:rFonts w:eastAsia="Times New Roman"/>
          <w:vanish/>
          <w:sz w:val="20"/>
          <w:szCs w:val="20"/>
        </w:rPr>
        <w:t xml:space="preserve">dardsUpdate201601Memberus-gaap:PreferredStockMember2017-12-31 0000879101us-gaap:AccountingStandardsUpdate201601Memberus-gaap:CommonStockMember2017-12-31 0000879101us-gaap:AccountingStandardsUpdate201601Memberus-gaap:AdditionalPaidInCapitalMember2017-12-31 </w:t>
      </w:r>
      <w:r>
        <w:rPr>
          <w:rFonts w:eastAsia="Times New Roman"/>
          <w:vanish/>
          <w:sz w:val="20"/>
          <w:szCs w:val="20"/>
        </w:rPr>
        <w:t>0000879101us-gaap:AccountingStandardsUpdate201601Memberus-gaap:ParentMember2017-12-31 0000879101us-gaap:AccountingStandardsUpdate201601Memberus-gaap:NoncontrollingInterestMember2017-12-31 0000879101us-gaap:AccountingStandardsUpdate201601Member2017-12-31 00</w:t>
      </w:r>
      <w:r>
        <w:rPr>
          <w:rFonts w:eastAsia="Times New Roman"/>
          <w:vanish/>
          <w:sz w:val="20"/>
          <w:szCs w:val="20"/>
        </w:rPr>
        <w:t>00879101us-gaap:RetainedEarningsMember2018-01-012018-12-31 0000879101us-gaap:AccumulatedOtherComprehensiveIncomeMember2018-01-012018-12-31 0000879101us-gaap:PreferredStockMember2018-01-012018-12-31 0000879101us-gaap:CommonStockMember2018-01-012018-12-31 00</w:t>
      </w:r>
      <w:r>
        <w:rPr>
          <w:rFonts w:eastAsia="Times New Roman"/>
          <w:vanish/>
          <w:sz w:val="20"/>
          <w:szCs w:val="20"/>
        </w:rPr>
        <w:t>00879101us-gaap:AdditionalPaidInCapitalMember2018-01-012018-12-31 0000879101us-gaap:ParentMember2018-01-012018-12-31 0000879101us-gaap:NoncontrollingInterestMember2018-01-012018-12-31 0000879101us-gaap:RetainedEarningsMember2018-12-31 0000879101us-gaap:Acc</w:t>
      </w:r>
      <w:r>
        <w:rPr>
          <w:rFonts w:eastAsia="Times New Roman"/>
          <w:vanish/>
          <w:sz w:val="20"/>
          <w:szCs w:val="20"/>
        </w:rPr>
        <w:t>umulatedOtherComprehensiveIncomeMember2018-12-31 0000879101us-gaap:PreferredStockMember2018-12-31 0000879101us-gaap:CommonStockMember2018-12-31 0000879101us-gaap:AdditionalPaidInCapitalMember2018-12-31 0000879101us-gaap:ParentMember2018-12-31 0000879101us-</w:t>
      </w:r>
      <w:r>
        <w:rPr>
          <w:rFonts w:eastAsia="Times New Roman"/>
          <w:vanish/>
          <w:sz w:val="20"/>
          <w:szCs w:val="20"/>
        </w:rPr>
        <w:t>gaap:NoncontrollingInterestMember2018-12-31 0000879101us-gaap:RetainedEarningsMember2019-01-012019-12-31 0000879101us-gaap:AccumulatedOtherComprehensiveIncomeMember2019-01-012019-12-31 0000879101us-gaap:PreferredStockMember2019-01-012019-12-31 0000879101us</w:t>
      </w:r>
      <w:r>
        <w:rPr>
          <w:rFonts w:eastAsia="Times New Roman"/>
          <w:vanish/>
          <w:sz w:val="20"/>
          <w:szCs w:val="20"/>
        </w:rPr>
        <w:t>-gaap:CommonStockMember2019-01-012019-12-31 0000879101us-gaap:AdditionalPaidInCapitalMember2019-01-012019-12-31 0000879101us-gaap:ParentMember2019-01-012019-12-31 0000879101us-gaap:NoncontrollingInterestMember2019-01-012019-12-31 0000879101us-gaap:Retained</w:t>
      </w:r>
      <w:r>
        <w:rPr>
          <w:rFonts w:eastAsia="Times New Roman"/>
          <w:vanish/>
          <w:sz w:val="20"/>
          <w:szCs w:val="20"/>
        </w:rPr>
        <w:t>EarningsMember2019-12-31 0000879101us-gaap:AccumulatedOtherComprehensiveIncomeMember2019-12-31 0000879101us-gaap:PreferredStockMember2019-12-31 0000879101us-gaap:CommonStockMember2019-12-31 0000879101us-gaap:AdditionalPaidInCapitalMember2019-12-31 00008791</w:t>
      </w:r>
      <w:r>
        <w:rPr>
          <w:rFonts w:eastAsia="Times New Roman"/>
          <w:vanish/>
          <w:sz w:val="20"/>
          <w:szCs w:val="20"/>
        </w:rPr>
        <w:t>01us-gaap:ParentMember2019-12-31 0000879101us-gaap:NoncontrollingInterestMember2019-12-31 utr:Y 0000879101us-gaap:BuildingAndBuildingImprovementsMembersrt:MinimumMember2019-01-012019-12-31 0000879101us-gaap:BuildingAndBuildingImprovementsMembersrt:MaximumM</w:t>
      </w:r>
      <w:r>
        <w:rPr>
          <w:rFonts w:eastAsia="Times New Roman"/>
          <w:vanish/>
          <w:sz w:val="20"/>
          <w:szCs w:val="20"/>
        </w:rPr>
        <w:t>ember2019-01-012019-12-31 xbrli:pure 0000879101us-gaap:ComputerSoftwareIntangibleAssetMembersrt:MinimumMember2019-01-012019-12-31 0000879101us-gaap:ComputerSoftwareIntangibleAssetMembersrt:MaximumMember2019-01-012019-12-31 0000879101us-gaap:AccountingStand</w:t>
      </w:r>
      <w:r>
        <w:rPr>
          <w:rFonts w:eastAsia="Times New Roman"/>
          <w:vanish/>
          <w:sz w:val="20"/>
          <w:szCs w:val="20"/>
        </w:rPr>
        <w:t>ardsUpdate201705Memberus-gaap:RetainedEarningsMember2018-01-01 0000879101kim:InvestmentsInAndAdvancesToRealEstateJointVenturesMember2017-12-31 0000879101us-gaap:OtherLiabilitiesMember2017-12-31 0000879101us-gaap:AccountingStandardsUpdate201602Member2019-01</w:t>
      </w:r>
      <w:r>
        <w:rPr>
          <w:rFonts w:eastAsia="Times New Roman"/>
          <w:vanish/>
          <w:sz w:val="20"/>
          <w:szCs w:val="20"/>
        </w:rPr>
        <w:t>-01 0000879101kim:AfterIssuanceMember2019-01-012019-12-31 0000879101kim:PriorPlanMember2019-12-31 0000879101kim:The2010PlanMember2019-12-31 0000879101us-gaap:EmployeeStockOptionMembersrt:MinimumMember2019-01-012019-12-31 0000879101us-gaap:EmployeeStockOpti</w:t>
      </w:r>
      <w:r>
        <w:rPr>
          <w:rFonts w:eastAsia="Times New Roman"/>
          <w:vanish/>
          <w:sz w:val="20"/>
          <w:szCs w:val="20"/>
        </w:rPr>
        <w:t>onMembersrt:MaximumMember2019-01-012019-12-31 0000879101us-gaap:EmployeeStockOptionMember2019-01-012019-12-31 0000879101us-gaap:RestrictedStockMemberkim:SharebasedCompensationAwardVestingOnFourthOrFifthAnniversaryMember2019-01-012019-12-31 0000879101us-gaa</w:t>
      </w:r>
      <w:r>
        <w:rPr>
          <w:rFonts w:eastAsia="Times New Roman"/>
          <w:vanish/>
          <w:sz w:val="20"/>
          <w:szCs w:val="20"/>
        </w:rPr>
        <w:t>p:RestrictedStockMemberus-gaap:ShareBasedCompensationAwardTrancheTwoMember2019-01-012019-12-31 0000879101us-gaap:RestrictedStockMemberus-gaap:ShareBasedCompensationAwardTrancheThreeMember2019-01-012019-12-31 0000879101us-gaap:RestrictedStockMemberkim:Share</w:t>
      </w:r>
      <w:r>
        <w:rPr>
          <w:rFonts w:eastAsia="Times New Roman"/>
          <w:vanish/>
          <w:sz w:val="20"/>
          <w:szCs w:val="20"/>
        </w:rPr>
        <w:t>basedCompensationAwardVestingAfterTheFifthAnniversaryMember2019-01-012019-12-31 0000879101us-gaap:PerformanceSharesMembersrt:MinimumMember2019-01-012019-12-31 0000879101us-gaap:PerformanceSharesMembersrt:MaximumMember2019-01-012019-12-31 0000879101us-gaap:</w:t>
      </w:r>
      <w:r>
        <w:rPr>
          <w:rFonts w:eastAsia="Times New Roman"/>
          <w:vanish/>
          <w:sz w:val="20"/>
          <w:szCs w:val="20"/>
        </w:rPr>
        <w:t>AccountingStandardsUpdate201409Memberkim:ReimbursementIncomeMember2018-01-012018-12-31 0000879101us-gaap:AccountingStandardsUpdate201409Memberkim:ReimbursementIncomeMember2017-01-012017-12-31 0000879101us-gaap:AccountingStandardsUpdate201409Memberkim:Other</w:t>
      </w:r>
      <w:r>
        <w:rPr>
          <w:rFonts w:eastAsia="Times New Roman"/>
          <w:vanish/>
          <w:sz w:val="20"/>
          <w:szCs w:val="20"/>
        </w:rPr>
        <w:t>RentalPropertyIncomeMember2018-01-012018-12-31 0000879101us-gaap:AccountingStandardsUpdate201409Memberkim:OtherRentalPropertyIncomeMember2017-01-012017-12-31 0000879101us-gaap:LandMember2019-12-31 0000879101us-gaap:LandMember2018-12-31 0000879101kim:Undeve</w:t>
      </w:r>
      <w:r>
        <w:rPr>
          <w:rFonts w:eastAsia="Times New Roman"/>
          <w:vanish/>
          <w:sz w:val="20"/>
          <w:szCs w:val="20"/>
        </w:rPr>
        <w:t>lopedLandMember2019-12-31 0000879101kim:UndevelopedLandMember2018-12-31 0000879101us-gaap:BuildingMember2019-12-31 0000879101us-gaap:BuildingMember2018-12-31 0000879101us-gaap:BuildingImprovementsMember2019-12-31 0000879101us-gaap:BuildingImprovementsMembe</w:t>
      </w:r>
      <w:r>
        <w:rPr>
          <w:rFonts w:eastAsia="Times New Roman"/>
          <w:vanish/>
          <w:sz w:val="20"/>
          <w:szCs w:val="20"/>
        </w:rPr>
        <w:t>r2018-12-31 0000879101kim:TenantImprovementsMember2019-12-31 0000879101kim:TenantImprovementsMember2018-12-31 0000879101kim:FixturesAndLeaseholdImprovementsMember2019-12-31 0000879101kim:FixturesAndLeaseholdImprovementsMember2018-12-31 0000879101us-gaap:Ab</w:t>
      </w:r>
      <w:r>
        <w:rPr>
          <w:rFonts w:eastAsia="Times New Roman"/>
          <w:vanish/>
          <w:sz w:val="20"/>
          <w:szCs w:val="20"/>
        </w:rPr>
        <w:t>oveMarketLeasesMember2019-12-31 0000879101us-gaap:AboveMarketLeasesMember2018-12-31 0000879101kim:InplaceLeasesAndTenantRelationshipsMember2019-12-31 0000879101kim:InplaceLeasesAndTenantRelationshipsMember2018-12-31 0000879101kim:InplaceLeasesTenantRelatio</w:t>
      </w:r>
      <w:r>
        <w:rPr>
          <w:rFonts w:eastAsia="Times New Roman"/>
          <w:vanish/>
          <w:sz w:val="20"/>
          <w:szCs w:val="20"/>
        </w:rPr>
        <w:t>nshipsAndAbovemarketLeasesMember2019-12-31 0000879101kim:InplaceLeasesTenantRelationshipsAndAbovemarketLeasesMember2018-12-31 0000879101kim:BelowMarketRentsMember2019-12-31 0000879101kim:BelowMarketRentsMember2018-12-31 0000879101kim:AboveAndBelowMarketLea</w:t>
      </w:r>
      <w:r>
        <w:rPr>
          <w:rFonts w:eastAsia="Times New Roman"/>
          <w:vanish/>
          <w:sz w:val="20"/>
          <w:szCs w:val="20"/>
        </w:rPr>
        <w:t>sesMember2019-01-012019-12-31 0000879101kim:AboveAndBelowMarketLeasesMember2018-01-012018-12-31 0000879101kim:AboveAndBelowMarketLeasesMember2017-01-012017-12-31 0000879101kim:LeasesInPlaceAndTenantRelationshipsMember2019-01-012019-12-31 0000879101kim:Leas</w:t>
      </w:r>
      <w:r>
        <w:rPr>
          <w:rFonts w:eastAsia="Times New Roman"/>
          <w:vanish/>
          <w:sz w:val="20"/>
          <w:szCs w:val="20"/>
        </w:rPr>
        <w:t>esInPlaceAndTenantRelationshipsMember2018-01-012018-12-31 0000879101kim:LeasesInPlaceAndTenantRelationshipsMember2017-01-012017-12-31 0000879101kim:InplaceLeaseAndTenantRelationshipsMember2019-12-31 0000879101kim:BellCaminoOutparcelMember2019-01-012019-12-</w:t>
      </w:r>
      <w:r>
        <w:rPr>
          <w:rFonts w:eastAsia="Times New Roman"/>
          <w:vanish/>
          <w:sz w:val="20"/>
          <w:szCs w:val="20"/>
        </w:rPr>
        <w:t>31 utr:sqft 0000879101kim:BellCaminoOutparcelMember2019-12-31 0000879101kim:GatewayAtDonnerPassOutparcelMember2019-01-012019-12-31 0000879101kim:GatewayAtDonnerPassOutparcelMember2019-12-31 0000879101kim:RanchoPenasquitosOutparcelMember2019-01-012019-12-31</w:t>
      </w:r>
      <w:r>
        <w:rPr>
          <w:rFonts w:eastAsia="Times New Roman"/>
          <w:vanish/>
          <w:sz w:val="20"/>
          <w:szCs w:val="20"/>
        </w:rPr>
        <w:t xml:space="preserve"> 0000879101kim:RanchoPenasquitosOutparcelMember2019-12-31 0000879101kim:LinwoodSquareMember2019-01-012019-12-31 0000879101kim:LinwoodSquareMember2019-12-31 0000879101kim:LandParcelsAdjacentToShoppingCenterLocatedInArdmorePaAndElmontNyMember2018-01-012018-1</w:t>
      </w:r>
      <w:r>
        <w:rPr>
          <w:rFonts w:eastAsia="Times New Roman"/>
          <w:vanish/>
          <w:sz w:val="20"/>
          <w:szCs w:val="20"/>
        </w:rPr>
        <w:t>2-31 0000879101us-gaap:BuildingMember2019-01-012019-12-31 0000879101us-gaap:BuildingImprovementsMember2019-01-012019-12-31 0000879101kim:TenantImprovementsMember2019-12-31 0000879101kim:TenantImprovementsMember2019-01-012019-12-31 0000879101us-gaap:LeasesA</w:t>
      </w:r>
      <w:r>
        <w:rPr>
          <w:rFonts w:eastAsia="Times New Roman"/>
          <w:vanish/>
          <w:sz w:val="20"/>
          <w:szCs w:val="20"/>
        </w:rPr>
        <w:t>cquiredInPlaceMember2019-12-31 0000879101us-gaap:LeasesAcquiredInPlaceMember2019-01-012019-12-31 0000879101us-gaap:AboveMarketLeasesMember2019-12-31 0000879101us-gaap:AboveMarketLeasesMember2019-01-012019-12-31 0000879101kim:BelowMarketLeasesMember2019-12-</w:t>
      </w:r>
      <w:r>
        <w:rPr>
          <w:rFonts w:eastAsia="Times New Roman"/>
          <w:vanish/>
          <w:sz w:val="20"/>
          <w:szCs w:val="20"/>
        </w:rPr>
        <w:t>31 0000879101kim:BelowMarketLeasesMember2019-01-012019-12-31 0000879101kim:RealEstateUnderDevelopmentMember2019-12-31 0000879101kim:DaniaPointeMember2018-12-31 0000879101kim:DaniaPointeMember2017-12-31 0000879101kim:MillStationMember2018-12-31 0000879101ki</w:t>
      </w:r>
      <w:r>
        <w:rPr>
          <w:rFonts w:eastAsia="Times New Roman"/>
          <w:vanish/>
          <w:sz w:val="20"/>
          <w:szCs w:val="20"/>
        </w:rPr>
        <w:t>m:MillStationMember2017-12-31 0000879101kim:PromenadeAtChristianaMember2018-12-31 0000879101kim:PromenadeAtChristianaMember2017-12-31 0000879101kim:DaniaPointeMember2019-01-012019-12-31 0000879101kim:MillStationMember2019-12-31 0000879101kim:PromenadeAtChr</w:t>
      </w:r>
      <w:r>
        <w:rPr>
          <w:rFonts w:eastAsia="Times New Roman"/>
          <w:vanish/>
          <w:sz w:val="20"/>
          <w:szCs w:val="20"/>
        </w:rPr>
        <w:t>istianaMember2019-01-012019-12-31 0000879101kim:DispositionActivityRelatingToConsolidatedOperatingPropertiesAndParcelsMember2019-12-31 0000879101kim:DispositionActivityRelatingToConsolidatedOperatingPropertiesAndParcelsMember2018-12-31 0000879101kim:Dispos</w:t>
      </w:r>
      <w:r>
        <w:rPr>
          <w:rFonts w:eastAsia="Times New Roman"/>
          <w:vanish/>
          <w:sz w:val="20"/>
          <w:szCs w:val="20"/>
        </w:rPr>
        <w:t>itionActivityRelatingToConsolidatedOperatingPropertiesAndParcelsMember2017-12-31 0000879101kim:DispositionActivityRelatingToConsolidatedOperatingPropertiesAndParcelsMember2019-01-012019-12-31 0000879101kim:DispositionActivityRelatingToConsolidatedOperating</w:t>
      </w:r>
      <w:r>
        <w:rPr>
          <w:rFonts w:eastAsia="Times New Roman"/>
          <w:vanish/>
          <w:sz w:val="20"/>
          <w:szCs w:val="20"/>
        </w:rPr>
        <w:t>PropertiesAndParcelsMember2018-01-012018-12-31 0000879101kim:DispositionActivityRelatingToConsolidatedOperatingPropertiesAndParcelsMember2017-01-012017-12-31 0000879101kim:SoldPortionOfInvestmentInConsolidatedOperatingPropertyMember2018-12-31 0000879101kim</w:t>
      </w:r>
      <w:r>
        <w:rPr>
          <w:rFonts w:eastAsia="Times New Roman"/>
          <w:vanish/>
          <w:sz w:val="20"/>
          <w:szCs w:val="20"/>
        </w:rPr>
        <w:t>:NonrecouseMortgageDebtRelatedToPropertyDeconsolidatedMember2018-01-012018-12-31 0000879101kim:SoldPortionOfInvestmentInConsolidatedOperatingPropertyMember2018-01-012018-12-31 0000879101us-gaap:AccountingStandardsUpdate201705Memberkim:GainOnSaleOfOperating</w:t>
      </w:r>
      <w:r>
        <w:rPr>
          <w:rFonts w:eastAsia="Times New Roman"/>
          <w:vanish/>
          <w:sz w:val="20"/>
          <w:szCs w:val="20"/>
        </w:rPr>
        <w:t>PropertiesChangeInControlsOfInterestsMember2018-01-012018-12-31 0000879101kim:InvestmentInUnconsolidatedPropertyUnconsolidated2017Member2018-12-31 0000879101us-gaap:DisposalGroupDisposedOfBySaleNotDiscontinuedOperationsMemberkim:ConsolidatedOperatingProper</w:t>
      </w:r>
      <w:r>
        <w:rPr>
          <w:rFonts w:eastAsia="Times New Roman"/>
          <w:vanish/>
          <w:sz w:val="20"/>
          <w:szCs w:val="20"/>
        </w:rPr>
        <w:t>tiesMember2018-01-012018-12-31 0000879101us-gaap:DisposalGroupDisposedOfBySaleNotDiscontinuedOperationsMember2018-01-012018-12-31 0000879101kim:PropertiesMarketedForSaleMember2019-01-012019-12-31 0000879101kim:PropertiesMarketedForSaleMember2018-01-012018-</w:t>
      </w:r>
      <w:r>
        <w:rPr>
          <w:rFonts w:eastAsia="Times New Roman"/>
          <w:vanish/>
          <w:sz w:val="20"/>
          <w:szCs w:val="20"/>
        </w:rPr>
        <w:t>12-31 0000879101kim:PropertiesMarketedForSaleMember2017-01-012017-12-31 0000879101kim:DisposedOperatingPropertiesMember2019-01-012019-12-31 0000879101kim:DisposedOperatingPropertiesMember2018-01-012018-12-31 0000879101kim:DisposedOperatingPropertiesMember2</w:t>
      </w:r>
      <w:r>
        <w:rPr>
          <w:rFonts w:eastAsia="Times New Roman"/>
          <w:vanish/>
          <w:sz w:val="20"/>
          <w:szCs w:val="20"/>
        </w:rPr>
        <w:t>017-01-012017-12-31 0000879101kim:PropertiesHeldAndUsedMember2019-01-012019-12-31 0000879101kim:PropertiesHeldAndUsedMember2018-01-012018-12-31 0000879101kim:PropertiesHeldAndUsedMember2017-01-012017-12-31 0000879101kim:PropertiesMarketedForSaleMember2018-</w:t>
      </w:r>
      <w:r>
        <w:rPr>
          <w:rFonts w:eastAsia="Times New Roman"/>
          <w:vanish/>
          <w:sz w:val="20"/>
          <w:szCs w:val="20"/>
        </w:rPr>
        <w:t>12-012018-12-31 0000879101kim:ImpairedDueToUnfavorableLocalMarketConditionsMember2017-01-012017-12-31 0000879101us-gaap:EquityMethodInvestmentsMember2019-01-012019-12-31 0000879101us-gaap:EquityMethodInvestmentsMember2018-01-012018-12-31 0000879101us-gaap:</w:t>
      </w:r>
      <w:r>
        <w:rPr>
          <w:rFonts w:eastAsia="Times New Roman"/>
          <w:vanish/>
          <w:sz w:val="20"/>
          <w:szCs w:val="20"/>
        </w:rPr>
        <w:t>EquityMethodInvestmentsMember2017-01-012017-12-31 0000879101kim:KimPruandKimPruIIMember2019-12-31 0000879101kim:KimPruandKimPruIIMember2018-12-31 0000879101kim:KimcoIncomeFundMember2019-12-31 0000879101kim:KimcoIncomeFundMember2018-12-31 0000879101kim:CPPM</w:t>
      </w:r>
      <w:r>
        <w:rPr>
          <w:rFonts w:eastAsia="Times New Roman"/>
          <w:vanish/>
          <w:sz w:val="20"/>
          <w:szCs w:val="20"/>
        </w:rPr>
        <w:t>ember2019-12-31 0000879101kim:CPPMember2018-12-31 0000879101kim:OtherJointVentureProgramsMember2019-12-31 0000879101kim:OtherJointVentureProgramsMember2018-12-31 0000879101kim:AllEquityMethodInvestmentsMember2019-12-31 0000879101kim:AllEquityMethodInvestme</w:t>
      </w:r>
      <w:r>
        <w:rPr>
          <w:rFonts w:eastAsia="Times New Roman"/>
          <w:vanish/>
          <w:sz w:val="20"/>
          <w:szCs w:val="20"/>
        </w:rPr>
        <w:t>ntsMember2018-12-31 utr:acre 0000879101kim:InvestmentInUnconsolidatedPropertyUnconsolidated2017Member2018-03-31 0000879101kim:PrudentialInvestmentProgramMember2019-01-012019-12-31 0000879101kim:PrudentialInvestmentProgramMember2018-01-012018-12-31 00008791</w:t>
      </w:r>
      <w:r>
        <w:rPr>
          <w:rFonts w:eastAsia="Times New Roman"/>
          <w:vanish/>
          <w:sz w:val="20"/>
          <w:szCs w:val="20"/>
        </w:rPr>
        <w:t>01kim:PrudentialInvestmentProgramMember2017-01-012017-12-31 0000879101kim:KIRMember2019-01-012019-12-31 0000879101kim:KIRMember2018-01-012018-12-31 0000879101kim:KIRMember2017-01-012017-12-31 0000879101kim:CPPMember2019-01-012019-12-31 0000879101kim:CPPMem</w:t>
      </w:r>
      <w:r>
        <w:rPr>
          <w:rFonts w:eastAsia="Times New Roman"/>
          <w:vanish/>
          <w:sz w:val="20"/>
          <w:szCs w:val="20"/>
        </w:rPr>
        <w:t>ber2018-01-012018-12-31 0000879101kim:CPPMember2017-01-012017-12-31 0000879101kim:OtherJointVentureProgramsMember2019-01-012019-12-31 0000879101kim:OtherJointVentureProgramsMember2018-01-012018-12-31 0000879101kim:OtherJointVentureProgramsMember2017-01-012</w:t>
      </w:r>
      <w:r>
        <w:rPr>
          <w:rFonts w:eastAsia="Times New Roman"/>
          <w:vanish/>
          <w:sz w:val="20"/>
          <w:szCs w:val="20"/>
        </w:rPr>
        <w:t>017-12-31 0000879101kim:PrudentialInvestmentProgramMember2019-01-012019-12-31 0000879101us-gaap:AccumulatedForeignCurrencyAdjustmentAttributableToNoncontrollingInterestMembercountry:CA2017-01-012017-12-31 0000879101kim:OperatingPropertiesMemberkim:RealEsta</w:t>
      </w:r>
      <w:r>
        <w:rPr>
          <w:rFonts w:eastAsia="Times New Roman"/>
          <w:vanish/>
          <w:sz w:val="20"/>
          <w:szCs w:val="20"/>
        </w:rPr>
        <w:t>teJointVenturesMember2019-01-012019-12-31 0000879101kim:OperatingPropertiesMemberkim:RealEstateJointVenturesMember2019-12-31 0000879101kim:OperatingPropertiesMemberkim:RealEstateJointVenturesMember2018-01-012018-12-31 0000879101kim:OperatingPropertiesMembe</w:t>
      </w:r>
      <w:r>
        <w:rPr>
          <w:rFonts w:eastAsia="Times New Roman"/>
          <w:vanish/>
          <w:sz w:val="20"/>
          <w:szCs w:val="20"/>
        </w:rPr>
        <w:t>rkim:RealEstateJointVenturesMember2018-12-31 0000879101kim:OperatingPropertiesMemberkim:RealEstateJointVenturesMember2017-01-012017-12-31 0000879101kim:OperatingPropertiesMemberkim:RealEstateJointVenturesMember2017-12-31 0000879101kim:PrudentialInvestmentP</w:t>
      </w:r>
      <w:r>
        <w:rPr>
          <w:rFonts w:eastAsia="Times New Roman"/>
          <w:vanish/>
          <w:sz w:val="20"/>
          <w:szCs w:val="20"/>
        </w:rPr>
        <w:t>rogramMember2019-12-31 0000879101kim:PrudentialInvestmentProgramMember2018-12-31 0000879101kim:KIRMember2019-12-31 utr:M 0000879101kim:KIRMember2018-12-31 0000879101us-gaap:RealEstateMemberkim:KIRMember2019-12-31 0000879101us-gaap:RealEstateMemberkim:KIRMe</w:t>
      </w:r>
      <w:r>
        <w:rPr>
          <w:rFonts w:eastAsia="Times New Roman"/>
          <w:vanish/>
          <w:sz w:val="20"/>
          <w:szCs w:val="20"/>
        </w:rPr>
        <w:t>mber2018-12-31 0000879101us-gaap:OtherAssetsMemberkim:KIRMember2019-12-31 0000879101us-gaap:OtherAssetsMemberkim:KIRMember2018-12-31 0000879101kim:NotesPayableMemberkim:KIRMember2019-12-31 0000879101kim:NotesPayableMemberkim:KIRMember2018-12-31 0000879101k</w:t>
      </w:r>
      <w:r>
        <w:rPr>
          <w:rFonts w:eastAsia="Times New Roman"/>
          <w:vanish/>
          <w:sz w:val="20"/>
          <w:szCs w:val="20"/>
        </w:rPr>
        <w:t>im:MortgagesPayableMemberkim:KIRMember2019-12-31 0000879101kim:MortgagesPayableMemberkim:KIRMember2018-12-31 0000879101us-gaap:OtherLiabilitiesMemberkim:KIRMember2019-12-31 0000879101us-gaap:OtherLiabilitiesMemberkim:KIRMember2018-12-31 0000879101us-gaap:R</w:t>
      </w:r>
      <w:r>
        <w:rPr>
          <w:rFonts w:eastAsia="Times New Roman"/>
          <w:vanish/>
          <w:sz w:val="20"/>
          <w:szCs w:val="20"/>
        </w:rPr>
        <w:t>ealEstateMemberkim:ExcludingKIRAndRioCanMember2019-12-31 0000879101us-gaap:RealEstateMemberkim:ExcludingKIRAndRioCanMember2018-12-31 0000879101us-gaap:OtherAssetsMemberkim:ExcludingKIRAndRioCanMember2019-12-31 0000879101us-gaap:OtherAssetsMemberkim:Excludi</w:t>
      </w:r>
      <w:r>
        <w:rPr>
          <w:rFonts w:eastAsia="Times New Roman"/>
          <w:vanish/>
          <w:sz w:val="20"/>
          <w:szCs w:val="20"/>
        </w:rPr>
        <w:t>ngKIRAndRioCanMember2018-12-31 0000879101kim:ExcludingKIRAndRioCanMember2019-12-31 0000879101kim:ExcludingKIRAndRioCanMember2018-12-31 0000879101kim:NotesPayableMemberkim:ExcludingKIRAndRioCanMember2019-12-31 0000879101kim:NotesPayableMemberkim:ExcludingKI</w:t>
      </w:r>
      <w:r>
        <w:rPr>
          <w:rFonts w:eastAsia="Times New Roman"/>
          <w:vanish/>
          <w:sz w:val="20"/>
          <w:szCs w:val="20"/>
        </w:rPr>
        <w:t>RAndRioCanMember2018-12-31 0000879101kim:MortgagesPayableMemberkim:ExcludingKIRAndRioCanMember2019-12-31 0000879101kim:MortgagesPayableMemberkim:ExcludingKIRAndRioCanMember2018-12-31 0000879101us-gaap:OtherLiabilitiesMemberkim:ExcludingKIRAndRioCanMember20</w:t>
      </w:r>
      <w:r>
        <w:rPr>
          <w:rFonts w:eastAsia="Times New Roman"/>
          <w:vanish/>
          <w:sz w:val="20"/>
          <w:szCs w:val="20"/>
        </w:rPr>
        <w:t>19-12-31 0000879101us-gaap:OtherLiabilitiesMemberkim:ExcludingKIRAndRioCanMember2018-12-31 0000879101kim:ExcludingKIRAndRioCanMember2019-01-012019-12-31 0000879101kim:ExcludingKIRAndRioCanMember2018-01-012018-12-31 0000879101kim:ExcludingKIRAndRioCanMember</w:t>
      </w:r>
      <w:r>
        <w:rPr>
          <w:rFonts w:eastAsia="Times New Roman"/>
          <w:vanish/>
          <w:sz w:val="20"/>
          <w:szCs w:val="20"/>
        </w:rPr>
        <w:t>2017-01-012017-12-31 0000879101kim:PreferredEquityInvestmentsMember2019-12-31 0000879101kim:LeasedPropertiesMemberkim:PreferredEquityInvestmentsMember2019-12-31 0000879101kim:PreferredEquityInvestmentsMember2019-01-012019-12-31 0000879101kim:PreferredEquit</w:t>
      </w:r>
      <w:r>
        <w:rPr>
          <w:rFonts w:eastAsia="Times New Roman"/>
          <w:vanish/>
          <w:sz w:val="20"/>
          <w:szCs w:val="20"/>
        </w:rPr>
        <w:t>yInvestmentsMember2018-12-31 0000879101kim:LeasedPropertiesMemberkim:PreferredEquityInvestmentsMember2018-12-31 0000879101kim:PreferredEquityInvestmentMember2018-01-012018-12-31 0000879101kim:PreferredEquityInvestmentMember2019-12-31 0000879101srt:MinimumM</w:t>
      </w:r>
      <w:r>
        <w:rPr>
          <w:rFonts w:eastAsia="Times New Roman"/>
          <w:vanish/>
          <w:sz w:val="20"/>
          <w:szCs w:val="20"/>
        </w:rPr>
        <w:t>emberkim:PreferredEquityInvestmentMember2019-01-012019-12-31 0000879101srt:MaximumMemberkim:PreferredEquityInvestmentMember2019-01-012019-12-31 0000879101srt:MinimumMemberkim:PreferredEquityInvestmentMember2019-12-31 0000879101srt:MaximumMemberkim:Preferre</w:t>
      </w:r>
      <w:r>
        <w:rPr>
          <w:rFonts w:eastAsia="Times New Roman"/>
          <w:vanish/>
          <w:sz w:val="20"/>
          <w:szCs w:val="20"/>
        </w:rPr>
        <w:t>dEquityInvestmentMember2019-12-31 0000879101kim:PreferredEquityInvestmentsMember2018-01-012018-12-31 0000879101kim:PreferredEquityInvestmentsMember2017-01-012017-12-31 0000879101kim:ConsolidatedOperatingPropertiesMember2019-12-31 0000879101kim:Consolidated</w:t>
      </w:r>
      <w:r>
        <w:rPr>
          <w:rFonts w:eastAsia="Times New Roman"/>
          <w:vanish/>
          <w:sz w:val="20"/>
          <w:szCs w:val="20"/>
        </w:rPr>
        <w:t>OperatingPropertiesMember2018-12-31 0000879101us-gaap:VariableInterestEntityPrimaryBeneficiaryMemberkim:ConsolidatedOperatingPropertiesMember2019-12-31 0000879101us-gaap:VariableInterestEntityPrimaryBeneficiaryMemberkim:ConsolidatedOperatingPropertiesMembe</w:t>
      </w:r>
      <w:r>
        <w:rPr>
          <w:rFonts w:eastAsia="Times New Roman"/>
          <w:vanish/>
          <w:sz w:val="20"/>
          <w:szCs w:val="20"/>
        </w:rPr>
        <w:t>r2018-12-31 0000879101kim:RealEstateUnderDevelopmentMember2018-12-31 0000879101us-gaap:VariableInterestEntityPrimaryBeneficiaryMemberkim:RealEstateUnderDevelopmentMember2019-12-31 0000879101us-gaap:VariableInterestEntityPrimaryBeneficiaryMemberkim:RealEsta</w:t>
      </w:r>
      <w:r>
        <w:rPr>
          <w:rFonts w:eastAsia="Times New Roman"/>
          <w:vanish/>
          <w:sz w:val="20"/>
          <w:szCs w:val="20"/>
        </w:rPr>
        <w:t>teUnderDevelopmentMember2018-12-31 0000879101kim:RealEstateUnderDevelopmentMember2019-01-012019-12-31 0000879101kim:VariableInterestEntityUnencumberedMember2019-12-31 0000879101kim:VariableInterestEntityUnencumberedMember2018-12-31 0000879101kim:VariableIn</w:t>
      </w:r>
      <w:r>
        <w:rPr>
          <w:rFonts w:eastAsia="Times New Roman"/>
          <w:vanish/>
          <w:sz w:val="20"/>
          <w:szCs w:val="20"/>
        </w:rPr>
        <w:t>terestEntityEncumberedByThirdPartyNonResourceMortgageDebtMember2019-12-31 0000879101kim:VariableInterestEntityEncumberedByThirdPartyNonResourceMortgageDebtMember2018-12-31 0000879101srt:MinimumMember2019-01-012019-12-31 0000879101srt:MaximumMember2019-01-0</w:t>
      </w:r>
      <w:r>
        <w:rPr>
          <w:rFonts w:eastAsia="Times New Roman"/>
          <w:vanish/>
          <w:sz w:val="20"/>
          <w:szCs w:val="20"/>
        </w:rPr>
        <w:t>12019-12-31 0000879101srt:MaximumMember2019-12-31 0000879101kim:ExistingMortgageLoanMember2019-01-012019-12-31 0000879101kim:ExistingMortgageLoanMember2018-01-012018-12-31 0000879101kim:ExistingMortgageLoanMember2017-01-012017-12-31 0000879101kim:ForeignCu</w:t>
      </w:r>
      <w:r>
        <w:rPr>
          <w:rFonts w:eastAsia="Times New Roman"/>
          <w:vanish/>
          <w:sz w:val="20"/>
          <w:szCs w:val="20"/>
        </w:rPr>
        <w:t>rrencyTranslationMember2019-01-012019-12-31 0000879101kim:ForeignCurrencyTranslationMember2018-01-012018-12-31 0000879101kim:ForeignCurrencyTranslationMember2017-01-012017-12-31 0000879101kim:AmortizationOfLoanDiscountsMember2019-01-012019-12-31 0000879101</w:t>
      </w:r>
      <w:r>
        <w:rPr>
          <w:rFonts w:eastAsia="Times New Roman"/>
          <w:vanish/>
          <w:sz w:val="20"/>
          <w:szCs w:val="20"/>
        </w:rPr>
        <w:t>kim:AmortizationOfLoanDiscountsMember2018-01-012018-12-31 0000879101kim:AmortizationOfLoanDiscountsMember2017-01-012017-12-31 0000879101kim:LoanRepaymentsMember2019-01-012019-12-31 0000879101kim:LoanRepaymentsMember2018-01-012018-12-31 0000879101kim:LoanRe</w:t>
      </w:r>
      <w:r>
        <w:rPr>
          <w:rFonts w:eastAsia="Times New Roman"/>
          <w:vanish/>
          <w:sz w:val="20"/>
          <w:szCs w:val="20"/>
        </w:rPr>
        <w:t>paymentsMember2017-01-012017-12-31 0000879101kim:ChargeOffForeignCurrencyTranslationMember2019-01-012019-12-31 0000879101kim:ChargeOffForeignCurrencyTranslationMember2018-01-012018-12-31 0000879101kim:ChargeOffForeignCurrencyTranslationMember2017-01-012017</w:t>
      </w:r>
      <w:r>
        <w:rPr>
          <w:rFonts w:eastAsia="Times New Roman"/>
          <w:vanish/>
          <w:sz w:val="20"/>
          <w:szCs w:val="20"/>
        </w:rPr>
        <w:t>-12-31 0000879101kim:CollectionsOfPrincipalMember2019-01-012019-12-31 0000879101kim:CollectionsOfPrincipalMember2018-01-012018-12-31 0000879101kim:CollectionsOfPrincipalMember2017-01-012017-12-31 0000879101kim:AmortizationOfLoanCostsMember2019-01-012019-12</w:t>
      </w:r>
      <w:r>
        <w:rPr>
          <w:rFonts w:eastAsia="Times New Roman"/>
          <w:vanish/>
          <w:sz w:val="20"/>
          <w:szCs w:val="20"/>
        </w:rPr>
        <w:t>-31 0000879101kim:AmortizationOfLoanCostsMember2018-01-012018-12-31 0000879101kim:AmortizationOfLoanCostsMember2017-01-012017-12-31 0000879101kim:AlbertsonsCompaniesIncMember2019-12-31 0000879101us-gaap:OtherAssetsMemberkim:AlbertstonsCompaniesIncMember201</w:t>
      </w:r>
      <w:r>
        <w:rPr>
          <w:rFonts w:eastAsia="Times New Roman"/>
          <w:vanish/>
          <w:sz w:val="20"/>
          <w:szCs w:val="20"/>
        </w:rPr>
        <w:t>9-12-31 0000879101us-gaap:DisposalGroupHeldforsaleNotDiscontinuedOperationsMember2018-12-31 0000879101kim:NotesPayableMemberus-gaap:UnsecuredDebtMember2019-12-31 0000879101kim:NotesPayableMemberus-gaap:UnsecuredDebtMember2018-12-31 0000879101kim:NotesPayab</w:t>
      </w:r>
      <w:r>
        <w:rPr>
          <w:rFonts w:eastAsia="Times New Roman"/>
          <w:vanish/>
          <w:sz w:val="20"/>
          <w:szCs w:val="20"/>
        </w:rPr>
        <w:t>leMemberus-gaap:UnsecuredDebtMembersrt:MinimumMember2019-12-31 0000879101kim:NotesPayableMemberus-gaap:UnsecuredDebtMembersrt:MaximumMember2019-12-31 0000879101kim:NotesPayableMemberus-gaap:UnsecuredDebtMembersrt:MinimumMember2018-12-31 0000879101kim:Notes</w:t>
      </w:r>
      <w:r>
        <w:rPr>
          <w:rFonts w:eastAsia="Times New Roman"/>
          <w:vanish/>
          <w:sz w:val="20"/>
          <w:szCs w:val="20"/>
        </w:rPr>
        <w:t>PayableMemberus-gaap:UnsecuredDebtMembersrt:MaximumMember2018-12-31 0000879101kim:NotesPayableMemberus-gaap:LineOfCreditMember2019-12-31 0000879101kim:NotesPayableMemberus-gaap:LineOfCreditMember2018-12-31 0000879101kim:NotesPayableMember2019-12-31 0000879</w:t>
      </w:r>
      <w:r>
        <w:rPr>
          <w:rFonts w:eastAsia="Times New Roman"/>
          <w:vanish/>
          <w:sz w:val="20"/>
          <w:szCs w:val="20"/>
        </w:rPr>
        <w:t>101kim:NotesPayableMember2018-12-31 0000879101srt:WeightedAverageMember2019-12-31 0000879101srt:WeightedAverageMember2018-12-31 0000879101us-gaap:RevolvingCreditFacilityMemberus-gaap:LondonInterbankOfferedRateLIBORMember2019-01-012019-12-31 0000879101us-ga</w:t>
      </w:r>
      <w:r>
        <w:rPr>
          <w:rFonts w:eastAsia="Times New Roman"/>
          <w:vanish/>
          <w:sz w:val="20"/>
          <w:szCs w:val="20"/>
        </w:rPr>
        <w:t>ap:RevolvingCreditFacilityMember2019-12-31 0000879101us-gaap:RevolvingCreditFacilityMember2018-12-31 0000879101kim:SeniorUnsecuredNotes1Member2019-12-31 0000879101kim:SeniorNote1Member2019-01-012019-12-31 0000879101kim:SeniorNote1Member2019-12-31 000087910</w:t>
      </w:r>
      <w:r>
        <w:rPr>
          <w:rFonts w:eastAsia="Times New Roman"/>
          <w:vanish/>
          <w:sz w:val="20"/>
          <w:szCs w:val="20"/>
        </w:rPr>
        <w:t>1kim:SeniorNote2Member2019-01-012019-12-31 0000879101kim:SeniorNote2Member2019-12-31 0000879101kim:SeniorUnsecuredNoteMember2018-01-012018-12-31 0000879101kim:SeniorUnsecuredNoteMember2018-12-31 0000879101us-gaap:UnsecuredDebtMember2019-12-31 0000879101us-</w:t>
      </w:r>
      <w:r>
        <w:rPr>
          <w:rFonts w:eastAsia="Times New Roman"/>
          <w:vanish/>
          <w:sz w:val="20"/>
          <w:szCs w:val="20"/>
        </w:rPr>
        <w:t>gaap:RevolvingCreditFacilityMemberkim:CreditFacilityAccordionFeatureMember2019-12-31 0000879101us-gaap:LetterOfCreditMember2018-12-31 0000879101us-gaap:ConstructionLoansMember2018-08-31 0000879101us-gaap:ConstructionLoansMemberus-gaap:LondonInterbankOffere</w:t>
      </w:r>
      <w:r>
        <w:rPr>
          <w:rFonts w:eastAsia="Times New Roman"/>
          <w:vanish/>
          <w:sz w:val="20"/>
          <w:szCs w:val="20"/>
        </w:rPr>
        <w:t>dRateLIBORMember2018-08-012018-08-31 0000879101us-gaap:ConstructionLoansMember2019-12-31 0000879101us-gaap:MortgagesMember2019-12-31 0000879101us-gaap:MortgagesMember2018-12-31 0000879101us-gaap:MortgagesMembersrt:MinimumMember2019-12-31 0000879101us-gaap:</w:t>
      </w:r>
      <w:r>
        <w:rPr>
          <w:rFonts w:eastAsia="Times New Roman"/>
          <w:vanish/>
          <w:sz w:val="20"/>
          <w:szCs w:val="20"/>
        </w:rPr>
        <w:t>MortgagesMembersrt:MaximumMember2019-12-31 0000879101us-gaap:MortgagesMembersrt:MinimumMember2018-12-31 0000879101us-gaap:MortgagesMembersrt:MaximumMember2018-12-31 0000879101us-gaap:ConstructionLoansMember2018-12-31 0000879101us-gaap:MortgagesMembersrt:We</w:t>
      </w:r>
      <w:r>
        <w:rPr>
          <w:rFonts w:eastAsia="Times New Roman"/>
          <w:vanish/>
          <w:sz w:val="20"/>
          <w:szCs w:val="20"/>
        </w:rPr>
        <w:t>ightedAverageMember2018-12-31 0000879101kim:MortgageDebtEncumberedOperatingPropertyMember2019-01-012019-12-31 0000879101us-gaap:MortgagesMember2018-01-012018-12-31 0000879101us-gaap:MortgagesMemberkim:EncumberedOperatingPropertiesMember2018-01-012018-12-31</w:t>
      </w:r>
      <w:r>
        <w:rPr>
          <w:rFonts w:eastAsia="Times New Roman"/>
          <w:vanish/>
          <w:sz w:val="20"/>
          <w:szCs w:val="20"/>
        </w:rPr>
        <w:t xml:space="preserve"> 0000879101us-gaap:MortgagesMemberkim:EncumberedOperatingPropertiesMember2018-12-31 0000879101kim:MortgagesPayableAndConstructionLoansMember2018-12-31 0000879101country:PR2019-12-31 0000879101kim:NonconvertibleUnitsMembercountry:PR2019-01-012019-12-31 0000</w:t>
      </w:r>
      <w:r>
        <w:rPr>
          <w:rFonts w:eastAsia="Times New Roman"/>
          <w:vanish/>
          <w:sz w:val="20"/>
          <w:szCs w:val="20"/>
        </w:rPr>
        <w:t>879101kim:ConvertibleUnitsMembercountry:PR2019-01-012019-12-31 0000879101country:PR2019-01-012019-12-31 0000879101kim:PremiumsMembercountry:PR2019-01-012019-12-31 0000879101kim:FairMarketValueAdjustmentsMembercountry:PR2019-01-012019-12-31 0000879101countr</w:t>
      </w:r>
      <w:r>
        <w:rPr>
          <w:rFonts w:eastAsia="Times New Roman"/>
          <w:vanish/>
          <w:sz w:val="20"/>
          <w:szCs w:val="20"/>
        </w:rPr>
        <w:t>y:PR2018-12-31 0000879101kim:ClassB1PreferredUnitsMember2019-12-31 0000879101kim:ClassB1PreferredUnitsMember2019-01-012019-12-31 0000879101kim:ClassB2PreferredUnitsMember2019-12-31 0000879101kim:ClassB2PreferredUnitsMember2019-01-012019-12-31 0000879101kim</w:t>
      </w:r>
      <w:r>
        <w:rPr>
          <w:rFonts w:eastAsia="Times New Roman"/>
          <w:vanish/>
          <w:sz w:val="20"/>
          <w:szCs w:val="20"/>
        </w:rPr>
        <w:t>:ClassCDownreitUnitsMember2019-12-31 0000879101kim:ClassCDownreitUnitsMember2019-01-012019-12-31 0000879101kim:CapitalUnitsClassBMember2006-01-012006-12-31 0000879101kim:CapitalUnitsClassBMember2006-12-31 0000879101kim:CapitalUnitsClassBMember2007-01-01200</w:t>
      </w:r>
      <w:r>
        <w:rPr>
          <w:rFonts w:eastAsia="Times New Roman"/>
          <w:vanish/>
          <w:sz w:val="20"/>
          <w:szCs w:val="20"/>
        </w:rPr>
        <w:t>7-12-31 0000879101kim:CapitalUnitsClassBMember2019-01-012019-12-31 0000879101kim:CapitalUnitsClassBMember2018-01-012018-12-31 0000879101kim:CapitalUnitsClassBMember2019-12-31 0000879101kim:CapitalUnitsClassBMember2018-12-31 0000879101kim:ConvertibleUnitsMe</w:t>
      </w:r>
      <w:r>
        <w:rPr>
          <w:rFonts w:eastAsia="Times New Roman"/>
          <w:vanish/>
          <w:sz w:val="20"/>
          <w:szCs w:val="20"/>
        </w:rPr>
        <w:t>mber2006-12-31 0000879101kim:ConvertibleUnitsMember2006-01-012006-12-31 0000879101kim:FairMarketValueAdjustmentsMemberkim:ConvertibleUnitsMember2006-01-012006-12-31 0000879101kim:ClassAUnitsMember2019-01-012019-12-31 0000879101us-gaap:MeasurementInputCapRa</w:t>
      </w:r>
      <w:r>
        <w:rPr>
          <w:rFonts w:eastAsia="Times New Roman"/>
          <w:vanish/>
          <w:sz w:val="20"/>
          <w:szCs w:val="20"/>
        </w:rPr>
        <w:t>teMember2018-01-012018-12-31 0000879101us-gaap:MeasurementInputDiscountRateMember2018-01-012018-12-31 0000879101us-gaap:CarryingReportedAmountFairValueDisclosureMember2019-12-31 0000879101us-gaap:EstimateOfFairValueFairValueDisclosureMember2019-12-31 00008</w:t>
      </w:r>
      <w:r>
        <w:rPr>
          <w:rFonts w:eastAsia="Times New Roman"/>
          <w:vanish/>
          <w:sz w:val="20"/>
          <w:szCs w:val="20"/>
        </w:rPr>
        <w:t>79101us-gaap:CarryingReportedAmountFairValueDisclosureMember2018-12-31 0000879101us-gaap:EstimateOfFairValueFairValueDisclosureMember2018-12-31 0000879101us-gaap:CarryingReportedAmountFairValueDisclosureMemberus-gaap:MortgagesMember2019-12-31 0000879101us-</w:t>
      </w:r>
      <w:r>
        <w:rPr>
          <w:rFonts w:eastAsia="Times New Roman"/>
          <w:vanish/>
          <w:sz w:val="20"/>
          <w:szCs w:val="20"/>
        </w:rPr>
        <w:t>gaap:EstimateOfFairValueFairValueDisclosureMemberus-gaap:MortgagesMember2019-12-31 0000879101us-gaap:CarryingReportedAmountFairValueDisclosureMemberus-gaap:MortgagesMember2018-12-31 0000879101us-gaap:EstimateOfFairValueFairValueDisclosureMemberus-gaap:Mort</w:t>
      </w:r>
      <w:r>
        <w:rPr>
          <w:rFonts w:eastAsia="Times New Roman"/>
          <w:vanish/>
          <w:sz w:val="20"/>
          <w:szCs w:val="20"/>
        </w:rPr>
        <w:t>gagesMember2018-12-31 0000879101us-gaap:FairValueInputsLevel2Memberus-gaap:EstimateOfFairValueFairValueDisclosureMember2019-12-31 0000879101us-gaap:FairValueInputsLevel2Memberus-gaap:EstimateOfFairValueFairValueDisclosureMember2018-12-31 0000879101us-gaap:</w:t>
      </w:r>
      <w:r>
        <w:rPr>
          <w:rFonts w:eastAsia="Times New Roman"/>
          <w:vanish/>
          <w:sz w:val="20"/>
          <w:szCs w:val="20"/>
        </w:rPr>
        <w:t>FairValueInputsLevel3Memberus-gaap:EstimateOfFairValueFairValueDisclosureMember2019-12-31 0000879101us-gaap:FairValueInputsLevel3Memberus-gaap:EstimateOfFairValueFairValueDisclosureMember2018-12-31 0000879101us-gaap:FairValueMeasurementsRecurringMember2019</w:t>
      </w:r>
      <w:r>
        <w:rPr>
          <w:rFonts w:eastAsia="Times New Roman"/>
          <w:vanish/>
          <w:sz w:val="20"/>
          <w:szCs w:val="20"/>
        </w:rPr>
        <w:t>-12-31 0000879101us-gaap:FairValueInputsLevel1Memberus-gaap:FairValueMeasurementsRecurringMember2019-12-31 0000879101us-gaap:FairValueInputsLevel2Memberus-gaap:FairValueMeasurementsRecurringMember2019-12-31 0000879101us-gaap:FairValueMeasurementsRecurringM</w:t>
      </w:r>
      <w:r>
        <w:rPr>
          <w:rFonts w:eastAsia="Times New Roman"/>
          <w:vanish/>
          <w:sz w:val="20"/>
          <w:szCs w:val="20"/>
        </w:rPr>
        <w:t>ember2018-12-31 0000879101us-gaap:FairValueInputsLevel1Memberus-gaap:FairValueMeasurementsRecurringMember2018-12-31 0000879101us-gaap:FairValueInputsLevel3Memberus-gaap:FairValueMeasurementsRecurringMember2018-12-31 0000879101us-gaap:FairValueMeasurementsN</w:t>
      </w:r>
      <w:r>
        <w:rPr>
          <w:rFonts w:eastAsia="Times New Roman"/>
          <w:vanish/>
          <w:sz w:val="20"/>
          <w:szCs w:val="20"/>
        </w:rPr>
        <w:t>onrecurringMember2019-12-31 0000879101us-gaap:FairValueInputsLevel1Memberus-gaap:FairValueMeasurementsNonrecurringMember2019-12-31 0000879101us-gaap:FairValueInputsLevel2Memberus-gaap:FairValueMeasurementsNonrecurringMember2019-12-31 0000879101us-gaap:Fair</w:t>
      </w:r>
      <w:r>
        <w:rPr>
          <w:rFonts w:eastAsia="Times New Roman"/>
          <w:vanish/>
          <w:sz w:val="20"/>
          <w:szCs w:val="20"/>
        </w:rPr>
        <w:t>ValueInputsLevel3Memberus-gaap:FairValueMeasurementsNonrecurringMember2019-12-31 0000879101us-gaap:FairValueMeasurementsNonrecurringMember2018-12-31 0000879101us-gaap:FairValueInputsLevel1Memberus-gaap:FairValueMeasurementsNonrecurringMember2018-12-31 0000</w:t>
      </w:r>
      <w:r>
        <w:rPr>
          <w:rFonts w:eastAsia="Times New Roman"/>
          <w:vanish/>
          <w:sz w:val="20"/>
          <w:szCs w:val="20"/>
        </w:rPr>
        <w:t>879101us-gaap:FairValueInputsLevel2Memberus-gaap:FairValueMeasurementsNonrecurringMember2018-12-31 0000879101us-gaap:FairValueInputsLevel3Memberus-gaap:FairValueMeasurementsNonrecurringMember2018-12-31 0000879101us-gaap:MeasurementInputCapRateMember2019-12</w:t>
      </w:r>
      <w:r>
        <w:rPr>
          <w:rFonts w:eastAsia="Times New Roman"/>
          <w:vanish/>
          <w:sz w:val="20"/>
          <w:szCs w:val="20"/>
        </w:rPr>
        <w:t>-31 0000879101us-gaap:MeasurementInputDiscountRateMember2019-12-31 0000879101us-gaap:MeasurementInputCapRateMembersrt:MinimumMember2018-12-31 0000879101us-gaap:MeasurementInputCapRateMembersrt:MaximumMember2018-12-31 0000879101us-gaap:MeasurementInputDisco</w:t>
      </w:r>
      <w:r>
        <w:rPr>
          <w:rFonts w:eastAsia="Times New Roman"/>
          <w:vanish/>
          <w:sz w:val="20"/>
          <w:szCs w:val="20"/>
        </w:rPr>
        <w:t>untRateMembersrt:MinimumMember2018-12-31 0000879101us-gaap:MeasurementInputDiscountRateMembersrt:MaximumMember2018-12-31 0000879101kim:SeriesLPreferredStockMember2019-12-31 0000879101kim:SeriesLPreferredStockMember2019-01-012019-12-31 0000879101kim:SeriesM</w:t>
      </w:r>
      <w:r>
        <w:rPr>
          <w:rFonts w:eastAsia="Times New Roman"/>
          <w:vanish/>
          <w:sz w:val="20"/>
          <w:szCs w:val="20"/>
        </w:rPr>
        <w:t>PreferredStockMember2019-12-31 0000879101kim:SeriesMPreferredStockMember2019-01-012019-12-31 0000879101kim:TotalMember2019-12-31 0000879101kim:SeriesIPreferredStockMember2018-12-31 0000879101kim:SeriesIPreferredStockMember2018-01-012018-12-31 0000879101kim</w:t>
      </w:r>
      <w:r>
        <w:rPr>
          <w:rFonts w:eastAsia="Times New Roman"/>
          <w:vanish/>
          <w:sz w:val="20"/>
          <w:szCs w:val="20"/>
        </w:rPr>
        <w:t>:SeriesJPreferredStockMember2018-12-31 0000879101kim:SeriesJPreferredStockMember2018-01-012018-12-31 0000879101kim:SeriesKPreferredStockMember2018-12-31 0000879101kim:SeriesKPreferredStockMember2018-01-012018-12-31 0000879101kim:SeriesLPreferredStockMember</w:t>
      </w:r>
      <w:r>
        <w:rPr>
          <w:rFonts w:eastAsia="Times New Roman"/>
          <w:vanish/>
          <w:sz w:val="20"/>
          <w:szCs w:val="20"/>
        </w:rPr>
        <w:t>2018-12-31 0000879101kim:SeriesLPreferredStockMember2018-01-012018-12-31 0000879101kim:SeriesMPreferredStockMember2018-12-31 0000879101kim:SeriesMPreferredStockMember2018-01-012018-12-31 0000879101kim:TotalMember2018-12-31 0000879101kim:SeriesMPreferredSto</w:t>
      </w:r>
      <w:r>
        <w:rPr>
          <w:rFonts w:eastAsia="Times New Roman"/>
          <w:vanish/>
          <w:sz w:val="20"/>
          <w:szCs w:val="20"/>
        </w:rPr>
        <w:t>ckMember2018-01-012018-01-31 0000879101kim:SeriesMPreferredStockMember2018-01-31 0000879101kim:SeriesMCumulativeRedeemablePreferredStockMember2018-01-012018-01-31 0000879101kim:SeriesJPreferredStockMember2019-01-012019-12-31 0000879101kim:SeriesJPreferredS</w:t>
      </w:r>
      <w:r>
        <w:rPr>
          <w:rFonts w:eastAsia="Times New Roman"/>
          <w:vanish/>
          <w:sz w:val="20"/>
          <w:szCs w:val="20"/>
        </w:rPr>
        <w:t>tockMember2019-12-31 0000879101kim:SeriesIPreferredStockMember2019-01-012019-12-31 0000879101kim:SeriesIPreferredStockMember2019-12-31 0000879101kim:SeriesKPreferredStockMember2019-01-012019-12-31 0000879101kim:SeriesKPreferredStockMember2019-12-31 0000879</w:t>
      </w:r>
      <w:r>
        <w:rPr>
          <w:rFonts w:eastAsia="Times New Roman"/>
          <w:vanish/>
          <w:sz w:val="20"/>
          <w:szCs w:val="20"/>
        </w:rPr>
        <w:t>101kim:SeriesIJKLOrMPreferredStockMember2019-12-31 0000879101kim:DepositaryShareMember2019-12-31 0000879101kim:ATMProgramMember2019-09-30 0000879101kim:ATMProgramMember2019-09-012019-09-30 0000879101kim:ATMProgramMember2019-01-012019-12-31 0000879101kim:AT</w:t>
      </w:r>
      <w:r>
        <w:rPr>
          <w:rFonts w:eastAsia="Times New Roman"/>
          <w:vanish/>
          <w:sz w:val="20"/>
          <w:szCs w:val="20"/>
        </w:rPr>
        <w:t>MProgramMember2019-12-31 0000879101kim:ShareRepurchaseProgramMember2018-02-22 0000879101kim:ShareRepurchaseProgramMember2019-01-012019-12-31 0000879101kim:ShareRepurchaseProgramMember2018-01-012018-12-31 0000879101kim:ShareRepurchaseProgramMember2019-12-31</w:t>
      </w:r>
      <w:r>
        <w:rPr>
          <w:rFonts w:eastAsia="Times New Roman"/>
          <w:vanish/>
          <w:sz w:val="20"/>
          <w:szCs w:val="20"/>
        </w:rPr>
        <w:t xml:space="preserve"> 0000879101kim:ShareRepurchaseProgramMemberus-gaap:SubsequentEventMember2020-02-012020-02-24 0000879101kim:ConvertibleUnitsMember2019-12-31 0000879101kim:SeriesIPreferredStockMember2017-01-012017-12-31 0000879101kim:SeriesIPreferredStockRedeemedMember2019-</w:t>
      </w:r>
      <w:r>
        <w:rPr>
          <w:rFonts w:eastAsia="Times New Roman"/>
          <w:vanish/>
          <w:sz w:val="20"/>
          <w:szCs w:val="20"/>
        </w:rPr>
        <w:t>01-012019-12-31 0000879101kim:SeriesIPreferredStockRedeemedMember2018-01-012018-12-31 0000879101kim:SeriesIPreferredStockRedeemedMember2017-01-012017-12-31 0000879101kim:SeriesJPreferredStockMember2017-01-012017-12-31 0000879101kim:SeriesKPreferredStockMem</w:t>
      </w:r>
      <w:r>
        <w:rPr>
          <w:rFonts w:eastAsia="Times New Roman"/>
          <w:vanish/>
          <w:sz w:val="20"/>
          <w:szCs w:val="20"/>
        </w:rPr>
        <w:t>ber2017-01-012017-12-31 0000879101kim:SeriesLPreferredStockMember2017-01-012017-12-31 0000879101kim:SeriesMPreferredStockMember2017-01-012017-12-31 0000879101kim:RipcoMembersrt:OfficerMember2019-12-31 0000879101kim:RipcoMember2019-01-012019-12-31 000087910</w:t>
      </w:r>
      <w:r>
        <w:rPr>
          <w:rFonts w:eastAsia="Times New Roman"/>
          <w:vanish/>
          <w:sz w:val="20"/>
          <w:szCs w:val="20"/>
        </w:rPr>
        <w:t>1kim:RipcoMember2018-01-012018-12-31 0000879101kim:RipcoMember2017-01-012017-12-31 0000879101kim:ProhealthMember2019-12-31 0000879101kim:AnnualBaseRentForLeasedPropertiesMemberkim:ProhealthMember2018-01-012018-12-31 0000879101kim:AnnualBaseRentForLeasedPro</w:t>
      </w:r>
      <w:r>
        <w:rPr>
          <w:rFonts w:eastAsia="Times New Roman"/>
          <w:vanish/>
          <w:sz w:val="20"/>
          <w:szCs w:val="20"/>
        </w:rPr>
        <w:t>pertiesMemberkim:ProhealthMember2017-01-012017-12-31 0000879101srt:MinimumMember2019-12-31 0000879101kim:RevenuesFromRentalPropertyMemberus-gaap:ProductConcentrationRiskMember2019-01-012019-12-31 0000879101kim:RevenuesFromRentalPropertyMemberus-gaap:Produc</w:t>
      </w:r>
      <w:r>
        <w:rPr>
          <w:rFonts w:eastAsia="Times New Roman"/>
          <w:vanish/>
          <w:sz w:val="20"/>
          <w:szCs w:val="20"/>
        </w:rPr>
        <w:t>tConcentrationRiskMember2018-01-012018-12-31 0000879101kim:RevenuesFromRentalPropertyMemberus-gaap:ProductConcentrationRiskMember2017-01-012017-12-31 0000879101us-gaap:RestrictedStockMember2018-12-31 0000879101us-gaap:RestrictedStockMember2017-12-31 000087</w:t>
      </w:r>
      <w:r>
        <w:rPr>
          <w:rFonts w:eastAsia="Times New Roman"/>
          <w:vanish/>
          <w:sz w:val="20"/>
          <w:szCs w:val="20"/>
        </w:rPr>
        <w:t>9101us-gaap:RestrictedStockMember2016-12-31 0000879101us-gaap:RestrictedStockMember2019-01-012019-12-31 0000879101us-gaap:RestrictedStockMember2018-01-012018-12-31 0000879101us-gaap:RestrictedStockMember2017-01-012017-12-31 0000879101us-gaap:RestrictedStoc</w:t>
      </w:r>
      <w:r>
        <w:rPr>
          <w:rFonts w:eastAsia="Times New Roman"/>
          <w:vanish/>
          <w:sz w:val="20"/>
          <w:szCs w:val="20"/>
        </w:rPr>
        <w:t>kMember2019-12-31 0000879101us-gaap:PerformanceSharesMember2018-12-31 0000879101us-gaap:PerformanceSharesMember2017-12-31 0000879101us-gaap:PerformanceSharesMember2016-12-31 0000879101us-gaap:PerformanceSharesMember2019-01-012019-12-31 0000879101us-gaap:Pe</w:t>
      </w:r>
      <w:r>
        <w:rPr>
          <w:rFonts w:eastAsia="Times New Roman"/>
          <w:vanish/>
          <w:sz w:val="20"/>
          <w:szCs w:val="20"/>
        </w:rPr>
        <w:t>rformanceSharesMember2018-01-012018-12-31 0000879101us-gaap:PerformanceSharesMember2017-01-012017-12-31 0000879101us-gaap:PerformanceSharesMember2019-12-31 0000879101kim:EmployeeMember2019-01-012019-12-31 0000879101kim:EmployeeMember2018-01-012018-12-31 00</w:t>
      </w:r>
      <w:r>
        <w:rPr>
          <w:rFonts w:eastAsia="Times New Roman"/>
          <w:vanish/>
          <w:sz w:val="20"/>
          <w:szCs w:val="20"/>
        </w:rPr>
        <w:t>00879101kim:EmployeeMember2017-01-012017-12-31 0000879101kim:GAAPNetLossincomeOfTaxableREITSubsidiariesMember2019-01-012019-12-31 0000879101kim:GAAPNetLossincomeOfTaxableREITSubsidiariesMember2018-01-012018-12-31 0000879101kim:GAAPNetLossincomeOfTaxableREI</w:t>
      </w:r>
      <w:r>
        <w:rPr>
          <w:rFonts w:eastAsia="Times New Roman"/>
          <w:vanish/>
          <w:sz w:val="20"/>
          <w:szCs w:val="20"/>
        </w:rPr>
        <w:t xml:space="preserve">TSubsidiariesMember2017-01-012017-12-31 0000879101kim:GAAPNetIncomeFromREITOperationsMember2019-01-012019-12-31 0000879101kim:GAAPNetIncomeFromREITOperationsMember2018-01-012018-12-31 0000879101kim:GAAPNetIncomeFromREITOperationsMember2017-01-012017-12-31 </w:t>
      </w:r>
      <w:r>
        <w:rPr>
          <w:rFonts w:eastAsia="Times New Roman"/>
          <w:vanish/>
          <w:sz w:val="20"/>
          <w:szCs w:val="20"/>
        </w:rPr>
        <w:t>0000879101us-gaap:EmployeeStockOptionMember2018-01-012018-12-31 0000879101us-gaap:EmployeeStockOptionMember2017-01-012017-12-31 0000879101kim:CommonStock1Member2018-01-012018-12-31 0000879101kim:CommonStock1Member2017-01-012017-12-31 0000879101kim:TaxableR</w:t>
      </w:r>
      <w:r>
        <w:rPr>
          <w:rFonts w:eastAsia="Times New Roman"/>
          <w:vanish/>
          <w:sz w:val="20"/>
          <w:szCs w:val="20"/>
        </w:rPr>
        <w:t>eitSubsidiariesMember2019-01-012019-12-31 0000879101kim:TaxableReitSubsidiariesMember2018-01-012018-12-31 0000879101kim:TaxableReitSubsidiariesMember2017-01-012017-12-31 0000879101us-gaap:StateAndLocalJurisdictionMember2018-01-012018-12-31 0000879101us-gaa</w:t>
      </w:r>
      <w:r>
        <w:rPr>
          <w:rFonts w:eastAsia="Times New Roman"/>
          <w:vanish/>
          <w:sz w:val="20"/>
          <w:szCs w:val="20"/>
        </w:rPr>
        <w:t>p:DomesticCountryMember2019-12-31 0000879101us-gaap:DomesticCountryMember2018-12-31 0000879101us-gaap:MexicanTaxAuthorityMemberus-gaap:TaxYear2010Member2016-08-012016-08-31 0000879101us-gaap:MexicanTaxAuthorityMember2016-08-012016-08-31 0000879101us-gaap:M</w:t>
      </w:r>
      <w:r>
        <w:rPr>
          <w:rFonts w:eastAsia="Times New Roman"/>
          <w:vanish/>
          <w:sz w:val="20"/>
          <w:szCs w:val="20"/>
        </w:rPr>
        <w:t>exicanTaxAuthorityMember2019-11-012019-12-31 0000879101us-gaap:EmployeeStockOptionMember2019-01-012019-12-31 0000879101us-gaap:EmployeeStockOptionMember2018-01-012018-12-31 0000879101us-gaap:EmployeeStockOptionMember2017-01-012017-12-31 00008791012019-01-0</w:t>
      </w:r>
      <w:r>
        <w:rPr>
          <w:rFonts w:eastAsia="Times New Roman"/>
          <w:vanish/>
          <w:sz w:val="20"/>
          <w:szCs w:val="20"/>
        </w:rPr>
        <w:t>12019-03-31 00008791012019-04-012019-06-30 00008791012019-07-012019-09-30 00008791012019-10-012019-12-31 00008791012018-01-012018-03-31 00008791012018-04-012018-06-30 00008791012018-07-012018-09-30 00008791012018-10-012018-12-31 0000879101kim:KimcoInsuranc</w:t>
      </w:r>
      <w:r>
        <w:rPr>
          <w:rFonts w:eastAsia="Times New Roman"/>
          <w:vanish/>
          <w:sz w:val="20"/>
          <w:szCs w:val="20"/>
        </w:rPr>
        <w:t>eCompanyMember2019-12-31 0000879101kim:KimcoInsuranceCompanyMembersrt:MinimumMember2019-01-012019-12-31 0000879101kim:KimcoInsuranceCompanyMembersrt:MaximumMember2019-01-012019-12-31 0000879101kim:KimcoInsuranceCompanyMember2018-12-31 0000879101kim:KimcoIn</w:t>
      </w:r>
      <w:r>
        <w:rPr>
          <w:rFonts w:eastAsia="Times New Roman"/>
          <w:vanish/>
          <w:sz w:val="20"/>
          <w:szCs w:val="20"/>
        </w:rPr>
        <w:t>suranceCompanyMember2019-01-012019-12-31 0000879101kim:KimcoInsuranceCompanyMember2018-01-012018-12-31 0000879101us-gaap:ValuationAllowanceOfDeferredTaxAssetsMember2018-12-31 0000879101us-gaap:ValuationAllowanceOfDeferredTaxAssetsMember2019-01-012019-12-31</w:t>
      </w:r>
      <w:r>
        <w:rPr>
          <w:rFonts w:eastAsia="Times New Roman"/>
          <w:vanish/>
          <w:sz w:val="20"/>
          <w:szCs w:val="20"/>
        </w:rPr>
        <w:t xml:space="preserve"> 0000879101us-gaap:ValuationAllowanceOfDeferredTaxAssetsMember2019-12-31 0000879101us-gaap:AllowanceForCreditLossMember2017-12-31 0000879101us-gaap:AllowanceForCreditLossMember2018-01-012018-12-31 0000879101us-gaap:AllowanceForCreditLossMember2018-12-31 00</w:t>
      </w:r>
      <w:r>
        <w:rPr>
          <w:rFonts w:eastAsia="Times New Roman"/>
          <w:vanish/>
          <w:sz w:val="20"/>
          <w:szCs w:val="20"/>
        </w:rPr>
        <w:t>00879101us-gaap:ValuationAllowanceOfDeferredTaxAssetsMember2017-12-31 0000879101us-gaap:ValuationAllowanceOfDeferredTaxAssetsMember2018-01-012018-12-31 0000879101us-gaap:AllowanceForCreditLossMember2016-12-31 0000879101us-gaap:AllowanceForCreditLossMember2</w:t>
      </w:r>
      <w:r>
        <w:rPr>
          <w:rFonts w:eastAsia="Times New Roman"/>
          <w:vanish/>
          <w:sz w:val="20"/>
          <w:szCs w:val="20"/>
        </w:rPr>
        <w:t>017-01-012017-12-31 0000879101us-gaap:ValuationAllowanceOfDeferredTaxAssetsMember2016-12-31 0000879101us-gaap:ValuationAllowanceOfDeferredTaxAssetsMember2017-01-012017-12-31 0000879101kim:ShoppingCenterMemberkim:MesaRiverviewMember2019-12-31 0000879101kim:</w:t>
      </w:r>
      <w:r>
        <w:rPr>
          <w:rFonts w:eastAsia="Times New Roman"/>
          <w:vanish/>
          <w:sz w:val="20"/>
          <w:szCs w:val="20"/>
        </w:rPr>
        <w:t>ShoppingCenterMemberkim:MesaRiverviewMember2019-01-012019-12-31 0000879101kim:ShoppingCenterMemberkim:MetroSquareMember2019-12-31 0000879101kim:ShoppingCenterMemberkim:MetroSquareMember2019-01-012019-12-31 0000879101kim:ShoppingCenterMemberkim:PlazaDelSolM</w:t>
      </w:r>
      <w:r>
        <w:rPr>
          <w:rFonts w:eastAsia="Times New Roman"/>
          <w:vanish/>
          <w:sz w:val="20"/>
          <w:szCs w:val="20"/>
        </w:rPr>
        <w:t>ember2019-12-31 0000879101kim:ShoppingCenterMemberkim:PlazaDelSolMember2019-01-012019-12-31 0000879101kim:ShoppingCenterMemberkim:PlazaAtMountainsideMember2019-12-31 0000879101kim:ShoppingCenterMemberkim:PlazaAtMountainsideMember2019-01-012019-12-31 000087</w:t>
      </w:r>
      <w:r>
        <w:rPr>
          <w:rFonts w:eastAsia="Times New Roman"/>
          <w:vanish/>
          <w:sz w:val="20"/>
          <w:szCs w:val="20"/>
        </w:rPr>
        <w:t>9101kim:ShoppingCenterMemberkim:VillageCrossroadsMember2019-12-31 0000879101kim:ShoppingCenterMemberkim:VillageCrossroadsMember2019-01-012019-12-31 0000879101kim:ShoppingCenterMemberkim:NorthValleyMember2019-12-31 0000879101kim:ShoppingCenterMemberkim:Nort</w:t>
      </w:r>
      <w:r>
        <w:rPr>
          <w:rFonts w:eastAsia="Times New Roman"/>
          <w:vanish/>
          <w:sz w:val="20"/>
          <w:szCs w:val="20"/>
        </w:rPr>
        <w:t>hValleyMember2019-01-012019-12-31 0000879101kim:ShoppingCenterMemberkim:ChristownSpectrumMallMember2019-12-31 0000879101kim:ShoppingCenterMemberkim:ChristownSpectrumMallMember2019-01-012019-12-31 0000879101kim:ShoppingCenterMemberkim:BellCaminoCenterMember</w:t>
      </w:r>
      <w:r>
        <w:rPr>
          <w:rFonts w:eastAsia="Times New Roman"/>
          <w:vanish/>
          <w:sz w:val="20"/>
          <w:szCs w:val="20"/>
        </w:rPr>
        <w:t>2019-12-31 0000879101kim:ShoppingCenterMemberkim:BellCaminoCenterMember2019-01-012019-12-31 0000879101kim:ShoppingCenterMemberkim:BellCaminosafewayParcelMember2019-12-31 0000879101kim:ShoppingCenterMemberkim:BellCaminosafewayParcelMember2019-01-012019-12-3</w:t>
      </w:r>
      <w:r>
        <w:rPr>
          <w:rFonts w:eastAsia="Times New Roman"/>
          <w:vanish/>
          <w:sz w:val="20"/>
          <w:szCs w:val="20"/>
        </w:rPr>
        <w:t>1 0000879101kim:ShoppingCenterMemberkim:CollegeParkShoppingCenterMember2019-12-31 0000879101kim:ShoppingCenterMemberkim:CollegeParkShoppingCenterMember2019-01-012019-12-31 0000879101kim:ShoppingCenterMemberkim:CostcoPlaza541Member2019-12-31 0000879101kim:S</w:t>
      </w:r>
      <w:r>
        <w:rPr>
          <w:rFonts w:eastAsia="Times New Roman"/>
          <w:vanish/>
          <w:sz w:val="20"/>
          <w:szCs w:val="20"/>
        </w:rPr>
        <w:t>hoppingCenterMemberkim:CostcoPlaza541Member2019-01-012019-12-31 0000879101kim:ShoppingCenterMemberkim:BrookhurstCenterMember2019-12-31 0000879101kim:ShoppingCenterMemberkim:BrookhurstCenterMember2019-01-012019-12-31 0000879101kim:ShoppingCenterMemberkim:La</w:t>
      </w:r>
      <w:r>
        <w:rPr>
          <w:rFonts w:eastAsia="Times New Roman"/>
          <w:vanish/>
          <w:sz w:val="20"/>
          <w:szCs w:val="20"/>
        </w:rPr>
        <w:t>kewoodPlazaMember2019-12-31 0000879101kim:ShoppingCenterMemberkim:LakewoodPlazaMember2019-01-012019-12-31 0000879101kim:ShoppingCenterMemberkim:MadisonPlazaMember2019-12-31 0000879101kim:ShoppingCenterMemberkim:MadisonPlazaMember2019-01-012019-12-31 000087</w:t>
      </w:r>
      <w:r>
        <w:rPr>
          <w:rFonts w:eastAsia="Times New Roman"/>
          <w:vanish/>
          <w:sz w:val="20"/>
          <w:szCs w:val="20"/>
        </w:rPr>
        <w:t>9101kim:ShoppingCenterMemberkim:CoronaHillsPlazaMember2019-12-31 0000879101kim:ShoppingCenterMemberkim:CoronaHillsPlazaMember2019-01-012019-12-31 0000879101kim:ShoppingCenterMemberkim:The280MetroCenterMember2019-12-31 0000879101kim:ShoppingCenterMemberkim:</w:t>
      </w:r>
      <w:r>
        <w:rPr>
          <w:rFonts w:eastAsia="Times New Roman"/>
          <w:vanish/>
          <w:sz w:val="20"/>
          <w:szCs w:val="20"/>
        </w:rPr>
        <w:t>The280MetroCenterMember2019-01-012019-12-31 0000879101kim:ShoppingCenterMemberkim:LabandVillageShoppingCenterMember2019-12-31 0000879101kim:ShoppingCenterMemberkim:LabandVillageShoppingCenterMember2019-01-012019-12-31 0000879101kim:ShoppingCenterMemberkim:</w:t>
      </w:r>
      <w:r>
        <w:rPr>
          <w:rFonts w:eastAsia="Times New Roman"/>
          <w:vanish/>
          <w:sz w:val="20"/>
          <w:szCs w:val="20"/>
        </w:rPr>
        <w:t>CupertinoVillageMember2019-12-31 0000879101kim:ShoppingCenterMemberkim:CupertinoVillageMember2019-01-012019-12-31 0000879101kim:ShoppingCenterMemberkim:NorthCountyPlazaMember2019-12-31 0000879101kim:ShoppingCenterMemberkim:NorthCountyPlazaMember2019-01-012</w:t>
      </w:r>
      <w:r>
        <w:rPr>
          <w:rFonts w:eastAsia="Times New Roman"/>
          <w:vanish/>
          <w:sz w:val="20"/>
          <w:szCs w:val="20"/>
        </w:rPr>
        <w:t>019-12-31 0000879101kim:ShoppingCenterMemberkim:ChicoCrossroadsMember2019-12-31 0000879101kim:ShoppingCenterMemberkim:ChicoCrossroadsMember2019-01-012019-12-31 0000879101kim:ShoppingCenterMemberkim:CreeksideCenterMember2019-12-31 0000879101kim:ShoppingCent</w:t>
      </w:r>
      <w:r>
        <w:rPr>
          <w:rFonts w:eastAsia="Times New Roman"/>
          <w:vanish/>
          <w:sz w:val="20"/>
          <w:szCs w:val="20"/>
        </w:rPr>
        <w:t>erMemberkim:CreeksideCenterMember2019-01-012019-12-31 0000879101kim:ShoppingCenterMemberkim:LaMiradaTheatreCenterMember2019-12-31 0000879101kim:ShoppingCenterMemberkim:LaMiradaTheatreCenterMember2019-01-012019-12-31 0000879101kim:ShoppingCenterMemberkim:Ke</w:t>
      </w:r>
      <w:r>
        <w:rPr>
          <w:rFonts w:eastAsia="Times New Roman"/>
          <w:vanish/>
          <w:sz w:val="20"/>
          <w:szCs w:val="20"/>
        </w:rPr>
        <w:t>nnethHahnPlazaMember2019-12-31 0000879101kim:ShoppingCenterMemberkim:KennethHahnPlazaMember2019-01-012019-12-31 0000879101kim:ShoppingCenterMemberkim:LaVerneTownCenterMember2019-12-31 0000879101kim:ShoppingCenterMemberkim:LaVerneTownCenterMember2019-01-012</w:t>
      </w:r>
      <w:r>
        <w:rPr>
          <w:rFonts w:eastAsia="Times New Roman"/>
          <w:vanish/>
          <w:sz w:val="20"/>
          <w:szCs w:val="20"/>
        </w:rPr>
        <w:t>019-12-31 0000879101kim:ShoppingCenterMemberkim:LincolnHillsTownCenterMember2019-12-31 0000879101kim:ShoppingCenterMemberkim:LincolnHillsTownCenterMember2019-01-012019-12-31 0000879101kim:ShoppingCenterMemberkim:NovatoFairSCMember2019-12-31 0000879101kim:S</w:t>
      </w:r>
      <w:r>
        <w:rPr>
          <w:rFonts w:eastAsia="Times New Roman"/>
          <w:vanish/>
          <w:sz w:val="20"/>
          <w:szCs w:val="20"/>
        </w:rPr>
        <w:t>hoppingCenterMemberkim:NovatoFairSCMember2019-01-012019-12-31 0000879101kim:ShoppingCenterMemberkim:SouthNapaMarketPlaceMember2019-12-31 0000879101kim:ShoppingCenterMemberkim:SouthNapaMarketPlaceMember2019-01-012019-12-31 0000879101kim:ShoppingCenterMember</w:t>
      </w:r>
      <w:r>
        <w:rPr>
          <w:rFonts w:eastAsia="Times New Roman"/>
          <w:vanish/>
          <w:sz w:val="20"/>
          <w:szCs w:val="20"/>
        </w:rPr>
        <w:t>kim:PlazaDiNorthridgeMember2019-12-31 0000879101kim:ShoppingCenterMemberkim:PlazaDiNorthridgeMember2019-01-012019-12-31 0000879101kim:ShoppingCenterMemberkim:LindaMarShoppingCenterMember2019-12-31 0000879101kim:ShoppingCenterMemberkim:LindaMarShoppingCente</w:t>
      </w:r>
      <w:r>
        <w:rPr>
          <w:rFonts w:eastAsia="Times New Roman"/>
          <w:vanish/>
          <w:sz w:val="20"/>
          <w:szCs w:val="20"/>
        </w:rPr>
        <w:t>rMember2019-01-012019-12-31 0000879101kim:ShoppingCenterMemberkim:PowayCityCentreMember2019-12-31 0000879101kim:ShoppingCenterMemberkim:PowayCityCentreMember2019-01-012019-12-31 0000879101kim:ShoppingCenterMemberkim:RedwoodCityPlazaMember2019-12-31 0000879</w:t>
      </w:r>
      <w:r>
        <w:rPr>
          <w:rFonts w:eastAsia="Times New Roman"/>
          <w:vanish/>
          <w:sz w:val="20"/>
          <w:szCs w:val="20"/>
        </w:rPr>
        <w:t>101kim:ShoppingCenterMemberkim:RedwoodCityPlazaMember2019-01-012019-12-31 0000879101kim:ShoppingCenterMemberkim:StanfordRanchMember2019-12-31 0000879101kim:ShoppingCenterMemberkim:StanfordRanchMember2019-01-012019-12-31 0000879101kim:ShoppingCenterMemberki</w:t>
      </w:r>
      <w:r>
        <w:rPr>
          <w:rFonts w:eastAsia="Times New Roman"/>
          <w:vanish/>
          <w:sz w:val="20"/>
          <w:szCs w:val="20"/>
        </w:rPr>
        <w:t xml:space="preserve">m:CrockerRanchMember2019-12-31 0000879101kim:ShoppingCenterMemberkim:CrockerRanchMember2019-01-012019-12-31 0000879101kim:ShoppingCenterMemberkim:HomeDepotPlazaMember2019-12-31 0000879101kim:ShoppingCenterMemberkim:HomeDepotPlazaMember2019-01-012019-12-31 </w:t>
      </w:r>
      <w:r>
        <w:rPr>
          <w:rFonts w:eastAsia="Times New Roman"/>
          <w:vanish/>
          <w:sz w:val="20"/>
          <w:szCs w:val="20"/>
        </w:rPr>
        <w:t>0000879101kim:ShoppingCenterMemberkim:SanteeTrolleySquareMember2019-12-31 0000879101kim:ShoppingCenterMemberkim:SanteeTrolleySquareMember2019-01-012019-12-31 0000879101kim:ShoppingCenterMemberkim:SanDiegoCarmelMountainMember2019-12-31 0000879101kim:Shoppin</w:t>
      </w:r>
      <w:r>
        <w:rPr>
          <w:rFonts w:eastAsia="Times New Roman"/>
          <w:vanish/>
          <w:sz w:val="20"/>
          <w:szCs w:val="20"/>
        </w:rPr>
        <w:t>gCenterMemberkim:SanDiegoCarmelMountainMember2019-01-012019-12-31 0000879101kim:ShoppingCenterMemberkim:FultonMarketPlaceMember2019-12-31 0000879101kim:ShoppingCenterMemberkim:FultonMarketPlaceMember2019-01-012019-12-31 0000879101kim:ShoppingCenterMemberki</w:t>
      </w:r>
      <w:r>
        <w:rPr>
          <w:rFonts w:eastAsia="Times New Roman"/>
          <w:vanish/>
          <w:sz w:val="20"/>
          <w:szCs w:val="20"/>
        </w:rPr>
        <w:t>m:BlackMountainVillageMember2019-12-31 0000879101kim:ShoppingCenterMemberkim:BlackMountainVillageMember2019-01-012019-12-31 0000879101kim:ShoppingCenterMemberkim:RanchoPenasquitosTowneCtrIMember2019-12-31 0000879101kim:ShoppingCenterMemberkim:RanchoPenasqu</w:t>
      </w:r>
      <w:r>
        <w:rPr>
          <w:rFonts w:eastAsia="Times New Roman"/>
          <w:vanish/>
          <w:sz w:val="20"/>
          <w:szCs w:val="20"/>
        </w:rPr>
        <w:t>itosTowneCtrIMember2019-01-012019-12-31 0000879101kim:ShoppingCenterMemberkim:RanchoPenasquitosvonsPropMember2019-12-31 0000879101kim:ShoppingCenterMemberkim:RanchoPenasquitosvonsPropMember2019-01-012019-12-31 0000879101kim:ShoppingCenterMemberkim:RanchoPe</w:t>
      </w:r>
      <w:r>
        <w:rPr>
          <w:rFonts w:eastAsia="Times New Roman"/>
          <w:vanish/>
          <w:sz w:val="20"/>
          <w:szCs w:val="20"/>
        </w:rPr>
        <w:t>nasquitosTowneCtrIIMember2019-12-31 0000879101kim:ShoppingCenterMemberkim:RanchoPenasquitosTowneCtrIIMember2019-01-012019-12-31 0000879101kim:ShoppingCenterMemberkim:CityHeightsMember2019-12-31 0000879101kim:ShoppingCenterMemberkim:CityHeightsMember2019-01</w:t>
      </w:r>
      <w:r>
        <w:rPr>
          <w:rFonts w:eastAsia="Times New Roman"/>
          <w:vanish/>
          <w:sz w:val="20"/>
          <w:szCs w:val="20"/>
        </w:rPr>
        <w:t>-012019-12-31 0000879101kim:ShoppingCenterMemberkim:TruckeeCrossroadsMember2019-12-31 0000879101kim:ShoppingCenterMemberkim:TruckeeCrossroadsMember2019-01-012019-12-31 0000879101kim:ShoppingCenterMemberkim:GatewayAtDonnerPassMember2019-12-31 0000879101kim:</w:t>
      </w:r>
      <w:r>
        <w:rPr>
          <w:rFonts w:eastAsia="Times New Roman"/>
          <w:vanish/>
          <w:sz w:val="20"/>
          <w:szCs w:val="20"/>
        </w:rPr>
        <w:t>ShoppingCenterMemberkim:GatewayAtDonnerPassMember2019-01-012019-12-31 0000879101kim:ShoppingCenterMemberkim:WestlakeShoppingCenterMember2019-12-31 0000879101kim:ShoppingCenterMemberkim:WestlakeShoppingCenterMember2019-01-012019-12-31 0000879101kim:Shopping</w:t>
      </w:r>
      <w:r>
        <w:rPr>
          <w:rFonts w:eastAsia="Times New Roman"/>
          <w:vanish/>
          <w:sz w:val="20"/>
          <w:szCs w:val="20"/>
        </w:rPr>
        <w:t>CenterMemberkim:LakewoodVillageMember2019-12-31 0000879101kim:ShoppingCenterMemberkim:LakewoodVillageMember2019-01-012019-12-31 0000879101kim:ShoppingCenterMemberkim:WhittwoodTownCenterMember2019-12-31 0000879101kim:ShoppingCenterMemberkim:WhittwoodTownCen</w:t>
      </w:r>
      <w:r>
        <w:rPr>
          <w:rFonts w:eastAsia="Times New Roman"/>
          <w:vanish/>
          <w:sz w:val="20"/>
          <w:szCs w:val="20"/>
        </w:rPr>
        <w:t>terMember2019-01-012019-12-31 0000879101kim:ShoppingCenterMemberkim:VillageOnTheParkMember2019-12-31 0000879101kim:ShoppingCenterMemberkim:VillageOnTheParkMember2019-01-012019-12-31 0000879101kim:ShoppingCenterMemberkim:QuincyPlaceSCMember2019-12-31 000087</w:t>
      </w:r>
      <w:r>
        <w:rPr>
          <w:rFonts w:eastAsia="Times New Roman"/>
          <w:vanish/>
          <w:sz w:val="20"/>
          <w:szCs w:val="20"/>
        </w:rPr>
        <w:t>9101kim:ShoppingCenterMemberkim:QuincyPlaceSCMember2019-01-012019-12-31 0000879101kim:ShoppingCenterMemberkim:EastBankSCMember2019-12-31 0000879101kim:ShoppingCenterMemberkim:EastBankSCMember2019-01-012019-12-31 0000879101kim:ShoppingCenterMemberkim:Northr</w:t>
      </w:r>
      <w:r>
        <w:rPr>
          <w:rFonts w:eastAsia="Times New Roman"/>
          <w:vanish/>
          <w:sz w:val="20"/>
          <w:szCs w:val="20"/>
        </w:rPr>
        <w:t>idgeShoppingCenterMember2019-12-31 0000879101kim:ShoppingCenterMemberkim:NorthridgeShoppingCenterMember2019-01-012019-12-31 0000879101kim:ShoppingCenterMemberkim:DenverWest38thStreetMember2019-12-31 0000879101kim:ShoppingCenterMemberkim:DenverWest38thStree</w:t>
      </w:r>
      <w:r>
        <w:rPr>
          <w:rFonts w:eastAsia="Times New Roman"/>
          <w:vanish/>
          <w:sz w:val="20"/>
          <w:szCs w:val="20"/>
        </w:rPr>
        <w:t>tMember2019-01-012019-12-31 0000879101kim:ShoppingCenterMemberkim:EnglewoodPlazaMember2019-12-31 0000879101kim:ShoppingCenterMemberkim:EnglewoodPlazaMember2019-01-012019-12-31 0000879101kim:ShoppingCenterMemberkim:GreeleyCommonsMember2019-12-31 0000879101k</w:t>
      </w:r>
      <w:r>
        <w:rPr>
          <w:rFonts w:eastAsia="Times New Roman"/>
          <w:vanish/>
          <w:sz w:val="20"/>
          <w:szCs w:val="20"/>
        </w:rPr>
        <w:t>im:ShoppingCenterMemberkim:GreeleyCommonsMember2019-01-012019-12-31 0000879101kim:ShoppingCenterMemberkim:HighlandsRanchVillageSCMember2019-12-31 0000879101kim:ShoppingCenterMemberkim:HighlandsRanchVillageSCMember2019-01-012019-12-31 0000879101kim:Shopping</w:t>
      </w:r>
      <w:r>
        <w:rPr>
          <w:rFonts w:eastAsia="Times New Roman"/>
          <w:vanish/>
          <w:sz w:val="20"/>
          <w:szCs w:val="20"/>
        </w:rPr>
        <w:t>CenterMemberkim:VillageCenterWestMember2019-12-31 0000879101kim:ShoppingCenterMemberkim:VillageCenterWestMember2019-01-012019-12-31 0000879101kim:ShoppingCenterMemberkim:HighlandsRanchIIMember2019-12-31 0000879101kim:ShoppingCenterMemberkim:HighlandsRanchI</w:t>
      </w:r>
      <w:r>
        <w:rPr>
          <w:rFonts w:eastAsia="Times New Roman"/>
          <w:vanish/>
          <w:sz w:val="20"/>
          <w:szCs w:val="20"/>
        </w:rPr>
        <w:t>IMember2019-01-012019-12-31 0000879101kim:ShoppingCenterMemberkim:VillageCenterHighlandRanchMember2019-12-31 0000879101kim:ShoppingCenterMemberkim:VillageCenterHighlandRanchMember2019-01-012019-12-31 0000879101kim:ShoppingCenterMemberkim:HeritageWestSCMemb</w:t>
      </w:r>
      <w:r>
        <w:rPr>
          <w:rFonts w:eastAsia="Times New Roman"/>
          <w:vanish/>
          <w:sz w:val="20"/>
          <w:szCs w:val="20"/>
        </w:rPr>
        <w:t>er2019-12-31 0000879101kim:ShoppingCenterMemberkim:HeritageWestSCMember2019-01-012019-12-31 0000879101kim:ShoppingCenterMemberkim:MarketAtSouthparkMember2019-12-31 0000879101kim:ShoppingCenterMemberkim:MarketAtSouthparkMember2019-01-012019-12-31 0000879101</w:t>
      </w:r>
      <w:r>
        <w:rPr>
          <w:rFonts w:eastAsia="Times New Roman"/>
          <w:vanish/>
          <w:sz w:val="20"/>
          <w:szCs w:val="20"/>
        </w:rPr>
        <w:t>kim:ShoppingCenterMemberkim:NewtownSCMember2019-12-31 0000879101kim:ShoppingCenterMemberkim:NewtownSCMember2019-01-012019-12-31 0000879101kim:ShoppingCenterMemberkim:WestFarmShoppingCenterMember2019-12-31 0000879101kim:ShoppingCenterMemberkim:WestFarmShopp</w:t>
      </w:r>
      <w:r>
        <w:rPr>
          <w:rFonts w:eastAsia="Times New Roman"/>
          <w:vanish/>
          <w:sz w:val="20"/>
          <w:szCs w:val="20"/>
        </w:rPr>
        <w:t>ingCenterMember2019-01-012019-12-31 0000879101kim:ShoppingCenterMemberkim:HamdenMartMember2019-12-31 0000879101kim:ShoppingCenterMemberkim:HamdenMartMember2019-01-012019-12-31 0000879101kim:ShoppingCenterMemberkim:HomeDepotPlaza2Member2019-12-31 0000879101</w:t>
      </w:r>
      <w:r>
        <w:rPr>
          <w:rFonts w:eastAsia="Times New Roman"/>
          <w:vanish/>
          <w:sz w:val="20"/>
          <w:szCs w:val="20"/>
        </w:rPr>
        <w:t>kim:ShoppingCenterMemberkim:HomeDepotPlaza2Member2019-01-012019-12-31 0000879101kim:ShoppingCenterMemberkim:WiltonRiverParkShoppingCtrMember2019-12-31 0000879101kim:ShoppingCenterMemberkim:WiltonRiverParkShoppingCtrMember2019-01-012019-12-31 0000879101kim:</w:t>
      </w:r>
      <w:r>
        <w:rPr>
          <w:rFonts w:eastAsia="Times New Roman"/>
          <w:vanish/>
          <w:sz w:val="20"/>
          <w:szCs w:val="20"/>
        </w:rPr>
        <w:t>ShoppingCenterMemberkim:BrightHorizonsMember2019-12-31 0000879101kim:ShoppingCenterMemberkim:BrightHorizonsMember2019-01-012019-12-31 0000879101kim:ShoppingCenterMemberkim:WiltonCampusMember2019-12-31 0000879101kim:ShoppingCenterMemberkim:WiltonCampusMembe</w:t>
      </w:r>
      <w:r>
        <w:rPr>
          <w:rFonts w:eastAsia="Times New Roman"/>
          <w:vanish/>
          <w:sz w:val="20"/>
          <w:szCs w:val="20"/>
        </w:rPr>
        <w:t>r2019-01-012019-12-31 0000879101kim:ShoppingCenterMemberkim:CamdenSquareMember2019-12-31 0000879101kim:ShoppingCenterMemberkim:CamdenSquareMember2019-01-012019-12-31 0000879101kim:ShoppingCenterMemberkim:PromenadeAtChristianaMember2019-12-31 0000879101kim:</w:t>
      </w:r>
      <w:r>
        <w:rPr>
          <w:rFonts w:eastAsia="Times New Roman"/>
          <w:vanish/>
          <w:sz w:val="20"/>
          <w:szCs w:val="20"/>
        </w:rPr>
        <w:t>ShoppingCenterMemberkim:PromenadeAtChristianaMember2019-01-012019-12-31 0000879101kim:ShoppingCenterMemberkim:BrandywineCommonsMember2019-12-31 0000879101kim:ShoppingCenterMemberkim:BrandywineCommonsMember2019-01-012019-12-31 0000879101kim:ShoppingCenterMe</w:t>
      </w:r>
      <w:r>
        <w:rPr>
          <w:rFonts w:eastAsia="Times New Roman"/>
          <w:vanish/>
          <w:sz w:val="20"/>
          <w:szCs w:val="20"/>
        </w:rPr>
        <w:t>mberkim:CaminoSquareMember2019-12-31 0000879101kim:ShoppingCenterMemberkim:CaminoSquareMember2019-01-012019-12-31 0000879101kim:ShoppingCenterMemberkim:CoralSquarePromenadeMember2019-12-31 0000879101kim:ShoppingCenterMemberkim:CoralSquarePromenadeMember201</w:t>
      </w:r>
      <w:r>
        <w:rPr>
          <w:rFonts w:eastAsia="Times New Roman"/>
          <w:vanish/>
          <w:sz w:val="20"/>
          <w:szCs w:val="20"/>
        </w:rPr>
        <w:t>9-01-012019-12-31 0000879101kim:ShoppingCenterMemberkim:MaplewoodPlazaMember2019-12-31 0000879101kim:ShoppingCenterMemberkim:MaplewoodPlazaMember2019-01-012019-12-31 0000879101kim:ShoppingCenterMemberkim:CurlewCrossingShoppingCtrMember2019-12-31 0000879101</w:t>
      </w:r>
      <w:r>
        <w:rPr>
          <w:rFonts w:eastAsia="Times New Roman"/>
          <w:vanish/>
          <w:sz w:val="20"/>
          <w:szCs w:val="20"/>
        </w:rPr>
        <w:t>kim:ShoppingCenterMemberkim:CurlewCrossingShoppingCtrMember2019-01-012019-12-31 0000879101kim:ShoppingCenterMemberkim:ShopsAtSantaBarbaraPhase1Member2019-12-31 0000879101kim:ShoppingCenterMemberkim:ShopsAtSantaBarbaraPhase1Member2019-01-012019-12-31 000087</w:t>
      </w:r>
      <w:r>
        <w:rPr>
          <w:rFonts w:eastAsia="Times New Roman"/>
          <w:vanish/>
          <w:sz w:val="20"/>
          <w:szCs w:val="20"/>
        </w:rPr>
        <w:t>9101kim:ShoppingCenterMemberkim:ShopsAtSantaBarbaraPhase2Member2019-12-31 0000879101kim:ShoppingCenterMemberkim:ShopsAtSantaBarbaraPhase2Member2019-01-012019-12-31 0000879101kim:ShoppingCenterMemberkim:ShopsAtSantaBarbaraPhase3Member2019-12-31 0000879101ki</w:t>
      </w:r>
      <w:r>
        <w:rPr>
          <w:rFonts w:eastAsia="Times New Roman"/>
          <w:vanish/>
          <w:sz w:val="20"/>
          <w:szCs w:val="20"/>
        </w:rPr>
        <w:t>m:ShoppingCenterMemberkim:ShopsAtSantaBarbaraPhase3Member2019-01-012019-12-31 0000879101kim:ShoppingCenterMemberkim:CoralPointeSCMember2019-12-31 0000879101kim:ShoppingCenterMemberkim:CoralPointeSCMember2019-01-012019-12-31 0000879101kim:ShoppingCenterMemb</w:t>
      </w:r>
      <w:r>
        <w:rPr>
          <w:rFonts w:eastAsia="Times New Roman"/>
          <w:vanish/>
          <w:sz w:val="20"/>
          <w:szCs w:val="20"/>
        </w:rPr>
        <w:t>erkim:DaniaPointeMember2019-12-31 0000879101kim:ShoppingCenterMemberkim:DaniaPointeMember2019-01-012019-12-31 0000879101kim:ShoppingCenterMemberkim:DaniaPointePhaseIIMember2019-12-31 0000879101kim:ShoppingCenterMemberkim:DaniaPointePhaseIIMember2019-01-012</w:t>
      </w:r>
      <w:r>
        <w:rPr>
          <w:rFonts w:eastAsia="Times New Roman"/>
          <w:vanish/>
          <w:sz w:val="20"/>
          <w:szCs w:val="20"/>
        </w:rPr>
        <w:t>019-12-31 0000879101kim:ShoppingCenterMemberkim:FtLauderdaleCypressCreekMember2019-12-31 0000879101kim:ShoppingCenterMemberkim:FtLauderdaleCypressCreekMember2019-01-012019-12-31 0000879101kim:ShoppingCenterMemberkim:HomesteadWachtelLandLeaseMember2019-12-3</w:t>
      </w:r>
      <w:r>
        <w:rPr>
          <w:rFonts w:eastAsia="Times New Roman"/>
          <w:vanish/>
          <w:sz w:val="20"/>
          <w:szCs w:val="20"/>
        </w:rPr>
        <w:t>1 0000879101kim:ShoppingCenterMemberkim:HomesteadWachtelLandLeaseMember2019-01-012019-12-31 0000879101kim:ShoppingCenterMemberkim:OakwoodPlazaNorthMember2019-12-31 0000879101kim:ShoppingCenterMemberkim:OakwoodPlazaNorthMember2019-01-012019-12-31 0000879101</w:t>
      </w:r>
      <w:r>
        <w:rPr>
          <w:rFonts w:eastAsia="Times New Roman"/>
          <w:vanish/>
          <w:sz w:val="20"/>
          <w:szCs w:val="20"/>
        </w:rPr>
        <w:t>kim:ShoppingCenterMemberkim:OakwoodPlazaSouthMember2019-12-31 0000879101kim:ShoppingCenterMemberkim:OakwoodPlazaSouthMember2019-01-012019-12-31 0000879101kim:ShoppingCenterMemberkim:OakwoodBusinessCtrBDLG1Member2019-12-31 0000879101kim:ShoppingCenterMember</w:t>
      </w:r>
      <w:r>
        <w:rPr>
          <w:rFonts w:eastAsia="Times New Roman"/>
          <w:vanish/>
          <w:sz w:val="20"/>
          <w:szCs w:val="20"/>
        </w:rPr>
        <w:t>kim:OakwoodBusinessCtrBDLG1Member2019-01-012019-12-31 0000879101kim:ShoppingCenterMemberkim:KimcoAvenuesWalkLLCMember2019-12-31 0000879101kim:ShoppingCenterMemberkim:KimcoAvenuesWalkLLCMember2019-01-012019-12-31 0000879101kim:ShoppingCenterMemberkim:Avenue</w:t>
      </w:r>
      <w:r>
        <w:rPr>
          <w:rFonts w:eastAsia="Times New Roman"/>
          <w:vanish/>
          <w:sz w:val="20"/>
          <w:szCs w:val="20"/>
        </w:rPr>
        <w:t>sWalkMember2019-12-31 0000879101kim:ShoppingCenterMemberkim:AvenuesWalkMember2019-01-012019-12-31 0000879101kim:ShoppingCenterMemberkim:RiverplaceShoppingCtrMember2019-12-31 0000879101kim:ShoppingCenterMemberkim:RiverplaceShoppingCtrMember2019-01-012019-12</w:t>
      </w:r>
      <w:r>
        <w:rPr>
          <w:rFonts w:eastAsia="Times New Roman"/>
          <w:vanish/>
          <w:sz w:val="20"/>
          <w:szCs w:val="20"/>
        </w:rPr>
        <w:t>-31 0000879101kim:ShoppingCenterMemberkim:MerchantsWalkMember2019-12-31 0000879101kim:ShoppingCenterMemberkim:MerchantsWalkMember2019-01-012019-12-31 0000879101kim:ShoppingCenterMemberkim:CenterAtMissouriAvenueMember2019-12-31 0000879101kim:ShoppingCenterM</w:t>
      </w:r>
      <w:r>
        <w:rPr>
          <w:rFonts w:eastAsia="Times New Roman"/>
          <w:vanish/>
          <w:sz w:val="20"/>
          <w:szCs w:val="20"/>
        </w:rPr>
        <w:t>emberkim:CenterAtMissouriAvenueMember2019-01-012019-12-31 0000879101kim:ShoppingCenterMemberkim:TriCityPlazaMember2019-12-31 0000879101kim:ShoppingCenterMemberkim:TriCityPlazaMember2019-01-012019-12-31 0000879101kim:ShoppingCenterMemberkim:FtLauderdale1FLM</w:t>
      </w:r>
      <w:r>
        <w:rPr>
          <w:rFonts w:eastAsia="Times New Roman"/>
          <w:vanish/>
          <w:sz w:val="20"/>
          <w:szCs w:val="20"/>
        </w:rPr>
        <w:t>ember2019-12-31 0000879101kim:ShoppingCenterMemberkim:FtLauderdale1FLMember2019-01-012019-12-31 0000879101kim:ShoppingCenterMemberkim:NASAPlazaMember2019-12-31 0000879101kim:ShoppingCenterMemberkim:NASAPlazaMember2019-01-012019-12-31 0000879101kim:Shopping</w:t>
      </w:r>
      <w:r>
        <w:rPr>
          <w:rFonts w:eastAsia="Times New Roman"/>
          <w:vanish/>
          <w:sz w:val="20"/>
          <w:szCs w:val="20"/>
        </w:rPr>
        <w:t>CenterMemberkim:GroveGatesSCMember2019-12-31 0000879101kim:ShoppingCenterMemberkim:GroveGatesSCMember2019-01-012019-12-31 0000879101kim:ShoppingCenterMemberkim:ChevronOutparcelMember2019-12-31 0000879101kim:ShoppingCenterMemberkim:ChevronOutparcelMember201</w:t>
      </w:r>
      <w:r>
        <w:rPr>
          <w:rFonts w:eastAsia="Times New Roman"/>
          <w:vanish/>
          <w:sz w:val="20"/>
          <w:szCs w:val="20"/>
        </w:rPr>
        <w:t>9-01-012019-12-31 0000879101kim:ShoppingCenterMemberkim:IvesDairyCrossingMember2019-12-31 0000879101kim:ShoppingCenterMemberkim:IvesDairyCrossingMember2019-01-012019-12-31 0000879101kim:ShoppingCenterMemberkim:MillerRoadSCMember2019-12-31 0000879101kim:Sho</w:t>
      </w:r>
      <w:r>
        <w:rPr>
          <w:rFonts w:eastAsia="Times New Roman"/>
          <w:vanish/>
          <w:sz w:val="20"/>
          <w:szCs w:val="20"/>
        </w:rPr>
        <w:t>ppingCenterMemberkim:MillerRoadSCMember2019-01-012019-12-31 0000879101kim:ShoppingCenterMemberkim:KendaleLakesPlazaMember2019-12-31 0000879101kim:ShoppingCenterMemberkim:KendaleLakesPlazaMember2019-01-012019-12-31 0000879101kim:ShoppingCenterMemberkim:Mill</w:t>
      </w:r>
      <w:r>
        <w:rPr>
          <w:rFonts w:eastAsia="Times New Roman"/>
          <w:vanish/>
          <w:sz w:val="20"/>
          <w:szCs w:val="20"/>
        </w:rPr>
        <w:t>erWestPlazaMember2019-12-31 0000879101kim:ShoppingCenterMemberkim:MillerWestPlazaMember2019-01-012019-12-31 0000879101kim:ShoppingCenterMemberkim:CorsicaSquareSCMember2019-12-31 0000879101kim:ShoppingCenterMemberkim:CorsicaSquareSCMember2019-01-012019-12-3</w:t>
      </w:r>
      <w:r>
        <w:rPr>
          <w:rFonts w:eastAsia="Times New Roman"/>
          <w:vanish/>
          <w:sz w:val="20"/>
          <w:szCs w:val="20"/>
        </w:rPr>
        <w:t>1 0000879101kim:ShoppingCenterMemberkim:FlaglerParkMember2019-12-31 0000879101kim:ShoppingCenterMemberkim:FlaglerParkMember2019-01-012019-12-31 0000879101kim:ShoppingCenterMemberkim:ParkhillPlazaMember2019-12-31 0000879101kim:ShoppingCenterMemberkim:Parkhi</w:t>
      </w:r>
      <w:r>
        <w:rPr>
          <w:rFonts w:eastAsia="Times New Roman"/>
          <w:vanish/>
          <w:sz w:val="20"/>
          <w:szCs w:val="20"/>
        </w:rPr>
        <w:t>llPlazaMember2019-01-012019-12-31 0000879101kim:ShoppingCenterMemberkim:WinnDixieMiamiMember2019-12-31 0000879101kim:ShoppingCenterMemberkim:WinnDixieMiamiMember2019-01-012019-12-31 0000879101kim:ShoppingCenterMemberkim:MarathonShoppingCenterMember2019-12-</w:t>
      </w:r>
      <w:r>
        <w:rPr>
          <w:rFonts w:eastAsia="Times New Roman"/>
          <w:vanish/>
          <w:sz w:val="20"/>
          <w:szCs w:val="20"/>
        </w:rPr>
        <w:t>31 0000879101kim:ShoppingCenterMemberkim:MarathonShoppingCenterMember2019-01-012019-12-31 0000879101kim:ShoppingCenterMemberkim:SodoSCMember2019-12-31 0000879101kim:ShoppingCenterMemberkim:SodoSCMember2019-01-012019-12-31 0000879101kim:ShoppingCenterMember</w:t>
      </w:r>
      <w:r>
        <w:rPr>
          <w:rFonts w:eastAsia="Times New Roman"/>
          <w:vanish/>
          <w:sz w:val="20"/>
          <w:szCs w:val="20"/>
        </w:rPr>
        <w:t>kim:RenaissanceCenterMember2019-12-31 0000879101kim:ShoppingCenterMemberkim:RenaissanceCenterMember2019-01-012019-12-31 0000879101kim:ShoppingCenterMemberkim:MilleniaPlazaPhaseIIMember2019-12-31 0000879101kim:ShoppingCenterMemberkim:MilleniaPlazaPhaseIIMem</w:t>
      </w:r>
      <w:r>
        <w:rPr>
          <w:rFonts w:eastAsia="Times New Roman"/>
          <w:vanish/>
          <w:sz w:val="20"/>
          <w:szCs w:val="20"/>
        </w:rPr>
        <w:t>ber2019-01-012019-12-31 0000879101kim:ShoppingCenterMemberkim:RiversideLandingsSCMember2019-12-31 0000879101kim:ShoppingCenterMemberkim:RiversideLandingsSCMember2019-01-012019-12-31 0000879101kim:ShoppingCenterMemberkim:GrandOaksVillageMember2019-12-31 000</w:t>
      </w:r>
      <w:r>
        <w:rPr>
          <w:rFonts w:eastAsia="Times New Roman"/>
          <w:vanish/>
          <w:sz w:val="20"/>
          <w:szCs w:val="20"/>
        </w:rPr>
        <w:t>0879101kim:ShoppingCenterMemberkim:GrandOaksVillageMember2019-01-012019-12-31 0000879101kim:ShoppingCenterMemberkim:PlantationCrossingMember2019-12-31 0000879101kim:ShoppingCenterMemberkim:PlantationCrossingMember2019-01-012019-12-31 0000879101kim:Shopping</w:t>
      </w:r>
      <w:r>
        <w:rPr>
          <w:rFonts w:eastAsia="Times New Roman"/>
          <w:vanish/>
          <w:sz w:val="20"/>
          <w:szCs w:val="20"/>
        </w:rPr>
        <w:t>CenterMemberkim:PompanoPointeSCMember2019-12-31 0000879101kim:ShoppingCenterMemberkim:PompanoPointeSCMember2019-01-012019-12-31 0000879101kim:ShoppingCenterMemberkim:UniversityTownCenterMember2019-12-31 0000879101kim:ShoppingCenterMemberkim:UniversityTownC</w:t>
      </w:r>
      <w:r>
        <w:rPr>
          <w:rFonts w:eastAsia="Times New Roman"/>
          <w:vanish/>
          <w:sz w:val="20"/>
          <w:szCs w:val="20"/>
        </w:rPr>
        <w:t>enterMember2019-01-012019-12-31 0000879101kim:ShoppingCenterMemberkim:OakTreePlazaMember2019-12-31 0000879101kim:ShoppingCenterMemberkim:OakTreePlazaMember2019-01-012019-12-31 0000879101kim:ShoppingCenterMemberkim:TuttlebeePlazaMember2019-12-31 0000879101k</w:t>
      </w:r>
      <w:r>
        <w:rPr>
          <w:rFonts w:eastAsia="Times New Roman"/>
          <w:vanish/>
          <w:sz w:val="20"/>
          <w:szCs w:val="20"/>
        </w:rPr>
        <w:t>im:ShoppingCenterMemberkim:TuttlebeePlazaMember2019-01-012019-12-31 0000879101kim:ShoppingCenterMemberkim:SouthMiamiSCMember2019-12-31 0000879101kim:ShoppingCenterMemberkim:SouthMiamiSCMember2019-01-012019-12-31 0000879101kim:ShoppingCenterMemberkim:Carrol</w:t>
      </w:r>
      <w:r>
        <w:rPr>
          <w:rFonts w:eastAsia="Times New Roman"/>
          <w:vanish/>
          <w:sz w:val="20"/>
          <w:szCs w:val="20"/>
        </w:rPr>
        <w:t>lwoodCommonsMember2019-12-31 0000879101kim:ShoppingCenterMemberkim:CarrollwoodCommonsMember2019-01-012019-12-31 0000879101kim:ShoppingCenterMemberkim:VillageCommonsShoppingCenterMember2019-12-31 0000879101kim:ShoppingCenterMemberkim:VillageCommonsShoppingC</w:t>
      </w:r>
      <w:r>
        <w:rPr>
          <w:rFonts w:eastAsia="Times New Roman"/>
          <w:vanish/>
          <w:sz w:val="20"/>
          <w:szCs w:val="20"/>
        </w:rPr>
        <w:t>enterMember2019-01-012019-12-31 0000879101kim:ShoppingCenterMemberkim:MissionBellShoppingCenterMember2019-12-31 0000879101kim:ShoppingCenterMemberkim:MissionBellShoppingCenterMember2019-01-012019-12-31 0000879101kim:ShoppingCenterMemberkim:VillageCommonsSC</w:t>
      </w:r>
      <w:r>
        <w:rPr>
          <w:rFonts w:eastAsia="Times New Roman"/>
          <w:vanish/>
          <w:sz w:val="20"/>
          <w:szCs w:val="20"/>
        </w:rPr>
        <w:t>Member2019-12-31 0000879101kim:ShoppingCenterMemberkim:VillageCommonsSCMember2019-01-012019-12-31 0000879101kim:ShoppingCenterMemberkim:BelmartPlazaMember2019-12-31 0000879101kim:ShoppingCenterMemberkim:BelmartPlazaMember2019-01-012019-12-31 0000879101kim:</w:t>
      </w:r>
      <w:r>
        <w:rPr>
          <w:rFonts w:eastAsia="Times New Roman"/>
          <w:vanish/>
          <w:sz w:val="20"/>
          <w:szCs w:val="20"/>
        </w:rPr>
        <w:t>ShoppingCenterMemberkim:MarketAtHaynesBridgeMember2019-12-31 0000879101kim:ShoppingCenterMemberkim:MarketAtHaynesBridgeMember2019-01-012019-12-31 0000879101kim:ShoppingCenterMemberkim:EmbryVillageMember2019-12-31 0000879101kim:ShoppingCenterMemberkim:Embry</w:t>
      </w:r>
      <w:r>
        <w:rPr>
          <w:rFonts w:eastAsia="Times New Roman"/>
          <w:vanish/>
          <w:sz w:val="20"/>
          <w:szCs w:val="20"/>
        </w:rPr>
        <w:t>VillageMember2019-01-012019-12-31 0000879101kim:ShoppingCenterMemberkim:PerimeterExpoPropertyMember2019-12-31 0000879101kim:ShoppingCenterMemberkim:PerimeterExpoPropertyMember2019-01-012019-12-31 0000879101kim:ShoppingCenterMemberkim:RiverwalkMarketplaceMe</w:t>
      </w:r>
      <w:r>
        <w:rPr>
          <w:rFonts w:eastAsia="Times New Roman"/>
          <w:vanish/>
          <w:sz w:val="20"/>
          <w:szCs w:val="20"/>
        </w:rPr>
        <w:t>mber2019-12-31 0000879101kim:ShoppingCenterMemberkim:RiverwalkMarketplaceMember2019-01-012019-12-31 0000879101kim:ShoppingCenterMemberkim:LawrencevilleMarketMember2019-12-31 0000879101kim:ShoppingCenterMemberkim:LawrencevilleMarketMember2019-01-012019-12-3</w:t>
      </w:r>
      <w:r>
        <w:rPr>
          <w:rFonts w:eastAsia="Times New Roman"/>
          <w:vanish/>
          <w:sz w:val="20"/>
          <w:szCs w:val="20"/>
        </w:rPr>
        <w:t>1 0000879101kim:ShoppingCenterMemberkim:BraelinnVillageMember2019-12-31 0000879101kim:ShoppingCenterMemberkim:BraelinnVillageMember2019-01-012019-12-31 0000879101kim:ShoppingCenterMemberkim:SavannahCenterMember2019-12-31 0000879101kim:ShoppingCenterMemberk</w:t>
      </w:r>
      <w:r>
        <w:rPr>
          <w:rFonts w:eastAsia="Times New Roman"/>
          <w:vanish/>
          <w:sz w:val="20"/>
          <w:szCs w:val="20"/>
        </w:rPr>
        <w:t>im:SavannahCenterMember2019-01-012019-12-31 0000879101kim:ShoppingCenterMemberkim:ChathamPlazaMember2019-12-31 0000879101kim:ShoppingCenterMemberkim:ChathamPlazaMember2019-01-012019-12-31 0000879101kim:ShoppingCenterMemberkim:ClivePlazaMember2019-12-31 000</w:t>
      </w:r>
      <w:r>
        <w:rPr>
          <w:rFonts w:eastAsia="Times New Roman"/>
          <w:vanish/>
          <w:sz w:val="20"/>
          <w:szCs w:val="20"/>
        </w:rPr>
        <w:t>0879101kim:ShoppingCenterMemberkim:ClivePlazaMember2019-01-012019-12-31 0000879101kim:ShoppingCenterMemberkim:PlazaDelPradoMember2019-12-31 0000879101kim:ShoppingCenterMemberkim:PlazaDelPradoMember2019-01-012019-12-31 0000879101kim:ShoppingCenterMemberkim:</w:t>
      </w:r>
      <w:r>
        <w:rPr>
          <w:rFonts w:eastAsia="Times New Roman"/>
          <w:vanish/>
          <w:sz w:val="20"/>
          <w:szCs w:val="20"/>
        </w:rPr>
        <w:t>SkokiePointeMember2019-12-31 0000879101kim:ShoppingCenterMemberkim:SkokiePointeMember2019-01-012019-12-31 0000879101kim:ShoppingCenterMemberkim:HawthornHillsSquareMember2019-12-31 0000879101kim:ShoppingCenterMemberkim:HawthornHillsSquareMember2019-01-01201</w:t>
      </w:r>
      <w:r>
        <w:rPr>
          <w:rFonts w:eastAsia="Times New Roman"/>
          <w:vanish/>
          <w:sz w:val="20"/>
          <w:szCs w:val="20"/>
        </w:rPr>
        <w:t>9-12-31 0000879101kim:ShoppingCenterMemberkim:LinwoodSquareMember2019-12-31 0000879101kim:ShoppingCenterMemberkim:LinwoodSquareMember2019-01-012019-12-31 0000879101kim:ShoppingCenterMemberkim:GreenwoodSCMember2019-12-31 0000879101kim:ShoppingCenterMemberki</w:t>
      </w:r>
      <w:r>
        <w:rPr>
          <w:rFonts w:eastAsia="Times New Roman"/>
          <w:vanish/>
          <w:sz w:val="20"/>
          <w:szCs w:val="20"/>
        </w:rPr>
        <w:t>m:GreenwoodSCMember2019-01-012019-12-31 0000879101kim:ShoppingCenterMemberkim:AbingtonPlazaMember2019-12-31 0000879101kim:ShoppingCenterMemberkim:AbingtonPlazaMember2019-01-012019-12-31 0000879101kim:ShoppingCenterMemberkim:WashingtonStPlazaMember2019-12-3</w:t>
      </w:r>
      <w:r>
        <w:rPr>
          <w:rFonts w:eastAsia="Times New Roman"/>
          <w:vanish/>
          <w:sz w:val="20"/>
          <w:szCs w:val="20"/>
        </w:rPr>
        <w:t>1 0000879101kim:ShoppingCenterMemberkim:WashingtonStPlazaMember2019-01-012019-12-31 0000879101kim:ShoppingCenterMemberkim:MemorialPlazaMember2019-12-31 0000879101kim:ShoppingCenterMemberkim:MemorialPlazaMember2019-01-012019-12-31 0000879101kim:ShoppingCent</w:t>
      </w:r>
      <w:r>
        <w:rPr>
          <w:rFonts w:eastAsia="Times New Roman"/>
          <w:vanish/>
          <w:sz w:val="20"/>
          <w:szCs w:val="20"/>
        </w:rPr>
        <w:t>erMemberkim:MainStPlazaMember2019-12-31 0000879101kim:ShoppingCenterMemberkim:MainStPlazaMember2019-01-012019-12-31 0000879101kim:ShoppingCenterMemberkim:MorrisseyPlazaMember2019-12-31 0000879101kim:ShoppingCenterMemberkim:MorrisseyPlazaMember2019-01-01201</w:t>
      </w:r>
      <w:r>
        <w:rPr>
          <w:rFonts w:eastAsia="Times New Roman"/>
          <w:vanish/>
          <w:sz w:val="20"/>
          <w:szCs w:val="20"/>
        </w:rPr>
        <w:t>9-12-31 0000879101kim:ShoppingCenterMemberkim:GlendaleSquareMember2019-12-31 0000879101kim:ShoppingCenterMemberkim:GlendaleSquareMember2019-01-012019-12-31 0000879101kim:ShoppingCenterMemberkim:FalmouthPlazaMember2019-12-31 0000879101kim:ShoppingCenterMemb</w:t>
      </w:r>
      <w:r>
        <w:rPr>
          <w:rFonts w:eastAsia="Times New Roman"/>
          <w:vanish/>
          <w:sz w:val="20"/>
          <w:szCs w:val="20"/>
        </w:rPr>
        <w:t>erkim:FalmouthPlazaMember2019-01-012019-12-31 0000879101kim:ShoppingCenterMemberkim:WaverlyPlazaMember2019-12-31 0000879101kim:ShoppingCenterMemberkim:WaverlyPlazaMember2019-01-012019-12-31 0000879101kim:ShoppingCenterMemberkim:FestivalOfHyannisSCMember201</w:t>
      </w:r>
      <w:r>
        <w:rPr>
          <w:rFonts w:eastAsia="Times New Roman"/>
          <w:vanish/>
          <w:sz w:val="20"/>
          <w:szCs w:val="20"/>
        </w:rPr>
        <w:t>9-12-31 0000879101kim:ShoppingCenterMemberkim:FestivalOfHyannisSCMember2019-01-012019-12-31 0000879101kim:ShoppingCenterMemberkim:FellswayPlazaMember2019-12-31 0000879101kim:ShoppingCenterMemberkim:FellswayPlazaMember2019-01-012019-12-31 0000879101kim:Shop</w:t>
      </w:r>
      <w:r>
        <w:rPr>
          <w:rFonts w:eastAsia="Times New Roman"/>
          <w:vanish/>
          <w:sz w:val="20"/>
          <w:szCs w:val="20"/>
        </w:rPr>
        <w:t>pingCenterMemberkim:NorthQuincyPlazaMember2019-12-31 0000879101kim:ShoppingCenterMemberkim:NorthQuincyPlazaMember2019-01-012019-12-31 0000879101kim:ShoppingCenterMemberkim:AdamsPlazaMember2019-12-31 0000879101kim:ShoppingCenterMemberkim:AdamsPlazaMember201</w:t>
      </w:r>
      <w:r>
        <w:rPr>
          <w:rFonts w:eastAsia="Times New Roman"/>
          <w:vanish/>
          <w:sz w:val="20"/>
          <w:szCs w:val="20"/>
        </w:rPr>
        <w:t>9-01-012019-12-31 0000879101kim:ShoppingCenterMemberkim:BroadwayPlazaMember2019-12-31 0000879101kim:ShoppingCenterMemberkim:BroadwayPlazaMember2019-01-012019-12-31 0000879101kim:ShoppingCenterMemberkim:VinninSquarePlazaMember2019-12-31 0000879101kim:Shoppi</w:t>
      </w:r>
      <w:r>
        <w:rPr>
          <w:rFonts w:eastAsia="Times New Roman"/>
          <w:vanish/>
          <w:sz w:val="20"/>
          <w:szCs w:val="20"/>
        </w:rPr>
        <w:t>ngCenterMemberkim:VinninSquarePlazaMember2019-01-012019-12-31 0000879101kim:ShoppingCenterMemberkim:ParadisePlazaMember2019-12-31 0000879101kim:ShoppingCenterMemberkim:ParadisePlazaMember2019-01-012019-12-31 0000879101kim:ShoppingCenterMemberkim:BelmontPla</w:t>
      </w:r>
      <w:r>
        <w:rPr>
          <w:rFonts w:eastAsia="Times New Roman"/>
          <w:vanish/>
          <w:sz w:val="20"/>
          <w:szCs w:val="20"/>
        </w:rPr>
        <w:t>zaMember2019-12-31 0000879101kim:ShoppingCenterMemberkim:BelmontPlazaMember2019-01-012019-12-31 0000879101kim:ShoppingCenterMemberkim:VinninSquareInlineMember2019-12-31 0000879101kim:ShoppingCenterMemberkim:VinninSquareInlineMember2019-01-012019-12-31 0000</w:t>
      </w:r>
      <w:r>
        <w:rPr>
          <w:rFonts w:eastAsia="Times New Roman"/>
          <w:vanish/>
          <w:sz w:val="20"/>
          <w:szCs w:val="20"/>
        </w:rPr>
        <w:t>879101kim:ShoppingCenterMemberkim:LindenPlazaMember2019-12-31 0000879101kim:ShoppingCenterMemberkim:LindenPlazaMember2019-01-012019-12-31 0000879101kim:ShoppingCenterMemberkim:NorthAvePlazaMember2019-12-31 0000879101kim:ShoppingCenterMemberkim:NorthAvePlaz</w:t>
      </w:r>
      <w:r>
        <w:rPr>
          <w:rFonts w:eastAsia="Times New Roman"/>
          <w:vanish/>
          <w:sz w:val="20"/>
          <w:szCs w:val="20"/>
        </w:rPr>
        <w:t>aMember2019-01-012019-12-31 0000879101kim:ShoppingCenterMemberkim:WashingtonStSCMember2019-12-31 0000879101kim:ShoppingCenterMemberkim:WashingtonStSCMember2019-01-012019-12-31 0000879101kim:ShoppingCenterMemberkim:MillStPlazaMember2019-12-31 0000879101kim:</w:t>
      </w:r>
      <w:r>
        <w:rPr>
          <w:rFonts w:eastAsia="Times New Roman"/>
          <w:vanish/>
          <w:sz w:val="20"/>
          <w:szCs w:val="20"/>
        </w:rPr>
        <w:t>ShoppingCenterMemberkim:MillStPlazaMember2019-01-012019-12-31 0000879101kim:ShoppingCenterMemberkim:FullertonPlazaMember2019-12-31 0000879101kim:ShoppingCenterMemberkim:FullertonPlazaMember2019-01-012019-12-31 0000879101kim:ShoppingCenterMemberkim:Greenbri</w:t>
      </w:r>
      <w:r>
        <w:rPr>
          <w:rFonts w:eastAsia="Times New Roman"/>
          <w:vanish/>
          <w:sz w:val="20"/>
          <w:szCs w:val="20"/>
        </w:rPr>
        <w:t>erSCMember2019-12-31 0000879101kim:ShoppingCenterMemberkim:GreenbrierSCMember2019-01-012019-12-31 0000879101kim:ShoppingCenterMemberkim:InglesideSCMember2019-12-31 0000879101kim:ShoppingCenterMemberkim:InglesideSCMember2019-01-012019-12-31 0000879101kim:Sh</w:t>
      </w:r>
      <w:r>
        <w:rPr>
          <w:rFonts w:eastAsia="Times New Roman"/>
          <w:vanish/>
          <w:sz w:val="20"/>
          <w:szCs w:val="20"/>
        </w:rPr>
        <w:t>oppingCenterMemberkim:WilkensBeltwayPlazaMember2019-12-31 0000879101kim:ShoppingCenterMemberkim:WilkensBeltwayPlazaMember2019-01-012019-12-31 0000879101kim:ShoppingCenterMemberkim:YorkRoadPlazaMember2019-12-31 0000879101kim:ShoppingCenterMemberkim:YorkRoad</w:t>
      </w:r>
      <w:r>
        <w:rPr>
          <w:rFonts w:eastAsia="Times New Roman"/>
          <w:vanish/>
          <w:sz w:val="20"/>
          <w:szCs w:val="20"/>
        </w:rPr>
        <w:t>PlazaMember2019-01-012019-12-31 0000879101kim:ShoppingCenterMemberkim:PuttyHillPlazaMember2019-12-31 0000879101kim:ShoppingCenterMemberkim:PuttyHillPlazaMember2019-01-012019-12-31 0000879101kim:ShoppingCenterMemberkim:SnowdenSquareSCMember2019-12-31 000087</w:t>
      </w:r>
      <w:r>
        <w:rPr>
          <w:rFonts w:eastAsia="Times New Roman"/>
          <w:vanish/>
          <w:sz w:val="20"/>
          <w:szCs w:val="20"/>
        </w:rPr>
        <w:t>9101kim:ShoppingCenterMemberkim:SnowdenSquareSCMember2019-01-012019-12-31 0000879101kim:ShoppingCenterMemberkim:ColumbiaCrossingMember2019-12-31 0000879101kim:ShoppingCenterMemberkim:ColumbiaCrossingMember2019-01-012019-12-31 0000879101kim:ShoppingCenterMe</w:t>
      </w:r>
      <w:r>
        <w:rPr>
          <w:rFonts w:eastAsia="Times New Roman"/>
          <w:vanish/>
          <w:sz w:val="20"/>
          <w:szCs w:val="20"/>
        </w:rPr>
        <w:t>mberkim:DorseysSearchVillageCenterMember2019-12-31 0000879101kim:ShoppingCenterMemberkim:DorseysSearchVillageCenterMember2019-01-012019-12-31 0000879101kim:ShoppingCenterMemberkim:HickoryRidgeMember2019-12-31 0000879101kim:ShoppingCenterMemberkim:HickoryRi</w:t>
      </w:r>
      <w:r>
        <w:rPr>
          <w:rFonts w:eastAsia="Times New Roman"/>
          <w:vanish/>
          <w:sz w:val="20"/>
          <w:szCs w:val="20"/>
        </w:rPr>
        <w:t>dgeMember2019-01-012019-12-31 0000879101kim:ShoppingCenterMemberkim:HickoryRidgeSunocoMember2019-12-31 0000879101kim:ShoppingCenterMemberkim:HickoryRidgeSunocoMember2019-01-012019-12-31 0000879101kim:ShoppingCenterMemberkim:KingsContrivanceMember2019-12-31</w:t>
      </w:r>
      <w:r>
        <w:rPr>
          <w:rFonts w:eastAsia="Times New Roman"/>
          <w:vanish/>
          <w:sz w:val="20"/>
          <w:szCs w:val="20"/>
        </w:rPr>
        <w:t xml:space="preserve"> 0000879101kim:ShoppingCenterMemberkim:KingsContrivanceMember2019-01-012019-12-31 0000879101kim:ShoppingCenterMemberkim:HarpersChoiceMember2019-12-31 0000879101kim:ShoppingCenterMemberkim:HarpersChoiceMember2019-01-012019-12-31 0000879101kim:ShoppingCenter</w:t>
      </w:r>
      <w:r>
        <w:rPr>
          <w:rFonts w:eastAsia="Times New Roman"/>
          <w:vanish/>
          <w:sz w:val="20"/>
          <w:szCs w:val="20"/>
        </w:rPr>
        <w:t>Memberkim:WildeLakeMember2019-12-31 0000879101kim:ShoppingCenterMemberkim:WildeLakeMember2019-01-012019-12-31 0000879101kim:ShoppingCenterMemberkim:RiverhillVillageCenterMember2019-12-31 0000879101kim:ShoppingCenterMemberkim:RiverhillVillageCenterMember201</w:t>
      </w:r>
      <w:r>
        <w:rPr>
          <w:rFonts w:eastAsia="Times New Roman"/>
          <w:vanish/>
          <w:sz w:val="20"/>
          <w:szCs w:val="20"/>
        </w:rPr>
        <w:t>9-01-012019-12-31 0000879101kim:ShoppingCenterMemberkim:ColumbiaCrossingOutparcelsMember2019-12-31 0000879101kim:ShoppingCenterMemberkim:ColumbiaCrossingOutparcelsMember2019-01-012019-12-31 0000879101kim:ShoppingCenterMemberkim:ColumbiaCrossingIIShopCtrMem</w:t>
      </w:r>
      <w:r>
        <w:rPr>
          <w:rFonts w:eastAsia="Times New Roman"/>
          <w:vanish/>
          <w:sz w:val="20"/>
          <w:szCs w:val="20"/>
        </w:rPr>
        <w:t>ber2019-12-31 0000879101kim:ShoppingCenterMemberkim:ColumbiaCrossingIIShopCtrMember2019-01-012019-12-31 0000879101kim:ShoppingCenterMemberkim:ShopsAtDistrictHeightsMember2019-12-31 0000879101kim:ShoppingCenterMemberkim:ShopsAtDistrictHeightsMember2019-01-0</w:t>
      </w:r>
      <w:r>
        <w:rPr>
          <w:rFonts w:eastAsia="Times New Roman"/>
          <w:vanish/>
          <w:sz w:val="20"/>
          <w:szCs w:val="20"/>
        </w:rPr>
        <w:t>12019-12-31 0000879101kim:ShoppingCenterMemberkim:EnchantedForestSCMember2019-12-31 0000879101kim:ShoppingCenterMemberkim:EnchantedForestSCMember2019-01-012019-12-31 0000879101kim:ShoppingCenterMemberkim:ShoppesAtEastonMember2019-12-31 0000879101kim:Shoppi</w:t>
      </w:r>
      <w:r>
        <w:rPr>
          <w:rFonts w:eastAsia="Times New Roman"/>
          <w:vanish/>
          <w:sz w:val="20"/>
          <w:szCs w:val="20"/>
        </w:rPr>
        <w:t>ngCenterMemberkim:ShoppesAtEastonMember2019-01-012019-12-31 0000879101kim:ShoppingCenterMemberkim:VillagesAtUrbanaMember2019-12-31 0000879101kim:ShoppingCenterMemberkim:VillagesAtUrbanaMember2019-01-012019-12-31 0000879101kim:ShoppingCenterMemberkim:Gaithe</w:t>
      </w:r>
      <w:r>
        <w:rPr>
          <w:rFonts w:eastAsia="Times New Roman"/>
          <w:vanish/>
          <w:sz w:val="20"/>
          <w:szCs w:val="20"/>
        </w:rPr>
        <w:t>rsburgSCMember2019-12-31 0000879101kim:ShoppingCenterMemberkim:GaithersburgSCMember2019-01-012019-12-31 0000879101kim:ShoppingCenterMemberkim:KentlandsMarketSquareMember2019-12-31 0000879101kim:ShoppingCenterMemberkim:KentlandsMarketSquareMember2019-01-012</w:t>
      </w:r>
      <w:r>
        <w:rPr>
          <w:rFonts w:eastAsia="Times New Roman"/>
          <w:vanish/>
          <w:sz w:val="20"/>
          <w:szCs w:val="20"/>
        </w:rPr>
        <w:t>019-12-31 0000879101kim:ShoppingCenterMemberkim:ShawanPlazaMember2019-12-31 0000879101kim:ShoppingCenterMemberkim:ShawanPlazaMember2019-01-012019-12-31 0000879101kim:ShoppingCenterMemberkim:LaurelPlazaMember2019-12-31 0000879101kim:ShoppingCenterMemberkim:</w:t>
      </w:r>
      <w:r>
        <w:rPr>
          <w:rFonts w:eastAsia="Times New Roman"/>
          <w:vanish/>
          <w:sz w:val="20"/>
          <w:szCs w:val="20"/>
        </w:rPr>
        <w:t>LaurelPlazaMember2019-01-012019-12-31 0000879101kim:ShoppingCenterMemberkim:LaurelPlaza2Member2019-12-31 0000879101kim:ShoppingCenterMemberkim:LaurelPlaza2Member2019-01-012019-12-31 0000879101kim:ShoppingCenterMemberkim:MillStationTheaterRestaurantsMember2</w:t>
      </w:r>
      <w:r>
        <w:rPr>
          <w:rFonts w:eastAsia="Times New Roman"/>
          <w:vanish/>
          <w:sz w:val="20"/>
          <w:szCs w:val="20"/>
        </w:rPr>
        <w:t>019-12-31 0000879101kim:ShoppingCenterMemberkim:MillStationTheaterRestaurantsMember2019-01-012019-12-31 0000879101kim:ShoppingCenterMemberkim:MillStationMember2019-12-31 0000879101kim:ShoppingCenterMemberkim:MillStationMember2019-01-012019-12-31 0000879101</w:t>
      </w:r>
      <w:r>
        <w:rPr>
          <w:rFonts w:eastAsia="Times New Roman"/>
          <w:vanish/>
          <w:sz w:val="20"/>
          <w:szCs w:val="20"/>
        </w:rPr>
        <w:t>kim:ShoppingCenterMemberkim:CentreCourtRetailBankMember2019-12-31 0000879101kim:ShoppingCenterMemberkim:CentreCourtRetailBankMember2019-01-012019-12-31 0000879101kim:ShoppingCenterMemberkim:CentreCourtGiantMember2019-12-31 0000879101kim:ShoppingCenterMembe</w:t>
      </w:r>
      <w:r>
        <w:rPr>
          <w:rFonts w:eastAsia="Times New Roman"/>
          <w:vanish/>
          <w:sz w:val="20"/>
          <w:szCs w:val="20"/>
        </w:rPr>
        <w:t>rkim:CentreCourtGiantMember2019-01-012019-12-31 0000879101kim:ShoppingCenterMemberkim:CentreCourtOldCourtCourtyardMember2019-12-31 0000879101kim:ShoppingCenterMemberkim:CentreCourtOldCourtCourtyardMember2019-01-012019-12-31 0000879101kim:ShoppingCenterMemb</w:t>
      </w:r>
      <w:r>
        <w:rPr>
          <w:rFonts w:eastAsia="Times New Roman"/>
          <w:vanish/>
          <w:sz w:val="20"/>
          <w:szCs w:val="20"/>
        </w:rPr>
        <w:t>erkim:RadcliffeCenterMember2019-12-31 0000879101kim:ShoppingCenterMemberkim:RadcliffeCenterMember2019-01-012019-12-31 0000879101kim:ShoppingCenterMemberkim:TimoniumCrossingMember2019-12-31 0000879101kim:ShoppingCenterMemberkim:TimoniumCrossingMember2019-01</w:t>
      </w:r>
      <w:r>
        <w:rPr>
          <w:rFonts w:eastAsia="Times New Roman"/>
          <w:vanish/>
          <w:sz w:val="20"/>
          <w:szCs w:val="20"/>
        </w:rPr>
        <w:t>-012019-12-31 0000879101kim:ShoppingCenterMemberkim:TimoniumSquareMember2019-12-31 0000879101kim:ShoppingCenterMemberkim:TimoniumSquareMember2019-01-012019-12-31 0000879101kim:ShoppingCenterMemberkim:TowsonPlaceMember2019-12-31 0000879101kim:ShoppingCenter</w:t>
      </w:r>
      <w:r>
        <w:rPr>
          <w:rFonts w:eastAsia="Times New Roman"/>
          <w:vanish/>
          <w:sz w:val="20"/>
          <w:szCs w:val="20"/>
        </w:rPr>
        <w:t>Memberkim:TowsonPlaceMember2019-01-012019-12-31 0000879101kim:ShoppingCenterMemberkim:CenturyPlazaMember2019-12-31 0000879101kim:ShoppingCenterMemberkim:CenturyPlazaMember2019-01-012019-12-31 0000879101kim:ShoppingCenterMemberkim:TheFountainsAtArborLakesMe</w:t>
      </w:r>
      <w:r>
        <w:rPr>
          <w:rFonts w:eastAsia="Times New Roman"/>
          <w:vanish/>
          <w:sz w:val="20"/>
          <w:szCs w:val="20"/>
        </w:rPr>
        <w:t>mber2019-12-31 0000879101kim:ShoppingCenterMemberkim:TheFountainsAtArborLakesMember2019-01-012019-12-31 0000879101kim:ShoppingCenterMemberkim:CenterPointSCMember2019-12-31 0000879101kim:ShoppingCenterMemberkim:CenterPointSCMember2019-01-012019-12-31 000087</w:t>
      </w:r>
      <w:r>
        <w:rPr>
          <w:rFonts w:eastAsia="Times New Roman"/>
          <w:vanish/>
          <w:sz w:val="20"/>
          <w:szCs w:val="20"/>
        </w:rPr>
        <w:t>9101kim:ShoppingCenterMemberkim:WoodlawnMarketplaceMember2019-12-31 0000879101kim:ShoppingCenterMemberkim:WoodlawnMarketplaceMember2019-01-012019-12-31 0000879101kim:ShoppingCenterMemberkim:TyvolaMallMember2019-12-31 0000879101kim:ShoppingCenterMemberkim:T</w:t>
      </w:r>
      <w:r>
        <w:rPr>
          <w:rFonts w:eastAsia="Times New Roman"/>
          <w:vanish/>
          <w:sz w:val="20"/>
          <w:szCs w:val="20"/>
        </w:rPr>
        <w:t>yvolaMallMember2019-01-012019-12-31 0000879101kim:ShoppingCenterMemberkim:CrossroadsPlazaMember2019-12-31 0000879101kim:ShoppingCenterMemberkim:CrossroadsPlazaMember2019-01-012019-12-31 0000879101kim:ShoppingCenterMemberkim:JettonVillageShoppesMember2019-1</w:t>
      </w:r>
      <w:r>
        <w:rPr>
          <w:rFonts w:eastAsia="Times New Roman"/>
          <w:vanish/>
          <w:sz w:val="20"/>
          <w:szCs w:val="20"/>
        </w:rPr>
        <w:t>2-31 0000879101kim:ShoppingCenterMemberkim:JettonVillageShoppesMember2019-01-012019-12-31 0000879101kim:ShoppingCenterMemberkim:MountainIslandMarketplaceMember2019-12-31 0000879101kim:ShoppingCenterMemberkim:MountainIslandMarketplaceMember2019-01-012019-12</w:t>
      </w:r>
      <w:r>
        <w:rPr>
          <w:rFonts w:eastAsia="Times New Roman"/>
          <w:vanish/>
          <w:sz w:val="20"/>
          <w:szCs w:val="20"/>
        </w:rPr>
        <w:t>-31 0000879101kim:ShoppingCenterMemberkim:WoodlawnShoppingCenterMember2019-12-31 0000879101kim:ShoppingCenterMemberkim:WoodlawnShoppingCenterMember2019-01-012019-12-31 0000879101kim:ShoppingCenterMemberkim:CrossroadsPlaza2Member2019-12-31 0000879101kim:Sho</w:t>
      </w:r>
      <w:r>
        <w:rPr>
          <w:rFonts w:eastAsia="Times New Roman"/>
          <w:vanish/>
          <w:sz w:val="20"/>
          <w:szCs w:val="20"/>
        </w:rPr>
        <w:t>ppingCenterMemberkim:CrossroadsPlaza2Member2019-01-012019-12-31 0000879101kim:ShoppingCenterMemberkim:QuailCornersMember2019-12-31 0000879101kim:ShoppingCenterMemberkim:QuailCornersMember2019-01-012019-12-31 0000879101kim:ShoppingCenterMemberkim:DavidsonCo</w:t>
      </w:r>
      <w:r>
        <w:rPr>
          <w:rFonts w:eastAsia="Times New Roman"/>
          <w:vanish/>
          <w:sz w:val="20"/>
          <w:szCs w:val="20"/>
        </w:rPr>
        <w:t>mmonsMember2019-12-31 0000879101kim:ShoppingCenterMemberkim:DavidsonCommonsMember2019-01-012019-12-31 0000879101kim:ShoppingCenterMemberkim:ParkPlaceSCMember2019-12-31 0000879101kim:ShoppingCenterMemberkim:ParkPlaceSCMember2019-01-012019-12-31 0000879101ki</w:t>
      </w:r>
      <w:r>
        <w:rPr>
          <w:rFonts w:eastAsia="Times New Roman"/>
          <w:vanish/>
          <w:sz w:val="20"/>
          <w:szCs w:val="20"/>
        </w:rPr>
        <w:t>m:ShoppingCenterMemberkim:MooresvilleCrossingMember2019-12-31 0000879101kim:ShoppingCenterMemberkim:MooresvilleCrossingMember2019-01-012019-12-31 0000879101kim:ShoppingCenterMemberkim:PleasantValleyPromenadeMember2019-12-31 0000879101kim:ShoppingCenterMemb</w:t>
      </w:r>
      <w:r>
        <w:rPr>
          <w:rFonts w:eastAsia="Times New Roman"/>
          <w:vanish/>
          <w:sz w:val="20"/>
          <w:szCs w:val="20"/>
        </w:rPr>
        <w:t>erkim:PleasantValleyPromenadeMember2019-01-012019-12-31 0000879101kim:ShoppingCenterMemberkim:BrennanStationMember2019-12-31 0000879101kim:ShoppingCenterMemberkim:BrennanStationMember2019-01-012019-12-31 0000879101kim:ShoppingCenterMemberkim:BrennanStation</w:t>
      </w:r>
      <w:r>
        <w:rPr>
          <w:rFonts w:eastAsia="Times New Roman"/>
          <w:vanish/>
          <w:sz w:val="20"/>
          <w:szCs w:val="20"/>
        </w:rPr>
        <w:t>OutparcelMember2019-12-31 0000879101kim:ShoppingCenterMemberkim:BrennanStationOutparcelMember2019-01-012019-12-31 0000879101kim:ShoppingCenterMemberkim:CloverdalePlazaMember2019-12-31 0000879101kim:ShoppingCenterMemberkim:CloverdalePlazaMember2019-01-01201</w:t>
      </w:r>
      <w:r>
        <w:rPr>
          <w:rFonts w:eastAsia="Times New Roman"/>
          <w:vanish/>
          <w:sz w:val="20"/>
          <w:szCs w:val="20"/>
        </w:rPr>
        <w:t>9-12-31 0000879101kim:ShoppingCenterMemberkim:WebsterSquareMember2019-12-31 0000879101kim:ShoppingCenterMemberkim:WebsterSquareMember2019-01-012019-12-31 0000879101kim:ShoppingCenterMemberkim:WebsterSquareDSWMember2019-12-31 0000879101kim:ShoppingCenterMem</w:t>
      </w:r>
      <w:r>
        <w:rPr>
          <w:rFonts w:eastAsia="Times New Roman"/>
          <w:vanish/>
          <w:sz w:val="20"/>
          <w:szCs w:val="20"/>
        </w:rPr>
        <w:t>berkim:WebsterSquareDSWMember2019-01-012019-12-31 0000879101kim:ShoppingCenterMemberkim:WebsterSquareNorthMember2019-12-31 0000879101kim:ShoppingCenterMemberkim:WebsterSquareNorthMember2019-01-012019-12-31 0000879101kim:ShoppingCenterMemberkim:RockinghamPl</w:t>
      </w:r>
      <w:r>
        <w:rPr>
          <w:rFonts w:eastAsia="Times New Roman"/>
          <w:vanish/>
          <w:sz w:val="20"/>
          <w:szCs w:val="20"/>
        </w:rPr>
        <w:t>azaMember2019-12-31 0000879101kim:ShoppingCenterMemberkim:RockinghamPlazaMember2019-01-012019-12-31 0000879101kim:ShoppingCenterMemberkim:ShopRitePlazaMember2019-12-31 0000879101kim:ShoppingCenterMemberkim:ShopRitePlazaMember2019-01-012019-12-31 0000879101</w:t>
      </w:r>
      <w:r>
        <w:rPr>
          <w:rFonts w:eastAsia="Times New Roman"/>
          <w:vanish/>
          <w:sz w:val="20"/>
          <w:szCs w:val="20"/>
        </w:rPr>
        <w:t>kim:ShoppingCenterMemberkim:MarltonPlazaMember2019-12-31 0000879101kim:ShoppingCenterMemberkim:MarltonPlazaMember2019-01-012019-12-31 0000879101kim:ShoppingCenterMemberkim:HillviewShoppingCenterMember2019-12-31 0000879101kim:ShoppingCenterMemberkim:Hillvie</w:t>
      </w:r>
      <w:r>
        <w:rPr>
          <w:rFonts w:eastAsia="Times New Roman"/>
          <w:vanish/>
          <w:sz w:val="20"/>
          <w:szCs w:val="20"/>
        </w:rPr>
        <w:t>wShoppingCenterMember2019-01-012019-12-31 0000879101kim:ShoppingCenterMemberkim:GardenStatePavilionsMember2019-12-31 0000879101kim:ShoppingCenterMemberkim:GardenStatePavilionsMember2019-01-012019-12-31 0000879101kim:ShoppingCenterMemberkim:ClarkShoprite70C</w:t>
      </w:r>
      <w:r>
        <w:rPr>
          <w:rFonts w:eastAsia="Times New Roman"/>
          <w:vanish/>
          <w:sz w:val="20"/>
          <w:szCs w:val="20"/>
        </w:rPr>
        <w:t>entralAveMember2019-12-31 0000879101kim:ShoppingCenterMemberkim:ClarkShoprite70CentralAveMember2019-01-012019-12-31 0000879101kim:ShoppingCenterMemberkim:CommerceCenterWestMember2019-12-31 0000879101kim:ShoppingCenterMemberkim:CommerceCenterWestMember2019-</w:t>
      </w:r>
      <w:r>
        <w:rPr>
          <w:rFonts w:eastAsia="Times New Roman"/>
          <w:vanish/>
          <w:sz w:val="20"/>
          <w:szCs w:val="20"/>
        </w:rPr>
        <w:t>01-012019-12-31 0000879101kim:ShoppingCenterMemberkim:CommerceCenterEastMember2019-12-31 0000879101kim:ShoppingCenterMemberkim:CommerceCenterEastMember2019-01-012019-12-31 0000879101kim:ShoppingCenterMemberkim:CentralPlazaMember2019-12-31 0000879101kim:Sho</w:t>
      </w:r>
      <w:r>
        <w:rPr>
          <w:rFonts w:eastAsia="Times New Roman"/>
          <w:vanish/>
          <w:sz w:val="20"/>
          <w:szCs w:val="20"/>
        </w:rPr>
        <w:t>ppingCenterMemberkim:CentralPlazaMember2019-01-012019-12-31 0000879101kim:ShoppingCenterMemberkim:EastWindsorVillageMember2019-12-31 0000879101kim:ShoppingCenterMemberkim:EastWindsorVillageMember2019-01-012019-12-31 0000879101kim:ShoppingCenterMemberkim:Ho</w:t>
      </w:r>
      <w:r>
        <w:rPr>
          <w:rFonts w:eastAsia="Times New Roman"/>
          <w:vanish/>
          <w:sz w:val="20"/>
          <w:szCs w:val="20"/>
        </w:rPr>
        <w:t>lmdelTowneCenterMember2019-12-31 0000879101kim:ShoppingCenterMemberkim:HolmdelTowneCenterMember2019-01-012019-12-31 0000879101kim:ShoppingCenterMemberkim:CommonsAtHolmdelMember2019-12-31 0000879101kim:ShoppingCenterMemberkim:CommonsAtHolmdelMember2019-01-0</w:t>
      </w:r>
      <w:r>
        <w:rPr>
          <w:rFonts w:eastAsia="Times New Roman"/>
          <w:vanish/>
          <w:sz w:val="20"/>
          <w:szCs w:val="20"/>
        </w:rPr>
        <w:t>12019-12-31 0000879101kim:ShoppingCenterMemberkim:PlazaAtHillsdaleMember2019-12-31 0000879101kim:ShoppingCenterMemberkim:PlazaAtHillsdaleMember2019-01-012019-12-31 0000879101kim:ShoppingCenterMemberkim:MapleShadeMember2019-12-31 0000879101kim:ShoppingCente</w:t>
      </w:r>
      <w:r>
        <w:rPr>
          <w:rFonts w:eastAsia="Times New Roman"/>
          <w:vanish/>
          <w:sz w:val="20"/>
          <w:szCs w:val="20"/>
        </w:rPr>
        <w:t>rMemberkim:MapleShadeMember2019-01-012019-12-31 0000879101kim:ShoppingCenterMemberkim:PlazaAtShortHillsMember2019-12-31 0000879101kim:ShoppingCenterMemberkim:PlazaAtShortHillsMember2019-01-012019-12-31 0000879101kim:ShoppingCenterMemberkim:NorthBrunswickPl</w:t>
      </w:r>
      <w:r>
        <w:rPr>
          <w:rFonts w:eastAsia="Times New Roman"/>
          <w:vanish/>
          <w:sz w:val="20"/>
          <w:szCs w:val="20"/>
        </w:rPr>
        <w:t>azaMember2019-12-31 0000879101kim:ShoppingCenterMemberkim:NorthBrunswickPlazaMember2019-01-012019-12-31 0000879101kim:ShoppingCenterMemberkim:PiscatawayTownCenterMember2019-12-31 0000879101kim:ShoppingCenterMemberkim:PiscatawayTownCenterMember2019-01-01201</w:t>
      </w:r>
      <w:r>
        <w:rPr>
          <w:rFonts w:eastAsia="Times New Roman"/>
          <w:vanish/>
          <w:sz w:val="20"/>
          <w:szCs w:val="20"/>
        </w:rPr>
        <w:t>9-12-31 0000879101kim:ShoppingCenterMemberkim:RidgewoodSCMember2019-12-31 0000879101kim:ShoppingCenterMemberkim:RidgewoodSCMember2019-01-012019-12-31 0000879101kim:ShoppingCenterMemberkim:UnionCrescentIIIMember2019-12-31 0000879101kim:ShoppingCenterMemberk</w:t>
      </w:r>
      <w:r>
        <w:rPr>
          <w:rFonts w:eastAsia="Times New Roman"/>
          <w:vanish/>
          <w:sz w:val="20"/>
          <w:szCs w:val="20"/>
        </w:rPr>
        <w:t>im:UnionCrescentIIIMember2019-01-012019-12-31 0000879101kim:ShoppingCenterMemberkim:WestmontPlazaMember2019-12-31 0000879101kim:ShoppingCenterMemberkim:WestmontPlazaMember2019-01-012019-12-31 0000879101kim:ShoppingCenterMemberkim:WillowbrookPlazaMember2019</w:t>
      </w:r>
      <w:r>
        <w:rPr>
          <w:rFonts w:eastAsia="Times New Roman"/>
          <w:vanish/>
          <w:sz w:val="20"/>
          <w:szCs w:val="20"/>
        </w:rPr>
        <w:t>-12-31 0000879101kim:ShoppingCenterMemberkim:WillowbrookPlazaMember2019-01-012019-12-31 0000879101kim:ShoppingCenterMemberkim:DelMontePlazaMember2019-12-31 0000879101kim:ShoppingCenterMemberkim:DelMontePlazaMember2019-01-012019-12-31 0000879101kim:Shopping</w:t>
      </w:r>
      <w:r>
        <w:rPr>
          <w:rFonts w:eastAsia="Times New Roman"/>
          <w:vanish/>
          <w:sz w:val="20"/>
          <w:szCs w:val="20"/>
        </w:rPr>
        <w:t>CenterMemberkim:DelMontePlazaAnchorParcelMember2019-12-31 0000879101kim:ShoppingCenterMemberkim:DelMontePlazaAnchorParcelMember2019-01-012019-12-31 0000879101kim:ShoppingCenterMemberkim:RedfieldPromenadeMember2019-12-31 0000879101kim:ShoppingCenterMemberki</w:t>
      </w:r>
      <w:r>
        <w:rPr>
          <w:rFonts w:eastAsia="Times New Roman"/>
          <w:vanish/>
          <w:sz w:val="20"/>
          <w:szCs w:val="20"/>
        </w:rPr>
        <w:t>m:RedfieldPromenadeMember2019-01-012019-12-31 0000879101kim:ShoppingCenterMemberkim:McQueenCrossingsMember2019-12-31 0000879101kim:ShoppingCenterMemberkim:McQueenCrossingsMember2019-01-012019-12-31 0000879101kim:ShoppingCenterMemberkim:GalenaJunctionMember</w:t>
      </w:r>
      <w:r>
        <w:rPr>
          <w:rFonts w:eastAsia="Times New Roman"/>
          <w:vanish/>
          <w:sz w:val="20"/>
          <w:szCs w:val="20"/>
        </w:rPr>
        <w:t>2019-12-31 0000879101kim:ShoppingCenterMemberkim:GalenaJunctionMember2019-01-012019-12-31 0000879101kim:ShoppingCenterMemberkim:DAndreaMarketplaceMember2019-12-31 0000879101kim:ShoppingCenterMemberkim:DAndreaMarketplaceMember2019-01-012019-12-31 0000879101</w:t>
      </w:r>
      <w:r>
        <w:rPr>
          <w:rFonts w:eastAsia="Times New Roman"/>
          <w:vanish/>
          <w:sz w:val="20"/>
          <w:szCs w:val="20"/>
        </w:rPr>
        <w:t>kim:ShoppingCenterMemberkim:SparksMercantileMember2019-12-31 0000879101kim:ShoppingCenterMemberkim:SparksMercantileMember2019-01-012019-12-31 0000879101kim:ShoppingCenterMemberkim:BridgehamptonCommonsWESideMember2019-12-31 0000879101kim:ShoppingCenterMembe</w:t>
      </w:r>
      <w:r>
        <w:rPr>
          <w:rFonts w:eastAsia="Times New Roman"/>
          <w:vanish/>
          <w:sz w:val="20"/>
          <w:szCs w:val="20"/>
        </w:rPr>
        <w:t>rkim:BridgehamptonCommonsWESideMember2019-01-012019-12-31 0000879101kim:ShoppingCenterMemberkim:OceanPlazaMember2019-12-31 0000879101kim:ShoppingCenterMemberkim:OceanPlazaMember2019-01-012019-12-31 0000879101kim:ShoppingCenterMemberkim:KingsHighwayMember20</w:t>
      </w:r>
      <w:r>
        <w:rPr>
          <w:rFonts w:eastAsia="Times New Roman"/>
          <w:vanish/>
          <w:sz w:val="20"/>
          <w:szCs w:val="20"/>
        </w:rPr>
        <w:t>19-12-31 0000879101kim:ShoppingCenterMemberkim:KingsHighwayMember2019-01-012019-12-31 0000879101kim:ShoppingCenterMemberkim:RalphAvenuePlazaMember2019-12-31 0000879101kim:ShoppingCenterMemberkim:RalphAvenuePlazaMember2019-01-012019-12-31 0000879101kim:Shop</w:t>
      </w:r>
      <w:r>
        <w:rPr>
          <w:rFonts w:eastAsia="Times New Roman"/>
          <w:vanish/>
          <w:sz w:val="20"/>
          <w:szCs w:val="20"/>
        </w:rPr>
        <w:t>pingCenterMemberkim:BellmoreSCMember2019-12-31 0000879101kim:ShoppingCenterMemberkim:BellmoreSCMember2019-01-012019-12-31 0000879101kim:ShoppingCenterMemberkim:MarketAtBayShoreMember2019-12-31 0000879101kim:ShoppingCenterMemberkim:MarketAtBayShoreMember201</w:t>
      </w:r>
      <w:r>
        <w:rPr>
          <w:rFonts w:eastAsia="Times New Roman"/>
          <w:vanish/>
          <w:sz w:val="20"/>
          <w:szCs w:val="20"/>
        </w:rPr>
        <w:t>9-01-012019-12-31 0000879101kim:ShoppingCenterMemberkim:KeyFoodAtlanticAveMember2019-12-31 0000879101kim:ShoppingCenterMemberkim:KeyFoodAtlanticAveMember2019-01-012019-12-31 0000879101kim:ShoppingCenterMemberkim:VeteransMemorialPlazaMember2019-12-31 000087</w:t>
      </w:r>
      <w:r>
        <w:rPr>
          <w:rFonts w:eastAsia="Times New Roman"/>
          <w:vanish/>
          <w:sz w:val="20"/>
          <w:szCs w:val="20"/>
        </w:rPr>
        <w:t>9101kim:ShoppingCenterMemberkim:VeteransMemorialPlazaMember2019-01-012019-12-31 0000879101kim:ShoppingCenterMemberkim:BirchwoodPlazaCommackMember2019-12-31 0000879101kim:ShoppingCenterMemberkim:BirchwoodPlazaCommackMember2019-01-012019-12-31 0000879101kim:</w:t>
      </w:r>
      <w:r>
        <w:rPr>
          <w:rFonts w:eastAsia="Times New Roman"/>
          <w:vanish/>
          <w:sz w:val="20"/>
          <w:szCs w:val="20"/>
        </w:rPr>
        <w:t>ShoppingCenterMemberkim:ElmontSCMember2019-12-31 0000879101kim:ShoppingCenterMemberkim:ElmontSCMember2019-01-012019-12-31 0000879101kim:ShoppingCenterMemberkim:ElmsfordCenter1Member2019-12-31 0000879101kim:ShoppingCenterMemberkim:ElmsfordCenter1Member2019-</w:t>
      </w:r>
      <w:r>
        <w:rPr>
          <w:rFonts w:eastAsia="Times New Roman"/>
          <w:vanish/>
          <w:sz w:val="20"/>
          <w:szCs w:val="20"/>
        </w:rPr>
        <w:t>01-012019-12-31 0000879101kim:ShoppingCenterMemberkim:ElmsfordCenter2Member2019-12-31 0000879101kim:ShoppingCenterMemberkim:ElmsfordCenter2Member2019-01-012019-12-31 0000879101kim:ShoppingCenterMemberkim:FranklinSquareSCMember2019-12-31 0000879101kim:Shopp</w:t>
      </w:r>
      <w:r>
        <w:rPr>
          <w:rFonts w:eastAsia="Times New Roman"/>
          <w:vanish/>
          <w:sz w:val="20"/>
          <w:szCs w:val="20"/>
        </w:rPr>
        <w:t>ingCenterMemberkim:FranklinSquareSCMember2019-01-012019-12-31 0000879101kim:ShoppingCenterMemberkim:AirportPlazaMember2019-12-31 0000879101kim:ShoppingCenterMemberkim:AirportPlazaMember2019-01-012019-12-31 0000879101kim:ShoppingCenterMemberkim:KissenaBoule</w:t>
      </w:r>
      <w:r>
        <w:rPr>
          <w:rFonts w:eastAsia="Times New Roman"/>
          <w:vanish/>
          <w:sz w:val="20"/>
          <w:szCs w:val="20"/>
        </w:rPr>
        <w:t>vardShoppingCtrMember2019-12-31 0000879101kim:ShoppingCenterMemberkim:KissenaBoulevardShoppingCtrMember2019-01-012019-12-31 0000879101kim:ShoppingCenterMemberkim:HamptonBaysPlazaMember2019-12-31 0000879101kim:ShoppingCenterMemberkim:HamptonBaysPlazaMember2</w:t>
      </w:r>
      <w:r>
        <w:rPr>
          <w:rFonts w:eastAsia="Times New Roman"/>
          <w:vanish/>
          <w:sz w:val="20"/>
          <w:szCs w:val="20"/>
        </w:rPr>
        <w:t>019-01-012019-12-31 0000879101kim:ShoppingCenterMemberkim:HicksvillePlazaMember2019-12-31 0000879101kim:ShoppingCenterMemberkim:HicksvillePlazaMember2019-01-012019-12-31 0000879101kim:ShoppingCenterMemberkim:TurnpikePlazaMember2019-12-31 0000879101kim:Shop</w:t>
      </w:r>
      <w:r>
        <w:rPr>
          <w:rFonts w:eastAsia="Times New Roman"/>
          <w:vanish/>
          <w:sz w:val="20"/>
          <w:szCs w:val="20"/>
        </w:rPr>
        <w:t>pingCenterMemberkim:TurnpikePlazaMember2019-01-012019-12-31 0000879101kim:ShoppingCenterMemberkim:JerichoCommonsSouthMember2019-12-31 0000879101kim:ShoppingCenterMemberkim:JerichoCommonsSouthMember2019-01-012019-12-31 0000879101kim:ShoppingCenterMemberkim:</w:t>
      </w:r>
      <w:r>
        <w:rPr>
          <w:rFonts w:eastAsia="Times New Roman"/>
          <w:vanish/>
          <w:sz w:val="20"/>
          <w:szCs w:val="20"/>
        </w:rPr>
        <w:t>NorthBroadway501Member2019-12-31 0000879101kim:ShoppingCenterMemberkim:NorthBroadway501Member2019-01-012019-12-31 0000879101kim:ShoppingCenterMemberkim:MilleridgeInnMember2019-12-31 0000879101kim:ShoppingCenterMemberkim:MilleridgeInnMember2019-01-012019-12</w:t>
      </w:r>
      <w:r>
        <w:rPr>
          <w:rFonts w:eastAsia="Times New Roman"/>
          <w:vanish/>
          <w:sz w:val="20"/>
          <w:szCs w:val="20"/>
        </w:rPr>
        <w:t>-31 0000879101kim:ShoppingCenterMemberkim:FamilyDollarUnionTurnpikeMember2019-12-31 0000879101kim:ShoppingCenterMemberkim:FamilyDollarUnionTurnpikeMember2019-01-012019-12-31 0000879101kim:ShoppingCenterMemberkim:LittleNeckPlazaMember2019-12-31 0000879101ki</w:t>
      </w:r>
      <w:r>
        <w:rPr>
          <w:rFonts w:eastAsia="Times New Roman"/>
          <w:vanish/>
          <w:sz w:val="20"/>
          <w:szCs w:val="20"/>
        </w:rPr>
        <w:t>m:ShoppingCenterMemberkim:LittleNeckPlazaMember2019-01-012019-12-31 0000879101kim:ShoppingCenterMemberkim:KeyFood21stStreetMember2019-12-31 0000879101kim:ShoppingCenterMemberkim:KeyFood21stStreetMember2019-01-012019-12-31 0000879101kim:ShoppingCenterMember</w:t>
      </w:r>
      <w:r>
        <w:rPr>
          <w:rFonts w:eastAsia="Times New Roman"/>
          <w:vanish/>
          <w:sz w:val="20"/>
          <w:szCs w:val="20"/>
        </w:rPr>
        <w:t>kim:ManhassetCenterMember2019-12-31 0000879101kim:ShoppingCenterMemberkim:ManhassetCenterMember2019-01-012019-12-31 0000879101kim:ShoppingCenterMemberkim:ManhassetCenterResidentialMember2019-12-31 0000879101kim:ShoppingCenterMemberkim:ManhassetCenterReside</w:t>
      </w:r>
      <w:r>
        <w:rPr>
          <w:rFonts w:eastAsia="Times New Roman"/>
          <w:vanish/>
          <w:sz w:val="20"/>
          <w:szCs w:val="20"/>
        </w:rPr>
        <w:t>ntialMember2019-01-012019-12-31 0000879101kim:ShoppingCenterMemberkim:MaspethQueensduaneReadeMember2019-12-31 0000879101kim:ShoppingCenterMemberkim:MaspethQueensduaneReadeMember2019-01-012019-12-31 0000879101kim:ShoppingCenterMemberkim:NorthMassapequaSCMem</w:t>
      </w:r>
      <w:r>
        <w:rPr>
          <w:rFonts w:eastAsia="Times New Roman"/>
          <w:vanish/>
          <w:sz w:val="20"/>
          <w:szCs w:val="20"/>
        </w:rPr>
        <w:t>ber2019-12-31 0000879101kim:ShoppingCenterMemberkim:NorthMassapequaSCMember2019-01-012019-12-31 0000879101kim:ShoppingCenterMemberkim:MineolaCrossingsMember2019-12-31 0000879101kim:ShoppingCenterMemberkim:MineolaCrossingsMember2019-01-012019-12-31 00008791</w:t>
      </w:r>
      <w:r>
        <w:rPr>
          <w:rFonts w:eastAsia="Times New Roman"/>
          <w:vanish/>
          <w:sz w:val="20"/>
          <w:szCs w:val="20"/>
        </w:rPr>
        <w:t>01kim:ShoppingCenterMemberkim:SmithtownPlazaMember2019-12-31 0000879101kim:ShoppingCenterMemberkim:SmithtownPlazaMember2019-01-012019-12-31 0000879101kim:ShoppingCenterMemberkim:ManettoHillPlazaMember2019-12-31 0000879101kim:ShoppingCenterMemberkim:Manetto</w:t>
      </w:r>
      <w:r>
        <w:rPr>
          <w:rFonts w:eastAsia="Times New Roman"/>
          <w:vanish/>
          <w:sz w:val="20"/>
          <w:szCs w:val="20"/>
        </w:rPr>
        <w:t>HillPlazaMember2019-01-012019-12-31 0000879101kim:ShoppingCenterMemberkim:SyossetSCMember2019-12-31 0000879101kim:ShoppingCenterMemberkim:SyossetSCMember2019-01-012019-12-31 0000879101kim:ShoppingCenterMemberkim:RichmondSCMember2019-12-31 0000879101kim:Sho</w:t>
      </w:r>
      <w:r>
        <w:rPr>
          <w:rFonts w:eastAsia="Times New Roman"/>
          <w:vanish/>
          <w:sz w:val="20"/>
          <w:szCs w:val="20"/>
        </w:rPr>
        <w:t>ppingCenterMemberkim:RichmondSCMember2019-01-012019-12-31 0000879101kim:ShoppingCenterMemberkim:GreenridgePlazaMember2019-12-31 0000879101kim:ShoppingCenterMemberkim:GreenridgePlazaMember2019-01-012019-12-31 0000879101kim:ShoppingCenterMemberkim:TheBouleva</w:t>
      </w:r>
      <w:r>
        <w:rPr>
          <w:rFonts w:eastAsia="Times New Roman"/>
          <w:vanish/>
          <w:sz w:val="20"/>
          <w:szCs w:val="20"/>
        </w:rPr>
        <w:t>rdMember2019-12-31 0000879101kim:ShoppingCenterMemberkim:TheBoulevardMember2019-01-012019-12-31 0000879101kim:ShoppingCenterMemberkim:ForestAvenuePlazaMember2019-12-31 0000879101kim:ShoppingCenterMemberkim:ForestAvenuePlazaMember2019-01-012019-12-31 000087</w:t>
      </w:r>
      <w:r>
        <w:rPr>
          <w:rFonts w:eastAsia="Times New Roman"/>
          <w:vanish/>
          <w:sz w:val="20"/>
          <w:szCs w:val="20"/>
        </w:rPr>
        <w:t>9101kim:ShoppingCenterMemberkim:IndependencePlazaMember2019-12-31 0000879101kim:ShoppingCenterMemberkim:IndependencePlazaMember2019-01-012019-12-31 0000879101kim:ShoppingCenterMemberkim:KeyFoodCentralAveMember2019-12-31 0000879101kim:ShoppingCenterMemberki</w:t>
      </w:r>
      <w:r>
        <w:rPr>
          <w:rFonts w:eastAsia="Times New Roman"/>
          <w:vanish/>
          <w:sz w:val="20"/>
          <w:szCs w:val="20"/>
        </w:rPr>
        <w:t>m:KeyFoodCentralAveMember2019-01-012019-12-31 0000879101kim:ShoppingCenterMemberkim:WhitePlainsSCMember2019-12-31 0000879101kim:ShoppingCenterMemberkim:WhitePlainsSCMember2019-01-012019-12-31 0000879101kim:ShoppingCenterMemberkim:ChampionFoodSupermarketMem</w:t>
      </w:r>
      <w:r>
        <w:rPr>
          <w:rFonts w:eastAsia="Times New Roman"/>
          <w:vanish/>
          <w:sz w:val="20"/>
          <w:szCs w:val="20"/>
        </w:rPr>
        <w:t>ber2019-12-31 0000879101kim:ShoppingCenterMemberkim:ChampionFoodSupermarketMember2019-01-012019-12-31 0000879101kim:ShoppingCenterMemberkim:ShopriteSCMember2019-12-31 0000879101kim:ShoppingCenterMemberkim:ShopriteSCMember2019-01-012019-12-31 0000879101kim:</w:t>
      </w:r>
      <w:r>
        <w:rPr>
          <w:rFonts w:eastAsia="Times New Roman"/>
          <w:vanish/>
          <w:sz w:val="20"/>
          <w:szCs w:val="20"/>
        </w:rPr>
        <w:t>ShoppingCenterMemberkim:RomainePlazaMember2019-12-31 0000879101kim:ShoppingCenterMemberkim:RomainePlazaMember2019-01-012019-12-31 0000879101kim:ShoppingCenterMemberkim:OregonTrailCenterMember2019-12-31 0000879101kim:ShoppingCenterMemberkim:OregonTrailCente</w:t>
      </w:r>
      <w:r>
        <w:rPr>
          <w:rFonts w:eastAsia="Times New Roman"/>
          <w:vanish/>
          <w:sz w:val="20"/>
          <w:szCs w:val="20"/>
        </w:rPr>
        <w:t>rMember2019-01-012019-12-31 0000879101kim:ShoppingCenterMemberkim:JantzenBeachCenterMember2019-12-31 0000879101kim:ShoppingCenterMemberkim:JantzenBeachCenterMember2019-01-012019-12-31 0000879101kim:ShoppingCenterMemberkim:SuburbanSquareMember2019-12-31 000</w:t>
      </w:r>
      <w:r>
        <w:rPr>
          <w:rFonts w:eastAsia="Times New Roman"/>
          <w:vanish/>
          <w:sz w:val="20"/>
          <w:szCs w:val="20"/>
        </w:rPr>
        <w:t>0879101kim:ShoppingCenterMemberkim:SuburbanSquareMember2019-01-012019-12-31 0000879101kim:ShoppingCenterMemberkim:CenterSquareShoppingCenterMember2019-12-31 0000879101kim:ShoppingCenterMemberkim:CenterSquareShoppingCenterMember2019-01-012019-12-31 00008791</w:t>
      </w:r>
      <w:r>
        <w:rPr>
          <w:rFonts w:eastAsia="Times New Roman"/>
          <w:vanish/>
          <w:sz w:val="20"/>
          <w:szCs w:val="20"/>
        </w:rPr>
        <w:t>01kim:ShoppingCenterMemberkim:WaynePlazaMember2019-12-31 0000879101kim:ShoppingCenterMemberkim:WaynePlazaMember2019-01-012019-12-31 0000879101kim:ShoppingCenterMemberkim:DevonVillageMember2019-12-31 0000879101kim:ShoppingCenterMemberkim:DevonVillageMember2</w:t>
      </w:r>
      <w:r>
        <w:rPr>
          <w:rFonts w:eastAsia="Times New Roman"/>
          <w:vanish/>
          <w:sz w:val="20"/>
          <w:szCs w:val="20"/>
        </w:rPr>
        <w:t>019-01-012019-12-31 0000879101kim:ShoppingCenterMemberkim:PoconoPlazaMember2019-12-31 0000879101kim:ShoppingCenterMemberkim:PoconoPlazaMember2019-01-012019-12-31 0000879101kim:ShoppingCenterMemberkim:RidgePikePlazaMember2019-12-31 0000879101kim:ShoppingCen</w:t>
      </w:r>
      <w:r>
        <w:rPr>
          <w:rFonts w:eastAsia="Times New Roman"/>
          <w:vanish/>
          <w:sz w:val="20"/>
          <w:szCs w:val="20"/>
        </w:rPr>
        <w:t>terMemberkim:RidgePikePlazaMember2019-01-012019-12-31 0000879101kim:ShoppingCenterMemberkim:WhitelandTownCenterMember2019-12-31 0000879101kim:ShoppingCenterMemberkim:WhitelandTownCenterMember2019-01-012019-12-31 0000879101kim:ShoppingCenterMemberkim:Harris</w:t>
      </w:r>
      <w:r>
        <w:rPr>
          <w:rFonts w:eastAsia="Times New Roman"/>
          <w:vanish/>
          <w:sz w:val="20"/>
          <w:szCs w:val="20"/>
        </w:rPr>
        <w:t>burgEastShoppingCtrMember2019-12-31 0000879101kim:ShoppingCenterMemberkim:HarrisburgEastShoppingCtrMember2019-01-012019-12-31 0000879101kim:ShoppingCenterMemberkim:TownshipLineScMember2019-12-31 0000879101kim:ShoppingCenterMemberkim:TownshipLineScMember201</w:t>
      </w:r>
      <w:r>
        <w:rPr>
          <w:rFonts w:eastAsia="Times New Roman"/>
          <w:vanish/>
          <w:sz w:val="20"/>
          <w:szCs w:val="20"/>
        </w:rPr>
        <w:t>9-01-012019-12-31 0000879101kim:ShoppingCenterMemberkim:HorshamPointMember2019-12-31 0000879101kim:ShoppingCenterMemberkim:HorshamPointMember2019-01-012019-12-31 0000879101kim:ShoppingCenterMemberkim:HolidayCenterMember2019-12-31 0000879101kim:ShoppingCent</w:t>
      </w:r>
      <w:r>
        <w:rPr>
          <w:rFonts w:eastAsia="Times New Roman"/>
          <w:vanish/>
          <w:sz w:val="20"/>
          <w:szCs w:val="20"/>
        </w:rPr>
        <w:t>erMemberkim:HolidayCenterMember2019-01-012019-12-31 0000879101kim:ShoppingCenterMemberkim:NorritonSquareMember2019-12-31 0000879101kim:ShoppingCenterMemberkim:NorritonSquareMember2019-01-012019-12-31 0000879101kim:ShoppingCenterMemberkim:FrankfordAvenueScM</w:t>
      </w:r>
      <w:r>
        <w:rPr>
          <w:rFonts w:eastAsia="Times New Roman"/>
          <w:vanish/>
          <w:sz w:val="20"/>
          <w:szCs w:val="20"/>
        </w:rPr>
        <w:t>ember2019-12-31 0000879101kim:ShoppingCenterMemberkim:FrankfordAvenueScMember2019-01-012019-12-31 0000879101kim:ShoppingCenterMemberkim:WexfordPlazaMember2019-12-31 0000879101kim:ShoppingCenterMemberkim:WexfordPlazaMember2019-01-012019-12-31 0000879101kim:</w:t>
      </w:r>
      <w:r>
        <w:rPr>
          <w:rFonts w:eastAsia="Times New Roman"/>
          <w:vanish/>
          <w:sz w:val="20"/>
          <w:szCs w:val="20"/>
        </w:rPr>
        <w:t>ShoppingCenterMemberkim:LincolnSquareMember2019-12-31 0000879101kim:ShoppingCenterMemberkim:LincolnSquareMember2019-01-012019-12-31 0000879101kim:ShoppingCenterMemberkim:CranberryTownshipParcel1And2Member2019-12-31 0000879101kim:ShoppingCenterMemberkim:Cra</w:t>
      </w:r>
      <w:r>
        <w:rPr>
          <w:rFonts w:eastAsia="Times New Roman"/>
          <w:vanish/>
          <w:sz w:val="20"/>
          <w:szCs w:val="20"/>
        </w:rPr>
        <w:t>nberryTownshipParcel1And2Member2019-01-012019-12-31 0000879101kim:ShoppingCenterMemberkim:CrossroadsPlaza3Member2019-12-31 0000879101kim:ShoppingCenterMemberkim:CrossroadsPlaza3Member2019-01-012019-12-31 0000879101kim:ShoppingCenterMemberkim:SpringfieldSCM</w:t>
      </w:r>
      <w:r>
        <w:rPr>
          <w:rFonts w:eastAsia="Times New Roman"/>
          <w:vanish/>
          <w:sz w:val="20"/>
          <w:szCs w:val="20"/>
        </w:rPr>
        <w:t>ember2019-12-31 0000879101kim:ShoppingCenterMemberkim:SpringfieldSCMember2019-01-012019-12-31 0000879101kim:ShoppingCenterMemberkim:ShrewsburySquareSCMember2019-12-31 0000879101kim:ShoppingCenterMemberkim:ShrewsburySquareSCMember2019-01-012019-12-31 000087</w:t>
      </w:r>
      <w:r>
        <w:rPr>
          <w:rFonts w:eastAsia="Times New Roman"/>
          <w:vanish/>
          <w:sz w:val="20"/>
          <w:szCs w:val="20"/>
        </w:rPr>
        <w:t>9101kim:ShoppingCenterMemberkim:WhitehallMallMember2019-12-31 0000879101kim:ShoppingCenterMemberkim:WhitehallMallMember2019-01-012019-12-31 0000879101kim:ShoppingCenterMemberkim:WholeFoodsAtWynnewoodMember2019-12-31 0000879101kim:ShoppingCenterMemberkim:Wh</w:t>
      </w:r>
      <w:r>
        <w:rPr>
          <w:rFonts w:eastAsia="Times New Roman"/>
          <w:vanish/>
          <w:sz w:val="20"/>
          <w:szCs w:val="20"/>
        </w:rPr>
        <w:t>oleFoodsAtWynnewoodMember2019-01-012019-12-31 0000879101kim:ShoppingCenterMemberkim:ShoppesAtWynnewoodMember2019-12-31 0000879101kim:ShoppingCenterMemberkim:ShoppesAtWynnewoodMember2019-01-012019-12-31 0000879101kim:ShoppingCenterMemberkim:RexvilleTownCent</w:t>
      </w:r>
      <w:r>
        <w:rPr>
          <w:rFonts w:eastAsia="Times New Roman"/>
          <w:vanish/>
          <w:sz w:val="20"/>
          <w:szCs w:val="20"/>
        </w:rPr>
        <w:t xml:space="preserve">erMember2019-12-31 0000879101kim:ShoppingCenterMemberkim:RexvilleTownCenterMember2019-01-012019-12-31 0000879101kim:ShoppingCenterMemberkim:PlazaCentroCostcoMember2019-12-31 0000879101kim:ShoppingCenterMemberkim:PlazaCentroCostcoMember2019-01-012019-12-31 </w:t>
      </w:r>
      <w:r>
        <w:rPr>
          <w:rFonts w:eastAsia="Times New Roman"/>
          <w:vanish/>
          <w:sz w:val="20"/>
          <w:szCs w:val="20"/>
        </w:rPr>
        <w:t>0000879101kim:ShoppingCenterMemberkim:PlazaCentroMallMember2019-12-31 0000879101kim:ShoppingCenterMemberkim:PlazaCentroMallMember2019-01-012019-12-31 0000879101kim:ShoppingCenterMemberkim:PlazaCentroRetailMember2019-12-31 0000879101kim:ShoppingCenterMember</w:t>
      </w:r>
      <w:r>
        <w:rPr>
          <w:rFonts w:eastAsia="Times New Roman"/>
          <w:vanish/>
          <w:sz w:val="20"/>
          <w:szCs w:val="20"/>
        </w:rPr>
        <w:t>kim:PlazaCentroRetailMember2019-01-012019-12-31 0000879101kim:ShoppingCenterMemberkim:PlazaCentroSamsClubMember2019-12-31 0000879101kim:ShoppingCenterMemberkim:PlazaCentroSamsClubMember2019-01-012019-12-31 0000879101kim:ShoppingCenterMemberkim:LosColobosBu</w:t>
      </w:r>
      <w:r>
        <w:rPr>
          <w:rFonts w:eastAsia="Times New Roman"/>
          <w:vanish/>
          <w:sz w:val="20"/>
          <w:szCs w:val="20"/>
        </w:rPr>
        <w:t>ildersSquareMember2019-12-31 0000879101kim:ShoppingCenterMemberkim:LosColobosBuildersSquareMember2019-01-012019-12-31 0000879101kim:ShoppingCenterMemberkim:LosColobosKmartMember2019-12-31 0000879101kim:ShoppingCenterMemberkim:LosColobosKmartMember2019-01-0</w:t>
      </w:r>
      <w:r>
        <w:rPr>
          <w:rFonts w:eastAsia="Times New Roman"/>
          <w:vanish/>
          <w:sz w:val="20"/>
          <w:szCs w:val="20"/>
        </w:rPr>
        <w:t>12019-12-31 0000879101kim:ShoppingCenterMemberkim:LosColobosIMember2019-12-31 0000879101kim:ShoppingCenterMemberkim:LosColobosIMember2019-01-012019-12-31 0000879101kim:ShoppingCenterMemberkim:LosColobosIIMember2019-12-31 0000879101kim:ShoppingCenterMemberk</w:t>
      </w:r>
      <w:r>
        <w:rPr>
          <w:rFonts w:eastAsia="Times New Roman"/>
          <w:vanish/>
          <w:sz w:val="20"/>
          <w:szCs w:val="20"/>
        </w:rPr>
        <w:t>im:LosColobosIIMember2019-01-012019-12-31 0000879101kim:ShoppingCenterMemberkim:WesternPlazaMayaquezOneMember2019-12-31 0000879101kim:ShoppingCenterMemberkim:WesternPlazaMayaquezOneMember2019-01-012019-12-31 0000879101kim:ShoppingCenterMemberkim:WesternPla</w:t>
      </w:r>
      <w:r>
        <w:rPr>
          <w:rFonts w:eastAsia="Times New Roman"/>
          <w:vanish/>
          <w:sz w:val="20"/>
          <w:szCs w:val="20"/>
        </w:rPr>
        <w:t>zaMayaguezTwoMember2019-12-31 0000879101kim:ShoppingCenterMemberkim:WesternPlazaMayaguezTwoMember2019-01-012019-12-31 0000879101kim:ShoppingCenterMemberkim:ManatiVillaMariaSCMember2019-12-31 0000879101kim:ShoppingCenterMemberkim:ManatiVillaMariaSCMember201</w:t>
      </w:r>
      <w:r>
        <w:rPr>
          <w:rFonts w:eastAsia="Times New Roman"/>
          <w:vanish/>
          <w:sz w:val="20"/>
          <w:szCs w:val="20"/>
        </w:rPr>
        <w:t>9-01-012019-12-31 0000879101kim:ShoppingCenterMemberkim:PonceTownCenterMember2019-12-31 0000879101kim:ShoppingCenterMemberkim:PonceTownCenterMember2019-01-012019-12-31 0000879101kim:ShoppingCenterMemberkim:TrujilloAltoPlazaMember2019-12-31 0000879101kim:Sh</w:t>
      </w:r>
      <w:r>
        <w:rPr>
          <w:rFonts w:eastAsia="Times New Roman"/>
          <w:vanish/>
          <w:sz w:val="20"/>
          <w:szCs w:val="20"/>
        </w:rPr>
        <w:t>oppingCenterMemberkim:TrujilloAltoPlazaMember2019-01-012019-12-31 0000879101kim:ShoppingCenterMemberkim:StAndrewsCenterMember2019-12-31 0000879101kim:ShoppingCenterMemberkim:StAndrewsCenterMember2019-01-012019-12-31 0000879101kim:ShoppingCenterMemberkim:We</w:t>
      </w:r>
      <w:r>
        <w:rPr>
          <w:rFonts w:eastAsia="Times New Roman"/>
          <w:vanish/>
          <w:sz w:val="20"/>
          <w:szCs w:val="20"/>
        </w:rPr>
        <w:t>stwoodPlazaMember2019-12-31 0000879101kim:ShoppingCenterMemberkim:WestwoodPlazaMember2019-01-012019-12-31 0000879101kim:ShoppingCenterMemberkim:WoodruffShoppingCenterMember2019-12-31 0000879101kim:ShoppingCenterMemberkim:WoodruffShoppingCenterMember2019-01</w:t>
      </w:r>
      <w:r>
        <w:rPr>
          <w:rFonts w:eastAsia="Times New Roman"/>
          <w:vanish/>
          <w:sz w:val="20"/>
          <w:szCs w:val="20"/>
        </w:rPr>
        <w:t>-012019-12-31 0000879101kim:ShoppingCenterMemberkim:ForestParkMember2019-12-31 0000879101kim:ShoppingCenterMemberkim:ForestParkMember2019-01-012019-12-31 0000879101kim:ShoppingCenterMemberkim:OldTowneVillageMember2019-12-31 0000879101kim:ShoppingCenterMemb</w:t>
      </w:r>
      <w:r>
        <w:rPr>
          <w:rFonts w:eastAsia="Times New Roman"/>
          <w:vanish/>
          <w:sz w:val="20"/>
          <w:szCs w:val="20"/>
        </w:rPr>
        <w:t>erkim:OldTowneVillageMember2019-01-012019-12-31 0000879101kim:ShoppingCenterMemberkim:CenterOfTheHillsMember2019-12-31 0000879101kim:ShoppingCenterMemberkim:CenterOfTheHillsMember2019-01-012019-12-31 0000879101kim:ShoppingCenterMemberkim:GatewayStationMemb</w:t>
      </w:r>
      <w:r>
        <w:rPr>
          <w:rFonts w:eastAsia="Times New Roman"/>
          <w:vanish/>
          <w:sz w:val="20"/>
          <w:szCs w:val="20"/>
        </w:rPr>
        <w:t>er2019-12-31 0000879101kim:ShoppingCenterMemberkim:GatewayStationMember2019-01-012019-12-31 0000879101kim:ShoppingCenterMemberkim:LasTiendasPlazaMember2019-12-31 0000879101kim:ShoppingCenterMemberkim:LasTiendasPlazaMember2019-01-012019-12-31 0000879101kim:</w:t>
      </w:r>
      <w:r>
        <w:rPr>
          <w:rFonts w:eastAsia="Times New Roman"/>
          <w:vanish/>
          <w:sz w:val="20"/>
          <w:szCs w:val="20"/>
        </w:rPr>
        <w:t>ShoppingCenterMemberkim:GatewayStationPhaseIIMember2019-12-31 0000879101kim:ShoppingCenterMemberkim:GatewayStationPhaseIIMember2019-01-012019-12-31 0000879101kim:ShoppingCenterMemberkim:ConroeMarketplaceMember2019-12-31 0000879101kim:ShoppingCenterMemberki</w:t>
      </w:r>
      <w:r>
        <w:rPr>
          <w:rFonts w:eastAsia="Times New Roman"/>
          <w:vanish/>
          <w:sz w:val="20"/>
          <w:szCs w:val="20"/>
        </w:rPr>
        <w:t>m:ConroeMarketplaceMember2019-01-012019-12-31 0000879101kim:ShoppingCenterMemberkim:MontgomeryPlazaMember2019-12-31 0000879101kim:ShoppingCenterMemberkim:MontgomeryPlazaMember2019-01-012019-12-31 0000879101kim:ShoppingCenterMemberkim:PrestonLebanonCrossing</w:t>
      </w:r>
      <w:r>
        <w:rPr>
          <w:rFonts w:eastAsia="Times New Roman"/>
          <w:vanish/>
          <w:sz w:val="20"/>
          <w:szCs w:val="20"/>
        </w:rPr>
        <w:t>Member2019-12-31 0000879101kim:ShoppingCenterMemberkim:PrestonLebanonCrossingMember2019-01-012019-12-31 0000879101kim:ShoppingCenterMemberkim:LakePrairieTownCrossingMember2019-12-31 0000879101kim:ShoppingCenterMemberkim:LakePrairieTownCrossingMember2019-01</w:t>
      </w:r>
      <w:r>
        <w:rPr>
          <w:rFonts w:eastAsia="Times New Roman"/>
          <w:vanish/>
          <w:sz w:val="20"/>
          <w:szCs w:val="20"/>
        </w:rPr>
        <w:t>-012019-12-31 0000879101kim:ShoppingCenterMemberkim:CenterAtBaybrookMember2019-12-31 0000879101kim:ShoppingCenterMemberkim:CenterAtBaybrookMember2019-01-012019-12-31 0000879101kim:ShoppingCenterMemberkim:CypressTowneCenterMember2019-12-31 0000879101kim:Sho</w:t>
      </w:r>
      <w:r>
        <w:rPr>
          <w:rFonts w:eastAsia="Times New Roman"/>
          <w:vanish/>
          <w:sz w:val="20"/>
          <w:szCs w:val="20"/>
        </w:rPr>
        <w:t>ppingCenterMemberkim:CypressTowneCenterMember2019-01-012019-12-31 0000879101kim:ShoppingCenterMemberkim:CypressTowneCenter2Member2019-12-31 0000879101kim:ShoppingCenterMemberkim:CypressTowneCenter2Member2019-01-012019-12-31 0000879101kim:ShoppingCenterMemb</w:t>
      </w:r>
      <w:r>
        <w:rPr>
          <w:rFonts w:eastAsia="Times New Roman"/>
          <w:vanish/>
          <w:sz w:val="20"/>
          <w:szCs w:val="20"/>
        </w:rPr>
        <w:t>erkim:CypressTowneCenterPhaseIIMember2019-12-31 0000879101kim:ShoppingCenterMemberkim:CypressTowneCenterPhaseIIMember2019-01-012019-12-31 0000879101kim:BuildingsAndBuildingImprovementsHeldForInvestmentsMembersrt:MinimumMember2019-01-012019-12-31 0000879101</w:t>
      </w:r>
      <w:r>
        <w:rPr>
          <w:rFonts w:eastAsia="Times New Roman"/>
          <w:vanish/>
          <w:sz w:val="20"/>
          <w:szCs w:val="20"/>
        </w:rPr>
        <w:t>kim:BuildingsAndBuildingImprovementsHeldForInvestmentsMembersrt:MaximumMember2019-01-012019-12-31 0000879101kim:BorrowerAMemberkim:MortgageLoansMembersrt:RetailSiteMemberkim:LasVegasNVMember2019-01-012019-12-31 0000879101kim:BorrowerAMemberkim:MortgageLoan</w:t>
      </w:r>
      <w:r>
        <w:rPr>
          <w:rFonts w:eastAsia="Times New Roman"/>
          <w:vanish/>
          <w:sz w:val="20"/>
          <w:szCs w:val="20"/>
        </w:rPr>
        <w:t>sMembersrt:RetailSiteMemberkim:LasVegasNVMember2019-12-31 0000879101kim:BorrowerBMemberkim:MortgageLoansMembersrt:RetailSiteMemberkim:WalkerMIMember2019-01-012019-12-31 0000879101kim:BorrowerBMemberkim:MortgageLoansMembersrt:RetailSiteMemberkim:WalkerMIMem</w:t>
      </w:r>
      <w:r>
        <w:rPr>
          <w:rFonts w:eastAsia="Times New Roman"/>
          <w:vanish/>
          <w:sz w:val="20"/>
          <w:szCs w:val="20"/>
        </w:rPr>
        <w:t>ber2019-12-31 0000879101kim:BorrowerCMemberkim:MortgageLoansMemberkim:NonretailMemberkim:CommackNYMember2019-01-012019-12-31 0000879101kim:BorrowerCMemberkim:MortgageLoansMemberkim:NonretailMemberkim:CommackNYMember2019-12-31 0000879101kim:BorrowerDMemberk</w:t>
      </w:r>
      <w:r>
        <w:rPr>
          <w:rFonts w:eastAsia="Times New Roman"/>
          <w:vanish/>
          <w:sz w:val="20"/>
          <w:szCs w:val="20"/>
        </w:rPr>
        <w:t>im:NonretailMemberkim:MelbourneFLMember2019-01-012019-12-31 0000879101kim:BorrowerDMemberkim:NonretailMemberkim:MelbourneFLMember2019-12-31 0000879101kim:MortgageLoansMember2019-12-31 0000879101kim:OtherFinancingLoansMemberkim:NonretailMemberkim:CharlieBro</w:t>
      </w:r>
      <w:r>
        <w:rPr>
          <w:rFonts w:eastAsia="Times New Roman"/>
          <w:vanish/>
          <w:sz w:val="20"/>
          <w:szCs w:val="20"/>
        </w:rPr>
        <w:t>wnsLicenseMember2019-01-012019-12-31 0000879101kim:OtherFinancingLoansMemberkim:NonretailMemberkim:CharlieBrownsLicenseMember2019-12-31 0000879101kim:OtherFinancingLoansMemberkim:NonretailMemberkim:RonaCapitalPartnersMember2019-01-012019-12-31 0000879101ki</w:t>
      </w:r>
      <w:r>
        <w:rPr>
          <w:rFonts w:eastAsia="Times New Roman"/>
          <w:vanish/>
          <w:sz w:val="20"/>
          <w:szCs w:val="20"/>
        </w:rPr>
        <w:t>m:OtherFinancingLoansMemberkim:NonretailMemberkim:RonaCapitalPartnersMember2019-12-31 0000879101kim:OtherFinancingLoansMember2019-12-31 0000879101kim:IncomeMember2019-01-012019-12-31 0000879101kim:NotesPayableMember2019-01-012019-12-31 0000879101us-gaap:Un</w:t>
      </w:r>
      <w:r>
        <w:rPr>
          <w:rFonts w:eastAsia="Times New Roman"/>
          <w:vanish/>
          <w:sz w:val="20"/>
          <w:szCs w:val="20"/>
        </w:rPr>
        <w:t xml:space="preserve">securedDebtMember2019-01-012019-12-31 0000879101us-gaap:MortgagesMember2019-01-012019-12-31 0000879101kim:PreferredStockRedeemedMember2019-01-012019-12-31 </w:t>
      </w:r>
    </w:p>
    <w:p w14:paraId="10054585" w14:textId="77777777" w:rsidR="00000000" w:rsidRDefault="0053651E">
      <w:pPr>
        <w:divId w:val="715351731"/>
        <w:rPr>
          <w:rFonts w:eastAsia="Times New Roman"/>
          <w:sz w:val="20"/>
          <w:szCs w:val="20"/>
        </w:rPr>
      </w:pPr>
      <w:r>
        <w:rPr>
          <w:rFonts w:eastAsia="Times New Roman"/>
          <w:sz w:val="20"/>
          <w:szCs w:val="20"/>
        </w:rPr>
        <w:t xml:space="preserve">  </w:t>
      </w:r>
    </w:p>
    <w:p w14:paraId="3548A9CD" w14:textId="77777777" w:rsidR="00000000" w:rsidRDefault="0053651E">
      <w:pPr>
        <w:pStyle w:val="a3"/>
        <w:spacing w:before="0" w:beforeAutospacing="0" w:after="0" w:afterAutospacing="0"/>
        <w:divId w:val="1967154864"/>
        <w:rPr>
          <w:sz w:val="20"/>
          <w:szCs w:val="20"/>
        </w:rPr>
      </w:pPr>
      <w:r>
        <w:rPr>
          <w:sz w:val="20"/>
          <w:szCs w:val="20"/>
        </w:rPr>
        <w:t> </w:t>
      </w:r>
    </w:p>
    <w:p w14:paraId="3FA6F6F0" w14:textId="77777777" w:rsidR="00000000" w:rsidRDefault="0053651E">
      <w:pPr>
        <w:pStyle w:val="a3"/>
        <w:spacing w:before="0" w:beforeAutospacing="0" w:after="0" w:afterAutospacing="0"/>
        <w:divId w:val="1967154864"/>
        <w:rPr>
          <w:sz w:val="20"/>
          <w:szCs w:val="20"/>
        </w:rPr>
      </w:pPr>
      <w:hyperlink w:anchor="toc" w:history="1">
        <w:r>
          <w:rPr>
            <w:rStyle w:val="a4"/>
            <w:sz w:val="20"/>
            <w:szCs w:val="20"/>
          </w:rPr>
          <w:t>Table of Contents</w:t>
        </w:r>
      </w:hyperlink>
      <w:r>
        <w:rPr>
          <w:sz w:val="20"/>
          <w:szCs w:val="20"/>
        </w:rPr>
        <w:t>  </w:t>
      </w:r>
    </w:p>
    <w:p w14:paraId="035C2A63" w14:textId="77777777" w:rsidR="00000000" w:rsidRDefault="0053651E">
      <w:pPr>
        <w:spacing w:before="60" w:after="60"/>
        <w:divId w:val="1967154864"/>
        <w:rPr>
          <w:rFonts w:eastAsia="Times New Roman"/>
          <w:sz w:val="20"/>
          <w:szCs w:val="20"/>
        </w:rPr>
      </w:pPr>
      <w:r>
        <w:rPr>
          <w:rFonts w:eastAsia="Times New Roman"/>
          <w:sz w:val="20"/>
          <w:szCs w:val="20"/>
        </w:rPr>
        <w:pict w14:anchorId="78BD2E8C">
          <v:rect id="_x0000_i1025" style="width:415.3pt;height:2.25pt" o:hralign="center" o:hrstd="t" o:hrnoshade="t" o:hr="t" fillcolor="black" stroked="f"/>
        </w:pict>
      </w:r>
    </w:p>
    <w:p w14:paraId="01D2B93D" w14:textId="77777777" w:rsidR="00000000" w:rsidRDefault="0053651E">
      <w:pPr>
        <w:spacing w:after="60"/>
        <w:divId w:val="1967154864"/>
        <w:rPr>
          <w:rFonts w:eastAsia="Times New Roman"/>
          <w:sz w:val="20"/>
          <w:szCs w:val="20"/>
        </w:rPr>
      </w:pPr>
      <w:r>
        <w:rPr>
          <w:rFonts w:eastAsia="Times New Roman"/>
          <w:sz w:val="20"/>
          <w:szCs w:val="20"/>
        </w:rPr>
        <w:pict w14:anchorId="0CAFB449">
          <v:rect id="_x0000_i1026" style="width:415.3pt;height:.75pt" o:hralign="center" o:hrstd="t" o:hrnoshade="t" o:hr="t" fillcolor="black" stroked="f"/>
        </w:pict>
      </w:r>
    </w:p>
    <w:p w14:paraId="0C18FF27" w14:textId="77777777" w:rsidR="00000000" w:rsidRDefault="0053651E">
      <w:pPr>
        <w:pStyle w:val="a3"/>
        <w:spacing w:before="0" w:beforeAutospacing="0" w:after="0" w:afterAutospacing="0"/>
        <w:jc w:val="center"/>
        <w:divId w:val="1967154864"/>
        <w:rPr>
          <w:sz w:val="20"/>
          <w:szCs w:val="20"/>
        </w:rPr>
      </w:pPr>
      <w:r>
        <w:rPr>
          <w:sz w:val="20"/>
          <w:szCs w:val="20"/>
        </w:rPr>
        <w:t> </w:t>
      </w:r>
    </w:p>
    <w:p w14:paraId="3601322B" w14:textId="77777777" w:rsidR="00000000" w:rsidRDefault="0053651E">
      <w:pPr>
        <w:pStyle w:val="a3"/>
        <w:spacing w:before="0" w:beforeAutospacing="0" w:after="0" w:afterAutospacing="0"/>
        <w:jc w:val="center"/>
        <w:divId w:val="1967154864"/>
      </w:pPr>
      <w:r>
        <w:rPr>
          <w:b/>
          <w:bCs/>
        </w:rPr>
        <w:t xml:space="preserve">UNITED STATES </w:t>
      </w:r>
    </w:p>
    <w:p w14:paraId="66EE7287" w14:textId="77777777" w:rsidR="00000000" w:rsidRDefault="0053651E">
      <w:pPr>
        <w:pStyle w:val="a3"/>
        <w:spacing w:before="0" w:beforeAutospacing="0" w:after="0" w:afterAutospacing="0"/>
        <w:jc w:val="center"/>
        <w:divId w:val="1967154864"/>
      </w:pPr>
      <w:r>
        <w:rPr>
          <w:b/>
          <w:bCs/>
        </w:rPr>
        <w:t>SECURITIES AND EXCHANGE COMMISSION</w:t>
      </w:r>
    </w:p>
    <w:p w14:paraId="64AC8A92" w14:textId="77777777" w:rsidR="00000000" w:rsidRDefault="0053651E">
      <w:pPr>
        <w:pStyle w:val="a3"/>
        <w:spacing w:before="0" w:beforeAutospacing="0" w:after="0" w:afterAutospacing="0"/>
        <w:jc w:val="center"/>
        <w:divId w:val="1967154864"/>
        <w:rPr>
          <w:sz w:val="20"/>
          <w:szCs w:val="20"/>
        </w:rPr>
      </w:pPr>
      <w:r>
        <w:rPr>
          <w:b/>
          <w:bCs/>
          <w:sz w:val="20"/>
          <w:szCs w:val="20"/>
        </w:rPr>
        <w:t>Washington, D.C. 20549</w:t>
      </w:r>
    </w:p>
    <w:p w14:paraId="4A4CE199" w14:textId="77777777" w:rsidR="00000000" w:rsidRDefault="0053651E">
      <w:pPr>
        <w:pStyle w:val="a3"/>
        <w:spacing w:before="0" w:beforeAutospacing="0" w:after="0" w:afterAutospacing="0"/>
        <w:divId w:val="1967154864"/>
        <w:rPr>
          <w:sz w:val="20"/>
          <w:szCs w:val="20"/>
        </w:rPr>
      </w:pPr>
      <w:r>
        <w:rPr>
          <w:sz w:val="20"/>
          <w:szCs w:val="20"/>
        </w:rPr>
        <w:t> </w:t>
      </w:r>
    </w:p>
    <w:p w14:paraId="02778D44" w14:textId="77777777" w:rsidR="00000000" w:rsidRDefault="0053651E">
      <w:pPr>
        <w:pStyle w:val="a3"/>
        <w:spacing w:before="0" w:beforeAutospacing="0" w:after="0" w:afterAutospacing="0"/>
        <w:jc w:val="center"/>
        <w:divId w:val="1967154864"/>
      </w:pPr>
      <w:r>
        <w:rPr>
          <w:b/>
          <w:bCs/>
        </w:rPr>
        <w:t>FORM 10-K</w:t>
      </w:r>
    </w:p>
    <w:p w14:paraId="3F7325A5" w14:textId="77777777" w:rsidR="00000000" w:rsidRDefault="0053651E">
      <w:pPr>
        <w:pStyle w:val="a3"/>
        <w:spacing w:before="0" w:beforeAutospacing="0" w:after="0" w:afterAutospacing="0"/>
        <w:divId w:val="19671548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2F449CB6" w14:textId="77777777">
        <w:trPr>
          <w:divId w:val="1967154864"/>
          <w:tblCellSpacing w:w="0" w:type="dxa"/>
        </w:trPr>
        <w:tc>
          <w:tcPr>
            <w:tcW w:w="720" w:type="dxa"/>
            <w:hideMark/>
          </w:tcPr>
          <w:p w14:paraId="3F7810C6" w14:textId="77777777" w:rsidR="00000000" w:rsidRDefault="0053651E">
            <w:pPr>
              <w:pStyle w:val="a3"/>
              <w:spacing w:before="0" w:beforeAutospacing="0" w:after="0" w:afterAutospacing="0"/>
              <w:jc w:val="center"/>
              <w:rPr>
                <w:sz w:val="20"/>
                <w:szCs w:val="20"/>
              </w:rPr>
            </w:pPr>
            <w:r>
              <w:rPr>
                <w:rFonts w:ascii="Segoe UI Emoji" w:hAnsi="Segoe UI Emoji" w:cs="Segoe UI Emoji"/>
                <w:b/>
                <w:bCs/>
                <w:sz w:val="20"/>
                <w:szCs w:val="20"/>
              </w:rPr>
              <w:t>☑</w:t>
            </w:r>
          </w:p>
        </w:tc>
        <w:tc>
          <w:tcPr>
            <w:tcW w:w="0" w:type="auto"/>
            <w:hideMark/>
          </w:tcPr>
          <w:p w14:paraId="7C2840A3" w14:textId="77777777" w:rsidR="00000000" w:rsidRDefault="0053651E">
            <w:pPr>
              <w:pStyle w:val="a3"/>
              <w:spacing w:before="0" w:beforeAutospacing="0" w:after="0" w:afterAutospacing="0"/>
              <w:jc w:val="center"/>
              <w:rPr>
                <w:sz w:val="20"/>
                <w:szCs w:val="20"/>
              </w:rPr>
            </w:pPr>
            <w:r>
              <w:rPr>
                <w:b/>
                <w:bCs/>
                <w:sz w:val="20"/>
                <w:szCs w:val="20"/>
              </w:rPr>
              <w:t>ANNUAL REPORT PURSUANT TO</w:t>
            </w:r>
            <w:r>
              <w:rPr>
                <w:b/>
                <w:bCs/>
                <w:sz w:val="20"/>
                <w:szCs w:val="20"/>
              </w:rPr>
              <w:t xml:space="preserve"> SECTION 13 OR 15(d) OF THE SECURITIES EXCHANGE ACT OF 1934</w:t>
            </w:r>
          </w:p>
        </w:tc>
      </w:tr>
    </w:tbl>
    <w:p w14:paraId="763CB061" w14:textId="77777777" w:rsidR="00000000" w:rsidRDefault="0053651E">
      <w:pPr>
        <w:pStyle w:val="a3"/>
        <w:spacing w:before="0" w:beforeAutospacing="0" w:after="0" w:afterAutospacing="0"/>
        <w:divId w:val="1967154864"/>
        <w:rPr>
          <w:sz w:val="20"/>
          <w:szCs w:val="20"/>
        </w:rPr>
      </w:pPr>
      <w:r>
        <w:rPr>
          <w:sz w:val="20"/>
          <w:szCs w:val="20"/>
        </w:rPr>
        <w:t> </w:t>
      </w:r>
    </w:p>
    <w:p w14:paraId="11477745" w14:textId="77777777" w:rsidR="00000000" w:rsidRDefault="0053651E">
      <w:pPr>
        <w:pStyle w:val="a3"/>
        <w:spacing w:before="0" w:beforeAutospacing="0" w:after="0" w:afterAutospacing="0"/>
        <w:jc w:val="center"/>
        <w:divId w:val="1967154864"/>
        <w:rPr>
          <w:sz w:val="20"/>
          <w:szCs w:val="20"/>
        </w:rPr>
      </w:pPr>
      <w:r>
        <w:rPr>
          <w:b/>
          <w:bCs/>
          <w:sz w:val="20"/>
          <w:szCs w:val="20"/>
        </w:rPr>
        <w:t>For the fiscal year ended December 31, 2019</w:t>
      </w:r>
    </w:p>
    <w:p w14:paraId="7DB7599F" w14:textId="77777777" w:rsidR="00000000" w:rsidRDefault="0053651E">
      <w:pPr>
        <w:pStyle w:val="a3"/>
        <w:spacing w:before="0" w:beforeAutospacing="0" w:after="0" w:afterAutospacing="0"/>
        <w:divId w:val="1967154864"/>
        <w:rPr>
          <w:sz w:val="20"/>
          <w:szCs w:val="20"/>
        </w:rPr>
      </w:pPr>
      <w:r>
        <w:rPr>
          <w:sz w:val="20"/>
          <w:szCs w:val="20"/>
        </w:rPr>
        <w:t> </w:t>
      </w:r>
    </w:p>
    <w:p w14:paraId="7DF61481" w14:textId="77777777" w:rsidR="00000000" w:rsidRDefault="0053651E">
      <w:pPr>
        <w:pStyle w:val="a3"/>
        <w:spacing w:before="0" w:beforeAutospacing="0" w:after="0" w:afterAutospacing="0"/>
        <w:jc w:val="center"/>
        <w:divId w:val="1967154864"/>
        <w:rPr>
          <w:sz w:val="20"/>
          <w:szCs w:val="20"/>
        </w:rPr>
      </w:pPr>
      <w:r>
        <w:rPr>
          <w:b/>
          <w:bCs/>
          <w:sz w:val="20"/>
          <w:szCs w:val="20"/>
        </w:rPr>
        <w:t>OR</w:t>
      </w:r>
    </w:p>
    <w:p w14:paraId="647DA0DB" w14:textId="77777777" w:rsidR="00000000" w:rsidRDefault="0053651E">
      <w:pPr>
        <w:pStyle w:val="a3"/>
        <w:spacing w:before="0" w:beforeAutospacing="0" w:after="0" w:afterAutospacing="0"/>
        <w:divId w:val="19671548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26807FEA" w14:textId="77777777">
        <w:trPr>
          <w:divId w:val="1967154864"/>
          <w:tblCellSpacing w:w="0" w:type="dxa"/>
        </w:trPr>
        <w:tc>
          <w:tcPr>
            <w:tcW w:w="720" w:type="dxa"/>
            <w:hideMark/>
          </w:tcPr>
          <w:p w14:paraId="4290E579" w14:textId="77777777" w:rsidR="00000000" w:rsidRDefault="0053651E">
            <w:pPr>
              <w:pStyle w:val="a3"/>
              <w:spacing w:before="0" w:beforeAutospacing="0" w:after="0" w:afterAutospacing="0"/>
              <w:jc w:val="center"/>
              <w:rPr>
                <w:sz w:val="20"/>
                <w:szCs w:val="20"/>
              </w:rPr>
            </w:pPr>
            <w:r>
              <w:rPr>
                <w:rFonts w:ascii="Segoe UI Symbol" w:hAnsi="Segoe UI Symbol" w:cs="Segoe UI Symbol"/>
                <w:b/>
                <w:bCs/>
                <w:sz w:val="20"/>
                <w:szCs w:val="20"/>
              </w:rPr>
              <w:t>☐</w:t>
            </w:r>
          </w:p>
        </w:tc>
        <w:tc>
          <w:tcPr>
            <w:tcW w:w="0" w:type="auto"/>
            <w:hideMark/>
          </w:tcPr>
          <w:p w14:paraId="4BC02CB9" w14:textId="77777777" w:rsidR="00000000" w:rsidRDefault="0053651E">
            <w:pPr>
              <w:pStyle w:val="a3"/>
              <w:spacing w:before="0" w:beforeAutospacing="0" w:after="0" w:afterAutospacing="0"/>
              <w:jc w:val="center"/>
              <w:rPr>
                <w:sz w:val="20"/>
                <w:szCs w:val="20"/>
              </w:rPr>
            </w:pPr>
            <w:r>
              <w:rPr>
                <w:b/>
                <w:bCs/>
                <w:sz w:val="20"/>
                <w:szCs w:val="20"/>
              </w:rPr>
              <w:t>TRANSITION REPORT PURSUANT TO SECTION 13 OR 15(d) OF THE SECURITIES EXCHANGE ACT OF 1934</w:t>
            </w:r>
          </w:p>
        </w:tc>
      </w:tr>
    </w:tbl>
    <w:p w14:paraId="2AB7EB28" w14:textId="77777777" w:rsidR="00000000" w:rsidRDefault="0053651E">
      <w:pPr>
        <w:pStyle w:val="a3"/>
        <w:spacing w:before="0" w:beforeAutospacing="0" w:after="0" w:afterAutospacing="0"/>
        <w:divId w:val="1967154864"/>
        <w:rPr>
          <w:sz w:val="20"/>
          <w:szCs w:val="20"/>
        </w:rPr>
      </w:pPr>
      <w:r>
        <w:rPr>
          <w:sz w:val="20"/>
          <w:szCs w:val="20"/>
        </w:rPr>
        <w:t> </w:t>
      </w:r>
    </w:p>
    <w:p w14:paraId="6CC52B61" w14:textId="77777777" w:rsidR="00000000" w:rsidRDefault="0053651E">
      <w:pPr>
        <w:pStyle w:val="a3"/>
        <w:spacing w:before="0" w:beforeAutospacing="0" w:after="0" w:afterAutospacing="0"/>
        <w:jc w:val="center"/>
        <w:divId w:val="1967154864"/>
        <w:rPr>
          <w:sz w:val="20"/>
          <w:szCs w:val="20"/>
        </w:rPr>
      </w:pPr>
      <w:r>
        <w:rPr>
          <w:b/>
          <w:bCs/>
          <w:sz w:val="20"/>
          <w:szCs w:val="20"/>
        </w:rPr>
        <w:t>For the transition period from __________ to __________</w:t>
      </w:r>
    </w:p>
    <w:p w14:paraId="631E1DE0" w14:textId="77777777" w:rsidR="00000000" w:rsidRDefault="0053651E">
      <w:pPr>
        <w:pStyle w:val="a3"/>
        <w:spacing w:before="0" w:beforeAutospacing="0" w:after="0" w:afterAutospacing="0"/>
        <w:divId w:val="1967154864"/>
        <w:rPr>
          <w:sz w:val="20"/>
          <w:szCs w:val="20"/>
        </w:rPr>
      </w:pPr>
      <w:r>
        <w:rPr>
          <w:sz w:val="20"/>
          <w:szCs w:val="20"/>
        </w:rPr>
        <w:t> </w:t>
      </w:r>
    </w:p>
    <w:p w14:paraId="156CFB1C" w14:textId="77777777" w:rsidR="00000000" w:rsidRDefault="0053651E">
      <w:pPr>
        <w:pStyle w:val="a3"/>
        <w:spacing w:before="0" w:beforeAutospacing="0" w:after="0" w:afterAutospacing="0"/>
        <w:jc w:val="center"/>
        <w:divId w:val="1967154864"/>
        <w:rPr>
          <w:sz w:val="20"/>
          <w:szCs w:val="20"/>
        </w:rPr>
      </w:pPr>
      <w:r>
        <w:rPr>
          <w:b/>
          <w:bCs/>
          <w:sz w:val="20"/>
          <w:szCs w:val="20"/>
        </w:rPr>
        <w:t xml:space="preserve">Commission file number </w:t>
      </w:r>
      <w:r>
        <w:rPr>
          <w:b/>
          <w:bCs/>
          <w:sz w:val="20"/>
          <w:szCs w:val="20"/>
          <w:u w:val="single"/>
        </w:rPr>
        <w:t>1-10899</w:t>
      </w:r>
    </w:p>
    <w:p w14:paraId="10EA27C2" w14:textId="77777777" w:rsidR="00000000" w:rsidRDefault="0053651E">
      <w:pPr>
        <w:pStyle w:val="a3"/>
        <w:spacing w:before="0" w:beforeAutospacing="0" w:after="0" w:afterAutospacing="0"/>
        <w:divId w:val="1967154864"/>
        <w:rPr>
          <w:sz w:val="20"/>
          <w:szCs w:val="20"/>
        </w:rPr>
      </w:pPr>
      <w:r>
        <w:rPr>
          <w:sz w:val="20"/>
          <w:szCs w:val="20"/>
        </w:rPr>
        <w:t> </w:t>
      </w:r>
    </w:p>
    <w:p w14:paraId="0203F501" w14:textId="77777777" w:rsidR="00000000" w:rsidRDefault="0053651E">
      <w:pPr>
        <w:pStyle w:val="a3"/>
        <w:spacing w:before="0" w:beforeAutospacing="0" w:after="0" w:afterAutospacing="0"/>
        <w:jc w:val="center"/>
        <w:divId w:val="1967154864"/>
        <w:rPr>
          <w:sz w:val="32"/>
          <w:szCs w:val="32"/>
        </w:rPr>
      </w:pPr>
      <w:r>
        <w:rPr>
          <w:b/>
          <w:bCs/>
          <w:sz w:val="32"/>
          <w:szCs w:val="32"/>
          <w:u w:val="single"/>
        </w:rPr>
        <w:t>Kimco Realty Corporation</w:t>
      </w:r>
    </w:p>
    <w:p w14:paraId="6CDACB54" w14:textId="77777777" w:rsidR="00000000" w:rsidRDefault="0053651E">
      <w:pPr>
        <w:pStyle w:val="a3"/>
        <w:spacing w:before="0" w:beforeAutospacing="0" w:after="0" w:afterAutospacing="0"/>
        <w:jc w:val="center"/>
        <w:divId w:val="1967154864"/>
        <w:rPr>
          <w:sz w:val="20"/>
          <w:szCs w:val="20"/>
        </w:rPr>
      </w:pPr>
      <w:r>
        <w:rPr>
          <w:sz w:val="20"/>
          <w:szCs w:val="20"/>
        </w:rPr>
        <w:t>(Exact name of registrant as specified in its ch</w:t>
      </w:r>
      <w:r>
        <w:rPr>
          <w:sz w:val="20"/>
          <w:szCs w:val="20"/>
        </w:rPr>
        <w:t>arter)</w:t>
      </w:r>
    </w:p>
    <w:p w14:paraId="20B7368D" w14:textId="77777777" w:rsidR="00000000" w:rsidRDefault="0053651E">
      <w:pPr>
        <w:pStyle w:val="a3"/>
        <w:spacing w:before="0" w:beforeAutospacing="0" w:after="0" w:afterAutospacing="0"/>
        <w:divId w:val="1967154864"/>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924"/>
        <w:gridCol w:w="797"/>
        <w:gridCol w:w="2924"/>
      </w:tblGrid>
      <w:tr w:rsidR="00000000" w14:paraId="1BA486AB" w14:textId="77777777">
        <w:trPr>
          <w:divId w:val="1967154864"/>
          <w:tblCellSpacing w:w="0" w:type="dxa"/>
        </w:trPr>
        <w:tc>
          <w:tcPr>
            <w:tcW w:w="2200" w:type="pct"/>
            <w:tcBorders>
              <w:bottom w:val="single" w:sz="6" w:space="0" w:color="000000"/>
            </w:tcBorders>
            <w:vAlign w:val="bottom"/>
            <w:hideMark/>
          </w:tcPr>
          <w:p w14:paraId="2FB49252" w14:textId="77777777" w:rsidR="00000000" w:rsidRDefault="0053651E">
            <w:pPr>
              <w:pStyle w:val="a3"/>
              <w:spacing w:before="0" w:beforeAutospacing="0" w:after="0" w:afterAutospacing="0"/>
              <w:jc w:val="center"/>
              <w:rPr>
                <w:sz w:val="20"/>
                <w:szCs w:val="20"/>
              </w:rPr>
            </w:pPr>
            <w:r>
              <w:rPr>
                <w:sz w:val="20"/>
                <w:szCs w:val="20"/>
              </w:rPr>
              <w:t>Maryland</w:t>
            </w:r>
          </w:p>
        </w:tc>
        <w:tc>
          <w:tcPr>
            <w:tcW w:w="600" w:type="pct"/>
            <w:vAlign w:val="bottom"/>
            <w:hideMark/>
          </w:tcPr>
          <w:p w14:paraId="3D5E1820" w14:textId="77777777" w:rsidR="00000000" w:rsidRDefault="0053651E">
            <w:pPr>
              <w:rPr>
                <w:rFonts w:eastAsia="Times New Roman"/>
                <w:sz w:val="20"/>
                <w:szCs w:val="20"/>
              </w:rPr>
            </w:pPr>
            <w:r>
              <w:rPr>
                <w:rFonts w:eastAsia="Times New Roman"/>
                <w:sz w:val="20"/>
                <w:szCs w:val="20"/>
              </w:rPr>
              <w:t> </w:t>
            </w:r>
          </w:p>
        </w:tc>
        <w:tc>
          <w:tcPr>
            <w:tcW w:w="2200" w:type="pct"/>
            <w:tcBorders>
              <w:bottom w:val="single" w:sz="6" w:space="0" w:color="000000"/>
            </w:tcBorders>
            <w:vAlign w:val="bottom"/>
            <w:hideMark/>
          </w:tcPr>
          <w:p w14:paraId="5DD05046" w14:textId="77777777" w:rsidR="00000000" w:rsidRDefault="0053651E">
            <w:pPr>
              <w:pStyle w:val="a3"/>
              <w:spacing w:before="0" w:beforeAutospacing="0" w:after="0" w:afterAutospacing="0"/>
              <w:jc w:val="center"/>
              <w:rPr>
                <w:sz w:val="20"/>
                <w:szCs w:val="20"/>
              </w:rPr>
            </w:pPr>
            <w:r>
              <w:rPr>
                <w:sz w:val="20"/>
                <w:szCs w:val="20"/>
              </w:rPr>
              <w:t>13-2744380</w:t>
            </w:r>
          </w:p>
        </w:tc>
      </w:tr>
      <w:tr w:rsidR="00000000" w14:paraId="65ABBDAE" w14:textId="77777777">
        <w:trPr>
          <w:divId w:val="1967154864"/>
          <w:tblCellSpacing w:w="0" w:type="dxa"/>
        </w:trPr>
        <w:tc>
          <w:tcPr>
            <w:tcW w:w="2200" w:type="pct"/>
            <w:tcBorders>
              <w:bottom w:val="nil"/>
            </w:tcBorders>
            <w:hideMark/>
          </w:tcPr>
          <w:p w14:paraId="11CEFD8E" w14:textId="77777777" w:rsidR="00000000" w:rsidRDefault="0053651E">
            <w:pPr>
              <w:pStyle w:val="a3"/>
              <w:spacing w:before="0" w:beforeAutospacing="0" w:after="0" w:afterAutospacing="0"/>
              <w:jc w:val="center"/>
              <w:rPr>
                <w:sz w:val="20"/>
                <w:szCs w:val="20"/>
              </w:rPr>
            </w:pPr>
            <w:r>
              <w:rPr>
                <w:sz w:val="20"/>
                <w:szCs w:val="20"/>
              </w:rPr>
              <w:t>(State or other jurisdiction of</w:t>
            </w:r>
          </w:p>
          <w:p w14:paraId="4CE1E33D" w14:textId="77777777" w:rsidR="00000000" w:rsidRDefault="0053651E">
            <w:pPr>
              <w:pStyle w:val="a3"/>
              <w:spacing w:before="0" w:beforeAutospacing="0" w:after="0" w:afterAutospacing="0"/>
              <w:jc w:val="center"/>
              <w:rPr>
                <w:sz w:val="20"/>
                <w:szCs w:val="20"/>
              </w:rPr>
            </w:pPr>
            <w:r>
              <w:rPr>
                <w:sz w:val="20"/>
                <w:szCs w:val="20"/>
              </w:rPr>
              <w:t>incorporation or organization)</w:t>
            </w:r>
          </w:p>
        </w:tc>
        <w:tc>
          <w:tcPr>
            <w:tcW w:w="600" w:type="pct"/>
            <w:vAlign w:val="bottom"/>
            <w:hideMark/>
          </w:tcPr>
          <w:p w14:paraId="10D76CE9" w14:textId="77777777" w:rsidR="00000000" w:rsidRDefault="0053651E">
            <w:pPr>
              <w:rPr>
                <w:rFonts w:eastAsia="Times New Roman"/>
                <w:sz w:val="20"/>
                <w:szCs w:val="20"/>
              </w:rPr>
            </w:pPr>
            <w:r>
              <w:rPr>
                <w:rFonts w:eastAsia="Times New Roman"/>
                <w:sz w:val="20"/>
                <w:szCs w:val="20"/>
              </w:rPr>
              <w:t> </w:t>
            </w:r>
          </w:p>
        </w:tc>
        <w:tc>
          <w:tcPr>
            <w:tcW w:w="2200" w:type="pct"/>
            <w:tcBorders>
              <w:bottom w:val="nil"/>
            </w:tcBorders>
            <w:hideMark/>
          </w:tcPr>
          <w:p w14:paraId="3379E0A4" w14:textId="77777777" w:rsidR="00000000" w:rsidRDefault="0053651E">
            <w:pPr>
              <w:pStyle w:val="a3"/>
              <w:spacing w:before="0" w:beforeAutospacing="0" w:after="0" w:afterAutospacing="0"/>
              <w:jc w:val="center"/>
              <w:rPr>
                <w:sz w:val="20"/>
                <w:szCs w:val="20"/>
              </w:rPr>
            </w:pPr>
            <w:r>
              <w:rPr>
                <w:sz w:val="20"/>
                <w:szCs w:val="20"/>
              </w:rPr>
              <w:t>(I.R.S. Employer Identification No.)</w:t>
            </w:r>
          </w:p>
        </w:tc>
      </w:tr>
    </w:tbl>
    <w:p w14:paraId="0898AEB4" w14:textId="77777777" w:rsidR="00000000" w:rsidRDefault="0053651E">
      <w:pPr>
        <w:pStyle w:val="a3"/>
        <w:spacing w:before="0" w:beforeAutospacing="0" w:after="0" w:afterAutospacing="0"/>
        <w:divId w:val="1967154864"/>
        <w:rPr>
          <w:sz w:val="20"/>
          <w:szCs w:val="20"/>
        </w:rPr>
      </w:pPr>
      <w:r>
        <w:rPr>
          <w:sz w:val="20"/>
          <w:szCs w:val="20"/>
        </w:rPr>
        <w:t> </w:t>
      </w:r>
    </w:p>
    <w:p w14:paraId="6472F7D8" w14:textId="77777777" w:rsidR="00000000" w:rsidRDefault="0053651E">
      <w:pPr>
        <w:pStyle w:val="a3"/>
        <w:spacing w:before="0" w:beforeAutospacing="0" w:after="0" w:afterAutospacing="0"/>
        <w:jc w:val="center"/>
        <w:divId w:val="1967154864"/>
        <w:rPr>
          <w:sz w:val="20"/>
          <w:szCs w:val="20"/>
        </w:rPr>
      </w:pPr>
      <w:r>
        <w:rPr>
          <w:b/>
          <w:bCs/>
          <w:sz w:val="20"/>
          <w:szCs w:val="20"/>
          <w:u w:val="single"/>
        </w:rPr>
        <w:t>500 North Broadway, Suite 201, Jericho, NY 11753</w:t>
      </w:r>
    </w:p>
    <w:p w14:paraId="299B0C1C" w14:textId="77777777" w:rsidR="00000000" w:rsidRDefault="0053651E">
      <w:pPr>
        <w:pStyle w:val="a3"/>
        <w:spacing w:before="0" w:beforeAutospacing="0" w:after="0" w:afterAutospacing="0"/>
        <w:jc w:val="center"/>
        <w:divId w:val="1967154864"/>
        <w:rPr>
          <w:sz w:val="20"/>
          <w:szCs w:val="20"/>
        </w:rPr>
      </w:pPr>
      <w:r>
        <w:rPr>
          <w:sz w:val="20"/>
          <w:szCs w:val="20"/>
        </w:rPr>
        <w:t>(Address of principal executive offices)     (Zip Code)</w:t>
      </w:r>
    </w:p>
    <w:p w14:paraId="3C2C6491" w14:textId="77777777" w:rsidR="00000000" w:rsidRDefault="0053651E">
      <w:pPr>
        <w:pStyle w:val="a3"/>
        <w:spacing w:before="0" w:beforeAutospacing="0" w:after="0" w:afterAutospacing="0"/>
        <w:divId w:val="1967154864"/>
        <w:rPr>
          <w:sz w:val="20"/>
          <w:szCs w:val="20"/>
        </w:rPr>
      </w:pPr>
      <w:r>
        <w:rPr>
          <w:sz w:val="20"/>
          <w:szCs w:val="20"/>
        </w:rPr>
        <w:t> </w:t>
      </w:r>
    </w:p>
    <w:p w14:paraId="0E1AD2B7" w14:textId="77777777" w:rsidR="00000000" w:rsidRDefault="0053651E">
      <w:pPr>
        <w:pStyle w:val="a3"/>
        <w:spacing w:before="0" w:beforeAutospacing="0" w:after="0" w:afterAutospacing="0"/>
        <w:jc w:val="center"/>
        <w:divId w:val="1967154864"/>
        <w:rPr>
          <w:sz w:val="20"/>
          <w:szCs w:val="20"/>
        </w:rPr>
      </w:pPr>
      <w:r>
        <w:rPr>
          <w:b/>
          <w:bCs/>
          <w:sz w:val="20"/>
          <w:szCs w:val="20"/>
          <w:u w:val="single"/>
        </w:rPr>
        <w:t>(516) 869-9000</w:t>
      </w:r>
    </w:p>
    <w:p w14:paraId="36126742" w14:textId="77777777" w:rsidR="00000000" w:rsidRDefault="0053651E">
      <w:pPr>
        <w:pStyle w:val="a3"/>
        <w:spacing w:before="0" w:beforeAutospacing="0" w:after="0" w:afterAutospacing="0"/>
        <w:jc w:val="center"/>
        <w:divId w:val="1967154864"/>
        <w:rPr>
          <w:sz w:val="20"/>
          <w:szCs w:val="20"/>
        </w:rPr>
      </w:pPr>
      <w:r>
        <w:rPr>
          <w:sz w:val="20"/>
          <w:szCs w:val="20"/>
        </w:rPr>
        <w:t>(Registrant’s telephone number, including area code)</w:t>
      </w:r>
    </w:p>
    <w:p w14:paraId="7B103254" w14:textId="77777777" w:rsidR="00000000" w:rsidRDefault="0053651E">
      <w:pPr>
        <w:pStyle w:val="a3"/>
        <w:spacing w:before="0" w:beforeAutospacing="0" w:after="0" w:afterAutospacing="0"/>
        <w:divId w:val="1967154864"/>
        <w:rPr>
          <w:sz w:val="20"/>
          <w:szCs w:val="20"/>
        </w:rPr>
      </w:pPr>
      <w:r>
        <w:rPr>
          <w:sz w:val="20"/>
          <w:szCs w:val="20"/>
        </w:rPr>
        <w:t> </w:t>
      </w:r>
    </w:p>
    <w:p w14:paraId="3767BB2D" w14:textId="77777777" w:rsidR="00000000" w:rsidRDefault="0053651E">
      <w:pPr>
        <w:pStyle w:val="a3"/>
        <w:spacing w:before="0" w:beforeAutospacing="0" w:after="0" w:afterAutospacing="0"/>
        <w:jc w:val="center"/>
        <w:divId w:val="1967154864"/>
        <w:rPr>
          <w:sz w:val="20"/>
          <w:szCs w:val="20"/>
        </w:rPr>
      </w:pPr>
      <w:r>
        <w:rPr>
          <w:sz w:val="20"/>
          <w:szCs w:val="20"/>
        </w:rPr>
        <w:t>Securities registered pursuant to Section 12(b) of the Act:</w:t>
      </w:r>
    </w:p>
    <w:p w14:paraId="21846E2A" w14:textId="77777777" w:rsidR="00000000" w:rsidRDefault="0053651E">
      <w:pPr>
        <w:pStyle w:val="a3"/>
        <w:spacing w:before="0" w:beforeAutospacing="0" w:after="0" w:afterAutospacing="0"/>
        <w:divId w:val="19671548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70"/>
        <w:gridCol w:w="249"/>
        <w:gridCol w:w="1246"/>
        <w:gridCol w:w="249"/>
        <w:gridCol w:w="2492"/>
      </w:tblGrid>
      <w:tr w:rsidR="00000000" w14:paraId="29F7936A" w14:textId="77777777">
        <w:trPr>
          <w:divId w:val="1967154864"/>
          <w:tblCellSpacing w:w="0" w:type="dxa"/>
        </w:trPr>
        <w:tc>
          <w:tcPr>
            <w:tcW w:w="2450" w:type="pct"/>
            <w:hideMark/>
          </w:tcPr>
          <w:p w14:paraId="7082F94D" w14:textId="77777777" w:rsidR="00000000" w:rsidRDefault="0053651E">
            <w:pPr>
              <w:jc w:val="center"/>
              <w:rPr>
                <w:rFonts w:eastAsia="Times New Roman"/>
                <w:sz w:val="20"/>
                <w:szCs w:val="20"/>
              </w:rPr>
            </w:pPr>
            <w:r>
              <w:rPr>
                <w:rFonts w:eastAsia="Times New Roman"/>
                <w:sz w:val="20"/>
                <w:szCs w:val="20"/>
                <w:u w:val="single"/>
              </w:rPr>
              <w:t>Title of each class</w:t>
            </w:r>
          </w:p>
        </w:tc>
        <w:tc>
          <w:tcPr>
            <w:tcW w:w="150" w:type="pct"/>
            <w:vAlign w:val="center"/>
            <w:hideMark/>
          </w:tcPr>
          <w:p w14:paraId="6BA2FA14" w14:textId="77777777" w:rsidR="00000000" w:rsidRDefault="0053651E">
            <w:pPr>
              <w:rPr>
                <w:rFonts w:eastAsia="Times New Roman"/>
                <w:sz w:val="20"/>
                <w:szCs w:val="20"/>
              </w:rPr>
            </w:pPr>
            <w:r>
              <w:rPr>
                <w:rFonts w:eastAsia="Times New Roman"/>
                <w:sz w:val="20"/>
                <w:szCs w:val="20"/>
              </w:rPr>
              <w:t> </w:t>
            </w:r>
          </w:p>
        </w:tc>
        <w:tc>
          <w:tcPr>
            <w:tcW w:w="750" w:type="pct"/>
            <w:vAlign w:val="center"/>
            <w:hideMark/>
          </w:tcPr>
          <w:p w14:paraId="6660BBE3" w14:textId="77777777" w:rsidR="00000000" w:rsidRDefault="0053651E">
            <w:pPr>
              <w:pStyle w:val="a3"/>
              <w:spacing w:before="0" w:beforeAutospacing="0" w:after="0" w:afterAutospacing="0"/>
              <w:jc w:val="center"/>
              <w:rPr>
                <w:sz w:val="20"/>
                <w:szCs w:val="20"/>
              </w:rPr>
            </w:pPr>
            <w:r>
              <w:rPr>
                <w:sz w:val="20"/>
                <w:szCs w:val="20"/>
                <w:u w:val="single"/>
              </w:rPr>
              <w:t>Trading</w:t>
            </w:r>
          </w:p>
          <w:p w14:paraId="2814DF97" w14:textId="77777777" w:rsidR="00000000" w:rsidRDefault="0053651E">
            <w:pPr>
              <w:pStyle w:val="a3"/>
              <w:spacing w:before="0" w:beforeAutospacing="0" w:after="0" w:afterAutospacing="0"/>
              <w:jc w:val="center"/>
              <w:rPr>
                <w:sz w:val="20"/>
                <w:szCs w:val="20"/>
              </w:rPr>
            </w:pPr>
            <w:r>
              <w:rPr>
                <w:sz w:val="20"/>
                <w:szCs w:val="20"/>
                <w:u w:val="single"/>
              </w:rPr>
              <w:t>Symbol(s)</w:t>
            </w:r>
          </w:p>
        </w:tc>
        <w:tc>
          <w:tcPr>
            <w:tcW w:w="150" w:type="pct"/>
            <w:vAlign w:val="center"/>
            <w:hideMark/>
          </w:tcPr>
          <w:p w14:paraId="43D25B74" w14:textId="77777777" w:rsidR="00000000" w:rsidRDefault="0053651E">
            <w:pPr>
              <w:rPr>
                <w:rFonts w:eastAsia="Times New Roman"/>
                <w:sz w:val="20"/>
                <w:szCs w:val="20"/>
              </w:rPr>
            </w:pPr>
            <w:r>
              <w:rPr>
                <w:rFonts w:eastAsia="Times New Roman"/>
                <w:sz w:val="20"/>
                <w:szCs w:val="20"/>
              </w:rPr>
              <w:t> </w:t>
            </w:r>
          </w:p>
        </w:tc>
        <w:tc>
          <w:tcPr>
            <w:tcW w:w="1500" w:type="pct"/>
            <w:vAlign w:val="center"/>
            <w:hideMark/>
          </w:tcPr>
          <w:p w14:paraId="780B426F" w14:textId="77777777" w:rsidR="00000000" w:rsidRDefault="0053651E">
            <w:pPr>
              <w:pStyle w:val="a3"/>
              <w:spacing w:before="0" w:beforeAutospacing="0" w:after="0" w:afterAutospacing="0"/>
              <w:jc w:val="center"/>
              <w:rPr>
                <w:sz w:val="20"/>
                <w:szCs w:val="20"/>
              </w:rPr>
            </w:pPr>
            <w:r>
              <w:rPr>
                <w:sz w:val="20"/>
                <w:szCs w:val="20"/>
                <w:u w:val="single"/>
              </w:rPr>
              <w:t>Name of each exchange</w:t>
            </w:r>
          </w:p>
          <w:p w14:paraId="63009F99" w14:textId="77777777" w:rsidR="00000000" w:rsidRDefault="0053651E">
            <w:pPr>
              <w:pStyle w:val="a3"/>
              <w:spacing w:before="0" w:beforeAutospacing="0" w:after="0" w:afterAutospacing="0"/>
              <w:jc w:val="center"/>
              <w:rPr>
                <w:sz w:val="20"/>
                <w:szCs w:val="20"/>
              </w:rPr>
            </w:pPr>
            <w:r>
              <w:rPr>
                <w:sz w:val="20"/>
                <w:szCs w:val="20"/>
                <w:u w:val="single"/>
              </w:rPr>
              <w:t>on</w:t>
            </w:r>
            <w:r>
              <w:rPr>
                <w:sz w:val="20"/>
                <w:szCs w:val="20"/>
                <w:u w:val="single"/>
              </w:rPr>
              <w:t> which registered</w:t>
            </w:r>
          </w:p>
        </w:tc>
      </w:tr>
      <w:tr w:rsidR="00000000" w14:paraId="114D5F55" w14:textId="77777777">
        <w:trPr>
          <w:divId w:val="1967154864"/>
          <w:tblCellSpacing w:w="0" w:type="dxa"/>
        </w:trPr>
        <w:tc>
          <w:tcPr>
            <w:tcW w:w="2450" w:type="pct"/>
            <w:hideMark/>
          </w:tcPr>
          <w:p w14:paraId="19DF1364" w14:textId="77777777" w:rsidR="00000000" w:rsidRDefault="0053651E">
            <w:pPr>
              <w:jc w:val="center"/>
              <w:rPr>
                <w:rFonts w:eastAsia="Times New Roman"/>
                <w:sz w:val="20"/>
                <w:szCs w:val="20"/>
              </w:rPr>
            </w:pPr>
            <w:r>
              <w:rPr>
                <w:rFonts w:eastAsia="Times New Roman"/>
                <w:sz w:val="20"/>
                <w:szCs w:val="20"/>
              </w:rPr>
              <w:t> </w:t>
            </w:r>
          </w:p>
        </w:tc>
        <w:tc>
          <w:tcPr>
            <w:tcW w:w="150" w:type="pct"/>
            <w:vAlign w:val="center"/>
            <w:hideMark/>
          </w:tcPr>
          <w:p w14:paraId="1DF79A8D" w14:textId="77777777" w:rsidR="00000000" w:rsidRDefault="0053651E">
            <w:pPr>
              <w:rPr>
                <w:rFonts w:eastAsia="Times New Roman"/>
                <w:sz w:val="20"/>
                <w:szCs w:val="20"/>
              </w:rPr>
            </w:pPr>
            <w:r>
              <w:rPr>
                <w:rFonts w:eastAsia="Times New Roman"/>
                <w:sz w:val="20"/>
                <w:szCs w:val="20"/>
              </w:rPr>
              <w:t> </w:t>
            </w:r>
          </w:p>
        </w:tc>
        <w:tc>
          <w:tcPr>
            <w:tcW w:w="750" w:type="pct"/>
            <w:vAlign w:val="center"/>
            <w:hideMark/>
          </w:tcPr>
          <w:p w14:paraId="3EF0E80B" w14:textId="77777777" w:rsidR="00000000" w:rsidRDefault="0053651E">
            <w:pPr>
              <w:rPr>
                <w:rFonts w:eastAsia="Times New Roman"/>
                <w:sz w:val="20"/>
                <w:szCs w:val="20"/>
              </w:rPr>
            </w:pPr>
            <w:r>
              <w:rPr>
                <w:rFonts w:eastAsia="Times New Roman"/>
                <w:sz w:val="20"/>
                <w:szCs w:val="20"/>
              </w:rPr>
              <w:t> </w:t>
            </w:r>
          </w:p>
        </w:tc>
        <w:tc>
          <w:tcPr>
            <w:tcW w:w="150" w:type="pct"/>
            <w:vAlign w:val="center"/>
            <w:hideMark/>
          </w:tcPr>
          <w:p w14:paraId="3B02B926" w14:textId="77777777" w:rsidR="00000000" w:rsidRDefault="0053651E">
            <w:pPr>
              <w:rPr>
                <w:rFonts w:eastAsia="Times New Roman"/>
                <w:sz w:val="20"/>
                <w:szCs w:val="20"/>
              </w:rPr>
            </w:pPr>
            <w:r>
              <w:rPr>
                <w:rFonts w:eastAsia="Times New Roman"/>
                <w:sz w:val="20"/>
                <w:szCs w:val="20"/>
              </w:rPr>
              <w:t> </w:t>
            </w:r>
          </w:p>
        </w:tc>
        <w:tc>
          <w:tcPr>
            <w:tcW w:w="1500" w:type="pct"/>
            <w:vAlign w:val="center"/>
            <w:hideMark/>
          </w:tcPr>
          <w:p w14:paraId="7285C7C2" w14:textId="77777777" w:rsidR="00000000" w:rsidRDefault="0053651E">
            <w:pPr>
              <w:rPr>
                <w:rFonts w:eastAsia="Times New Roman"/>
                <w:sz w:val="20"/>
                <w:szCs w:val="20"/>
              </w:rPr>
            </w:pPr>
            <w:r>
              <w:rPr>
                <w:rFonts w:eastAsia="Times New Roman"/>
                <w:sz w:val="20"/>
                <w:szCs w:val="20"/>
              </w:rPr>
              <w:t> </w:t>
            </w:r>
          </w:p>
        </w:tc>
      </w:tr>
      <w:tr w:rsidR="00000000" w14:paraId="6813548A" w14:textId="77777777">
        <w:trPr>
          <w:divId w:val="1967154864"/>
          <w:tblCellSpacing w:w="0" w:type="dxa"/>
        </w:trPr>
        <w:tc>
          <w:tcPr>
            <w:tcW w:w="2450" w:type="pct"/>
            <w:shd w:val="clear" w:color="auto" w:fill="CCEEFF"/>
            <w:vAlign w:val="center"/>
            <w:hideMark/>
          </w:tcPr>
          <w:p w14:paraId="604EEB1C" w14:textId="77777777" w:rsidR="00000000" w:rsidRDefault="0053651E">
            <w:pPr>
              <w:rPr>
                <w:rFonts w:eastAsia="Times New Roman"/>
                <w:sz w:val="20"/>
                <w:szCs w:val="20"/>
              </w:rPr>
            </w:pPr>
            <w:r>
              <w:rPr>
                <w:rFonts w:eastAsia="Times New Roman"/>
                <w:sz w:val="20"/>
                <w:szCs w:val="20"/>
              </w:rPr>
              <w:t>Common Stock, par value $.01 per share.</w:t>
            </w:r>
          </w:p>
        </w:tc>
        <w:tc>
          <w:tcPr>
            <w:tcW w:w="150" w:type="pct"/>
            <w:shd w:val="clear" w:color="auto" w:fill="CCEEFF"/>
            <w:vAlign w:val="center"/>
            <w:hideMark/>
          </w:tcPr>
          <w:p w14:paraId="4E9E89F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center"/>
            <w:hideMark/>
          </w:tcPr>
          <w:p w14:paraId="331F4E5A" w14:textId="77777777" w:rsidR="00000000" w:rsidRDefault="0053651E">
            <w:pPr>
              <w:jc w:val="center"/>
              <w:rPr>
                <w:rFonts w:eastAsia="Times New Roman"/>
                <w:sz w:val="20"/>
                <w:szCs w:val="20"/>
              </w:rPr>
            </w:pPr>
            <w:r>
              <w:rPr>
                <w:rFonts w:eastAsia="Times New Roman"/>
                <w:sz w:val="20"/>
                <w:szCs w:val="20"/>
              </w:rPr>
              <w:t>KIM</w:t>
            </w:r>
          </w:p>
        </w:tc>
        <w:tc>
          <w:tcPr>
            <w:tcW w:w="150" w:type="pct"/>
            <w:shd w:val="clear" w:color="auto" w:fill="CCEEFF"/>
            <w:vAlign w:val="center"/>
            <w:hideMark/>
          </w:tcPr>
          <w:p w14:paraId="530D9E13" w14:textId="77777777" w:rsidR="00000000" w:rsidRDefault="0053651E">
            <w:pPr>
              <w:rPr>
                <w:rFonts w:eastAsia="Times New Roman"/>
                <w:sz w:val="20"/>
                <w:szCs w:val="20"/>
              </w:rPr>
            </w:pPr>
            <w:r>
              <w:rPr>
                <w:rFonts w:eastAsia="Times New Roman"/>
                <w:sz w:val="20"/>
                <w:szCs w:val="20"/>
              </w:rPr>
              <w:t> </w:t>
            </w:r>
          </w:p>
        </w:tc>
        <w:tc>
          <w:tcPr>
            <w:tcW w:w="1500" w:type="pct"/>
            <w:shd w:val="clear" w:color="auto" w:fill="CCEEFF"/>
            <w:vAlign w:val="center"/>
            <w:hideMark/>
          </w:tcPr>
          <w:p w14:paraId="4C760E67" w14:textId="77777777" w:rsidR="00000000" w:rsidRDefault="0053651E">
            <w:pPr>
              <w:jc w:val="center"/>
              <w:rPr>
                <w:rFonts w:eastAsia="Times New Roman"/>
                <w:sz w:val="20"/>
                <w:szCs w:val="20"/>
              </w:rPr>
            </w:pPr>
            <w:r>
              <w:rPr>
                <w:rFonts w:eastAsia="Times New Roman"/>
                <w:sz w:val="20"/>
                <w:szCs w:val="20"/>
              </w:rPr>
              <w:t>New York Stock Exchange</w:t>
            </w:r>
          </w:p>
        </w:tc>
      </w:tr>
      <w:tr w:rsidR="00000000" w14:paraId="67CF9F9A" w14:textId="77777777">
        <w:trPr>
          <w:divId w:val="1967154864"/>
          <w:tblCellSpacing w:w="0" w:type="dxa"/>
        </w:trPr>
        <w:tc>
          <w:tcPr>
            <w:tcW w:w="2450" w:type="pct"/>
            <w:shd w:val="clear" w:color="auto" w:fill="FFFFFF"/>
            <w:vAlign w:val="center"/>
            <w:hideMark/>
          </w:tcPr>
          <w:p w14:paraId="489F2B24" w14:textId="77777777" w:rsidR="00000000" w:rsidRDefault="0053651E">
            <w:pPr>
              <w:rPr>
                <w:rFonts w:eastAsia="Times New Roman"/>
                <w:sz w:val="20"/>
                <w:szCs w:val="20"/>
              </w:rPr>
            </w:pPr>
            <w:r>
              <w:rPr>
                <w:rFonts w:eastAsia="Times New Roman"/>
                <w:sz w:val="20"/>
                <w:szCs w:val="20"/>
              </w:rPr>
              <w:t>Depositary Shares, each representing one-thousandth of a share of 5.125% Class L Cumulative Redeemable, Preferred Stock, $1.00 par value per share.</w:t>
            </w:r>
          </w:p>
        </w:tc>
        <w:tc>
          <w:tcPr>
            <w:tcW w:w="150" w:type="pct"/>
            <w:shd w:val="clear" w:color="auto" w:fill="FFFFFF"/>
            <w:vAlign w:val="center"/>
            <w:hideMark/>
          </w:tcPr>
          <w:p w14:paraId="1D46EB5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4BEDAE5" w14:textId="77777777" w:rsidR="00000000" w:rsidRDefault="0053651E">
            <w:pPr>
              <w:jc w:val="center"/>
              <w:rPr>
                <w:rFonts w:eastAsia="Times New Roman"/>
                <w:sz w:val="20"/>
                <w:szCs w:val="20"/>
              </w:rPr>
            </w:pPr>
            <w:r>
              <w:rPr>
                <w:rFonts w:eastAsia="Times New Roman"/>
                <w:sz w:val="20"/>
                <w:szCs w:val="20"/>
              </w:rPr>
              <w:t>KIMprL</w:t>
            </w:r>
          </w:p>
        </w:tc>
        <w:tc>
          <w:tcPr>
            <w:tcW w:w="150" w:type="pct"/>
            <w:shd w:val="clear" w:color="auto" w:fill="FFFFFF"/>
            <w:vAlign w:val="center"/>
            <w:hideMark/>
          </w:tcPr>
          <w:p w14:paraId="68E053D0" w14:textId="77777777" w:rsidR="00000000" w:rsidRDefault="0053651E">
            <w:pPr>
              <w:rPr>
                <w:rFonts w:eastAsia="Times New Roman"/>
                <w:sz w:val="20"/>
                <w:szCs w:val="20"/>
              </w:rPr>
            </w:pPr>
            <w:r>
              <w:rPr>
                <w:rFonts w:eastAsia="Times New Roman"/>
                <w:sz w:val="20"/>
                <w:szCs w:val="20"/>
              </w:rPr>
              <w:t> </w:t>
            </w:r>
          </w:p>
        </w:tc>
        <w:tc>
          <w:tcPr>
            <w:tcW w:w="1500" w:type="pct"/>
            <w:shd w:val="clear" w:color="auto" w:fill="FFFFFF"/>
            <w:vAlign w:val="bottom"/>
            <w:hideMark/>
          </w:tcPr>
          <w:p w14:paraId="00FC3D7D" w14:textId="77777777" w:rsidR="00000000" w:rsidRDefault="0053651E">
            <w:pPr>
              <w:jc w:val="center"/>
              <w:rPr>
                <w:rFonts w:eastAsia="Times New Roman"/>
                <w:sz w:val="20"/>
                <w:szCs w:val="20"/>
              </w:rPr>
            </w:pPr>
            <w:r>
              <w:rPr>
                <w:rFonts w:eastAsia="Times New Roman"/>
                <w:sz w:val="20"/>
                <w:szCs w:val="20"/>
              </w:rPr>
              <w:t>New York Stock Exchange</w:t>
            </w:r>
          </w:p>
        </w:tc>
      </w:tr>
      <w:tr w:rsidR="00000000" w14:paraId="42EA54C7" w14:textId="77777777">
        <w:trPr>
          <w:divId w:val="1967154864"/>
          <w:tblCellSpacing w:w="0" w:type="dxa"/>
        </w:trPr>
        <w:tc>
          <w:tcPr>
            <w:tcW w:w="2450" w:type="pct"/>
            <w:shd w:val="clear" w:color="auto" w:fill="CCEEFF"/>
            <w:vAlign w:val="center"/>
            <w:hideMark/>
          </w:tcPr>
          <w:p w14:paraId="232AC3D2" w14:textId="77777777" w:rsidR="00000000" w:rsidRDefault="0053651E">
            <w:pPr>
              <w:rPr>
                <w:rFonts w:eastAsia="Times New Roman"/>
                <w:sz w:val="20"/>
                <w:szCs w:val="20"/>
              </w:rPr>
            </w:pPr>
            <w:r>
              <w:rPr>
                <w:rFonts w:eastAsia="Times New Roman"/>
                <w:sz w:val="20"/>
                <w:szCs w:val="20"/>
              </w:rPr>
              <w:t>Depositary Shares, each representing one-thousandth of a share of 5.250%</w:t>
            </w:r>
            <w:r>
              <w:rPr>
                <w:rFonts w:eastAsia="Times New Roman"/>
                <w:sz w:val="20"/>
                <w:szCs w:val="20"/>
              </w:rPr>
              <w:t xml:space="preserve"> Class M Cumulative Redeemable Preferred Stock, $1.00 par value per share.</w:t>
            </w:r>
          </w:p>
        </w:tc>
        <w:tc>
          <w:tcPr>
            <w:tcW w:w="150" w:type="pct"/>
            <w:shd w:val="clear" w:color="auto" w:fill="CCEEFF"/>
            <w:vAlign w:val="center"/>
            <w:hideMark/>
          </w:tcPr>
          <w:p w14:paraId="3AA70B4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5699C22" w14:textId="77777777" w:rsidR="00000000" w:rsidRDefault="0053651E">
            <w:pPr>
              <w:jc w:val="center"/>
              <w:rPr>
                <w:rFonts w:eastAsia="Times New Roman"/>
                <w:sz w:val="20"/>
                <w:szCs w:val="20"/>
              </w:rPr>
            </w:pPr>
            <w:r>
              <w:rPr>
                <w:rFonts w:eastAsia="Times New Roman"/>
                <w:sz w:val="20"/>
                <w:szCs w:val="20"/>
              </w:rPr>
              <w:t>KIMprM</w:t>
            </w:r>
          </w:p>
        </w:tc>
        <w:tc>
          <w:tcPr>
            <w:tcW w:w="150" w:type="pct"/>
            <w:shd w:val="clear" w:color="auto" w:fill="CCEEFF"/>
            <w:vAlign w:val="center"/>
            <w:hideMark/>
          </w:tcPr>
          <w:p w14:paraId="2F97944D" w14:textId="77777777" w:rsidR="00000000" w:rsidRDefault="0053651E">
            <w:pPr>
              <w:rPr>
                <w:rFonts w:eastAsia="Times New Roman"/>
                <w:sz w:val="20"/>
                <w:szCs w:val="20"/>
              </w:rPr>
            </w:pPr>
            <w:r>
              <w:rPr>
                <w:rFonts w:eastAsia="Times New Roman"/>
                <w:sz w:val="20"/>
                <w:szCs w:val="20"/>
              </w:rPr>
              <w:t> </w:t>
            </w:r>
          </w:p>
        </w:tc>
        <w:tc>
          <w:tcPr>
            <w:tcW w:w="1500" w:type="pct"/>
            <w:shd w:val="clear" w:color="auto" w:fill="CCEEFF"/>
            <w:vAlign w:val="bottom"/>
            <w:hideMark/>
          </w:tcPr>
          <w:p w14:paraId="6521208B" w14:textId="77777777" w:rsidR="00000000" w:rsidRDefault="0053651E">
            <w:pPr>
              <w:jc w:val="center"/>
              <w:rPr>
                <w:rFonts w:eastAsia="Times New Roman"/>
                <w:sz w:val="20"/>
                <w:szCs w:val="20"/>
              </w:rPr>
            </w:pPr>
            <w:r>
              <w:rPr>
                <w:rFonts w:eastAsia="Times New Roman"/>
                <w:sz w:val="20"/>
                <w:szCs w:val="20"/>
              </w:rPr>
              <w:t>New York Stock Exchange</w:t>
            </w:r>
          </w:p>
        </w:tc>
      </w:tr>
    </w:tbl>
    <w:p w14:paraId="32C33FCB" w14:textId="77777777" w:rsidR="00000000" w:rsidRDefault="0053651E">
      <w:pPr>
        <w:pStyle w:val="a3"/>
        <w:spacing w:before="0" w:beforeAutospacing="0" w:after="0" w:afterAutospacing="0"/>
        <w:ind w:firstLine="360"/>
        <w:divId w:val="1967154864"/>
        <w:rPr>
          <w:sz w:val="20"/>
          <w:szCs w:val="20"/>
        </w:rPr>
      </w:pPr>
      <w:r>
        <w:rPr>
          <w:sz w:val="20"/>
          <w:szCs w:val="20"/>
        </w:rPr>
        <w:t> </w:t>
      </w:r>
    </w:p>
    <w:p w14:paraId="07731F00" w14:textId="77777777" w:rsidR="00000000" w:rsidRDefault="0053651E">
      <w:pPr>
        <w:pStyle w:val="a3"/>
        <w:spacing w:before="0" w:beforeAutospacing="0" w:after="0" w:afterAutospacing="0"/>
        <w:ind w:firstLine="360"/>
        <w:divId w:val="1967154864"/>
        <w:rPr>
          <w:sz w:val="20"/>
          <w:szCs w:val="20"/>
        </w:rPr>
      </w:pPr>
      <w:r>
        <w:rPr>
          <w:sz w:val="20"/>
          <w:szCs w:val="20"/>
        </w:rPr>
        <w:t>Securities registered pursuant to section 12(g) of the Act:      None</w:t>
      </w:r>
    </w:p>
    <w:p w14:paraId="6678E4B7" w14:textId="77777777" w:rsidR="00000000" w:rsidRDefault="0053651E">
      <w:pPr>
        <w:pStyle w:val="a3"/>
        <w:spacing w:before="0" w:beforeAutospacing="0" w:after="0" w:afterAutospacing="0"/>
        <w:divId w:val="1967154864"/>
        <w:rPr>
          <w:sz w:val="20"/>
          <w:szCs w:val="20"/>
        </w:rPr>
      </w:pPr>
      <w:r>
        <w:rPr>
          <w:sz w:val="20"/>
          <w:szCs w:val="20"/>
        </w:rPr>
        <w:t> </w:t>
      </w:r>
    </w:p>
    <w:p w14:paraId="46EB36A4" w14:textId="77777777" w:rsidR="00000000" w:rsidRDefault="0053651E">
      <w:pPr>
        <w:pStyle w:val="a3"/>
        <w:spacing w:before="0" w:beforeAutospacing="0" w:after="0" w:afterAutospacing="0"/>
        <w:ind w:firstLine="360"/>
        <w:divId w:val="1967154864"/>
        <w:rPr>
          <w:sz w:val="20"/>
          <w:szCs w:val="20"/>
        </w:rPr>
      </w:pPr>
      <w:r>
        <w:rPr>
          <w:sz w:val="20"/>
          <w:szCs w:val="20"/>
        </w:rPr>
        <w:t xml:space="preserve">Indicate by check mark if the registrant is a well-known seasoned issuer, as defined in Rule 405 of the Securities Act.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14:paraId="489C1C93" w14:textId="77777777" w:rsidR="00000000" w:rsidRDefault="0053651E">
      <w:pPr>
        <w:pStyle w:val="a3"/>
        <w:spacing w:before="0" w:beforeAutospacing="0" w:after="0" w:afterAutospacing="0"/>
        <w:divId w:val="1967154864"/>
        <w:rPr>
          <w:sz w:val="20"/>
          <w:szCs w:val="20"/>
        </w:rPr>
      </w:pPr>
      <w:r>
        <w:rPr>
          <w:sz w:val="20"/>
          <w:szCs w:val="20"/>
        </w:rPr>
        <w:lastRenderedPageBreak/>
        <w:t> </w:t>
      </w:r>
    </w:p>
    <w:p w14:paraId="28011BEE" w14:textId="77777777" w:rsidR="00000000" w:rsidRDefault="0053651E">
      <w:pPr>
        <w:pStyle w:val="a3"/>
        <w:spacing w:before="0" w:beforeAutospacing="0" w:after="0" w:afterAutospacing="0"/>
        <w:ind w:firstLine="360"/>
        <w:divId w:val="1967154864"/>
        <w:rPr>
          <w:sz w:val="20"/>
          <w:szCs w:val="20"/>
        </w:rPr>
      </w:pPr>
      <w:r>
        <w:rPr>
          <w:sz w:val="20"/>
          <w:szCs w:val="20"/>
        </w:rPr>
        <w:t>Indicate by check mark if the registrant is not required to file reports pursuant to Section 13 or Section 15(d) of the Act</w:t>
      </w:r>
      <w:r>
        <w:rPr>
          <w:sz w:val="20"/>
          <w:szCs w:val="20"/>
        </w:rPr>
        <w:t xml:space="preserve">.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14:paraId="4D993BD9" w14:textId="77777777" w:rsidR="00000000" w:rsidRDefault="0053651E">
      <w:pPr>
        <w:pStyle w:val="a3"/>
        <w:spacing w:before="0" w:beforeAutospacing="0" w:after="0" w:afterAutospacing="0"/>
        <w:divId w:val="1967154864"/>
        <w:rPr>
          <w:sz w:val="20"/>
          <w:szCs w:val="20"/>
        </w:rPr>
      </w:pPr>
      <w:r>
        <w:rPr>
          <w:sz w:val="20"/>
          <w:szCs w:val="20"/>
        </w:rPr>
        <w:t> </w:t>
      </w:r>
    </w:p>
    <w:p w14:paraId="0A99CB21" w14:textId="77777777" w:rsidR="00000000" w:rsidRDefault="0053651E">
      <w:pPr>
        <w:pStyle w:val="a3"/>
        <w:spacing w:before="0" w:beforeAutospacing="0" w:after="0" w:afterAutospacing="0"/>
        <w:ind w:firstLine="360"/>
        <w:divId w:val="1967154864"/>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w:t>
      </w:r>
      <w:r>
        <w:rPr>
          <w:sz w:val="20"/>
          <w:szCs w:val="20"/>
        </w:rPr>
        <w:t xml:space="preserve">uired to file such reports), and (2) has been subject to such filing requirements for the past 90 days.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14:paraId="4912558E" w14:textId="77777777" w:rsidR="00000000" w:rsidRDefault="0053651E">
      <w:pPr>
        <w:pStyle w:val="a3"/>
        <w:spacing w:before="0" w:beforeAutospacing="0" w:after="0" w:afterAutospacing="0"/>
        <w:divId w:val="1967154864"/>
        <w:rPr>
          <w:sz w:val="20"/>
          <w:szCs w:val="20"/>
        </w:rPr>
      </w:pPr>
      <w:r>
        <w:rPr>
          <w:sz w:val="20"/>
          <w:szCs w:val="20"/>
        </w:rPr>
        <w:t> </w:t>
      </w:r>
    </w:p>
    <w:p w14:paraId="5F68F4A3" w14:textId="77777777" w:rsidR="00000000" w:rsidRDefault="0053651E">
      <w:pPr>
        <w:pStyle w:val="a3"/>
        <w:spacing w:before="0" w:beforeAutospacing="0" w:after="0" w:afterAutospacing="0"/>
        <w:ind w:firstLine="360"/>
        <w:divId w:val="1967154864"/>
        <w:rPr>
          <w:sz w:val="20"/>
          <w:szCs w:val="20"/>
        </w:rPr>
      </w:pPr>
      <w:r>
        <w:rPr>
          <w:sz w:val="20"/>
          <w:szCs w:val="20"/>
        </w:rPr>
        <w:t>Indicate by check mark whether the registrant has submitted electronically, every Interactive Data File required to be submitted pursuant t</w:t>
      </w:r>
      <w:r>
        <w:rPr>
          <w:sz w:val="20"/>
          <w:szCs w:val="20"/>
        </w:rPr>
        <w:t xml:space="preserve">o Rule 405 of Regulation S-T (§ 232.405 of this chapter) during the preceding 12 months (or for such shorter period that the registrant was required to submit such files).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14:paraId="587DF910" w14:textId="77777777" w:rsidR="00000000" w:rsidRDefault="0053651E">
      <w:pPr>
        <w:pStyle w:val="a3"/>
        <w:spacing w:before="0" w:beforeAutospacing="0" w:after="0" w:afterAutospacing="0"/>
        <w:divId w:val="1967154864"/>
        <w:rPr>
          <w:sz w:val="20"/>
          <w:szCs w:val="20"/>
        </w:rPr>
      </w:pPr>
      <w:r>
        <w:rPr>
          <w:sz w:val="20"/>
          <w:szCs w:val="20"/>
        </w:rPr>
        <w:t> </w:t>
      </w:r>
    </w:p>
    <w:p w14:paraId="73C8D192" w14:textId="77777777" w:rsidR="00000000" w:rsidRDefault="0053651E">
      <w:pPr>
        <w:pStyle w:val="a3"/>
        <w:spacing w:before="0" w:beforeAutospacing="0" w:after="0" w:afterAutospacing="0"/>
        <w:ind w:firstLine="360"/>
        <w:divId w:val="1967154864"/>
        <w:rPr>
          <w:sz w:val="20"/>
          <w:szCs w:val="20"/>
        </w:rPr>
      </w:pPr>
      <w:r>
        <w:rPr>
          <w:sz w:val="20"/>
          <w:szCs w:val="20"/>
        </w:rPr>
        <w:t>Indicate by check mark whether the registrant is a large accelerated</w:t>
      </w:r>
      <w:r>
        <w:rPr>
          <w:sz w:val="20"/>
          <w:szCs w:val="20"/>
        </w:rPr>
        <w:t xml:space="preserve"> filer, an accelerated filer, a non-accelerated filer, smaller reporting company or an emerging growth company. See the definitions of “large accelerated filer,” “accelerated filer,” “smaller reporting company,” and “emerging growth company” in Rule 12b-2 </w:t>
      </w:r>
      <w:r>
        <w:rPr>
          <w:sz w:val="20"/>
          <w:szCs w:val="20"/>
        </w:rPr>
        <w:t>of the Exchange Act.</w:t>
      </w:r>
    </w:p>
    <w:p w14:paraId="7A1CCA6B" w14:textId="77777777" w:rsidR="00000000" w:rsidRDefault="0053651E">
      <w:pPr>
        <w:pStyle w:val="a3"/>
        <w:spacing w:before="0" w:beforeAutospacing="0" w:after="0" w:afterAutospacing="0"/>
        <w:divId w:val="1967154864"/>
        <w:rPr>
          <w:sz w:val="20"/>
          <w:szCs w:val="20"/>
        </w:rPr>
      </w:pPr>
      <w:r>
        <w:rPr>
          <w:sz w:val="20"/>
          <w:szCs w:val="20"/>
        </w:rPr>
        <w:t> </w:t>
      </w:r>
    </w:p>
    <w:tbl>
      <w:tblPr>
        <w:tblW w:w="3000" w:type="pct"/>
        <w:tblCellSpacing w:w="0" w:type="dxa"/>
        <w:tblInd w:w="20" w:type="dxa"/>
        <w:tblCellMar>
          <w:left w:w="0" w:type="dxa"/>
          <w:right w:w="0" w:type="dxa"/>
        </w:tblCellMar>
        <w:tblLook w:val="04A0" w:firstRow="1" w:lastRow="0" w:firstColumn="1" w:lastColumn="0" w:noHBand="0" w:noVBand="1"/>
      </w:tblPr>
      <w:tblGrid>
        <w:gridCol w:w="1891"/>
        <w:gridCol w:w="873"/>
        <w:gridCol w:w="1871"/>
        <w:gridCol w:w="349"/>
      </w:tblGrid>
      <w:tr w:rsidR="00000000" w14:paraId="148D6875" w14:textId="77777777">
        <w:trPr>
          <w:divId w:val="1967154864"/>
          <w:tblCellSpacing w:w="0" w:type="dxa"/>
        </w:trPr>
        <w:tc>
          <w:tcPr>
            <w:tcW w:w="1895" w:type="pct"/>
            <w:hideMark/>
          </w:tcPr>
          <w:p w14:paraId="3D8E58CB" w14:textId="77777777" w:rsidR="00000000" w:rsidRDefault="0053651E">
            <w:pPr>
              <w:pStyle w:val="a3"/>
              <w:spacing w:before="0" w:beforeAutospacing="0" w:after="0" w:afterAutospacing="0"/>
              <w:rPr>
                <w:sz w:val="20"/>
                <w:szCs w:val="20"/>
              </w:rPr>
            </w:pPr>
            <w:r>
              <w:rPr>
                <w:sz w:val="20"/>
                <w:szCs w:val="20"/>
              </w:rPr>
              <w:t>Large accelerated filer</w:t>
            </w:r>
          </w:p>
        </w:tc>
        <w:tc>
          <w:tcPr>
            <w:tcW w:w="875" w:type="pct"/>
            <w:hideMark/>
          </w:tcPr>
          <w:p w14:paraId="18F12935" w14:textId="77777777" w:rsidR="00000000" w:rsidRDefault="0053651E">
            <w:pPr>
              <w:pStyle w:val="a3"/>
              <w:spacing w:before="0" w:beforeAutospacing="0" w:after="0" w:afterAutospacing="0"/>
              <w:rPr>
                <w:sz w:val="20"/>
                <w:szCs w:val="20"/>
              </w:rPr>
            </w:pPr>
            <w:r>
              <w:rPr>
                <w:rFonts w:ascii="Segoe UI Emoji" w:hAnsi="Segoe UI Emoji" w:cs="Segoe UI Emoji"/>
                <w:sz w:val="20"/>
                <w:szCs w:val="20"/>
              </w:rPr>
              <w:t>☑</w:t>
            </w:r>
          </w:p>
        </w:tc>
        <w:tc>
          <w:tcPr>
            <w:tcW w:w="1875" w:type="pct"/>
            <w:hideMark/>
          </w:tcPr>
          <w:p w14:paraId="76C69856" w14:textId="77777777" w:rsidR="00000000" w:rsidRDefault="0053651E">
            <w:pPr>
              <w:pStyle w:val="a3"/>
              <w:spacing w:before="0" w:beforeAutospacing="0" w:after="0" w:afterAutospacing="0"/>
              <w:rPr>
                <w:sz w:val="20"/>
                <w:szCs w:val="20"/>
              </w:rPr>
            </w:pPr>
            <w:r>
              <w:rPr>
                <w:sz w:val="20"/>
                <w:szCs w:val="20"/>
              </w:rPr>
              <w:t>Accelerated filer</w:t>
            </w:r>
          </w:p>
        </w:tc>
        <w:tc>
          <w:tcPr>
            <w:tcW w:w="350" w:type="pct"/>
            <w:hideMark/>
          </w:tcPr>
          <w:p w14:paraId="3BCF2363" w14:textId="77777777" w:rsidR="00000000" w:rsidRDefault="0053651E">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229129A9" w14:textId="77777777">
        <w:trPr>
          <w:divId w:val="1967154864"/>
          <w:tblCellSpacing w:w="0" w:type="dxa"/>
        </w:trPr>
        <w:tc>
          <w:tcPr>
            <w:tcW w:w="1895" w:type="pct"/>
            <w:hideMark/>
          </w:tcPr>
          <w:p w14:paraId="0FECFBAA" w14:textId="77777777" w:rsidR="00000000" w:rsidRDefault="0053651E">
            <w:pPr>
              <w:pStyle w:val="a3"/>
              <w:spacing w:before="0" w:beforeAutospacing="0" w:after="0" w:afterAutospacing="0"/>
              <w:rPr>
                <w:sz w:val="20"/>
                <w:szCs w:val="20"/>
              </w:rPr>
            </w:pPr>
            <w:r>
              <w:rPr>
                <w:sz w:val="20"/>
                <w:szCs w:val="20"/>
              </w:rPr>
              <w:t>Non-accelerated filer</w:t>
            </w:r>
          </w:p>
        </w:tc>
        <w:tc>
          <w:tcPr>
            <w:tcW w:w="875" w:type="pct"/>
            <w:hideMark/>
          </w:tcPr>
          <w:p w14:paraId="117F7437" w14:textId="77777777" w:rsidR="00000000" w:rsidRDefault="0053651E">
            <w:pPr>
              <w:pStyle w:val="a3"/>
              <w:spacing w:before="0" w:beforeAutospacing="0" w:after="0" w:afterAutospacing="0"/>
              <w:rPr>
                <w:sz w:val="20"/>
                <w:szCs w:val="20"/>
              </w:rPr>
            </w:pPr>
            <w:r>
              <w:rPr>
                <w:rFonts w:ascii="Segoe UI Symbol" w:hAnsi="Segoe UI Symbol" w:cs="Segoe UI Symbol"/>
                <w:sz w:val="20"/>
                <w:szCs w:val="20"/>
              </w:rPr>
              <w:t>☐</w:t>
            </w:r>
          </w:p>
        </w:tc>
        <w:tc>
          <w:tcPr>
            <w:tcW w:w="1875" w:type="pct"/>
            <w:hideMark/>
          </w:tcPr>
          <w:p w14:paraId="619A1215" w14:textId="77777777" w:rsidR="00000000" w:rsidRDefault="0053651E">
            <w:pPr>
              <w:pStyle w:val="a3"/>
              <w:spacing w:before="0" w:beforeAutospacing="0" w:after="0" w:afterAutospacing="0"/>
              <w:rPr>
                <w:sz w:val="20"/>
                <w:szCs w:val="20"/>
              </w:rPr>
            </w:pPr>
            <w:r>
              <w:rPr>
                <w:sz w:val="20"/>
                <w:szCs w:val="20"/>
              </w:rPr>
              <w:t>Smaller reporting company</w:t>
            </w:r>
          </w:p>
        </w:tc>
        <w:tc>
          <w:tcPr>
            <w:tcW w:w="350" w:type="pct"/>
            <w:hideMark/>
          </w:tcPr>
          <w:p w14:paraId="6EB4A0FE" w14:textId="77777777" w:rsidR="00000000" w:rsidRDefault="0053651E">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2DF1A577" w14:textId="77777777">
        <w:trPr>
          <w:divId w:val="1967154864"/>
          <w:tblCellSpacing w:w="0" w:type="dxa"/>
        </w:trPr>
        <w:tc>
          <w:tcPr>
            <w:tcW w:w="1895" w:type="pct"/>
            <w:hideMark/>
          </w:tcPr>
          <w:p w14:paraId="35F7F5C3" w14:textId="77777777" w:rsidR="00000000" w:rsidRDefault="0053651E">
            <w:pPr>
              <w:pStyle w:val="a3"/>
              <w:spacing w:before="0" w:beforeAutospacing="0" w:after="0" w:afterAutospacing="0"/>
              <w:rPr>
                <w:sz w:val="20"/>
                <w:szCs w:val="20"/>
              </w:rPr>
            </w:pPr>
            <w:r>
              <w:rPr>
                <w:sz w:val="20"/>
                <w:szCs w:val="20"/>
              </w:rPr>
              <w:t>Emerging growth company</w:t>
            </w:r>
          </w:p>
        </w:tc>
        <w:tc>
          <w:tcPr>
            <w:tcW w:w="875" w:type="pct"/>
            <w:hideMark/>
          </w:tcPr>
          <w:p w14:paraId="049C0A9E" w14:textId="77777777" w:rsidR="00000000" w:rsidRDefault="0053651E">
            <w:pPr>
              <w:pStyle w:val="a3"/>
              <w:spacing w:before="0" w:beforeAutospacing="0" w:after="0" w:afterAutospacing="0"/>
              <w:rPr>
                <w:sz w:val="20"/>
                <w:szCs w:val="20"/>
              </w:rPr>
            </w:pPr>
            <w:r>
              <w:rPr>
                <w:rFonts w:ascii="Segoe UI Symbol" w:hAnsi="Segoe UI Symbol" w:cs="Segoe UI Symbol"/>
                <w:sz w:val="20"/>
                <w:szCs w:val="20"/>
              </w:rPr>
              <w:t>☐</w:t>
            </w:r>
          </w:p>
        </w:tc>
        <w:tc>
          <w:tcPr>
            <w:tcW w:w="1875" w:type="pct"/>
            <w:hideMark/>
          </w:tcPr>
          <w:p w14:paraId="714FFB87" w14:textId="77777777" w:rsidR="00000000" w:rsidRDefault="0053651E">
            <w:pPr>
              <w:rPr>
                <w:rFonts w:eastAsia="Times New Roman"/>
                <w:sz w:val="20"/>
                <w:szCs w:val="20"/>
              </w:rPr>
            </w:pPr>
            <w:r>
              <w:rPr>
                <w:rFonts w:eastAsia="Times New Roman"/>
                <w:sz w:val="20"/>
                <w:szCs w:val="20"/>
              </w:rPr>
              <w:t> </w:t>
            </w:r>
          </w:p>
        </w:tc>
        <w:tc>
          <w:tcPr>
            <w:tcW w:w="350" w:type="pct"/>
            <w:hideMark/>
          </w:tcPr>
          <w:p w14:paraId="247169B9" w14:textId="77777777" w:rsidR="00000000" w:rsidRDefault="0053651E">
            <w:pPr>
              <w:rPr>
                <w:rFonts w:eastAsia="Times New Roman"/>
                <w:sz w:val="20"/>
                <w:szCs w:val="20"/>
              </w:rPr>
            </w:pPr>
            <w:r>
              <w:rPr>
                <w:rFonts w:eastAsia="Times New Roman"/>
                <w:sz w:val="20"/>
                <w:szCs w:val="20"/>
              </w:rPr>
              <w:t> </w:t>
            </w:r>
          </w:p>
        </w:tc>
      </w:tr>
    </w:tbl>
    <w:p w14:paraId="2A65961B" w14:textId="77777777" w:rsidR="00000000" w:rsidRDefault="0053651E">
      <w:pPr>
        <w:pStyle w:val="a3"/>
        <w:spacing w:before="0" w:beforeAutospacing="0" w:after="0" w:afterAutospacing="0"/>
        <w:divId w:val="1967154864"/>
        <w:rPr>
          <w:sz w:val="20"/>
          <w:szCs w:val="20"/>
        </w:rPr>
      </w:pPr>
      <w:r>
        <w:rPr>
          <w:sz w:val="20"/>
          <w:szCs w:val="20"/>
        </w:rPr>
        <w:t> </w:t>
      </w:r>
    </w:p>
    <w:p w14:paraId="163C556A" w14:textId="77777777" w:rsidR="00000000" w:rsidRDefault="0053651E">
      <w:pPr>
        <w:jc w:val="center"/>
        <w:divId w:val="1599681452"/>
        <w:rPr>
          <w:rFonts w:eastAsia="Times New Roman"/>
          <w:sz w:val="20"/>
          <w:szCs w:val="20"/>
        </w:rPr>
      </w:pPr>
      <w:r>
        <w:rPr>
          <w:rFonts w:eastAsia="Times New Roman"/>
          <w:sz w:val="20"/>
          <w:szCs w:val="20"/>
        </w:rPr>
        <w:t xml:space="preserve">  </w:t>
      </w:r>
    </w:p>
    <w:p w14:paraId="23A5818D" w14:textId="77777777" w:rsidR="00000000" w:rsidRDefault="0053651E">
      <w:pPr>
        <w:divId w:val="1599681452"/>
        <w:rPr>
          <w:rFonts w:eastAsia="Times New Roman"/>
          <w:sz w:val="20"/>
          <w:szCs w:val="20"/>
        </w:rPr>
      </w:pPr>
      <w:r>
        <w:rPr>
          <w:rFonts w:eastAsia="Times New Roman"/>
          <w:sz w:val="20"/>
          <w:szCs w:val="20"/>
        </w:rPr>
        <w:pict w14:anchorId="4BA41F13">
          <v:rect id="_x0000_i1027" style="width:415.3pt;height:1.5pt" o:hralign="center" o:hrstd="t" o:hrnoshade="t" o:hr="t" fillcolor="black" stroked="f"/>
        </w:pict>
      </w:r>
    </w:p>
    <w:p w14:paraId="1F67C0FC" w14:textId="77777777" w:rsidR="00000000" w:rsidRDefault="0053651E">
      <w:pPr>
        <w:divId w:val="15996814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A635750" w14:textId="77777777" w:rsidR="00000000" w:rsidRDefault="0053651E">
      <w:pPr>
        <w:pStyle w:val="a3"/>
        <w:spacing w:before="0" w:beforeAutospacing="0" w:after="0" w:afterAutospacing="0"/>
        <w:divId w:val="1967154864"/>
        <w:rPr>
          <w:sz w:val="20"/>
          <w:szCs w:val="20"/>
        </w:rPr>
      </w:pPr>
      <w:r>
        <w:rPr>
          <w:sz w:val="20"/>
          <w:szCs w:val="20"/>
        </w:rPr>
        <w:t> </w:t>
      </w:r>
    </w:p>
    <w:p w14:paraId="00199B1E" w14:textId="77777777" w:rsidR="00000000" w:rsidRDefault="0053651E">
      <w:pPr>
        <w:pStyle w:val="a3"/>
        <w:spacing w:before="0" w:beforeAutospacing="0" w:after="0" w:afterAutospacing="0"/>
        <w:ind w:firstLine="360"/>
        <w:divId w:val="1967154864"/>
        <w:rPr>
          <w:sz w:val="20"/>
          <w:szCs w:val="20"/>
        </w:rPr>
      </w:pPr>
      <w:r>
        <w:rPr>
          <w:sz w:val="20"/>
          <w:szCs w:val="20"/>
        </w:rPr>
        <w:t>If an emerging growth company</w:t>
      </w:r>
      <w:r>
        <w:rPr>
          <w:sz w:val="20"/>
          <w:szCs w:val="20"/>
        </w:rPr>
        <w:t xml:space="preserve">,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71607575" w14:textId="77777777" w:rsidR="00000000" w:rsidRDefault="0053651E">
      <w:pPr>
        <w:pStyle w:val="a3"/>
        <w:spacing w:before="0" w:beforeAutospacing="0" w:after="0" w:afterAutospacing="0"/>
        <w:divId w:val="1967154864"/>
        <w:rPr>
          <w:sz w:val="20"/>
          <w:szCs w:val="20"/>
        </w:rPr>
      </w:pPr>
      <w:r>
        <w:rPr>
          <w:sz w:val="20"/>
          <w:szCs w:val="20"/>
        </w:rPr>
        <w:t> </w:t>
      </w:r>
    </w:p>
    <w:p w14:paraId="1C87061D" w14:textId="77777777" w:rsidR="00000000" w:rsidRDefault="0053651E">
      <w:pPr>
        <w:pStyle w:val="a3"/>
        <w:spacing w:before="0" w:beforeAutospacing="0" w:after="0" w:afterAutospacing="0"/>
        <w:ind w:firstLine="360"/>
        <w:divId w:val="1967154864"/>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14:paraId="03024A59" w14:textId="77777777" w:rsidR="00000000" w:rsidRDefault="0053651E">
      <w:pPr>
        <w:pStyle w:val="a3"/>
        <w:spacing w:before="0" w:beforeAutospacing="0" w:after="0" w:afterAutospacing="0"/>
        <w:divId w:val="1967154864"/>
        <w:rPr>
          <w:sz w:val="20"/>
          <w:szCs w:val="20"/>
        </w:rPr>
      </w:pPr>
      <w:r>
        <w:rPr>
          <w:sz w:val="20"/>
          <w:szCs w:val="20"/>
        </w:rPr>
        <w:t> </w:t>
      </w:r>
    </w:p>
    <w:p w14:paraId="09EAFA93" w14:textId="77777777" w:rsidR="00000000" w:rsidRDefault="0053651E">
      <w:pPr>
        <w:pStyle w:val="a3"/>
        <w:spacing w:before="0" w:beforeAutospacing="0" w:after="0" w:afterAutospacing="0"/>
        <w:ind w:firstLine="360"/>
        <w:divId w:val="1967154864"/>
        <w:rPr>
          <w:sz w:val="20"/>
          <w:szCs w:val="20"/>
        </w:rPr>
      </w:pPr>
      <w:r>
        <w:rPr>
          <w:sz w:val="20"/>
          <w:szCs w:val="20"/>
        </w:rPr>
        <w:t>The aggregate market value of the voting and non-voting common equity held by non-affiliates of the registrant was approximately $7.6 b</w:t>
      </w:r>
      <w:r>
        <w:rPr>
          <w:sz w:val="20"/>
          <w:szCs w:val="20"/>
        </w:rPr>
        <w:t>illion based upon the closing price on the New York Stock Exchange for such equity on June 28, 2019.</w:t>
      </w:r>
    </w:p>
    <w:p w14:paraId="169B7C66" w14:textId="77777777" w:rsidR="00000000" w:rsidRDefault="0053651E">
      <w:pPr>
        <w:pStyle w:val="a3"/>
        <w:spacing w:before="0" w:beforeAutospacing="0" w:after="0" w:afterAutospacing="0"/>
        <w:divId w:val="1967154864"/>
        <w:rPr>
          <w:sz w:val="20"/>
          <w:szCs w:val="20"/>
        </w:rPr>
      </w:pPr>
      <w:r>
        <w:rPr>
          <w:sz w:val="20"/>
          <w:szCs w:val="20"/>
        </w:rPr>
        <w:t> </w:t>
      </w:r>
    </w:p>
    <w:p w14:paraId="660018DA" w14:textId="77777777" w:rsidR="00000000" w:rsidRDefault="0053651E">
      <w:pPr>
        <w:pStyle w:val="a3"/>
        <w:spacing w:before="0" w:beforeAutospacing="0" w:after="0" w:afterAutospacing="0"/>
        <w:jc w:val="center"/>
        <w:divId w:val="1967154864"/>
        <w:rPr>
          <w:sz w:val="20"/>
          <w:szCs w:val="20"/>
        </w:rPr>
      </w:pPr>
      <w:r>
        <w:rPr>
          <w:sz w:val="20"/>
          <w:szCs w:val="20"/>
        </w:rPr>
        <w:t>(APPLICABLE ONLY TO CORPORATE REGISTRANTS)</w:t>
      </w:r>
    </w:p>
    <w:p w14:paraId="2CC662E9" w14:textId="77777777" w:rsidR="00000000" w:rsidRDefault="0053651E">
      <w:pPr>
        <w:pStyle w:val="a3"/>
        <w:spacing w:before="0" w:beforeAutospacing="0" w:after="0" w:afterAutospacing="0"/>
        <w:ind w:firstLine="360"/>
        <w:divId w:val="1967154864"/>
        <w:rPr>
          <w:sz w:val="20"/>
          <w:szCs w:val="20"/>
        </w:rPr>
      </w:pPr>
      <w:r>
        <w:rPr>
          <w:sz w:val="20"/>
          <w:szCs w:val="20"/>
        </w:rPr>
        <w:t>Indicate the number of shares outstanding of each of the registrant's classes of common stock, as of the lates</w:t>
      </w:r>
      <w:r>
        <w:rPr>
          <w:sz w:val="20"/>
          <w:szCs w:val="20"/>
        </w:rPr>
        <w:t>t practicable date.</w:t>
      </w:r>
    </w:p>
    <w:p w14:paraId="51CD629B" w14:textId="77777777" w:rsidR="00000000" w:rsidRDefault="0053651E">
      <w:pPr>
        <w:pStyle w:val="a3"/>
        <w:spacing w:before="0" w:beforeAutospacing="0" w:after="0" w:afterAutospacing="0"/>
        <w:divId w:val="1967154864"/>
        <w:rPr>
          <w:sz w:val="20"/>
          <w:szCs w:val="20"/>
        </w:rPr>
      </w:pPr>
      <w:r>
        <w:rPr>
          <w:sz w:val="20"/>
          <w:szCs w:val="20"/>
        </w:rPr>
        <w:t> </w:t>
      </w:r>
    </w:p>
    <w:p w14:paraId="4F4CA59B" w14:textId="77777777" w:rsidR="00000000" w:rsidRDefault="0053651E">
      <w:pPr>
        <w:pStyle w:val="a3"/>
        <w:spacing w:before="0" w:beforeAutospacing="0" w:after="0" w:afterAutospacing="0"/>
        <w:jc w:val="center"/>
        <w:divId w:val="1967154864"/>
        <w:rPr>
          <w:sz w:val="20"/>
          <w:szCs w:val="20"/>
        </w:rPr>
      </w:pPr>
      <w:r>
        <w:rPr>
          <w:sz w:val="20"/>
          <w:szCs w:val="20"/>
        </w:rPr>
        <w:t>As of February 5, 2020, the registrant had 431,820,951 shares of common stock outstanding.</w:t>
      </w:r>
    </w:p>
    <w:p w14:paraId="4A7A0838" w14:textId="77777777" w:rsidR="00000000" w:rsidRDefault="0053651E">
      <w:pPr>
        <w:pStyle w:val="a3"/>
        <w:spacing w:before="0" w:beforeAutospacing="0" w:after="0" w:afterAutospacing="0"/>
        <w:divId w:val="1967154864"/>
        <w:rPr>
          <w:sz w:val="20"/>
          <w:szCs w:val="20"/>
        </w:rPr>
      </w:pPr>
      <w:r>
        <w:rPr>
          <w:sz w:val="20"/>
          <w:szCs w:val="20"/>
        </w:rPr>
        <w:t> </w:t>
      </w:r>
    </w:p>
    <w:p w14:paraId="469A2F2D" w14:textId="77777777" w:rsidR="00000000" w:rsidRDefault="0053651E">
      <w:pPr>
        <w:pStyle w:val="a3"/>
        <w:spacing w:before="0" w:beforeAutospacing="0" w:after="0" w:afterAutospacing="0"/>
        <w:jc w:val="center"/>
        <w:divId w:val="1967154864"/>
        <w:rPr>
          <w:sz w:val="20"/>
          <w:szCs w:val="20"/>
        </w:rPr>
      </w:pPr>
      <w:r>
        <w:rPr>
          <w:sz w:val="20"/>
          <w:szCs w:val="20"/>
        </w:rPr>
        <w:t>DOCUMENTS INCORPORATED BY REFERENCE</w:t>
      </w:r>
    </w:p>
    <w:p w14:paraId="24109B3B" w14:textId="77777777" w:rsidR="00000000" w:rsidRDefault="0053651E">
      <w:pPr>
        <w:pStyle w:val="a3"/>
        <w:spacing w:before="0" w:beforeAutospacing="0" w:after="0" w:afterAutospacing="0"/>
        <w:divId w:val="1967154864"/>
        <w:rPr>
          <w:sz w:val="20"/>
          <w:szCs w:val="20"/>
        </w:rPr>
      </w:pPr>
      <w:r>
        <w:rPr>
          <w:sz w:val="20"/>
          <w:szCs w:val="20"/>
        </w:rPr>
        <w:t> </w:t>
      </w:r>
    </w:p>
    <w:p w14:paraId="2C1FDDA8" w14:textId="77777777" w:rsidR="00000000" w:rsidRDefault="0053651E">
      <w:pPr>
        <w:pStyle w:val="a3"/>
        <w:spacing w:before="0" w:beforeAutospacing="0" w:after="0" w:afterAutospacing="0"/>
        <w:ind w:firstLine="360"/>
        <w:divId w:val="1967154864"/>
        <w:rPr>
          <w:sz w:val="20"/>
          <w:szCs w:val="20"/>
        </w:rPr>
      </w:pPr>
      <w:r>
        <w:rPr>
          <w:sz w:val="20"/>
          <w:szCs w:val="20"/>
        </w:rPr>
        <w:t>Part III incorporates certain information by reference to the Registrant's definitive proxy statement t</w:t>
      </w:r>
      <w:r>
        <w:rPr>
          <w:sz w:val="20"/>
          <w:szCs w:val="20"/>
        </w:rPr>
        <w:t>o be filed with respect to the Annual Meeting of Stockholders expected to be held on April 28, 2020.</w:t>
      </w:r>
    </w:p>
    <w:p w14:paraId="5D874AD9" w14:textId="77777777" w:rsidR="00000000" w:rsidRDefault="0053651E">
      <w:pPr>
        <w:pStyle w:val="a3"/>
        <w:spacing w:before="0" w:beforeAutospacing="0" w:after="0" w:afterAutospacing="0"/>
        <w:divId w:val="1967154864"/>
        <w:rPr>
          <w:sz w:val="20"/>
          <w:szCs w:val="20"/>
        </w:rPr>
      </w:pPr>
      <w:r>
        <w:rPr>
          <w:sz w:val="20"/>
          <w:szCs w:val="20"/>
        </w:rPr>
        <w:t> </w:t>
      </w:r>
    </w:p>
    <w:p w14:paraId="2A4F585A" w14:textId="77777777" w:rsidR="00000000" w:rsidRDefault="0053651E">
      <w:pPr>
        <w:pStyle w:val="a3"/>
        <w:spacing w:before="0" w:beforeAutospacing="0" w:after="0" w:afterAutospacing="0"/>
        <w:ind w:firstLine="360"/>
        <w:divId w:val="1967154864"/>
        <w:rPr>
          <w:sz w:val="20"/>
          <w:szCs w:val="20"/>
        </w:rPr>
      </w:pPr>
      <w:r>
        <w:rPr>
          <w:sz w:val="20"/>
          <w:szCs w:val="20"/>
        </w:rPr>
        <w:t>Index to Exhibits begins on page 39.</w:t>
      </w:r>
    </w:p>
    <w:p w14:paraId="40FD2F4A" w14:textId="77777777" w:rsidR="00000000" w:rsidRDefault="0053651E">
      <w:pPr>
        <w:pStyle w:val="a3"/>
        <w:spacing w:before="0" w:beforeAutospacing="0" w:after="0" w:afterAutospacing="0"/>
        <w:ind w:firstLine="360"/>
        <w:divId w:val="1967154864"/>
        <w:rPr>
          <w:sz w:val="20"/>
          <w:szCs w:val="20"/>
        </w:rPr>
      </w:pPr>
      <w:r>
        <w:rPr>
          <w:sz w:val="20"/>
          <w:szCs w:val="20"/>
        </w:rPr>
        <w:t> </w:t>
      </w:r>
    </w:p>
    <w:p w14:paraId="4C0C055F" w14:textId="77777777" w:rsidR="00000000" w:rsidRDefault="0053651E">
      <w:pPr>
        <w:spacing w:before="60" w:after="60"/>
        <w:divId w:val="1967154864"/>
        <w:rPr>
          <w:rFonts w:eastAsia="Times New Roman"/>
          <w:sz w:val="20"/>
          <w:szCs w:val="20"/>
        </w:rPr>
      </w:pPr>
      <w:r>
        <w:rPr>
          <w:rFonts w:eastAsia="Times New Roman"/>
          <w:sz w:val="20"/>
          <w:szCs w:val="20"/>
        </w:rPr>
        <w:pict w14:anchorId="7248EB79">
          <v:rect id="_x0000_i1028" style="width:415.3pt;height:.75pt" o:hralign="center" o:hrstd="t" o:hrnoshade="t" o:hr="t" fillcolor="black" stroked="f"/>
        </w:pict>
      </w:r>
    </w:p>
    <w:p w14:paraId="0436DF0A" w14:textId="77777777" w:rsidR="00000000" w:rsidRDefault="0053651E">
      <w:pPr>
        <w:spacing w:after="60"/>
        <w:divId w:val="1967154864"/>
        <w:rPr>
          <w:rFonts w:eastAsia="Times New Roman"/>
          <w:sz w:val="20"/>
          <w:szCs w:val="20"/>
        </w:rPr>
      </w:pPr>
      <w:r>
        <w:rPr>
          <w:rFonts w:eastAsia="Times New Roman"/>
          <w:sz w:val="20"/>
          <w:szCs w:val="20"/>
        </w:rPr>
        <w:pict w14:anchorId="727E7D69">
          <v:rect id="_x0000_i1029" style="width:415.3pt;height:2.25pt" o:hralign="center" o:hrstd="t" o:hrnoshade="t" o:hr="t" fillcolor="black" stroked="f"/>
        </w:pict>
      </w:r>
    </w:p>
    <w:p w14:paraId="481727B9" w14:textId="77777777" w:rsidR="00000000" w:rsidRDefault="0053651E">
      <w:pPr>
        <w:pStyle w:val="a3"/>
        <w:spacing w:before="0" w:beforeAutospacing="0" w:after="0" w:afterAutospacing="0"/>
        <w:divId w:val="1967154864"/>
        <w:rPr>
          <w:sz w:val="20"/>
          <w:szCs w:val="20"/>
        </w:rPr>
      </w:pPr>
      <w:r>
        <w:rPr>
          <w:sz w:val="20"/>
          <w:szCs w:val="20"/>
        </w:rPr>
        <w:t> </w:t>
      </w:r>
    </w:p>
    <w:p w14:paraId="3B5BBAAD" w14:textId="77777777" w:rsidR="00000000" w:rsidRDefault="0053651E">
      <w:pPr>
        <w:divId w:val="270626369"/>
        <w:rPr>
          <w:rFonts w:eastAsia="Times New Roman"/>
          <w:sz w:val="20"/>
          <w:szCs w:val="20"/>
        </w:rPr>
      </w:pPr>
      <w:r>
        <w:rPr>
          <w:rFonts w:eastAsia="Times New Roman"/>
          <w:sz w:val="20"/>
          <w:szCs w:val="20"/>
        </w:rPr>
        <w:t xml:space="preserve">  </w:t>
      </w:r>
    </w:p>
    <w:p w14:paraId="491549DA" w14:textId="77777777" w:rsidR="00000000" w:rsidRDefault="0053651E">
      <w:pPr>
        <w:jc w:val="center"/>
        <w:divId w:val="1460606970"/>
        <w:rPr>
          <w:rFonts w:eastAsia="Times New Roman"/>
          <w:sz w:val="20"/>
          <w:szCs w:val="20"/>
        </w:rPr>
      </w:pPr>
      <w:r>
        <w:rPr>
          <w:rFonts w:eastAsia="Times New Roman"/>
          <w:sz w:val="20"/>
          <w:szCs w:val="20"/>
        </w:rPr>
        <w:t xml:space="preserve">Page 1 of 90 </w:t>
      </w:r>
    </w:p>
    <w:p w14:paraId="50BF0337" w14:textId="77777777" w:rsidR="00000000" w:rsidRDefault="0053651E">
      <w:pPr>
        <w:divId w:val="1460606970"/>
        <w:rPr>
          <w:rFonts w:eastAsia="Times New Roman"/>
          <w:sz w:val="20"/>
          <w:szCs w:val="20"/>
        </w:rPr>
      </w:pPr>
      <w:r>
        <w:rPr>
          <w:rFonts w:eastAsia="Times New Roman"/>
          <w:sz w:val="20"/>
          <w:szCs w:val="20"/>
        </w:rPr>
        <w:lastRenderedPageBreak/>
        <w:pict w14:anchorId="799E1A1B">
          <v:rect id="_x0000_i1030" style="width:0;height:1.5pt" o:hralign="center" o:hrstd="t" o:hr="t" fillcolor="#a0a0a0" stroked="f"/>
        </w:pict>
      </w:r>
    </w:p>
    <w:p w14:paraId="4AEB38B6" w14:textId="77777777" w:rsidR="00000000" w:rsidRDefault="0053651E">
      <w:pPr>
        <w:divId w:val="14606069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CEB6EE4" w14:textId="77777777" w:rsidR="00000000" w:rsidRDefault="0053651E">
      <w:pPr>
        <w:pStyle w:val="a3"/>
        <w:spacing w:before="0" w:beforeAutospacing="0" w:after="0" w:afterAutospacing="0"/>
        <w:rPr>
          <w:sz w:val="20"/>
          <w:szCs w:val="20"/>
        </w:rPr>
      </w:pPr>
      <w:r>
        <w:rPr>
          <w:sz w:val="20"/>
          <w:szCs w:val="20"/>
        </w:rPr>
        <w:t> </w:t>
      </w:r>
    </w:p>
    <w:p w14:paraId="2F09F353" w14:textId="77777777" w:rsidR="00000000" w:rsidRDefault="0053651E">
      <w:pPr>
        <w:divId w:val="1921792104"/>
        <w:rPr>
          <w:rFonts w:eastAsia="Times New Roman"/>
          <w:sz w:val="20"/>
          <w:szCs w:val="20"/>
        </w:rPr>
      </w:pPr>
      <w:r>
        <w:rPr>
          <w:rFonts w:eastAsia="Times New Roman"/>
          <w:sz w:val="20"/>
          <w:szCs w:val="20"/>
        </w:rPr>
        <w:t xml:space="preserve">  </w:t>
      </w:r>
    </w:p>
    <w:p w14:paraId="2BC89078" w14:textId="77777777" w:rsidR="00000000" w:rsidRDefault="0053651E">
      <w:pPr>
        <w:pStyle w:val="a3"/>
        <w:spacing w:before="0" w:beforeAutospacing="0" w:after="0" w:afterAutospacing="0"/>
        <w:jc w:val="center"/>
        <w:divId w:val="206650418"/>
        <w:rPr>
          <w:sz w:val="20"/>
          <w:szCs w:val="20"/>
        </w:rPr>
      </w:pPr>
      <w:r>
        <w:rPr>
          <w:sz w:val="20"/>
          <w:szCs w:val="20"/>
        </w:rPr>
        <w:t>TABLE OF CONTENTS</w:t>
      </w:r>
    </w:p>
    <w:p w14:paraId="485B12DA" w14:textId="77777777" w:rsidR="00000000" w:rsidRDefault="0053651E">
      <w:pPr>
        <w:pStyle w:val="a3"/>
        <w:spacing w:before="0" w:beforeAutospacing="0" w:after="0" w:afterAutospacing="0"/>
        <w:jc w:val="center"/>
        <w:divId w:val="206650418"/>
        <w:rPr>
          <w:sz w:val="20"/>
          <w:szCs w:val="20"/>
        </w:rPr>
      </w:pPr>
      <w:r>
        <w:rPr>
          <w:sz w:val="20"/>
          <w:szCs w:val="20"/>
        </w:rPr>
        <w:t> </w:t>
      </w:r>
    </w:p>
    <w:p w14:paraId="68EF0511" w14:textId="77777777" w:rsidR="00000000" w:rsidRDefault="0053651E">
      <w:pPr>
        <w:divId w:val="2022008197"/>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322"/>
        <w:gridCol w:w="984"/>
      </w:tblGrid>
      <w:tr w:rsidR="00000000" w14:paraId="405CE3CF" w14:textId="77777777">
        <w:trPr>
          <w:divId w:val="206650418"/>
          <w:tblCellSpacing w:w="0" w:type="dxa"/>
        </w:trPr>
        <w:tc>
          <w:tcPr>
            <w:tcW w:w="4500" w:type="pct"/>
            <w:vAlign w:val="bottom"/>
            <w:hideMark/>
          </w:tcPr>
          <w:p w14:paraId="34A24F25" w14:textId="77777777" w:rsidR="00000000" w:rsidRDefault="0053651E">
            <w:pPr>
              <w:rPr>
                <w:rFonts w:eastAsia="Times New Roman"/>
                <w:sz w:val="20"/>
                <w:szCs w:val="20"/>
              </w:rPr>
            </w:pPr>
            <w:r>
              <w:rPr>
                <w:rFonts w:eastAsia="Times New Roman"/>
                <w:sz w:val="20"/>
                <w:szCs w:val="20"/>
                <w:u w:val="single"/>
              </w:rPr>
              <w:t>Item No</w:t>
            </w:r>
            <w:r>
              <w:rPr>
                <w:rFonts w:eastAsia="Times New Roman"/>
                <w:sz w:val="20"/>
                <w:szCs w:val="20"/>
              </w:rPr>
              <w:t>.</w:t>
            </w:r>
          </w:p>
        </w:tc>
        <w:tc>
          <w:tcPr>
            <w:tcW w:w="500" w:type="pct"/>
            <w:tcBorders>
              <w:bottom w:val="single" w:sz="6" w:space="0" w:color="000000"/>
            </w:tcBorders>
            <w:hideMark/>
          </w:tcPr>
          <w:p w14:paraId="51C2FC7B" w14:textId="77777777" w:rsidR="00000000" w:rsidRDefault="0053651E">
            <w:pPr>
              <w:jc w:val="center"/>
              <w:rPr>
                <w:rFonts w:eastAsia="Times New Roman"/>
                <w:sz w:val="20"/>
                <w:szCs w:val="20"/>
              </w:rPr>
            </w:pPr>
            <w:r>
              <w:rPr>
                <w:rFonts w:eastAsia="Times New Roman"/>
                <w:sz w:val="20"/>
                <w:szCs w:val="20"/>
              </w:rPr>
              <w:t>Form 10-K</w:t>
            </w:r>
            <w:r>
              <w:rPr>
                <w:rFonts w:eastAsia="Times New Roman"/>
                <w:sz w:val="20"/>
                <w:szCs w:val="20"/>
              </w:rPr>
              <w:br/>
              <w:t>Report Page</w:t>
            </w:r>
          </w:p>
        </w:tc>
      </w:tr>
      <w:tr w:rsidR="00000000" w14:paraId="3147FB95" w14:textId="77777777">
        <w:trPr>
          <w:divId w:val="206650418"/>
          <w:tblCellSpacing w:w="0" w:type="dxa"/>
        </w:trPr>
        <w:tc>
          <w:tcPr>
            <w:tcW w:w="4500" w:type="pct"/>
            <w:hideMark/>
          </w:tcPr>
          <w:p w14:paraId="469C4FF8" w14:textId="77777777" w:rsidR="00000000" w:rsidRDefault="0053651E">
            <w:pPr>
              <w:rPr>
                <w:rFonts w:eastAsia="Times New Roman"/>
                <w:sz w:val="20"/>
                <w:szCs w:val="20"/>
              </w:rPr>
            </w:pPr>
            <w:r>
              <w:rPr>
                <w:rFonts w:eastAsia="Times New Roman"/>
                <w:sz w:val="20"/>
                <w:szCs w:val="20"/>
              </w:rPr>
              <w:t> </w:t>
            </w:r>
          </w:p>
        </w:tc>
        <w:tc>
          <w:tcPr>
            <w:tcW w:w="500" w:type="pct"/>
            <w:hideMark/>
          </w:tcPr>
          <w:p w14:paraId="75B4B9C7" w14:textId="77777777" w:rsidR="00000000" w:rsidRDefault="0053651E">
            <w:pPr>
              <w:rPr>
                <w:rFonts w:eastAsia="Times New Roman"/>
                <w:sz w:val="20"/>
                <w:szCs w:val="20"/>
              </w:rPr>
            </w:pPr>
            <w:r>
              <w:rPr>
                <w:rFonts w:eastAsia="Times New Roman"/>
                <w:sz w:val="20"/>
                <w:szCs w:val="20"/>
              </w:rPr>
              <w:t> </w:t>
            </w:r>
          </w:p>
        </w:tc>
      </w:tr>
      <w:tr w:rsidR="00000000" w14:paraId="49F06DF9" w14:textId="77777777">
        <w:trPr>
          <w:divId w:val="206650418"/>
          <w:tblCellSpacing w:w="0" w:type="dxa"/>
        </w:trPr>
        <w:tc>
          <w:tcPr>
            <w:tcW w:w="4500" w:type="pct"/>
            <w:gridSpan w:val="2"/>
            <w:hideMark/>
          </w:tcPr>
          <w:p w14:paraId="318B595F" w14:textId="77777777" w:rsidR="00000000" w:rsidRDefault="0053651E">
            <w:pPr>
              <w:jc w:val="center"/>
              <w:rPr>
                <w:rFonts w:eastAsia="Times New Roman"/>
                <w:sz w:val="20"/>
                <w:szCs w:val="20"/>
              </w:rPr>
            </w:pPr>
            <w:r>
              <w:rPr>
                <w:rFonts w:eastAsia="Times New Roman"/>
                <w:sz w:val="20"/>
                <w:szCs w:val="20"/>
              </w:rPr>
              <w:t>PART I</w:t>
            </w:r>
          </w:p>
        </w:tc>
      </w:tr>
      <w:tr w:rsidR="00000000" w14:paraId="425A9B74" w14:textId="77777777">
        <w:trPr>
          <w:divId w:val="206650418"/>
          <w:tblCellSpacing w:w="0" w:type="dxa"/>
        </w:trPr>
        <w:tc>
          <w:tcPr>
            <w:tcW w:w="4500" w:type="pct"/>
            <w:hideMark/>
          </w:tcPr>
          <w:p w14:paraId="27B7C8D8" w14:textId="77777777" w:rsidR="00000000" w:rsidRDefault="0053651E">
            <w:pPr>
              <w:rPr>
                <w:rFonts w:eastAsia="Times New Roman"/>
                <w:sz w:val="20"/>
                <w:szCs w:val="20"/>
              </w:rPr>
            </w:pPr>
            <w:r>
              <w:rPr>
                <w:rFonts w:eastAsia="Times New Roman"/>
                <w:sz w:val="20"/>
                <w:szCs w:val="20"/>
              </w:rPr>
              <w:t> </w:t>
            </w:r>
          </w:p>
        </w:tc>
        <w:tc>
          <w:tcPr>
            <w:tcW w:w="500" w:type="pct"/>
            <w:hideMark/>
          </w:tcPr>
          <w:p w14:paraId="50A0C2B6" w14:textId="77777777" w:rsidR="00000000" w:rsidRDefault="0053651E">
            <w:pPr>
              <w:rPr>
                <w:rFonts w:eastAsia="Times New Roman"/>
                <w:sz w:val="20"/>
                <w:szCs w:val="20"/>
              </w:rPr>
            </w:pPr>
            <w:r>
              <w:rPr>
                <w:rFonts w:eastAsia="Times New Roman"/>
                <w:sz w:val="20"/>
                <w:szCs w:val="20"/>
              </w:rPr>
              <w:t> </w:t>
            </w:r>
          </w:p>
        </w:tc>
      </w:tr>
      <w:tr w:rsidR="00000000" w14:paraId="0D1EE972" w14:textId="77777777">
        <w:trPr>
          <w:divId w:val="206650418"/>
          <w:tblCellSpacing w:w="0" w:type="dxa"/>
        </w:trPr>
        <w:tc>
          <w:tcPr>
            <w:tcW w:w="4500" w:type="pct"/>
            <w:hideMark/>
          </w:tcPr>
          <w:p w14:paraId="290A9B17" w14:textId="77777777" w:rsidR="00000000" w:rsidRDefault="0053651E">
            <w:pPr>
              <w:pStyle w:val="a3"/>
              <w:spacing w:before="0" w:beforeAutospacing="0" w:after="0" w:afterAutospacing="0"/>
              <w:rPr>
                <w:sz w:val="20"/>
                <w:szCs w:val="20"/>
              </w:rPr>
            </w:pPr>
            <w:hyperlink w:anchor="item1" w:history="1">
              <w:r>
                <w:rPr>
                  <w:rStyle w:val="a4"/>
                  <w:sz w:val="20"/>
                  <w:szCs w:val="20"/>
                </w:rPr>
                <w:t>Item 1.  Business</w:t>
              </w:r>
            </w:hyperlink>
          </w:p>
        </w:tc>
        <w:tc>
          <w:tcPr>
            <w:tcW w:w="500" w:type="pct"/>
            <w:hideMark/>
          </w:tcPr>
          <w:p w14:paraId="16EC950E" w14:textId="77777777" w:rsidR="00000000" w:rsidRDefault="0053651E">
            <w:pPr>
              <w:jc w:val="right"/>
              <w:rPr>
                <w:rFonts w:eastAsia="Times New Roman"/>
                <w:sz w:val="20"/>
                <w:szCs w:val="20"/>
              </w:rPr>
            </w:pPr>
            <w:r>
              <w:rPr>
                <w:rFonts w:eastAsia="Times New Roman"/>
                <w:sz w:val="20"/>
                <w:szCs w:val="20"/>
              </w:rPr>
              <w:t>3</w:t>
            </w:r>
          </w:p>
        </w:tc>
      </w:tr>
      <w:tr w:rsidR="00000000" w14:paraId="19AB246A" w14:textId="77777777">
        <w:trPr>
          <w:divId w:val="206650418"/>
          <w:tblCellSpacing w:w="0" w:type="dxa"/>
        </w:trPr>
        <w:tc>
          <w:tcPr>
            <w:tcW w:w="4500" w:type="pct"/>
            <w:hideMark/>
          </w:tcPr>
          <w:p w14:paraId="75EE6618" w14:textId="77777777" w:rsidR="00000000" w:rsidRDefault="0053651E">
            <w:pPr>
              <w:rPr>
                <w:rFonts w:eastAsia="Times New Roman"/>
                <w:sz w:val="20"/>
                <w:szCs w:val="20"/>
              </w:rPr>
            </w:pPr>
            <w:r>
              <w:rPr>
                <w:rFonts w:eastAsia="Times New Roman"/>
                <w:sz w:val="20"/>
                <w:szCs w:val="20"/>
              </w:rPr>
              <w:t> </w:t>
            </w:r>
          </w:p>
        </w:tc>
        <w:tc>
          <w:tcPr>
            <w:tcW w:w="500" w:type="pct"/>
            <w:hideMark/>
          </w:tcPr>
          <w:p w14:paraId="55CFA2F3" w14:textId="77777777" w:rsidR="00000000" w:rsidRDefault="0053651E">
            <w:pPr>
              <w:rPr>
                <w:rFonts w:eastAsia="Times New Roman"/>
                <w:sz w:val="20"/>
                <w:szCs w:val="20"/>
              </w:rPr>
            </w:pPr>
            <w:r>
              <w:rPr>
                <w:rFonts w:eastAsia="Times New Roman"/>
                <w:sz w:val="20"/>
                <w:szCs w:val="20"/>
              </w:rPr>
              <w:t> </w:t>
            </w:r>
          </w:p>
        </w:tc>
      </w:tr>
      <w:tr w:rsidR="00000000" w14:paraId="55D09338" w14:textId="77777777">
        <w:trPr>
          <w:divId w:val="206650418"/>
          <w:tblCellSpacing w:w="0" w:type="dxa"/>
        </w:trPr>
        <w:tc>
          <w:tcPr>
            <w:tcW w:w="4500" w:type="pct"/>
            <w:hideMark/>
          </w:tcPr>
          <w:p w14:paraId="55A0ABB5" w14:textId="77777777" w:rsidR="00000000" w:rsidRDefault="0053651E">
            <w:pPr>
              <w:rPr>
                <w:rFonts w:eastAsia="Times New Roman"/>
                <w:sz w:val="20"/>
                <w:szCs w:val="20"/>
              </w:rPr>
            </w:pPr>
            <w:hyperlink w:anchor="item1a" w:history="1">
              <w:r>
                <w:rPr>
                  <w:rStyle w:val="a4"/>
                  <w:rFonts w:eastAsia="Times New Roman"/>
                  <w:sz w:val="20"/>
                  <w:szCs w:val="20"/>
                </w:rPr>
                <w:t>Item 1A. Risk Factors</w:t>
              </w:r>
            </w:hyperlink>
          </w:p>
        </w:tc>
        <w:tc>
          <w:tcPr>
            <w:tcW w:w="500" w:type="pct"/>
            <w:hideMark/>
          </w:tcPr>
          <w:p w14:paraId="0FE8173F" w14:textId="77777777" w:rsidR="00000000" w:rsidRDefault="0053651E">
            <w:pPr>
              <w:jc w:val="right"/>
              <w:rPr>
                <w:rFonts w:eastAsia="Times New Roman"/>
                <w:sz w:val="20"/>
                <w:szCs w:val="20"/>
              </w:rPr>
            </w:pPr>
            <w:r>
              <w:rPr>
                <w:rFonts w:eastAsia="Times New Roman"/>
                <w:sz w:val="20"/>
                <w:szCs w:val="20"/>
              </w:rPr>
              <w:t>6</w:t>
            </w:r>
          </w:p>
        </w:tc>
      </w:tr>
      <w:tr w:rsidR="00000000" w14:paraId="26666627" w14:textId="77777777">
        <w:trPr>
          <w:divId w:val="206650418"/>
          <w:tblCellSpacing w:w="0" w:type="dxa"/>
        </w:trPr>
        <w:tc>
          <w:tcPr>
            <w:tcW w:w="4500" w:type="pct"/>
            <w:hideMark/>
          </w:tcPr>
          <w:p w14:paraId="3DACA230" w14:textId="77777777" w:rsidR="00000000" w:rsidRDefault="0053651E">
            <w:pPr>
              <w:rPr>
                <w:rFonts w:eastAsia="Times New Roman"/>
                <w:sz w:val="20"/>
                <w:szCs w:val="20"/>
              </w:rPr>
            </w:pPr>
            <w:r>
              <w:rPr>
                <w:rFonts w:eastAsia="Times New Roman"/>
                <w:sz w:val="20"/>
                <w:szCs w:val="20"/>
              </w:rPr>
              <w:t> </w:t>
            </w:r>
          </w:p>
        </w:tc>
        <w:tc>
          <w:tcPr>
            <w:tcW w:w="500" w:type="pct"/>
            <w:hideMark/>
          </w:tcPr>
          <w:p w14:paraId="22D6D2EC" w14:textId="77777777" w:rsidR="00000000" w:rsidRDefault="0053651E">
            <w:pPr>
              <w:rPr>
                <w:rFonts w:eastAsia="Times New Roman"/>
                <w:sz w:val="20"/>
                <w:szCs w:val="20"/>
              </w:rPr>
            </w:pPr>
            <w:r>
              <w:rPr>
                <w:rFonts w:eastAsia="Times New Roman"/>
                <w:sz w:val="20"/>
                <w:szCs w:val="20"/>
              </w:rPr>
              <w:t> </w:t>
            </w:r>
          </w:p>
        </w:tc>
      </w:tr>
      <w:tr w:rsidR="00000000" w14:paraId="2476F143" w14:textId="77777777">
        <w:trPr>
          <w:divId w:val="206650418"/>
          <w:tblCellSpacing w:w="0" w:type="dxa"/>
        </w:trPr>
        <w:tc>
          <w:tcPr>
            <w:tcW w:w="4500" w:type="pct"/>
            <w:hideMark/>
          </w:tcPr>
          <w:p w14:paraId="4169A568" w14:textId="77777777" w:rsidR="00000000" w:rsidRDefault="0053651E">
            <w:pPr>
              <w:rPr>
                <w:rFonts w:eastAsia="Times New Roman"/>
                <w:sz w:val="20"/>
                <w:szCs w:val="20"/>
              </w:rPr>
            </w:pPr>
            <w:hyperlink w:anchor="item1b" w:history="1">
              <w:r>
                <w:rPr>
                  <w:rStyle w:val="a4"/>
                  <w:rFonts w:eastAsia="Times New Roman"/>
                  <w:sz w:val="20"/>
                  <w:szCs w:val="20"/>
                </w:rPr>
                <w:t>Item 1B. Unresolved Staff Comments</w:t>
              </w:r>
            </w:hyperlink>
          </w:p>
        </w:tc>
        <w:tc>
          <w:tcPr>
            <w:tcW w:w="500" w:type="pct"/>
            <w:hideMark/>
          </w:tcPr>
          <w:p w14:paraId="0CFB6C50" w14:textId="77777777" w:rsidR="00000000" w:rsidRDefault="0053651E">
            <w:pPr>
              <w:jc w:val="right"/>
              <w:rPr>
                <w:rFonts w:eastAsia="Times New Roman"/>
                <w:sz w:val="20"/>
                <w:szCs w:val="20"/>
              </w:rPr>
            </w:pPr>
            <w:r>
              <w:rPr>
                <w:rFonts w:eastAsia="Times New Roman"/>
                <w:sz w:val="20"/>
                <w:szCs w:val="20"/>
              </w:rPr>
              <w:t>15</w:t>
            </w:r>
          </w:p>
        </w:tc>
      </w:tr>
      <w:tr w:rsidR="00000000" w14:paraId="32D16713" w14:textId="77777777">
        <w:trPr>
          <w:divId w:val="206650418"/>
          <w:tblCellSpacing w:w="0" w:type="dxa"/>
        </w:trPr>
        <w:tc>
          <w:tcPr>
            <w:tcW w:w="4500" w:type="pct"/>
            <w:hideMark/>
          </w:tcPr>
          <w:p w14:paraId="021253A9" w14:textId="77777777" w:rsidR="00000000" w:rsidRDefault="0053651E">
            <w:pPr>
              <w:rPr>
                <w:rFonts w:eastAsia="Times New Roman"/>
                <w:sz w:val="20"/>
                <w:szCs w:val="20"/>
              </w:rPr>
            </w:pPr>
            <w:r>
              <w:rPr>
                <w:rFonts w:eastAsia="Times New Roman"/>
                <w:sz w:val="20"/>
                <w:szCs w:val="20"/>
              </w:rPr>
              <w:t> </w:t>
            </w:r>
          </w:p>
        </w:tc>
        <w:tc>
          <w:tcPr>
            <w:tcW w:w="500" w:type="pct"/>
            <w:hideMark/>
          </w:tcPr>
          <w:p w14:paraId="14203657" w14:textId="77777777" w:rsidR="00000000" w:rsidRDefault="0053651E">
            <w:pPr>
              <w:rPr>
                <w:rFonts w:eastAsia="Times New Roman"/>
                <w:sz w:val="20"/>
                <w:szCs w:val="20"/>
              </w:rPr>
            </w:pPr>
            <w:r>
              <w:rPr>
                <w:rFonts w:eastAsia="Times New Roman"/>
                <w:sz w:val="20"/>
                <w:szCs w:val="20"/>
              </w:rPr>
              <w:t> </w:t>
            </w:r>
          </w:p>
        </w:tc>
      </w:tr>
      <w:tr w:rsidR="00000000" w14:paraId="3FDE87E3" w14:textId="77777777">
        <w:trPr>
          <w:divId w:val="206650418"/>
          <w:tblCellSpacing w:w="0" w:type="dxa"/>
        </w:trPr>
        <w:tc>
          <w:tcPr>
            <w:tcW w:w="4500" w:type="pct"/>
            <w:hideMark/>
          </w:tcPr>
          <w:p w14:paraId="266C089D" w14:textId="77777777" w:rsidR="00000000" w:rsidRDefault="0053651E">
            <w:pPr>
              <w:rPr>
                <w:rFonts w:eastAsia="Times New Roman"/>
                <w:sz w:val="20"/>
                <w:szCs w:val="20"/>
              </w:rPr>
            </w:pPr>
            <w:hyperlink w:anchor="item2" w:history="1">
              <w:r>
                <w:rPr>
                  <w:rStyle w:val="a4"/>
                  <w:rFonts w:eastAsia="Times New Roman"/>
                  <w:sz w:val="20"/>
                  <w:szCs w:val="20"/>
                </w:rPr>
                <w:t>Item 2. Properties</w:t>
              </w:r>
            </w:hyperlink>
          </w:p>
        </w:tc>
        <w:tc>
          <w:tcPr>
            <w:tcW w:w="500" w:type="pct"/>
            <w:hideMark/>
          </w:tcPr>
          <w:p w14:paraId="1993382B" w14:textId="77777777" w:rsidR="00000000" w:rsidRDefault="0053651E">
            <w:pPr>
              <w:jc w:val="right"/>
              <w:rPr>
                <w:rFonts w:eastAsia="Times New Roman"/>
                <w:sz w:val="20"/>
                <w:szCs w:val="20"/>
              </w:rPr>
            </w:pPr>
            <w:r>
              <w:rPr>
                <w:rFonts w:eastAsia="Times New Roman"/>
                <w:sz w:val="20"/>
                <w:szCs w:val="20"/>
              </w:rPr>
              <w:t>15</w:t>
            </w:r>
          </w:p>
        </w:tc>
      </w:tr>
      <w:tr w:rsidR="00000000" w14:paraId="09C9524A" w14:textId="77777777">
        <w:trPr>
          <w:divId w:val="206650418"/>
          <w:tblCellSpacing w:w="0" w:type="dxa"/>
        </w:trPr>
        <w:tc>
          <w:tcPr>
            <w:tcW w:w="4500" w:type="pct"/>
            <w:hideMark/>
          </w:tcPr>
          <w:p w14:paraId="570FE721" w14:textId="77777777" w:rsidR="00000000" w:rsidRDefault="0053651E">
            <w:pPr>
              <w:rPr>
                <w:rFonts w:eastAsia="Times New Roman"/>
                <w:sz w:val="20"/>
                <w:szCs w:val="20"/>
              </w:rPr>
            </w:pPr>
            <w:r>
              <w:rPr>
                <w:rFonts w:eastAsia="Times New Roman"/>
                <w:sz w:val="20"/>
                <w:szCs w:val="20"/>
              </w:rPr>
              <w:t> </w:t>
            </w:r>
          </w:p>
        </w:tc>
        <w:tc>
          <w:tcPr>
            <w:tcW w:w="500" w:type="pct"/>
            <w:hideMark/>
          </w:tcPr>
          <w:p w14:paraId="1822CAC3" w14:textId="77777777" w:rsidR="00000000" w:rsidRDefault="0053651E">
            <w:pPr>
              <w:rPr>
                <w:rFonts w:eastAsia="Times New Roman"/>
                <w:sz w:val="20"/>
                <w:szCs w:val="20"/>
              </w:rPr>
            </w:pPr>
            <w:r>
              <w:rPr>
                <w:rFonts w:eastAsia="Times New Roman"/>
                <w:sz w:val="20"/>
                <w:szCs w:val="20"/>
              </w:rPr>
              <w:t> </w:t>
            </w:r>
          </w:p>
        </w:tc>
      </w:tr>
      <w:tr w:rsidR="00000000" w14:paraId="53DAA5EE" w14:textId="77777777">
        <w:trPr>
          <w:divId w:val="206650418"/>
          <w:tblCellSpacing w:w="0" w:type="dxa"/>
        </w:trPr>
        <w:tc>
          <w:tcPr>
            <w:tcW w:w="4500" w:type="pct"/>
            <w:hideMark/>
          </w:tcPr>
          <w:p w14:paraId="0B66A43F" w14:textId="77777777" w:rsidR="00000000" w:rsidRDefault="0053651E">
            <w:pPr>
              <w:rPr>
                <w:rFonts w:eastAsia="Times New Roman"/>
                <w:sz w:val="20"/>
                <w:szCs w:val="20"/>
              </w:rPr>
            </w:pPr>
            <w:hyperlink w:anchor="item3" w:history="1">
              <w:r>
                <w:rPr>
                  <w:rStyle w:val="a4"/>
                  <w:rFonts w:eastAsia="Times New Roman"/>
                  <w:sz w:val="20"/>
                  <w:szCs w:val="20"/>
                </w:rPr>
                <w:t>Item 3. Legal Proceedings</w:t>
              </w:r>
            </w:hyperlink>
          </w:p>
        </w:tc>
        <w:tc>
          <w:tcPr>
            <w:tcW w:w="500" w:type="pct"/>
            <w:hideMark/>
          </w:tcPr>
          <w:p w14:paraId="7BB7C3AC" w14:textId="77777777" w:rsidR="00000000" w:rsidRDefault="0053651E">
            <w:pPr>
              <w:jc w:val="right"/>
              <w:rPr>
                <w:rFonts w:eastAsia="Times New Roman"/>
                <w:sz w:val="20"/>
                <w:szCs w:val="20"/>
              </w:rPr>
            </w:pPr>
            <w:r>
              <w:rPr>
                <w:rFonts w:eastAsia="Times New Roman"/>
                <w:sz w:val="20"/>
                <w:szCs w:val="20"/>
              </w:rPr>
              <w:t>16</w:t>
            </w:r>
          </w:p>
        </w:tc>
      </w:tr>
      <w:tr w:rsidR="00000000" w14:paraId="55C4B03B" w14:textId="77777777">
        <w:trPr>
          <w:divId w:val="206650418"/>
          <w:tblCellSpacing w:w="0" w:type="dxa"/>
        </w:trPr>
        <w:tc>
          <w:tcPr>
            <w:tcW w:w="4500" w:type="pct"/>
            <w:hideMark/>
          </w:tcPr>
          <w:p w14:paraId="061C6C76" w14:textId="77777777" w:rsidR="00000000" w:rsidRDefault="0053651E">
            <w:pPr>
              <w:rPr>
                <w:rFonts w:eastAsia="Times New Roman"/>
                <w:sz w:val="20"/>
                <w:szCs w:val="20"/>
              </w:rPr>
            </w:pPr>
            <w:r>
              <w:rPr>
                <w:rFonts w:eastAsia="Times New Roman"/>
                <w:sz w:val="20"/>
                <w:szCs w:val="20"/>
              </w:rPr>
              <w:t> </w:t>
            </w:r>
          </w:p>
        </w:tc>
        <w:tc>
          <w:tcPr>
            <w:tcW w:w="500" w:type="pct"/>
            <w:hideMark/>
          </w:tcPr>
          <w:p w14:paraId="0B79ABE9" w14:textId="77777777" w:rsidR="00000000" w:rsidRDefault="0053651E">
            <w:pPr>
              <w:rPr>
                <w:rFonts w:eastAsia="Times New Roman"/>
                <w:sz w:val="20"/>
                <w:szCs w:val="20"/>
              </w:rPr>
            </w:pPr>
            <w:r>
              <w:rPr>
                <w:rFonts w:eastAsia="Times New Roman"/>
                <w:sz w:val="20"/>
                <w:szCs w:val="20"/>
              </w:rPr>
              <w:t> </w:t>
            </w:r>
          </w:p>
        </w:tc>
      </w:tr>
      <w:tr w:rsidR="00000000" w14:paraId="540C4267" w14:textId="77777777">
        <w:trPr>
          <w:divId w:val="206650418"/>
          <w:tblCellSpacing w:w="0" w:type="dxa"/>
        </w:trPr>
        <w:tc>
          <w:tcPr>
            <w:tcW w:w="4500" w:type="pct"/>
            <w:hideMark/>
          </w:tcPr>
          <w:p w14:paraId="75A9B62D" w14:textId="77777777" w:rsidR="00000000" w:rsidRDefault="0053651E">
            <w:pPr>
              <w:rPr>
                <w:rFonts w:eastAsia="Times New Roman"/>
                <w:sz w:val="20"/>
                <w:szCs w:val="20"/>
              </w:rPr>
            </w:pPr>
            <w:hyperlink w:anchor="item4" w:history="1">
              <w:r>
                <w:rPr>
                  <w:rStyle w:val="a4"/>
                  <w:rFonts w:eastAsia="Times New Roman"/>
                  <w:sz w:val="20"/>
                  <w:szCs w:val="20"/>
                </w:rPr>
                <w:t>Item 4. Mine Safety Disclosures</w:t>
              </w:r>
            </w:hyperlink>
          </w:p>
        </w:tc>
        <w:tc>
          <w:tcPr>
            <w:tcW w:w="500" w:type="pct"/>
            <w:hideMark/>
          </w:tcPr>
          <w:p w14:paraId="0ABEC806" w14:textId="77777777" w:rsidR="00000000" w:rsidRDefault="0053651E">
            <w:pPr>
              <w:jc w:val="right"/>
              <w:rPr>
                <w:rFonts w:eastAsia="Times New Roman"/>
                <w:sz w:val="20"/>
                <w:szCs w:val="20"/>
              </w:rPr>
            </w:pPr>
            <w:r>
              <w:rPr>
                <w:rFonts w:eastAsia="Times New Roman"/>
                <w:sz w:val="20"/>
                <w:szCs w:val="20"/>
              </w:rPr>
              <w:t>16</w:t>
            </w:r>
          </w:p>
        </w:tc>
      </w:tr>
      <w:tr w:rsidR="00000000" w14:paraId="2C28E5FC" w14:textId="77777777">
        <w:trPr>
          <w:divId w:val="206650418"/>
          <w:tblCellSpacing w:w="0" w:type="dxa"/>
        </w:trPr>
        <w:tc>
          <w:tcPr>
            <w:tcW w:w="4500" w:type="pct"/>
            <w:hideMark/>
          </w:tcPr>
          <w:p w14:paraId="755C5A68" w14:textId="77777777" w:rsidR="00000000" w:rsidRDefault="0053651E">
            <w:pPr>
              <w:rPr>
                <w:rFonts w:eastAsia="Times New Roman"/>
                <w:sz w:val="20"/>
                <w:szCs w:val="20"/>
              </w:rPr>
            </w:pPr>
            <w:r>
              <w:rPr>
                <w:rFonts w:eastAsia="Times New Roman"/>
                <w:sz w:val="20"/>
                <w:szCs w:val="20"/>
              </w:rPr>
              <w:t> </w:t>
            </w:r>
          </w:p>
        </w:tc>
        <w:tc>
          <w:tcPr>
            <w:tcW w:w="500" w:type="pct"/>
            <w:hideMark/>
          </w:tcPr>
          <w:p w14:paraId="730544AF" w14:textId="77777777" w:rsidR="00000000" w:rsidRDefault="0053651E">
            <w:pPr>
              <w:rPr>
                <w:rFonts w:eastAsia="Times New Roman"/>
                <w:sz w:val="20"/>
                <w:szCs w:val="20"/>
              </w:rPr>
            </w:pPr>
            <w:r>
              <w:rPr>
                <w:rFonts w:eastAsia="Times New Roman"/>
                <w:sz w:val="20"/>
                <w:szCs w:val="20"/>
              </w:rPr>
              <w:t> </w:t>
            </w:r>
          </w:p>
        </w:tc>
      </w:tr>
      <w:tr w:rsidR="00000000" w14:paraId="3764045D" w14:textId="77777777">
        <w:trPr>
          <w:divId w:val="206650418"/>
          <w:tblCellSpacing w:w="0" w:type="dxa"/>
        </w:trPr>
        <w:tc>
          <w:tcPr>
            <w:tcW w:w="4500" w:type="pct"/>
            <w:gridSpan w:val="2"/>
            <w:hideMark/>
          </w:tcPr>
          <w:p w14:paraId="380BCA7E" w14:textId="77777777" w:rsidR="00000000" w:rsidRDefault="0053651E">
            <w:pPr>
              <w:jc w:val="center"/>
              <w:rPr>
                <w:rFonts w:eastAsia="Times New Roman"/>
                <w:sz w:val="20"/>
                <w:szCs w:val="20"/>
              </w:rPr>
            </w:pPr>
            <w:r>
              <w:rPr>
                <w:rFonts w:eastAsia="Times New Roman"/>
                <w:sz w:val="20"/>
                <w:szCs w:val="20"/>
              </w:rPr>
              <w:t>PART II</w:t>
            </w:r>
          </w:p>
        </w:tc>
      </w:tr>
      <w:tr w:rsidR="00000000" w14:paraId="0F35E356" w14:textId="77777777">
        <w:trPr>
          <w:divId w:val="206650418"/>
          <w:tblCellSpacing w:w="0" w:type="dxa"/>
        </w:trPr>
        <w:tc>
          <w:tcPr>
            <w:tcW w:w="4500" w:type="pct"/>
            <w:hideMark/>
          </w:tcPr>
          <w:p w14:paraId="13082D4B" w14:textId="77777777" w:rsidR="00000000" w:rsidRDefault="0053651E">
            <w:pPr>
              <w:rPr>
                <w:rFonts w:eastAsia="Times New Roman"/>
                <w:sz w:val="20"/>
                <w:szCs w:val="20"/>
              </w:rPr>
            </w:pPr>
            <w:r>
              <w:rPr>
                <w:rFonts w:eastAsia="Times New Roman"/>
                <w:sz w:val="20"/>
                <w:szCs w:val="20"/>
              </w:rPr>
              <w:t> </w:t>
            </w:r>
          </w:p>
        </w:tc>
        <w:tc>
          <w:tcPr>
            <w:tcW w:w="500" w:type="pct"/>
            <w:hideMark/>
          </w:tcPr>
          <w:p w14:paraId="3BBE50FE" w14:textId="77777777" w:rsidR="00000000" w:rsidRDefault="0053651E">
            <w:pPr>
              <w:rPr>
                <w:rFonts w:eastAsia="Times New Roman"/>
                <w:sz w:val="20"/>
                <w:szCs w:val="20"/>
              </w:rPr>
            </w:pPr>
            <w:r>
              <w:rPr>
                <w:rFonts w:eastAsia="Times New Roman"/>
                <w:sz w:val="20"/>
                <w:szCs w:val="20"/>
              </w:rPr>
              <w:t> </w:t>
            </w:r>
          </w:p>
        </w:tc>
      </w:tr>
      <w:tr w:rsidR="00000000" w14:paraId="64E98886" w14:textId="77777777">
        <w:trPr>
          <w:divId w:val="206650418"/>
          <w:tblCellSpacing w:w="0" w:type="dxa"/>
        </w:trPr>
        <w:tc>
          <w:tcPr>
            <w:tcW w:w="4500" w:type="pct"/>
            <w:hideMark/>
          </w:tcPr>
          <w:p w14:paraId="215F2386" w14:textId="77777777" w:rsidR="00000000" w:rsidRDefault="0053651E">
            <w:pPr>
              <w:rPr>
                <w:rFonts w:eastAsia="Times New Roman"/>
                <w:sz w:val="20"/>
                <w:szCs w:val="20"/>
              </w:rPr>
            </w:pPr>
            <w:hyperlink w:anchor="item5" w:history="1">
              <w:r>
                <w:rPr>
                  <w:rStyle w:val="a4"/>
                  <w:rFonts w:eastAsia="Times New Roman"/>
                  <w:sz w:val="20"/>
                  <w:szCs w:val="20"/>
                </w:rPr>
                <w:t>Item 5. Market for the Registrant's Common Equity, Related Stockholder Matters and Issuer Purchases of Equity Securities</w:t>
              </w:r>
            </w:hyperlink>
          </w:p>
        </w:tc>
        <w:tc>
          <w:tcPr>
            <w:tcW w:w="500" w:type="pct"/>
            <w:hideMark/>
          </w:tcPr>
          <w:p w14:paraId="59E297E1" w14:textId="77777777" w:rsidR="00000000" w:rsidRDefault="0053651E">
            <w:pPr>
              <w:jc w:val="right"/>
              <w:rPr>
                <w:rFonts w:eastAsia="Times New Roman"/>
                <w:sz w:val="20"/>
                <w:szCs w:val="20"/>
              </w:rPr>
            </w:pPr>
            <w:r>
              <w:rPr>
                <w:rFonts w:eastAsia="Times New Roman"/>
                <w:sz w:val="20"/>
                <w:szCs w:val="20"/>
              </w:rPr>
              <w:t>17</w:t>
            </w:r>
          </w:p>
        </w:tc>
      </w:tr>
      <w:tr w:rsidR="00000000" w14:paraId="67BCD645" w14:textId="77777777">
        <w:trPr>
          <w:divId w:val="206650418"/>
          <w:tblCellSpacing w:w="0" w:type="dxa"/>
        </w:trPr>
        <w:tc>
          <w:tcPr>
            <w:tcW w:w="4500" w:type="pct"/>
            <w:hideMark/>
          </w:tcPr>
          <w:p w14:paraId="6E276B32" w14:textId="77777777" w:rsidR="00000000" w:rsidRDefault="0053651E">
            <w:pPr>
              <w:rPr>
                <w:rFonts w:eastAsia="Times New Roman"/>
                <w:sz w:val="20"/>
                <w:szCs w:val="20"/>
              </w:rPr>
            </w:pPr>
            <w:r>
              <w:rPr>
                <w:rFonts w:eastAsia="Times New Roman"/>
                <w:sz w:val="20"/>
                <w:szCs w:val="20"/>
              </w:rPr>
              <w:t> </w:t>
            </w:r>
          </w:p>
        </w:tc>
        <w:tc>
          <w:tcPr>
            <w:tcW w:w="500" w:type="pct"/>
            <w:hideMark/>
          </w:tcPr>
          <w:p w14:paraId="79485A4B" w14:textId="77777777" w:rsidR="00000000" w:rsidRDefault="0053651E">
            <w:pPr>
              <w:jc w:val="right"/>
              <w:rPr>
                <w:rFonts w:eastAsia="Times New Roman"/>
                <w:sz w:val="20"/>
                <w:szCs w:val="20"/>
              </w:rPr>
            </w:pPr>
            <w:r>
              <w:rPr>
                <w:rFonts w:eastAsia="Times New Roman"/>
                <w:sz w:val="20"/>
                <w:szCs w:val="20"/>
              </w:rPr>
              <w:t> </w:t>
            </w:r>
          </w:p>
        </w:tc>
      </w:tr>
      <w:tr w:rsidR="00000000" w14:paraId="51D5E69B" w14:textId="77777777">
        <w:trPr>
          <w:divId w:val="206650418"/>
          <w:tblCellSpacing w:w="0" w:type="dxa"/>
        </w:trPr>
        <w:tc>
          <w:tcPr>
            <w:tcW w:w="4500" w:type="pct"/>
            <w:hideMark/>
          </w:tcPr>
          <w:p w14:paraId="52750BFA" w14:textId="77777777" w:rsidR="00000000" w:rsidRDefault="0053651E">
            <w:pPr>
              <w:rPr>
                <w:rFonts w:eastAsia="Times New Roman"/>
                <w:sz w:val="20"/>
                <w:szCs w:val="20"/>
              </w:rPr>
            </w:pPr>
            <w:hyperlink w:anchor="item6" w:history="1">
              <w:r>
                <w:rPr>
                  <w:rStyle w:val="a4"/>
                  <w:rFonts w:eastAsia="Times New Roman"/>
                  <w:sz w:val="20"/>
                  <w:szCs w:val="20"/>
                </w:rPr>
                <w:t>Item 6. Selected Financial Data</w:t>
              </w:r>
            </w:hyperlink>
          </w:p>
        </w:tc>
        <w:tc>
          <w:tcPr>
            <w:tcW w:w="500" w:type="pct"/>
            <w:hideMark/>
          </w:tcPr>
          <w:p w14:paraId="6F5959C6" w14:textId="77777777" w:rsidR="00000000" w:rsidRDefault="0053651E">
            <w:pPr>
              <w:jc w:val="right"/>
              <w:rPr>
                <w:rFonts w:eastAsia="Times New Roman"/>
                <w:sz w:val="20"/>
                <w:szCs w:val="20"/>
              </w:rPr>
            </w:pPr>
            <w:r>
              <w:rPr>
                <w:rFonts w:eastAsia="Times New Roman"/>
                <w:sz w:val="20"/>
                <w:szCs w:val="20"/>
              </w:rPr>
              <w:t>19</w:t>
            </w:r>
          </w:p>
        </w:tc>
      </w:tr>
      <w:tr w:rsidR="00000000" w14:paraId="06035361" w14:textId="77777777">
        <w:trPr>
          <w:divId w:val="206650418"/>
          <w:tblCellSpacing w:w="0" w:type="dxa"/>
        </w:trPr>
        <w:tc>
          <w:tcPr>
            <w:tcW w:w="4500" w:type="pct"/>
            <w:hideMark/>
          </w:tcPr>
          <w:p w14:paraId="15FCB4E2" w14:textId="77777777" w:rsidR="00000000" w:rsidRDefault="0053651E">
            <w:pPr>
              <w:rPr>
                <w:rFonts w:eastAsia="Times New Roman"/>
                <w:sz w:val="20"/>
                <w:szCs w:val="20"/>
              </w:rPr>
            </w:pPr>
            <w:r>
              <w:rPr>
                <w:rFonts w:eastAsia="Times New Roman"/>
                <w:sz w:val="20"/>
                <w:szCs w:val="20"/>
              </w:rPr>
              <w:t> </w:t>
            </w:r>
          </w:p>
        </w:tc>
        <w:tc>
          <w:tcPr>
            <w:tcW w:w="500" w:type="pct"/>
            <w:hideMark/>
          </w:tcPr>
          <w:p w14:paraId="1AB3FD26" w14:textId="77777777" w:rsidR="00000000" w:rsidRDefault="0053651E">
            <w:pPr>
              <w:jc w:val="right"/>
              <w:rPr>
                <w:rFonts w:eastAsia="Times New Roman"/>
                <w:sz w:val="20"/>
                <w:szCs w:val="20"/>
              </w:rPr>
            </w:pPr>
            <w:r>
              <w:rPr>
                <w:rFonts w:eastAsia="Times New Roman"/>
                <w:sz w:val="20"/>
                <w:szCs w:val="20"/>
              </w:rPr>
              <w:t> </w:t>
            </w:r>
          </w:p>
        </w:tc>
      </w:tr>
      <w:tr w:rsidR="00000000" w14:paraId="4F0350CB" w14:textId="77777777">
        <w:trPr>
          <w:divId w:val="206650418"/>
          <w:tblCellSpacing w:w="0" w:type="dxa"/>
        </w:trPr>
        <w:tc>
          <w:tcPr>
            <w:tcW w:w="4500" w:type="pct"/>
            <w:hideMark/>
          </w:tcPr>
          <w:p w14:paraId="48A26909" w14:textId="77777777" w:rsidR="00000000" w:rsidRDefault="0053651E">
            <w:pPr>
              <w:rPr>
                <w:rFonts w:eastAsia="Times New Roman"/>
                <w:sz w:val="20"/>
                <w:szCs w:val="20"/>
              </w:rPr>
            </w:pPr>
            <w:hyperlink w:anchor="item7" w:history="1">
              <w:r>
                <w:rPr>
                  <w:rStyle w:val="a4"/>
                  <w:rFonts w:eastAsia="Times New Roman"/>
                  <w:sz w:val="20"/>
                  <w:szCs w:val="20"/>
                </w:rPr>
                <w:t>Item 7. Management's Discussion and Analysis of Financial Condition and Results of Operations</w:t>
              </w:r>
            </w:hyperlink>
          </w:p>
        </w:tc>
        <w:tc>
          <w:tcPr>
            <w:tcW w:w="500" w:type="pct"/>
            <w:hideMark/>
          </w:tcPr>
          <w:p w14:paraId="19A44BF9" w14:textId="77777777" w:rsidR="00000000" w:rsidRDefault="0053651E">
            <w:pPr>
              <w:jc w:val="right"/>
              <w:rPr>
                <w:rFonts w:eastAsia="Times New Roman"/>
                <w:sz w:val="20"/>
                <w:szCs w:val="20"/>
              </w:rPr>
            </w:pPr>
            <w:r>
              <w:rPr>
                <w:rFonts w:eastAsia="Times New Roman"/>
                <w:sz w:val="20"/>
                <w:szCs w:val="20"/>
              </w:rPr>
              <w:t>20</w:t>
            </w:r>
          </w:p>
        </w:tc>
      </w:tr>
      <w:tr w:rsidR="00000000" w14:paraId="2EAB37C8" w14:textId="77777777">
        <w:trPr>
          <w:divId w:val="206650418"/>
          <w:tblCellSpacing w:w="0" w:type="dxa"/>
        </w:trPr>
        <w:tc>
          <w:tcPr>
            <w:tcW w:w="4500" w:type="pct"/>
            <w:hideMark/>
          </w:tcPr>
          <w:p w14:paraId="4D3F6492" w14:textId="77777777" w:rsidR="00000000" w:rsidRDefault="0053651E">
            <w:pPr>
              <w:rPr>
                <w:rFonts w:eastAsia="Times New Roman"/>
                <w:sz w:val="20"/>
                <w:szCs w:val="20"/>
              </w:rPr>
            </w:pPr>
            <w:r>
              <w:rPr>
                <w:rFonts w:eastAsia="Times New Roman"/>
                <w:sz w:val="20"/>
                <w:szCs w:val="20"/>
              </w:rPr>
              <w:t> </w:t>
            </w:r>
          </w:p>
        </w:tc>
        <w:tc>
          <w:tcPr>
            <w:tcW w:w="500" w:type="pct"/>
            <w:hideMark/>
          </w:tcPr>
          <w:p w14:paraId="1402134D" w14:textId="77777777" w:rsidR="00000000" w:rsidRDefault="0053651E">
            <w:pPr>
              <w:jc w:val="right"/>
              <w:rPr>
                <w:rFonts w:eastAsia="Times New Roman"/>
                <w:sz w:val="20"/>
                <w:szCs w:val="20"/>
              </w:rPr>
            </w:pPr>
            <w:r>
              <w:rPr>
                <w:rFonts w:eastAsia="Times New Roman"/>
                <w:sz w:val="20"/>
                <w:szCs w:val="20"/>
              </w:rPr>
              <w:t> </w:t>
            </w:r>
          </w:p>
        </w:tc>
      </w:tr>
      <w:tr w:rsidR="00000000" w14:paraId="35B09E3C" w14:textId="77777777">
        <w:trPr>
          <w:divId w:val="206650418"/>
          <w:tblCellSpacing w:w="0" w:type="dxa"/>
        </w:trPr>
        <w:tc>
          <w:tcPr>
            <w:tcW w:w="4500" w:type="pct"/>
            <w:hideMark/>
          </w:tcPr>
          <w:p w14:paraId="7987C014" w14:textId="77777777" w:rsidR="00000000" w:rsidRDefault="0053651E">
            <w:pPr>
              <w:rPr>
                <w:rFonts w:eastAsia="Times New Roman"/>
                <w:sz w:val="20"/>
                <w:szCs w:val="20"/>
              </w:rPr>
            </w:pPr>
            <w:hyperlink w:anchor="item7a" w:history="1">
              <w:r>
                <w:rPr>
                  <w:rStyle w:val="a4"/>
                  <w:rFonts w:eastAsia="Times New Roman"/>
                  <w:sz w:val="20"/>
                  <w:szCs w:val="20"/>
                </w:rPr>
                <w:t>Item 7A. Quantitative and Qualitative Disclosures About Market Risk</w:t>
              </w:r>
            </w:hyperlink>
          </w:p>
        </w:tc>
        <w:tc>
          <w:tcPr>
            <w:tcW w:w="500" w:type="pct"/>
            <w:hideMark/>
          </w:tcPr>
          <w:p w14:paraId="67E0C9F5" w14:textId="77777777" w:rsidR="00000000" w:rsidRDefault="0053651E">
            <w:pPr>
              <w:jc w:val="right"/>
              <w:rPr>
                <w:rFonts w:eastAsia="Times New Roman"/>
                <w:sz w:val="20"/>
                <w:szCs w:val="20"/>
              </w:rPr>
            </w:pPr>
            <w:r>
              <w:rPr>
                <w:rFonts w:eastAsia="Times New Roman"/>
                <w:sz w:val="20"/>
                <w:szCs w:val="20"/>
              </w:rPr>
              <w:t>36</w:t>
            </w:r>
          </w:p>
        </w:tc>
      </w:tr>
      <w:tr w:rsidR="00000000" w14:paraId="6A1BFF87" w14:textId="77777777">
        <w:trPr>
          <w:divId w:val="206650418"/>
          <w:tblCellSpacing w:w="0" w:type="dxa"/>
        </w:trPr>
        <w:tc>
          <w:tcPr>
            <w:tcW w:w="4500" w:type="pct"/>
            <w:hideMark/>
          </w:tcPr>
          <w:p w14:paraId="53B342A8" w14:textId="77777777" w:rsidR="00000000" w:rsidRDefault="0053651E">
            <w:pPr>
              <w:rPr>
                <w:rFonts w:eastAsia="Times New Roman"/>
                <w:sz w:val="20"/>
                <w:szCs w:val="20"/>
              </w:rPr>
            </w:pPr>
            <w:r>
              <w:rPr>
                <w:rFonts w:eastAsia="Times New Roman"/>
                <w:sz w:val="20"/>
                <w:szCs w:val="20"/>
              </w:rPr>
              <w:t> </w:t>
            </w:r>
          </w:p>
        </w:tc>
        <w:tc>
          <w:tcPr>
            <w:tcW w:w="500" w:type="pct"/>
            <w:hideMark/>
          </w:tcPr>
          <w:p w14:paraId="1F10FF39" w14:textId="77777777" w:rsidR="00000000" w:rsidRDefault="0053651E">
            <w:pPr>
              <w:jc w:val="right"/>
              <w:rPr>
                <w:rFonts w:eastAsia="Times New Roman"/>
                <w:sz w:val="20"/>
                <w:szCs w:val="20"/>
              </w:rPr>
            </w:pPr>
            <w:r>
              <w:rPr>
                <w:rFonts w:eastAsia="Times New Roman"/>
                <w:sz w:val="20"/>
                <w:szCs w:val="20"/>
              </w:rPr>
              <w:t> </w:t>
            </w:r>
          </w:p>
        </w:tc>
      </w:tr>
      <w:tr w:rsidR="00000000" w14:paraId="361D3BA4" w14:textId="77777777">
        <w:trPr>
          <w:divId w:val="206650418"/>
          <w:tblCellSpacing w:w="0" w:type="dxa"/>
        </w:trPr>
        <w:tc>
          <w:tcPr>
            <w:tcW w:w="4500" w:type="pct"/>
            <w:hideMark/>
          </w:tcPr>
          <w:p w14:paraId="4F26C55E" w14:textId="77777777" w:rsidR="00000000" w:rsidRDefault="0053651E">
            <w:pPr>
              <w:rPr>
                <w:rFonts w:eastAsia="Times New Roman"/>
                <w:sz w:val="20"/>
                <w:szCs w:val="20"/>
              </w:rPr>
            </w:pPr>
            <w:hyperlink w:anchor="item8" w:history="1">
              <w:r>
                <w:rPr>
                  <w:rStyle w:val="a4"/>
                  <w:rFonts w:eastAsia="Times New Roman"/>
                  <w:sz w:val="20"/>
                  <w:szCs w:val="20"/>
                </w:rPr>
                <w:t>Item 8. Financial Statements and Supplementary Data</w:t>
              </w:r>
            </w:hyperlink>
          </w:p>
        </w:tc>
        <w:tc>
          <w:tcPr>
            <w:tcW w:w="500" w:type="pct"/>
            <w:hideMark/>
          </w:tcPr>
          <w:p w14:paraId="1D6E937F" w14:textId="77777777" w:rsidR="00000000" w:rsidRDefault="0053651E">
            <w:pPr>
              <w:pStyle w:val="a3"/>
              <w:spacing w:before="0" w:beforeAutospacing="0" w:after="0" w:afterAutospacing="0"/>
              <w:jc w:val="right"/>
              <w:rPr>
                <w:sz w:val="20"/>
                <w:szCs w:val="20"/>
              </w:rPr>
            </w:pPr>
            <w:r>
              <w:rPr>
                <w:sz w:val="20"/>
                <w:szCs w:val="20"/>
              </w:rPr>
              <w:t>36</w:t>
            </w:r>
          </w:p>
        </w:tc>
      </w:tr>
      <w:tr w:rsidR="00000000" w14:paraId="58C13464" w14:textId="77777777">
        <w:trPr>
          <w:divId w:val="206650418"/>
          <w:tblCellSpacing w:w="0" w:type="dxa"/>
        </w:trPr>
        <w:tc>
          <w:tcPr>
            <w:tcW w:w="4500" w:type="pct"/>
            <w:hideMark/>
          </w:tcPr>
          <w:p w14:paraId="1A85C784" w14:textId="77777777" w:rsidR="00000000" w:rsidRDefault="0053651E">
            <w:pPr>
              <w:rPr>
                <w:rFonts w:eastAsia="Times New Roman"/>
                <w:sz w:val="20"/>
                <w:szCs w:val="20"/>
              </w:rPr>
            </w:pPr>
            <w:r>
              <w:rPr>
                <w:rFonts w:eastAsia="Times New Roman"/>
                <w:sz w:val="20"/>
                <w:szCs w:val="20"/>
              </w:rPr>
              <w:t> </w:t>
            </w:r>
          </w:p>
        </w:tc>
        <w:tc>
          <w:tcPr>
            <w:tcW w:w="500" w:type="pct"/>
            <w:hideMark/>
          </w:tcPr>
          <w:p w14:paraId="1943CAA1" w14:textId="77777777" w:rsidR="00000000" w:rsidRDefault="0053651E">
            <w:pPr>
              <w:rPr>
                <w:rFonts w:eastAsia="Times New Roman"/>
                <w:sz w:val="20"/>
                <w:szCs w:val="20"/>
              </w:rPr>
            </w:pPr>
            <w:r>
              <w:rPr>
                <w:rFonts w:eastAsia="Times New Roman"/>
                <w:sz w:val="20"/>
                <w:szCs w:val="20"/>
              </w:rPr>
              <w:t> </w:t>
            </w:r>
          </w:p>
        </w:tc>
      </w:tr>
      <w:tr w:rsidR="00000000" w14:paraId="4D6EAD2A" w14:textId="77777777">
        <w:trPr>
          <w:divId w:val="206650418"/>
          <w:tblCellSpacing w:w="0" w:type="dxa"/>
        </w:trPr>
        <w:tc>
          <w:tcPr>
            <w:tcW w:w="4500" w:type="pct"/>
            <w:hideMark/>
          </w:tcPr>
          <w:p w14:paraId="0703B91F" w14:textId="77777777" w:rsidR="00000000" w:rsidRDefault="0053651E">
            <w:pPr>
              <w:rPr>
                <w:rFonts w:eastAsia="Times New Roman"/>
                <w:sz w:val="20"/>
                <w:szCs w:val="20"/>
              </w:rPr>
            </w:pPr>
            <w:hyperlink w:anchor="item9" w:history="1">
              <w:r>
                <w:rPr>
                  <w:rStyle w:val="a4"/>
                  <w:rFonts w:eastAsia="Times New Roman"/>
                  <w:sz w:val="20"/>
                  <w:szCs w:val="20"/>
                </w:rPr>
                <w:t>Item 9. Changes in and Disagreements With Accountants on Accounting and Financial Disclosure</w:t>
              </w:r>
            </w:hyperlink>
          </w:p>
        </w:tc>
        <w:tc>
          <w:tcPr>
            <w:tcW w:w="500" w:type="pct"/>
            <w:hideMark/>
          </w:tcPr>
          <w:p w14:paraId="34E1971B" w14:textId="77777777" w:rsidR="00000000" w:rsidRDefault="0053651E">
            <w:pPr>
              <w:pStyle w:val="a3"/>
              <w:spacing w:before="0" w:beforeAutospacing="0" w:after="0" w:afterAutospacing="0"/>
              <w:jc w:val="right"/>
              <w:rPr>
                <w:sz w:val="20"/>
                <w:szCs w:val="20"/>
              </w:rPr>
            </w:pPr>
            <w:r>
              <w:rPr>
                <w:sz w:val="20"/>
                <w:szCs w:val="20"/>
              </w:rPr>
              <w:t>36</w:t>
            </w:r>
          </w:p>
        </w:tc>
      </w:tr>
      <w:tr w:rsidR="00000000" w14:paraId="17293A20" w14:textId="77777777">
        <w:trPr>
          <w:divId w:val="206650418"/>
          <w:tblCellSpacing w:w="0" w:type="dxa"/>
        </w:trPr>
        <w:tc>
          <w:tcPr>
            <w:tcW w:w="4500" w:type="pct"/>
            <w:hideMark/>
          </w:tcPr>
          <w:p w14:paraId="29F6139A" w14:textId="77777777" w:rsidR="00000000" w:rsidRDefault="0053651E">
            <w:pPr>
              <w:rPr>
                <w:rFonts w:eastAsia="Times New Roman"/>
                <w:sz w:val="20"/>
                <w:szCs w:val="20"/>
              </w:rPr>
            </w:pPr>
            <w:r>
              <w:rPr>
                <w:rFonts w:eastAsia="Times New Roman"/>
                <w:sz w:val="20"/>
                <w:szCs w:val="20"/>
              </w:rPr>
              <w:t> </w:t>
            </w:r>
          </w:p>
        </w:tc>
        <w:tc>
          <w:tcPr>
            <w:tcW w:w="500" w:type="pct"/>
            <w:hideMark/>
          </w:tcPr>
          <w:p w14:paraId="605AD1A3" w14:textId="77777777" w:rsidR="00000000" w:rsidRDefault="0053651E">
            <w:pPr>
              <w:rPr>
                <w:rFonts w:eastAsia="Times New Roman"/>
                <w:sz w:val="20"/>
                <w:szCs w:val="20"/>
              </w:rPr>
            </w:pPr>
            <w:r>
              <w:rPr>
                <w:rFonts w:eastAsia="Times New Roman"/>
                <w:sz w:val="20"/>
                <w:szCs w:val="20"/>
              </w:rPr>
              <w:t> </w:t>
            </w:r>
          </w:p>
        </w:tc>
      </w:tr>
      <w:tr w:rsidR="00000000" w14:paraId="1555904D" w14:textId="77777777">
        <w:trPr>
          <w:divId w:val="206650418"/>
          <w:tblCellSpacing w:w="0" w:type="dxa"/>
        </w:trPr>
        <w:tc>
          <w:tcPr>
            <w:tcW w:w="4500" w:type="pct"/>
            <w:hideMark/>
          </w:tcPr>
          <w:p w14:paraId="23A7A449" w14:textId="77777777" w:rsidR="00000000" w:rsidRDefault="0053651E">
            <w:pPr>
              <w:rPr>
                <w:rFonts w:eastAsia="Times New Roman"/>
                <w:sz w:val="20"/>
                <w:szCs w:val="20"/>
              </w:rPr>
            </w:pPr>
            <w:hyperlink w:anchor="item9a" w:history="1">
              <w:r>
                <w:rPr>
                  <w:rStyle w:val="a4"/>
                  <w:rFonts w:eastAsia="Times New Roman"/>
                  <w:sz w:val="20"/>
                  <w:szCs w:val="20"/>
                </w:rPr>
                <w:t>Item 9A. Controls and Procedures</w:t>
              </w:r>
            </w:hyperlink>
          </w:p>
        </w:tc>
        <w:tc>
          <w:tcPr>
            <w:tcW w:w="500" w:type="pct"/>
            <w:hideMark/>
          </w:tcPr>
          <w:p w14:paraId="71564302" w14:textId="77777777" w:rsidR="00000000" w:rsidRDefault="0053651E">
            <w:pPr>
              <w:pStyle w:val="a3"/>
              <w:spacing w:before="0" w:beforeAutospacing="0" w:after="0" w:afterAutospacing="0"/>
              <w:jc w:val="right"/>
              <w:rPr>
                <w:sz w:val="20"/>
                <w:szCs w:val="20"/>
              </w:rPr>
            </w:pPr>
            <w:r>
              <w:rPr>
                <w:sz w:val="20"/>
                <w:szCs w:val="20"/>
              </w:rPr>
              <w:t>37</w:t>
            </w:r>
          </w:p>
        </w:tc>
      </w:tr>
      <w:tr w:rsidR="00000000" w14:paraId="7C41B403" w14:textId="77777777">
        <w:trPr>
          <w:divId w:val="206650418"/>
          <w:tblCellSpacing w:w="0" w:type="dxa"/>
        </w:trPr>
        <w:tc>
          <w:tcPr>
            <w:tcW w:w="4500" w:type="pct"/>
            <w:hideMark/>
          </w:tcPr>
          <w:p w14:paraId="0E8D9518" w14:textId="77777777" w:rsidR="00000000" w:rsidRDefault="0053651E">
            <w:pPr>
              <w:rPr>
                <w:rFonts w:eastAsia="Times New Roman"/>
                <w:sz w:val="20"/>
                <w:szCs w:val="20"/>
              </w:rPr>
            </w:pPr>
            <w:r>
              <w:rPr>
                <w:rFonts w:eastAsia="Times New Roman"/>
                <w:sz w:val="20"/>
                <w:szCs w:val="20"/>
              </w:rPr>
              <w:t> </w:t>
            </w:r>
          </w:p>
        </w:tc>
        <w:tc>
          <w:tcPr>
            <w:tcW w:w="500" w:type="pct"/>
            <w:hideMark/>
          </w:tcPr>
          <w:p w14:paraId="689D7941" w14:textId="77777777" w:rsidR="00000000" w:rsidRDefault="0053651E">
            <w:pPr>
              <w:rPr>
                <w:rFonts w:eastAsia="Times New Roman"/>
                <w:sz w:val="20"/>
                <w:szCs w:val="20"/>
              </w:rPr>
            </w:pPr>
            <w:r>
              <w:rPr>
                <w:rFonts w:eastAsia="Times New Roman"/>
                <w:sz w:val="20"/>
                <w:szCs w:val="20"/>
              </w:rPr>
              <w:t> </w:t>
            </w:r>
          </w:p>
        </w:tc>
      </w:tr>
      <w:tr w:rsidR="00000000" w14:paraId="7A36C4BD" w14:textId="77777777">
        <w:trPr>
          <w:divId w:val="206650418"/>
          <w:tblCellSpacing w:w="0" w:type="dxa"/>
        </w:trPr>
        <w:tc>
          <w:tcPr>
            <w:tcW w:w="4500" w:type="pct"/>
            <w:hideMark/>
          </w:tcPr>
          <w:p w14:paraId="7FA3CB86" w14:textId="77777777" w:rsidR="00000000" w:rsidRDefault="0053651E">
            <w:pPr>
              <w:rPr>
                <w:rFonts w:eastAsia="Times New Roman"/>
                <w:sz w:val="20"/>
                <w:szCs w:val="20"/>
              </w:rPr>
            </w:pPr>
            <w:hyperlink w:anchor="item9b" w:history="1">
              <w:r>
                <w:rPr>
                  <w:rStyle w:val="a4"/>
                  <w:rFonts w:eastAsia="Times New Roman"/>
                  <w:sz w:val="20"/>
                  <w:szCs w:val="20"/>
                </w:rPr>
                <w:t>Item 9B. Other Information</w:t>
              </w:r>
            </w:hyperlink>
          </w:p>
        </w:tc>
        <w:tc>
          <w:tcPr>
            <w:tcW w:w="500" w:type="pct"/>
            <w:hideMark/>
          </w:tcPr>
          <w:p w14:paraId="49C3DE5F" w14:textId="77777777" w:rsidR="00000000" w:rsidRDefault="0053651E">
            <w:pPr>
              <w:jc w:val="right"/>
              <w:rPr>
                <w:rFonts w:eastAsia="Times New Roman"/>
                <w:sz w:val="20"/>
                <w:szCs w:val="20"/>
              </w:rPr>
            </w:pPr>
            <w:r>
              <w:rPr>
                <w:rFonts w:eastAsia="Times New Roman"/>
                <w:sz w:val="20"/>
                <w:szCs w:val="20"/>
              </w:rPr>
              <w:t>37</w:t>
            </w:r>
          </w:p>
        </w:tc>
      </w:tr>
      <w:tr w:rsidR="00000000" w14:paraId="63FC0FCF" w14:textId="77777777">
        <w:trPr>
          <w:divId w:val="206650418"/>
          <w:tblCellSpacing w:w="0" w:type="dxa"/>
        </w:trPr>
        <w:tc>
          <w:tcPr>
            <w:tcW w:w="4500" w:type="pct"/>
            <w:hideMark/>
          </w:tcPr>
          <w:p w14:paraId="22268BE3" w14:textId="77777777" w:rsidR="00000000" w:rsidRDefault="0053651E">
            <w:pPr>
              <w:rPr>
                <w:rFonts w:eastAsia="Times New Roman"/>
                <w:sz w:val="20"/>
                <w:szCs w:val="20"/>
              </w:rPr>
            </w:pPr>
            <w:r>
              <w:rPr>
                <w:rFonts w:eastAsia="Times New Roman"/>
                <w:sz w:val="20"/>
                <w:szCs w:val="20"/>
              </w:rPr>
              <w:t> </w:t>
            </w:r>
          </w:p>
        </w:tc>
        <w:tc>
          <w:tcPr>
            <w:tcW w:w="500" w:type="pct"/>
            <w:hideMark/>
          </w:tcPr>
          <w:p w14:paraId="3BD13571" w14:textId="77777777" w:rsidR="00000000" w:rsidRDefault="0053651E">
            <w:pPr>
              <w:rPr>
                <w:rFonts w:eastAsia="Times New Roman"/>
                <w:sz w:val="20"/>
                <w:szCs w:val="20"/>
              </w:rPr>
            </w:pPr>
            <w:r>
              <w:rPr>
                <w:rFonts w:eastAsia="Times New Roman"/>
                <w:sz w:val="20"/>
                <w:szCs w:val="20"/>
              </w:rPr>
              <w:t> </w:t>
            </w:r>
          </w:p>
        </w:tc>
      </w:tr>
      <w:tr w:rsidR="00000000" w14:paraId="46DC5240" w14:textId="77777777">
        <w:trPr>
          <w:divId w:val="206650418"/>
          <w:tblCellSpacing w:w="0" w:type="dxa"/>
        </w:trPr>
        <w:tc>
          <w:tcPr>
            <w:tcW w:w="4500" w:type="pct"/>
            <w:gridSpan w:val="2"/>
            <w:hideMark/>
          </w:tcPr>
          <w:p w14:paraId="57F75748" w14:textId="77777777" w:rsidR="00000000" w:rsidRDefault="0053651E">
            <w:pPr>
              <w:jc w:val="center"/>
              <w:rPr>
                <w:rFonts w:eastAsia="Times New Roman"/>
                <w:sz w:val="20"/>
                <w:szCs w:val="20"/>
              </w:rPr>
            </w:pPr>
            <w:r>
              <w:rPr>
                <w:rFonts w:eastAsia="Times New Roman"/>
                <w:sz w:val="20"/>
                <w:szCs w:val="20"/>
              </w:rPr>
              <w:t>PART III</w:t>
            </w:r>
          </w:p>
        </w:tc>
      </w:tr>
      <w:tr w:rsidR="00000000" w14:paraId="797B32B0" w14:textId="77777777">
        <w:trPr>
          <w:divId w:val="206650418"/>
          <w:tblCellSpacing w:w="0" w:type="dxa"/>
        </w:trPr>
        <w:tc>
          <w:tcPr>
            <w:tcW w:w="4500" w:type="pct"/>
            <w:hideMark/>
          </w:tcPr>
          <w:p w14:paraId="0D4C4D13" w14:textId="77777777" w:rsidR="00000000" w:rsidRDefault="0053651E">
            <w:pPr>
              <w:rPr>
                <w:rFonts w:eastAsia="Times New Roman"/>
                <w:sz w:val="20"/>
                <w:szCs w:val="20"/>
              </w:rPr>
            </w:pPr>
            <w:r>
              <w:rPr>
                <w:rFonts w:eastAsia="Times New Roman"/>
                <w:sz w:val="20"/>
                <w:szCs w:val="20"/>
              </w:rPr>
              <w:t> </w:t>
            </w:r>
          </w:p>
        </w:tc>
        <w:tc>
          <w:tcPr>
            <w:tcW w:w="500" w:type="pct"/>
            <w:hideMark/>
          </w:tcPr>
          <w:p w14:paraId="433593FD" w14:textId="77777777" w:rsidR="00000000" w:rsidRDefault="0053651E">
            <w:pPr>
              <w:rPr>
                <w:rFonts w:eastAsia="Times New Roman"/>
                <w:sz w:val="20"/>
                <w:szCs w:val="20"/>
              </w:rPr>
            </w:pPr>
            <w:r>
              <w:rPr>
                <w:rFonts w:eastAsia="Times New Roman"/>
                <w:sz w:val="20"/>
                <w:szCs w:val="20"/>
              </w:rPr>
              <w:t> </w:t>
            </w:r>
          </w:p>
        </w:tc>
      </w:tr>
      <w:tr w:rsidR="00000000" w14:paraId="08D446D9" w14:textId="77777777">
        <w:trPr>
          <w:divId w:val="206650418"/>
          <w:tblCellSpacing w:w="0" w:type="dxa"/>
        </w:trPr>
        <w:tc>
          <w:tcPr>
            <w:tcW w:w="4500" w:type="pct"/>
            <w:hideMark/>
          </w:tcPr>
          <w:p w14:paraId="06548BB8" w14:textId="77777777" w:rsidR="00000000" w:rsidRDefault="0053651E">
            <w:pPr>
              <w:rPr>
                <w:rFonts w:eastAsia="Times New Roman"/>
                <w:sz w:val="20"/>
                <w:szCs w:val="20"/>
              </w:rPr>
            </w:pPr>
            <w:hyperlink w:anchor="item10" w:history="1">
              <w:r>
                <w:rPr>
                  <w:rStyle w:val="a4"/>
                  <w:rFonts w:eastAsia="Times New Roman"/>
                  <w:sz w:val="20"/>
                  <w:szCs w:val="20"/>
                </w:rPr>
                <w:t>Item 10. Directors, Executive Officers and Corporate Governance</w:t>
              </w:r>
            </w:hyperlink>
          </w:p>
        </w:tc>
        <w:tc>
          <w:tcPr>
            <w:tcW w:w="500" w:type="pct"/>
            <w:hideMark/>
          </w:tcPr>
          <w:p w14:paraId="7480B608" w14:textId="77777777" w:rsidR="00000000" w:rsidRDefault="0053651E">
            <w:pPr>
              <w:jc w:val="right"/>
              <w:rPr>
                <w:rFonts w:eastAsia="Times New Roman"/>
                <w:sz w:val="20"/>
                <w:szCs w:val="20"/>
              </w:rPr>
            </w:pPr>
            <w:r>
              <w:rPr>
                <w:rFonts w:eastAsia="Times New Roman"/>
                <w:sz w:val="20"/>
                <w:szCs w:val="20"/>
              </w:rPr>
              <w:t>37</w:t>
            </w:r>
          </w:p>
        </w:tc>
      </w:tr>
      <w:tr w:rsidR="00000000" w14:paraId="247A9927" w14:textId="77777777">
        <w:trPr>
          <w:divId w:val="206650418"/>
          <w:tblCellSpacing w:w="0" w:type="dxa"/>
        </w:trPr>
        <w:tc>
          <w:tcPr>
            <w:tcW w:w="4500" w:type="pct"/>
            <w:hideMark/>
          </w:tcPr>
          <w:p w14:paraId="52AEA2B6" w14:textId="77777777" w:rsidR="00000000" w:rsidRDefault="0053651E">
            <w:pPr>
              <w:rPr>
                <w:rFonts w:eastAsia="Times New Roman"/>
                <w:sz w:val="20"/>
                <w:szCs w:val="20"/>
              </w:rPr>
            </w:pPr>
            <w:r>
              <w:rPr>
                <w:rFonts w:eastAsia="Times New Roman"/>
                <w:sz w:val="20"/>
                <w:szCs w:val="20"/>
              </w:rPr>
              <w:t> </w:t>
            </w:r>
          </w:p>
        </w:tc>
        <w:tc>
          <w:tcPr>
            <w:tcW w:w="500" w:type="pct"/>
            <w:hideMark/>
          </w:tcPr>
          <w:p w14:paraId="10A4FC95" w14:textId="77777777" w:rsidR="00000000" w:rsidRDefault="0053651E">
            <w:pPr>
              <w:jc w:val="right"/>
              <w:rPr>
                <w:rFonts w:eastAsia="Times New Roman"/>
                <w:sz w:val="20"/>
                <w:szCs w:val="20"/>
              </w:rPr>
            </w:pPr>
            <w:r>
              <w:rPr>
                <w:rFonts w:eastAsia="Times New Roman"/>
                <w:sz w:val="20"/>
                <w:szCs w:val="20"/>
              </w:rPr>
              <w:t> </w:t>
            </w:r>
          </w:p>
        </w:tc>
      </w:tr>
      <w:tr w:rsidR="00000000" w14:paraId="30B364A2" w14:textId="77777777">
        <w:trPr>
          <w:divId w:val="206650418"/>
          <w:tblCellSpacing w:w="0" w:type="dxa"/>
        </w:trPr>
        <w:tc>
          <w:tcPr>
            <w:tcW w:w="4500" w:type="pct"/>
            <w:hideMark/>
          </w:tcPr>
          <w:p w14:paraId="0E52296A" w14:textId="77777777" w:rsidR="00000000" w:rsidRDefault="0053651E">
            <w:pPr>
              <w:rPr>
                <w:rFonts w:eastAsia="Times New Roman"/>
                <w:sz w:val="20"/>
                <w:szCs w:val="20"/>
              </w:rPr>
            </w:pPr>
            <w:hyperlink w:anchor="item11" w:history="1">
              <w:r>
                <w:rPr>
                  <w:rStyle w:val="a4"/>
                  <w:rFonts w:eastAsia="Times New Roman"/>
                  <w:sz w:val="20"/>
                  <w:szCs w:val="20"/>
                </w:rPr>
                <w:t>Item 11. Executive Compensation</w:t>
              </w:r>
            </w:hyperlink>
          </w:p>
        </w:tc>
        <w:tc>
          <w:tcPr>
            <w:tcW w:w="500" w:type="pct"/>
            <w:hideMark/>
          </w:tcPr>
          <w:p w14:paraId="010B7C7C" w14:textId="77777777" w:rsidR="00000000" w:rsidRDefault="0053651E">
            <w:pPr>
              <w:jc w:val="right"/>
              <w:rPr>
                <w:rFonts w:eastAsia="Times New Roman"/>
                <w:sz w:val="20"/>
                <w:szCs w:val="20"/>
              </w:rPr>
            </w:pPr>
            <w:r>
              <w:rPr>
                <w:rFonts w:eastAsia="Times New Roman"/>
                <w:sz w:val="20"/>
                <w:szCs w:val="20"/>
              </w:rPr>
              <w:t>37</w:t>
            </w:r>
          </w:p>
        </w:tc>
      </w:tr>
      <w:tr w:rsidR="00000000" w14:paraId="1CF92A00" w14:textId="77777777">
        <w:trPr>
          <w:divId w:val="206650418"/>
          <w:tblCellSpacing w:w="0" w:type="dxa"/>
        </w:trPr>
        <w:tc>
          <w:tcPr>
            <w:tcW w:w="4500" w:type="pct"/>
            <w:hideMark/>
          </w:tcPr>
          <w:p w14:paraId="6D286E8C" w14:textId="77777777" w:rsidR="00000000" w:rsidRDefault="0053651E">
            <w:pPr>
              <w:rPr>
                <w:rFonts w:eastAsia="Times New Roman"/>
                <w:sz w:val="20"/>
                <w:szCs w:val="20"/>
              </w:rPr>
            </w:pPr>
            <w:r>
              <w:rPr>
                <w:rFonts w:eastAsia="Times New Roman"/>
                <w:sz w:val="20"/>
                <w:szCs w:val="20"/>
              </w:rPr>
              <w:t> </w:t>
            </w:r>
          </w:p>
        </w:tc>
        <w:tc>
          <w:tcPr>
            <w:tcW w:w="500" w:type="pct"/>
            <w:hideMark/>
          </w:tcPr>
          <w:p w14:paraId="4325D214" w14:textId="77777777" w:rsidR="00000000" w:rsidRDefault="0053651E">
            <w:pPr>
              <w:jc w:val="right"/>
              <w:rPr>
                <w:rFonts w:eastAsia="Times New Roman"/>
                <w:sz w:val="20"/>
                <w:szCs w:val="20"/>
              </w:rPr>
            </w:pPr>
            <w:r>
              <w:rPr>
                <w:rFonts w:eastAsia="Times New Roman"/>
                <w:sz w:val="20"/>
                <w:szCs w:val="20"/>
              </w:rPr>
              <w:t> </w:t>
            </w:r>
          </w:p>
        </w:tc>
      </w:tr>
      <w:tr w:rsidR="00000000" w14:paraId="6D25D5C8" w14:textId="77777777">
        <w:trPr>
          <w:divId w:val="206650418"/>
          <w:tblCellSpacing w:w="0" w:type="dxa"/>
        </w:trPr>
        <w:tc>
          <w:tcPr>
            <w:tcW w:w="4500" w:type="pct"/>
            <w:hideMark/>
          </w:tcPr>
          <w:p w14:paraId="1DCD0896" w14:textId="77777777" w:rsidR="00000000" w:rsidRDefault="0053651E">
            <w:pPr>
              <w:rPr>
                <w:rFonts w:eastAsia="Times New Roman"/>
                <w:sz w:val="20"/>
                <w:szCs w:val="20"/>
              </w:rPr>
            </w:pPr>
            <w:hyperlink w:anchor="item12" w:history="1">
              <w:r>
                <w:rPr>
                  <w:rStyle w:val="a4"/>
                  <w:rFonts w:eastAsia="Times New Roman"/>
                  <w:sz w:val="20"/>
                  <w:szCs w:val="20"/>
                </w:rPr>
                <w:t>Item 12. Security Ownership of Certain Beneficial Owners and Management and Related Stockholder Matters</w:t>
              </w:r>
            </w:hyperlink>
          </w:p>
        </w:tc>
        <w:tc>
          <w:tcPr>
            <w:tcW w:w="500" w:type="pct"/>
            <w:hideMark/>
          </w:tcPr>
          <w:p w14:paraId="5DCF1A03" w14:textId="77777777" w:rsidR="00000000" w:rsidRDefault="0053651E">
            <w:pPr>
              <w:jc w:val="right"/>
              <w:rPr>
                <w:rFonts w:eastAsia="Times New Roman"/>
                <w:sz w:val="20"/>
                <w:szCs w:val="20"/>
              </w:rPr>
            </w:pPr>
            <w:r>
              <w:rPr>
                <w:rFonts w:eastAsia="Times New Roman"/>
                <w:sz w:val="20"/>
                <w:szCs w:val="20"/>
              </w:rPr>
              <w:t>37</w:t>
            </w:r>
          </w:p>
        </w:tc>
      </w:tr>
      <w:tr w:rsidR="00000000" w14:paraId="692C53F6" w14:textId="77777777">
        <w:trPr>
          <w:divId w:val="206650418"/>
          <w:tblCellSpacing w:w="0" w:type="dxa"/>
        </w:trPr>
        <w:tc>
          <w:tcPr>
            <w:tcW w:w="4500" w:type="pct"/>
            <w:hideMark/>
          </w:tcPr>
          <w:p w14:paraId="5F873AB0" w14:textId="77777777" w:rsidR="00000000" w:rsidRDefault="0053651E">
            <w:pPr>
              <w:rPr>
                <w:rFonts w:eastAsia="Times New Roman"/>
                <w:sz w:val="20"/>
                <w:szCs w:val="20"/>
              </w:rPr>
            </w:pPr>
            <w:r>
              <w:rPr>
                <w:rFonts w:eastAsia="Times New Roman"/>
                <w:sz w:val="20"/>
                <w:szCs w:val="20"/>
              </w:rPr>
              <w:t> </w:t>
            </w:r>
          </w:p>
        </w:tc>
        <w:tc>
          <w:tcPr>
            <w:tcW w:w="500" w:type="pct"/>
            <w:hideMark/>
          </w:tcPr>
          <w:p w14:paraId="61E35477" w14:textId="77777777" w:rsidR="00000000" w:rsidRDefault="0053651E">
            <w:pPr>
              <w:jc w:val="right"/>
              <w:rPr>
                <w:rFonts w:eastAsia="Times New Roman"/>
                <w:sz w:val="20"/>
                <w:szCs w:val="20"/>
              </w:rPr>
            </w:pPr>
            <w:r>
              <w:rPr>
                <w:rFonts w:eastAsia="Times New Roman"/>
                <w:sz w:val="20"/>
                <w:szCs w:val="20"/>
              </w:rPr>
              <w:t> </w:t>
            </w:r>
          </w:p>
        </w:tc>
      </w:tr>
      <w:tr w:rsidR="00000000" w14:paraId="03A3D3F8" w14:textId="77777777">
        <w:trPr>
          <w:divId w:val="206650418"/>
          <w:tblCellSpacing w:w="0" w:type="dxa"/>
        </w:trPr>
        <w:tc>
          <w:tcPr>
            <w:tcW w:w="4500" w:type="pct"/>
            <w:hideMark/>
          </w:tcPr>
          <w:p w14:paraId="649DF26F" w14:textId="77777777" w:rsidR="00000000" w:rsidRDefault="0053651E">
            <w:pPr>
              <w:rPr>
                <w:rFonts w:eastAsia="Times New Roman"/>
                <w:sz w:val="20"/>
                <w:szCs w:val="20"/>
              </w:rPr>
            </w:pPr>
            <w:hyperlink w:anchor="item13" w:history="1">
              <w:r>
                <w:rPr>
                  <w:rStyle w:val="a4"/>
                  <w:rFonts w:eastAsia="Times New Roman"/>
                  <w:sz w:val="20"/>
                  <w:szCs w:val="20"/>
                </w:rPr>
                <w:t>Item 13. Certai</w:t>
              </w:r>
              <w:r>
                <w:rPr>
                  <w:rStyle w:val="a4"/>
                  <w:rFonts w:eastAsia="Times New Roman"/>
                  <w:sz w:val="20"/>
                  <w:szCs w:val="20"/>
                </w:rPr>
                <w:t>n Relationships and Related Transactions, and Director Independence</w:t>
              </w:r>
            </w:hyperlink>
          </w:p>
        </w:tc>
        <w:tc>
          <w:tcPr>
            <w:tcW w:w="500" w:type="pct"/>
            <w:hideMark/>
          </w:tcPr>
          <w:p w14:paraId="1A6A8603" w14:textId="77777777" w:rsidR="00000000" w:rsidRDefault="0053651E">
            <w:pPr>
              <w:jc w:val="right"/>
              <w:rPr>
                <w:rFonts w:eastAsia="Times New Roman"/>
                <w:sz w:val="20"/>
                <w:szCs w:val="20"/>
              </w:rPr>
            </w:pPr>
            <w:r>
              <w:rPr>
                <w:rFonts w:eastAsia="Times New Roman"/>
                <w:sz w:val="20"/>
                <w:szCs w:val="20"/>
              </w:rPr>
              <w:t>37</w:t>
            </w:r>
          </w:p>
        </w:tc>
      </w:tr>
      <w:tr w:rsidR="00000000" w14:paraId="4B9228CF" w14:textId="77777777">
        <w:trPr>
          <w:divId w:val="206650418"/>
          <w:tblCellSpacing w:w="0" w:type="dxa"/>
        </w:trPr>
        <w:tc>
          <w:tcPr>
            <w:tcW w:w="4500" w:type="pct"/>
            <w:hideMark/>
          </w:tcPr>
          <w:p w14:paraId="3F079162" w14:textId="77777777" w:rsidR="00000000" w:rsidRDefault="0053651E">
            <w:pPr>
              <w:rPr>
                <w:rFonts w:eastAsia="Times New Roman"/>
                <w:sz w:val="20"/>
                <w:szCs w:val="20"/>
              </w:rPr>
            </w:pPr>
            <w:r>
              <w:rPr>
                <w:rFonts w:eastAsia="Times New Roman"/>
                <w:sz w:val="20"/>
                <w:szCs w:val="20"/>
              </w:rPr>
              <w:t> </w:t>
            </w:r>
          </w:p>
        </w:tc>
        <w:tc>
          <w:tcPr>
            <w:tcW w:w="500" w:type="pct"/>
            <w:hideMark/>
          </w:tcPr>
          <w:p w14:paraId="20613099" w14:textId="77777777" w:rsidR="00000000" w:rsidRDefault="0053651E">
            <w:pPr>
              <w:jc w:val="right"/>
              <w:rPr>
                <w:rFonts w:eastAsia="Times New Roman"/>
                <w:sz w:val="20"/>
                <w:szCs w:val="20"/>
              </w:rPr>
            </w:pPr>
            <w:r>
              <w:rPr>
                <w:rFonts w:eastAsia="Times New Roman"/>
                <w:sz w:val="20"/>
                <w:szCs w:val="20"/>
              </w:rPr>
              <w:t> </w:t>
            </w:r>
          </w:p>
        </w:tc>
      </w:tr>
      <w:tr w:rsidR="00000000" w14:paraId="4637992C" w14:textId="77777777">
        <w:trPr>
          <w:divId w:val="206650418"/>
          <w:tblCellSpacing w:w="0" w:type="dxa"/>
        </w:trPr>
        <w:tc>
          <w:tcPr>
            <w:tcW w:w="4500" w:type="pct"/>
            <w:hideMark/>
          </w:tcPr>
          <w:p w14:paraId="41347520" w14:textId="77777777" w:rsidR="00000000" w:rsidRDefault="0053651E">
            <w:pPr>
              <w:rPr>
                <w:rFonts w:eastAsia="Times New Roman"/>
                <w:sz w:val="20"/>
                <w:szCs w:val="20"/>
              </w:rPr>
            </w:pPr>
            <w:hyperlink w:anchor="item14" w:history="1">
              <w:r>
                <w:rPr>
                  <w:rStyle w:val="a4"/>
                  <w:rFonts w:eastAsia="Times New Roman"/>
                  <w:sz w:val="20"/>
                  <w:szCs w:val="20"/>
                </w:rPr>
                <w:t>Item 14. Principal Accounting Fees and Services</w:t>
              </w:r>
            </w:hyperlink>
          </w:p>
        </w:tc>
        <w:tc>
          <w:tcPr>
            <w:tcW w:w="500" w:type="pct"/>
            <w:hideMark/>
          </w:tcPr>
          <w:p w14:paraId="147E23FF" w14:textId="77777777" w:rsidR="00000000" w:rsidRDefault="0053651E">
            <w:pPr>
              <w:jc w:val="right"/>
              <w:rPr>
                <w:rFonts w:eastAsia="Times New Roman"/>
                <w:sz w:val="20"/>
                <w:szCs w:val="20"/>
              </w:rPr>
            </w:pPr>
            <w:r>
              <w:rPr>
                <w:rFonts w:eastAsia="Times New Roman"/>
                <w:sz w:val="20"/>
                <w:szCs w:val="20"/>
              </w:rPr>
              <w:t>37</w:t>
            </w:r>
          </w:p>
        </w:tc>
      </w:tr>
      <w:tr w:rsidR="00000000" w14:paraId="746FD3AC" w14:textId="77777777">
        <w:trPr>
          <w:divId w:val="206650418"/>
          <w:tblCellSpacing w:w="0" w:type="dxa"/>
        </w:trPr>
        <w:tc>
          <w:tcPr>
            <w:tcW w:w="4500" w:type="pct"/>
            <w:hideMark/>
          </w:tcPr>
          <w:p w14:paraId="5DFBF4EA" w14:textId="77777777" w:rsidR="00000000" w:rsidRDefault="0053651E">
            <w:pPr>
              <w:rPr>
                <w:rFonts w:eastAsia="Times New Roman"/>
                <w:sz w:val="20"/>
                <w:szCs w:val="20"/>
              </w:rPr>
            </w:pPr>
            <w:r>
              <w:rPr>
                <w:rFonts w:eastAsia="Times New Roman"/>
                <w:sz w:val="20"/>
                <w:szCs w:val="20"/>
              </w:rPr>
              <w:t> </w:t>
            </w:r>
          </w:p>
        </w:tc>
        <w:tc>
          <w:tcPr>
            <w:tcW w:w="500" w:type="pct"/>
            <w:hideMark/>
          </w:tcPr>
          <w:p w14:paraId="25EF9D3C" w14:textId="77777777" w:rsidR="00000000" w:rsidRDefault="0053651E">
            <w:pPr>
              <w:rPr>
                <w:rFonts w:eastAsia="Times New Roman"/>
                <w:sz w:val="20"/>
                <w:szCs w:val="20"/>
              </w:rPr>
            </w:pPr>
            <w:r>
              <w:rPr>
                <w:rFonts w:eastAsia="Times New Roman"/>
                <w:sz w:val="20"/>
                <w:szCs w:val="20"/>
              </w:rPr>
              <w:t> </w:t>
            </w:r>
          </w:p>
        </w:tc>
      </w:tr>
      <w:tr w:rsidR="00000000" w14:paraId="1D8BB4D9" w14:textId="77777777">
        <w:trPr>
          <w:divId w:val="206650418"/>
          <w:tblCellSpacing w:w="0" w:type="dxa"/>
        </w:trPr>
        <w:tc>
          <w:tcPr>
            <w:tcW w:w="4500" w:type="pct"/>
            <w:gridSpan w:val="2"/>
            <w:hideMark/>
          </w:tcPr>
          <w:p w14:paraId="01185544" w14:textId="77777777" w:rsidR="00000000" w:rsidRDefault="0053651E">
            <w:pPr>
              <w:jc w:val="center"/>
              <w:rPr>
                <w:rFonts w:eastAsia="Times New Roman"/>
                <w:sz w:val="20"/>
                <w:szCs w:val="20"/>
              </w:rPr>
            </w:pPr>
            <w:r>
              <w:rPr>
                <w:rFonts w:eastAsia="Times New Roman"/>
                <w:sz w:val="20"/>
                <w:szCs w:val="20"/>
              </w:rPr>
              <w:t>PART IV</w:t>
            </w:r>
          </w:p>
        </w:tc>
      </w:tr>
      <w:tr w:rsidR="00000000" w14:paraId="7B9AF571" w14:textId="77777777">
        <w:trPr>
          <w:divId w:val="206650418"/>
          <w:tblCellSpacing w:w="0" w:type="dxa"/>
        </w:trPr>
        <w:tc>
          <w:tcPr>
            <w:tcW w:w="4500" w:type="pct"/>
            <w:hideMark/>
          </w:tcPr>
          <w:p w14:paraId="13A5A394" w14:textId="77777777" w:rsidR="00000000" w:rsidRDefault="0053651E">
            <w:pPr>
              <w:rPr>
                <w:rFonts w:eastAsia="Times New Roman"/>
                <w:sz w:val="20"/>
                <w:szCs w:val="20"/>
              </w:rPr>
            </w:pPr>
            <w:r>
              <w:rPr>
                <w:rFonts w:eastAsia="Times New Roman"/>
                <w:sz w:val="20"/>
                <w:szCs w:val="20"/>
              </w:rPr>
              <w:t> </w:t>
            </w:r>
          </w:p>
        </w:tc>
        <w:tc>
          <w:tcPr>
            <w:tcW w:w="500" w:type="pct"/>
            <w:hideMark/>
          </w:tcPr>
          <w:p w14:paraId="54813354" w14:textId="77777777" w:rsidR="00000000" w:rsidRDefault="0053651E">
            <w:pPr>
              <w:rPr>
                <w:rFonts w:eastAsia="Times New Roman"/>
                <w:sz w:val="20"/>
                <w:szCs w:val="20"/>
              </w:rPr>
            </w:pPr>
            <w:r>
              <w:rPr>
                <w:rFonts w:eastAsia="Times New Roman"/>
                <w:sz w:val="20"/>
                <w:szCs w:val="20"/>
              </w:rPr>
              <w:t> </w:t>
            </w:r>
          </w:p>
        </w:tc>
      </w:tr>
      <w:tr w:rsidR="00000000" w14:paraId="2A3CB602" w14:textId="77777777">
        <w:trPr>
          <w:divId w:val="206650418"/>
          <w:tblCellSpacing w:w="0" w:type="dxa"/>
        </w:trPr>
        <w:tc>
          <w:tcPr>
            <w:tcW w:w="4500" w:type="pct"/>
            <w:hideMark/>
          </w:tcPr>
          <w:p w14:paraId="02C6E2FF" w14:textId="77777777" w:rsidR="00000000" w:rsidRDefault="0053651E">
            <w:pPr>
              <w:rPr>
                <w:rFonts w:eastAsia="Times New Roman"/>
                <w:sz w:val="20"/>
                <w:szCs w:val="20"/>
              </w:rPr>
            </w:pPr>
            <w:hyperlink w:anchor="item15" w:history="1">
              <w:r>
                <w:rPr>
                  <w:rStyle w:val="a4"/>
                  <w:rFonts w:eastAsia="Times New Roman"/>
                  <w:sz w:val="20"/>
                  <w:szCs w:val="20"/>
                </w:rPr>
                <w:t>Item 15. Exhibits, Financial Statement Schedules</w:t>
              </w:r>
            </w:hyperlink>
          </w:p>
        </w:tc>
        <w:tc>
          <w:tcPr>
            <w:tcW w:w="500" w:type="pct"/>
            <w:hideMark/>
          </w:tcPr>
          <w:p w14:paraId="22FEF654" w14:textId="77777777" w:rsidR="00000000" w:rsidRDefault="0053651E">
            <w:pPr>
              <w:jc w:val="right"/>
              <w:rPr>
                <w:rFonts w:eastAsia="Times New Roman"/>
                <w:sz w:val="20"/>
                <w:szCs w:val="20"/>
              </w:rPr>
            </w:pPr>
            <w:r>
              <w:rPr>
                <w:rFonts w:eastAsia="Times New Roman"/>
                <w:sz w:val="20"/>
                <w:szCs w:val="20"/>
              </w:rPr>
              <w:t>38</w:t>
            </w:r>
          </w:p>
        </w:tc>
      </w:tr>
      <w:tr w:rsidR="00000000" w14:paraId="122485FD" w14:textId="77777777">
        <w:trPr>
          <w:divId w:val="206650418"/>
          <w:tblCellSpacing w:w="0" w:type="dxa"/>
        </w:trPr>
        <w:tc>
          <w:tcPr>
            <w:tcW w:w="4500" w:type="pct"/>
            <w:hideMark/>
          </w:tcPr>
          <w:p w14:paraId="761F2BC3" w14:textId="77777777" w:rsidR="00000000" w:rsidRDefault="0053651E">
            <w:pPr>
              <w:rPr>
                <w:rFonts w:eastAsia="Times New Roman"/>
                <w:sz w:val="20"/>
                <w:szCs w:val="20"/>
              </w:rPr>
            </w:pPr>
            <w:r>
              <w:rPr>
                <w:rFonts w:eastAsia="Times New Roman"/>
                <w:sz w:val="20"/>
                <w:szCs w:val="20"/>
              </w:rPr>
              <w:t> </w:t>
            </w:r>
          </w:p>
        </w:tc>
        <w:tc>
          <w:tcPr>
            <w:tcW w:w="500" w:type="pct"/>
            <w:hideMark/>
          </w:tcPr>
          <w:p w14:paraId="24DECB28" w14:textId="77777777" w:rsidR="00000000" w:rsidRDefault="0053651E">
            <w:pPr>
              <w:jc w:val="right"/>
              <w:rPr>
                <w:rFonts w:eastAsia="Times New Roman"/>
                <w:sz w:val="20"/>
                <w:szCs w:val="20"/>
              </w:rPr>
            </w:pPr>
            <w:r>
              <w:rPr>
                <w:rFonts w:eastAsia="Times New Roman"/>
                <w:sz w:val="20"/>
                <w:szCs w:val="20"/>
              </w:rPr>
              <w:t> </w:t>
            </w:r>
          </w:p>
        </w:tc>
      </w:tr>
      <w:tr w:rsidR="00000000" w14:paraId="014AB96B" w14:textId="77777777">
        <w:trPr>
          <w:divId w:val="206650418"/>
          <w:tblCellSpacing w:w="0" w:type="dxa"/>
        </w:trPr>
        <w:tc>
          <w:tcPr>
            <w:tcW w:w="4500" w:type="pct"/>
            <w:hideMark/>
          </w:tcPr>
          <w:p w14:paraId="1E350731" w14:textId="77777777" w:rsidR="00000000" w:rsidRDefault="0053651E">
            <w:pPr>
              <w:pStyle w:val="a3"/>
              <w:spacing w:before="0" w:beforeAutospacing="0" w:after="0" w:afterAutospacing="0"/>
              <w:rPr>
                <w:sz w:val="20"/>
                <w:szCs w:val="20"/>
              </w:rPr>
            </w:pPr>
            <w:hyperlink w:anchor="item16" w:history="1">
              <w:r>
                <w:rPr>
                  <w:rStyle w:val="a4"/>
                  <w:sz w:val="20"/>
                  <w:szCs w:val="20"/>
                </w:rPr>
                <w:t>Item 16. Form 10-K Summary</w:t>
              </w:r>
            </w:hyperlink>
          </w:p>
        </w:tc>
        <w:tc>
          <w:tcPr>
            <w:tcW w:w="500" w:type="pct"/>
            <w:hideMark/>
          </w:tcPr>
          <w:p w14:paraId="736192D4" w14:textId="77777777" w:rsidR="00000000" w:rsidRDefault="0053651E">
            <w:pPr>
              <w:jc w:val="right"/>
              <w:rPr>
                <w:rFonts w:eastAsia="Times New Roman"/>
                <w:sz w:val="20"/>
                <w:szCs w:val="20"/>
              </w:rPr>
            </w:pPr>
            <w:r>
              <w:rPr>
                <w:rFonts w:eastAsia="Times New Roman"/>
                <w:sz w:val="20"/>
                <w:szCs w:val="20"/>
              </w:rPr>
              <w:t>38</w:t>
            </w:r>
          </w:p>
        </w:tc>
      </w:tr>
    </w:tbl>
    <w:p w14:paraId="2AB7EEA7" w14:textId="77777777" w:rsidR="00000000" w:rsidRDefault="0053651E">
      <w:pPr>
        <w:pStyle w:val="a3"/>
        <w:spacing w:before="0" w:beforeAutospacing="0" w:after="0" w:afterAutospacing="0"/>
        <w:rPr>
          <w:sz w:val="20"/>
          <w:szCs w:val="20"/>
        </w:rPr>
      </w:pPr>
      <w:r>
        <w:rPr>
          <w:sz w:val="20"/>
          <w:szCs w:val="20"/>
        </w:rPr>
        <w:t> </w:t>
      </w:r>
    </w:p>
    <w:p w14:paraId="6D4B39A9" w14:textId="77777777" w:rsidR="00000000" w:rsidRDefault="0053651E">
      <w:pPr>
        <w:divId w:val="1566450292"/>
        <w:rPr>
          <w:rFonts w:eastAsia="Times New Roman"/>
          <w:vanish/>
          <w:sz w:val="20"/>
          <w:szCs w:val="20"/>
        </w:rPr>
      </w:pPr>
      <w:r>
        <w:rPr>
          <w:rFonts w:eastAsia="Times New Roman"/>
          <w:vanish/>
          <w:sz w:val="20"/>
          <w:szCs w:val="20"/>
        </w:rPr>
        <w:t xml:space="preserve">  </w:t>
      </w:r>
    </w:p>
    <w:p w14:paraId="79EFE830" w14:textId="77777777" w:rsidR="00000000" w:rsidRDefault="0053651E">
      <w:pPr>
        <w:jc w:val="center"/>
        <w:divId w:val="1029334994"/>
        <w:rPr>
          <w:rFonts w:eastAsia="Times New Roman"/>
          <w:sz w:val="20"/>
          <w:szCs w:val="20"/>
        </w:rPr>
      </w:pPr>
      <w:r>
        <w:rPr>
          <w:rFonts w:eastAsia="Times New Roman"/>
          <w:sz w:val="20"/>
          <w:szCs w:val="20"/>
        </w:rPr>
        <w:t xml:space="preserve">2 </w:t>
      </w:r>
    </w:p>
    <w:p w14:paraId="03AB6F4E" w14:textId="77777777" w:rsidR="00000000" w:rsidRDefault="0053651E">
      <w:pPr>
        <w:divId w:val="1029334994"/>
        <w:rPr>
          <w:rFonts w:eastAsia="Times New Roman"/>
          <w:sz w:val="20"/>
          <w:szCs w:val="20"/>
        </w:rPr>
      </w:pPr>
      <w:r>
        <w:rPr>
          <w:rFonts w:eastAsia="Times New Roman"/>
          <w:sz w:val="20"/>
          <w:szCs w:val="20"/>
        </w:rPr>
        <w:pict w14:anchorId="415C6C7A">
          <v:rect id="_x0000_i1031" style="width:0;height:1.5pt" o:hralign="center" o:hrstd="t" o:hr="t" fillcolor="#a0a0a0" stroked="f"/>
        </w:pict>
      </w:r>
    </w:p>
    <w:p w14:paraId="62D9AC2C" w14:textId="77777777" w:rsidR="00000000" w:rsidRDefault="0053651E">
      <w:pPr>
        <w:divId w:val="10293349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3AEED99" w14:textId="77777777" w:rsidR="00000000" w:rsidRDefault="0053651E">
      <w:pPr>
        <w:divId w:val="13270289"/>
        <w:rPr>
          <w:rFonts w:eastAsia="Times New Roman"/>
          <w:sz w:val="20"/>
          <w:szCs w:val="20"/>
        </w:rPr>
      </w:pPr>
      <w:r>
        <w:rPr>
          <w:rFonts w:eastAsia="Times New Roman"/>
          <w:sz w:val="20"/>
          <w:szCs w:val="20"/>
        </w:rPr>
        <w:t xml:space="preserve">  </w:t>
      </w:r>
    </w:p>
    <w:p w14:paraId="78DDE9B6" w14:textId="77777777" w:rsidR="00000000" w:rsidRDefault="0053651E">
      <w:pPr>
        <w:pStyle w:val="a3"/>
        <w:spacing w:before="0" w:beforeAutospacing="0" w:after="0" w:afterAutospacing="0"/>
        <w:rPr>
          <w:sz w:val="20"/>
          <w:szCs w:val="20"/>
        </w:rPr>
      </w:pPr>
      <w:r>
        <w:rPr>
          <w:sz w:val="20"/>
          <w:szCs w:val="20"/>
        </w:rPr>
        <w:t> </w:t>
      </w:r>
    </w:p>
    <w:p w14:paraId="745BD0DE" w14:textId="77777777" w:rsidR="00000000" w:rsidRDefault="0053651E">
      <w:pPr>
        <w:pStyle w:val="a3"/>
        <w:spacing w:before="0" w:beforeAutospacing="0" w:after="0" w:afterAutospacing="0"/>
        <w:jc w:val="center"/>
        <w:rPr>
          <w:sz w:val="20"/>
          <w:szCs w:val="20"/>
        </w:rPr>
      </w:pPr>
      <w:r>
        <w:rPr>
          <w:b/>
          <w:bCs/>
          <w:sz w:val="20"/>
          <w:szCs w:val="20"/>
        </w:rPr>
        <w:t>FORWARD-LOOKING STATEMENTS</w:t>
      </w:r>
    </w:p>
    <w:p w14:paraId="0168C844" w14:textId="77777777" w:rsidR="00000000" w:rsidRDefault="0053651E">
      <w:pPr>
        <w:pStyle w:val="a3"/>
        <w:spacing w:before="0" w:beforeAutospacing="0" w:after="0" w:afterAutospacing="0"/>
        <w:jc w:val="center"/>
        <w:rPr>
          <w:sz w:val="20"/>
          <w:szCs w:val="20"/>
        </w:rPr>
      </w:pPr>
      <w:r>
        <w:rPr>
          <w:sz w:val="20"/>
          <w:szCs w:val="20"/>
        </w:rPr>
        <w:t> </w:t>
      </w:r>
    </w:p>
    <w:p w14:paraId="2BD796AC" w14:textId="77777777" w:rsidR="00000000" w:rsidRDefault="0053651E">
      <w:pPr>
        <w:pStyle w:val="a3"/>
        <w:spacing w:before="0" w:beforeAutospacing="0" w:after="0" w:afterAutospacing="0"/>
        <w:ind w:firstLine="360"/>
        <w:jc w:val="both"/>
        <w:rPr>
          <w:sz w:val="20"/>
          <w:szCs w:val="20"/>
        </w:rPr>
      </w:pPr>
      <w:r>
        <w:rPr>
          <w:sz w:val="20"/>
          <w:szCs w:val="20"/>
        </w:rPr>
        <w:t>This annual report on Form 10-K (“Form 10-K”</w:t>
      </w:r>
      <w:r>
        <w:rPr>
          <w:sz w:val="20"/>
          <w:szCs w:val="20"/>
        </w:rPr>
        <w:t xml:space="preserve">), together with other statements and information publicly disseminated by Kimco Realty Corporation (the “Company”) contains certain forward-looking statements within the meaning of Section 27A of the Securities Act of 1933, as amended, and Section 21E of </w:t>
      </w:r>
      <w:r>
        <w:rPr>
          <w:sz w:val="20"/>
          <w:szCs w:val="20"/>
        </w:rPr>
        <w:t>the Securities Exchange Act of 1934, as amended. The Company intends such forward-looking statements to be covered by the safe harbor provisions for forward-looking statements contained in the Private Securities Litigation Reform Act of 1995 and includes t</w:t>
      </w:r>
      <w:r>
        <w:rPr>
          <w:sz w:val="20"/>
          <w:szCs w:val="20"/>
        </w:rPr>
        <w:t>his statement for purposes of complying with the safe harbor provisions. Forward-looking statements, which are based on certain assumptions and describe the Company’s future plans, strategies and expectations, are generally identifiable by use of the words</w:t>
      </w:r>
      <w:r>
        <w:rPr>
          <w:sz w:val="20"/>
          <w:szCs w:val="20"/>
        </w:rPr>
        <w:t xml:space="preserve"> “believe,” “expect,” “intend,” “anticipate,” “estimate,” “project,” “will,” “target,” “forecast” or similar expressions. You should not rely on forward-looking statements since they involve known and unknown risks, uncertainties and other factors which ar</w:t>
      </w:r>
      <w:r>
        <w:rPr>
          <w:sz w:val="20"/>
          <w:szCs w:val="20"/>
        </w:rPr>
        <w:t>e, in some cases, beyond the Company’s control and could materially affect actual results, performances or achievements. Factors which may cause actual results to differ materially from current expectations include, but are not limited to (i) general adver</w:t>
      </w:r>
      <w:r>
        <w:rPr>
          <w:sz w:val="20"/>
          <w:szCs w:val="20"/>
        </w:rPr>
        <w:t>se economic and local real estate conditions, (ii) the inability of major tenants to continue paying their rent obligations due to bankruptcy, insolvency or a general downturn in their business, (iii) financing risks, such as the inability to obtain equity</w:t>
      </w:r>
      <w:r>
        <w:rPr>
          <w:sz w:val="20"/>
          <w:szCs w:val="20"/>
        </w:rPr>
        <w:t>, debt or other sources of financing or refinancing on favorable terms to the Company, (iv) the Company’s ability to raise capital by selling its assets, (v) changes in governmental laws and regulations and management’s ability to estimate the impact of su</w:t>
      </w:r>
      <w:r>
        <w:rPr>
          <w:sz w:val="20"/>
          <w:szCs w:val="20"/>
        </w:rPr>
        <w:t>ch changes, (vi) the level and volatility of interest rates and managements’ ability to estimate the impact thereof, (vii) the availability of suitable acquisition, disposition, development and redevelopment opportunities, and risks related to acquisitions</w:t>
      </w:r>
      <w:r>
        <w:rPr>
          <w:sz w:val="20"/>
          <w:szCs w:val="20"/>
        </w:rPr>
        <w:t xml:space="preserve"> not performing in accordance with our expectations, (viii) valuation and risks related to the Company’s joint venture and preferred equity investments, (ix) valuation of marketable securities and other investments, (x) increases in operating costs, (xi) c</w:t>
      </w:r>
      <w:r>
        <w:rPr>
          <w:sz w:val="20"/>
          <w:szCs w:val="20"/>
        </w:rPr>
        <w:t>hanges in the dividend policy for the Company’s common and preferred stock and the Company’s ability to pay dividends at current levels, (xii) the reduction in the Company’s income in the event of multiple lease terminations by tenants or a failure by mult</w:t>
      </w:r>
      <w:r>
        <w:rPr>
          <w:sz w:val="20"/>
          <w:szCs w:val="20"/>
        </w:rPr>
        <w:t>iple tenants to occupy their premises in a shopping center, (xiii) impairment charges, (xiv) unanticipated changes in the Company’s intention or ability to prepay certain debt prior to maturity and/or hold certain securities until maturity and (xv) the ris</w:t>
      </w:r>
      <w:r>
        <w:rPr>
          <w:sz w:val="20"/>
          <w:szCs w:val="20"/>
        </w:rPr>
        <w:t>ks and uncertainties identified under Item 1A, “Risk Factors” and elsewhere in this Form 10-K and in the Company’s other filings with the Securities and Exchange Commission (“SEC”). Accordingly, there is no assurance that the Company’s expectations will be</w:t>
      </w:r>
      <w:r>
        <w:rPr>
          <w:sz w:val="20"/>
          <w:szCs w:val="20"/>
        </w:rPr>
        <w:t xml:space="preserve"> realized. The Company disclaims any intention or obligation to update the forward-looking statements, whether as a result of new information, future events or otherwise. You are advised to refer to any further disclosures the Company makes or related subj</w:t>
      </w:r>
      <w:r>
        <w:rPr>
          <w:sz w:val="20"/>
          <w:szCs w:val="20"/>
        </w:rPr>
        <w:t>ects in the Company’s quarterly reports on Form 10-Q and current reports on Form 8-K that the Company files with the SEC.</w:t>
      </w:r>
    </w:p>
    <w:p w14:paraId="08BC0048" w14:textId="77777777" w:rsidR="00000000" w:rsidRDefault="0053651E">
      <w:pPr>
        <w:pStyle w:val="a3"/>
        <w:spacing w:before="0" w:beforeAutospacing="0" w:after="0" w:afterAutospacing="0"/>
        <w:ind w:firstLine="360"/>
        <w:rPr>
          <w:sz w:val="20"/>
          <w:szCs w:val="20"/>
        </w:rPr>
      </w:pPr>
      <w:r>
        <w:rPr>
          <w:sz w:val="20"/>
          <w:szCs w:val="20"/>
        </w:rPr>
        <w:t> </w:t>
      </w:r>
    </w:p>
    <w:p w14:paraId="2F638730" w14:textId="77777777" w:rsidR="00000000" w:rsidRDefault="0053651E">
      <w:pPr>
        <w:pStyle w:val="a3"/>
        <w:spacing w:before="0" w:beforeAutospacing="0" w:after="0" w:afterAutospacing="0"/>
        <w:jc w:val="center"/>
        <w:rPr>
          <w:sz w:val="20"/>
          <w:szCs w:val="20"/>
        </w:rPr>
      </w:pPr>
      <w:r>
        <w:rPr>
          <w:sz w:val="20"/>
          <w:szCs w:val="20"/>
          <w:u w:val="single"/>
        </w:rPr>
        <w:t>PART I</w:t>
      </w:r>
    </w:p>
    <w:p w14:paraId="18460109" w14:textId="77777777" w:rsidR="00000000" w:rsidRDefault="0053651E">
      <w:pPr>
        <w:pStyle w:val="a3"/>
        <w:spacing w:before="0" w:beforeAutospacing="0" w:after="0" w:afterAutospacing="0"/>
        <w:ind w:firstLine="360"/>
        <w:rPr>
          <w:sz w:val="20"/>
          <w:szCs w:val="20"/>
        </w:rPr>
      </w:pPr>
      <w:r>
        <w:rPr>
          <w:sz w:val="20"/>
          <w:szCs w:val="20"/>
        </w:rPr>
        <w:t> </w:t>
      </w:r>
    </w:p>
    <w:p w14:paraId="50A28821" w14:textId="77777777" w:rsidR="00000000" w:rsidRDefault="0053651E">
      <w:pPr>
        <w:pStyle w:val="a3"/>
        <w:spacing w:before="0" w:beforeAutospacing="0" w:after="0" w:afterAutospacing="0"/>
        <w:rPr>
          <w:sz w:val="20"/>
          <w:szCs w:val="20"/>
        </w:rPr>
      </w:pPr>
      <w:r>
        <w:rPr>
          <w:sz w:val="20"/>
          <w:szCs w:val="20"/>
          <w:u w:val="single"/>
        </w:rPr>
        <w:t>Item 1. Business</w:t>
      </w:r>
    </w:p>
    <w:p w14:paraId="064D319F" w14:textId="77777777" w:rsidR="00000000" w:rsidRDefault="0053651E">
      <w:pPr>
        <w:pStyle w:val="a3"/>
        <w:spacing w:before="0" w:beforeAutospacing="0" w:after="0" w:afterAutospacing="0"/>
        <w:ind w:firstLine="360"/>
        <w:rPr>
          <w:sz w:val="20"/>
          <w:szCs w:val="20"/>
        </w:rPr>
      </w:pPr>
      <w:r>
        <w:rPr>
          <w:sz w:val="20"/>
          <w:szCs w:val="20"/>
        </w:rPr>
        <w:t> </w:t>
      </w:r>
    </w:p>
    <w:p w14:paraId="5A755177" w14:textId="77777777" w:rsidR="00000000" w:rsidRDefault="0053651E">
      <w:pPr>
        <w:pStyle w:val="a3"/>
        <w:spacing w:before="0" w:beforeAutospacing="0" w:after="0" w:afterAutospacing="0"/>
        <w:ind w:firstLine="360"/>
        <w:rPr>
          <w:sz w:val="20"/>
          <w:szCs w:val="20"/>
        </w:rPr>
      </w:pPr>
      <w:r>
        <w:rPr>
          <w:b/>
          <w:bCs/>
          <w:sz w:val="20"/>
          <w:szCs w:val="20"/>
          <w:u w:val="single"/>
        </w:rPr>
        <w:t>Overview</w:t>
      </w:r>
    </w:p>
    <w:p w14:paraId="61C31E9E" w14:textId="77777777" w:rsidR="00000000" w:rsidRDefault="0053651E">
      <w:pPr>
        <w:pStyle w:val="a3"/>
        <w:spacing w:before="0" w:beforeAutospacing="0" w:after="0" w:afterAutospacing="0"/>
        <w:ind w:firstLine="360"/>
        <w:rPr>
          <w:sz w:val="20"/>
          <w:szCs w:val="20"/>
        </w:rPr>
      </w:pPr>
      <w:r>
        <w:rPr>
          <w:b/>
          <w:bCs/>
          <w:sz w:val="20"/>
          <w:szCs w:val="20"/>
        </w:rPr>
        <w:t> </w:t>
      </w:r>
    </w:p>
    <w:p w14:paraId="157A6BD1" w14:textId="77777777" w:rsidR="00000000" w:rsidRDefault="0053651E">
      <w:pPr>
        <w:pStyle w:val="a3"/>
        <w:spacing w:before="0" w:beforeAutospacing="0" w:after="0" w:afterAutospacing="0"/>
        <w:ind w:firstLine="360"/>
        <w:jc w:val="both"/>
        <w:rPr>
          <w:sz w:val="20"/>
          <w:szCs w:val="20"/>
        </w:rPr>
      </w:pPr>
      <w:r>
        <w:rPr>
          <w:sz w:val="20"/>
          <w:szCs w:val="20"/>
        </w:rPr>
        <w:t>Kimco Realty Corporation, a Maryland corporation, is one of North America’s largest publicly traded owners and operators of open-air shopping centers.  The terms “Kimco,” the “Company,” “we,” “our” and “us” each refer to Kimco Realty Corporation and our su</w:t>
      </w:r>
      <w:r>
        <w:rPr>
          <w:sz w:val="20"/>
          <w:szCs w:val="20"/>
        </w:rPr>
        <w:t>bsidiaries, unless the context indicates otherwise. In statements regarding qualification as a real estate investment trust ("REIT"), such terms refer solely to Kimco Realty Corporation. The Company’s mission is to create destinations for everyday living t</w:t>
      </w:r>
      <w:r>
        <w:rPr>
          <w:sz w:val="20"/>
          <w:szCs w:val="20"/>
        </w:rPr>
        <w:t>hat inspire a sense of community and deliver value to our many stakeholders.</w:t>
      </w:r>
    </w:p>
    <w:p w14:paraId="1486F14B" w14:textId="77777777" w:rsidR="00000000" w:rsidRDefault="0053651E">
      <w:pPr>
        <w:pStyle w:val="a3"/>
        <w:spacing w:before="0" w:beforeAutospacing="0" w:after="0" w:afterAutospacing="0"/>
        <w:ind w:firstLine="360"/>
        <w:jc w:val="both"/>
        <w:rPr>
          <w:sz w:val="20"/>
          <w:szCs w:val="20"/>
        </w:rPr>
      </w:pPr>
      <w:r>
        <w:rPr>
          <w:sz w:val="20"/>
          <w:szCs w:val="20"/>
        </w:rPr>
        <w:t> </w:t>
      </w:r>
    </w:p>
    <w:p w14:paraId="17E37ED9" w14:textId="77777777" w:rsidR="00000000" w:rsidRDefault="0053651E">
      <w:pPr>
        <w:pStyle w:val="a3"/>
        <w:spacing w:before="0" w:beforeAutospacing="0" w:after="0" w:afterAutospacing="0"/>
        <w:ind w:firstLine="360"/>
        <w:jc w:val="both"/>
        <w:rPr>
          <w:sz w:val="20"/>
          <w:szCs w:val="20"/>
        </w:rPr>
      </w:pPr>
      <w:r>
        <w:rPr>
          <w:sz w:val="20"/>
          <w:szCs w:val="20"/>
        </w:rPr>
        <w:lastRenderedPageBreak/>
        <w:t>The Company is a self-administered REIT and has owned and operated open-air shopping centers for over 60 years.  The Company has not engaged, nor does it expect to retain, any R</w:t>
      </w:r>
      <w:r>
        <w:rPr>
          <w:sz w:val="20"/>
          <w:szCs w:val="20"/>
        </w:rPr>
        <w:t>EIT advisors in connection with the operation of its properties. As of December 31, 2019, the Company had interests in 409 shopping center properties (the “Combined Shopping Center Portfolio”), aggregating 72.4 million square feet of gross leasable area (“</w:t>
      </w:r>
      <w:r>
        <w:rPr>
          <w:sz w:val="20"/>
          <w:szCs w:val="20"/>
        </w:rPr>
        <w:t>GLA”), located in 27 states and Puerto Rico. In addition, the Company had 243 other property interests, primarily through the Company’s preferred equity investments and other real estate investments, totaling 3.9 million square feet of GLA. The Company’s o</w:t>
      </w:r>
      <w:r>
        <w:rPr>
          <w:sz w:val="20"/>
          <w:szCs w:val="20"/>
        </w:rPr>
        <w:t>wnership interests in real estate consist of its consolidated portfolio and portfolios where the Company owns an economic interest, such as properties in the Company’s investment real estate management programs, where the Company partners with institutiona</w:t>
      </w:r>
      <w:r>
        <w:rPr>
          <w:sz w:val="20"/>
          <w:szCs w:val="20"/>
        </w:rPr>
        <w:t>l investors and also retains management.  </w:t>
      </w:r>
    </w:p>
    <w:p w14:paraId="0D8611F1" w14:textId="77777777" w:rsidR="00000000" w:rsidRDefault="0053651E">
      <w:pPr>
        <w:pStyle w:val="a3"/>
        <w:spacing w:before="0" w:beforeAutospacing="0" w:after="0" w:afterAutospacing="0"/>
        <w:ind w:firstLine="360"/>
        <w:jc w:val="both"/>
        <w:rPr>
          <w:sz w:val="20"/>
          <w:szCs w:val="20"/>
        </w:rPr>
      </w:pPr>
      <w:r>
        <w:rPr>
          <w:sz w:val="20"/>
          <w:szCs w:val="20"/>
        </w:rPr>
        <w:t> </w:t>
      </w:r>
    </w:p>
    <w:p w14:paraId="6B6B0C7C" w14:textId="77777777" w:rsidR="00000000" w:rsidRDefault="0053651E">
      <w:pPr>
        <w:pStyle w:val="a3"/>
        <w:spacing w:before="0" w:beforeAutospacing="0" w:after="0" w:afterAutospacing="0"/>
        <w:ind w:firstLine="360"/>
        <w:jc w:val="both"/>
        <w:rPr>
          <w:sz w:val="20"/>
          <w:szCs w:val="20"/>
        </w:rPr>
      </w:pPr>
      <w:r>
        <w:rPr>
          <w:sz w:val="20"/>
          <w:szCs w:val="20"/>
        </w:rPr>
        <w:t>The Company's executive offices are located at 500 North Broadway, Suite 201, Jericho, NY 11753, a mixed-use property that is wholly owned by the Company, and its telephone number is (516) 869-9000. Nearly all o</w:t>
      </w:r>
      <w:r>
        <w:rPr>
          <w:sz w:val="20"/>
          <w:szCs w:val="20"/>
        </w:rPr>
        <w:t>perating functions, including leasing, legal, construction, data processing, maintenance, finance and accounting are administered by the Company from its executive offices in Jericho, New York and supported by the Company’s regional offices. As of December</w:t>
      </w:r>
      <w:r>
        <w:rPr>
          <w:sz w:val="20"/>
          <w:szCs w:val="20"/>
        </w:rPr>
        <w:t xml:space="preserve"> 31, 2019, a total of 502 persons were employed by the Company.</w:t>
      </w:r>
    </w:p>
    <w:p w14:paraId="04CAEB42" w14:textId="77777777" w:rsidR="00000000" w:rsidRDefault="0053651E">
      <w:pPr>
        <w:pStyle w:val="a3"/>
        <w:spacing w:before="0" w:beforeAutospacing="0" w:after="0" w:afterAutospacing="0"/>
        <w:ind w:firstLine="360"/>
        <w:rPr>
          <w:sz w:val="20"/>
          <w:szCs w:val="20"/>
        </w:rPr>
      </w:pPr>
      <w:r>
        <w:rPr>
          <w:sz w:val="20"/>
          <w:szCs w:val="20"/>
        </w:rPr>
        <w:t> </w:t>
      </w:r>
    </w:p>
    <w:p w14:paraId="77B00057" w14:textId="77777777" w:rsidR="00000000" w:rsidRDefault="0053651E">
      <w:pPr>
        <w:pStyle w:val="a3"/>
        <w:spacing w:before="0" w:beforeAutospacing="0" w:after="0" w:afterAutospacing="0"/>
        <w:ind w:firstLine="360"/>
        <w:jc w:val="both"/>
        <w:rPr>
          <w:sz w:val="20"/>
          <w:szCs w:val="20"/>
        </w:rPr>
      </w:pPr>
      <w:r>
        <w:rPr>
          <w:sz w:val="20"/>
          <w:szCs w:val="20"/>
        </w:rPr>
        <w:t xml:space="preserve">The Company’s website is located at </w:t>
      </w:r>
      <w:r>
        <w:rPr>
          <w:i/>
          <w:iCs/>
          <w:sz w:val="20"/>
          <w:szCs w:val="20"/>
          <w:u w:val="single"/>
        </w:rPr>
        <w:t>http://www.kimcorealty.com</w:t>
      </w:r>
      <w:r>
        <w:rPr>
          <w:sz w:val="20"/>
          <w:szCs w:val="20"/>
        </w:rPr>
        <w:t xml:space="preserve">. The information contained on our website does not constitute part of this Form 10-K. On the Company’s website you can obtain, </w:t>
      </w:r>
      <w:r>
        <w:rPr>
          <w:sz w:val="20"/>
          <w:szCs w:val="20"/>
        </w:rPr>
        <w:t>free of charge, a copy of this Form 10-K, quarterly reports on Form 10-Q, current reports on Form 8-K and amendments to those reports filed or furnished pursuant to Section 13(a) or 15(d) of the Exchange Act of 1934, as amended, as soon as reasonably pract</w:t>
      </w:r>
      <w:r>
        <w:rPr>
          <w:sz w:val="20"/>
          <w:szCs w:val="20"/>
        </w:rPr>
        <w:t xml:space="preserve">icable, after we file such material electronically with, or furnish it to, the SEC. The public may read and obtain a copy of any materials we file electronically with the SEC at </w:t>
      </w:r>
      <w:r>
        <w:rPr>
          <w:i/>
          <w:iCs/>
          <w:sz w:val="20"/>
          <w:szCs w:val="20"/>
          <w:u w:val="single"/>
        </w:rPr>
        <w:t>http://www.sec.gov</w:t>
      </w:r>
      <w:r>
        <w:rPr>
          <w:sz w:val="20"/>
          <w:szCs w:val="20"/>
        </w:rPr>
        <w:t>.</w:t>
      </w:r>
    </w:p>
    <w:p w14:paraId="360A00BE" w14:textId="77777777" w:rsidR="00000000" w:rsidRDefault="0053651E">
      <w:pPr>
        <w:pStyle w:val="a3"/>
        <w:spacing w:before="0" w:beforeAutospacing="0" w:after="0" w:afterAutospacing="0"/>
        <w:ind w:firstLine="360"/>
        <w:rPr>
          <w:sz w:val="20"/>
          <w:szCs w:val="20"/>
        </w:rPr>
      </w:pPr>
      <w:r>
        <w:rPr>
          <w:sz w:val="20"/>
          <w:szCs w:val="20"/>
        </w:rPr>
        <w:t> </w:t>
      </w:r>
    </w:p>
    <w:p w14:paraId="38CB4BAC" w14:textId="77777777" w:rsidR="00000000" w:rsidRDefault="0053651E">
      <w:pPr>
        <w:jc w:val="center"/>
        <w:divId w:val="674771476"/>
        <w:rPr>
          <w:rFonts w:eastAsia="Times New Roman"/>
          <w:sz w:val="20"/>
          <w:szCs w:val="20"/>
        </w:rPr>
      </w:pPr>
      <w:r>
        <w:rPr>
          <w:rFonts w:eastAsia="Times New Roman"/>
          <w:sz w:val="20"/>
          <w:szCs w:val="20"/>
        </w:rPr>
        <w:t xml:space="preserve">3 </w:t>
      </w:r>
    </w:p>
    <w:p w14:paraId="6A22C65F" w14:textId="77777777" w:rsidR="00000000" w:rsidRDefault="0053651E">
      <w:pPr>
        <w:divId w:val="674771476"/>
        <w:rPr>
          <w:rFonts w:eastAsia="Times New Roman"/>
          <w:sz w:val="20"/>
          <w:szCs w:val="20"/>
        </w:rPr>
      </w:pPr>
      <w:r>
        <w:rPr>
          <w:rFonts w:eastAsia="Times New Roman"/>
          <w:sz w:val="20"/>
          <w:szCs w:val="20"/>
        </w:rPr>
        <w:pict w14:anchorId="11BA691A">
          <v:rect id="_x0000_i1032" style="width:0;height:1.5pt" o:hralign="center" o:hrstd="t" o:hr="t" fillcolor="#a0a0a0" stroked="f"/>
        </w:pict>
      </w:r>
    </w:p>
    <w:p w14:paraId="53210FE4" w14:textId="77777777" w:rsidR="00000000" w:rsidRDefault="0053651E">
      <w:pPr>
        <w:divId w:val="67477147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66B6E74" w14:textId="77777777" w:rsidR="00000000" w:rsidRDefault="0053651E">
      <w:pPr>
        <w:pStyle w:val="a3"/>
        <w:spacing w:before="0" w:beforeAutospacing="0" w:after="0" w:afterAutospacing="0"/>
        <w:rPr>
          <w:sz w:val="20"/>
          <w:szCs w:val="20"/>
        </w:rPr>
      </w:pPr>
      <w:r>
        <w:rPr>
          <w:sz w:val="20"/>
          <w:szCs w:val="20"/>
        </w:rPr>
        <w:t> </w:t>
      </w:r>
    </w:p>
    <w:p w14:paraId="52791CB3" w14:textId="77777777" w:rsidR="00000000" w:rsidRDefault="0053651E">
      <w:pPr>
        <w:pStyle w:val="a3"/>
        <w:spacing w:before="0" w:beforeAutospacing="0" w:after="0" w:afterAutospacing="0"/>
        <w:ind w:firstLine="360"/>
        <w:jc w:val="both"/>
        <w:rPr>
          <w:sz w:val="20"/>
          <w:szCs w:val="20"/>
        </w:rPr>
      </w:pPr>
      <w:r>
        <w:rPr>
          <w:sz w:val="20"/>
          <w:szCs w:val="20"/>
        </w:rPr>
        <w:t>The Company began operations through its predecessor, The Kimco Corporation, which was organized in 1966 upon the contribution of several shopping center properties owned by its principal stockholders. In 1973, these principa</w:t>
      </w:r>
      <w:r>
        <w:rPr>
          <w:sz w:val="20"/>
          <w:szCs w:val="20"/>
        </w:rPr>
        <w:t>ls formed the Company as a Delaware corporation, and, in 1985, the operations of The Kimco Corporation were merged into the Company. The Company completed its initial public stock offering (the “IPO”) in November 1991, and, commencing with its taxable year</w:t>
      </w:r>
      <w:r>
        <w:rPr>
          <w:sz w:val="20"/>
          <w:szCs w:val="20"/>
        </w:rPr>
        <w:t xml:space="preserve"> which began January 1, 1992, elected to qualify as a REIT in accordance with Sections 856 through 860 of the Internal Revenue Code of 1986, as amended (the “Code”). If, as the Company believes, it is organized and operates in such a manner so as to qualif</w:t>
      </w:r>
      <w:r>
        <w:rPr>
          <w:sz w:val="20"/>
          <w:szCs w:val="20"/>
        </w:rPr>
        <w:t>y and remain qualified as a REIT under the Code, the Company generally will not be subject to federal income tax, provided that distributions to its stockholders equal at least the amount of its REIT taxable income, as defined in the Code. The Company main</w:t>
      </w:r>
      <w:r>
        <w:rPr>
          <w:sz w:val="20"/>
          <w:szCs w:val="20"/>
        </w:rPr>
        <w:t>tains certain subsidiaries that made joint elections with the Company to be treated as taxable REIT subsidiaries (“TRSs”), that permit the Company to engage through such TRSs in certain business activities that the REIT may not conduct directly. A TRS is s</w:t>
      </w:r>
      <w:r>
        <w:rPr>
          <w:sz w:val="20"/>
          <w:szCs w:val="20"/>
        </w:rPr>
        <w:t>ubject to federal and state taxes on its income, and the Company includes a provision for taxes in its consolidated financial statements.  In 1994, the Company reorganized as a Maryland corporation. In March 2006, the Company was added to the S &amp; P 500 Ind</w:t>
      </w:r>
      <w:r>
        <w:rPr>
          <w:sz w:val="20"/>
          <w:szCs w:val="20"/>
        </w:rPr>
        <w:t>ex, an index containing the stock of 500 Large Cap companies, most of which are U.S. corporations. The Company's common stock, Class L Depositary Shares and Class M Depositary Shares are traded on the New York Stock Exchange (“NYSE”) under the trading symb</w:t>
      </w:r>
      <w:r>
        <w:rPr>
          <w:sz w:val="20"/>
          <w:szCs w:val="20"/>
        </w:rPr>
        <w:t>ols “KIM”, “KIMprL”, and “KIMprM”, respectively.</w:t>
      </w:r>
    </w:p>
    <w:p w14:paraId="0B4EE096" w14:textId="77777777" w:rsidR="00000000" w:rsidRDefault="0053651E">
      <w:pPr>
        <w:pStyle w:val="a3"/>
        <w:spacing w:before="0" w:beforeAutospacing="0" w:after="0" w:afterAutospacing="0"/>
        <w:ind w:firstLine="360"/>
        <w:rPr>
          <w:sz w:val="20"/>
          <w:szCs w:val="20"/>
        </w:rPr>
      </w:pPr>
      <w:r>
        <w:rPr>
          <w:sz w:val="20"/>
          <w:szCs w:val="20"/>
        </w:rPr>
        <w:t> </w:t>
      </w:r>
    </w:p>
    <w:p w14:paraId="6C0AA0FF" w14:textId="77777777" w:rsidR="00000000" w:rsidRDefault="0053651E">
      <w:pPr>
        <w:pStyle w:val="a3"/>
        <w:spacing w:before="0" w:beforeAutospacing="0" w:after="0" w:afterAutospacing="0"/>
        <w:ind w:firstLine="360"/>
        <w:jc w:val="both"/>
        <w:rPr>
          <w:sz w:val="20"/>
          <w:szCs w:val="20"/>
        </w:rPr>
      </w:pPr>
      <w:r>
        <w:rPr>
          <w:sz w:val="20"/>
          <w:szCs w:val="20"/>
        </w:rPr>
        <w:t xml:space="preserve">The Company began to expand its operations through the development of real estate and the construction of shopping centers, but revised its growth strategy to focus on the acquisition of existing shopping </w:t>
      </w:r>
      <w:r>
        <w:rPr>
          <w:sz w:val="20"/>
          <w:szCs w:val="20"/>
        </w:rPr>
        <w:t>centers. The Company also expanded internationally within Canada, Mexico, Chile, Brazil and Peru, but has since substantially liquidated its investments in Mexico and has completely exited Canada, Chile, Brazil and Peru. More recently the Company, on a sel</w:t>
      </w:r>
      <w:r>
        <w:rPr>
          <w:sz w:val="20"/>
          <w:szCs w:val="20"/>
        </w:rPr>
        <w:t>ective basis, has embarked on several ground-up development and re-development projects which include residential and mixed-use components.</w:t>
      </w:r>
    </w:p>
    <w:p w14:paraId="6ECF53EA" w14:textId="77777777" w:rsidR="00000000" w:rsidRDefault="0053651E">
      <w:pPr>
        <w:pStyle w:val="a3"/>
        <w:spacing w:before="0" w:beforeAutospacing="0" w:after="0" w:afterAutospacing="0"/>
        <w:ind w:firstLine="360"/>
        <w:jc w:val="both"/>
        <w:rPr>
          <w:sz w:val="20"/>
          <w:szCs w:val="20"/>
        </w:rPr>
      </w:pPr>
      <w:r>
        <w:rPr>
          <w:sz w:val="20"/>
          <w:szCs w:val="20"/>
        </w:rPr>
        <w:t> </w:t>
      </w:r>
    </w:p>
    <w:p w14:paraId="22D32CD3" w14:textId="77777777" w:rsidR="00000000" w:rsidRDefault="0053651E">
      <w:pPr>
        <w:pStyle w:val="a3"/>
        <w:spacing w:before="0" w:beforeAutospacing="0" w:after="0" w:afterAutospacing="0"/>
        <w:ind w:firstLine="360"/>
        <w:jc w:val="both"/>
        <w:rPr>
          <w:sz w:val="20"/>
          <w:szCs w:val="20"/>
        </w:rPr>
      </w:pPr>
      <w:r>
        <w:rPr>
          <w:sz w:val="20"/>
          <w:szCs w:val="20"/>
        </w:rPr>
        <w:t>The Company implemented its investment real estate management format through the establishment of various institut</w:t>
      </w:r>
      <w:r>
        <w:rPr>
          <w:sz w:val="20"/>
          <w:szCs w:val="20"/>
        </w:rPr>
        <w:t xml:space="preserve">ional joint venture programs, in which the Company has noncontrolling interests. The </w:t>
      </w:r>
      <w:r>
        <w:rPr>
          <w:sz w:val="20"/>
          <w:szCs w:val="20"/>
        </w:rPr>
        <w:lastRenderedPageBreak/>
        <w:t>Company earns management fees, acquisition fees, disposition fees as well as promoted interests based on achieving certain performance metrics.</w:t>
      </w:r>
    </w:p>
    <w:p w14:paraId="1A6B5506" w14:textId="77777777" w:rsidR="00000000" w:rsidRDefault="0053651E">
      <w:pPr>
        <w:pStyle w:val="a3"/>
        <w:spacing w:before="0" w:beforeAutospacing="0" w:after="0" w:afterAutospacing="0"/>
        <w:ind w:firstLine="360"/>
        <w:rPr>
          <w:sz w:val="20"/>
          <w:szCs w:val="20"/>
        </w:rPr>
      </w:pPr>
      <w:r>
        <w:rPr>
          <w:sz w:val="20"/>
          <w:szCs w:val="20"/>
        </w:rPr>
        <w:t> </w:t>
      </w:r>
    </w:p>
    <w:p w14:paraId="22A98DC4" w14:textId="77777777" w:rsidR="00000000" w:rsidRDefault="0053651E">
      <w:pPr>
        <w:pStyle w:val="a3"/>
        <w:spacing w:before="0" w:beforeAutospacing="0" w:after="0" w:afterAutospacing="0"/>
        <w:ind w:firstLine="360"/>
        <w:jc w:val="both"/>
        <w:rPr>
          <w:sz w:val="20"/>
          <w:szCs w:val="20"/>
        </w:rPr>
      </w:pPr>
      <w:r>
        <w:rPr>
          <w:sz w:val="20"/>
          <w:szCs w:val="20"/>
        </w:rPr>
        <w:t xml:space="preserve">In addition, the Company </w:t>
      </w:r>
      <w:r>
        <w:rPr>
          <w:sz w:val="20"/>
          <w:szCs w:val="20"/>
        </w:rPr>
        <w:t>has capitalized on its established expertise in retail real estate by establishing other ventures in which the Company owns a smaller equity interest and provides management, leasing and operational support for those properties. The Company has also provid</w:t>
      </w:r>
      <w:r>
        <w:rPr>
          <w:sz w:val="20"/>
          <w:szCs w:val="20"/>
        </w:rPr>
        <w:t xml:space="preserve">ed preferred equity capital in the past to real estate entrepreneurs and, from time to time, provides real estate capital and management services to both healthy and distressed retailers. The Company has also made selective investments in secondary market </w:t>
      </w:r>
      <w:r>
        <w:rPr>
          <w:sz w:val="20"/>
          <w:szCs w:val="20"/>
        </w:rPr>
        <w:t>opportunities where a security or other investment is, in management’s judgment, priced below the value of the underlying assets, however these investments are subject to volatility within the equity and debt markets.</w:t>
      </w:r>
    </w:p>
    <w:p w14:paraId="5DB04FB9" w14:textId="77777777" w:rsidR="00000000" w:rsidRDefault="0053651E">
      <w:pPr>
        <w:pStyle w:val="a3"/>
        <w:spacing w:before="0" w:beforeAutospacing="0" w:after="0" w:afterAutospacing="0"/>
        <w:ind w:firstLine="360"/>
        <w:rPr>
          <w:sz w:val="20"/>
          <w:szCs w:val="20"/>
        </w:rPr>
      </w:pPr>
      <w:r>
        <w:rPr>
          <w:sz w:val="20"/>
          <w:szCs w:val="20"/>
        </w:rPr>
        <w:t> </w:t>
      </w:r>
    </w:p>
    <w:p w14:paraId="4FEF5CE6" w14:textId="77777777" w:rsidR="00000000" w:rsidRDefault="0053651E">
      <w:pPr>
        <w:pStyle w:val="a3"/>
        <w:spacing w:before="0" w:beforeAutospacing="0" w:after="0" w:afterAutospacing="0"/>
        <w:rPr>
          <w:sz w:val="20"/>
          <w:szCs w:val="20"/>
        </w:rPr>
      </w:pPr>
      <w:r>
        <w:rPr>
          <w:b/>
          <w:bCs/>
          <w:sz w:val="20"/>
          <w:szCs w:val="20"/>
          <w:u w:val="single"/>
        </w:rPr>
        <w:t>Business Objective and Strategies</w:t>
      </w:r>
    </w:p>
    <w:p w14:paraId="2CCBC497" w14:textId="77777777" w:rsidR="00000000" w:rsidRDefault="0053651E">
      <w:pPr>
        <w:pStyle w:val="a3"/>
        <w:spacing w:before="0" w:beforeAutospacing="0" w:after="0" w:afterAutospacing="0"/>
        <w:ind w:firstLine="360"/>
        <w:rPr>
          <w:sz w:val="20"/>
          <w:szCs w:val="20"/>
        </w:rPr>
      </w:pPr>
      <w:r>
        <w:rPr>
          <w:sz w:val="20"/>
          <w:szCs w:val="20"/>
        </w:rPr>
        <w:t> </w:t>
      </w:r>
    </w:p>
    <w:p w14:paraId="204190F3" w14:textId="77777777" w:rsidR="00000000" w:rsidRDefault="0053651E">
      <w:pPr>
        <w:pStyle w:val="a3"/>
        <w:spacing w:before="0" w:beforeAutospacing="0" w:after="0" w:afterAutospacing="0"/>
        <w:jc w:val="both"/>
        <w:rPr>
          <w:sz w:val="20"/>
          <w:szCs w:val="20"/>
        </w:rPr>
      </w:pPr>
      <w:r>
        <w:rPr>
          <w:i/>
          <w:iCs/>
          <w:sz w:val="20"/>
          <w:szCs w:val="20"/>
        </w:rPr>
        <w:t>Strategy Overview</w:t>
      </w:r>
    </w:p>
    <w:p w14:paraId="0E6287AE" w14:textId="77777777" w:rsidR="00000000" w:rsidRDefault="0053651E">
      <w:pPr>
        <w:pStyle w:val="a3"/>
        <w:spacing w:before="0" w:beforeAutospacing="0" w:after="0" w:afterAutospacing="0"/>
        <w:ind w:firstLine="360"/>
        <w:rPr>
          <w:sz w:val="20"/>
          <w:szCs w:val="20"/>
        </w:rPr>
      </w:pPr>
      <w:r>
        <w:rPr>
          <w:sz w:val="20"/>
          <w:szCs w:val="20"/>
        </w:rPr>
        <w:t> </w:t>
      </w:r>
    </w:p>
    <w:p w14:paraId="74FBEA09" w14:textId="77777777" w:rsidR="00000000" w:rsidRDefault="0053651E">
      <w:pPr>
        <w:pStyle w:val="a3"/>
        <w:spacing w:before="0" w:beforeAutospacing="0" w:after="0" w:afterAutospacing="0"/>
        <w:ind w:firstLine="360"/>
        <w:jc w:val="both"/>
        <w:rPr>
          <w:sz w:val="20"/>
          <w:szCs w:val="20"/>
        </w:rPr>
      </w:pPr>
      <w:r>
        <w:rPr>
          <w:sz w:val="20"/>
          <w:szCs w:val="20"/>
        </w:rPr>
        <w:t>The Company’s strategy is to continue to focus on its three core principles:</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59C30425" w14:textId="77777777">
        <w:trPr>
          <w:tblCellSpacing w:w="0" w:type="dxa"/>
        </w:trPr>
        <w:tc>
          <w:tcPr>
            <w:tcW w:w="1080" w:type="dxa"/>
            <w:vAlign w:val="center"/>
            <w:hideMark/>
          </w:tcPr>
          <w:p w14:paraId="7F4E5493" w14:textId="77777777" w:rsidR="00000000" w:rsidRDefault="0053651E">
            <w:pPr>
              <w:rPr>
                <w:rFonts w:eastAsia="Times New Roman"/>
                <w:sz w:val="20"/>
                <w:szCs w:val="20"/>
              </w:rPr>
            </w:pPr>
            <w:r>
              <w:rPr>
                <w:rFonts w:eastAsia="Times New Roman"/>
                <w:sz w:val="20"/>
                <w:szCs w:val="20"/>
              </w:rPr>
              <w:t> </w:t>
            </w:r>
          </w:p>
        </w:tc>
        <w:tc>
          <w:tcPr>
            <w:tcW w:w="360" w:type="dxa"/>
            <w:hideMark/>
          </w:tcPr>
          <w:p w14:paraId="7B0F8E99" w14:textId="77777777" w:rsidR="00000000" w:rsidRDefault="0053651E">
            <w:pPr>
              <w:pStyle w:val="a3"/>
              <w:spacing w:before="0" w:beforeAutospacing="0" w:after="0" w:afterAutospacing="0"/>
              <w:jc w:val="both"/>
              <w:rPr>
                <w:sz w:val="20"/>
                <w:szCs w:val="20"/>
              </w:rPr>
            </w:pPr>
            <w:r>
              <w:rPr>
                <w:b/>
                <w:bCs/>
                <w:sz w:val="20"/>
                <w:szCs w:val="20"/>
              </w:rPr>
              <w:t>1)</w:t>
            </w:r>
          </w:p>
        </w:tc>
        <w:tc>
          <w:tcPr>
            <w:tcW w:w="0" w:type="auto"/>
            <w:hideMark/>
          </w:tcPr>
          <w:p w14:paraId="1EDE85E2" w14:textId="77777777" w:rsidR="00000000" w:rsidRDefault="0053651E">
            <w:pPr>
              <w:pStyle w:val="a3"/>
              <w:spacing w:before="0" w:beforeAutospacing="0" w:after="0" w:afterAutospacing="0"/>
              <w:jc w:val="both"/>
              <w:rPr>
                <w:sz w:val="20"/>
                <w:szCs w:val="20"/>
              </w:rPr>
            </w:pPr>
            <w:r>
              <w:rPr>
                <w:b/>
                <w:bCs/>
                <w:sz w:val="20"/>
                <w:szCs w:val="20"/>
              </w:rPr>
              <w:t>Portfolio Quality</w:t>
            </w:r>
            <w:r>
              <w:rPr>
                <w:sz w:val="20"/>
                <w:szCs w:val="20"/>
              </w:rPr>
              <w:t xml:space="preserve"> - improving the quality and locations of its portfolio by maintaining high quality assets, tightly clustered in major metro markets that</w:t>
            </w:r>
            <w:r>
              <w:rPr>
                <w:sz w:val="20"/>
                <w:szCs w:val="20"/>
              </w:rPr>
              <w:t xml:space="preserve"> provide multiple growth levers.</w:t>
            </w:r>
          </w:p>
        </w:tc>
      </w:tr>
    </w:tbl>
    <w:p w14:paraId="2982DF8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5CB97E1B" w14:textId="77777777">
        <w:trPr>
          <w:tblCellSpacing w:w="0" w:type="dxa"/>
        </w:trPr>
        <w:tc>
          <w:tcPr>
            <w:tcW w:w="1080" w:type="dxa"/>
            <w:vAlign w:val="center"/>
            <w:hideMark/>
          </w:tcPr>
          <w:p w14:paraId="1CC50619" w14:textId="77777777" w:rsidR="00000000" w:rsidRDefault="0053651E">
            <w:pPr>
              <w:rPr>
                <w:rFonts w:eastAsia="Times New Roman"/>
                <w:sz w:val="20"/>
                <w:szCs w:val="20"/>
              </w:rPr>
            </w:pPr>
            <w:r>
              <w:rPr>
                <w:rFonts w:eastAsia="Times New Roman"/>
                <w:sz w:val="20"/>
                <w:szCs w:val="20"/>
              </w:rPr>
              <w:t> </w:t>
            </w:r>
          </w:p>
        </w:tc>
        <w:tc>
          <w:tcPr>
            <w:tcW w:w="360" w:type="dxa"/>
            <w:hideMark/>
          </w:tcPr>
          <w:p w14:paraId="4D87A354" w14:textId="77777777" w:rsidR="00000000" w:rsidRDefault="0053651E">
            <w:pPr>
              <w:pStyle w:val="a3"/>
              <w:spacing w:before="0" w:beforeAutospacing="0" w:after="0" w:afterAutospacing="0"/>
              <w:jc w:val="both"/>
              <w:rPr>
                <w:sz w:val="20"/>
                <w:szCs w:val="20"/>
              </w:rPr>
            </w:pPr>
            <w:r>
              <w:rPr>
                <w:b/>
                <w:bCs/>
                <w:sz w:val="20"/>
                <w:szCs w:val="20"/>
              </w:rPr>
              <w:t>2)</w:t>
            </w:r>
          </w:p>
        </w:tc>
        <w:tc>
          <w:tcPr>
            <w:tcW w:w="0" w:type="auto"/>
            <w:hideMark/>
          </w:tcPr>
          <w:p w14:paraId="6791BAD5" w14:textId="77777777" w:rsidR="00000000" w:rsidRDefault="0053651E">
            <w:pPr>
              <w:pStyle w:val="a3"/>
              <w:spacing w:before="0" w:beforeAutospacing="0" w:after="0" w:afterAutospacing="0"/>
              <w:jc w:val="both"/>
              <w:rPr>
                <w:sz w:val="20"/>
                <w:szCs w:val="20"/>
              </w:rPr>
            </w:pPr>
            <w:r>
              <w:rPr>
                <w:b/>
                <w:bCs/>
                <w:sz w:val="20"/>
                <w:szCs w:val="20"/>
              </w:rPr>
              <w:t>Net Asset Value Creation</w:t>
            </w:r>
            <w:r>
              <w:rPr>
                <w:sz w:val="20"/>
                <w:szCs w:val="20"/>
              </w:rPr>
              <w:t xml:space="preserve"> - harvesting the unrealized value in its portfolio through a curated collection of mixed-use projects, and</w:t>
            </w:r>
          </w:p>
        </w:tc>
      </w:tr>
    </w:tbl>
    <w:p w14:paraId="5327ADE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1860784B" w14:textId="77777777">
        <w:trPr>
          <w:tblCellSpacing w:w="0" w:type="dxa"/>
        </w:trPr>
        <w:tc>
          <w:tcPr>
            <w:tcW w:w="1080" w:type="dxa"/>
            <w:vAlign w:val="center"/>
            <w:hideMark/>
          </w:tcPr>
          <w:p w14:paraId="34470D19" w14:textId="77777777" w:rsidR="00000000" w:rsidRDefault="0053651E">
            <w:pPr>
              <w:rPr>
                <w:rFonts w:eastAsia="Times New Roman"/>
                <w:sz w:val="20"/>
                <w:szCs w:val="20"/>
              </w:rPr>
            </w:pPr>
            <w:r>
              <w:rPr>
                <w:rFonts w:eastAsia="Times New Roman"/>
                <w:sz w:val="20"/>
                <w:szCs w:val="20"/>
              </w:rPr>
              <w:t> </w:t>
            </w:r>
          </w:p>
        </w:tc>
        <w:tc>
          <w:tcPr>
            <w:tcW w:w="360" w:type="dxa"/>
            <w:hideMark/>
          </w:tcPr>
          <w:p w14:paraId="24CE48EF" w14:textId="77777777" w:rsidR="00000000" w:rsidRDefault="0053651E">
            <w:pPr>
              <w:pStyle w:val="a3"/>
              <w:spacing w:before="0" w:beforeAutospacing="0" w:after="0" w:afterAutospacing="0"/>
              <w:jc w:val="both"/>
              <w:rPr>
                <w:sz w:val="20"/>
                <w:szCs w:val="20"/>
              </w:rPr>
            </w:pPr>
            <w:r>
              <w:rPr>
                <w:b/>
                <w:bCs/>
                <w:sz w:val="20"/>
                <w:szCs w:val="20"/>
              </w:rPr>
              <w:t>3)</w:t>
            </w:r>
          </w:p>
        </w:tc>
        <w:tc>
          <w:tcPr>
            <w:tcW w:w="0" w:type="auto"/>
            <w:hideMark/>
          </w:tcPr>
          <w:p w14:paraId="18D0ABEE" w14:textId="77777777" w:rsidR="00000000" w:rsidRDefault="0053651E">
            <w:pPr>
              <w:pStyle w:val="a3"/>
              <w:spacing w:before="0" w:beforeAutospacing="0" w:after="0" w:afterAutospacing="0"/>
              <w:jc w:val="both"/>
              <w:rPr>
                <w:sz w:val="20"/>
                <w:szCs w:val="20"/>
              </w:rPr>
            </w:pPr>
            <w:r>
              <w:rPr>
                <w:b/>
                <w:bCs/>
                <w:sz w:val="20"/>
                <w:szCs w:val="20"/>
              </w:rPr>
              <w:t>Financial Strength</w:t>
            </w:r>
            <w:r>
              <w:rPr>
                <w:sz w:val="20"/>
                <w:szCs w:val="20"/>
              </w:rPr>
              <w:t xml:space="preserve"> - maintaining a strong balance sheet with ample liquidity </w:t>
            </w:r>
            <w:r>
              <w:rPr>
                <w:sz w:val="20"/>
                <w:szCs w:val="20"/>
              </w:rPr>
              <w:t>and financial flexibility.</w:t>
            </w:r>
          </w:p>
        </w:tc>
      </w:tr>
    </w:tbl>
    <w:p w14:paraId="47F39CE1" w14:textId="77777777" w:rsidR="00000000" w:rsidRDefault="0053651E">
      <w:pPr>
        <w:pStyle w:val="a3"/>
        <w:spacing w:before="0" w:beforeAutospacing="0" w:after="0" w:afterAutospacing="0"/>
        <w:ind w:left="1080"/>
        <w:jc w:val="both"/>
        <w:rPr>
          <w:sz w:val="20"/>
          <w:szCs w:val="20"/>
        </w:rPr>
      </w:pPr>
      <w:r>
        <w:rPr>
          <w:sz w:val="20"/>
          <w:szCs w:val="20"/>
        </w:rPr>
        <w:t> </w:t>
      </w:r>
    </w:p>
    <w:p w14:paraId="67D63017" w14:textId="77777777" w:rsidR="00000000" w:rsidRDefault="0053651E">
      <w:pPr>
        <w:pStyle w:val="a3"/>
        <w:spacing w:before="0" w:beforeAutospacing="0" w:after="0" w:afterAutospacing="0"/>
        <w:ind w:firstLine="360"/>
        <w:jc w:val="both"/>
        <w:rPr>
          <w:sz w:val="20"/>
          <w:szCs w:val="20"/>
        </w:rPr>
      </w:pPr>
      <w:r>
        <w:rPr>
          <w:sz w:val="20"/>
          <w:szCs w:val="20"/>
        </w:rPr>
        <w:t>Over the past several years, the Company has transformed its portfolio, focusing on major metropolitan-area U.S. markets, predominantly on the East and West coasts and in the Sunbelt region, which are supported by strong demographics, significant projected</w:t>
      </w:r>
      <w:r>
        <w:rPr>
          <w:sz w:val="20"/>
          <w:szCs w:val="20"/>
        </w:rPr>
        <w:t xml:space="preserve"> population growth, and where the Company perceives significant barriers to entry.  As of December 31, 2019, the Company derived 84.4% of its annualized base rent from its top major metro markets.</w:t>
      </w:r>
    </w:p>
    <w:p w14:paraId="1EFFBFB8" w14:textId="77777777" w:rsidR="00000000" w:rsidRDefault="0053651E">
      <w:pPr>
        <w:pStyle w:val="a3"/>
        <w:spacing w:before="0" w:beforeAutospacing="0" w:after="0" w:afterAutospacing="0"/>
        <w:ind w:firstLine="360"/>
        <w:jc w:val="both"/>
        <w:rPr>
          <w:sz w:val="20"/>
          <w:szCs w:val="20"/>
        </w:rPr>
      </w:pPr>
      <w:r>
        <w:rPr>
          <w:sz w:val="20"/>
          <w:szCs w:val="20"/>
        </w:rPr>
        <w:t> </w:t>
      </w:r>
    </w:p>
    <w:p w14:paraId="546AB5C2" w14:textId="77777777" w:rsidR="00000000" w:rsidRDefault="0053651E">
      <w:pPr>
        <w:pStyle w:val="a3"/>
        <w:spacing w:before="0" w:beforeAutospacing="0" w:after="0" w:afterAutospacing="0"/>
        <w:ind w:firstLine="360"/>
        <w:jc w:val="both"/>
        <w:rPr>
          <w:sz w:val="20"/>
          <w:szCs w:val="20"/>
        </w:rPr>
      </w:pPr>
      <w:r>
        <w:rPr>
          <w:sz w:val="20"/>
          <w:szCs w:val="20"/>
        </w:rPr>
        <w:t xml:space="preserve">The Company’s focus on high-quality locations has led to </w:t>
      </w:r>
      <w:r>
        <w:rPr>
          <w:sz w:val="20"/>
          <w:szCs w:val="20"/>
        </w:rPr>
        <w:t>significant opportunities for value creation through the reinvestment in its assets to add density, replace outdated shopping center concepts, and better meet changing consumer demands.  The Company continues to place strategic emphasis on live/work/play e</w:t>
      </w:r>
      <w:r>
        <w:rPr>
          <w:sz w:val="20"/>
          <w:szCs w:val="20"/>
        </w:rPr>
        <w:t>nvironments and in reinvesting in its existing assets, while building shareholder value. This philosophy is further exemplified by the Company’s Signature Serie</w:t>
      </w:r>
      <w:r>
        <w:rPr>
          <w:sz w:val="20"/>
          <w:szCs w:val="20"/>
        </w:rPr>
        <w:t>s</w:t>
      </w:r>
      <w:r>
        <w:rPr>
          <w:sz w:val="20"/>
          <w:szCs w:val="20"/>
          <w:vertAlign w:val="superscript"/>
        </w:rPr>
        <w:t>TM</w:t>
      </w:r>
      <w:r>
        <w:rPr>
          <w:sz w:val="20"/>
          <w:szCs w:val="20"/>
        </w:rPr>
        <w:t xml:space="preserve"> properties Dania Pointe, Grand Parkway Marketplace, Kentlands Market Square, Lincoln Square,</w:t>
      </w:r>
      <w:r>
        <w:rPr>
          <w:sz w:val="20"/>
          <w:szCs w:val="20"/>
        </w:rPr>
        <w:t xml:space="preserve"> Mill Station, Pentagon Centre, Suburban Square and The Boulevard.</w:t>
      </w:r>
    </w:p>
    <w:p w14:paraId="1CCBAAFF" w14:textId="77777777" w:rsidR="00000000" w:rsidRDefault="0053651E">
      <w:pPr>
        <w:pStyle w:val="a3"/>
        <w:spacing w:before="0" w:beforeAutospacing="0" w:after="0" w:afterAutospacing="0"/>
        <w:ind w:firstLine="360"/>
        <w:jc w:val="both"/>
        <w:rPr>
          <w:sz w:val="20"/>
          <w:szCs w:val="20"/>
        </w:rPr>
      </w:pPr>
      <w:r>
        <w:rPr>
          <w:sz w:val="20"/>
          <w:szCs w:val="20"/>
        </w:rPr>
        <w:t> </w:t>
      </w:r>
    </w:p>
    <w:p w14:paraId="4C6BB21B" w14:textId="77777777" w:rsidR="00000000" w:rsidRDefault="0053651E">
      <w:pPr>
        <w:pStyle w:val="a3"/>
        <w:spacing w:before="0" w:beforeAutospacing="0" w:after="0" w:afterAutospacing="0"/>
        <w:ind w:firstLine="360"/>
        <w:jc w:val="both"/>
        <w:rPr>
          <w:sz w:val="20"/>
          <w:szCs w:val="20"/>
        </w:rPr>
      </w:pPr>
      <w:r>
        <w:rPr>
          <w:sz w:val="20"/>
          <w:szCs w:val="20"/>
        </w:rPr>
        <w:t xml:space="preserve">The strength and security of the Company’s balance sheet remains central to its strategy.  The Company’s strong balance sheet and liquidity position are evidenced by its investment grade </w:t>
      </w:r>
      <w:r>
        <w:rPr>
          <w:sz w:val="20"/>
          <w:szCs w:val="20"/>
        </w:rPr>
        <w:t>unsecured debt ratings (Baa1/BBB+/BBB+) by all three major ratings agencies.  The Company maintains one of the longest average debt maturity profiles in the REIT industry, now at 10.6 years.  The Company has taken meaningful steps to reduce leverage, unenc</w:t>
      </w:r>
      <w:r>
        <w:rPr>
          <w:sz w:val="20"/>
          <w:szCs w:val="20"/>
        </w:rPr>
        <w:t>umber assets and further improve its debt coverage metrics as redevelopment and development projects continue to come online and contribute additional cash flow growth.</w:t>
      </w:r>
    </w:p>
    <w:p w14:paraId="5A9C9BDC" w14:textId="77777777" w:rsidR="00000000" w:rsidRDefault="0053651E">
      <w:pPr>
        <w:pStyle w:val="a3"/>
        <w:spacing w:before="0" w:beforeAutospacing="0" w:after="0" w:afterAutospacing="0"/>
        <w:ind w:firstLine="360"/>
        <w:jc w:val="both"/>
        <w:rPr>
          <w:sz w:val="20"/>
          <w:szCs w:val="20"/>
        </w:rPr>
      </w:pPr>
      <w:r>
        <w:rPr>
          <w:sz w:val="20"/>
          <w:szCs w:val="20"/>
        </w:rPr>
        <w:t> </w:t>
      </w:r>
    </w:p>
    <w:p w14:paraId="45142FE5" w14:textId="77777777" w:rsidR="00000000" w:rsidRDefault="0053651E">
      <w:pPr>
        <w:jc w:val="center"/>
        <w:divId w:val="2113278736"/>
        <w:rPr>
          <w:rFonts w:eastAsia="Times New Roman"/>
          <w:sz w:val="20"/>
          <w:szCs w:val="20"/>
        </w:rPr>
      </w:pPr>
      <w:r>
        <w:rPr>
          <w:rFonts w:eastAsia="Times New Roman"/>
          <w:sz w:val="20"/>
          <w:szCs w:val="20"/>
        </w:rPr>
        <w:t xml:space="preserve">4 </w:t>
      </w:r>
    </w:p>
    <w:p w14:paraId="327E5064" w14:textId="77777777" w:rsidR="00000000" w:rsidRDefault="0053651E">
      <w:pPr>
        <w:divId w:val="2113278736"/>
        <w:rPr>
          <w:rFonts w:eastAsia="Times New Roman"/>
          <w:sz w:val="20"/>
          <w:szCs w:val="20"/>
        </w:rPr>
      </w:pPr>
      <w:r>
        <w:rPr>
          <w:rFonts w:eastAsia="Times New Roman"/>
          <w:sz w:val="20"/>
          <w:szCs w:val="20"/>
        </w:rPr>
        <w:pict w14:anchorId="375EC9B0">
          <v:rect id="_x0000_i1033" style="width:0;height:1.5pt" o:hralign="center" o:hrstd="t" o:hr="t" fillcolor="#a0a0a0" stroked="f"/>
        </w:pict>
      </w:r>
    </w:p>
    <w:p w14:paraId="32DECAE5" w14:textId="77777777" w:rsidR="00000000" w:rsidRDefault="0053651E">
      <w:pPr>
        <w:divId w:val="21132787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81A805F" w14:textId="77777777" w:rsidR="00000000" w:rsidRDefault="0053651E">
      <w:pPr>
        <w:pStyle w:val="a3"/>
        <w:spacing w:before="0" w:beforeAutospacing="0" w:after="0" w:afterAutospacing="0"/>
        <w:rPr>
          <w:sz w:val="20"/>
          <w:szCs w:val="20"/>
        </w:rPr>
      </w:pPr>
      <w:r>
        <w:rPr>
          <w:sz w:val="20"/>
          <w:szCs w:val="20"/>
        </w:rPr>
        <w:t> </w:t>
      </w:r>
    </w:p>
    <w:p w14:paraId="1BBB7370" w14:textId="77777777" w:rsidR="00000000" w:rsidRDefault="0053651E">
      <w:pPr>
        <w:pStyle w:val="a3"/>
        <w:spacing w:before="0" w:beforeAutospacing="0" w:after="0" w:afterAutospacing="0"/>
        <w:jc w:val="both"/>
        <w:rPr>
          <w:sz w:val="20"/>
          <w:szCs w:val="20"/>
        </w:rPr>
      </w:pPr>
      <w:r>
        <w:rPr>
          <w:i/>
          <w:iCs/>
          <w:sz w:val="20"/>
          <w:szCs w:val="20"/>
        </w:rPr>
        <w:t>Business Objective</w:t>
      </w:r>
    </w:p>
    <w:p w14:paraId="014848A3" w14:textId="77777777" w:rsidR="00000000" w:rsidRDefault="0053651E">
      <w:pPr>
        <w:pStyle w:val="a3"/>
        <w:spacing w:before="0" w:beforeAutospacing="0" w:after="0" w:afterAutospacing="0"/>
        <w:jc w:val="both"/>
        <w:rPr>
          <w:sz w:val="20"/>
          <w:szCs w:val="20"/>
        </w:rPr>
      </w:pPr>
      <w:r>
        <w:rPr>
          <w:sz w:val="20"/>
          <w:szCs w:val="20"/>
        </w:rPr>
        <w:t> </w:t>
      </w:r>
    </w:p>
    <w:p w14:paraId="4D174A7D" w14:textId="77777777" w:rsidR="00000000" w:rsidRDefault="0053651E">
      <w:pPr>
        <w:pStyle w:val="a3"/>
        <w:spacing w:before="0" w:beforeAutospacing="0" w:after="0" w:afterAutospacing="0"/>
        <w:ind w:firstLine="360"/>
        <w:jc w:val="both"/>
        <w:rPr>
          <w:sz w:val="20"/>
          <w:szCs w:val="20"/>
        </w:rPr>
      </w:pPr>
      <w:r>
        <w:rPr>
          <w:sz w:val="20"/>
          <w:szCs w:val="20"/>
        </w:rPr>
        <w:t>The Company’s primary business objective is to be the premier owner and operator of open-air shopping centers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5F5853" w14:textId="77777777">
        <w:trPr>
          <w:tblCellSpacing w:w="0" w:type="dxa"/>
        </w:trPr>
        <w:tc>
          <w:tcPr>
            <w:tcW w:w="720" w:type="dxa"/>
            <w:vAlign w:val="center"/>
            <w:hideMark/>
          </w:tcPr>
          <w:p w14:paraId="11917CE0" w14:textId="77777777" w:rsidR="00000000" w:rsidRDefault="0053651E">
            <w:pPr>
              <w:rPr>
                <w:rFonts w:eastAsia="Times New Roman"/>
                <w:sz w:val="20"/>
                <w:szCs w:val="20"/>
              </w:rPr>
            </w:pPr>
            <w:r>
              <w:rPr>
                <w:rFonts w:eastAsia="Times New Roman"/>
                <w:sz w:val="20"/>
                <w:szCs w:val="20"/>
              </w:rPr>
              <w:t> </w:t>
            </w:r>
          </w:p>
        </w:tc>
        <w:tc>
          <w:tcPr>
            <w:tcW w:w="360" w:type="dxa"/>
            <w:hideMark/>
          </w:tcPr>
          <w:p w14:paraId="157045B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F2E4024" w14:textId="77777777" w:rsidR="00000000" w:rsidRDefault="0053651E">
            <w:pPr>
              <w:pStyle w:val="a3"/>
              <w:spacing w:before="0" w:beforeAutospacing="0" w:after="0" w:afterAutospacing="0"/>
              <w:jc w:val="both"/>
              <w:rPr>
                <w:sz w:val="20"/>
                <w:szCs w:val="20"/>
              </w:rPr>
            </w:pPr>
            <w:r>
              <w:rPr>
                <w:sz w:val="20"/>
                <w:szCs w:val="20"/>
              </w:rPr>
              <w:t>increasing the value of its exist</w:t>
            </w:r>
            <w:r>
              <w:rPr>
                <w:sz w:val="20"/>
                <w:szCs w:val="20"/>
              </w:rPr>
              <w:t>ing portfolio of properties and generating higher levels of portfolio growth;</w:t>
            </w:r>
          </w:p>
        </w:tc>
      </w:tr>
    </w:tbl>
    <w:p w14:paraId="70CC71A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9009B5" w14:textId="77777777">
        <w:trPr>
          <w:tblCellSpacing w:w="0" w:type="dxa"/>
        </w:trPr>
        <w:tc>
          <w:tcPr>
            <w:tcW w:w="720" w:type="dxa"/>
            <w:vAlign w:val="center"/>
            <w:hideMark/>
          </w:tcPr>
          <w:p w14:paraId="6E30ACC4" w14:textId="77777777" w:rsidR="00000000" w:rsidRDefault="0053651E">
            <w:pPr>
              <w:rPr>
                <w:rFonts w:eastAsia="Times New Roman"/>
                <w:sz w:val="20"/>
                <w:szCs w:val="20"/>
              </w:rPr>
            </w:pPr>
            <w:r>
              <w:rPr>
                <w:rFonts w:eastAsia="Times New Roman"/>
                <w:sz w:val="20"/>
                <w:szCs w:val="20"/>
              </w:rPr>
              <w:t> </w:t>
            </w:r>
          </w:p>
        </w:tc>
        <w:tc>
          <w:tcPr>
            <w:tcW w:w="360" w:type="dxa"/>
            <w:hideMark/>
          </w:tcPr>
          <w:p w14:paraId="5C60D5B6"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9F3805C" w14:textId="77777777" w:rsidR="00000000" w:rsidRDefault="0053651E">
            <w:pPr>
              <w:pStyle w:val="a3"/>
              <w:spacing w:before="0" w:beforeAutospacing="0" w:after="0" w:afterAutospacing="0"/>
              <w:jc w:val="both"/>
              <w:rPr>
                <w:sz w:val="20"/>
                <w:szCs w:val="20"/>
              </w:rPr>
            </w:pPr>
            <w:r>
              <w:rPr>
                <w:sz w:val="20"/>
                <w:szCs w:val="20"/>
              </w:rPr>
              <w:t>increasing cash flows for reinvestment and/or for distribution to shareholders;</w:t>
            </w:r>
          </w:p>
        </w:tc>
      </w:tr>
    </w:tbl>
    <w:p w14:paraId="79D15F1C"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0078ECE" w14:textId="77777777">
        <w:trPr>
          <w:tblCellSpacing w:w="0" w:type="dxa"/>
        </w:trPr>
        <w:tc>
          <w:tcPr>
            <w:tcW w:w="720" w:type="dxa"/>
            <w:vAlign w:val="center"/>
            <w:hideMark/>
          </w:tcPr>
          <w:p w14:paraId="703AA6C3" w14:textId="77777777" w:rsidR="00000000" w:rsidRDefault="0053651E">
            <w:pPr>
              <w:rPr>
                <w:rFonts w:eastAsia="Times New Roman"/>
                <w:sz w:val="20"/>
                <w:szCs w:val="20"/>
              </w:rPr>
            </w:pPr>
            <w:r>
              <w:rPr>
                <w:rFonts w:eastAsia="Times New Roman"/>
                <w:sz w:val="20"/>
                <w:szCs w:val="20"/>
              </w:rPr>
              <w:t> </w:t>
            </w:r>
          </w:p>
        </w:tc>
        <w:tc>
          <w:tcPr>
            <w:tcW w:w="360" w:type="dxa"/>
            <w:hideMark/>
          </w:tcPr>
          <w:p w14:paraId="151C6EC5"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ED22CA4" w14:textId="77777777" w:rsidR="00000000" w:rsidRDefault="0053651E">
            <w:pPr>
              <w:pStyle w:val="a3"/>
              <w:spacing w:before="0" w:beforeAutospacing="0" w:after="0" w:afterAutospacing="0"/>
              <w:jc w:val="both"/>
              <w:rPr>
                <w:sz w:val="20"/>
                <w:szCs w:val="20"/>
              </w:rPr>
            </w:pPr>
            <w:r>
              <w:rPr>
                <w:sz w:val="20"/>
                <w:szCs w:val="20"/>
              </w:rPr>
              <w:t>continuing growth in desirable demographic areas with successful retailers; and</w:t>
            </w:r>
          </w:p>
        </w:tc>
      </w:tr>
    </w:tbl>
    <w:p w14:paraId="1CFE5F2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F33A1E" w14:textId="77777777">
        <w:trPr>
          <w:tblCellSpacing w:w="0" w:type="dxa"/>
        </w:trPr>
        <w:tc>
          <w:tcPr>
            <w:tcW w:w="720" w:type="dxa"/>
            <w:vAlign w:val="center"/>
            <w:hideMark/>
          </w:tcPr>
          <w:p w14:paraId="65957811" w14:textId="77777777" w:rsidR="00000000" w:rsidRDefault="0053651E">
            <w:pPr>
              <w:rPr>
                <w:rFonts w:eastAsia="Times New Roman"/>
                <w:sz w:val="20"/>
                <w:szCs w:val="20"/>
              </w:rPr>
            </w:pPr>
            <w:r>
              <w:rPr>
                <w:rFonts w:eastAsia="Times New Roman"/>
                <w:sz w:val="20"/>
                <w:szCs w:val="20"/>
              </w:rPr>
              <w:t> </w:t>
            </w:r>
          </w:p>
        </w:tc>
        <w:tc>
          <w:tcPr>
            <w:tcW w:w="360" w:type="dxa"/>
            <w:hideMark/>
          </w:tcPr>
          <w:p w14:paraId="322C0BA7"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EC7D996" w14:textId="77777777" w:rsidR="00000000" w:rsidRDefault="0053651E">
            <w:pPr>
              <w:pStyle w:val="a3"/>
              <w:spacing w:before="0" w:beforeAutospacing="0" w:after="0" w:afterAutospacing="0"/>
              <w:jc w:val="both"/>
              <w:rPr>
                <w:sz w:val="20"/>
                <w:szCs w:val="20"/>
              </w:rPr>
            </w:pPr>
            <w:r>
              <w:rPr>
                <w:sz w:val="20"/>
                <w:szCs w:val="20"/>
              </w:rPr>
              <w:t>increasing capital appreciation.</w:t>
            </w:r>
          </w:p>
        </w:tc>
      </w:tr>
    </w:tbl>
    <w:p w14:paraId="15095696" w14:textId="77777777" w:rsidR="00000000" w:rsidRDefault="0053651E">
      <w:pPr>
        <w:pStyle w:val="a3"/>
        <w:spacing w:before="0" w:beforeAutospacing="0" w:after="0" w:afterAutospacing="0"/>
        <w:ind w:firstLine="360"/>
        <w:jc w:val="both"/>
        <w:rPr>
          <w:sz w:val="20"/>
          <w:szCs w:val="20"/>
        </w:rPr>
      </w:pPr>
      <w:r>
        <w:rPr>
          <w:sz w:val="20"/>
          <w:szCs w:val="20"/>
        </w:rPr>
        <w:t> </w:t>
      </w:r>
    </w:p>
    <w:p w14:paraId="224B691F" w14:textId="77777777" w:rsidR="00000000" w:rsidRDefault="0053651E">
      <w:pPr>
        <w:pStyle w:val="a3"/>
        <w:spacing w:before="0" w:beforeAutospacing="0" w:after="0" w:afterAutospacing="0"/>
        <w:jc w:val="both"/>
        <w:rPr>
          <w:sz w:val="20"/>
          <w:szCs w:val="20"/>
        </w:rPr>
      </w:pPr>
      <w:r>
        <w:rPr>
          <w:i/>
          <w:iCs/>
          <w:sz w:val="20"/>
          <w:szCs w:val="20"/>
        </w:rPr>
        <w:t>Operating Strategies</w:t>
      </w:r>
    </w:p>
    <w:p w14:paraId="420C9FAE" w14:textId="77777777" w:rsidR="00000000" w:rsidRDefault="0053651E">
      <w:pPr>
        <w:pStyle w:val="a3"/>
        <w:spacing w:before="0" w:beforeAutospacing="0" w:after="0" w:afterAutospacing="0"/>
        <w:jc w:val="both"/>
        <w:rPr>
          <w:sz w:val="20"/>
          <w:szCs w:val="20"/>
        </w:rPr>
      </w:pPr>
      <w:r>
        <w:rPr>
          <w:sz w:val="20"/>
          <w:szCs w:val="20"/>
        </w:rPr>
        <w:t> </w:t>
      </w:r>
    </w:p>
    <w:p w14:paraId="7956B2BF" w14:textId="77777777" w:rsidR="00000000" w:rsidRDefault="0053651E">
      <w:pPr>
        <w:pStyle w:val="a3"/>
        <w:spacing w:before="0" w:beforeAutospacing="0" w:after="0" w:afterAutospacing="0"/>
        <w:ind w:firstLine="360"/>
        <w:jc w:val="both"/>
        <w:rPr>
          <w:sz w:val="20"/>
          <w:szCs w:val="20"/>
        </w:rPr>
      </w:pPr>
      <w:r>
        <w:rPr>
          <w:sz w:val="20"/>
          <w:szCs w:val="20"/>
        </w:rPr>
        <w:t>The Company’s operating strategies are to (i) own and operate its shopping center properties at their highest p</w:t>
      </w:r>
      <w:r>
        <w:rPr>
          <w:sz w:val="20"/>
          <w:szCs w:val="20"/>
        </w:rPr>
        <w:t>otential through maximizing and maintaining rental income and occupancy levels, (ii) attract local area customers to its shopping centers, which offer buy online and pick up in store, off-price merchandise and day-to-day necessities rather than high-priced</w:t>
      </w:r>
      <w:r>
        <w:rPr>
          <w:sz w:val="20"/>
          <w:szCs w:val="20"/>
        </w:rPr>
        <w:t xml:space="preserve"> luxury items, and (iii) maintain a strong balance sheet.</w:t>
      </w:r>
    </w:p>
    <w:p w14:paraId="0E142FBE" w14:textId="77777777" w:rsidR="00000000" w:rsidRDefault="0053651E">
      <w:pPr>
        <w:pStyle w:val="a3"/>
        <w:spacing w:before="0" w:beforeAutospacing="0" w:after="0" w:afterAutospacing="0"/>
        <w:ind w:firstLine="360"/>
        <w:jc w:val="both"/>
        <w:rPr>
          <w:sz w:val="20"/>
          <w:szCs w:val="20"/>
        </w:rPr>
      </w:pPr>
      <w:r>
        <w:rPr>
          <w:sz w:val="20"/>
          <w:szCs w:val="20"/>
        </w:rPr>
        <w:t> </w:t>
      </w:r>
    </w:p>
    <w:p w14:paraId="3778444C" w14:textId="77777777" w:rsidR="00000000" w:rsidRDefault="0053651E">
      <w:pPr>
        <w:pStyle w:val="a3"/>
        <w:spacing w:before="0" w:beforeAutospacing="0" w:after="0" w:afterAutospacing="0"/>
        <w:ind w:firstLine="360"/>
        <w:jc w:val="both"/>
        <w:rPr>
          <w:sz w:val="20"/>
          <w:szCs w:val="20"/>
        </w:rPr>
      </w:pPr>
      <w:r>
        <w:rPr>
          <w:sz w:val="20"/>
          <w:szCs w:val="20"/>
        </w:rPr>
        <w:t>To effectively execute these strategies the Company seeks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3427DD1" w14:textId="77777777">
        <w:trPr>
          <w:tblCellSpacing w:w="0" w:type="dxa"/>
        </w:trPr>
        <w:tc>
          <w:tcPr>
            <w:tcW w:w="720" w:type="dxa"/>
            <w:vAlign w:val="center"/>
            <w:hideMark/>
          </w:tcPr>
          <w:p w14:paraId="1BE0DAE6" w14:textId="77777777" w:rsidR="00000000" w:rsidRDefault="0053651E">
            <w:pPr>
              <w:rPr>
                <w:rFonts w:eastAsia="Times New Roman"/>
                <w:sz w:val="20"/>
                <w:szCs w:val="20"/>
              </w:rPr>
            </w:pPr>
            <w:r>
              <w:rPr>
                <w:rFonts w:eastAsia="Times New Roman"/>
                <w:sz w:val="20"/>
                <w:szCs w:val="20"/>
              </w:rPr>
              <w:t> </w:t>
            </w:r>
          </w:p>
        </w:tc>
        <w:tc>
          <w:tcPr>
            <w:tcW w:w="360" w:type="dxa"/>
            <w:hideMark/>
          </w:tcPr>
          <w:p w14:paraId="1C3A616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6B68615" w14:textId="77777777" w:rsidR="00000000" w:rsidRDefault="0053651E">
            <w:pPr>
              <w:pStyle w:val="a3"/>
              <w:spacing w:before="0" w:beforeAutospacing="0" w:after="0" w:afterAutospacing="0"/>
              <w:jc w:val="both"/>
              <w:rPr>
                <w:sz w:val="20"/>
                <w:szCs w:val="20"/>
              </w:rPr>
            </w:pPr>
            <w:r>
              <w:rPr>
                <w:sz w:val="20"/>
                <w:szCs w:val="20"/>
              </w:rPr>
              <w:t>increase rental rates where possible through the leasing of space to new tenants;</w:t>
            </w:r>
          </w:p>
        </w:tc>
      </w:tr>
    </w:tbl>
    <w:p w14:paraId="48E17884"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AFC7499" w14:textId="77777777">
        <w:trPr>
          <w:tblCellSpacing w:w="0" w:type="dxa"/>
        </w:trPr>
        <w:tc>
          <w:tcPr>
            <w:tcW w:w="720" w:type="dxa"/>
            <w:vAlign w:val="center"/>
            <w:hideMark/>
          </w:tcPr>
          <w:p w14:paraId="0CD945A2" w14:textId="77777777" w:rsidR="00000000" w:rsidRDefault="0053651E">
            <w:pPr>
              <w:rPr>
                <w:rFonts w:eastAsia="Times New Roman"/>
                <w:sz w:val="20"/>
                <w:szCs w:val="20"/>
              </w:rPr>
            </w:pPr>
            <w:r>
              <w:rPr>
                <w:rFonts w:eastAsia="Times New Roman"/>
                <w:sz w:val="20"/>
                <w:szCs w:val="20"/>
              </w:rPr>
              <w:t> </w:t>
            </w:r>
          </w:p>
        </w:tc>
        <w:tc>
          <w:tcPr>
            <w:tcW w:w="360" w:type="dxa"/>
            <w:hideMark/>
          </w:tcPr>
          <w:p w14:paraId="06511DFD"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0F826FC" w14:textId="77777777" w:rsidR="00000000" w:rsidRDefault="0053651E">
            <w:pPr>
              <w:pStyle w:val="a3"/>
              <w:spacing w:before="0" w:beforeAutospacing="0" w:after="0" w:afterAutospacing="0"/>
              <w:jc w:val="both"/>
              <w:rPr>
                <w:sz w:val="20"/>
                <w:szCs w:val="20"/>
              </w:rPr>
            </w:pPr>
            <w:r>
              <w:rPr>
                <w:sz w:val="20"/>
                <w:szCs w:val="20"/>
              </w:rPr>
              <w:t>attract a diverse and robust tenant base across a variety of retailers at its properties, which include grocery store, off-price retailers, discounters, or service-orie</w:t>
            </w:r>
            <w:r>
              <w:rPr>
                <w:sz w:val="20"/>
                <w:szCs w:val="20"/>
              </w:rPr>
              <w:t>nted tenants;</w:t>
            </w:r>
          </w:p>
        </w:tc>
      </w:tr>
    </w:tbl>
    <w:p w14:paraId="421216E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1E23818" w14:textId="77777777">
        <w:trPr>
          <w:tblCellSpacing w:w="0" w:type="dxa"/>
        </w:trPr>
        <w:tc>
          <w:tcPr>
            <w:tcW w:w="720" w:type="dxa"/>
            <w:vAlign w:val="center"/>
            <w:hideMark/>
          </w:tcPr>
          <w:p w14:paraId="4B0494F9" w14:textId="77777777" w:rsidR="00000000" w:rsidRDefault="0053651E">
            <w:pPr>
              <w:rPr>
                <w:rFonts w:eastAsia="Times New Roman"/>
                <w:sz w:val="20"/>
                <w:szCs w:val="20"/>
              </w:rPr>
            </w:pPr>
            <w:r>
              <w:rPr>
                <w:rFonts w:eastAsia="Times New Roman"/>
                <w:sz w:val="20"/>
                <w:szCs w:val="20"/>
              </w:rPr>
              <w:t> </w:t>
            </w:r>
          </w:p>
        </w:tc>
        <w:tc>
          <w:tcPr>
            <w:tcW w:w="360" w:type="dxa"/>
            <w:hideMark/>
          </w:tcPr>
          <w:p w14:paraId="09D3E92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1A35435" w14:textId="77777777" w:rsidR="00000000" w:rsidRDefault="0053651E">
            <w:pPr>
              <w:pStyle w:val="a3"/>
              <w:spacing w:before="0" w:beforeAutospacing="0" w:after="0" w:afterAutospacing="0"/>
              <w:jc w:val="both"/>
              <w:rPr>
                <w:sz w:val="20"/>
                <w:szCs w:val="20"/>
              </w:rPr>
            </w:pPr>
            <w:r>
              <w:rPr>
                <w:sz w:val="20"/>
                <w:szCs w:val="20"/>
              </w:rPr>
              <w:t>renew leases with existing tenants;</w:t>
            </w:r>
          </w:p>
        </w:tc>
      </w:tr>
    </w:tbl>
    <w:p w14:paraId="2E8EA518"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5A291F3" w14:textId="77777777">
        <w:trPr>
          <w:tblCellSpacing w:w="0" w:type="dxa"/>
        </w:trPr>
        <w:tc>
          <w:tcPr>
            <w:tcW w:w="720" w:type="dxa"/>
            <w:vAlign w:val="center"/>
            <w:hideMark/>
          </w:tcPr>
          <w:p w14:paraId="31606249" w14:textId="77777777" w:rsidR="00000000" w:rsidRDefault="0053651E">
            <w:pPr>
              <w:rPr>
                <w:rFonts w:eastAsia="Times New Roman"/>
                <w:sz w:val="20"/>
                <w:szCs w:val="20"/>
              </w:rPr>
            </w:pPr>
            <w:r>
              <w:rPr>
                <w:rFonts w:eastAsia="Times New Roman"/>
                <w:sz w:val="20"/>
                <w:szCs w:val="20"/>
              </w:rPr>
              <w:t> </w:t>
            </w:r>
          </w:p>
        </w:tc>
        <w:tc>
          <w:tcPr>
            <w:tcW w:w="360" w:type="dxa"/>
            <w:hideMark/>
          </w:tcPr>
          <w:p w14:paraId="59A758D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4074304" w14:textId="77777777" w:rsidR="00000000" w:rsidRDefault="0053651E">
            <w:pPr>
              <w:pStyle w:val="a3"/>
              <w:spacing w:before="0" w:beforeAutospacing="0" w:after="0" w:afterAutospacing="0"/>
              <w:jc w:val="both"/>
              <w:rPr>
                <w:sz w:val="20"/>
                <w:szCs w:val="20"/>
              </w:rPr>
            </w:pPr>
            <w:r>
              <w:rPr>
                <w:sz w:val="20"/>
                <w:szCs w:val="20"/>
              </w:rPr>
              <w:t>decrease vacancy levels and duration of vacancy;</w:t>
            </w:r>
          </w:p>
        </w:tc>
      </w:tr>
    </w:tbl>
    <w:p w14:paraId="68C5D22B"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F35C6CC" w14:textId="77777777">
        <w:trPr>
          <w:tblCellSpacing w:w="0" w:type="dxa"/>
        </w:trPr>
        <w:tc>
          <w:tcPr>
            <w:tcW w:w="720" w:type="dxa"/>
            <w:vAlign w:val="center"/>
            <w:hideMark/>
          </w:tcPr>
          <w:p w14:paraId="081CB2FC" w14:textId="77777777" w:rsidR="00000000" w:rsidRDefault="0053651E">
            <w:pPr>
              <w:rPr>
                <w:rFonts w:eastAsia="Times New Roman"/>
                <w:sz w:val="20"/>
                <w:szCs w:val="20"/>
              </w:rPr>
            </w:pPr>
            <w:r>
              <w:rPr>
                <w:rFonts w:eastAsia="Times New Roman"/>
                <w:sz w:val="20"/>
                <w:szCs w:val="20"/>
              </w:rPr>
              <w:t> </w:t>
            </w:r>
          </w:p>
        </w:tc>
        <w:tc>
          <w:tcPr>
            <w:tcW w:w="360" w:type="dxa"/>
            <w:hideMark/>
          </w:tcPr>
          <w:p w14:paraId="500B2E95"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806FD71" w14:textId="77777777" w:rsidR="00000000" w:rsidRDefault="0053651E">
            <w:pPr>
              <w:pStyle w:val="a3"/>
              <w:spacing w:before="0" w:beforeAutospacing="0" w:after="0" w:afterAutospacing="0"/>
              <w:jc w:val="both"/>
              <w:rPr>
                <w:sz w:val="20"/>
                <w:szCs w:val="20"/>
              </w:rPr>
            </w:pPr>
            <w:r>
              <w:rPr>
                <w:sz w:val="20"/>
                <w:szCs w:val="20"/>
              </w:rPr>
              <w:t>monitor operating costs and overhead;</w:t>
            </w:r>
          </w:p>
        </w:tc>
      </w:tr>
    </w:tbl>
    <w:p w14:paraId="6D18456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51FFFFA" w14:textId="77777777">
        <w:trPr>
          <w:tblCellSpacing w:w="0" w:type="dxa"/>
        </w:trPr>
        <w:tc>
          <w:tcPr>
            <w:tcW w:w="720" w:type="dxa"/>
            <w:vAlign w:val="center"/>
            <w:hideMark/>
          </w:tcPr>
          <w:p w14:paraId="572BF462" w14:textId="77777777" w:rsidR="00000000" w:rsidRDefault="0053651E">
            <w:pPr>
              <w:rPr>
                <w:rFonts w:eastAsia="Times New Roman"/>
                <w:sz w:val="20"/>
                <w:szCs w:val="20"/>
              </w:rPr>
            </w:pPr>
            <w:r>
              <w:rPr>
                <w:rFonts w:eastAsia="Times New Roman"/>
                <w:sz w:val="20"/>
                <w:szCs w:val="20"/>
              </w:rPr>
              <w:t> </w:t>
            </w:r>
          </w:p>
        </w:tc>
        <w:tc>
          <w:tcPr>
            <w:tcW w:w="360" w:type="dxa"/>
            <w:hideMark/>
          </w:tcPr>
          <w:p w14:paraId="4C4B3DA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D87FDC9" w14:textId="77777777" w:rsidR="00000000" w:rsidRDefault="0053651E">
            <w:pPr>
              <w:pStyle w:val="a3"/>
              <w:spacing w:before="0" w:beforeAutospacing="0" w:after="0" w:afterAutospacing="0"/>
              <w:jc w:val="both"/>
              <w:rPr>
                <w:sz w:val="20"/>
                <w:szCs w:val="20"/>
              </w:rPr>
            </w:pPr>
            <w:r>
              <w:rPr>
                <w:sz w:val="20"/>
                <w:szCs w:val="20"/>
              </w:rPr>
              <w:t>redevelop existing shopping centers to obtain the highest and best use to maximize the real estate value;</w:t>
            </w:r>
          </w:p>
        </w:tc>
      </w:tr>
    </w:tbl>
    <w:p w14:paraId="17AC12A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7B856E" w14:textId="77777777">
        <w:trPr>
          <w:tblCellSpacing w:w="0" w:type="dxa"/>
        </w:trPr>
        <w:tc>
          <w:tcPr>
            <w:tcW w:w="720" w:type="dxa"/>
            <w:vAlign w:val="center"/>
            <w:hideMark/>
          </w:tcPr>
          <w:p w14:paraId="3F557687" w14:textId="77777777" w:rsidR="00000000" w:rsidRDefault="0053651E">
            <w:pPr>
              <w:rPr>
                <w:rFonts w:eastAsia="Times New Roman"/>
                <w:sz w:val="20"/>
                <w:szCs w:val="20"/>
              </w:rPr>
            </w:pPr>
            <w:r>
              <w:rPr>
                <w:rFonts w:eastAsia="Times New Roman"/>
                <w:sz w:val="20"/>
                <w:szCs w:val="20"/>
              </w:rPr>
              <w:t> </w:t>
            </w:r>
          </w:p>
        </w:tc>
        <w:tc>
          <w:tcPr>
            <w:tcW w:w="360" w:type="dxa"/>
            <w:hideMark/>
          </w:tcPr>
          <w:p w14:paraId="4CB0E04D"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3899B9D9" w14:textId="77777777" w:rsidR="00000000" w:rsidRDefault="0053651E">
            <w:pPr>
              <w:pStyle w:val="a3"/>
              <w:spacing w:before="0" w:beforeAutospacing="0" w:after="0" w:afterAutospacing="0"/>
              <w:jc w:val="both"/>
              <w:rPr>
                <w:sz w:val="20"/>
                <w:szCs w:val="20"/>
              </w:rPr>
            </w:pPr>
            <w:r>
              <w:rPr>
                <w:sz w:val="20"/>
                <w:szCs w:val="20"/>
              </w:rPr>
              <w:t>provide unmatched tenant services deriving from decades of experience managing retail properties; and</w:t>
            </w:r>
          </w:p>
        </w:tc>
      </w:tr>
    </w:tbl>
    <w:p w14:paraId="29BAD7BB"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B3E12C2" w14:textId="77777777">
        <w:trPr>
          <w:tblCellSpacing w:w="0" w:type="dxa"/>
        </w:trPr>
        <w:tc>
          <w:tcPr>
            <w:tcW w:w="720" w:type="dxa"/>
            <w:vAlign w:val="center"/>
            <w:hideMark/>
          </w:tcPr>
          <w:p w14:paraId="7FF2E3B1" w14:textId="77777777" w:rsidR="00000000" w:rsidRDefault="0053651E">
            <w:pPr>
              <w:rPr>
                <w:rFonts w:eastAsia="Times New Roman"/>
                <w:sz w:val="20"/>
                <w:szCs w:val="20"/>
              </w:rPr>
            </w:pPr>
            <w:r>
              <w:rPr>
                <w:rFonts w:eastAsia="Times New Roman"/>
                <w:sz w:val="20"/>
                <w:szCs w:val="20"/>
              </w:rPr>
              <w:t> </w:t>
            </w:r>
          </w:p>
        </w:tc>
        <w:tc>
          <w:tcPr>
            <w:tcW w:w="360" w:type="dxa"/>
            <w:hideMark/>
          </w:tcPr>
          <w:p w14:paraId="2415F77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9C23A28" w14:textId="77777777" w:rsidR="00000000" w:rsidRDefault="0053651E">
            <w:pPr>
              <w:pStyle w:val="a3"/>
              <w:spacing w:before="0" w:beforeAutospacing="0" w:after="0" w:afterAutospacing="0"/>
              <w:jc w:val="both"/>
              <w:rPr>
                <w:sz w:val="20"/>
                <w:szCs w:val="20"/>
              </w:rPr>
            </w:pPr>
            <w:r>
              <w:rPr>
                <w:sz w:val="20"/>
                <w:szCs w:val="20"/>
              </w:rPr>
              <w:t>provide communities with a destinati</w:t>
            </w:r>
            <w:r>
              <w:rPr>
                <w:sz w:val="20"/>
                <w:szCs w:val="20"/>
              </w:rPr>
              <w:t>on for everyday living goods and services.</w:t>
            </w:r>
          </w:p>
        </w:tc>
      </w:tr>
    </w:tbl>
    <w:p w14:paraId="07626AA1" w14:textId="77777777" w:rsidR="00000000" w:rsidRDefault="0053651E">
      <w:pPr>
        <w:pStyle w:val="a3"/>
        <w:spacing w:before="0" w:beforeAutospacing="0" w:after="0" w:afterAutospacing="0"/>
        <w:ind w:firstLine="360"/>
        <w:jc w:val="both"/>
        <w:rPr>
          <w:sz w:val="20"/>
          <w:szCs w:val="20"/>
        </w:rPr>
      </w:pPr>
      <w:r>
        <w:rPr>
          <w:sz w:val="20"/>
          <w:szCs w:val="20"/>
        </w:rPr>
        <w:t> </w:t>
      </w:r>
    </w:p>
    <w:p w14:paraId="65A16745" w14:textId="77777777" w:rsidR="00000000" w:rsidRDefault="0053651E">
      <w:pPr>
        <w:pStyle w:val="a3"/>
        <w:spacing w:before="0" w:beforeAutospacing="0" w:after="0" w:afterAutospacing="0"/>
        <w:ind w:firstLine="360"/>
        <w:jc w:val="both"/>
        <w:rPr>
          <w:sz w:val="20"/>
          <w:szCs w:val="20"/>
        </w:rPr>
      </w:pPr>
      <w:r>
        <w:rPr>
          <w:sz w:val="20"/>
          <w:szCs w:val="20"/>
        </w:rPr>
        <w:t>The Company reduces its operating and leasing risks through diversification achieved by the geographic distribution of its properties and a large tenant base. As of December 31, 2019, no single open-air shoppin</w:t>
      </w:r>
      <w:r>
        <w:rPr>
          <w:sz w:val="20"/>
          <w:szCs w:val="20"/>
        </w:rPr>
        <w:t>g center accounted for more than 1.9% of the Company's annualized base rental revenues, including the proportionate share of base rental revenues from properties in which the Company has less than a 100% economic interest, or more than 1.9% of the Company’</w:t>
      </w:r>
      <w:r>
        <w:rPr>
          <w:sz w:val="20"/>
          <w:szCs w:val="20"/>
        </w:rPr>
        <w:t>s total shopping center GLA. Furthermore, at December 31, 2019, the Company’s single largest tenant represented only 3.9%, and the Company’s five largest tenants aggregated less than 12.4%, of the Company’s annualized base rental revenues, including the pr</w:t>
      </w:r>
      <w:r>
        <w:rPr>
          <w:sz w:val="20"/>
          <w:szCs w:val="20"/>
        </w:rPr>
        <w:t>oportionate share of base rental revenues from properties in which the Company has less than a 100% economic interest.</w:t>
      </w:r>
    </w:p>
    <w:p w14:paraId="7C03B886" w14:textId="77777777" w:rsidR="00000000" w:rsidRDefault="0053651E">
      <w:pPr>
        <w:pStyle w:val="a3"/>
        <w:spacing w:before="0" w:beforeAutospacing="0" w:after="0" w:afterAutospacing="0"/>
        <w:ind w:firstLine="360"/>
        <w:jc w:val="both"/>
        <w:rPr>
          <w:sz w:val="20"/>
          <w:szCs w:val="20"/>
        </w:rPr>
      </w:pPr>
      <w:r>
        <w:rPr>
          <w:sz w:val="20"/>
          <w:szCs w:val="20"/>
        </w:rPr>
        <w:t> </w:t>
      </w:r>
    </w:p>
    <w:p w14:paraId="35CAF38D" w14:textId="77777777" w:rsidR="00000000" w:rsidRDefault="0053651E">
      <w:pPr>
        <w:pStyle w:val="a3"/>
        <w:spacing w:before="0" w:beforeAutospacing="0" w:after="0" w:afterAutospacing="0"/>
        <w:ind w:firstLine="360"/>
        <w:jc w:val="both"/>
        <w:rPr>
          <w:sz w:val="20"/>
          <w:szCs w:val="20"/>
        </w:rPr>
      </w:pPr>
      <w:r>
        <w:rPr>
          <w:sz w:val="20"/>
          <w:szCs w:val="20"/>
        </w:rPr>
        <w:t xml:space="preserve">As one of the original participants in the growth of the shopping center industry and one of the nation's largest owners and operators of open-air shopping centers, the Company has established close relationships with major national and regional retailers </w:t>
      </w:r>
      <w:r>
        <w:rPr>
          <w:sz w:val="20"/>
          <w:szCs w:val="20"/>
        </w:rPr>
        <w:t>and maintains a broad network of industry contacts. Management is associated with and/or actively participates in many shopping center and REIT industry organizations. Notwithstanding these relationships, there are numerous regional and local commercial de</w:t>
      </w:r>
      <w:r>
        <w:rPr>
          <w:sz w:val="20"/>
          <w:szCs w:val="20"/>
        </w:rPr>
        <w:t>velopers, real estate companies, financial institutions and other investors who compete with the Company for the acquisition of properties and other investment opportunities and in seeking tenants who will lease space in the Company’s properties.</w:t>
      </w:r>
    </w:p>
    <w:p w14:paraId="45EE4043" w14:textId="77777777" w:rsidR="00000000" w:rsidRDefault="0053651E">
      <w:pPr>
        <w:pStyle w:val="a3"/>
        <w:spacing w:before="0" w:beforeAutospacing="0" w:after="0" w:afterAutospacing="0"/>
        <w:ind w:firstLine="360"/>
        <w:jc w:val="both"/>
        <w:rPr>
          <w:sz w:val="20"/>
          <w:szCs w:val="20"/>
        </w:rPr>
      </w:pPr>
      <w:r>
        <w:rPr>
          <w:sz w:val="20"/>
          <w:szCs w:val="20"/>
        </w:rPr>
        <w:t> </w:t>
      </w:r>
    </w:p>
    <w:p w14:paraId="60243496" w14:textId="77777777" w:rsidR="00000000" w:rsidRDefault="0053651E">
      <w:pPr>
        <w:pStyle w:val="a3"/>
        <w:spacing w:before="0" w:beforeAutospacing="0" w:after="0" w:afterAutospacing="0"/>
        <w:jc w:val="both"/>
        <w:rPr>
          <w:sz w:val="20"/>
          <w:szCs w:val="20"/>
        </w:rPr>
      </w:pPr>
      <w:r>
        <w:rPr>
          <w:i/>
          <w:iCs/>
          <w:sz w:val="20"/>
          <w:szCs w:val="20"/>
        </w:rPr>
        <w:t>Investm</w:t>
      </w:r>
      <w:r>
        <w:rPr>
          <w:i/>
          <w:iCs/>
          <w:sz w:val="20"/>
          <w:szCs w:val="20"/>
        </w:rPr>
        <w:t>ent Strategies</w:t>
      </w:r>
    </w:p>
    <w:p w14:paraId="68024E0F" w14:textId="77777777" w:rsidR="00000000" w:rsidRDefault="0053651E">
      <w:pPr>
        <w:pStyle w:val="a3"/>
        <w:spacing w:before="0" w:beforeAutospacing="0" w:after="0" w:afterAutospacing="0"/>
        <w:jc w:val="both"/>
        <w:rPr>
          <w:sz w:val="20"/>
          <w:szCs w:val="20"/>
        </w:rPr>
      </w:pPr>
      <w:r>
        <w:rPr>
          <w:i/>
          <w:iCs/>
          <w:sz w:val="20"/>
          <w:szCs w:val="20"/>
        </w:rPr>
        <w:t> </w:t>
      </w:r>
    </w:p>
    <w:p w14:paraId="3B79810C" w14:textId="77777777" w:rsidR="00000000" w:rsidRDefault="0053651E">
      <w:pPr>
        <w:pStyle w:val="a3"/>
        <w:spacing w:before="0" w:beforeAutospacing="0" w:after="0" w:afterAutospacing="0"/>
        <w:ind w:firstLine="360"/>
        <w:jc w:val="both"/>
        <w:rPr>
          <w:sz w:val="20"/>
          <w:szCs w:val="20"/>
        </w:rPr>
      </w:pPr>
      <w:r>
        <w:rPr>
          <w:sz w:val="20"/>
          <w:szCs w:val="20"/>
        </w:rPr>
        <w:t>The Company’s investment strategy is to invest capital into its high-quality assets which are tightly clustered in major metro markets that provide opportunity for growth while disposing of lesser quality assets in less desirable locations</w:t>
      </w:r>
      <w:r>
        <w:rPr>
          <w:sz w:val="20"/>
          <w:szCs w:val="20"/>
        </w:rPr>
        <w:t xml:space="preserve">. Through this strategy, the Company has transformed its portfolio and will continue these efforts as deemed necessary to maximize the quality and growth of its portfolio. Property acquisitions are focused in major metro areas allowing tenants to generate </w:t>
      </w:r>
      <w:r>
        <w:rPr>
          <w:sz w:val="20"/>
          <w:szCs w:val="20"/>
        </w:rPr>
        <w:t>higher foot traffic resulting in higher sales volume accompanied with a potential for a mixed use component. The Company believes that this will enable it to maintain higher occupancy levels, rental rates and rental growth.</w:t>
      </w:r>
    </w:p>
    <w:p w14:paraId="3F587CE8" w14:textId="77777777" w:rsidR="00000000" w:rsidRDefault="0053651E">
      <w:pPr>
        <w:pStyle w:val="a3"/>
        <w:spacing w:before="0" w:beforeAutospacing="0" w:after="0" w:afterAutospacing="0"/>
        <w:jc w:val="both"/>
        <w:rPr>
          <w:sz w:val="20"/>
          <w:szCs w:val="20"/>
        </w:rPr>
      </w:pPr>
      <w:r>
        <w:rPr>
          <w:sz w:val="20"/>
          <w:szCs w:val="20"/>
        </w:rPr>
        <w:t> </w:t>
      </w:r>
    </w:p>
    <w:p w14:paraId="40BC9810" w14:textId="77777777" w:rsidR="00000000" w:rsidRDefault="0053651E">
      <w:pPr>
        <w:pStyle w:val="a3"/>
        <w:spacing w:before="0" w:beforeAutospacing="0" w:after="0" w:afterAutospacing="0"/>
        <w:ind w:firstLine="360"/>
        <w:jc w:val="both"/>
        <w:rPr>
          <w:sz w:val="20"/>
          <w:szCs w:val="20"/>
        </w:rPr>
      </w:pPr>
      <w:r>
        <w:rPr>
          <w:sz w:val="20"/>
          <w:szCs w:val="20"/>
        </w:rPr>
        <w:t>The Company’s investment strat</w:t>
      </w:r>
      <w:r>
        <w:rPr>
          <w:sz w:val="20"/>
          <w:szCs w:val="20"/>
        </w:rPr>
        <w:t>egy also includes the retail re-tenanting, renovation and expansion of its existing centers and acquired centers, while also pursuing redevelopment opportunities to increase overall value within its portfolio. The Company may selectively acquire establishe</w:t>
      </w:r>
      <w:r>
        <w:rPr>
          <w:sz w:val="20"/>
          <w:szCs w:val="20"/>
        </w:rPr>
        <w:t>d income-producing real estate properties and properties requiring significant re-tenanting and redevelopment, primarily in geographic regions in which the Company presently operates. Additionally, the Company may selectively acquire land parcels in its ke</w:t>
      </w:r>
      <w:r>
        <w:rPr>
          <w:sz w:val="20"/>
          <w:szCs w:val="20"/>
        </w:rPr>
        <w:t>y markets for real estate development projects for long-term investment. The Company may consider investments in other real estate sectors and in geographic markets where it does not presently operate should suitable opportunities arise. The Company also c</w:t>
      </w:r>
      <w:r>
        <w:rPr>
          <w:sz w:val="20"/>
          <w:szCs w:val="20"/>
        </w:rPr>
        <w:t>ontinues to simplify its business by reducing the number of joint venture investments.</w:t>
      </w:r>
    </w:p>
    <w:p w14:paraId="1E22781A" w14:textId="77777777" w:rsidR="00000000" w:rsidRDefault="0053651E">
      <w:pPr>
        <w:pStyle w:val="a3"/>
        <w:spacing w:before="0" w:beforeAutospacing="0" w:after="0" w:afterAutospacing="0"/>
        <w:jc w:val="both"/>
        <w:rPr>
          <w:sz w:val="20"/>
          <w:szCs w:val="20"/>
        </w:rPr>
      </w:pPr>
      <w:r>
        <w:rPr>
          <w:sz w:val="20"/>
          <w:szCs w:val="20"/>
        </w:rPr>
        <w:t> </w:t>
      </w:r>
    </w:p>
    <w:p w14:paraId="2B665291" w14:textId="77777777" w:rsidR="00000000" w:rsidRDefault="0053651E">
      <w:pPr>
        <w:jc w:val="center"/>
        <w:divId w:val="602030628"/>
        <w:rPr>
          <w:rFonts w:eastAsia="Times New Roman"/>
          <w:sz w:val="20"/>
          <w:szCs w:val="20"/>
        </w:rPr>
      </w:pPr>
      <w:r>
        <w:rPr>
          <w:rFonts w:eastAsia="Times New Roman"/>
          <w:sz w:val="20"/>
          <w:szCs w:val="20"/>
        </w:rPr>
        <w:t xml:space="preserve">5 </w:t>
      </w:r>
    </w:p>
    <w:p w14:paraId="0F7A4558" w14:textId="77777777" w:rsidR="00000000" w:rsidRDefault="0053651E">
      <w:pPr>
        <w:divId w:val="602030628"/>
        <w:rPr>
          <w:rFonts w:eastAsia="Times New Roman"/>
          <w:sz w:val="20"/>
          <w:szCs w:val="20"/>
        </w:rPr>
      </w:pPr>
      <w:r>
        <w:rPr>
          <w:rFonts w:eastAsia="Times New Roman"/>
          <w:sz w:val="20"/>
          <w:szCs w:val="20"/>
        </w:rPr>
        <w:pict w14:anchorId="4A6C241A">
          <v:rect id="_x0000_i1034" style="width:0;height:1.5pt" o:hralign="center" o:hrstd="t" o:hr="t" fillcolor="#a0a0a0" stroked="f"/>
        </w:pict>
      </w:r>
    </w:p>
    <w:p w14:paraId="60C2EB14" w14:textId="77777777" w:rsidR="00000000" w:rsidRDefault="0053651E">
      <w:pPr>
        <w:divId w:val="6020306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0C13B41" w14:textId="77777777" w:rsidR="00000000" w:rsidRDefault="0053651E">
      <w:pPr>
        <w:pStyle w:val="a3"/>
        <w:spacing w:before="0" w:beforeAutospacing="0" w:after="0" w:afterAutospacing="0"/>
        <w:rPr>
          <w:sz w:val="20"/>
          <w:szCs w:val="20"/>
        </w:rPr>
      </w:pPr>
      <w:r>
        <w:rPr>
          <w:sz w:val="20"/>
          <w:szCs w:val="20"/>
        </w:rPr>
        <w:t> </w:t>
      </w:r>
    </w:p>
    <w:p w14:paraId="000AF00E" w14:textId="77777777" w:rsidR="00000000" w:rsidRDefault="0053651E">
      <w:pPr>
        <w:pStyle w:val="a3"/>
        <w:spacing w:before="0" w:beforeAutospacing="0" w:after="0" w:afterAutospacing="0"/>
        <w:ind w:firstLine="360"/>
        <w:jc w:val="both"/>
        <w:rPr>
          <w:sz w:val="20"/>
          <w:szCs w:val="20"/>
        </w:rPr>
      </w:pPr>
      <w:r>
        <w:rPr>
          <w:sz w:val="20"/>
          <w:szCs w:val="20"/>
        </w:rPr>
        <w:t>As part of the Company’s investment strategy each property is evaluated for its h</w:t>
      </w:r>
      <w:r>
        <w:rPr>
          <w:sz w:val="20"/>
          <w:szCs w:val="20"/>
        </w:rPr>
        <w:t>ighest and best use, which may include residential and mixed-use components. In addition, the Company may consider other opportunistic investments related to retailer controlled real estate such as repositioning underperforming retail locations, retail rea</w:t>
      </w:r>
      <w:r>
        <w:rPr>
          <w:sz w:val="20"/>
          <w:szCs w:val="20"/>
        </w:rPr>
        <w:t>l estate financing and bankruptcy transaction support. The Company has a capital recycling program which provides for the disposition of certain lesser quality assets. If the estimated fair value for any of these assets is less than their net carrying valu</w:t>
      </w:r>
      <w:r>
        <w:rPr>
          <w:sz w:val="20"/>
          <w:szCs w:val="20"/>
        </w:rPr>
        <w:t>es, the Company would be required to take impairment charges and such amounts could be material.</w:t>
      </w:r>
    </w:p>
    <w:p w14:paraId="3EA7E87B" w14:textId="77777777" w:rsidR="00000000" w:rsidRDefault="0053651E">
      <w:pPr>
        <w:pStyle w:val="a3"/>
        <w:spacing w:before="0" w:beforeAutospacing="0" w:after="0" w:afterAutospacing="0"/>
        <w:jc w:val="both"/>
        <w:rPr>
          <w:sz w:val="20"/>
          <w:szCs w:val="20"/>
        </w:rPr>
      </w:pPr>
      <w:r>
        <w:rPr>
          <w:sz w:val="20"/>
          <w:szCs w:val="20"/>
        </w:rPr>
        <w:t> </w:t>
      </w:r>
    </w:p>
    <w:p w14:paraId="4A8E94A5" w14:textId="77777777" w:rsidR="00000000" w:rsidRDefault="0053651E">
      <w:pPr>
        <w:pStyle w:val="a3"/>
        <w:spacing w:before="0" w:beforeAutospacing="0" w:after="0" w:afterAutospacing="0"/>
        <w:ind w:firstLine="360"/>
        <w:jc w:val="both"/>
        <w:rPr>
          <w:sz w:val="20"/>
          <w:szCs w:val="20"/>
        </w:rPr>
      </w:pPr>
      <w:r>
        <w:rPr>
          <w:sz w:val="20"/>
          <w:szCs w:val="20"/>
        </w:rPr>
        <w:t>The Company may either purchase or lease income-producing properties in the future and may also participate with other entities in property ownership through</w:t>
      </w:r>
      <w:r>
        <w:rPr>
          <w:sz w:val="20"/>
          <w:szCs w:val="20"/>
        </w:rPr>
        <w:t xml:space="preserve"> partnerships, joint ventures or similar types of co-ownership. Equity investments may be subject to existing mortgage financing and/or other indebtedness. Financing or other indebtedness may be incurred simultaneously or subsequently in connection with su</w:t>
      </w:r>
      <w:r>
        <w:rPr>
          <w:sz w:val="20"/>
          <w:szCs w:val="20"/>
        </w:rPr>
        <w:t>ch investments. Any such financing or indebtedness would have priority over the Company’s equity interest in such property.</w:t>
      </w:r>
    </w:p>
    <w:p w14:paraId="5AE95CE0" w14:textId="77777777" w:rsidR="00000000" w:rsidRDefault="0053651E">
      <w:pPr>
        <w:pStyle w:val="a3"/>
        <w:spacing w:before="0" w:beforeAutospacing="0" w:after="0" w:afterAutospacing="0"/>
        <w:ind w:firstLine="360"/>
        <w:jc w:val="both"/>
        <w:rPr>
          <w:sz w:val="20"/>
          <w:szCs w:val="20"/>
        </w:rPr>
      </w:pPr>
      <w:r>
        <w:rPr>
          <w:sz w:val="20"/>
          <w:szCs w:val="20"/>
        </w:rPr>
        <w:t> </w:t>
      </w:r>
    </w:p>
    <w:p w14:paraId="459CDC89" w14:textId="77777777" w:rsidR="00000000" w:rsidRDefault="0053651E">
      <w:pPr>
        <w:pStyle w:val="a3"/>
        <w:spacing w:before="0" w:beforeAutospacing="0" w:after="0" w:afterAutospacing="0"/>
        <w:rPr>
          <w:sz w:val="20"/>
          <w:szCs w:val="20"/>
        </w:rPr>
      </w:pPr>
      <w:r>
        <w:rPr>
          <w:b/>
          <w:bCs/>
          <w:sz w:val="20"/>
          <w:szCs w:val="20"/>
          <w:u w:val="single"/>
        </w:rPr>
        <w:t>Environment, Social, Governance ("ESG") Program</w:t>
      </w:r>
    </w:p>
    <w:p w14:paraId="2DC54179" w14:textId="77777777" w:rsidR="00000000" w:rsidRDefault="0053651E">
      <w:pPr>
        <w:pStyle w:val="a3"/>
        <w:spacing w:before="0" w:beforeAutospacing="0" w:after="0" w:afterAutospacing="0"/>
        <w:jc w:val="both"/>
        <w:rPr>
          <w:sz w:val="20"/>
          <w:szCs w:val="20"/>
        </w:rPr>
      </w:pPr>
      <w:r>
        <w:rPr>
          <w:sz w:val="20"/>
          <w:szCs w:val="20"/>
        </w:rPr>
        <w:t> </w:t>
      </w:r>
    </w:p>
    <w:p w14:paraId="036D804C" w14:textId="77777777" w:rsidR="00000000" w:rsidRDefault="0053651E">
      <w:pPr>
        <w:pStyle w:val="a3"/>
        <w:spacing w:before="0" w:beforeAutospacing="0" w:after="0" w:afterAutospacing="0"/>
        <w:ind w:firstLine="360"/>
        <w:jc w:val="both"/>
        <w:rPr>
          <w:sz w:val="20"/>
          <w:szCs w:val="20"/>
        </w:rPr>
      </w:pPr>
      <w:r>
        <w:rPr>
          <w:sz w:val="20"/>
          <w:szCs w:val="20"/>
        </w:rPr>
        <w:t>The Company is focused on building a thriving and viable business, one that succeeds by delivering long-term value for its stakeholders. The Company's ESG programs are aligned with its core business strategy of creating destinations for everyday living tha</w:t>
      </w:r>
      <w:r>
        <w:rPr>
          <w:sz w:val="20"/>
          <w:szCs w:val="20"/>
        </w:rPr>
        <w:t>t inspire a sense of community and deliver value to our many stakeholders.</w:t>
      </w:r>
    </w:p>
    <w:p w14:paraId="1ADFA613" w14:textId="77777777" w:rsidR="00000000" w:rsidRDefault="0053651E">
      <w:pPr>
        <w:pStyle w:val="a3"/>
        <w:spacing w:before="0" w:beforeAutospacing="0" w:after="0" w:afterAutospacing="0"/>
        <w:ind w:firstLine="360"/>
        <w:jc w:val="both"/>
        <w:rPr>
          <w:sz w:val="20"/>
          <w:szCs w:val="20"/>
        </w:rPr>
      </w:pPr>
      <w:r>
        <w:rPr>
          <w:sz w:val="20"/>
          <w:szCs w:val="20"/>
        </w:rPr>
        <w:t> </w:t>
      </w:r>
    </w:p>
    <w:p w14:paraId="10F2DECD" w14:textId="77777777" w:rsidR="00000000" w:rsidRDefault="0053651E">
      <w:pPr>
        <w:pStyle w:val="a3"/>
        <w:spacing w:before="0" w:beforeAutospacing="0" w:after="0" w:afterAutospacing="0"/>
        <w:ind w:left="144" w:right="144"/>
        <w:jc w:val="both"/>
        <w:rPr>
          <w:sz w:val="20"/>
          <w:szCs w:val="20"/>
        </w:rPr>
      </w:pPr>
      <w:r>
        <w:rPr>
          <w:sz w:val="20"/>
          <w:szCs w:val="20"/>
        </w:rPr>
        <w:t>The Company has established four ESG Program Pillars:</w:t>
      </w:r>
    </w:p>
    <w:p w14:paraId="505A2547"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0"/>
        <w:gridCol w:w="265"/>
        <w:gridCol w:w="7381"/>
      </w:tblGrid>
      <w:tr w:rsidR="00000000" w14:paraId="250EC84A" w14:textId="77777777">
        <w:trPr>
          <w:tblCellSpacing w:w="0" w:type="dxa"/>
        </w:trPr>
        <w:tc>
          <w:tcPr>
            <w:tcW w:w="660" w:type="dxa"/>
            <w:vAlign w:val="center"/>
            <w:hideMark/>
          </w:tcPr>
          <w:p w14:paraId="2D550796" w14:textId="77777777" w:rsidR="00000000" w:rsidRDefault="0053651E">
            <w:pPr>
              <w:rPr>
                <w:rFonts w:eastAsia="Times New Roman"/>
                <w:sz w:val="20"/>
                <w:szCs w:val="20"/>
              </w:rPr>
            </w:pPr>
            <w:r>
              <w:rPr>
                <w:rFonts w:eastAsia="Times New Roman"/>
                <w:sz w:val="20"/>
                <w:szCs w:val="20"/>
              </w:rPr>
              <w:t> </w:t>
            </w:r>
          </w:p>
        </w:tc>
        <w:tc>
          <w:tcPr>
            <w:tcW w:w="200" w:type="dxa"/>
            <w:hideMark/>
          </w:tcPr>
          <w:p w14:paraId="3210C376" w14:textId="77777777" w:rsidR="00000000" w:rsidRDefault="0053651E">
            <w:pPr>
              <w:pStyle w:val="a3"/>
              <w:spacing w:before="0" w:beforeAutospacing="0" w:after="0" w:afterAutospacing="0"/>
              <w:ind w:right="144"/>
              <w:jc w:val="both"/>
              <w:rPr>
                <w:sz w:val="20"/>
                <w:szCs w:val="20"/>
              </w:rPr>
            </w:pPr>
            <w:r>
              <w:rPr>
                <w:b/>
                <w:bCs/>
                <w:sz w:val="20"/>
                <w:szCs w:val="20"/>
              </w:rPr>
              <w:t>●</w:t>
            </w:r>
          </w:p>
        </w:tc>
        <w:tc>
          <w:tcPr>
            <w:tcW w:w="0" w:type="auto"/>
            <w:hideMark/>
          </w:tcPr>
          <w:p w14:paraId="482741A9" w14:textId="77777777" w:rsidR="00000000" w:rsidRDefault="0053651E">
            <w:pPr>
              <w:pStyle w:val="a3"/>
              <w:spacing w:before="0" w:beforeAutospacing="0" w:after="0" w:afterAutospacing="0"/>
              <w:ind w:right="144"/>
              <w:jc w:val="both"/>
              <w:rPr>
                <w:sz w:val="20"/>
                <w:szCs w:val="20"/>
              </w:rPr>
            </w:pPr>
            <w:r>
              <w:rPr>
                <w:b/>
                <w:bCs/>
                <w:sz w:val="20"/>
                <w:szCs w:val="20"/>
              </w:rPr>
              <w:t>Embrace the Future of Retail</w:t>
            </w:r>
            <w:r>
              <w:rPr>
                <w:sz w:val="20"/>
                <w:szCs w:val="20"/>
              </w:rPr>
              <w:t xml:space="preserve"> </w:t>
            </w:r>
            <w:r>
              <w:rPr>
                <w:sz w:val="20"/>
                <w:szCs w:val="20"/>
              </w:rPr>
              <w:t>- foster a sense of place at our shopping centers, creating people-centered properties that are more convenient and accessible</w:t>
            </w:r>
          </w:p>
        </w:tc>
      </w:tr>
    </w:tbl>
    <w:p w14:paraId="432674D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60"/>
        <w:gridCol w:w="265"/>
        <w:gridCol w:w="7381"/>
      </w:tblGrid>
      <w:tr w:rsidR="00000000" w14:paraId="5EF672FC" w14:textId="77777777">
        <w:trPr>
          <w:tblCellSpacing w:w="0" w:type="dxa"/>
        </w:trPr>
        <w:tc>
          <w:tcPr>
            <w:tcW w:w="660" w:type="dxa"/>
            <w:vAlign w:val="center"/>
            <w:hideMark/>
          </w:tcPr>
          <w:p w14:paraId="355CE0D4" w14:textId="77777777" w:rsidR="00000000" w:rsidRDefault="0053651E">
            <w:pPr>
              <w:rPr>
                <w:rFonts w:eastAsia="Times New Roman"/>
                <w:sz w:val="20"/>
                <w:szCs w:val="20"/>
              </w:rPr>
            </w:pPr>
            <w:r>
              <w:rPr>
                <w:rFonts w:eastAsia="Times New Roman"/>
                <w:sz w:val="20"/>
                <w:szCs w:val="20"/>
              </w:rPr>
              <w:t> </w:t>
            </w:r>
          </w:p>
        </w:tc>
        <w:tc>
          <w:tcPr>
            <w:tcW w:w="200" w:type="dxa"/>
            <w:hideMark/>
          </w:tcPr>
          <w:p w14:paraId="4729E980" w14:textId="77777777" w:rsidR="00000000" w:rsidRDefault="0053651E">
            <w:pPr>
              <w:pStyle w:val="a3"/>
              <w:spacing w:before="0" w:beforeAutospacing="0" w:after="0" w:afterAutospacing="0"/>
              <w:ind w:right="144"/>
              <w:jc w:val="both"/>
              <w:rPr>
                <w:sz w:val="20"/>
                <w:szCs w:val="20"/>
              </w:rPr>
            </w:pPr>
            <w:r>
              <w:rPr>
                <w:b/>
                <w:bCs/>
                <w:sz w:val="20"/>
                <w:szCs w:val="20"/>
              </w:rPr>
              <w:t>●</w:t>
            </w:r>
          </w:p>
        </w:tc>
        <w:tc>
          <w:tcPr>
            <w:tcW w:w="0" w:type="auto"/>
            <w:hideMark/>
          </w:tcPr>
          <w:p w14:paraId="2DEFAE17" w14:textId="77777777" w:rsidR="00000000" w:rsidRDefault="0053651E">
            <w:pPr>
              <w:pStyle w:val="a3"/>
              <w:spacing w:before="0" w:beforeAutospacing="0" w:after="0" w:afterAutospacing="0"/>
              <w:ind w:right="144"/>
              <w:jc w:val="both"/>
              <w:rPr>
                <w:sz w:val="20"/>
                <w:szCs w:val="20"/>
              </w:rPr>
            </w:pPr>
            <w:r>
              <w:rPr>
                <w:b/>
                <w:bCs/>
                <w:sz w:val="20"/>
                <w:szCs w:val="20"/>
              </w:rPr>
              <w:t>Engage Our Local Communities -</w:t>
            </w:r>
            <w:r>
              <w:rPr>
                <w:sz w:val="20"/>
                <w:szCs w:val="20"/>
              </w:rPr>
              <w:t xml:space="preserve"> make a positive impact and be known in the communities where we operate and live</w:t>
            </w:r>
          </w:p>
        </w:tc>
      </w:tr>
    </w:tbl>
    <w:p w14:paraId="2FA6041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60"/>
        <w:gridCol w:w="265"/>
        <w:gridCol w:w="7381"/>
      </w:tblGrid>
      <w:tr w:rsidR="00000000" w14:paraId="1614274A" w14:textId="77777777">
        <w:trPr>
          <w:tblCellSpacing w:w="0" w:type="dxa"/>
        </w:trPr>
        <w:tc>
          <w:tcPr>
            <w:tcW w:w="660" w:type="dxa"/>
            <w:vAlign w:val="center"/>
            <w:hideMark/>
          </w:tcPr>
          <w:p w14:paraId="0EF7B855" w14:textId="77777777" w:rsidR="00000000" w:rsidRDefault="0053651E">
            <w:pPr>
              <w:rPr>
                <w:rFonts w:eastAsia="Times New Roman"/>
                <w:sz w:val="20"/>
                <w:szCs w:val="20"/>
              </w:rPr>
            </w:pPr>
            <w:r>
              <w:rPr>
                <w:rFonts w:eastAsia="Times New Roman"/>
                <w:sz w:val="20"/>
                <w:szCs w:val="20"/>
              </w:rPr>
              <w:t> </w:t>
            </w:r>
          </w:p>
        </w:tc>
        <w:tc>
          <w:tcPr>
            <w:tcW w:w="200" w:type="dxa"/>
            <w:hideMark/>
          </w:tcPr>
          <w:p w14:paraId="50673D6A" w14:textId="77777777" w:rsidR="00000000" w:rsidRDefault="0053651E">
            <w:pPr>
              <w:pStyle w:val="a3"/>
              <w:spacing w:before="0" w:beforeAutospacing="0" w:after="0" w:afterAutospacing="0"/>
              <w:ind w:right="144"/>
              <w:jc w:val="both"/>
              <w:rPr>
                <w:sz w:val="20"/>
                <w:szCs w:val="20"/>
              </w:rPr>
            </w:pPr>
            <w:r>
              <w:rPr>
                <w:b/>
                <w:bCs/>
                <w:sz w:val="20"/>
                <w:szCs w:val="20"/>
              </w:rPr>
              <w:t>●</w:t>
            </w:r>
          </w:p>
        </w:tc>
        <w:tc>
          <w:tcPr>
            <w:tcW w:w="0" w:type="auto"/>
            <w:hideMark/>
          </w:tcPr>
          <w:p w14:paraId="23ABEF9D" w14:textId="77777777" w:rsidR="00000000" w:rsidRDefault="0053651E">
            <w:pPr>
              <w:pStyle w:val="a3"/>
              <w:spacing w:before="0" w:beforeAutospacing="0" w:after="0" w:afterAutospacing="0"/>
              <w:ind w:right="144"/>
              <w:jc w:val="both"/>
              <w:rPr>
                <w:sz w:val="20"/>
                <w:szCs w:val="20"/>
              </w:rPr>
            </w:pPr>
            <w:r>
              <w:rPr>
                <w:b/>
                <w:bCs/>
                <w:sz w:val="20"/>
                <w:szCs w:val="20"/>
              </w:rPr>
              <w:t xml:space="preserve">Lead </w:t>
            </w:r>
            <w:r>
              <w:rPr>
                <w:b/>
                <w:bCs/>
                <w:sz w:val="20"/>
                <w:szCs w:val="20"/>
              </w:rPr>
              <w:t>in Operations &amp; Resiliency</w:t>
            </w:r>
            <w:r>
              <w:rPr>
                <w:sz w:val="20"/>
                <w:szCs w:val="20"/>
              </w:rPr>
              <w:t xml:space="preserve"> - maximize efficiency of operations and protect our assets from disruption by climate, security and other disruptions</w:t>
            </w:r>
          </w:p>
        </w:tc>
      </w:tr>
    </w:tbl>
    <w:p w14:paraId="1E33FFC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60"/>
        <w:gridCol w:w="265"/>
        <w:gridCol w:w="7381"/>
      </w:tblGrid>
      <w:tr w:rsidR="00000000" w14:paraId="434C9319" w14:textId="77777777">
        <w:trPr>
          <w:tblCellSpacing w:w="0" w:type="dxa"/>
        </w:trPr>
        <w:tc>
          <w:tcPr>
            <w:tcW w:w="660" w:type="dxa"/>
            <w:vAlign w:val="center"/>
            <w:hideMark/>
          </w:tcPr>
          <w:p w14:paraId="4BE82A1E" w14:textId="77777777" w:rsidR="00000000" w:rsidRDefault="0053651E">
            <w:pPr>
              <w:rPr>
                <w:rFonts w:eastAsia="Times New Roman"/>
                <w:sz w:val="20"/>
                <w:szCs w:val="20"/>
              </w:rPr>
            </w:pPr>
            <w:r>
              <w:rPr>
                <w:rFonts w:eastAsia="Times New Roman"/>
                <w:sz w:val="20"/>
                <w:szCs w:val="20"/>
              </w:rPr>
              <w:t> </w:t>
            </w:r>
          </w:p>
        </w:tc>
        <w:tc>
          <w:tcPr>
            <w:tcW w:w="200" w:type="dxa"/>
            <w:hideMark/>
          </w:tcPr>
          <w:p w14:paraId="24A49CEA" w14:textId="77777777" w:rsidR="00000000" w:rsidRDefault="0053651E">
            <w:pPr>
              <w:pStyle w:val="a3"/>
              <w:spacing w:before="0" w:beforeAutospacing="0" w:after="0" w:afterAutospacing="0"/>
              <w:ind w:right="144"/>
              <w:jc w:val="both"/>
              <w:rPr>
                <w:sz w:val="20"/>
                <w:szCs w:val="20"/>
              </w:rPr>
            </w:pPr>
            <w:r>
              <w:rPr>
                <w:b/>
                <w:bCs/>
                <w:sz w:val="20"/>
                <w:szCs w:val="20"/>
              </w:rPr>
              <w:t>●</w:t>
            </w:r>
          </w:p>
        </w:tc>
        <w:tc>
          <w:tcPr>
            <w:tcW w:w="0" w:type="auto"/>
            <w:hideMark/>
          </w:tcPr>
          <w:p w14:paraId="5A247295" w14:textId="77777777" w:rsidR="00000000" w:rsidRDefault="0053651E">
            <w:pPr>
              <w:pStyle w:val="a3"/>
              <w:spacing w:before="0" w:beforeAutospacing="0" w:after="0" w:afterAutospacing="0"/>
              <w:ind w:right="144"/>
              <w:jc w:val="both"/>
              <w:rPr>
                <w:sz w:val="20"/>
                <w:szCs w:val="20"/>
              </w:rPr>
            </w:pPr>
            <w:r>
              <w:rPr>
                <w:b/>
                <w:bCs/>
                <w:sz w:val="20"/>
                <w:szCs w:val="20"/>
              </w:rPr>
              <w:t>Foster an Engaged, Inclusive &amp; Ethical Team -</w:t>
            </w:r>
            <w:r>
              <w:rPr>
                <w:sz w:val="20"/>
                <w:szCs w:val="20"/>
              </w:rPr>
              <w:t xml:space="preserve"> cultivate high levels of employee satisfaction and improve </w:t>
            </w:r>
            <w:r>
              <w:rPr>
                <w:sz w:val="20"/>
                <w:szCs w:val="20"/>
              </w:rPr>
              <w:t>diversity of management</w:t>
            </w:r>
          </w:p>
        </w:tc>
      </w:tr>
    </w:tbl>
    <w:p w14:paraId="6BB3FF2B" w14:textId="77777777" w:rsidR="00000000" w:rsidRDefault="0053651E">
      <w:pPr>
        <w:pStyle w:val="a3"/>
        <w:spacing w:before="0" w:beforeAutospacing="0" w:after="0" w:afterAutospacing="0"/>
        <w:ind w:firstLine="360"/>
        <w:jc w:val="both"/>
        <w:rPr>
          <w:sz w:val="20"/>
          <w:szCs w:val="20"/>
        </w:rPr>
      </w:pPr>
      <w:r>
        <w:rPr>
          <w:sz w:val="20"/>
          <w:szCs w:val="20"/>
        </w:rPr>
        <w:t> </w:t>
      </w:r>
    </w:p>
    <w:p w14:paraId="735113B2" w14:textId="77777777" w:rsidR="00000000" w:rsidRDefault="0053651E">
      <w:pPr>
        <w:pStyle w:val="a3"/>
        <w:spacing w:before="0" w:beforeAutospacing="0" w:after="0" w:afterAutospacing="0"/>
        <w:ind w:firstLine="360"/>
        <w:jc w:val="both"/>
        <w:rPr>
          <w:sz w:val="20"/>
          <w:szCs w:val="20"/>
        </w:rPr>
      </w:pPr>
      <w:r>
        <w:rPr>
          <w:sz w:val="20"/>
          <w:szCs w:val="20"/>
        </w:rPr>
        <w:t>Detailed information on ESG program governance and performance can be found on the Company's website in the Corporate Responsibility Report. This report is based on the Global Reporting Initiative (GRI) standard, which summarizes environmental and social p</w:t>
      </w:r>
      <w:r>
        <w:rPr>
          <w:sz w:val="20"/>
          <w:szCs w:val="20"/>
        </w:rPr>
        <w:t>erformance.</w:t>
      </w:r>
    </w:p>
    <w:p w14:paraId="086D9645" w14:textId="77777777" w:rsidR="00000000" w:rsidRDefault="0053651E">
      <w:pPr>
        <w:pStyle w:val="a3"/>
        <w:spacing w:before="0" w:beforeAutospacing="0" w:after="0" w:afterAutospacing="0"/>
        <w:ind w:firstLine="360"/>
        <w:jc w:val="both"/>
        <w:rPr>
          <w:sz w:val="20"/>
          <w:szCs w:val="20"/>
        </w:rPr>
      </w:pPr>
      <w:r>
        <w:rPr>
          <w:sz w:val="20"/>
          <w:szCs w:val="20"/>
        </w:rPr>
        <w:t> </w:t>
      </w:r>
    </w:p>
    <w:p w14:paraId="6F2A7941" w14:textId="77777777" w:rsidR="00000000" w:rsidRDefault="0053651E">
      <w:pPr>
        <w:pStyle w:val="a3"/>
        <w:spacing w:before="0" w:beforeAutospacing="0" w:after="0" w:afterAutospacing="0"/>
        <w:ind w:firstLine="360"/>
        <w:jc w:val="both"/>
        <w:rPr>
          <w:sz w:val="20"/>
          <w:szCs w:val="20"/>
        </w:rPr>
      </w:pPr>
      <w:r>
        <w:rPr>
          <w:sz w:val="20"/>
          <w:szCs w:val="20"/>
        </w:rPr>
        <w:t>During 2019, the Company was recognized for its commitment to Environmental, Social and Governance principles. The Company was cited by the Global Real Estate Sustainability Benchmark earning the distinguished Green Star designation for a six</w:t>
      </w:r>
      <w:r>
        <w:rPr>
          <w:sz w:val="20"/>
          <w:szCs w:val="20"/>
        </w:rPr>
        <w:t>th consecutive year. In addition, the Company was included in the Dow Jones Sustainability Index for the fifth consecutive year. Also in 2019, the Company was named for the first time to the Russell “FTSE4Good” Index Series, received one of the leading ESG</w:t>
      </w:r>
      <w:r>
        <w:rPr>
          <w:sz w:val="20"/>
          <w:szCs w:val="20"/>
        </w:rPr>
        <w:t xml:space="preserve"> scores for the real estate industry from Institutional Investor Services (ISS) and was presented with the National Association of Real Estate Investment Trusts ("NAREIT") Leader in the Light Award, a top honor among the Company’s peers.</w:t>
      </w:r>
    </w:p>
    <w:p w14:paraId="4B7AA88D" w14:textId="77777777" w:rsidR="00000000" w:rsidRDefault="0053651E">
      <w:pPr>
        <w:pStyle w:val="a3"/>
        <w:spacing w:before="0" w:beforeAutospacing="0" w:after="0" w:afterAutospacing="0"/>
        <w:ind w:firstLine="360"/>
        <w:jc w:val="both"/>
        <w:rPr>
          <w:sz w:val="20"/>
          <w:szCs w:val="20"/>
        </w:rPr>
      </w:pPr>
      <w:r>
        <w:rPr>
          <w:sz w:val="20"/>
          <w:szCs w:val="20"/>
        </w:rPr>
        <w:t> </w:t>
      </w:r>
    </w:p>
    <w:p w14:paraId="3BA0FF77" w14:textId="77777777" w:rsidR="00000000" w:rsidRDefault="0053651E">
      <w:pPr>
        <w:pStyle w:val="a3"/>
        <w:spacing w:before="0" w:beforeAutospacing="0" w:after="0" w:afterAutospacing="0"/>
        <w:rPr>
          <w:sz w:val="20"/>
          <w:szCs w:val="20"/>
        </w:rPr>
      </w:pPr>
      <w:r>
        <w:rPr>
          <w:b/>
          <w:bCs/>
          <w:sz w:val="20"/>
          <w:szCs w:val="20"/>
          <w:u w:val="single"/>
        </w:rPr>
        <w:t>Information Abou</w:t>
      </w:r>
      <w:r>
        <w:rPr>
          <w:b/>
          <w:bCs/>
          <w:sz w:val="20"/>
          <w:szCs w:val="20"/>
          <w:u w:val="single"/>
        </w:rPr>
        <w:t>t Our Executive Officers</w:t>
      </w:r>
    </w:p>
    <w:p w14:paraId="2A7554B2" w14:textId="77777777" w:rsidR="00000000" w:rsidRDefault="0053651E">
      <w:pPr>
        <w:pStyle w:val="a3"/>
        <w:spacing w:before="0" w:beforeAutospacing="0" w:after="0" w:afterAutospacing="0"/>
        <w:rPr>
          <w:sz w:val="20"/>
          <w:szCs w:val="20"/>
        </w:rPr>
      </w:pPr>
      <w:r>
        <w:rPr>
          <w:b/>
          <w:bCs/>
          <w:sz w:val="20"/>
          <w:szCs w:val="20"/>
        </w:rPr>
        <w:t> </w:t>
      </w:r>
    </w:p>
    <w:p w14:paraId="723EE9AF" w14:textId="77777777" w:rsidR="00000000" w:rsidRDefault="0053651E">
      <w:pPr>
        <w:pStyle w:val="a3"/>
        <w:spacing w:before="0" w:beforeAutospacing="0" w:after="0" w:afterAutospacing="0"/>
        <w:rPr>
          <w:sz w:val="20"/>
          <w:szCs w:val="20"/>
        </w:rPr>
      </w:pPr>
      <w:r>
        <w:rPr>
          <w:sz w:val="20"/>
          <w:szCs w:val="20"/>
        </w:rPr>
        <w:t>The following table sets forth information with respect to the executive officers of the Company as of December 31, 2019:</w:t>
      </w:r>
    </w:p>
    <w:p w14:paraId="7297C12D" w14:textId="77777777" w:rsidR="00000000" w:rsidRDefault="0053651E">
      <w:pPr>
        <w:pStyle w:val="a3"/>
        <w:spacing w:before="0" w:beforeAutospacing="0" w:after="0" w:afterAutospacing="0"/>
        <w:rPr>
          <w:sz w:val="20"/>
          <w:szCs w:val="20"/>
        </w:rPr>
      </w:pPr>
      <w:r>
        <w:rPr>
          <w:b/>
          <w:bCs/>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1355"/>
        <w:gridCol w:w="1355"/>
        <w:gridCol w:w="3188"/>
        <w:gridCol w:w="1993"/>
      </w:tblGrid>
      <w:tr w:rsidR="00000000" w14:paraId="3B546B65" w14:textId="77777777">
        <w:trPr>
          <w:tblCellSpacing w:w="0" w:type="dxa"/>
        </w:trPr>
        <w:tc>
          <w:tcPr>
            <w:tcW w:w="850" w:type="pct"/>
            <w:tcBorders>
              <w:bottom w:val="single" w:sz="6" w:space="0" w:color="000000"/>
            </w:tcBorders>
            <w:hideMark/>
          </w:tcPr>
          <w:p w14:paraId="42DADD0C" w14:textId="77777777" w:rsidR="00000000" w:rsidRDefault="0053651E">
            <w:pPr>
              <w:pStyle w:val="a3"/>
              <w:spacing w:before="0" w:beforeAutospacing="0" w:after="0" w:afterAutospacing="0"/>
              <w:rPr>
                <w:sz w:val="20"/>
                <w:szCs w:val="20"/>
              </w:rPr>
            </w:pPr>
            <w:r>
              <w:rPr>
                <w:b/>
                <w:bCs/>
                <w:sz w:val="20"/>
                <w:szCs w:val="20"/>
              </w:rPr>
              <w:t>Name</w:t>
            </w:r>
          </w:p>
        </w:tc>
        <w:tc>
          <w:tcPr>
            <w:tcW w:w="850" w:type="pct"/>
            <w:tcBorders>
              <w:bottom w:val="single" w:sz="6" w:space="0" w:color="000000"/>
            </w:tcBorders>
            <w:hideMark/>
          </w:tcPr>
          <w:p w14:paraId="615EFF62" w14:textId="77777777" w:rsidR="00000000" w:rsidRDefault="0053651E">
            <w:pPr>
              <w:pStyle w:val="a3"/>
              <w:spacing w:before="0" w:beforeAutospacing="0" w:after="0" w:afterAutospacing="0"/>
              <w:jc w:val="center"/>
              <w:rPr>
                <w:sz w:val="20"/>
                <w:szCs w:val="20"/>
              </w:rPr>
            </w:pPr>
            <w:r>
              <w:rPr>
                <w:b/>
                <w:bCs/>
                <w:sz w:val="20"/>
                <w:szCs w:val="20"/>
              </w:rPr>
              <w:t>Age</w:t>
            </w:r>
          </w:p>
        </w:tc>
        <w:tc>
          <w:tcPr>
            <w:tcW w:w="2000" w:type="pct"/>
            <w:tcBorders>
              <w:bottom w:val="single" w:sz="6" w:space="0" w:color="000000"/>
            </w:tcBorders>
            <w:hideMark/>
          </w:tcPr>
          <w:p w14:paraId="14782D45" w14:textId="77777777" w:rsidR="00000000" w:rsidRDefault="0053651E">
            <w:pPr>
              <w:pStyle w:val="a3"/>
              <w:spacing w:before="0" w:beforeAutospacing="0" w:after="0" w:afterAutospacing="0"/>
              <w:jc w:val="center"/>
              <w:rPr>
                <w:sz w:val="20"/>
                <w:szCs w:val="20"/>
              </w:rPr>
            </w:pPr>
            <w:r>
              <w:rPr>
                <w:b/>
                <w:bCs/>
                <w:sz w:val="20"/>
                <w:szCs w:val="20"/>
              </w:rPr>
              <w:t>Position</w:t>
            </w:r>
          </w:p>
        </w:tc>
        <w:tc>
          <w:tcPr>
            <w:tcW w:w="1250" w:type="pct"/>
            <w:tcBorders>
              <w:bottom w:val="single" w:sz="6" w:space="0" w:color="000000"/>
            </w:tcBorders>
            <w:hideMark/>
          </w:tcPr>
          <w:p w14:paraId="616D5B4C" w14:textId="77777777" w:rsidR="00000000" w:rsidRDefault="0053651E">
            <w:pPr>
              <w:pStyle w:val="a3"/>
              <w:spacing w:before="0" w:beforeAutospacing="0" w:after="0" w:afterAutospacing="0"/>
              <w:jc w:val="center"/>
              <w:rPr>
                <w:sz w:val="20"/>
                <w:szCs w:val="20"/>
              </w:rPr>
            </w:pPr>
            <w:r>
              <w:rPr>
                <w:b/>
                <w:bCs/>
                <w:sz w:val="20"/>
                <w:szCs w:val="20"/>
              </w:rPr>
              <w:t>Joined Kimco</w:t>
            </w:r>
          </w:p>
        </w:tc>
      </w:tr>
      <w:tr w:rsidR="00000000" w14:paraId="28AF1FD5" w14:textId="77777777">
        <w:trPr>
          <w:tblCellSpacing w:w="0" w:type="dxa"/>
        </w:trPr>
        <w:tc>
          <w:tcPr>
            <w:tcW w:w="850" w:type="pct"/>
            <w:tcBorders>
              <w:bottom w:val="nil"/>
            </w:tcBorders>
            <w:shd w:val="clear" w:color="auto" w:fill="CCEEFF"/>
            <w:vAlign w:val="center"/>
            <w:hideMark/>
          </w:tcPr>
          <w:p w14:paraId="30A8D40A" w14:textId="77777777" w:rsidR="00000000" w:rsidRDefault="0053651E">
            <w:pPr>
              <w:pStyle w:val="a3"/>
              <w:spacing w:before="0" w:beforeAutospacing="0" w:after="0" w:afterAutospacing="0"/>
              <w:jc w:val="both"/>
              <w:rPr>
                <w:sz w:val="20"/>
                <w:szCs w:val="20"/>
              </w:rPr>
            </w:pPr>
            <w:r>
              <w:rPr>
                <w:sz w:val="20"/>
                <w:szCs w:val="20"/>
              </w:rPr>
              <w:t>Milton Cooper</w:t>
            </w:r>
          </w:p>
        </w:tc>
        <w:tc>
          <w:tcPr>
            <w:tcW w:w="850" w:type="pct"/>
            <w:tcBorders>
              <w:bottom w:val="nil"/>
            </w:tcBorders>
            <w:shd w:val="clear" w:color="auto" w:fill="CCEEFF"/>
            <w:vAlign w:val="center"/>
            <w:hideMark/>
          </w:tcPr>
          <w:p w14:paraId="57DB4F02" w14:textId="77777777" w:rsidR="00000000" w:rsidRDefault="0053651E">
            <w:pPr>
              <w:pStyle w:val="a3"/>
              <w:spacing w:before="0" w:beforeAutospacing="0" w:after="0" w:afterAutospacing="0"/>
              <w:jc w:val="center"/>
              <w:rPr>
                <w:sz w:val="20"/>
                <w:szCs w:val="20"/>
              </w:rPr>
            </w:pPr>
            <w:r>
              <w:rPr>
                <w:sz w:val="20"/>
                <w:szCs w:val="20"/>
              </w:rPr>
              <w:t>90</w:t>
            </w:r>
          </w:p>
        </w:tc>
        <w:tc>
          <w:tcPr>
            <w:tcW w:w="2000" w:type="pct"/>
            <w:tcBorders>
              <w:bottom w:val="nil"/>
            </w:tcBorders>
            <w:shd w:val="clear" w:color="auto" w:fill="CCEEFF"/>
            <w:vAlign w:val="center"/>
            <w:hideMark/>
          </w:tcPr>
          <w:p w14:paraId="1372F598" w14:textId="77777777" w:rsidR="00000000" w:rsidRDefault="0053651E">
            <w:pPr>
              <w:pStyle w:val="a3"/>
              <w:spacing w:before="0" w:beforeAutospacing="0" w:after="0" w:afterAutospacing="0"/>
              <w:jc w:val="center"/>
              <w:rPr>
                <w:sz w:val="20"/>
                <w:szCs w:val="20"/>
              </w:rPr>
            </w:pPr>
            <w:r>
              <w:rPr>
                <w:sz w:val="20"/>
                <w:szCs w:val="20"/>
              </w:rPr>
              <w:t>Executive Chairman of the Board of Directors</w:t>
            </w:r>
          </w:p>
        </w:tc>
        <w:tc>
          <w:tcPr>
            <w:tcW w:w="1250" w:type="pct"/>
            <w:tcBorders>
              <w:bottom w:val="nil"/>
            </w:tcBorders>
            <w:shd w:val="clear" w:color="auto" w:fill="CCEEFF"/>
            <w:vAlign w:val="center"/>
            <w:hideMark/>
          </w:tcPr>
          <w:p w14:paraId="3C4470FB" w14:textId="77777777" w:rsidR="00000000" w:rsidRDefault="0053651E">
            <w:pPr>
              <w:pStyle w:val="a3"/>
              <w:spacing w:before="0" w:beforeAutospacing="0" w:after="0" w:afterAutospacing="0"/>
              <w:jc w:val="center"/>
              <w:rPr>
                <w:sz w:val="20"/>
                <w:szCs w:val="20"/>
              </w:rPr>
            </w:pPr>
            <w:r>
              <w:rPr>
                <w:sz w:val="20"/>
                <w:szCs w:val="20"/>
              </w:rPr>
              <w:t>Co-Founder</w:t>
            </w:r>
          </w:p>
        </w:tc>
      </w:tr>
      <w:tr w:rsidR="00000000" w14:paraId="0DE6668B" w14:textId="77777777">
        <w:trPr>
          <w:tblCellSpacing w:w="0" w:type="dxa"/>
        </w:trPr>
        <w:tc>
          <w:tcPr>
            <w:tcW w:w="850" w:type="pct"/>
            <w:shd w:val="clear" w:color="auto" w:fill="FFFFFF"/>
            <w:vAlign w:val="center"/>
            <w:hideMark/>
          </w:tcPr>
          <w:p w14:paraId="6164EF44" w14:textId="77777777" w:rsidR="00000000" w:rsidRDefault="0053651E">
            <w:pPr>
              <w:pStyle w:val="a3"/>
              <w:spacing w:before="0" w:beforeAutospacing="0" w:after="0" w:afterAutospacing="0"/>
              <w:jc w:val="both"/>
              <w:rPr>
                <w:sz w:val="20"/>
                <w:szCs w:val="20"/>
              </w:rPr>
            </w:pPr>
            <w:r>
              <w:rPr>
                <w:sz w:val="20"/>
                <w:szCs w:val="20"/>
              </w:rPr>
              <w:t>Conor C. Flynn</w:t>
            </w:r>
          </w:p>
        </w:tc>
        <w:tc>
          <w:tcPr>
            <w:tcW w:w="850" w:type="pct"/>
            <w:shd w:val="clear" w:color="auto" w:fill="FFFFFF"/>
            <w:vAlign w:val="center"/>
            <w:hideMark/>
          </w:tcPr>
          <w:p w14:paraId="783BE914" w14:textId="77777777" w:rsidR="00000000" w:rsidRDefault="0053651E">
            <w:pPr>
              <w:pStyle w:val="a3"/>
              <w:spacing w:before="0" w:beforeAutospacing="0" w:after="0" w:afterAutospacing="0"/>
              <w:jc w:val="center"/>
              <w:rPr>
                <w:sz w:val="20"/>
                <w:szCs w:val="20"/>
              </w:rPr>
            </w:pPr>
            <w:r>
              <w:rPr>
                <w:sz w:val="20"/>
                <w:szCs w:val="20"/>
              </w:rPr>
              <w:t>39</w:t>
            </w:r>
          </w:p>
        </w:tc>
        <w:tc>
          <w:tcPr>
            <w:tcW w:w="2000" w:type="pct"/>
            <w:shd w:val="clear" w:color="auto" w:fill="FFFFFF"/>
            <w:vAlign w:val="center"/>
            <w:hideMark/>
          </w:tcPr>
          <w:p w14:paraId="2D699B41" w14:textId="77777777" w:rsidR="00000000" w:rsidRDefault="0053651E">
            <w:pPr>
              <w:pStyle w:val="a3"/>
              <w:spacing w:before="0" w:beforeAutospacing="0" w:after="0" w:afterAutospacing="0"/>
              <w:jc w:val="center"/>
              <w:rPr>
                <w:sz w:val="20"/>
                <w:szCs w:val="20"/>
              </w:rPr>
            </w:pPr>
            <w:r>
              <w:rPr>
                <w:sz w:val="20"/>
                <w:szCs w:val="20"/>
              </w:rPr>
              <w:t>Chief Executive Officer</w:t>
            </w:r>
          </w:p>
        </w:tc>
        <w:tc>
          <w:tcPr>
            <w:tcW w:w="1250" w:type="pct"/>
            <w:shd w:val="clear" w:color="auto" w:fill="FFFFFF"/>
            <w:vAlign w:val="center"/>
            <w:hideMark/>
          </w:tcPr>
          <w:p w14:paraId="4775D12C" w14:textId="77777777" w:rsidR="00000000" w:rsidRDefault="0053651E">
            <w:pPr>
              <w:pStyle w:val="a3"/>
              <w:spacing w:before="0" w:beforeAutospacing="0" w:after="0" w:afterAutospacing="0"/>
              <w:jc w:val="center"/>
              <w:rPr>
                <w:sz w:val="20"/>
                <w:szCs w:val="20"/>
              </w:rPr>
            </w:pPr>
            <w:r>
              <w:rPr>
                <w:sz w:val="20"/>
                <w:szCs w:val="20"/>
              </w:rPr>
              <w:t>2003</w:t>
            </w:r>
          </w:p>
        </w:tc>
      </w:tr>
      <w:tr w:rsidR="00000000" w14:paraId="10D39DDC" w14:textId="77777777">
        <w:trPr>
          <w:tblCellSpacing w:w="0" w:type="dxa"/>
        </w:trPr>
        <w:tc>
          <w:tcPr>
            <w:tcW w:w="850" w:type="pct"/>
            <w:shd w:val="clear" w:color="auto" w:fill="CCEEFF"/>
            <w:vAlign w:val="center"/>
            <w:hideMark/>
          </w:tcPr>
          <w:p w14:paraId="5AF8A901" w14:textId="77777777" w:rsidR="00000000" w:rsidRDefault="0053651E">
            <w:pPr>
              <w:pStyle w:val="a3"/>
              <w:spacing w:before="0" w:beforeAutospacing="0" w:after="0" w:afterAutospacing="0"/>
              <w:jc w:val="both"/>
              <w:rPr>
                <w:sz w:val="20"/>
                <w:szCs w:val="20"/>
              </w:rPr>
            </w:pPr>
            <w:r>
              <w:rPr>
                <w:sz w:val="20"/>
                <w:szCs w:val="20"/>
              </w:rPr>
              <w:t>Ross Cooper</w:t>
            </w:r>
          </w:p>
        </w:tc>
        <w:tc>
          <w:tcPr>
            <w:tcW w:w="850" w:type="pct"/>
            <w:shd w:val="clear" w:color="auto" w:fill="CCEEFF"/>
            <w:vAlign w:val="center"/>
            <w:hideMark/>
          </w:tcPr>
          <w:p w14:paraId="10786249" w14:textId="77777777" w:rsidR="00000000" w:rsidRDefault="0053651E">
            <w:pPr>
              <w:pStyle w:val="a3"/>
              <w:spacing w:before="0" w:beforeAutospacing="0" w:after="0" w:afterAutospacing="0"/>
              <w:jc w:val="center"/>
              <w:rPr>
                <w:sz w:val="20"/>
                <w:szCs w:val="20"/>
              </w:rPr>
            </w:pPr>
            <w:r>
              <w:rPr>
                <w:sz w:val="20"/>
                <w:szCs w:val="20"/>
              </w:rPr>
              <w:t>37</w:t>
            </w:r>
          </w:p>
        </w:tc>
        <w:tc>
          <w:tcPr>
            <w:tcW w:w="2000" w:type="pct"/>
            <w:shd w:val="clear" w:color="auto" w:fill="CCEEFF"/>
            <w:vAlign w:val="center"/>
            <w:hideMark/>
          </w:tcPr>
          <w:p w14:paraId="755F329A" w14:textId="77777777" w:rsidR="00000000" w:rsidRDefault="0053651E">
            <w:pPr>
              <w:pStyle w:val="a3"/>
              <w:spacing w:before="0" w:beforeAutospacing="0" w:after="0" w:afterAutospacing="0"/>
              <w:jc w:val="center"/>
              <w:rPr>
                <w:sz w:val="20"/>
                <w:szCs w:val="20"/>
              </w:rPr>
            </w:pPr>
            <w:r>
              <w:rPr>
                <w:sz w:val="20"/>
                <w:szCs w:val="20"/>
              </w:rPr>
              <w:t>President and Chief Investment Officer</w:t>
            </w:r>
          </w:p>
        </w:tc>
        <w:tc>
          <w:tcPr>
            <w:tcW w:w="1250" w:type="pct"/>
            <w:shd w:val="clear" w:color="auto" w:fill="CCEEFF"/>
            <w:vAlign w:val="center"/>
            <w:hideMark/>
          </w:tcPr>
          <w:p w14:paraId="602544F7" w14:textId="77777777" w:rsidR="00000000" w:rsidRDefault="0053651E">
            <w:pPr>
              <w:pStyle w:val="a3"/>
              <w:spacing w:before="0" w:beforeAutospacing="0" w:after="0" w:afterAutospacing="0"/>
              <w:jc w:val="center"/>
              <w:rPr>
                <w:sz w:val="20"/>
                <w:szCs w:val="20"/>
              </w:rPr>
            </w:pPr>
            <w:r>
              <w:rPr>
                <w:sz w:val="20"/>
                <w:szCs w:val="20"/>
              </w:rPr>
              <w:t>2006 </w:t>
            </w:r>
          </w:p>
        </w:tc>
      </w:tr>
      <w:tr w:rsidR="00000000" w14:paraId="34DFCDD3" w14:textId="77777777">
        <w:trPr>
          <w:tblCellSpacing w:w="0" w:type="dxa"/>
        </w:trPr>
        <w:tc>
          <w:tcPr>
            <w:tcW w:w="850" w:type="pct"/>
            <w:shd w:val="clear" w:color="auto" w:fill="FFFFFF"/>
            <w:vAlign w:val="center"/>
            <w:hideMark/>
          </w:tcPr>
          <w:p w14:paraId="215BCA81" w14:textId="77777777" w:rsidR="00000000" w:rsidRDefault="0053651E">
            <w:pPr>
              <w:pStyle w:val="a3"/>
              <w:spacing w:before="0" w:beforeAutospacing="0" w:after="0" w:afterAutospacing="0"/>
              <w:jc w:val="both"/>
              <w:rPr>
                <w:sz w:val="20"/>
                <w:szCs w:val="20"/>
              </w:rPr>
            </w:pPr>
            <w:r>
              <w:rPr>
                <w:sz w:val="20"/>
                <w:szCs w:val="20"/>
              </w:rPr>
              <w:t>Glenn G. Cohen</w:t>
            </w:r>
          </w:p>
        </w:tc>
        <w:tc>
          <w:tcPr>
            <w:tcW w:w="850" w:type="pct"/>
            <w:shd w:val="clear" w:color="auto" w:fill="FFFFFF"/>
            <w:vAlign w:val="center"/>
            <w:hideMark/>
          </w:tcPr>
          <w:p w14:paraId="59747893" w14:textId="77777777" w:rsidR="00000000" w:rsidRDefault="0053651E">
            <w:pPr>
              <w:pStyle w:val="a3"/>
              <w:spacing w:before="0" w:beforeAutospacing="0" w:after="0" w:afterAutospacing="0"/>
              <w:jc w:val="center"/>
              <w:rPr>
                <w:sz w:val="20"/>
                <w:szCs w:val="20"/>
              </w:rPr>
            </w:pPr>
            <w:r>
              <w:rPr>
                <w:sz w:val="20"/>
                <w:szCs w:val="20"/>
              </w:rPr>
              <w:t>55</w:t>
            </w:r>
          </w:p>
        </w:tc>
        <w:tc>
          <w:tcPr>
            <w:tcW w:w="2000" w:type="pct"/>
            <w:shd w:val="clear" w:color="auto" w:fill="FFFFFF"/>
            <w:vAlign w:val="center"/>
            <w:hideMark/>
          </w:tcPr>
          <w:p w14:paraId="644284B4" w14:textId="77777777" w:rsidR="00000000" w:rsidRDefault="0053651E">
            <w:pPr>
              <w:pStyle w:val="a3"/>
              <w:spacing w:before="0" w:beforeAutospacing="0" w:after="0" w:afterAutospacing="0"/>
              <w:jc w:val="center"/>
              <w:rPr>
                <w:sz w:val="20"/>
                <w:szCs w:val="20"/>
              </w:rPr>
            </w:pPr>
            <w:r>
              <w:rPr>
                <w:sz w:val="20"/>
                <w:szCs w:val="20"/>
              </w:rPr>
              <w:t>Executive Vice President,</w:t>
            </w:r>
            <w:r>
              <w:rPr>
                <w:sz w:val="20"/>
                <w:szCs w:val="20"/>
              </w:rPr>
              <w:br/>
              <w:t>Chief Financial Officer and Treasurer</w:t>
            </w:r>
          </w:p>
        </w:tc>
        <w:tc>
          <w:tcPr>
            <w:tcW w:w="1250" w:type="pct"/>
            <w:shd w:val="clear" w:color="auto" w:fill="FFFFFF"/>
            <w:vAlign w:val="center"/>
            <w:hideMark/>
          </w:tcPr>
          <w:p w14:paraId="66E9DD68" w14:textId="77777777" w:rsidR="00000000" w:rsidRDefault="0053651E">
            <w:pPr>
              <w:pStyle w:val="a3"/>
              <w:spacing w:before="0" w:beforeAutospacing="0" w:after="0" w:afterAutospacing="0"/>
              <w:jc w:val="center"/>
              <w:rPr>
                <w:sz w:val="20"/>
                <w:szCs w:val="20"/>
              </w:rPr>
            </w:pPr>
            <w:r>
              <w:rPr>
                <w:sz w:val="20"/>
                <w:szCs w:val="20"/>
              </w:rPr>
              <w:t>1995</w:t>
            </w:r>
          </w:p>
        </w:tc>
      </w:tr>
      <w:tr w:rsidR="00000000" w14:paraId="002C9AE1" w14:textId="77777777">
        <w:trPr>
          <w:tblCellSpacing w:w="0" w:type="dxa"/>
        </w:trPr>
        <w:tc>
          <w:tcPr>
            <w:tcW w:w="850" w:type="pct"/>
            <w:shd w:val="clear" w:color="auto" w:fill="CCEEFF"/>
            <w:vAlign w:val="center"/>
            <w:hideMark/>
          </w:tcPr>
          <w:p w14:paraId="08E7F8D7" w14:textId="77777777" w:rsidR="00000000" w:rsidRDefault="0053651E">
            <w:pPr>
              <w:pStyle w:val="a3"/>
              <w:spacing w:before="0" w:beforeAutospacing="0" w:after="0" w:afterAutospacing="0"/>
              <w:jc w:val="both"/>
              <w:rPr>
                <w:sz w:val="20"/>
                <w:szCs w:val="20"/>
              </w:rPr>
            </w:pPr>
            <w:r>
              <w:rPr>
                <w:sz w:val="20"/>
                <w:szCs w:val="20"/>
              </w:rPr>
              <w:t>David Jamieson</w:t>
            </w:r>
          </w:p>
        </w:tc>
        <w:tc>
          <w:tcPr>
            <w:tcW w:w="850" w:type="pct"/>
            <w:shd w:val="clear" w:color="auto" w:fill="CCEEFF"/>
            <w:vAlign w:val="center"/>
            <w:hideMark/>
          </w:tcPr>
          <w:p w14:paraId="4641F3C5" w14:textId="77777777" w:rsidR="00000000" w:rsidRDefault="0053651E">
            <w:pPr>
              <w:pStyle w:val="a3"/>
              <w:spacing w:before="0" w:beforeAutospacing="0" w:after="0" w:afterAutospacing="0"/>
              <w:jc w:val="center"/>
              <w:rPr>
                <w:sz w:val="20"/>
                <w:szCs w:val="20"/>
              </w:rPr>
            </w:pPr>
            <w:r>
              <w:rPr>
                <w:sz w:val="20"/>
                <w:szCs w:val="20"/>
              </w:rPr>
              <w:t>39</w:t>
            </w:r>
          </w:p>
        </w:tc>
        <w:tc>
          <w:tcPr>
            <w:tcW w:w="2000" w:type="pct"/>
            <w:shd w:val="clear" w:color="auto" w:fill="CCEEFF"/>
            <w:vAlign w:val="center"/>
            <w:hideMark/>
          </w:tcPr>
          <w:p w14:paraId="6B31B816" w14:textId="77777777" w:rsidR="00000000" w:rsidRDefault="0053651E">
            <w:pPr>
              <w:pStyle w:val="a3"/>
              <w:spacing w:before="0" w:beforeAutospacing="0" w:after="0" w:afterAutospacing="0"/>
              <w:jc w:val="center"/>
              <w:rPr>
                <w:sz w:val="20"/>
                <w:szCs w:val="20"/>
              </w:rPr>
            </w:pPr>
            <w:r>
              <w:rPr>
                <w:sz w:val="20"/>
                <w:szCs w:val="20"/>
              </w:rPr>
              <w:t>Executive Vice President,</w:t>
            </w:r>
            <w:r>
              <w:rPr>
                <w:sz w:val="20"/>
                <w:szCs w:val="20"/>
              </w:rPr>
              <w:br/>
              <w:t>Chief Operating Officer</w:t>
            </w:r>
          </w:p>
        </w:tc>
        <w:tc>
          <w:tcPr>
            <w:tcW w:w="1250" w:type="pct"/>
            <w:shd w:val="clear" w:color="auto" w:fill="CCEEFF"/>
            <w:vAlign w:val="center"/>
            <w:hideMark/>
          </w:tcPr>
          <w:p w14:paraId="6D7016EE" w14:textId="77777777" w:rsidR="00000000" w:rsidRDefault="0053651E">
            <w:pPr>
              <w:pStyle w:val="a3"/>
              <w:spacing w:before="0" w:beforeAutospacing="0" w:after="0" w:afterAutospacing="0"/>
              <w:jc w:val="center"/>
              <w:rPr>
                <w:sz w:val="20"/>
                <w:szCs w:val="20"/>
              </w:rPr>
            </w:pPr>
            <w:r>
              <w:rPr>
                <w:sz w:val="20"/>
                <w:szCs w:val="20"/>
              </w:rPr>
              <w:t>2007</w:t>
            </w:r>
          </w:p>
        </w:tc>
      </w:tr>
    </w:tbl>
    <w:p w14:paraId="4A3E6B4D" w14:textId="77777777" w:rsidR="00000000" w:rsidRDefault="0053651E">
      <w:pPr>
        <w:pStyle w:val="a3"/>
        <w:spacing w:before="0" w:beforeAutospacing="0" w:after="0" w:afterAutospacing="0"/>
        <w:ind w:firstLine="360"/>
        <w:jc w:val="both"/>
        <w:rPr>
          <w:sz w:val="20"/>
          <w:szCs w:val="20"/>
        </w:rPr>
      </w:pPr>
      <w:r>
        <w:rPr>
          <w:sz w:val="20"/>
          <w:szCs w:val="20"/>
        </w:rPr>
        <w:t> </w:t>
      </w:r>
    </w:p>
    <w:p w14:paraId="57A74057" w14:textId="77777777" w:rsidR="00000000" w:rsidRDefault="0053651E">
      <w:pPr>
        <w:pStyle w:val="a3"/>
        <w:spacing w:before="0" w:beforeAutospacing="0" w:after="0" w:afterAutospacing="0"/>
        <w:rPr>
          <w:sz w:val="20"/>
          <w:szCs w:val="20"/>
        </w:rPr>
      </w:pPr>
      <w:r>
        <w:rPr>
          <w:sz w:val="20"/>
          <w:szCs w:val="20"/>
          <w:u w:val="single"/>
        </w:rPr>
        <w:t>Item 1A. Risk Factors</w:t>
      </w:r>
    </w:p>
    <w:p w14:paraId="465C29E3" w14:textId="77777777" w:rsidR="00000000" w:rsidRDefault="0053651E">
      <w:pPr>
        <w:pStyle w:val="a3"/>
        <w:spacing w:before="0" w:beforeAutospacing="0" w:after="0" w:afterAutospacing="0"/>
        <w:ind w:firstLine="360"/>
        <w:rPr>
          <w:sz w:val="20"/>
          <w:szCs w:val="20"/>
        </w:rPr>
      </w:pPr>
      <w:r>
        <w:rPr>
          <w:sz w:val="20"/>
          <w:szCs w:val="20"/>
        </w:rPr>
        <w:t> </w:t>
      </w:r>
    </w:p>
    <w:p w14:paraId="58BFD2F6" w14:textId="77777777" w:rsidR="00000000" w:rsidRDefault="0053651E">
      <w:pPr>
        <w:pStyle w:val="a3"/>
        <w:spacing w:before="0" w:beforeAutospacing="0" w:after="0" w:afterAutospacing="0"/>
        <w:ind w:firstLine="360"/>
        <w:rPr>
          <w:sz w:val="20"/>
          <w:szCs w:val="20"/>
        </w:rPr>
      </w:pPr>
      <w:r>
        <w:rPr>
          <w:sz w:val="20"/>
          <w:szCs w:val="20"/>
        </w:rPr>
        <w:t>We are subject to certain business and legal risks including, but not limited to, the following:</w:t>
      </w:r>
    </w:p>
    <w:p w14:paraId="520D1DFA" w14:textId="77777777" w:rsidR="00000000" w:rsidRDefault="0053651E">
      <w:pPr>
        <w:pStyle w:val="a3"/>
        <w:spacing w:before="0" w:beforeAutospacing="0" w:after="0" w:afterAutospacing="0"/>
        <w:jc w:val="both"/>
        <w:rPr>
          <w:sz w:val="20"/>
          <w:szCs w:val="20"/>
        </w:rPr>
      </w:pPr>
      <w:r>
        <w:rPr>
          <w:sz w:val="20"/>
          <w:szCs w:val="20"/>
        </w:rPr>
        <w:t> </w:t>
      </w:r>
    </w:p>
    <w:p w14:paraId="5C43EE43" w14:textId="77777777" w:rsidR="00000000" w:rsidRDefault="0053651E">
      <w:pPr>
        <w:jc w:val="center"/>
        <w:divId w:val="1787580219"/>
        <w:rPr>
          <w:rFonts w:eastAsia="Times New Roman"/>
          <w:sz w:val="20"/>
          <w:szCs w:val="20"/>
        </w:rPr>
      </w:pPr>
      <w:r>
        <w:rPr>
          <w:rFonts w:eastAsia="Times New Roman"/>
          <w:sz w:val="20"/>
          <w:szCs w:val="20"/>
        </w:rPr>
        <w:t xml:space="preserve">6 </w:t>
      </w:r>
    </w:p>
    <w:p w14:paraId="35187681" w14:textId="77777777" w:rsidR="00000000" w:rsidRDefault="0053651E">
      <w:pPr>
        <w:divId w:val="1787580219"/>
        <w:rPr>
          <w:rFonts w:eastAsia="Times New Roman"/>
          <w:sz w:val="20"/>
          <w:szCs w:val="20"/>
        </w:rPr>
      </w:pPr>
      <w:r>
        <w:rPr>
          <w:rFonts w:eastAsia="Times New Roman"/>
          <w:sz w:val="20"/>
          <w:szCs w:val="20"/>
        </w:rPr>
        <w:pict w14:anchorId="31B1D802">
          <v:rect id="_x0000_i1035" style="width:0;height:1.5pt" o:hralign="center" o:hrstd="t" o:hr="t" fillcolor="#a0a0a0" stroked="f"/>
        </w:pict>
      </w:r>
    </w:p>
    <w:p w14:paraId="0686F780" w14:textId="77777777" w:rsidR="00000000" w:rsidRDefault="0053651E">
      <w:pPr>
        <w:divId w:val="17875802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2D1ABAA" w14:textId="77777777" w:rsidR="00000000" w:rsidRDefault="0053651E">
      <w:pPr>
        <w:pStyle w:val="a3"/>
        <w:spacing w:before="0" w:beforeAutospacing="0" w:after="0" w:afterAutospacing="0"/>
        <w:rPr>
          <w:sz w:val="20"/>
          <w:szCs w:val="20"/>
        </w:rPr>
      </w:pPr>
      <w:r>
        <w:rPr>
          <w:sz w:val="20"/>
          <w:szCs w:val="20"/>
        </w:rPr>
        <w:t> </w:t>
      </w:r>
    </w:p>
    <w:p w14:paraId="40B35B25" w14:textId="77777777" w:rsidR="00000000" w:rsidRDefault="0053651E">
      <w:pPr>
        <w:pStyle w:val="a3"/>
        <w:spacing w:before="0" w:beforeAutospacing="0" w:after="0" w:afterAutospacing="0"/>
        <w:ind w:firstLine="360"/>
        <w:rPr>
          <w:sz w:val="20"/>
          <w:szCs w:val="20"/>
        </w:rPr>
      </w:pPr>
      <w:r>
        <w:rPr>
          <w:b/>
          <w:bCs/>
          <w:sz w:val="20"/>
          <w:szCs w:val="20"/>
          <w:u w:val="single"/>
        </w:rPr>
        <w:t>Risks Related to Our Business and Operations</w:t>
      </w:r>
    </w:p>
    <w:p w14:paraId="3BBC71BC" w14:textId="77777777" w:rsidR="00000000" w:rsidRDefault="0053651E">
      <w:pPr>
        <w:pStyle w:val="a3"/>
        <w:spacing w:before="0" w:beforeAutospacing="0" w:after="0" w:afterAutospacing="0"/>
        <w:ind w:firstLine="360"/>
        <w:rPr>
          <w:sz w:val="20"/>
          <w:szCs w:val="20"/>
        </w:rPr>
      </w:pPr>
      <w:r>
        <w:rPr>
          <w:sz w:val="20"/>
          <w:szCs w:val="20"/>
        </w:rPr>
        <w:t> </w:t>
      </w:r>
    </w:p>
    <w:p w14:paraId="47641B3A" w14:textId="77777777" w:rsidR="00000000" w:rsidRDefault="0053651E">
      <w:pPr>
        <w:pStyle w:val="a3"/>
        <w:spacing w:before="0" w:beforeAutospacing="0" w:after="0" w:afterAutospacing="0"/>
        <w:ind w:firstLine="360"/>
        <w:jc w:val="both"/>
        <w:rPr>
          <w:sz w:val="20"/>
          <w:szCs w:val="20"/>
        </w:rPr>
      </w:pPr>
      <w:r>
        <w:rPr>
          <w:b/>
          <w:bCs/>
          <w:sz w:val="20"/>
          <w:szCs w:val="20"/>
        </w:rPr>
        <w:t xml:space="preserve">Adverse global market and economic conditions may impede our ability to generate sufficient income and maintain our properties. </w:t>
      </w:r>
    </w:p>
    <w:p w14:paraId="6675696B" w14:textId="77777777" w:rsidR="00000000" w:rsidRDefault="0053651E">
      <w:pPr>
        <w:pStyle w:val="a3"/>
        <w:spacing w:before="0" w:beforeAutospacing="0" w:after="0" w:afterAutospacing="0"/>
        <w:ind w:firstLine="360"/>
        <w:jc w:val="both"/>
        <w:rPr>
          <w:sz w:val="20"/>
          <w:szCs w:val="20"/>
        </w:rPr>
      </w:pPr>
      <w:r>
        <w:rPr>
          <w:sz w:val="20"/>
          <w:szCs w:val="20"/>
        </w:rPr>
        <w:t> </w:t>
      </w:r>
    </w:p>
    <w:p w14:paraId="415A168C" w14:textId="77777777" w:rsidR="00000000" w:rsidRDefault="0053651E">
      <w:pPr>
        <w:pStyle w:val="a3"/>
        <w:spacing w:before="0" w:beforeAutospacing="0" w:after="0" w:afterAutospacing="0"/>
        <w:ind w:firstLine="360"/>
        <w:jc w:val="both"/>
        <w:rPr>
          <w:sz w:val="20"/>
          <w:szCs w:val="20"/>
        </w:rPr>
      </w:pPr>
      <w:r>
        <w:rPr>
          <w:sz w:val="20"/>
          <w:szCs w:val="20"/>
        </w:rPr>
        <w:t>Our properties consist primarily of open-air shopping centers and other retail</w:t>
      </w:r>
      <w:r>
        <w:rPr>
          <w:sz w:val="20"/>
          <w:szCs w:val="20"/>
        </w:rPr>
        <w:t xml:space="preserve"> properties. Our performance, therefore, is generally linked to economic conditions in the market for retail space. The economic performance and value of our properties is subject to all of the risks associated with owning and operating real estate, includ</w:t>
      </w:r>
      <w:r>
        <w:rPr>
          <w:sz w:val="20"/>
          <w:szCs w:val="20"/>
        </w:rPr>
        <w:t>ing but not limited to:</w:t>
      </w:r>
    </w:p>
    <w:p w14:paraId="381FC92F"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E2A7FF8" w14:textId="77777777">
        <w:trPr>
          <w:tblCellSpacing w:w="0" w:type="dxa"/>
        </w:trPr>
        <w:tc>
          <w:tcPr>
            <w:tcW w:w="360" w:type="dxa"/>
            <w:vAlign w:val="center"/>
            <w:hideMark/>
          </w:tcPr>
          <w:p w14:paraId="3675DF20" w14:textId="77777777" w:rsidR="00000000" w:rsidRDefault="0053651E">
            <w:pPr>
              <w:rPr>
                <w:rFonts w:eastAsia="Times New Roman"/>
                <w:sz w:val="20"/>
                <w:szCs w:val="20"/>
              </w:rPr>
            </w:pPr>
            <w:r>
              <w:rPr>
                <w:rFonts w:eastAsia="Times New Roman"/>
                <w:sz w:val="20"/>
                <w:szCs w:val="20"/>
              </w:rPr>
              <w:t> </w:t>
            </w:r>
          </w:p>
        </w:tc>
        <w:tc>
          <w:tcPr>
            <w:tcW w:w="360" w:type="dxa"/>
            <w:hideMark/>
          </w:tcPr>
          <w:p w14:paraId="62FD9A4D"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6156759" w14:textId="77777777" w:rsidR="00000000" w:rsidRDefault="0053651E">
            <w:pPr>
              <w:pStyle w:val="a3"/>
              <w:spacing w:before="0" w:beforeAutospacing="0" w:after="0" w:afterAutospacing="0"/>
              <w:rPr>
                <w:sz w:val="20"/>
                <w:szCs w:val="20"/>
              </w:rPr>
            </w:pPr>
            <w:r>
              <w:rPr>
                <w:sz w:val="20"/>
                <w:szCs w:val="20"/>
              </w:rPr>
              <w:t>changes in the national, regional and local economic climate;</w:t>
            </w:r>
          </w:p>
        </w:tc>
      </w:tr>
    </w:tbl>
    <w:p w14:paraId="6F7C479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13BC7CC" w14:textId="77777777">
        <w:trPr>
          <w:tblCellSpacing w:w="0" w:type="dxa"/>
        </w:trPr>
        <w:tc>
          <w:tcPr>
            <w:tcW w:w="360" w:type="dxa"/>
            <w:vAlign w:val="center"/>
            <w:hideMark/>
          </w:tcPr>
          <w:p w14:paraId="0DD3B830" w14:textId="77777777" w:rsidR="00000000" w:rsidRDefault="0053651E">
            <w:pPr>
              <w:rPr>
                <w:rFonts w:eastAsia="Times New Roman"/>
                <w:sz w:val="20"/>
                <w:szCs w:val="20"/>
              </w:rPr>
            </w:pPr>
            <w:r>
              <w:rPr>
                <w:rFonts w:eastAsia="Times New Roman"/>
                <w:sz w:val="20"/>
                <w:szCs w:val="20"/>
              </w:rPr>
              <w:t> </w:t>
            </w:r>
          </w:p>
        </w:tc>
        <w:tc>
          <w:tcPr>
            <w:tcW w:w="360" w:type="dxa"/>
            <w:hideMark/>
          </w:tcPr>
          <w:p w14:paraId="0E4DC9CE"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943986F" w14:textId="77777777" w:rsidR="00000000" w:rsidRDefault="0053651E">
            <w:pPr>
              <w:pStyle w:val="a3"/>
              <w:spacing w:before="0" w:beforeAutospacing="0" w:after="0" w:afterAutospacing="0"/>
              <w:rPr>
                <w:sz w:val="20"/>
                <w:szCs w:val="20"/>
              </w:rPr>
            </w:pPr>
            <w:r>
              <w:rPr>
                <w:sz w:val="20"/>
                <w:szCs w:val="20"/>
              </w:rPr>
              <w:t>local conditions, including an oversupply of, or a reduction in demand for, space in properties like those that we own;</w:t>
            </w:r>
          </w:p>
        </w:tc>
      </w:tr>
    </w:tbl>
    <w:p w14:paraId="3D6C9F0C"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1251160" w14:textId="77777777">
        <w:trPr>
          <w:tblCellSpacing w:w="0" w:type="dxa"/>
        </w:trPr>
        <w:tc>
          <w:tcPr>
            <w:tcW w:w="360" w:type="dxa"/>
            <w:vAlign w:val="center"/>
            <w:hideMark/>
          </w:tcPr>
          <w:p w14:paraId="0B1E6335" w14:textId="77777777" w:rsidR="00000000" w:rsidRDefault="0053651E">
            <w:pPr>
              <w:rPr>
                <w:rFonts w:eastAsia="Times New Roman"/>
                <w:sz w:val="20"/>
                <w:szCs w:val="20"/>
              </w:rPr>
            </w:pPr>
            <w:r>
              <w:rPr>
                <w:rFonts w:eastAsia="Times New Roman"/>
                <w:sz w:val="20"/>
                <w:szCs w:val="20"/>
              </w:rPr>
              <w:t> </w:t>
            </w:r>
          </w:p>
        </w:tc>
        <w:tc>
          <w:tcPr>
            <w:tcW w:w="360" w:type="dxa"/>
            <w:hideMark/>
          </w:tcPr>
          <w:p w14:paraId="27D0A58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A6BB5AB" w14:textId="77777777" w:rsidR="00000000" w:rsidRDefault="0053651E">
            <w:pPr>
              <w:pStyle w:val="a3"/>
              <w:spacing w:before="0" w:beforeAutospacing="0" w:after="0" w:afterAutospacing="0"/>
              <w:rPr>
                <w:sz w:val="20"/>
                <w:szCs w:val="20"/>
              </w:rPr>
            </w:pPr>
            <w:r>
              <w:rPr>
                <w:sz w:val="20"/>
                <w:szCs w:val="20"/>
              </w:rPr>
              <w:t>trends toward smaller store sizes as retailers reduce inventory and develop new prototypes;</w:t>
            </w:r>
          </w:p>
        </w:tc>
      </w:tr>
    </w:tbl>
    <w:p w14:paraId="661868D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7A125AC" w14:textId="77777777">
        <w:trPr>
          <w:tblCellSpacing w:w="0" w:type="dxa"/>
        </w:trPr>
        <w:tc>
          <w:tcPr>
            <w:tcW w:w="360" w:type="dxa"/>
            <w:vAlign w:val="center"/>
            <w:hideMark/>
          </w:tcPr>
          <w:p w14:paraId="5179E4B4" w14:textId="77777777" w:rsidR="00000000" w:rsidRDefault="0053651E">
            <w:pPr>
              <w:rPr>
                <w:rFonts w:eastAsia="Times New Roman"/>
                <w:sz w:val="20"/>
                <w:szCs w:val="20"/>
              </w:rPr>
            </w:pPr>
            <w:r>
              <w:rPr>
                <w:rFonts w:eastAsia="Times New Roman"/>
                <w:sz w:val="20"/>
                <w:szCs w:val="20"/>
              </w:rPr>
              <w:t> </w:t>
            </w:r>
          </w:p>
        </w:tc>
        <w:tc>
          <w:tcPr>
            <w:tcW w:w="360" w:type="dxa"/>
            <w:hideMark/>
          </w:tcPr>
          <w:p w14:paraId="4C47B1DE"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57F81BD" w14:textId="77777777" w:rsidR="00000000" w:rsidRDefault="0053651E">
            <w:pPr>
              <w:pStyle w:val="a3"/>
              <w:spacing w:before="0" w:beforeAutospacing="0" w:after="0" w:afterAutospacing="0"/>
              <w:rPr>
                <w:sz w:val="20"/>
                <w:szCs w:val="20"/>
              </w:rPr>
            </w:pPr>
            <w:r>
              <w:rPr>
                <w:sz w:val="20"/>
                <w:szCs w:val="20"/>
              </w:rPr>
              <w:t>increasing use by customers of e</w:t>
            </w:r>
            <w:r>
              <w:rPr>
                <w:sz w:val="20"/>
                <w:szCs w:val="20"/>
              </w:rPr>
              <w:t>-commerce and online store sites;</w:t>
            </w:r>
          </w:p>
        </w:tc>
      </w:tr>
    </w:tbl>
    <w:p w14:paraId="3C2F149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241BC90" w14:textId="77777777">
        <w:trPr>
          <w:tblCellSpacing w:w="0" w:type="dxa"/>
        </w:trPr>
        <w:tc>
          <w:tcPr>
            <w:tcW w:w="360" w:type="dxa"/>
            <w:vAlign w:val="center"/>
            <w:hideMark/>
          </w:tcPr>
          <w:p w14:paraId="7536E922" w14:textId="77777777" w:rsidR="00000000" w:rsidRDefault="0053651E">
            <w:pPr>
              <w:rPr>
                <w:rFonts w:eastAsia="Times New Roman"/>
                <w:sz w:val="20"/>
                <w:szCs w:val="20"/>
              </w:rPr>
            </w:pPr>
            <w:r>
              <w:rPr>
                <w:rFonts w:eastAsia="Times New Roman"/>
                <w:sz w:val="20"/>
                <w:szCs w:val="20"/>
              </w:rPr>
              <w:t> </w:t>
            </w:r>
          </w:p>
        </w:tc>
        <w:tc>
          <w:tcPr>
            <w:tcW w:w="360" w:type="dxa"/>
            <w:hideMark/>
          </w:tcPr>
          <w:p w14:paraId="569AA13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5283339" w14:textId="77777777" w:rsidR="00000000" w:rsidRDefault="0053651E">
            <w:pPr>
              <w:pStyle w:val="a3"/>
              <w:spacing w:before="0" w:beforeAutospacing="0" w:after="0" w:afterAutospacing="0"/>
              <w:rPr>
                <w:sz w:val="20"/>
                <w:szCs w:val="20"/>
              </w:rPr>
            </w:pPr>
            <w:r>
              <w:rPr>
                <w:sz w:val="20"/>
                <w:szCs w:val="20"/>
              </w:rPr>
              <w:t>the attractiveness of our properties to tenants;</w:t>
            </w:r>
          </w:p>
        </w:tc>
      </w:tr>
    </w:tbl>
    <w:p w14:paraId="5EEBDC9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35C477A" w14:textId="77777777">
        <w:trPr>
          <w:tblCellSpacing w:w="0" w:type="dxa"/>
        </w:trPr>
        <w:tc>
          <w:tcPr>
            <w:tcW w:w="360" w:type="dxa"/>
            <w:vAlign w:val="center"/>
            <w:hideMark/>
          </w:tcPr>
          <w:p w14:paraId="197B806D" w14:textId="77777777" w:rsidR="00000000" w:rsidRDefault="0053651E">
            <w:pPr>
              <w:rPr>
                <w:rFonts w:eastAsia="Times New Roman"/>
                <w:sz w:val="20"/>
                <w:szCs w:val="20"/>
              </w:rPr>
            </w:pPr>
            <w:r>
              <w:rPr>
                <w:rFonts w:eastAsia="Times New Roman"/>
                <w:sz w:val="20"/>
                <w:szCs w:val="20"/>
              </w:rPr>
              <w:t> </w:t>
            </w:r>
          </w:p>
        </w:tc>
        <w:tc>
          <w:tcPr>
            <w:tcW w:w="360" w:type="dxa"/>
            <w:hideMark/>
          </w:tcPr>
          <w:p w14:paraId="31FAA612"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7C1DD86" w14:textId="77777777" w:rsidR="00000000" w:rsidRDefault="0053651E">
            <w:pPr>
              <w:pStyle w:val="a3"/>
              <w:spacing w:before="0" w:beforeAutospacing="0" w:after="0" w:afterAutospacing="0"/>
              <w:rPr>
                <w:sz w:val="20"/>
                <w:szCs w:val="20"/>
              </w:rPr>
            </w:pPr>
            <w:r>
              <w:rPr>
                <w:sz w:val="20"/>
                <w:szCs w:val="20"/>
              </w:rPr>
              <w:t>the ability of tenants to pay rent, particularly anchor tenants with leases in multiple locations;</w:t>
            </w:r>
          </w:p>
        </w:tc>
      </w:tr>
    </w:tbl>
    <w:p w14:paraId="662EFF7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0FCB234" w14:textId="77777777">
        <w:trPr>
          <w:tblCellSpacing w:w="0" w:type="dxa"/>
        </w:trPr>
        <w:tc>
          <w:tcPr>
            <w:tcW w:w="360" w:type="dxa"/>
            <w:vAlign w:val="center"/>
            <w:hideMark/>
          </w:tcPr>
          <w:p w14:paraId="340A7003" w14:textId="77777777" w:rsidR="00000000" w:rsidRDefault="0053651E">
            <w:pPr>
              <w:rPr>
                <w:rFonts w:eastAsia="Times New Roman"/>
                <w:sz w:val="20"/>
                <w:szCs w:val="20"/>
              </w:rPr>
            </w:pPr>
            <w:r>
              <w:rPr>
                <w:rFonts w:eastAsia="Times New Roman"/>
                <w:sz w:val="20"/>
                <w:szCs w:val="20"/>
              </w:rPr>
              <w:t> </w:t>
            </w:r>
          </w:p>
        </w:tc>
        <w:tc>
          <w:tcPr>
            <w:tcW w:w="360" w:type="dxa"/>
            <w:hideMark/>
          </w:tcPr>
          <w:p w14:paraId="0F77F464"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7E756E1" w14:textId="77777777" w:rsidR="00000000" w:rsidRDefault="0053651E">
            <w:pPr>
              <w:pStyle w:val="a3"/>
              <w:spacing w:before="0" w:beforeAutospacing="0" w:after="0" w:afterAutospacing="0"/>
              <w:rPr>
                <w:sz w:val="20"/>
                <w:szCs w:val="20"/>
              </w:rPr>
            </w:pPr>
            <w:r>
              <w:rPr>
                <w:sz w:val="20"/>
                <w:szCs w:val="20"/>
              </w:rPr>
              <w:t>tenants who may declare bankruptcy and/or close stores;</w:t>
            </w:r>
          </w:p>
        </w:tc>
      </w:tr>
    </w:tbl>
    <w:p w14:paraId="094D652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DDA5DB2" w14:textId="77777777">
        <w:trPr>
          <w:tblCellSpacing w:w="0" w:type="dxa"/>
        </w:trPr>
        <w:tc>
          <w:tcPr>
            <w:tcW w:w="360" w:type="dxa"/>
            <w:vAlign w:val="center"/>
            <w:hideMark/>
          </w:tcPr>
          <w:p w14:paraId="792DA6EF" w14:textId="77777777" w:rsidR="00000000" w:rsidRDefault="0053651E">
            <w:pPr>
              <w:rPr>
                <w:rFonts w:eastAsia="Times New Roman"/>
                <w:sz w:val="20"/>
                <w:szCs w:val="20"/>
              </w:rPr>
            </w:pPr>
            <w:r>
              <w:rPr>
                <w:rFonts w:eastAsia="Times New Roman"/>
                <w:sz w:val="20"/>
                <w:szCs w:val="20"/>
              </w:rPr>
              <w:t> </w:t>
            </w:r>
          </w:p>
        </w:tc>
        <w:tc>
          <w:tcPr>
            <w:tcW w:w="360" w:type="dxa"/>
            <w:hideMark/>
          </w:tcPr>
          <w:p w14:paraId="676A1A01"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C7489E1" w14:textId="77777777" w:rsidR="00000000" w:rsidRDefault="0053651E">
            <w:pPr>
              <w:pStyle w:val="a3"/>
              <w:spacing w:before="0" w:beforeAutospacing="0" w:after="0" w:afterAutospacing="0"/>
              <w:rPr>
                <w:sz w:val="20"/>
                <w:szCs w:val="20"/>
              </w:rPr>
            </w:pPr>
            <w:r>
              <w:rPr>
                <w:sz w:val="20"/>
                <w:szCs w:val="20"/>
              </w:rPr>
              <w:t>competition from other available properties to attract and retain tenants;</w:t>
            </w:r>
          </w:p>
        </w:tc>
      </w:tr>
    </w:tbl>
    <w:p w14:paraId="4D49514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FDF4EDF" w14:textId="77777777">
        <w:trPr>
          <w:tblCellSpacing w:w="0" w:type="dxa"/>
        </w:trPr>
        <w:tc>
          <w:tcPr>
            <w:tcW w:w="360" w:type="dxa"/>
            <w:vAlign w:val="center"/>
            <w:hideMark/>
          </w:tcPr>
          <w:p w14:paraId="10C0D66F" w14:textId="77777777" w:rsidR="00000000" w:rsidRDefault="0053651E">
            <w:pPr>
              <w:rPr>
                <w:rFonts w:eastAsia="Times New Roman"/>
                <w:sz w:val="20"/>
                <w:szCs w:val="20"/>
              </w:rPr>
            </w:pPr>
            <w:r>
              <w:rPr>
                <w:rFonts w:eastAsia="Times New Roman"/>
                <w:sz w:val="20"/>
                <w:szCs w:val="20"/>
              </w:rPr>
              <w:t> </w:t>
            </w:r>
          </w:p>
        </w:tc>
        <w:tc>
          <w:tcPr>
            <w:tcW w:w="360" w:type="dxa"/>
            <w:hideMark/>
          </w:tcPr>
          <w:p w14:paraId="50EF238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13315FD" w14:textId="77777777" w:rsidR="00000000" w:rsidRDefault="0053651E">
            <w:pPr>
              <w:pStyle w:val="a3"/>
              <w:spacing w:before="0" w:beforeAutospacing="0" w:after="0" w:afterAutospacing="0"/>
              <w:rPr>
                <w:sz w:val="20"/>
                <w:szCs w:val="20"/>
              </w:rPr>
            </w:pPr>
            <w:r>
              <w:rPr>
                <w:sz w:val="20"/>
                <w:szCs w:val="20"/>
              </w:rPr>
              <w:t xml:space="preserve">changes </w:t>
            </w:r>
            <w:r>
              <w:rPr>
                <w:sz w:val="20"/>
                <w:szCs w:val="20"/>
              </w:rPr>
              <w:t>in market rental rates;</w:t>
            </w:r>
          </w:p>
        </w:tc>
      </w:tr>
    </w:tbl>
    <w:p w14:paraId="54E1912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46A3626" w14:textId="77777777">
        <w:trPr>
          <w:tblCellSpacing w:w="0" w:type="dxa"/>
        </w:trPr>
        <w:tc>
          <w:tcPr>
            <w:tcW w:w="360" w:type="dxa"/>
            <w:vAlign w:val="center"/>
            <w:hideMark/>
          </w:tcPr>
          <w:p w14:paraId="6C8BAB0D" w14:textId="77777777" w:rsidR="00000000" w:rsidRDefault="0053651E">
            <w:pPr>
              <w:rPr>
                <w:rFonts w:eastAsia="Times New Roman"/>
                <w:sz w:val="20"/>
                <w:szCs w:val="20"/>
              </w:rPr>
            </w:pPr>
            <w:r>
              <w:rPr>
                <w:rFonts w:eastAsia="Times New Roman"/>
                <w:sz w:val="20"/>
                <w:szCs w:val="20"/>
              </w:rPr>
              <w:t> </w:t>
            </w:r>
          </w:p>
        </w:tc>
        <w:tc>
          <w:tcPr>
            <w:tcW w:w="360" w:type="dxa"/>
            <w:hideMark/>
          </w:tcPr>
          <w:p w14:paraId="452DF454"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F0315DB" w14:textId="77777777" w:rsidR="00000000" w:rsidRDefault="0053651E">
            <w:pPr>
              <w:pStyle w:val="a3"/>
              <w:spacing w:before="0" w:beforeAutospacing="0" w:after="0" w:afterAutospacing="0"/>
              <w:rPr>
                <w:sz w:val="20"/>
                <w:szCs w:val="20"/>
              </w:rPr>
            </w:pPr>
            <w:r>
              <w:rPr>
                <w:sz w:val="20"/>
                <w:szCs w:val="20"/>
              </w:rPr>
              <w:t>the need to periodically pay for costs to repair, renovate and re-let space;</w:t>
            </w:r>
          </w:p>
        </w:tc>
      </w:tr>
    </w:tbl>
    <w:p w14:paraId="79ABFD22"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88FF838" w14:textId="77777777">
        <w:trPr>
          <w:tblCellSpacing w:w="0" w:type="dxa"/>
        </w:trPr>
        <w:tc>
          <w:tcPr>
            <w:tcW w:w="360" w:type="dxa"/>
            <w:vAlign w:val="center"/>
            <w:hideMark/>
          </w:tcPr>
          <w:p w14:paraId="561AFD6F" w14:textId="77777777" w:rsidR="00000000" w:rsidRDefault="0053651E">
            <w:pPr>
              <w:rPr>
                <w:rFonts w:eastAsia="Times New Roman"/>
                <w:sz w:val="20"/>
                <w:szCs w:val="20"/>
              </w:rPr>
            </w:pPr>
            <w:r>
              <w:rPr>
                <w:rFonts w:eastAsia="Times New Roman"/>
                <w:sz w:val="20"/>
                <w:szCs w:val="20"/>
              </w:rPr>
              <w:t> </w:t>
            </w:r>
          </w:p>
        </w:tc>
        <w:tc>
          <w:tcPr>
            <w:tcW w:w="360" w:type="dxa"/>
            <w:hideMark/>
          </w:tcPr>
          <w:p w14:paraId="64795D5E"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EFFDB62" w14:textId="77777777" w:rsidR="00000000" w:rsidRDefault="0053651E">
            <w:pPr>
              <w:pStyle w:val="a3"/>
              <w:spacing w:before="0" w:beforeAutospacing="0" w:after="0" w:afterAutospacing="0"/>
              <w:rPr>
                <w:sz w:val="20"/>
                <w:szCs w:val="20"/>
              </w:rPr>
            </w:pPr>
            <w:r>
              <w:rPr>
                <w:sz w:val="20"/>
                <w:szCs w:val="20"/>
              </w:rPr>
              <w:t>ongoing consolidation in the retail sector;</w:t>
            </w:r>
          </w:p>
        </w:tc>
      </w:tr>
    </w:tbl>
    <w:p w14:paraId="2632705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EC4EF97" w14:textId="77777777">
        <w:trPr>
          <w:tblCellSpacing w:w="0" w:type="dxa"/>
        </w:trPr>
        <w:tc>
          <w:tcPr>
            <w:tcW w:w="360" w:type="dxa"/>
            <w:vAlign w:val="center"/>
            <w:hideMark/>
          </w:tcPr>
          <w:p w14:paraId="780C4D9C" w14:textId="77777777" w:rsidR="00000000" w:rsidRDefault="0053651E">
            <w:pPr>
              <w:rPr>
                <w:rFonts w:eastAsia="Times New Roman"/>
                <w:sz w:val="20"/>
                <w:szCs w:val="20"/>
              </w:rPr>
            </w:pPr>
            <w:r>
              <w:rPr>
                <w:rFonts w:eastAsia="Times New Roman"/>
                <w:sz w:val="20"/>
                <w:szCs w:val="20"/>
              </w:rPr>
              <w:t> </w:t>
            </w:r>
          </w:p>
        </w:tc>
        <w:tc>
          <w:tcPr>
            <w:tcW w:w="360" w:type="dxa"/>
            <w:hideMark/>
          </w:tcPr>
          <w:p w14:paraId="0B0A469F"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2443F96F" w14:textId="77777777" w:rsidR="00000000" w:rsidRDefault="0053651E">
            <w:pPr>
              <w:pStyle w:val="a3"/>
              <w:spacing w:before="0" w:beforeAutospacing="0" w:after="0" w:afterAutospacing="0"/>
              <w:rPr>
                <w:sz w:val="20"/>
                <w:szCs w:val="20"/>
              </w:rPr>
            </w:pPr>
            <w:r>
              <w:rPr>
                <w:sz w:val="20"/>
                <w:szCs w:val="20"/>
              </w:rPr>
              <w:t>the excess amount of retail space in a number of markets;</w:t>
            </w:r>
          </w:p>
        </w:tc>
      </w:tr>
    </w:tbl>
    <w:p w14:paraId="44284CA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EF293DA" w14:textId="77777777">
        <w:trPr>
          <w:tblCellSpacing w:w="0" w:type="dxa"/>
        </w:trPr>
        <w:tc>
          <w:tcPr>
            <w:tcW w:w="360" w:type="dxa"/>
            <w:vAlign w:val="center"/>
            <w:hideMark/>
          </w:tcPr>
          <w:p w14:paraId="59113925" w14:textId="77777777" w:rsidR="00000000" w:rsidRDefault="0053651E">
            <w:pPr>
              <w:rPr>
                <w:rFonts w:eastAsia="Times New Roman"/>
                <w:sz w:val="20"/>
                <w:szCs w:val="20"/>
              </w:rPr>
            </w:pPr>
            <w:r>
              <w:rPr>
                <w:rFonts w:eastAsia="Times New Roman"/>
                <w:sz w:val="20"/>
                <w:szCs w:val="20"/>
              </w:rPr>
              <w:t> </w:t>
            </w:r>
          </w:p>
        </w:tc>
        <w:tc>
          <w:tcPr>
            <w:tcW w:w="360" w:type="dxa"/>
            <w:hideMark/>
          </w:tcPr>
          <w:p w14:paraId="04CA2D2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B336D3D" w14:textId="77777777" w:rsidR="00000000" w:rsidRDefault="0053651E">
            <w:pPr>
              <w:pStyle w:val="a3"/>
              <w:spacing w:before="0" w:beforeAutospacing="0" w:after="0" w:afterAutospacing="0"/>
              <w:rPr>
                <w:sz w:val="20"/>
                <w:szCs w:val="20"/>
              </w:rPr>
            </w:pPr>
            <w:r>
              <w:rPr>
                <w:sz w:val="20"/>
                <w:szCs w:val="20"/>
              </w:rPr>
              <w:t>changes in operating costs, including costs for maintenance, insurance and real estate taxes;</w:t>
            </w:r>
          </w:p>
        </w:tc>
      </w:tr>
    </w:tbl>
    <w:p w14:paraId="1B1EF21B"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C0EC5F0" w14:textId="77777777">
        <w:trPr>
          <w:tblCellSpacing w:w="0" w:type="dxa"/>
        </w:trPr>
        <w:tc>
          <w:tcPr>
            <w:tcW w:w="360" w:type="dxa"/>
            <w:vAlign w:val="center"/>
            <w:hideMark/>
          </w:tcPr>
          <w:p w14:paraId="0D3ABC78" w14:textId="77777777" w:rsidR="00000000" w:rsidRDefault="0053651E">
            <w:pPr>
              <w:rPr>
                <w:rFonts w:eastAsia="Times New Roman"/>
                <w:sz w:val="20"/>
                <w:szCs w:val="20"/>
              </w:rPr>
            </w:pPr>
            <w:r>
              <w:rPr>
                <w:rFonts w:eastAsia="Times New Roman"/>
                <w:sz w:val="20"/>
                <w:szCs w:val="20"/>
              </w:rPr>
              <w:t> </w:t>
            </w:r>
          </w:p>
        </w:tc>
        <w:tc>
          <w:tcPr>
            <w:tcW w:w="360" w:type="dxa"/>
            <w:hideMark/>
          </w:tcPr>
          <w:p w14:paraId="215D0616"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8BF4034" w14:textId="77777777" w:rsidR="00000000" w:rsidRDefault="0053651E">
            <w:pPr>
              <w:pStyle w:val="a3"/>
              <w:spacing w:before="0" w:beforeAutospacing="0" w:after="0" w:afterAutospacing="0"/>
              <w:rPr>
                <w:sz w:val="20"/>
                <w:szCs w:val="20"/>
              </w:rPr>
            </w:pPr>
            <w:r>
              <w:rPr>
                <w:sz w:val="20"/>
                <w:szCs w:val="20"/>
              </w:rPr>
              <w:t>the expenses of owning and operating properties, which are not necessarily reduced when circ</w:t>
            </w:r>
            <w:r>
              <w:rPr>
                <w:sz w:val="20"/>
                <w:szCs w:val="20"/>
              </w:rPr>
              <w:t>umstances such as market factors and competition cause a reduction in income from the properties;</w:t>
            </w:r>
          </w:p>
        </w:tc>
      </w:tr>
    </w:tbl>
    <w:p w14:paraId="4DCC40C2"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D0B9F94" w14:textId="77777777">
        <w:trPr>
          <w:tblCellSpacing w:w="0" w:type="dxa"/>
        </w:trPr>
        <w:tc>
          <w:tcPr>
            <w:tcW w:w="360" w:type="dxa"/>
            <w:vAlign w:val="center"/>
            <w:hideMark/>
          </w:tcPr>
          <w:p w14:paraId="2FDD31A3" w14:textId="77777777" w:rsidR="00000000" w:rsidRDefault="0053651E">
            <w:pPr>
              <w:rPr>
                <w:rFonts w:eastAsia="Times New Roman"/>
                <w:sz w:val="20"/>
                <w:szCs w:val="20"/>
              </w:rPr>
            </w:pPr>
            <w:r>
              <w:rPr>
                <w:rFonts w:eastAsia="Times New Roman"/>
                <w:sz w:val="20"/>
                <w:szCs w:val="20"/>
              </w:rPr>
              <w:t> </w:t>
            </w:r>
          </w:p>
        </w:tc>
        <w:tc>
          <w:tcPr>
            <w:tcW w:w="360" w:type="dxa"/>
            <w:hideMark/>
          </w:tcPr>
          <w:p w14:paraId="53C607EA"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F2A83B5" w14:textId="77777777" w:rsidR="00000000" w:rsidRDefault="0053651E">
            <w:pPr>
              <w:pStyle w:val="a3"/>
              <w:spacing w:before="0" w:beforeAutospacing="0" w:after="0" w:afterAutospacing="0"/>
              <w:rPr>
                <w:sz w:val="20"/>
                <w:szCs w:val="20"/>
              </w:rPr>
            </w:pPr>
            <w:r>
              <w:rPr>
                <w:sz w:val="20"/>
                <w:szCs w:val="20"/>
              </w:rPr>
              <w:t>changes in laws and governmental regulations, including those governing usage, zoning, the environment and taxes;</w:t>
            </w:r>
          </w:p>
        </w:tc>
      </w:tr>
    </w:tbl>
    <w:p w14:paraId="51F5CF1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5158E62" w14:textId="77777777">
        <w:trPr>
          <w:tblCellSpacing w:w="0" w:type="dxa"/>
        </w:trPr>
        <w:tc>
          <w:tcPr>
            <w:tcW w:w="360" w:type="dxa"/>
            <w:vAlign w:val="center"/>
            <w:hideMark/>
          </w:tcPr>
          <w:p w14:paraId="5E16E638" w14:textId="77777777" w:rsidR="00000000" w:rsidRDefault="0053651E">
            <w:pPr>
              <w:rPr>
                <w:rFonts w:eastAsia="Times New Roman"/>
                <w:sz w:val="20"/>
                <w:szCs w:val="20"/>
              </w:rPr>
            </w:pPr>
            <w:r>
              <w:rPr>
                <w:rFonts w:eastAsia="Times New Roman"/>
                <w:sz w:val="20"/>
                <w:szCs w:val="20"/>
              </w:rPr>
              <w:t> </w:t>
            </w:r>
          </w:p>
        </w:tc>
        <w:tc>
          <w:tcPr>
            <w:tcW w:w="360" w:type="dxa"/>
            <w:hideMark/>
          </w:tcPr>
          <w:p w14:paraId="2F8AE104"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DE714CA" w14:textId="77777777" w:rsidR="00000000" w:rsidRDefault="0053651E">
            <w:pPr>
              <w:pStyle w:val="a3"/>
              <w:spacing w:before="0" w:beforeAutospacing="0" w:after="0" w:afterAutospacing="0"/>
              <w:rPr>
                <w:sz w:val="20"/>
                <w:szCs w:val="20"/>
              </w:rPr>
            </w:pPr>
            <w:r>
              <w:rPr>
                <w:sz w:val="20"/>
                <w:szCs w:val="20"/>
              </w:rPr>
              <w:t>acts of terrorism and war, acts of God and physical and weather-related damage to our properties; </w:t>
            </w:r>
          </w:p>
        </w:tc>
      </w:tr>
      <w:tr w:rsidR="00000000" w14:paraId="4A8723FA" w14:textId="77777777">
        <w:trPr>
          <w:tblCellSpacing w:w="0" w:type="dxa"/>
        </w:trPr>
        <w:tc>
          <w:tcPr>
            <w:tcW w:w="360" w:type="dxa"/>
            <w:vAlign w:val="center"/>
            <w:hideMark/>
          </w:tcPr>
          <w:p w14:paraId="470408F6" w14:textId="77777777" w:rsidR="00000000" w:rsidRDefault="0053651E">
            <w:pPr>
              <w:rPr>
                <w:rFonts w:eastAsia="Times New Roman"/>
                <w:sz w:val="20"/>
                <w:szCs w:val="20"/>
              </w:rPr>
            </w:pPr>
            <w:r>
              <w:rPr>
                <w:rFonts w:eastAsia="Times New Roman"/>
                <w:sz w:val="20"/>
                <w:szCs w:val="20"/>
              </w:rPr>
              <w:t> </w:t>
            </w:r>
          </w:p>
        </w:tc>
        <w:tc>
          <w:tcPr>
            <w:tcW w:w="360" w:type="dxa"/>
            <w:hideMark/>
          </w:tcPr>
          <w:p w14:paraId="00D8AA86"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3129267" w14:textId="77777777" w:rsidR="00000000" w:rsidRDefault="0053651E">
            <w:pPr>
              <w:rPr>
                <w:rFonts w:eastAsia="Times New Roman"/>
                <w:sz w:val="20"/>
                <w:szCs w:val="20"/>
              </w:rPr>
            </w:pPr>
            <w:r>
              <w:rPr>
                <w:rFonts w:eastAsia="Times New Roman"/>
                <w:sz w:val="20"/>
                <w:szCs w:val="20"/>
              </w:rPr>
              <w:t>success depends largely on the continued service and availability of key personnel; and</w:t>
            </w:r>
          </w:p>
        </w:tc>
      </w:tr>
    </w:tbl>
    <w:p w14:paraId="3D7C19C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DACE262" w14:textId="77777777">
        <w:trPr>
          <w:tblCellSpacing w:w="0" w:type="dxa"/>
        </w:trPr>
        <w:tc>
          <w:tcPr>
            <w:tcW w:w="360" w:type="dxa"/>
            <w:vAlign w:val="center"/>
            <w:hideMark/>
          </w:tcPr>
          <w:p w14:paraId="5CF4E0DF" w14:textId="77777777" w:rsidR="00000000" w:rsidRDefault="0053651E">
            <w:pPr>
              <w:rPr>
                <w:rFonts w:eastAsia="Times New Roman"/>
                <w:sz w:val="20"/>
                <w:szCs w:val="20"/>
              </w:rPr>
            </w:pPr>
            <w:r>
              <w:rPr>
                <w:rFonts w:eastAsia="Times New Roman"/>
                <w:sz w:val="20"/>
                <w:szCs w:val="20"/>
              </w:rPr>
              <w:t> </w:t>
            </w:r>
          </w:p>
        </w:tc>
        <w:tc>
          <w:tcPr>
            <w:tcW w:w="360" w:type="dxa"/>
            <w:hideMark/>
          </w:tcPr>
          <w:p w14:paraId="3963AA19" w14:textId="77777777" w:rsidR="00000000" w:rsidRDefault="0053651E">
            <w:pPr>
              <w:rPr>
                <w:rFonts w:eastAsia="Times New Roman"/>
                <w:sz w:val="20"/>
                <w:szCs w:val="20"/>
              </w:rPr>
            </w:pPr>
            <w:r>
              <w:rPr>
                <w:rFonts w:eastAsia="Times New Roman"/>
                <w:sz w:val="20"/>
                <w:szCs w:val="20"/>
              </w:rPr>
              <w:t>●</w:t>
            </w:r>
          </w:p>
        </w:tc>
        <w:tc>
          <w:tcPr>
            <w:tcW w:w="0" w:type="auto"/>
            <w:hideMark/>
          </w:tcPr>
          <w:p w14:paraId="3F8147D1" w14:textId="77777777" w:rsidR="00000000" w:rsidRDefault="0053651E">
            <w:pPr>
              <w:rPr>
                <w:rFonts w:eastAsia="Times New Roman"/>
                <w:sz w:val="20"/>
                <w:szCs w:val="20"/>
              </w:rPr>
            </w:pPr>
            <w:r>
              <w:rPr>
                <w:rFonts w:eastAsia="Times New Roman"/>
                <w:sz w:val="20"/>
                <w:szCs w:val="20"/>
              </w:rPr>
              <w:t>the risk of functional obsolescence of properties over tim</w:t>
            </w:r>
            <w:r>
              <w:rPr>
                <w:rFonts w:eastAsia="Times New Roman"/>
                <w:sz w:val="20"/>
                <w:szCs w:val="20"/>
              </w:rPr>
              <w:t>e.</w:t>
            </w:r>
          </w:p>
        </w:tc>
      </w:tr>
    </w:tbl>
    <w:p w14:paraId="4C75B20D"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5A3C7E81" w14:textId="77777777" w:rsidR="00000000" w:rsidRDefault="0053651E">
      <w:pPr>
        <w:pStyle w:val="a3"/>
        <w:spacing w:before="0" w:beforeAutospacing="0" w:after="0" w:afterAutospacing="0"/>
        <w:ind w:firstLine="360"/>
        <w:jc w:val="both"/>
        <w:rPr>
          <w:sz w:val="20"/>
          <w:szCs w:val="20"/>
        </w:rPr>
      </w:pPr>
      <w:r>
        <w:rPr>
          <w:b/>
          <w:bCs/>
          <w:sz w:val="20"/>
          <w:szCs w:val="20"/>
        </w:rPr>
        <w:t>Competition may limit our ability to purchase new properties or generate sufficient income from tenants and may decrease the occupancy and rental rates for our properties.</w:t>
      </w:r>
    </w:p>
    <w:p w14:paraId="5DCDF646" w14:textId="77777777" w:rsidR="00000000" w:rsidRDefault="0053651E">
      <w:pPr>
        <w:pStyle w:val="a3"/>
        <w:spacing w:before="0" w:beforeAutospacing="0" w:after="0" w:afterAutospacing="0"/>
        <w:ind w:firstLine="360"/>
        <w:rPr>
          <w:sz w:val="20"/>
          <w:szCs w:val="20"/>
        </w:rPr>
      </w:pPr>
      <w:r>
        <w:rPr>
          <w:sz w:val="20"/>
          <w:szCs w:val="20"/>
        </w:rPr>
        <w:t> </w:t>
      </w:r>
    </w:p>
    <w:p w14:paraId="416DCC59" w14:textId="77777777" w:rsidR="00000000" w:rsidRDefault="0053651E">
      <w:pPr>
        <w:pStyle w:val="a3"/>
        <w:spacing w:before="0" w:beforeAutospacing="0" w:after="0" w:afterAutospacing="0"/>
        <w:ind w:firstLine="360"/>
        <w:jc w:val="both"/>
        <w:rPr>
          <w:sz w:val="20"/>
          <w:szCs w:val="20"/>
        </w:rPr>
      </w:pPr>
      <w:r>
        <w:rPr>
          <w:sz w:val="20"/>
          <w:szCs w:val="20"/>
        </w:rPr>
        <w:t>Numerous commercial developers and real estate companies compete with us in seeking tenants for our existing properties and properties for acquisition. New regional malls, open-air lifestyle centers or other retail shopping centers with more convenient loc</w:t>
      </w:r>
      <w:r>
        <w:rPr>
          <w:sz w:val="20"/>
          <w:szCs w:val="20"/>
        </w:rPr>
        <w:t xml:space="preserve">ations or better rents may attract tenants or cause them to seek more favorable lease terms at or prior to renewal. Retailers at our properties may face increasing competition from other retailers, e-commerce, outlet malls, discount shopping clubs, direct </w:t>
      </w:r>
      <w:r>
        <w:rPr>
          <w:sz w:val="20"/>
          <w:szCs w:val="20"/>
        </w:rPr>
        <w:t>mail, telemarketing or home shopping networks, all of which could (i) reduce rents payable to us; (ii) reduce our ability to attract and retain tenants at our properties; or (iii) lead to increased vacancy rates at our properties. We may fail to anticipate</w:t>
      </w:r>
      <w:r>
        <w:rPr>
          <w:sz w:val="20"/>
          <w:szCs w:val="20"/>
        </w:rPr>
        <w:t xml:space="preserve"> the effects of changes in consumer buying practices, particularly of growing online sales and the resulting retailing practices and space needs of our tenants or a general downturn in our tenants’ businesses, which may cause tenants to close stores or def</w:t>
      </w:r>
      <w:r>
        <w:rPr>
          <w:sz w:val="20"/>
          <w:szCs w:val="20"/>
        </w:rPr>
        <w:t>ault in payment of rent.</w:t>
      </w:r>
    </w:p>
    <w:p w14:paraId="2C4541E8" w14:textId="77777777" w:rsidR="00000000" w:rsidRDefault="0053651E">
      <w:pPr>
        <w:pStyle w:val="a3"/>
        <w:spacing w:before="0" w:beforeAutospacing="0" w:after="0" w:afterAutospacing="0"/>
        <w:ind w:firstLine="360"/>
        <w:jc w:val="both"/>
        <w:rPr>
          <w:sz w:val="20"/>
          <w:szCs w:val="20"/>
        </w:rPr>
      </w:pPr>
      <w:r>
        <w:rPr>
          <w:sz w:val="20"/>
          <w:szCs w:val="20"/>
        </w:rPr>
        <w:t> </w:t>
      </w:r>
    </w:p>
    <w:p w14:paraId="77FE375F" w14:textId="77777777" w:rsidR="00000000" w:rsidRDefault="0053651E">
      <w:pPr>
        <w:pStyle w:val="a3"/>
        <w:spacing w:before="0" w:beforeAutospacing="0" w:after="0" w:afterAutospacing="0"/>
        <w:ind w:firstLine="360"/>
        <w:jc w:val="both"/>
        <w:rPr>
          <w:sz w:val="20"/>
          <w:szCs w:val="20"/>
        </w:rPr>
      </w:pPr>
      <w:r>
        <w:rPr>
          <w:sz w:val="20"/>
          <w:szCs w:val="20"/>
        </w:rPr>
        <w:t>We face competition in the acquisition or development of real property from others engaged in real estate investment that could increase our costs associated with purchasing and maintaining assets. Some of these competitors may h</w:t>
      </w:r>
      <w:r>
        <w:rPr>
          <w:sz w:val="20"/>
          <w:szCs w:val="20"/>
        </w:rPr>
        <w:t>ave greater financial resources than we do. This could result in competition for the acquisition of properties for tenants who lease or consider leasing space in our existing and subsequently acquired properties and for other real estate investment or deve</w:t>
      </w:r>
      <w:r>
        <w:rPr>
          <w:sz w:val="20"/>
          <w:szCs w:val="20"/>
        </w:rPr>
        <w:t>lopment opportunities.</w:t>
      </w:r>
    </w:p>
    <w:p w14:paraId="6E9F2C66"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6B772CAE" w14:textId="77777777" w:rsidR="00000000" w:rsidRDefault="0053651E">
      <w:pPr>
        <w:pStyle w:val="a3"/>
        <w:spacing w:before="0" w:beforeAutospacing="0" w:after="0" w:afterAutospacing="0"/>
        <w:ind w:firstLine="360"/>
        <w:jc w:val="both"/>
        <w:rPr>
          <w:sz w:val="20"/>
          <w:szCs w:val="20"/>
        </w:rPr>
      </w:pPr>
      <w:r>
        <w:rPr>
          <w:b/>
          <w:bCs/>
          <w:sz w:val="20"/>
          <w:szCs w:val="20"/>
        </w:rPr>
        <w:t>Our performance depends on our ability to collect rent from tenants, including anchor tenants, our tenants’ financial condition and our tenants maintaining leases for our properties.</w:t>
      </w:r>
    </w:p>
    <w:p w14:paraId="55F9F124" w14:textId="77777777" w:rsidR="00000000" w:rsidRDefault="0053651E">
      <w:pPr>
        <w:pStyle w:val="a3"/>
        <w:spacing w:before="0" w:beforeAutospacing="0" w:after="0" w:afterAutospacing="0"/>
        <w:ind w:firstLine="360"/>
        <w:rPr>
          <w:sz w:val="20"/>
          <w:szCs w:val="20"/>
        </w:rPr>
      </w:pPr>
      <w:r>
        <w:rPr>
          <w:sz w:val="20"/>
          <w:szCs w:val="20"/>
        </w:rPr>
        <w:t> </w:t>
      </w:r>
    </w:p>
    <w:p w14:paraId="70A4DB80" w14:textId="77777777" w:rsidR="00000000" w:rsidRDefault="0053651E">
      <w:pPr>
        <w:pStyle w:val="a3"/>
        <w:spacing w:before="0" w:beforeAutospacing="0" w:after="0" w:afterAutospacing="0"/>
        <w:ind w:firstLine="360"/>
        <w:jc w:val="both"/>
        <w:rPr>
          <w:sz w:val="20"/>
          <w:szCs w:val="20"/>
        </w:rPr>
      </w:pPr>
      <w:r>
        <w:rPr>
          <w:sz w:val="20"/>
          <w:szCs w:val="20"/>
        </w:rPr>
        <w:t>At any time, our tenants may experience a down</w:t>
      </w:r>
      <w:r>
        <w:rPr>
          <w:sz w:val="20"/>
          <w:szCs w:val="20"/>
        </w:rPr>
        <w:t>turn in their business that may significantly weaken their financial condition. As a result, our tenants may delay a number of lease commencements, decline to extend or renew leases upon expiration, fail to make rental payments when due, close stores or de</w:t>
      </w:r>
      <w:r>
        <w:rPr>
          <w:sz w:val="20"/>
          <w:szCs w:val="20"/>
        </w:rPr>
        <w:t>clare bankruptcy. Any of these actions could result in the termination of tenants’ leases and the loss of rental income attributable to these tenants’ leases. In the event of a default by a tenant, we may experience delays and costs in enforcing our rights</w:t>
      </w:r>
      <w:r>
        <w:rPr>
          <w:sz w:val="20"/>
          <w:szCs w:val="20"/>
        </w:rPr>
        <w:t xml:space="preserve"> as landlord under the terms of the leases.</w:t>
      </w:r>
    </w:p>
    <w:p w14:paraId="7F85AD24" w14:textId="77777777" w:rsidR="00000000" w:rsidRDefault="0053651E">
      <w:pPr>
        <w:pStyle w:val="a3"/>
        <w:spacing w:before="0" w:beforeAutospacing="0" w:after="0" w:afterAutospacing="0"/>
        <w:ind w:firstLine="360"/>
        <w:jc w:val="both"/>
        <w:rPr>
          <w:sz w:val="20"/>
          <w:szCs w:val="20"/>
        </w:rPr>
      </w:pPr>
      <w:r>
        <w:rPr>
          <w:sz w:val="20"/>
          <w:szCs w:val="20"/>
        </w:rPr>
        <w:t> </w:t>
      </w:r>
    </w:p>
    <w:p w14:paraId="465030CB" w14:textId="77777777" w:rsidR="00000000" w:rsidRDefault="0053651E">
      <w:pPr>
        <w:pStyle w:val="a3"/>
        <w:spacing w:before="0" w:beforeAutospacing="0" w:after="0" w:afterAutospacing="0"/>
        <w:ind w:firstLine="360"/>
        <w:jc w:val="both"/>
        <w:rPr>
          <w:sz w:val="20"/>
          <w:szCs w:val="20"/>
        </w:rPr>
      </w:pPr>
      <w:r>
        <w:rPr>
          <w:sz w:val="20"/>
          <w:szCs w:val="20"/>
        </w:rPr>
        <w:t>In addition, multiple lease terminations by tenants, including anchor tenants, or a failure by multiple tenants to occupy their premises in a shopping center could result in lease terminations or significant re</w:t>
      </w:r>
      <w:r>
        <w:rPr>
          <w:sz w:val="20"/>
          <w:szCs w:val="20"/>
        </w:rPr>
        <w:t>ductions in rent by other tenants in the same shopping centers under the terms of some leases. In that event, we may be unable to re-lease the vacated space at attractive rents or at all, and our rental payments from our continuing tenants could significan</w:t>
      </w:r>
      <w:r>
        <w:rPr>
          <w:sz w:val="20"/>
          <w:szCs w:val="20"/>
        </w:rPr>
        <w:t>tly decrease. The occurrence of any of the situations described above, particularly involving a substantial tenant with leases in multiple locations, could have a material adverse effect on our financial condition, results of operations and cash flows.</w:t>
      </w:r>
    </w:p>
    <w:p w14:paraId="0D6CB92F" w14:textId="77777777" w:rsidR="00000000" w:rsidRDefault="0053651E">
      <w:pPr>
        <w:pStyle w:val="a3"/>
        <w:spacing w:before="0" w:beforeAutospacing="0" w:after="0" w:afterAutospacing="0"/>
        <w:ind w:firstLine="360"/>
        <w:jc w:val="both"/>
        <w:rPr>
          <w:sz w:val="20"/>
          <w:szCs w:val="20"/>
        </w:rPr>
      </w:pPr>
      <w:r>
        <w:rPr>
          <w:sz w:val="20"/>
          <w:szCs w:val="20"/>
        </w:rPr>
        <w:t> </w:t>
      </w:r>
    </w:p>
    <w:p w14:paraId="1F0906F5" w14:textId="77777777" w:rsidR="00000000" w:rsidRDefault="0053651E">
      <w:pPr>
        <w:jc w:val="center"/>
        <w:divId w:val="1031414706"/>
        <w:rPr>
          <w:rFonts w:eastAsia="Times New Roman"/>
          <w:sz w:val="20"/>
          <w:szCs w:val="20"/>
        </w:rPr>
      </w:pPr>
      <w:r>
        <w:rPr>
          <w:rFonts w:eastAsia="Times New Roman"/>
          <w:sz w:val="20"/>
          <w:szCs w:val="20"/>
        </w:rPr>
        <w:t>7</w:t>
      </w:r>
      <w:r>
        <w:rPr>
          <w:rFonts w:eastAsia="Times New Roman"/>
          <w:sz w:val="20"/>
          <w:szCs w:val="20"/>
        </w:rPr>
        <w:t xml:space="preserve"> </w:t>
      </w:r>
    </w:p>
    <w:p w14:paraId="385CB866" w14:textId="77777777" w:rsidR="00000000" w:rsidRDefault="0053651E">
      <w:pPr>
        <w:divId w:val="1031414706"/>
        <w:rPr>
          <w:rFonts w:eastAsia="Times New Roman"/>
          <w:sz w:val="20"/>
          <w:szCs w:val="20"/>
        </w:rPr>
      </w:pPr>
      <w:r>
        <w:rPr>
          <w:rFonts w:eastAsia="Times New Roman"/>
          <w:sz w:val="20"/>
          <w:szCs w:val="20"/>
        </w:rPr>
        <w:pict w14:anchorId="0EB8810C">
          <v:rect id="_x0000_i1036" style="width:0;height:1.5pt" o:hralign="center" o:hrstd="t" o:hr="t" fillcolor="#a0a0a0" stroked="f"/>
        </w:pict>
      </w:r>
    </w:p>
    <w:p w14:paraId="581B0143" w14:textId="77777777" w:rsidR="00000000" w:rsidRDefault="0053651E">
      <w:pPr>
        <w:divId w:val="10314147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F0C49DF" w14:textId="77777777" w:rsidR="00000000" w:rsidRDefault="0053651E">
      <w:pPr>
        <w:pStyle w:val="a3"/>
        <w:spacing w:before="0" w:beforeAutospacing="0" w:after="0" w:afterAutospacing="0"/>
        <w:rPr>
          <w:sz w:val="20"/>
          <w:szCs w:val="20"/>
        </w:rPr>
      </w:pPr>
      <w:r>
        <w:rPr>
          <w:sz w:val="20"/>
          <w:szCs w:val="20"/>
        </w:rPr>
        <w:t> </w:t>
      </w:r>
    </w:p>
    <w:p w14:paraId="357AC462" w14:textId="77777777" w:rsidR="00000000" w:rsidRDefault="0053651E">
      <w:pPr>
        <w:pStyle w:val="a3"/>
        <w:spacing w:before="0" w:beforeAutospacing="0" w:after="0" w:afterAutospacing="0"/>
        <w:ind w:firstLine="360"/>
        <w:jc w:val="both"/>
        <w:rPr>
          <w:sz w:val="20"/>
          <w:szCs w:val="20"/>
        </w:rPr>
      </w:pPr>
      <w:r>
        <w:rPr>
          <w:sz w:val="20"/>
          <w:szCs w:val="20"/>
        </w:rPr>
        <w:t>A tenant that files for bankruptcy protection may not continue to pay us rent. A bankruptcy filing by, or relating to, one of our tenants or a lease guarantor would bar all efforts by us to collect pre-bankruptcy debts from the tenant or the lease guaranto</w:t>
      </w:r>
      <w:r>
        <w:rPr>
          <w:sz w:val="20"/>
          <w:szCs w:val="20"/>
        </w:rPr>
        <w:t>r, or their property, unless the bankruptcy court permits us to do so. A tenant bankruptcy could delay our efforts to collect past due balances under the relevant leases and could ultimately preclude collection of these sums. If a lease is rejected by a te</w:t>
      </w:r>
      <w:r>
        <w:rPr>
          <w:sz w:val="20"/>
          <w:szCs w:val="20"/>
        </w:rPr>
        <w:t>nant in bankruptcy, we would have only a general unsecured claim for damages. As a result, it is likely that we would recover substantially less than the full value of any unsecured claims we hold, if at all.</w:t>
      </w:r>
    </w:p>
    <w:p w14:paraId="41CCAB4F" w14:textId="77777777" w:rsidR="00000000" w:rsidRDefault="0053651E">
      <w:pPr>
        <w:pStyle w:val="a3"/>
        <w:spacing w:before="0" w:beforeAutospacing="0" w:after="0" w:afterAutospacing="0"/>
        <w:ind w:firstLine="360"/>
        <w:jc w:val="both"/>
        <w:rPr>
          <w:sz w:val="20"/>
          <w:szCs w:val="20"/>
        </w:rPr>
      </w:pPr>
      <w:r>
        <w:rPr>
          <w:sz w:val="20"/>
          <w:szCs w:val="20"/>
        </w:rPr>
        <w:t> </w:t>
      </w:r>
    </w:p>
    <w:p w14:paraId="63D4C905" w14:textId="77777777" w:rsidR="00000000" w:rsidRDefault="0053651E">
      <w:pPr>
        <w:pStyle w:val="a3"/>
        <w:spacing w:before="0" w:beforeAutospacing="0" w:after="0" w:afterAutospacing="0"/>
        <w:ind w:firstLine="360"/>
        <w:jc w:val="both"/>
        <w:rPr>
          <w:sz w:val="20"/>
          <w:szCs w:val="20"/>
        </w:rPr>
      </w:pPr>
      <w:r>
        <w:rPr>
          <w:b/>
          <w:bCs/>
          <w:sz w:val="20"/>
          <w:szCs w:val="20"/>
        </w:rPr>
        <w:t>Our expenses may remain constant or increase,</w:t>
      </w:r>
      <w:r>
        <w:rPr>
          <w:b/>
          <w:bCs/>
          <w:sz w:val="20"/>
          <w:szCs w:val="20"/>
        </w:rPr>
        <w:t xml:space="preserve"> even if income from our Combined Shopping Center Portfolio decreases, which could adversely affect our financial condition, results of operations and cash flows.</w:t>
      </w:r>
    </w:p>
    <w:p w14:paraId="75309E0E"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652C65BC" w14:textId="77777777" w:rsidR="00000000" w:rsidRDefault="0053651E">
      <w:pPr>
        <w:pStyle w:val="a3"/>
        <w:spacing w:before="0" w:beforeAutospacing="0" w:after="0" w:afterAutospacing="0"/>
        <w:ind w:firstLine="360"/>
        <w:jc w:val="both"/>
        <w:rPr>
          <w:sz w:val="20"/>
          <w:szCs w:val="20"/>
        </w:rPr>
      </w:pPr>
      <w:r>
        <w:rPr>
          <w:sz w:val="20"/>
          <w:szCs w:val="20"/>
        </w:rPr>
        <w:t>Costs associated with our business, such as common area expenses, utilities, insurance, rea</w:t>
      </w:r>
      <w:r>
        <w:rPr>
          <w:sz w:val="20"/>
          <w:szCs w:val="20"/>
        </w:rPr>
        <w:t>l estate taxes, mortgage payments, and corporate expenses are relatively inflexible and generally do not decrease in the event that a property is not fully occupied, rental rates decrease, a tenant fails to pay rent or other circumstances cause our revenue</w:t>
      </w:r>
      <w:r>
        <w:rPr>
          <w:sz w:val="20"/>
          <w:szCs w:val="20"/>
        </w:rPr>
        <w:t xml:space="preserve">s to decrease. In addition, inflation could result in higher operating costs. If we are unable to lower our operating costs when revenues decline and/or are unable to pass along cost increases to our tenants, our financial condition, results of operations </w:t>
      </w:r>
      <w:r>
        <w:rPr>
          <w:sz w:val="20"/>
          <w:szCs w:val="20"/>
        </w:rPr>
        <w:t>and cash flows could be adversely impacted.</w:t>
      </w:r>
    </w:p>
    <w:p w14:paraId="7347D7CD" w14:textId="77777777" w:rsidR="00000000" w:rsidRDefault="0053651E">
      <w:pPr>
        <w:pStyle w:val="a3"/>
        <w:spacing w:before="0" w:beforeAutospacing="0" w:after="0" w:afterAutospacing="0"/>
        <w:ind w:firstLine="360"/>
        <w:jc w:val="both"/>
        <w:rPr>
          <w:sz w:val="20"/>
          <w:szCs w:val="20"/>
        </w:rPr>
      </w:pPr>
      <w:r>
        <w:rPr>
          <w:sz w:val="20"/>
          <w:szCs w:val="20"/>
        </w:rPr>
        <w:t> </w:t>
      </w:r>
    </w:p>
    <w:p w14:paraId="262ED301" w14:textId="77777777" w:rsidR="00000000" w:rsidRDefault="0053651E">
      <w:pPr>
        <w:pStyle w:val="a3"/>
        <w:spacing w:before="0" w:beforeAutospacing="0" w:after="0" w:afterAutospacing="0"/>
        <w:ind w:firstLine="360"/>
        <w:jc w:val="both"/>
        <w:rPr>
          <w:sz w:val="20"/>
          <w:szCs w:val="20"/>
        </w:rPr>
      </w:pPr>
      <w:r>
        <w:rPr>
          <w:b/>
          <w:bCs/>
          <w:sz w:val="20"/>
          <w:szCs w:val="20"/>
        </w:rPr>
        <w:t xml:space="preserve">We may be unable to sell our real estate property investments when appropriate or on terms favorable to us. </w:t>
      </w:r>
    </w:p>
    <w:p w14:paraId="6D6186D5" w14:textId="77777777" w:rsidR="00000000" w:rsidRDefault="0053651E">
      <w:pPr>
        <w:pStyle w:val="a3"/>
        <w:spacing w:before="0" w:beforeAutospacing="0" w:after="0" w:afterAutospacing="0"/>
        <w:ind w:firstLine="360"/>
        <w:jc w:val="both"/>
        <w:rPr>
          <w:sz w:val="20"/>
          <w:szCs w:val="20"/>
        </w:rPr>
      </w:pPr>
      <w:r>
        <w:rPr>
          <w:sz w:val="20"/>
          <w:szCs w:val="20"/>
        </w:rPr>
        <w:t> </w:t>
      </w:r>
    </w:p>
    <w:p w14:paraId="517E7F6E" w14:textId="77777777" w:rsidR="00000000" w:rsidRDefault="0053651E">
      <w:pPr>
        <w:pStyle w:val="a3"/>
        <w:spacing w:before="0" w:beforeAutospacing="0" w:after="0" w:afterAutospacing="0"/>
        <w:ind w:firstLine="360"/>
        <w:jc w:val="both"/>
        <w:rPr>
          <w:sz w:val="20"/>
          <w:szCs w:val="20"/>
        </w:rPr>
      </w:pPr>
      <w:r>
        <w:rPr>
          <w:sz w:val="20"/>
          <w:szCs w:val="20"/>
        </w:rPr>
        <w:t>Real estate property investments are illiquid and generally cannot be disposed of quickly. The capi</w:t>
      </w:r>
      <w:r>
        <w:rPr>
          <w:sz w:val="20"/>
          <w:szCs w:val="20"/>
        </w:rPr>
        <w:t>talization rates at which properties may be sold could be higher than historic rates, thereby reducing our potential proceeds from sale. In addition, the Code includes certain restrictions on a REIT’s ability to dispose of properties that are not applicabl</w:t>
      </w:r>
      <w:r>
        <w:rPr>
          <w:sz w:val="20"/>
          <w:szCs w:val="20"/>
        </w:rPr>
        <w:t>e to other types of real estate companies. Therefore, we may not be able to vary our portfolio in response to economic or other conditions promptly or on terms favorable to us within a timeframe that we would need. All of these factors reduce our ability t</w:t>
      </w:r>
      <w:r>
        <w:rPr>
          <w:sz w:val="20"/>
          <w:szCs w:val="20"/>
        </w:rPr>
        <w:t>o respond to changes in the performance of our investments and could adversely affect our business, financial condition and results of operations.</w:t>
      </w:r>
    </w:p>
    <w:p w14:paraId="7CEB8815" w14:textId="77777777" w:rsidR="00000000" w:rsidRDefault="0053651E">
      <w:pPr>
        <w:pStyle w:val="a3"/>
        <w:spacing w:before="0" w:beforeAutospacing="0" w:after="0" w:afterAutospacing="0"/>
        <w:ind w:firstLine="360"/>
        <w:jc w:val="both"/>
        <w:rPr>
          <w:sz w:val="20"/>
          <w:szCs w:val="20"/>
        </w:rPr>
      </w:pPr>
      <w:r>
        <w:rPr>
          <w:sz w:val="20"/>
          <w:szCs w:val="20"/>
        </w:rPr>
        <w:t> </w:t>
      </w:r>
    </w:p>
    <w:p w14:paraId="72D087C2" w14:textId="77777777" w:rsidR="00000000" w:rsidRDefault="0053651E">
      <w:pPr>
        <w:pStyle w:val="a3"/>
        <w:spacing w:before="0" w:beforeAutospacing="0" w:after="0" w:afterAutospacing="0"/>
        <w:ind w:firstLine="360"/>
        <w:jc w:val="both"/>
        <w:rPr>
          <w:sz w:val="20"/>
          <w:szCs w:val="20"/>
        </w:rPr>
      </w:pPr>
      <w:r>
        <w:rPr>
          <w:sz w:val="20"/>
          <w:szCs w:val="20"/>
        </w:rPr>
        <w:t>Certain properties we own have a low tax basis, which may result in a taxable gain on sale. We may utilize 1031 exchanges to mitigate taxable income; however, there can be no assurance that we will identify properties that meet our investment objectives fo</w:t>
      </w:r>
      <w:r>
        <w:rPr>
          <w:sz w:val="20"/>
          <w:szCs w:val="20"/>
        </w:rPr>
        <w:t>r acquisitions. In the event that we do not utilize 1031 exchanges, we may be required to distribute the gain proceeds to shareholders or pay income tax, which may reduce our cash flow available to fund our commitments.</w:t>
      </w:r>
    </w:p>
    <w:p w14:paraId="44F520AD" w14:textId="77777777" w:rsidR="00000000" w:rsidRDefault="0053651E">
      <w:pPr>
        <w:pStyle w:val="a3"/>
        <w:spacing w:before="0" w:beforeAutospacing="0" w:after="0" w:afterAutospacing="0"/>
        <w:ind w:firstLine="360"/>
        <w:jc w:val="both"/>
        <w:rPr>
          <w:sz w:val="20"/>
          <w:szCs w:val="20"/>
        </w:rPr>
      </w:pPr>
      <w:r>
        <w:rPr>
          <w:sz w:val="20"/>
          <w:szCs w:val="20"/>
        </w:rPr>
        <w:t> </w:t>
      </w:r>
    </w:p>
    <w:p w14:paraId="0AF368CA" w14:textId="77777777" w:rsidR="00000000" w:rsidRDefault="0053651E">
      <w:pPr>
        <w:pStyle w:val="a3"/>
        <w:spacing w:before="0" w:beforeAutospacing="0" w:after="0" w:afterAutospacing="0"/>
        <w:ind w:firstLine="360"/>
        <w:jc w:val="both"/>
        <w:rPr>
          <w:sz w:val="20"/>
          <w:szCs w:val="20"/>
        </w:rPr>
      </w:pPr>
      <w:r>
        <w:rPr>
          <w:b/>
          <w:bCs/>
          <w:sz w:val="20"/>
          <w:szCs w:val="20"/>
        </w:rPr>
        <w:t>We may acquire or develop properti</w:t>
      </w:r>
      <w:r>
        <w:rPr>
          <w:b/>
          <w:bCs/>
          <w:sz w:val="20"/>
          <w:szCs w:val="20"/>
        </w:rPr>
        <w:t>es or acquire other real estate related companies, and this may create risks.</w:t>
      </w:r>
    </w:p>
    <w:p w14:paraId="3707BBFD" w14:textId="77777777" w:rsidR="00000000" w:rsidRDefault="0053651E">
      <w:pPr>
        <w:pStyle w:val="a3"/>
        <w:spacing w:before="0" w:beforeAutospacing="0" w:after="0" w:afterAutospacing="0"/>
        <w:ind w:firstLine="360"/>
        <w:jc w:val="both"/>
        <w:rPr>
          <w:sz w:val="20"/>
          <w:szCs w:val="20"/>
        </w:rPr>
      </w:pPr>
      <w:r>
        <w:rPr>
          <w:sz w:val="20"/>
          <w:szCs w:val="20"/>
        </w:rPr>
        <w:t> </w:t>
      </w:r>
    </w:p>
    <w:p w14:paraId="3EC3B200" w14:textId="77777777" w:rsidR="00000000" w:rsidRDefault="0053651E">
      <w:pPr>
        <w:pStyle w:val="a3"/>
        <w:spacing w:before="0" w:beforeAutospacing="0" w:after="0" w:afterAutospacing="0"/>
        <w:ind w:firstLine="360"/>
        <w:jc w:val="both"/>
        <w:rPr>
          <w:sz w:val="20"/>
          <w:szCs w:val="20"/>
        </w:rPr>
      </w:pPr>
      <w:r>
        <w:rPr>
          <w:sz w:val="20"/>
          <w:szCs w:val="20"/>
        </w:rPr>
        <w:t>We may acquire or develop properties or acquire other real estate related companies when we believe that an acquisition or development is consistent with our business strategie</w:t>
      </w:r>
      <w:r>
        <w:rPr>
          <w:sz w:val="20"/>
          <w:szCs w:val="20"/>
        </w:rPr>
        <w:t>s. We may not succeed in consummating desired acquisitions or in completing developments on time or within budget. When we do pursue a project or acquisition, we may not succeed in leasing newly developed or acquired properties at rents sufficient to cover</w:t>
      </w:r>
      <w:r>
        <w:rPr>
          <w:sz w:val="20"/>
          <w:szCs w:val="20"/>
        </w:rPr>
        <w:t xml:space="preserve"> the costs of acquisition or development and operations. Difficulties in integrating acquisitions may prove costly or time-consuming and could divert management’s attention from other activities. Acquisitions or developments in new markets or industries wh</w:t>
      </w:r>
      <w:r>
        <w:rPr>
          <w:sz w:val="20"/>
          <w:szCs w:val="20"/>
        </w:rPr>
        <w:t>ere we do not have the same level of market knowledge may result in poorer than anticipated performance. We may also abandon acquisition or development opportunities that management has begun pursuing and consequently fail to recover expenses already incur</w:t>
      </w:r>
      <w:r>
        <w:rPr>
          <w:sz w:val="20"/>
          <w:szCs w:val="20"/>
        </w:rPr>
        <w:t>red and will have devoted management’s time to a matter not consummated. Furthermore, our acquisitions of new properties or companies will expose us to the liabilities of those properties or companies, some of which we may not be aware of at the time of th</w:t>
      </w:r>
      <w:r>
        <w:rPr>
          <w:sz w:val="20"/>
          <w:szCs w:val="20"/>
        </w:rPr>
        <w:t>e acquisition. In addition, development of our existing properties presents similar risks.</w:t>
      </w:r>
    </w:p>
    <w:p w14:paraId="749082B6" w14:textId="77777777" w:rsidR="00000000" w:rsidRDefault="0053651E">
      <w:pPr>
        <w:pStyle w:val="a3"/>
        <w:spacing w:before="0" w:beforeAutospacing="0" w:after="0" w:afterAutospacing="0"/>
        <w:ind w:firstLine="360"/>
        <w:jc w:val="both"/>
        <w:rPr>
          <w:sz w:val="20"/>
          <w:szCs w:val="20"/>
        </w:rPr>
      </w:pPr>
      <w:r>
        <w:rPr>
          <w:sz w:val="20"/>
          <w:szCs w:val="20"/>
        </w:rPr>
        <w:t> </w:t>
      </w:r>
    </w:p>
    <w:p w14:paraId="66F382B7" w14:textId="77777777" w:rsidR="00000000" w:rsidRDefault="0053651E">
      <w:pPr>
        <w:pStyle w:val="a3"/>
        <w:spacing w:before="0" w:beforeAutospacing="0" w:after="0" w:afterAutospacing="0"/>
        <w:ind w:firstLine="360"/>
        <w:jc w:val="both"/>
        <w:rPr>
          <w:sz w:val="20"/>
          <w:szCs w:val="20"/>
        </w:rPr>
      </w:pPr>
      <w:r>
        <w:rPr>
          <w:sz w:val="20"/>
          <w:szCs w:val="20"/>
        </w:rPr>
        <w:t>Newly acquired or re-developed properties may have characteristics or deficiencies currently unknown to us that affect their value or revenue potential. It is also</w:t>
      </w:r>
      <w:r>
        <w:rPr>
          <w:sz w:val="20"/>
          <w:szCs w:val="20"/>
        </w:rPr>
        <w:t xml:space="preserve"> possible that the operating performance of these properties may decline under our management. As we acquire additional properties, we will be subject to risks associated with managing new properties, including lease-up and tenant retention. In addition, o</w:t>
      </w:r>
      <w:r>
        <w:rPr>
          <w:sz w:val="20"/>
          <w:szCs w:val="20"/>
        </w:rPr>
        <w:t>ur ability to manage our growth effectively will require us to successfully integrate our new acquisitions into our existing management structure. We may not succeed with this integration or effectively manage additional properties, particularly in seconda</w:t>
      </w:r>
      <w:r>
        <w:rPr>
          <w:sz w:val="20"/>
          <w:szCs w:val="20"/>
        </w:rPr>
        <w:t>ry markets. Also, newly acquired properties may not perform as expected.</w:t>
      </w:r>
    </w:p>
    <w:p w14:paraId="26EA9766" w14:textId="77777777" w:rsidR="00000000" w:rsidRDefault="0053651E">
      <w:pPr>
        <w:pStyle w:val="a3"/>
        <w:spacing w:before="0" w:beforeAutospacing="0" w:after="0" w:afterAutospacing="0"/>
        <w:ind w:firstLine="360"/>
        <w:jc w:val="both"/>
        <w:rPr>
          <w:sz w:val="20"/>
          <w:szCs w:val="20"/>
        </w:rPr>
      </w:pPr>
      <w:r>
        <w:rPr>
          <w:sz w:val="20"/>
          <w:szCs w:val="20"/>
        </w:rPr>
        <w:t> </w:t>
      </w:r>
    </w:p>
    <w:p w14:paraId="10BEF3A2" w14:textId="77777777" w:rsidR="00000000" w:rsidRDefault="0053651E">
      <w:pPr>
        <w:pStyle w:val="a3"/>
        <w:spacing w:before="0" w:beforeAutospacing="0" w:after="0" w:afterAutospacing="0"/>
        <w:ind w:firstLine="360"/>
        <w:jc w:val="both"/>
        <w:rPr>
          <w:sz w:val="20"/>
          <w:szCs w:val="20"/>
        </w:rPr>
      </w:pPr>
      <w:r>
        <w:rPr>
          <w:b/>
          <w:bCs/>
          <w:sz w:val="20"/>
          <w:szCs w:val="20"/>
        </w:rPr>
        <w:t>Unsuccessful real estate under development activities or a slowdown in real estate under development activities could have a direct impact on our growth, results of operations and c</w:t>
      </w:r>
      <w:r>
        <w:rPr>
          <w:b/>
          <w:bCs/>
          <w:sz w:val="20"/>
          <w:szCs w:val="20"/>
        </w:rPr>
        <w:t>ash flows.</w:t>
      </w:r>
    </w:p>
    <w:p w14:paraId="08953D96"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60684BA7" w14:textId="77777777" w:rsidR="00000000" w:rsidRDefault="0053651E">
      <w:pPr>
        <w:pStyle w:val="a3"/>
        <w:spacing w:before="0" w:beforeAutospacing="0" w:after="0" w:afterAutospacing="0"/>
        <w:ind w:firstLine="360"/>
        <w:jc w:val="both"/>
        <w:rPr>
          <w:sz w:val="20"/>
          <w:szCs w:val="20"/>
        </w:rPr>
      </w:pPr>
      <w:r>
        <w:rPr>
          <w:sz w:val="20"/>
          <w:szCs w:val="20"/>
        </w:rPr>
        <w:t>Real estate under development is a component of our operating and investment strategy. We intend to continue pursuing select real estate under development opportunities for long-term investment and construction of retail, residential and/or mi</w:t>
      </w:r>
      <w:r>
        <w:rPr>
          <w:sz w:val="20"/>
          <w:szCs w:val="20"/>
        </w:rPr>
        <w:t>xed-use properties as opportunities arise. We expect to phase in construction until sufficient preleasing is reached. Our real estate under development and construction activities include the following risks:</w:t>
      </w:r>
    </w:p>
    <w:p w14:paraId="1C2B2D4C" w14:textId="77777777" w:rsidR="00000000" w:rsidRDefault="0053651E">
      <w:pPr>
        <w:pStyle w:val="a3"/>
        <w:spacing w:before="0" w:beforeAutospacing="0" w:after="0" w:afterAutospacing="0"/>
        <w:ind w:firstLine="36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E1121BA" w14:textId="77777777">
        <w:trPr>
          <w:tblCellSpacing w:w="0" w:type="dxa"/>
        </w:trPr>
        <w:tc>
          <w:tcPr>
            <w:tcW w:w="360" w:type="dxa"/>
            <w:vAlign w:val="center"/>
            <w:hideMark/>
          </w:tcPr>
          <w:p w14:paraId="3F75781A" w14:textId="77777777" w:rsidR="00000000" w:rsidRDefault="0053651E">
            <w:pPr>
              <w:rPr>
                <w:rFonts w:eastAsia="Times New Roman"/>
                <w:sz w:val="20"/>
                <w:szCs w:val="20"/>
              </w:rPr>
            </w:pPr>
            <w:r>
              <w:rPr>
                <w:rFonts w:eastAsia="Times New Roman"/>
                <w:sz w:val="20"/>
                <w:szCs w:val="20"/>
              </w:rPr>
              <w:t> </w:t>
            </w:r>
          </w:p>
        </w:tc>
        <w:tc>
          <w:tcPr>
            <w:tcW w:w="360" w:type="dxa"/>
            <w:hideMark/>
          </w:tcPr>
          <w:p w14:paraId="188D5FD4"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2A20E74" w14:textId="77777777" w:rsidR="00000000" w:rsidRDefault="0053651E">
            <w:pPr>
              <w:pStyle w:val="a3"/>
              <w:spacing w:before="0" w:beforeAutospacing="0" w:after="0" w:afterAutospacing="0"/>
              <w:rPr>
                <w:sz w:val="20"/>
                <w:szCs w:val="20"/>
              </w:rPr>
            </w:pPr>
            <w:r>
              <w:rPr>
                <w:sz w:val="20"/>
                <w:szCs w:val="20"/>
              </w:rPr>
              <w:t>we may abandon real estate under developm</w:t>
            </w:r>
            <w:r>
              <w:rPr>
                <w:sz w:val="20"/>
                <w:szCs w:val="20"/>
              </w:rPr>
              <w:t>ent opportunities after expending resources and could lose all or part of our investment in such opportunities, including loss of deposits or failure to recover expenses already incurred</w:t>
            </w:r>
            <w:r>
              <w:rPr>
                <w:sz w:val="20"/>
                <w:szCs w:val="20"/>
              </w:rPr>
              <w:t>;</w:t>
            </w:r>
          </w:p>
        </w:tc>
      </w:tr>
    </w:tbl>
    <w:p w14:paraId="1247AF2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2770CE1" w14:textId="77777777">
        <w:trPr>
          <w:tblCellSpacing w:w="0" w:type="dxa"/>
        </w:trPr>
        <w:tc>
          <w:tcPr>
            <w:tcW w:w="360" w:type="dxa"/>
            <w:vAlign w:val="center"/>
            <w:hideMark/>
          </w:tcPr>
          <w:p w14:paraId="6316EF5D" w14:textId="77777777" w:rsidR="00000000" w:rsidRDefault="0053651E">
            <w:pPr>
              <w:rPr>
                <w:rFonts w:eastAsia="Times New Roman"/>
                <w:sz w:val="20"/>
                <w:szCs w:val="20"/>
              </w:rPr>
            </w:pPr>
            <w:r>
              <w:rPr>
                <w:rFonts w:eastAsia="Times New Roman"/>
                <w:sz w:val="20"/>
                <w:szCs w:val="20"/>
              </w:rPr>
              <w:t> </w:t>
            </w:r>
          </w:p>
        </w:tc>
        <w:tc>
          <w:tcPr>
            <w:tcW w:w="360" w:type="dxa"/>
            <w:hideMark/>
          </w:tcPr>
          <w:p w14:paraId="01E9A33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B276C6A" w14:textId="77777777" w:rsidR="00000000" w:rsidRDefault="0053651E">
            <w:pPr>
              <w:pStyle w:val="a3"/>
              <w:spacing w:before="0" w:beforeAutospacing="0" w:after="0" w:afterAutospacing="0"/>
              <w:rPr>
                <w:sz w:val="20"/>
                <w:szCs w:val="20"/>
              </w:rPr>
            </w:pPr>
            <w:r>
              <w:rPr>
                <w:sz w:val="20"/>
                <w:szCs w:val="20"/>
              </w:rPr>
              <w:t>development, construction or operating costs, including increa</w:t>
            </w:r>
            <w:r>
              <w:rPr>
                <w:sz w:val="20"/>
                <w:szCs w:val="20"/>
              </w:rPr>
              <w:t>sed interest rates and higher materials, transportation, labor, leasing or other costs, may exceed our original estimates</w:t>
            </w:r>
            <w:r>
              <w:rPr>
                <w:sz w:val="20"/>
                <w:szCs w:val="20"/>
              </w:rPr>
              <w:t>;</w:t>
            </w:r>
          </w:p>
        </w:tc>
      </w:tr>
    </w:tbl>
    <w:p w14:paraId="1C35F393" w14:textId="77777777" w:rsidR="00000000" w:rsidRDefault="0053651E">
      <w:pPr>
        <w:pStyle w:val="a3"/>
        <w:spacing w:before="0" w:beforeAutospacing="0" w:after="0" w:afterAutospacing="0"/>
        <w:rPr>
          <w:sz w:val="20"/>
          <w:szCs w:val="20"/>
        </w:rPr>
      </w:pPr>
      <w:r>
        <w:rPr>
          <w:sz w:val="20"/>
          <w:szCs w:val="20"/>
        </w:rPr>
        <w:t> </w:t>
      </w:r>
    </w:p>
    <w:p w14:paraId="5CCE0E17" w14:textId="77777777" w:rsidR="00000000" w:rsidRDefault="0053651E">
      <w:pPr>
        <w:jc w:val="center"/>
        <w:divId w:val="1661037447"/>
        <w:rPr>
          <w:rFonts w:eastAsia="Times New Roman"/>
          <w:sz w:val="20"/>
          <w:szCs w:val="20"/>
        </w:rPr>
      </w:pPr>
      <w:r>
        <w:rPr>
          <w:rFonts w:eastAsia="Times New Roman"/>
          <w:sz w:val="20"/>
          <w:szCs w:val="20"/>
        </w:rPr>
        <w:t xml:space="preserve">8 </w:t>
      </w:r>
    </w:p>
    <w:p w14:paraId="67FF7154" w14:textId="77777777" w:rsidR="00000000" w:rsidRDefault="0053651E">
      <w:pPr>
        <w:divId w:val="1661037447"/>
        <w:rPr>
          <w:rFonts w:eastAsia="Times New Roman"/>
          <w:sz w:val="20"/>
          <w:szCs w:val="20"/>
        </w:rPr>
      </w:pPr>
      <w:r>
        <w:rPr>
          <w:rFonts w:eastAsia="Times New Roman"/>
          <w:sz w:val="20"/>
          <w:szCs w:val="20"/>
        </w:rPr>
        <w:pict w14:anchorId="573B654D">
          <v:rect id="_x0000_i1037" style="width:0;height:1.5pt" o:hralign="center" o:hrstd="t" o:hr="t" fillcolor="#a0a0a0" stroked="f"/>
        </w:pict>
      </w:r>
    </w:p>
    <w:p w14:paraId="4DAB8FB6" w14:textId="77777777" w:rsidR="00000000" w:rsidRDefault="0053651E">
      <w:pPr>
        <w:divId w:val="16610374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9B51E0C"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DE5DE54" w14:textId="77777777">
        <w:trPr>
          <w:tblCellSpacing w:w="0" w:type="dxa"/>
        </w:trPr>
        <w:tc>
          <w:tcPr>
            <w:tcW w:w="360" w:type="dxa"/>
            <w:vAlign w:val="center"/>
            <w:hideMark/>
          </w:tcPr>
          <w:p w14:paraId="444E7F89" w14:textId="77777777" w:rsidR="00000000" w:rsidRDefault="0053651E">
            <w:pPr>
              <w:rPr>
                <w:rFonts w:eastAsia="Times New Roman"/>
                <w:sz w:val="20"/>
                <w:szCs w:val="20"/>
              </w:rPr>
            </w:pPr>
            <w:r>
              <w:rPr>
                <w:rFonts w:eastAsia="Times New Roman"/>
                <w:sz w:val="20"/>
                <w:szCs w:val="20"/>
              </w:rPr>
              <w:t> </w:t>
            </w:r>
          </w:p>
        </w:tc>
        <w:tc>
          <w:tcPr>
            <w:tcW w:w="360" w:type="dxa"/>
            <w:hideMark/>
          </w:tcPr>
          <w:p w14:paraId="127F880F"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41936065" w14:textId="77777777" w:rsidR="00000000" w:rsidRDefault="0053651E">
            <w:pPr>
              <w:pStyle w:val="a3"/>
              <w:spacing w:before="0" w:beforeAutospacing="0" w:after="0" w:afterAutospacing="0"/>
              <w:rPr>
                <w:sz w:val="20"/>
                <w:szCs w:val="20"/>
              </w:rPr>
            </w:pPr>
            <w:r>
              <w:rPr>
                <w:sz w:val="20"/>
                <w:szCs w:val="20"/>
              </w:rPr>
              <w:t>occupancy rates and rents at a newly completed property may not meet our expectations and may not be sufficient to make the property profitable</w:t>
            </w:r>
            <w:r>
              <w:rPr>
                <w:sz w:val="20"/>
                <w:szCs w:val="20"/>
              </w:rPr>
              <w:t>;</w:t>
            </w:r>
          </w:p>
        </w:tc>
      </w:tr>
    </w:tbl>
    <w:p w14:paraId="068F1BF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F2344A9" w14:textId="77777777">
        <w:trPr>
          <w:tblCellSpacing w:w="0" w:type="dxa"/>
        </w:trPr>
        <w:tc>
          <w:tcPr>
            <w:tcW w:w="360" w:type="dxa"/>
            <w:vAlign w:val="center"/>
            <w:hideMark/>
          </w:tcPr>
          <w:p w14:paraId="3B310908" w14:textId="77777777" w:rsidR="00000000" w:rsidRDefault="0053651E">
            <w:pPr>
              <w:rPr>
                <w:rFonts w:eastAsia="Times New Roman"/>
                <w:sz w:val="20"/>
                <w:szCs w:val="20"/>
              </w:rPr>
            </w:pPr>
            <w:r>
              <w:rPr>
                <w:rFonts w:eastAsia="Times New Roman"/>
                <w:sz w:val="20"/>
                <w:szCs w:val="20"/>
              </w:rPr>
              <w:t> </w:t>
            </w:r>
          </w:p>
        </w:tc>
        <w:tc>
          <w:tcPr>
            <w:tcW w:w="360" w:type="dxa"/>
            <w:hideMark/>
          </w:tcPr>
          <w:p w14:paraId="63344F1F"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8CC4295" w14:textId="77777777" w:rsidR="00000000" w:rsidRDefault="0053651E">
            <w:pPr>
              <w:pStyle w:val="a3"/>
              <w:spacing w:before="0" w:beforeAutospacing="0" w:after="0" w:afterAutospacing="0"/>
              <w:rPr>
                <w:sz w:val="20"/>
                <w:szCs w:val="20"/>
              </w:rPr>
            </w:pPr>
            <w:r>
              <w:rPr>
                <w:sz w:val="20"/>
                <w:szCs w:val="20"/>
              </w:rPr>
              <w:t>construction or pe</w:t>
            </w:r>
            <w:r>
              <w:rPr>
                <w:sz w:val="20"/>
                <w:szCs w:val="20"/>
              </w:rPr>
              <w:t>rmanent financing may not be available to us on favorable terms or at all</w:t>
            </w:r>
            <w:r>
              <w:rPr>
                <w:sz w:val="20"/>
                <w:szCs w:val="20"/>
              </w:rPr>
              <w:t>;</w:t>
            </w:r>
          </w:p>
        </w:tc>
      </w:tr>
    </w:tbl>
    <w:p w14:paraId="070E153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91C7EF7" w14:textId="77777777">
        <w:trPr>
          <w:tblCellSpacing w:w="0" w:type="dxa"/>
        </w:trPr>
        <w:tc>
          <w:tcPr>
            <w:tcW w:w="360" w:type="dxa"/>
            <w:vAlign w:val="center"/>
            <w:hideMark/>
          </w:tcPr>
          <w:p w14:paraId="425172CB" w14:textId="77777777" w:rsidR="00000000" w:rsidRDefault="0053651E">
            <w:pPr>
              <w:rPr>
                <w:rFonts w:eastAsia="Times New Roman"/>
                <w:sz w:val="20"/>
                <w:szCs w:val="20"/>
              </w:rPr>
            </w:pPr>
            <w:r>
              <w:rPr>
                <w:rFonts w:eastAsia="Times New Roman"/>
                <w:sz w:val="20"/>
                <w:szCs w:val="20"/>
              </w:rPr>
              <w:t> </w:t>
            </w:r>
          </w:p>
        </w:tc>
        <w:tc>
          <w:tcPr>
            <w:tcW w:w="360" w:type="dxa"/>
            <w:hideMark/>
          </w:tcPr>
          <w:p w14:paraId="49ADA0F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25055862" w14:textId="77777777" w:rsidR="00000000" w:rsidRDefault="0053651E">
            <w:pPr>
              <w:pStyle w:val="a3"/>
              <w:spacing w:before="0" w:beforeAutospacing="0" w:after="0" w:afterAutospacing="0"/>
              <w:rPr>
                <w:sz w:val="20"/>
                <w:szCs w:val="20"/>
              </w:rPr>
            </w:pPr>
            <w:r>
              <w:rPr>
                <w:sz w:val="20"/>
                <w:szCs w:val="20"/>
              </w:rPr>
              <w:t xml:space="preserve">we may not complete construction and lease-up on schedule due to a variety of factors including construction delays or contractor changes, resulting in increased expenses and </w:t>
            </w:r>
            <w:r>
              <w:rPr>
                <w:sz w:val="20"/>
                <w:szCs w:val="20"/>
              </w:rPr>
              <w:t>construction costs or tenants or operators with the right to terminate pre-construction leases; and</w:t>
            </w:r>
          </w:p>
        </w:tc>
      </w:tr>
    </w:tbl>
    <w:p w14:paraId="353FC1F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26E26B5" w14:textId="77777777">
        <w:trPr>
          <w:tblCellSpacing w:w="0" w:type="dxa"/>
        </w:trPr>
        <w:tc>
          <w:tcPr>
            <w:tcW w:w="360" w:type="dxa"/>
            <w:vAlign w:val="center"/>
            <w:hideMark/>
          </w:tcPr>
          <w:p w14:paraId="6A01F534" w14:textId="77777777" w:rsidR="00000000" w:rsidRDefault="0053651E">
            <w:pPr>
              <w:rPr>
                <w:rFonts w:eastAsia="Times New Roman"/>
                <w:sz w:val="20"/>
                <w:szCs w:val="20"/>
              </w:rPr>
            </w:pPr>
            <w:r>
              <w:rPr>
                <w:rFonts w:eastAsia="Times New Roman"/>
                <w:sz w:val="20"/>
                <w:szCs w:val="20"/>
              </w:rPr>
              <w:t> </w:t>
            </w:r>
          </w:p>
        </w:tc>
        <w:tc>
          <w:tcPr>
            <w:tcW w:w="360" w:type="dxa"/>
            <w:hideMark/>
          </w:tcPr>
          <w:p w14:paraId="6828B41D"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C92AFC6" w14:textId="77777777" w:rsidR="00000000" w:rsidRDefault="0053651E">
            <w:pPr>
              <w:pStyle w:val="a3"/>
              <w:spacing w:before="0" w:beforeAutospacing="0" w:after="0" w:afterAutospacing="0"/>
              <w:rPr>
                <w:sz w:val="20"/>
                <w:szCs w:val="20"/>
              </w:rPr>
            </w:pPr>
            <w:r>
              <w:rPr>
                <w:sz w:val="20"/>
                <w:szCs w:val="20"/>
              </w:rPr>
              <w:t>we may not be able to obtain, or may experience delays in obtaining, necessary zoning, land use, building, occupancy and other required governmental permits and authorizations.</w:t>
            </w:r>
          </w:p>
        </w:tc>
      </w:tr>
    </w:tbl>
    <w:p w14:paraId="76CFB741"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19B64016" w14:textId="77777777" w:rsidR="00000000" w:rsidRDefault="0053651E">
      <w:pPr>
        <w:pStyle w:val="a3"/>
        <w:spacing w:before="0" w:beforeAutospacing="0" w:after="0" w:afterAutospacing="0"/>
        <w:ind w:firstLine="360"/>
        <w:jc w:val="both"/>
        <w:rPr>
          <w:sz w:val="20"/>
          <w:szCs w:val="20"/>
        </w:rPr>
      </w:pPr>
      <w:r>
        <w:rPr>
          <w:sz w:val="20"/>
          <w:szCs w:val="20"/>
        </w:rPr>
        <w:t>Additionally, new real estate under development activities typically require</w:t>
      </w:r>
      <w:r>
        <w:rPr>
          <w:sz w:val="20"/>
          <w:szCs w:val="20"/>
        </w:rPr>
        <w:t xml:space="preserve"> substantial time and attention from management, and the time frame required for development, construction and lease-up of these properties could require several years to realize any significant cash return. The foregoing risks could hinder our growth and </w:t>
      </w:r>
      <w:r>
        <w:rPr>
          <w:sz w:val="20"/>
          <w:szCs w:val="20"/>
        </w:rPr>
        <w:t>have an adverse effect on our financial condition, results of operations and cash flows.</w:t>
      </w:r>
    </w:p>
    <w:p w14:paraId="7FC54F0D" w14:textId="77777777" w:rsidR="00000000" w:rsidRDefault="0053651E">
      <w:pPr>
        <w:pStyle w:val="a3"/>
        <w:spacing w:before="0" w:beforeAutospacing="0" w:after="0" w:afterAutospacing="0"/>
        <w:ind w:firstLine="360"/>
        <w:jc w:val="both"/>
        <w:rPr>
          <w:sz w:val="20"/>
          <w:szCs w:val="20"/>
        </w:rPr>
      </w:pPr>
      <w:r>
        <w:rPr>
          <w:sz w:val="20"/>
          <w:szCs w:val="20"/>
        </w:rPr>
        <w:t> </w:t>
      </w:r>
    </w:p>
    <w:p w14:paraId="4F76955D" w14:textId="77777777" w:rsidR="00000000" w:rsidRDefault="0053651E">
      <w:pPr>
        <w:pStyle w:val="a3"/>
        <w:spacing w:before="0" w:beforeAutospacing="0" w:after="0" w:afterAutospacing="0"/>
        <w:ind w:firstLine="360"/>
        <w:jc w:val="both"/>
        <w:rPr>
          <w:sz w:val="20"/>
          <w:szCs w:val="20"/>
        </w:rPr>
      </w:pPr>
      <w:r>
        <w:rPr>
          <w:b/>
          <w:bCs/>
          <w:sz w:val="20"/>
          <w:szCs w:val="20"/>
        </w:rPr>
        <w:t>We face risks associated with the development of mixed-use commercial properties.</w:t>
      </w:r>
    </w:p>
    <w:p w14:paraId="134D0381" w14:textId="77777777" w:rsidR="00000000" w:rsidRDefault="0053651E">
      <w:pPr>
        <w:pStyle w:val="a3"/>
        <w:spacing w:before="0" w:beforeAutospacing="0" w:after="0" w:afterAutospacing="0"/>
        <w:ind w:firstLine="360"/>
        <w:jc w:val="both"/>
        <w:rPr>
          <w:sz w:val="20"/>
          <w:szCs w:val="20"/>
        </w:rPr>
      </w:pPr>
      <w:r>
        <w:rPr>
          <w:sz w:val="20"/>
          <w:szCs w:val="20"/>
        </w:rPr>
        <w:t> </w:t>
      </w:r>
    </w:p>
    <w:p w14:paraId="0C8C22DD" w14:textId="77777777" w:rsidR="00000000" w:rsidRDefault="0053651E">
      <w:pPr>
        <w:pStyle w:val="a3"/>
        <w:spacing w:before="0" w:beforeAutospacing="0" w:after="0" w:afterAutospacing="0"/>
        <w:ind w:firstLine="360"/>
        <w:jc w:val="both"/>
        <w:rPr>
          <w:sz w:val="20"/>
          <w:szCs w:val="20"/>
        </w:rPr>
      </w:pPr>
      <w:r>
        <w:rPr>
          <w:sz w:val="20"/>
          <w:szCs w:val="20"/>
        </w:rPr>
        <w:t>We operate, are currently developing, and may in the future develop, properties e</w:t>
      </w:r>
      <w:r>
        <w:rPr>
          <w:sz w:val="20"/>
          <w:szCs w:val="20"/>
        </w:rPr>
        <w:t>ither alone or through joint ventures with other persons that are known as “mixed-use” developments. This means that in addition to the development of retail space, the project may also include space for residential, office, hotel or other commercial purpo</w:t>
      </w:r>
      <w:r>
        <w:rPr>
          <w:sz w:val="20"/>
          <w:szCs w:val="20"/>
        </w:rPr>
        <w:t>ses. We have less experience in developing and managing non-retail real estate than we do with retail real estate. As a result, if a development project includes a non-retail use, we may seek to develop that component ourselves, sell the rights to that com</w:t>
      </w:r>
      <w:r>
        <w:rPr>
          <w:sz w:val="20"/>
          <w:szCs w:val="20"/>
        </w:rPr>
        <w:t>ponent to a third-party developer with experience developing properties for such use or partner with such a developer. If we do not sell the rights or partner with such a developer, or if we choose to develop the other component ourselves, we would be expo</w:t>
      </w:r>
      <w:r>
        <w:rPr>
          <w:sz w:val="20"/>
          <w:szCs w:val="20"/>
        </w:rPr>
        <w:t>sed not only to those risks typically associated with the development of commercial real estate generally, but also to specific risks associated with the development and ownership of non-retail real estate. In addition, even if we sell the rights to develo</w:t>
      </w:r>
      <w:r>
        <w:rPr>
          <w:sz w:val="20"/>
          <w:szCs w:val="20"/>
        </w:rPr>
        <w:t>p the other component or elect to participate in the development through a joint venture, we may be exposed to the risks associated with the failure of the other party to complete the development as expected. These include the risk that the other party wou</w:t>
      </w:r>
      <w:r>
        <w:rPr>
          <w:sz w:val="20"/>
          <w:szCs w:val="20"/>
        </w:rPr>
        <w:t>ld default on its obligations necessitating that we complete the other component ourselves, including providing any necessary financing. In the case of residential properties, these risks include competition for prospective residents from other operators w</w:t>
      </w:r>
      <w:r>
        <w:rPr>
          <w:sz w:val="20"/>
          <w:szCs w:val="20"/>
        </w:rPr>
        <w:t xml:space="preserve">hose properties may be perceived to offer a better location or better amenities or whose rent may be perceived as a better value given the quality, location and amenities that the resident seeks. We will also compete against condominiums and single-family </w:t>
      </w:r>
      <w:r>
        <w:rPr>
          <w:sz w:val="20"/>
          <w:szCs w:val="20"/>
        </w:rPr>
        <w:t xml:space="preserve">homes that are for sale or rent. In the case of office properties, the risks also include changes in space utilization by tenants due to technology, economic conditions and business culture, declines in financial condition of these tenants and competition </w:t>
      </w:r>
      <w:r>
        <w:rPr>
          <w:sz w:val="20"/>
          <w:szCs w:val="20"/>
        </w:rPr>
        <w:t>for credit worthy office tenants. In the case of hotel properties, the risks also include increases in inflation and utilities that may not be offset by increases in room rates. We are also dependent on business and commercial travelers and tourism.  Becau</w:t>
      </w:r>
      <w:r>
        <w:rPr>
          <w:sz w:val="20"/>
          <w:szCs w:val="20"/>
        </w:rPr>
        <w:t>se we have less experience with residential, office and hotel properties than with retail properties, we expect to retain third parties to manage our residential and other non-retail components as deemed warranted. If we decide to not sell or participate i</w:t>
      </w:r>
      <w:r>
        <w:rPr>
          <w:sz w:val="20"/>
          <w:szCs w:val="20"/>
        </w:rPr>
        <w:t>n a joint venture and instead hire a third-party manager, we would be dependent on them and their key personnel who provide services to us and we may not find a suitable replacement if the management agreement is terminated, or if key personnel leave or ot</w:t>
      </w:r>
      <w:r>
        <w:rPr>
          <w:sz w:val="20"/>
          <w:szCs w:val="20"/>
        </w:rPr>
        <w:t>herwise become unavailable to us. </w:t>
      </w:r>
    </w:p>
    <w:p w14:paraId="77223832" w14:textId="77777777" w:rsidR="00000000" w:rsidRDefault="0053651E">
      <w:pPr>
        <w:pStyle w:val="a3"/>
        <w:spacing w:before="0" w:beforeAutospacing="0" w:after="0" w:afterAutospacing="0"/>
        <w:ind w:firstLine="360"/>
        <w:jc w:val="both"/>
        <w:rPr>
          <w:sz w:val="20"/>
          <w:szCs w:val="20"/>
        </w:rPr>
      </w:pPr>
      <w:r>
        <w:rPr>
          <w:sz w:val="20"/>
          <w:szCs w:val="20"/>
        </w:rPr>
        <w:t> </w:t>
      </w:r>
    </w:p>
    <w:p w14:paraId="76D2D40A" w14:textId="77777777" w:rsidR="00000000" w:rsidRDefault="0053651E">
      <w:pPr>
        <w:pStyle w:val="a3"/>
        <w:spacing w:before="0" w:beforeAutospacing="0" w:after="0" w:afterAutospacing="0"/>
        <w:ind w:firstLine="360"/>
        <w:jc w:val="both"/>
        <w:rPr>
          <w:sz w:val="20"/>
          <w:szCs w:val="20"/>
        </w:rPr>
      </w:pPr>
      <w:r>
        <w:rPr>
          <w:b/>
          <w:bCs/>
          <w:sz w:val="20"/>
          <w:szCs w:val="20"/>
        </w:rPr>
        <w:t>Construction projects are subject to risks that materially increase the costs of completion.</w:t>
      </w:r>
    </w:p>
    <w:p w14:paraId="111D89D5"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353D7025" w14:textId="77777777" w:rsidR="00000000" w:rsidRDefault="0053651E">
      <w:pPr>
        <w:pStyle w:val="a3"/>
        <w:spacing w:before="0" w:beforeAutospacing="0" w:after="0" w:afterAutospacing="0"/>
        <w:ind w:firstLine="360"/>
        <w:jc w:val="both"/>
        <w:rPr>
          <w:sz w:val="20"/>
          <w:szCs w:val="20"/>
        </w:rPr>
      </w:pPr>
      <w:r>
        <w:rPr>
          <w:sz w:val="20"/>
          <w:szCs w:val="20"/>
        </w:rPr>
        <w:t xml:space="preserve">In the event that we decide to redevelop existing properties, we will be subject to risks and uncertainties associated with </w:t>
      </w:r>
      <w:r>
        <w:rPr>
          <w:sz w:val="20"/>
          <w:szCs w:val="20"/>
        </w:rPr>
        <w:t>construction and development. These risks include, but are not limited to, risks related to obtaining all necessary zoning, land-use, building occupancy and other governmental permits and authorizations, risks related to the environmental concerns of gover</w:t>
      </w:r>
      <w:r>
        <w:rPr>
          <w:sz w:val="20"/>
          <w:szCs w:val="20"/>
        </w:rPr>
        <w:t>nment entities or community groups, risks related to changes in economic and market conditions between development commencement and stabilization, risks related to construction labor disruptions, adverse weather, acts of God or shortages of materials and l</w:t>
      </w:r>
      <w:r>
        <w:rPr>
          <w:sz w:val="20"/>
          <w:szCs w:val="20"/>
        </w:rPr>
        <w:t>abor which could cause construction delays and risks related to increases in the cost of labor and materials which could cause construction costs to be greater than projected and adversely impact the amount of our development fees or our financial conditio</w:t>
      </w:r>
      <w:r>
        <w:rPr>
          <w:sz w:val="20"/>
          <w:szCs w:val="20"/>
        </w:rPr>
        <w:t>n, results of operations and cash flows.</w:t>
      </w:r>
    </w:p>
    <w:p w14:paraId="11040506" w14:textId="77777777" w:rsidR="00000000" w:rsidRDefault="0053651E">
      <w:pPr>
        <w:pStyle w:val="a3"/>
        <w:spacing w:before="0" w:beforeAutospacing="0" w:after="0" w:afterAutospacing="0"/>
        <w:ind w:firstLine="360"/>
        <w:jc w:val="both"/>
        <w:rPr>
          <w:sz w:val="20"/>
          <w:szCs w:val="20"/>
        </w:rPr>
      </w:pPr>
      <w:r>
        <w:rPr>
          <w:sz w:val="20"/>
          <w:szCs w:val="20"/>
        </w:rPr>
        <w:t> </w:t>
      </w:r>
    </w:p>
    <w:p w14:paraId="624178E4" w14:textId="77777777" w:rsidR="00000000" w:rsidRDefault="0053651E">
      <w:pPr>
        <w:pStyle w:val="a3"/>
        <w:spacing w:before="0" w:beforeAutospacing="0" w:after="0" w:afterAutospacing="0"/>
        <w:ind w:firstLine="360"/>
        <w:jc w:val="both"/>
        <w:rPr>
          <w:sz w:val="20"/>
          <w:szCs w:val="20"/>
        </w:rPr>
      </w:pPr>
      <w:r>
        <w:rPr>
          <w:b/>
          <w:bCs/>
          <w:sz w:val="20"/>
          <w:szCs w:val="20"/>
        </w:rPr>
        <w:t>The Americans with Disabilities Act of 1990 could require us to take remedial steps with respect to existing or newly acquired properties.</w:t>
      </w:r>
    </w:p>
    <w:p w14:paraId="04C7A823"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7A89EA01" w14:textId="77777777" w:rsidR="00000000" w:rsidRDefault="0053651E">
      <w:pPr>
        <w:pStyle w:val="a3"/>
        <w:spacing w:before="0" w:beforeAutospacing="0" w:after="0" w:afterAutospacing="0"/>
        <w:ind w:firstLine="360"/>
        <w:jc w:val="both"/>
        <w:rPr>
          <w:sz w:val="20"/>
          <w:szCs w:val="20"/>
        </w:rPr>
      </w:pPr>
      <w:r>
        <w:rPr>
          <w:sz w:val="20"/>
          <w:szCs w:val="20"/>
        </w:rPr>
        <w:t>Our existing properties, as well as properties we may acquire, as commer</w:t>
      </w:r>
      <w:r>
        <w:rPr>
          <w:sz w:val="20"/>
          <w:szCs w:val="20"/>
        </w:rPr>
        <w:t>cial facilities, are required to comply with Title III of the Americans with Disabilities Act of 1990 (the "ADA"). Investigation of a property may reveal non-compliance with this Act. The requirements of the ADA, or of other federal, state or local laws or</w:t>
      </w:r>
      <w:r>
        <w:rPr>
          <w:sz w:val="20"/>
          <w:szCs w:val="20"/>
        </w:rPr>
        <w:t xml:space="preserve"> regulations, also may change in the future and restrict further renovations of our properties with respect to access for disabled persons. Future compliance with this Act may require expensive changes to the properties.</w:t>
      </w:r>
    </w:p>
    <w:p w14:paraId="17E31769" w14:textId="77777777" w:rsidR="00000000" w:rsidRDefault="0053651E">
      <w:pPr>
        <w:pStyle w:val="a3"/>
        <w:spacing w:before="0" w:beforeAutospacing="0" w:after="0" w:afterAutospacing="0"/>
        <w:ind w:firstLine="360"/>
        <w:jc w:val="both"/>
        <w:rPr>
          <w:sz w:val="20"/>
          <w:szCs w:val="20"/>
        </w:rPr>
      </w:pPr>
      <w:r>
        <w:rPr>
          <w:sz w:val="20"/>
          <w:szCs w:val="20"/>
        </w:rPr>
        <w:t> </w:t>
      </w:r>
    </w:p>
    <w:p w14:paraId="7E05D21C" w14:textId="77777777" w:rsidR="00000000" w:rsidRDefault="0053651E">
      <w:pPr>
        <w:jc w:val="center"/>
        <w:divId w:val="309865170"/>
        <w:rPr>
          <w:rFonts w:eastAsia="Times New Roman"/>
          <w:sz w:val="20"/>
          <w:szCs w:val="20"/>
        </w:rPr>
      </w:pPr>
      <w:r>
        <w:rPr>
          <w:rFonts w:eastAsia="Times New Roman"/>
          <w:sz w:val="20"/>
          <w:szCs w:val="20"/>
        </w:rPr>
        <w:t xml:space="preserve">9 </w:t>
      </w:r>
    </w:p>
    <w:p w14:paraId="405A7A80" w14:textId="77777777" w:rsidR="00000000" w:rsidRDefault="0053651E">
      <w:pPr>
        <w:divId w:val="309865170"/>
        <w:rPr>
          <w:rFonts w:eastAsia="Times New Roman"/>
          <w:sz w:val="20"/>
          <w:szCs w:val="20"/>
        </w:rPr>
      </w:pPr>
      <w:r>
        <w:rPr>
          <w:rFonts w:eastAsia="Times New Roman"/>
          <w:sz w:val="20"/>
          <w:szCs w:val="20"/>
        </w:rPr>
        <w:pict w14:anchorId="1CAA20CD">
          <v:rect id="_x0000_i1038" style="width:0;height:1.5pt" o:hralign="center" o:hrstd="t" o:hr="t" fillcolor="#a0a0a0" stroked="f"/>
        </w:pict>
      </w:r>
    </w:p>
    <w:p w14:paraId="6A1A63ED" w14:textId="77777777" w:rsidR="00000000" w:rsidRDefault="0053651E">
      <w:pPr>
        <w:divId w:val="3098651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1787CBA" w14:textId="77777777" w:rsidR="00000000" w:rsidRDefault="0053651E">
      <w:pPr>
        <w:pStyle w:val="a3"/>
        <w:spacing w:before="0" w:beforeAutospacing="0" w:after="0" w:afterAutospacing="0"/>
        <w:rPr>
          <w:sz w:val="20"/>
          <w:szCs w:val="20"/>
        </w:rPr>
      </w:pPr>
      <w:r>
        <w:rPr>
          <w:sz w:val="20"/>
          <w:szCs w:val="20"/>
        </w:rPr>
        <w:t> </w:t>
      </w:r>
    </w:p>
    <w:p w14:paraId="5655A830" w14:textId="77777777" w:rsidR="00000000" w:rsidRDefault="0053651E">
      <w:pPr>
        <w:pStyle w:val="a3"/>
        <w:spacing w:before="0" w:beforeAutospacing="0" w:after="0" w:afterAutospacing="0"/>
        <w:ind w:firstLine="360"/>
        <w:jc w:val="both"/>
        <w:rPr>
          <w:sz w:val="20"/>
          <w:szCs w:val="20"/>
        </w:rPr>
      </w:pPr>
      <w:r>
        <w:rPr>
          <w:b/>
          <w:bCs/>
          <w:sz w:val="20"/>
          <w:szCs w:val="20"/>
        </w:rPr>
        <w:t>We do not have exclusive control over our joint venture and preferred equity investments, such that we are unable to ensure that our objectives will be pursued.</w:t>
      </w:r>
    </w:p>
    <w:p w14:paraId="2F221141" w14:textId="77777777" w:rsidR="00000000" w:rsidRDefault="0053651E">
      <w:pPr>
        <w:pStyle w:val="a3"/>
        <w:spacing w:before="0" w:beforeAutospacing="0" w:after="0" w:afterAutospacing="0"/>
        <w:ind w:firstLine="360"/>
        <w:rPr>
          <w:sz w:val="20"/>
          <w:szCs w:val="20"/>
        </w:rPr>
      </w:pPr>
      <w:r>
        <w:rPr>
          <w:sz w:val="20"/>
          <w:szCs w:val="20"/>
        </w:rPr>
        <w:t> </w:t>
      </w:r>
    </w:p>
    <w:p w14:paraId="48FCBFF5" w14:textId="77777777" w:rsidR="00000000" w:rsidRDefault="0053651E">
      <w:pPr>
        <w:pStyle w:val="a3"/>
        <w:spacing w:before="0" w:beforeAutospacing="0" w:after="0" w:afterAutospacing="0"/>
        <w:ind w:firstLine="360"/>
        <w:jc w:val="both"/>
        <w:rPr>
          <w:sz w:val="20"/>
          <w:szCs w:val="20"/>
        </w:rPr>
      </w:pPr>
      <w:r>
        <w:rPr>
          <w:sz w:val="20"/>
          <w:szCs w:val="20"/>
        </w:rPr>
        <w:t xml:space="preserve">We have invested in some properties as a co-venturer or partner, instead of owning directly. </w:t>
      </w:r>
      <w:r>
        <w:rPr>
          <w:sz w:val="20"/>
          <w:szCs w:val="20"/>
        </w:rPr>
        <w:t xml:space="preserve">In these investments, we do not have exclusive control over the development, financing, leasing, management and other aspects of these investments. As a result, the co-venturer or partner might have interests or goals that are inconsistent with ours, take </w:t>
      </w:r>
      <w:r>
        <w:rPr>
          <w:sz w:val="20"/>
          <w:szCs w:val="20"/>
        </w:rPr>
        <w:t>action contrary to our interests or otherwise impede our objectives. These investments involve risks and uncertainties. The co-venturer or partner may fail to provide capital or fulfill its obligations, which may result in certain liabilities to us for gua</w:t>
      </w:r>
      <w:r>
        <w:rPr>
          <w:sz w:val="20"/>
          <w:szCs w:val="20"/>
        </w:rPr>
        <w:t>rantees and other commitments. Conflicts arising between us and our partners may be difficult to manage and/or resolve and it could be difficult to manage or otherwise monitor the existing business arrangements. The co-venturer or partner also might become</w:t>
      </w:r>
      <w:r>
        <w:rPr>
          <w:sz w:val="20"/>
          <w:szCs w:val="20"/>
        </w:rPr>
        <w:t xml:space="preserve"> insolvent or bankrupt, which may result in significant losses to us.</w:t>
      </w:r>
    </w:p>
    <w:p w14:paraId="235CEF93" w14:textId="77777777" w:rsidR="00000000" w:rsidRDefault="0053651E">
      <w:pPr>
        <w:pStyle w:val="a3"/>
        <w:spacing w:before="0" w:beforeAutospacing="0" w:after="0" w:afterAutospacing="0"/>
        <w:ind w:firstLine="360"/>
        <w:jc w:val="both"/>
        <w:rPr>
          <w:sz w:val="20"/>
          <w:szCs w:val="20"/>
        </w:rPr>
      </w:pPr>
      <w:r>
        <w:rPr>
          <w:sz w:val="20"/>
          <w:szCs w:val="20"/>
        </w:rPr>
        <w:t> </w:t>
      </w:r>
    </w:p>
    <w:p w14:paraId="3F5F9E83" w14:textId="77777777" w:rsidR="00000000" w:rsidRDefault="0053651E">
      <w:pPr>
        <w:pStyle w:val="a3"/>
        <w:spacing w:before="0" w:beforeAutospacing="0" w:after="0" w:afterAutospacing="0"/>
        <w:ind w:firstLine="360"/>
        <w:jc w:val="both"/>
        <w:rPr>
          <w:sz w:val="20"/>
          <w:szCs w:val="20"/>
        </w:rPr>
      </w:pPr>
      <w:r>
        <w:rPr>
          <w:sz w:val="20"/>
          <w:szCs w:val="20"/>
        </w:rPr>
        <w:t>In addition, joint venture arrangements may decrease our ability to manage risk and implicate additional risks, such as:</w:t>
      </w:r>
    </w:p>
    <w:p w14:paraId="5250E5B3"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D9F8F8A" w14:textId="77777777">
        <w:trPr>
          <w:tblCellSpacing w:w="0" w:type="dxa"/>
        </w:trPr>
        <w:tc>
          <w:tcPr>
            <w:tcW w:w="360" w:type="dxa"/>
            <w:vAlign w:val="center"/>
            <w:hideMark/>
          </w:tcPr>
          <w:p w14:paraId="0488E344" w14:textId="77777777" w:rsidR="00000000" w:rsidRDefault="0053651E">
            <w:pPr>
              <w:rPr>
                <w:rFonts w:eastAsia="Times New Roman"/>
                <w:sz w:val="20"/>
                <w:szCs w:val="20"/>
              </w:rPr>
            </w:pPr>
            <w:r>
              <w:rPr>
                <w:rFonts w:eastAsia="Times New Roman"/>
                <w:sz w:val="20"/>
                <w:szCs w:val="20"/>
              </w:rPr>
              <w:t> </w:t>
            </w:r>
          </w:p>
        </w:tc>
        <w:tc>
          <w:tcPr>
            <w:tcW w:w="360" w:type="dxa"/>
            <w:hideMark/>
          </w:tcPr>
          <w:p w14:paraId="12835603"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3876E4E" w14:textId="77777777" w:rsidR="00000000" w:rsidRDefault="0053651E">
            <w:pPr>
              <w:pStyle w:val="a3"/>
              <w:spacing w:before="0" w:beforeAutospacing="0" w:after="0" w:afterAutospacing="0"/>
              <w:rPr>
                <w:sz w:val="20"/>
                <w:szCs w:val="20"/>
              </w:rPr>
            </w:pPr>
            <w:r>
              <w:rPr>
                <w:sz w:val="20"/>
                <w:szCs w:val="20"/>
              </w:rPr>
              <w:t>potentially inferior financial capacity, diverging busine</w:t>
            </w:r>
            <w:r>
              <w:rPr>
                <w:sz w:val="20"/>
                <w:szCs w:val="20"/>
              </w:rPr>
              <w:t>ss goals and strategies and the need for our venture partner’s continued cooperation;</w:t>
            </w:r>
          </w:p>
        </w:tc>
      </w:tr>
    </w:tbl>
    <w:p w14:paraId="3D525582"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1A03E7D" w14:textId="77777777">
        <w:trPr>
          <w:tblCellSpacing w:w="0" w:type="dxa"/>
        </w:trPr>
        <w:tc>
          <w:tcPr>
            <w:tcW w:w="360" w:type="dxa"/>
            <w:vAlign w:val="center"/>
            <w:hideMark/>
          </w:tcPr>
          <w:p w14:paraId="1AA734CB" w14:textId="77777777" w:rsidR="00000000" w:rsidRDefault="0053651E">
            <w:pPr>
              <w:rPr>
                <w:rFonts w:eastAsia="Times New Roman"/>
                <w:sz w:val="20"/>
                <w:szCs w:val="20"/>
              </w:rPr>
            </w:pPr>
            <w:r>
              <w:rPr>
                <w:rFonts w:eastAsia="Times New Roman"/>
                <w:sz w:val="20"/>
                <w:szCs w:val="20"/>
              </w:rPr>
              <w:t> </w:t>
            </w:r>
          </w:p>
        </w:tc>
        <w:tc>
          <w:tcPr>
            <w:tcW w:w="360" w:type="dxa"/>
            <w:hideMark/>
          </w:tcPr>
          <w:p w14:paraId="1BA11E0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F0A8515" w14:textId="77777777" w:rsidR="00000000" w:rsidRDefault="0053651E">
            <w:pPr>
              <w:pStyle w:val="a3"/>
              <w:spacing w:before="0" w:beforeAutospacing="0" w:after="0" w:afterAutospacing="0"/>
              <w:rPr>
                <w:sz w:val="20"/>
                <w:szCs w:val="20"/>
              </w:rPr>
            </w:pPr>
            <w:r>
              <w:rPr>
                <w:sz w:val="20"/>
                <w:szCs w:val="20"/>
              </w:rPr>
              <w:t>our inability to take actions with respect to the joint venture activities that we believe are favorable to us if our joint venture partner does not agree;</w:t>
            </w:r>
          </w:p>
        </w:tc>
      </w:tr>
    </w:tbl>
    <w:p w14:paraId="1B89FC4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38FDA8E" w14:textId="77777777">
        <w:trPr>
          <w:tblCellSpacing w:w="0" w:type="dxa"/>
        </w:trPr>
        <w:tc>
          <w:tcPr>
            <w:tcW w:w="360" w:type="dxa"/>
            <w:vAlign w:val="center"/>
            <w:hideMark/>
          </w:tcPr>
          <w:p w14:paraId="17A10D56" w14:textId="77777777" w:rsidR="00000000" w:rsidRDefault="0053651E">
            <w:pPr>
              <w:rPr>
                <w:rFonts w:eastAsia="Times New Roman"/>
                <w:sz w:val="20"/>
                <w:szCs w:val="20"/>
              </w:rPr>
            </w:pPr>
            <w:r>
              <w:rPr>
                <w:rFonts w:eastAsia="Times New Roman"/>
                <w:sz w:val="20"/>
                <w:szCs w:val="20"/>
              </w:rPr>
              <w:t> </w:t>
            </w:r>
          </w:p>
        </w:tc>
        <w:tc>
          <w:tcPr>
            <w:tcW w:w="360" w:type="dxa"/>
            <w:hideMark/>
          </w:tcPr>
          <w:p w14:paraId="18895D48"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8CC601B" w14:textId="77777777" w:rsidR="00000000" w:rsidRDefault="0053651E">
            <w:pPr>
              <w:pStyle w:val="a3"/>
              <w:spacing w:before="0" w:beforeAutospacing="0" w:after="0" w:afterAutospacing="0"/>
              <w:rPr>
                <w:sz w:val="20"/>
                <w:szCs w:val="20"/>
              </w:rPr>
            </w:pPr>
            <w:r>
              <w:rPr>
                <w:sz w:val="20"/>
                <w:szCs w:val="20"/>
              </w:rPr>
              <w:t>ou</w:t>
            </w:r>
            <w:r>
              <w:rPr>
                <w:sz w:val="20"/>
                <w:szCs w:val="20"/>
              </w:rPr>
              <w:t>r inability to control the legal entity that has title to the real estate associated with the joint venture;</w:t>
            </w:r>
          </w:p>
        </w:tc>
      </w:tr>
    </w:tbl>
    <w:p w14:paraId="40C03EE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2E2C296" w14:textId="77777777">
        <w:trPr>
          <w:tblCellSpacing w:w="0" w:type="dxa"/>
        </w:trPr>
        <w:tc>
          <w:tcPr>
            <w:tcW w:w="360" w:type="dxa"/>
            <w:vAlign w:val="center"/>
            <w:hideMark/>
          </w:tcPr>
          <w:p w14:paraId="2A39B1B5" w14:textId="77777777" w:rsidR="00000000" w:rsidRDefault="0053651E">
            <w:pPr>
              <w:rPr>
                <w:rFonts w:eastAsia="Times New Roman"/>
                <w:sz w:val="20"/>
                <w:szCs w:val="20"/>
              </w:rPr>
            </w:pPr>
            <w:r>
              <w:rPr>
                <w:rFonts w:eastAsia="Times New Roman"/>
                <w:sz w:val="20"/>
                <w:szCs w:val="20"/>
              </w:rPr>
              <w:t> </w:t>
            </w:r>
          </w:p>
        </w:tc>
        <w:tc>
          <w:tcPr>
            <w:tcW w:w="360" w:type="dxa"/>
            <w:hideMark/>
          </w:tcPr>
          <w:p w14:paraId="0263306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2452D2C" w14:textId="77777777" w:rsidR="00000000" w:rsidRDefault="0053651E">
            <w:pPr>
              <w:pStyle w:val="a3"/>
              <w:spacing w:before="0" w:beforeAutospacing="0" w:after="0" w:afterAutospacing="0"/>
              <w:rPr>
                <w:sz w:val="20"/>
                <w:szCs w:val="20"/>
              </w:rPr>
            </w:pPr>
            <w:r>
              <w:rPr>
                <w:sz w:val="20"/>
                <w:szCs w:val="20"/>
              </w:rPr>
              <w:t>our lenders may not be easily able to sell our joint venture assets and investments or may view them less favorably as collateral, which could negatively affect our liquidity and capital resources;</w:t>
            </w:r>
          </w:p>
        </w:tc>
      </w:tr>
    </w:tbl>
    <w:p w14:paraId="704FB78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82D08B3" w14:textId="77777777">
        <w:trPr>
          <w:tblCellSpacing w:w="0" w:type="dxa"/>
        </w:trPr>
        <w:tc>
          <w:tcPr>
            <w:tcW w:w="360" w:type="dxa"/>
            <w:vAlign w:val="center"/>
            <w:hideMark/>
          </w:tcPr>
          <w:p w14:paraId="3D418BDE" w14:textId="77777777" w:rsidR="00000000" w:rsidRDefault="0053651E">
            <w:pPr>
              <w:rPr>
                <w:rFonts w:eastAsia="Times New Roman"/>
                <w:sz w:val="20"/>
                <w:szCs w:val="20"/>
              </w:rPr>
            </w:pPr>
            <w:r>
              <w:rPr>
                <w:rFonts w:eastAsia="Times New Roman"/>
                <w:sz w:val="20"/>
                <w:szCs w:val="20"/>
              </w:rPr>
              <w:t> </w:t>
            </w:r>
          </w:p>
        </w:tc>
        <w:tc>
          <w:tcPr>
            <w:tcW w:w="360" w:type="dxa"/>
            <w:hideMark/>
          </w:tcPr>
          <w:p w14:paraId="169F9001"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2642D5D" w14:textId="77777777" w:rsidR="00000000" w:rsidRDefault="0053651E">
            <w:pPr>
              <w:pStyle w:val="a3"/>
              <w:spacing w:before="0" w:beforeAutospacing="0" w:after="0" w:afterAutospacing="0"/>
              <w:rPr>
                <w:sz w:val="20"/>
                <w:szCs w:val="20"/>
              </w:rPr>
            </w:pPr>
            <w:r>
              <w:rPr>
                <w:sz w:val="20"/>
                <w:szCs w:val="20"/>
              </w:rPr>
              <w:t xml:space="preserve">our joint venture partners can take actions that we </w:t>
            </w:r>
            <w:r>
              <w:rPr>
                <w:sz w:val="20"/>
                <w:szCs w:val="20"/>
              </w:rPr>
              <w:t>may not be able to anticipate or prevent, which could result in negative impacts on our debt and equity; and</w:t>
            </w:r>
          </w:p>
        </w:tc>
      </w:tr>
    </w:tbl>
    <w:p w14:paraId="52B3928C"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7A043C0" w14:textId="77777777">
        <w:trPr>
          <w:tblCellSpacing w:w="0" w:type="dxa"/>
        </w:trPr>
        <w:tc>
          <w:tcPr>
            <w:tcW w:w="360" w:type="dxa"/>
            <w:vAlign w:val="center"/>
            <w:hideMark/>
          </w:tcPr>
          <w:p w14:paraId="4E09D555" w14:textId="77777777" w:rsidR="00000000" w:rsidRDefault="0053651E">
            <w:pPr>
              <w:rPr>
                <w:rFonts w:eastAsia="Times New Roman"/>
                <w:sz w:val="20"/>
                <w:szCs w:val="20"/>
              </w:rPr>
            </w:pPr>
            <w:r>
              <w:rPr>
                <w:rFonts w:eastAsia="Times New Roman"/>
                <w:sz w:val="20"/>
                <w:szCs w:val="20"/>
              </w:rPr>
              <w:t> </w:t>
            </w:r>
          </w:p>
        </w:tc>
        <w:tc>
          <w:tcPr>
            <w:tcW w:w="360" w:type="dxa"/>
            <w:hideMark/>
          </w:tcPr>
          <w:p w14:paraId="6A49FADD"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329DA16" w14:textId="77777777" w:rsidR="00000000" w:rsidRDefault="0053651E">
            <w:pPr>
              <w:pStyle w:val="a3"/>
              <w:spacing w:before="0" w:beforeAutospacing="0" w:after="0" w:afterAutospacing="0"/>
              <w:rPr>
                <w:sz w:val="20"/>
                <w:szCs w:val="20"/>
              </w:rPr>
            </w:pPr>
            <w:r>
              <w:rPr>
                <w:sz w:val="20"/>
                <w:szCs w:val="20"/>
              </w:rPr>
              <w:t>our joint venture partners’ business decisions or other actions or omissions may result in harm to our reputation or adversely affect the val</w:t>
            </w:r>
            <w:r>
              <w:rPr>
                <w:sz w:val="20"/>
                <w:szCs w:val="20"/>
              </w:rPr>
              <w:t>ue of our investments.</w:t>
            </w:r>
          </w:p>
        </w:tc>
      </w:tr>
    </w:tbl>
    <w:p w14:paraId="0A53FAB7" w14:textId="77777777" w:rsidR="00000000" w:rsidRDefault="0053651E">
      <w:pPr>
        <w:pStyle w:val="a3"/>
        <w:spacing w:before="0" w:beforeAutospacing="0" w:after="0" w:afterAutospacing="0"/>
        <w:ind w:firstLine="360"/>
        <w:jc w:val="both"/>
        <w:rPr>
          <w:sz w:val="20"/>
          <w:szCs w:val="20"/>
        </w:rPr>
      </w:pPr>
      <w:r>
        <w:rPr>
          <w:sz w:val="20"/>
          <w:szCs w:val="20"/>
        </w:rPr>
        <w:t> </w:t>
      </w:r>
    </w:p>
    <w:p w14:paraId="52C5E96A" w14:textId="77777777" w:rsidR="00000000" w:rsidRDefault="0053651E">
      <w:pPr>
        <w:pStyle w:val="a3"/>
        <w:spacing w:before="0" w:beforeAutospacing="0" w:after="0" w:afterAutospacing="0"/>
        <w:ind w:firstLine="360"/>
        <w:jc w:val="both"/>
        <w:rPr>
          <w:sz w:val="20"/>
          <w:szCs w:val="20"/>
        </w:rPr>
      </w:pPr>
      <w:r>
        <w:rPr>
          <w:sz w:val="20"/>
          <w:szCs w:val="20"/>
        </w:rPr>
        <w:t>Our joint venture and preferred equity investments generally own real estate properties for which the economic performance and value is subject to all the risks associated with owning and operating real estate as described above.</w:t>
      </w:r>
    </w:p>
    <w:p w14:paraId="0D98646C"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2A513FB4" w14:textId="77777777" w:rsidR="00000000" w:rsidRDefault="0053651E">
      <w:pPr>
        <w:pStyle w:val="a3"/>
        <w:spacing w:before="0" w:beforeAutospacing="0" w:after="0" w:afterAutospacing="0"/>
        <w:ind w:firstLine="360"/>
        <w:jc w:val="both"/>
        <w:rPr>
          <w:sz w:val="20"/>
          <w:szCs w:val="20"/>
        </w:rPr>
      </w:pPr>
      <w:r>
        <w:rPr>
          <w:b/>
          <w:bCs/>
          <w:sz w:val="20"/>
          <w:szCs w:val="20"/>
        </w:rPr>
        <w:t>We may not be able to recover our investments in cost method investments, which may result in significant losses to us.</w:t>
      </w:r>
    </w:p>
    <w:p w14:paraId="0A05A646" w14:textId="77777777" w:rsidR="00000000" w:rsidRDefault="0053651E">
      <w:pPr>
        <w:pStyle w:val="a3"/>
        <w:spacing w:before="0" w:beforeAutospacing="0" w:after="0" w:afterAutospacing="0"/>
        <w:ind w:firstLine="360"/>
        <w:jc w:val="both"/>
        <w:rPr>
          <w:sz w:val="20"/>
          <w:szCs w:val="20"/>
        </w:rPr>
      </w:pPr>
      <w:r>
        <w:rPr>
          <w:sz w:val="20"/>
          <w:szCs w:val="20"/>
        </w:rPr>
        <w:t> </w:t>
      </w:r>
    </w:p>
    <w:p w14:paraId="15C882A8" w14:textId="77777777" w:rsidR="00000000" w:rsidRDefault="0053651E">
      <w:pPr>
        <w:pStyle w:val="a3"/>
        <w:spacing w:before="0" w:beforeAutospacing="0" w:after="0" w:afterAutospacing="0"/>
        <w:ind w:firstLine="360"/>
        <w:jc w:val="both"/>
        <w:rPr>
          <w:sz w:val="20"/>
          <w:szCs w:val="20"/>
        </w:rPr>
      </w:pPr>
      <w:r>
        <w:rPr>
          <w:sz w:val="20"/>
          <w:szCs w:val="20"/>
        </w:rPr>
        <w:t>The economic performance and value of our cost method investments, which we do not control and are in retail operations, are subject</w:t>
      </w:r>
      <w:r>
        <w:rPr>
          <w:sz w:val="20"/>
          <w:szCs w:val="20"/>
        </w:rPr>
        <w:t xml:space="preserve"> to risks associated with owning and operating retail businesses, including:</w:t>
      </w:r>
    </w:p>
    <w:p w14:paraId="4849157D"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2D4E31C" w14:textId="77777777">
        <w:trPr>
          <w:tblCellSpacing w:w="0" w:type="dxa"/>
        </w:trPr>
        <w:tc>
          <w:tcPr>
            <w:tcW w:w="360" w:type="dxa"/>
            <w:vAlign w:val="center"/>
            <w:hideMark/>
          </w:tcPr>
          <w:p w14:paraId="36CA2790" w14:textId="77777777" w:rsidR="00000000" w:rsidRDefault="0053651E">
            <w:pPr>
              <w:rPr>
                <w:rFonts w:eastAsia="Times New Roman"/>
                <w:sz w:val="20"/>
                <w:szCs w:val="20"/>
              </w:rPr>
            </w:pPr>
            <w:r>
              <w:rPr>
                <w:rFonts w:eastAsia="Times New Roman"/>
                <w:sz w:val="20"/>
                <w:szCs w:val="20"/>
              </w:rPr>
              <w:t> </w:t>
            </w:r>
          </w:p>
        </w:tc>
        <w:tc>
          <w:tcPr>
            <w:tcW w:w="360" w:type="dxa"/>
            <w:hideMark/>
          </w:tcPr>
          <w:p w14:paraId="045CA046"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07D528D" w14:textId="77777777" w:rsidR="00000000" w:rsidRDefault="0053651E">
            <w:pPr>
              <w:pStyle w:val="a3"/>
              <w:spacing w:before="0" w:beforeAutospacing="0" w:after="0" w:afterAutospacing="0"/>
              <w:rPr>
                <w:sz w:val="20"/>
                <w:szCs w:val="20"/>
              </w:rPr>
            </w:pPr>
            <w:r>
              <w:rPr>
                <w:sz w:val="20"/>
                <w:szCs w:val="20"/>
              </w:rPr>
              <w:t>changes in the national, regional and local economic climate;</w:t>
            </w:r>
          </w:p>
        </w:tc>
      </w:tr>
    </w:tbl>
    <w:p w14:paraId="0C1974A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1CF24C" w14:textId="77777777">
        <w:trPr>
          <w:tblCellSpacing w:w="0" w:type="dxa"/>
        </w:trPr>
        <w:tc>
          <w:tcPr>
            <w:tcW w:w="360" w:type="dxa"/>
            <w:vAlign w:val="center"/>
            <w:hideMark/>
          </w:tcPr>
          <w:p w14:paraId="479BF498" w14:textId="77777777" w:rsidR="00000000" w:rsidRDefault="0053651E">
            <w:pPr>
              <w:rPr>
                <w:rFonts w:eastAsia="Times New Roman"/>
                <w:sz w:val="20"/>
                <w:szCs w:val="20"/>
              </w:rPr>
            </w:pPr>
            <w:r>
              <w:rPr>
                <w:rFonts w:eastAsia="Times New Roman"/>
                <w:sz w:val="20"/>
                <w:szCs w:val="20"/>
              </w:rPr>
              <w:t> </w:t>
            </w:r>
          </w:p>
        </w:tc>
        <w:tc>
          <w:tcPr>
            <w:tcW w:w="360" w:type="dxa"/>
            <w:hideMark/>
          </w:tcPr>
          <w:p w14:paraId="4503363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2743FBBB" w14:textId="77777777" w:rsidR="00000000" w:rsidRDefault="0053651E">
            <w:pPr>
              <w:pStyle w:val="a3"/>
              <w:spacing w:before="0" w:beforeAutospacing="0" w:after="0" w:afterAutospacing="0"/>
              <w:rPr>
                <w:sz w:val="20"/>
                <w:szCs w:val="20"/>
              </w:rPr>
            </w:pPr>
            <w:r>
              <w:rPr>
                <w:sz w:val="20"/>
                <w:szCs w:val="20"/>
              </w:rPr>
              <w:t>the adverse financial condition of some large retailing companies;</w:t>
            </w:r>
          </w:p>
        </w:tc>
      </w:tr>
    </w:tbl>
    <w:p w14:paraId="4F8844B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C7D5A44" w14:textId="77777777">
        <w:trPr>
          <w:tblCellSpacing w:w="0" w:type="dxa"/>
        </w:trPr>
        <w:tc>
          <w:tcPr>
            <w:tcW w:w="360" w:type="dxa"/>
            <w:vAlign w:val="center"/>
            <w:hideMark/>
          </w:tcPr>
          <w:p w14:paraId="39C22609" w14:textId="77777777" w:rsidR="00000000" w:rsidRDefault="0053651E">
            <w:pPr>
              <w:rPr>
                <w:rFonts w:eastAsia="Times New Roman"/>
                <w:sz w:val="20"/>
                <w:szCs w:val="20"/>
              </w:rPr>
            </w:pPr>
            <w:r>
              <w:rPr>
                <w:rFonts w:eastAsia="Times New Roman"/>
                <w:sz w:val="20"/>
                <w:szCs w:val="20"/>
              </w:rPr>
              <w:t> </w:t>
            </w:r>
          </w:p>
        </w:tc>
        <w:tc>
          <w:tcPr>
            <w:tcW w:w="360" w:type="dxa"/>
            <w:hideMark/>
          </w:tcPr>
          <w:p w14:paraId="6839E828"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08C2BEA" w14:textId="77777777" w:rsidR="00000000" w:rsidRDefault="0053651E">
            <w:pPr>
              <w:pStyle w:val="a3"/>
              <w:spacing w:before="0" w:beforeAutospacing="0" w:after="0" w:afterAutospacing="0"/>
              <w:rPr>
                <w:sz w:val="20"/>
                <w:szCs w:val="20"/>
              </w:rPr>
            </w:pPr>
            <w:r>
              <w:rPr>
                <w:sz w:val="20"/>
                <w:szCs w:val="20"/>
              </w:rPr>
              <w:t>increasing use by customers of e-commerce and online store sites; and</w:t>
            </w:r>
          </w:p>
        </w:tc>
      </w:tr>
    </w:tbl>
    <w:p w14:paraId="1FFCCDA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F24983" w14:textId="77777777">
        <w:trPr>
          <w:tblCellSpacing w:w="0" w:type="dxa"/>
        </w:trPr>
        <w:tc>
          <w:tcPr>
            <w:tcW w:w="360" w:type="dxa"/>
            <w:vAlign w:val="center"/>
            <w:hideMark/>
          </w:tcPr>
          <w:p w14:paraId="406954C2" w14:textId="77777777" w:rsidR="00000000" w:rsidRDefault="0053651E">
            <w:pPr>
              <w:rPr>
                <w:rFonts w:eastAsia="Times New Roman"/>
                <w:sz w:val="20"/>
                <w:szCs w:val="20"/>
              </w:rPr>
            </w:pPr>
            <w:r>
              <w:rPr>
                <w:rFonts w:eastAsia="Times New Roman"/>
                <w:sz w:val="20"/>
                <w:szCs w:val="20"/>
              </w:rPr>
              <w:t> </w:t>
            </w:r>
          </w:p>
        </w:tc>
        <w:tc>
          <w:tcPr>
            <w:tcW w:w="360" w:type="dxa"/>
            <w:hideMark/>
          </w:tcPr>
          <w:p w14:paraId="23E563F4"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2385A70" w14:textId="77777777" w:rsidR="00000000" w:rsidRDefault="0053651E">
            <w:pPr>
              <w:pStyle w:val="a3"/>
              <w:spacing w:before="0" w:beforeAutospacing="0" w:after="0" w:afterAutospacing="0"/>
              <w:rPr>
                <w:sz w:val="20"/>
                <w:szCs w:val="20"/>
              </w:rPr>
            </w:pPr>
            <w:r>
              <w:rPr>
                <w:sz w:val="20"/>
                <w:szCs w:val="20"/>
              </w:rPr>
              <w:t>ongoing consolidation in the retail sector.</w:t>
            </w:r>
          </w:p>
        </w:tc>
      </w:tr>
    </w:tbl>
    <w:p w14:paraId="07FB03BB" w14:textId="77777777" w:rsidR="00000000" w:rsidRDefault="0053651E">
      <w:pPr>
        <w:pStyle w:val="a3"/>
        <w:spacing w:before="0" w:beforeAutospacing="0" w:after="0" w:afterAutospacing="0"/>
        <w:ind w:firstLine="360"/>
        <w:jc w:val="both"/>
        <w:rPr>
          <w:sz w:val="20"/>
          <w:szCs w:val="20"/>
        </w:rPr>
      </w:pPr>
      <w:r>
        <w:rPr>
          <w:sz w:val="20"/>
          <w:szCs w:val="20"/>
        </w:rPr>
        <w:t> </w:t>
      </w:r>
    </w:p>
    <w:p w14:paraId="43CAC7F1" w14:textId="77777777" w:rsidR="00000000" w:rsidRDefault="0053651E">
      <w:pPr>
        <w:pStyle w:val="a3"/>
        <w:spacing w:before="0" w:beforeAutospacing="0" w:after="0" w:afterAutospacing="0"/>
        <w:ind w:firstLine="360"/>
        <w:jc w:val="both"/>
        <w:rPr>
          <w:sz w:val="20"/>
          <w:szCs w:val="20"/>
        </w:rPr>
      </w:pPr>
      <w:r>
        <w:rPr>
          <w:sz w:val="20"/>
          <w:szCs w:val="20"/>
        </w:rPr>
        <w:t>A decline in the value of our cost method investments may require us to recognize an other-than-temporary impairment (“OTTI”) against such assets. When the fair value of an investment is determined to be less than its amortized cost at the balance sheet da</w:t>
      </w:r>
      <w:r>
        <w:rPr>
          <w:sz w:val="20"/>
          <w:szCs w:val="20"/>
        </w:rPr>
        <w:t>te, we assess whether the decline is temporary or other-than-temporary. If we intend to sell an impaired asset, or it is more likely than not that we will be required to sell the impaired asset before any anticipated recovery, then we must recognize an OTT</w:t>
      </w:r>
      <w:r>
        <w:rPr>
          <w:sz w:val="20"/>
          <w:szCs w:val="20"/>
        </w:rPr>
        <w:t xml:space="preserve">I through charges to earnings equal to the entire difference between the asset’s amortized cost and its fair value at the balance sheet date. When an OTTI is recognized through earnings, a new cost basis is established for the asset and the new cost basis </w:t>
      </w:r>
      <w:r>
        <w:rPr>
          <w:sz w:val="20"/>
          <w:szCs w:val="20"/>
        </w:rPr>
        <w:t>may not be adjusted through earnings for subsequent recoveries in fair value.</w:t>
      </w:r>
    </w:p>
    <w:p w14:paraId="55654C6E" w14:textId="77777777" w:rsidR="00000000" w:rsidRDefault="0053651E">
      <w:pPr>
        <w:pStyle w:val="a3"/>
        <w:spacing w:before="0" w:beforeAutospacing="0" w:after="0" w:afterAutospacing="0"/>
        <w:ind w:firstLine="360"/>
        <w:jc w:val="both"/>
        <w:rPr>
          <w:sz w:val="20"/>
          <w:szCs w:val="20"/>
        </w:rPr>
      </w:pPr>
      <w:r>
        <w:rPr>
          <w:sz w:val="20"/>
          <w:szCs w:val="20"/>
        </w:rPr>
        <w:t> </w:t>
      </w:r>
    </w:p>
    <w:p w14:paraId="2A31F6AC" w14:textId="77777777" w:rsidR="00000000" w:rsidRDefault="0053651E">
      <w:pPr>
        <w:pStyle w:val="a3"/>
        <w:spacing w:before="0" w:beforeAutospacing="0" w:after="0" w:afterAutospacing="0"/>
        <w:ind w:firstLine="360"/>
        <w:jc w:val="both"/>
        <w:rPr>
          <w:sz w:val="20"/>
          <w:szCs w:val="20"/>
        </w:rPr>
      </w:pPr>
      <w:r>
        <w:rPr>
          <w:b/>
          <w:bCs/>
          <w:sz w:val="20"/>
          <w:szCs w:val="20"/>
        </w:rPr>
        <w:t>Our real estate assets may be subject to impairment charges.</w:t>
      </w:r>
    </w:p>
    <w:p w14:paraId="59D0EEBD"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3F63A2B9" w14:textId="77777777" w:rsidR="00000000" w:rsidRDefault="0053651E">
      <w:pPr>
        <w:pStyle w:val="a3"/>
        <w:spacing w:before="0" w:beforeAutospacing="0" w:after="0" w:afterAutospacing="0"/>
        <w:ind w:firstLine="360"/>
        <w:jc w:val="both"/>
        <w:rPr>
          <w:sz w:val="20"/>
          <w:szCs w:val="20"/>
        </w:rPr>
      </w:pPr>
      <w:r>
        <w:rPr>
          <w:sz w:val="20"/>
          <w:szCs w:val="20"/>
        </w:rPr>
        <w:t>We periodically assess whether there are any indicators that the value of our real estate assets and other invest</w:t>
      </w:r>
      <w:r>
        <w:rPr>
          <w:sz w:val="20"/>
          <w:szCs w:val="20"/>
        </w:rPr>
        <w:t>ments may be impaired. A property’s value is considered to be impaired only if the estimated aggregate future undiscounted property cash flows are less than the carrying value of the property. In our estimate of cash flows, we consider factors such as tren</w:t>
      </w:r>
      <w:r>
        <w:rPr>
          <w:sz w:val="20"/>
          <w:szCs w:val="20"/>
        </w:rPr>
        <w:t xml:space="preserve">ds and prospects and the effects of demand and competition on expected future operating income. If we are evaluating the potential sale of an asset or redevelopment alternatives, the undiscounted future cash flows consider the most likely course of action </w:t>
      </w:r>
      <w:r>
        <w:rPr>
          <w:sz w:val="20"/>
          <w:szCs w:val="20"/>
        </w:rPr>
        <w:t>as of the balance sheet date based on current plans, intended holding periods and available market information. We are required to make subjective assessments as to whether there are impairments in the value of our real estate assets and other investments.</w:t>
      </w:r>
      <w:r>
        <w:rPr>
          <w:sz w:val="20"/>
          <w:szCs w:val="20"/>
        </w:rPr>
        <w:t xml:space="preserve"> Impairment charges have an immediate direct impact on our earnings. There can be no assurance that we will not take additional charges in the future related to the impairment of our assets. Any future impairment could have a material adverse effect on our</w:t>
      </w:r>
      <w:r>
        <w:rPr>
          <w:sz w:val="20"/>
          <w:szCs w:val="20"/>
        </w:rPr>
        <w:t xml:space="preserve"> results of operations in the period in which the charge is taken.</w:t>
      </w:r>
    </w:p>
    <w:p w14:paraId="6C6679C8" w14:textId="77777777" w:rsidR="00000000" w:rsidRDefault="0053651E">
      <w:pPr>
        <w:pStyle w:val="a3"/>
        <w:spacing w:before="0" w:beforeAutospacing="0" w:after="0" w:afterAutospacing="0"/>
        <w:ind w:firstLine="360"/>
        <w:jc w:val="both"/>
        <w:rPr>
          <w:sz w:val="20"/>
          <w:szCs w:val="20"/>
        </w:rPr>
      </w:pPr>
      <w:r>
        <w:rPr>
          <w:sz w:val="20"/>
          <w:szCs w:val="20"/>
        </w:rPr>
        <w:t> </w:t>
      </w:r>
    </w:p>
    <w:p w14:paraId="325AE10C" w14:textId="77777777" w:rsidR="00000000" w:rsidRDefault="0053651E">
      <w:pPr>
        <w:jc w:val="center"/>
        <w:divId w:val="2021656490"/>
        <w:rPr>
          <w:rFonts w:eastAsia="Times New Roman"/>
          <w:sz w:val="20"/>
          <w:szCs w:val="20"/>
        </w:rPr>
      </w:pPr>
      <w:r>
        <w:rPr>
          <w:rFonts w:eastAsia="Times New Roman"/>
          <w:sz w:val="20"/>
          <w:szCs w:val="20"/>
        </w:rPr>
        <w:t xml:space="preserve">10 </w:t>
      </w:r>
    </w:p>
    <w:p w14:paraId="637858B5" w14:textId="77777777" w:rsidR="00000000" w:rsidRDefault="0053651E">
      <w:pPr>
        <w:divId w:val="2021656490"/>
        <w:rPr>
          <w:rFonts w:eastAsia="Times New Roman"/>
          <w:sz w:val="20"/>
          <w:szCs w:val="20"/>
        </w:rPr>
      </w:pPr>
      <w:r>
        <w:rPr>
          <w:rFonts w:eastAsia="Times New Roman"/>
          <w:sz w:val="20"/>
          <w:szCs w:val="20"/>
        </w:rPr>
        <w:pict w14:anchorId="45B92C8B">
          <v:rect id="_x0000_i1039" style="width:0;height:1.5pt" o:hralign="center" o:hrstd="t" o:hr="t" fillcolor="#a0a0a0" stroked="f"/>
        </w:pict>
      </w:r>
    </w:p>
    <w:p w14:paraId="1AEFFF4F" w14:textId="77777777" w:rsidR="00000000" w:rsidRDefault="0053651E">
      <w:pPr>
        <w:divId w:val="20216564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4222E3A" w14:textId="77777777" w:rsidR="00000000" w:rsidRDefault="0053651E">
      <w:pPr>
        <w:pStyle w:val="a3"/>
        <w:spacing w:before="0" w:beforeAutospacing="0" w:after="0" w:afterAutospacing="0"/>
        <w:rPr>
          <w:sz w:val="20"/>
          <w:szCs w:val="20"/>
        </w:rPr>
      </w:pPr>
      <w:r>
        <w:rPr>
          <w:sz w:val="20"/>
          <w:szCs w:val="20"/>
        </w:rPr>
        <w:t> </w:t>
      </w:r>
    </w:p>
    <w:p w14:paraId="2E542736" w14:textId="77777777" w:rsidR="00000000" w:rsidRDefault="0053651E">
      <w:pPr>
        <w:pStyle w:val="a3"/>
        <w:spacing w:before="0" w:beforeAutospacing="0" w:after="0" w:afterAutospacing="0"/>
        <w:ind w:firstLine="360"/>
        <w:jc w:val="both"/>
        <w:rPr>
          <w:sz w:val="20"/>
          <w:szCs w:val="20"/>
        </w:rPr>
      </w:pPr>
      <w:r>
        <w:rPr>
          <w:b/>
          <w:bCs/>
          <w:sz w:val="20"/>
          <w:szCs w:val="20"/>
        </w:rPr>
        <w:t>We intend to continue to sell our lesser quality assets and may not be able to recover our investme</w:t>
      </w:r>
      <w:r>
        <w:rPr>
          <w:b/>
          <w:bCs/>
          <w:sz w:val="20"/>
          <w:szCs w:val="20"/>
        </w:rPr>
        <w:t>nts, which may result in significant losses to us.</w:t>
      </w:r>
    </w:p>
    <w:p w14:paraId="6D7108AC" w14:textId="77777777" w:rsidR="00000000" w:rsidRDefault="0053651E">
      <w:pPr>
        <w:pStyle w:val="a3"/>
        <w:spacing w:before="0" w:beforeAutospacing="0" w:after="0" w:afterAutospacing="0"/>
        <w:ind w:firstLine="360"/>
        <w:jc w:val="both"/>
        <w:rPr>
          <w:sz w:val="20"/>
          <w:szCs w:val="20"/>
        </w:rPr>
      </w:pPr>
      <w:r>
        <w:rPr>
          <w:sz w:val="20"/>
          <w:szCs w:val="20"/>
        </w:rPr>
        <w:t> </w:t>
      </w:r>
    </w:p>
    <w:p w14:paraId="2466A852" w14:textId="77777777" w:rsidR="00000000" w:rsidRDefault="0053651E">
      <w:pPr>
        <w:pStyle w:val="a3"/>
        <w:spacing w:before="0" w:beforeAutospacing="0" w:after="0" w:afterAutospacing="0"/>
        <w:ind w:firstLine="360"/>
        <w:jc w:val="both"/>
        <w:rPr>
          <w:sz w:val="20"/>
          <w:szCs w:val="20"/>
        </w:rPr>
      </w:pPr>
      <w:r>
        <w:rPr>
          <w:sz w:val="20"/>
          <w:szCs w:val="20"/>
        </w:rPr>
        <w:t>There can be no assurance that we will be able to recover the current carrying amount of all of our lesser quality properties and investments and those of our unconsolidated joint ventures in the future.</w:t>
      </w:r>
      <w:r>
        <w:rPr>
          <w:sz w:val="20"/>
          <w:szCs w:val="20"/>
        </w:rPr>
        <w:t xml:space="preserve"> Our failure to do so would require us to recognize impairment charges for the period in which we reached that conclusion, which could materially and adversely affect our financial condition, results of operations and cash flows.</w:t>
      </w:r>
    </w:p>
    <w:p w14:paraId="115412C1" w14:textId="77777777" w:rsidR="00000000" w:rsidRDefault="0053651E">
      <w:pPr>
        <w:pStyle w:val="a3"/>
        <w:spacing w:before="0" w:beforeAutospacing="0" w:after="0" w:afterAutospacing="0"/>
        <w:ind w:firstLine="360"/>
        <w:jc w:val="both"/>
        <w:rPr>
          <w:sz w:val="20"/>
          <w:szCs w:val="20"/>
        </w:rPr>
      </w:pPr>
      <w:r>
        <w:rPr>
          <w:sz w:val="20"/>
          <w:szCs w:val="20"/>
        </w:rPr>
        <w:t> </w:t>
      </w:r>
    </w:p>
    <w:p w14:paraId="61603C18" w14:textId="77777777" w:rsidR="00000000" w:rsidRDefault="0053651E">
      <w:pPr>
        <w:pStyle w:val="a3"/>
        <w:spacing w:before="0" w:beforeAutospacing="0" w:after="0" w:afterAutospacing="0"/>
        <w:ind w:firstLine="360"/>
        <w:jc w:val="both"/>
        <w:rPr>
          <w:sz w:val="20"/>
          <w:szCs w:val="20"/>
        </w:rPr>
      </w:pPr>
      <w:r>
        <w:rPr>
          <w:b/>
          <w:bCs/>
          <w:sz w:val="20"/>
          <w:szCs w:val="20"/>
        </w:rPr>
        <w:t>We have substantially co</w:t>
      </w:r>
      <w:r>
        <w:rPr>
          <w:b/>
          <w:bCs/>
          <w:sz w:val="20"/>
          <w:szCs w:val="20"/>
        </w:rPr>
        <w:t>mpleted our efforts to exit our investments in Mexico and have completely exited Chile, Brazil, Peru and Canada, however, we cannot predict the impact of laws and regulations affecting these international operations, including the United States Foreign Cor</w:t>
      </w:r>
      <w:r>
        <w:rPr>
          <w:b/>
          <w:bCs/>
          <w:sz w:val="20"/>
          <w:szCs w:val="20"/>
        </w:rPr>
        <w:t>rupt Practices Act, or the potential that we may face regulatory sanctions.</w:t>
      </w:r>
    </w:p>
    <w:p w14:paraId="43EE5795" w14:textId="77777777" w:rsidR="00000000" w:rsidRDefault="0053651E">
      <w:pPr>
        <w:pStyle w:val="a3"/>
        <w:spacing w:before="0" w:beforeAutospacing="0" w:after="0" w:afterAutospacing="0"/>
        <w:ind w:firstLine="360"/>
        <w:jc w:val="both"/>
        <w:rPr>
          <w:sz w:val="20"/>
          <w:szCs w:val="20"/>
        </w:rPr>
      </w:pPr>
      <w:r>
        <w:rPr>
          <w:sz w:val="20"/>
          <w:szCs w:val="20"/>
        </w:rPr>
        <w:t> </w:t>
      </w:r>
    </w:p>
    <w:p w14:paraId="29A2DA6E" w14:textId="77777777" w:rsidR="00000000" w:rsidRDefault="0053651E">
      <w:pPr>
        <w:pStyle w:val="a3"/>
        <w:spacing w:before="0" w:beforeAutospacing="0" w:after="0" w:afterAutospacing="0"/>
        <w:ind w:firstLine="360"/>
        <w:jc w:val="both"/>
        <w:rPr>
          <w:sz w:val="20"/>
          <w:szCs w:val="20"/>
        </w:rPr>
      </w:pPr>
      <w:r>
        <w:rPr>
          <w:sz w:val="20"/>
          <w:szCs w:val="20"/>
        </w:rPr>
        <w:t>Our international operations have included properties in Canada, Mexico, Chile, Brazil and Peru and are subject to a variety of United States and foreign laws and regulations, in</w:t>
      </w:r>
      <w:r>
        <w:rPr>
          <w:sz w:val="20"/>
          <w:szCs w:val="20"/>
        </w:rPr>
        <w:t>cluding the United States Foreign Corrupt Practices Act and foreign tax laws and regulations. Although we have substantially completed our efforts to exit our investments in Mexico, South America and Canada, we cannot assure you that our past or any curren</w:t>
      </w:r>
      <w:r>
        <w:rPr>
          <w:sz w:val="20"/>
          <w:szCs w:val="20"/>
        </w:rPr>
        <w:t xml:space="preserve">t international operations will continue to be found to be in compliance with such laws or regulations. In addition, we cannot predict the manner in which such laws or regulations might be administered or interpreted, or when, or the potential that we may </w:t>
      </w:r>
      <w:r>
        <w:rPr>
          <w:sz w:val="20"/>
          <w:szCs w:val="20"/>
        </w:rPr>
        <w:t>face regulatory sanctions or tax audits as a result of our international operations.</w:t>
      </w:r>
    </w:p>
    <w:p w14:paraId="67A265A1" w14:textId="77777777" w:rsidR="00000000" w:rsidRDefault="0053651E">
      <w:pPr>
        <w:pStyle w:val="a3"/>
        <w:spacing w:before="0" w:beforeAutospacing="0" w:after="0" w:afterAutospacing="0"/>
        <w:ind w:firstLine="360"/>
        <w:jc w:val="both"/>
        <w:rPr>
          <w:sz w:val="20"/>
          <w:szCs w:val="20"/>
        </w:rPr>
      </w:pPr>
      <w:r>
        <w:rPr>
          <w:sz w:val="20"/>
          <w:szCs w:val="20"/>
        </w:rPr>
        <w:t> </w:t>
      </w:r>
    </w:p>
    <w:p w14:paraId="5C21D01E" w14:textId="77777777" w:rsidR="00000000" w:rsidRDefault="0053651E">
      <w:pPr>
        <w:pStyle w:val="a3"/>
        <w:spacing w:before="0" w:beforeAutospacing="0" w:after="0" w:afterAutospacing="0"/>
        <w:ind w:firstLine="360"/>
        <w:jc w:val="both"/>
        <w:rPr>
          <w:sz w:val="20"/>
          <w:szCs w:val="20"/>
        </w:rPr>
      </w:pPr>
      <w:r>
        <w:rPr>
          <w:b/>
          <w:bCs/>
          <w:sz w:val="20"/>
          <w:szCs w:val="20"/>
        </w:rPr>
        <w:t xml:space="preserve">We face risks relating to cybersecurity attacks which could adversely affect our business, cause loss of confidential information and disrupt operations. </w:t>
      </w:r>
    </w:p>
    <w:p w14:paraId="1839E7B1" w14:textId="77777777" w:rsidR="00000000" w:rsidRDefault="0053651E">
      <w:pPr>
        <w:pStyle w:val="a3"/>
        <w:spacing w:before="0" w:beforeAutospacing="0" w:after="0" w:afterAutospacing="0"/>
        <w:ind w:firstLine="360"/>
        <w:jc w:val="both"/>
        <w:rPr>
          <w:sz w:val="20"/>
          <w:szCs w:val="20"/>
        </w:rPr>
      </w:pPr>
      <w:r>
        <w:rPr>
          <w:sz w:val="20"/>
          <w:szCs w:val="20"/>
        </w:rPr>
        <w:t> </w:t>
      </w:r>
    </w:p>
    <w:p w14:paraId="007A2E26" w14:textId="77777777" w:rsidR="00000000" w:rsidRDefault="0053651E">
      <w:pPr>
        <w:pStyle w:val="a3"/>
        <w:spacing w:before="0" w:beforeAutospacing="0" w:after="0" w:afterAutospacing="0"/>
        <w:ind w:firstLine="360"/>
        <w:jc w:val="both"/>
        <w:rPr>
          <w:sz w:val="20"/>
          <w:szCs w:val="20"/>
        </w:rPr>
      </w:pPr>
      <w:r>
        <w:rPr>
          <w:sz w:val="20"/>
          <w:szCs w:val="20"/>
        </w:rPr>
        <w:t>A cyber inci</w:t>
      </w:r>
      <w:r>
        <w:rPr>
          <w:sz w:val="20"/>
          <w:szCs w:val="20"/>
        </w:rPr>
        <w:t>dent is considered to be any adverse event that threatens the confidentiality, integrity, or availability of our information resources. More specifically, a cyber incident is an intentional attack or an unintentional event that can include gaining unauthor</w:t>
      </w:r>
      <w:r>
        <w:rPr>
          <w:sz w:val="20"/>
          <w:szCs w:val="20"/>
        </w:rPr>
        <w:t>ized access to systems to disrupt operations, corrupt data, or steal confidential information. We may face cyber incidents and security breaches through malware, computer viruses, attachments to e-mails, persons inside our organization or persons with acce</w:t>
      </w:r>
      <w:r>
        <w:rPr>
          <w:sz w:val="20"/>
          <w:szCs w:val="20"/>
        </w:rPr>
        <w:t xml:space="preserve">ss to systems inside our organization and other significant disruptions of our IT networks and related systems. The risk of a cybersecurity breach or disruption, particularly through a cyber incident, including by computer hackers, foreign governments and </w:t>
      </w:r>
      <w:r>
        <w:rPr>
          <w:sz w:val="20"/>
          <w:szCs w:val="20"/>
        </w:rPr>
        <w:t>cyber terrorists, has generally increased as the number, intensity and sophistication of attempted attacks and intrusions from around the world have increased. Our IT networks and related systems are essential to the operation of our business and our abili</w:t>
      </w:r>
      <w:r>
        <w:rPr>
          <w:sz w:val="20"/>
          <w:szCs w:val="20"/>
        </w:rPr>
        <w:t xml:space="preserve">ty to perform day-to-day operations and, in some cases, may be critical to the operations of certain of our tenants. Although we make efforts to maintain the security and integrity of these types of IT networks and related systems, and we have implemented </w:t>
      </w:r>
      <w:r>
        <w:rPr>
          <w:sz w:val="20"/>
          <w:szCs w:val="20"/>
        </w:rPr>
        <w:t>various measures to manage the risk of a security breach or disruption, there can be no assurance that our security efforts and measures will be effective or that attempted security breaches or disruptions would not be successful or damaging.</w:t>
      </w:r>
    </w:p>
    <w:p w14:paraId="6A4907CC" w14:textId="77777777" w:rsidR="00000000" w:rsidRDefault="0053651E">
      <w:pPr>
        <w:pStyle w:val="a3"/>
        <w:spacing w:before="0" w:beforeAutospacing="0" w:after="0" w:afterAutospacing="0"/>
        <w:ind w:firstLine="360"/>
        <w:jc w:val="both"/>
        <w:rPr>
          <w:sz w:val="20"/>
          <w:szCs w:val="20"/>
        </w:rPr>
      </w:pPr>
      <w:r>
        <w:rPr>
          <w:sz w:val="20"/>
          <w:szCs w:val="20"/>
        </w:rPr>
        <w:t> </w:t>
      </w:r>
    </w:p>
    <w:p w14:paraId="0EBD0C75" w14:textId="77777777" w:rsidR="00000000" w:rsidRDefault="0053651E">
      <w:pPr>
        <w:pStyle w:val="a3"/>
        <w:spacing w:before="0" w:beforeAutospacing="0" w:after="0" w:afterAutospacing="0"/>
        <w:ind w:firstLine="360"/>
        <w:jc w:val="both"/>
        <w:rPr>
          <w:sz w:val="20"/>
          <w:szCs w:val="20"/>
        </w:rPr>
      </w:pPr>
      <w:r>
        <w:rPr>
          <w:sz w:val="20"/>
          <w:szCs w:val="20"/>
        </w:rPr>
        <w:t>While we ma</w:t>
      </w:r>
      <w:r>
        <w:rPr>
          <w:sz w:val="20"/>
          <w:szCs w:val="20"/>
        </w:rPr>
        <w:t>intain some of our own critical information technology systems, we also depend on third parties to provide important information technology services relating to several key business functions, such as payroll, human resources, electronic communications and</w:t>
      </w:r>
      <w:r>
        <w:rPr>
          <w:sz w:val="20"/>
          <w:szCs w:val="20"/>
        </w:rPr>
        <w:t xml:space="preserve"> certain finance functions. Our measures to prevent, detect and mitigate these threats, including password protection, firewalls, backup servers, threat monitoring and periodic penetration testing, may not be successful in preventing a data breach or limit</w:t>
      </w:r>
      <w:r>
        <w:rPr>
          <w:sz w:val="20"/>
          <w:szCs w:val="20"/>
        </w:rPr>
        <w:t>ing the effects of a breach. Furthermore, the security measures employed by third-party service providers may prove to be ineffective at preventing breaches of their systems.</w:t>
      </w:r>
    </w:p>
    <w:p w14:paraId="0593A04D" w14:textId="77777777" w:rsidR="00000000" w:rsidRDefault="0053651E">
      <w:pPr>
        <w:pStyle w:val="a3"/>
        <w:spacing w:before="0" w:beforeAutospacing="0" w:after="0" w:afterAutospacing="0"/>
        <w:ind w:firstLine="360"/>
        <w:jc w:val="both"/>
        <w:rPr>
          <w:sz w:val="20"/>
          <w:szCs w:val="20"/>
        </w:rPr>
      </w:pPr>
      <w:r>
        <w:rPr>
          <w:sz w:val="20"/>
          <w:szCs w:val="20"/>
        </w:rPr>
        <w:t> </w:t>
      </w:r>
    </w:p>
    <w:p w14:paraId="0B795B81" w14:textId="77777777" w:rsidR="00000000" w:rsidRDefault="0053651E">
      <w:pPr>
        <w:pStyle w:val="a3"/>
        <w:spacing w:before="0" w:beforeAutospacing="0" w:after="0" w:afterAutospacing="0"/>
        <w:ind w:firstLine="360"/>
        <w:jc w:val="both"/>
        <w:rPr>
          <w:sz w:val="20"/>
          <w:szCs w:val="20"/>
        </w:rPr>
      </w:pPr>
      <w:r>
        <w:rPr>
          <w:sz w:val="20"/>
          <w:szCs w:val="20"/>
        </w:rPr>
        <w:t>The primary risks that could directly result from the occurrence of a cyber inc</w:t>
      </w:r>
      <w:r>
        <w:rPr>
          <w:sz w:val="20"/>
          <w:szCs w:val="20"/>
        </w:rPr>
        <w:t>ident include operational interruption, damage to our relationship with our tenants, and private data exposure. Our financial results may be negatively impacted by such an incident or resulting negative media attention.</w:t>
      </w:r>
    </w:p>
    <w:p w14:paraId="49B819D0" w14:textId="77777777" w:rsidR="00000000" w:rsidRDefault="0053651E">
      <w:pPr>
        <w:pStyle w:val="a3"/>
        <w:spacing w:before="0" w:beforeAutospacing="0" w:after="0" w:afterAutospacing="0"/>
        <w:ind w:firstLine="360"/>
        <w:jc w:val="both"/>
        <w:rPr>
          <w:sz w:val="20"/>
          <w:szCs w:val="20"/>
        </w:rPr>
      </w:pPr>
      <w:r>
        <w:rPr>
          <w:sz w:val="20"/>
          <w:szCs w:val="20"/>
        </w:rPr>
        <w:t> </w:t>
      </w:r>
    </w:p>
    <w:p w14:paraId="36C31203" w14:textId="77777777" w:rsidR="00000000" w:rsidRDefault="0053651E">
      <w:pPr>
        <w:pStyle w:val="a3"/>
        <w:spacing w:before="0" w:beforeAutospacing="0" w:after="0" w:afterAutospacing="0"/>
        <w:ind w:firstLine="360"/>
        <w:jc w:val="both"/>
        <w:rPr>
          <w:sz w:val="20"/>
          <w:szCs w:val="20"/>
        </w:rPr>
      </w:pPr>
      <w:r>
        <w:rPr>
          <w:sz w:val="20"/>
          <w:szCs w:val="20"/>
        </w:rPr>
        <w:t>A cyber incident could:</w:t>
      </w:r>
    </w:p>
    <w:p w14:paraId="7496C192"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1EA2EBB" w14:textId="77777777">
        <w:trPr>
          <w:tblCellSpacing w:w="0" w:type="dxa"/>
        </w:trPr>
        <w:tc>
          <w:tcPr>
            <w:tcW w:w="360" w:type="dxa"/>
            <w:vAlign w:val="center"/>
            <w:hideMark/>
          </w:tcPr>
          <w:p w14:paraId="568CFEFD" w14:textId="77777777" w:rsidR="00000000" w:rsidRDefault="0053651E">
            <w:pPr>
              <w:rPr>
                <w:rFonts w:eastAsia="Times New Roman"/>
                <w:sz w:val="20"/>
                <w:szCs w:val="20"/>
              </w:rPr>
            </w:pPr>
            <w:r>
              <w:rPr>
                <w:rFonts w:eastAsia="Times New Roman"/>
                <w:sz w:val="20"/>
                <w:szCs w:val="20"/>
              </w:rPr>
              <w:t> </w:t>
            </w:r>
          </w:p>
        </w:tc>
        <w:tc>
          <w:tcPr>
            <w:tcW w:w="360" w:type="dxa"/>
            <w:hideMark/>
          </w:tcPr>
          <w:p w14:paraId="7A1F20F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740F455" w14:textId="77777777" w:rsidR="00000000" w:rsidRDefault="0053651E">
            <w:pPr>
              <w:pStyle w:val="a3"/>
              <w:spacing w:before="0" w:beforeAutospacing="0" w:after="0" w:afterAutospacing="0"/>
              <w:rPr>
                <w:sz w:val="20"/>
                <w:szCs w:val="20"/>
              </w:rPr>
            </w:pPr>
            <w:r>
              <w:rPr>
                <w:sz w:val="20"/>
                <w:szCs w:val="20"/>
              </w:rPr>
              <w:t>disrupt the proper functioning of our networks and systems and therefore our operations and/or those of certain of our tenants;</w:t>
            </w:r>
          </w:p>
        </w:tc>
      </w:tr>
    </w:tbl>
    <w:p w14:paraId="000F8B3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98A8885" w14:textId="77777777">
        <w:trPr>
          <w:tblCellSpacing w:w="0" w:type="dxa"/>
        </w:trPr>
        <w:tc>
          <w:tcPr>
            <w:tcW w:w="360" w:type="dxa"/>
            <w:vAlign w:val="center"/>
            <w:hideMark/>
          </w:tcPr>
          <w:p w14:paraId="6F5C50D5" w14:textId="77777777" w:rsidR="00000000" w:rsidRDefault="0053651E">
            <w:pPr>
              <w:rPr>
                <w:rFonts w:eastAsia="Times New Roman"/>
                <w:sz w:val="20"/>
                <w:szCs w:val="20"/>
              </w:rPr>
            </w:pPr>
            <w:r>
              <w:rPr>
                <w:rFonts w:eastAsia="Times New Roman"/>
                <w:sz w:val="20"/>
                <w:szCs w:val="20"/>
              </w:rPr>
              <w:t> </w:t>
            </w:r>
          </w:p>
        </w:tc>
        <w:tc>
          <w:tcPr>
            <w:tcW w:w="360" w:type="dxa"/>
            <w:hideMark/>
          </w:tcPr>
          <w:p w14:paraId="439600C1"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CA7B9A9" w14:textId="77777777" w:rsidR="00000000" w:rsidRDefault="0053651E">
            <w:pPr>
              <w:pStyle w:val="a3"/>
              <w:spacing w:before="0" w:beforeAutospacing="0" w:after="0" w:afterAutospacing="0"/>
              <w:rPr>
                <w:sz w:val="20"/>
                <w:szCs w:val="20"/>
              </w:rPr>
            </w:pPr>
            <w:r>
              <w:rPr>
                <w:sz w:val="20"/>
                <w:szCs w:val="20"/>
              </w:rPr>
              <w:t xml:space="preserve">result in misstated financial reports, violations of loan covenants and/or missed reporting </w:t>
            </w:r>
            <w:r>
              <w:rPr>
                <w:sz w:val="20"/>
                <w:szCs w:val="20"/>
              </w:rPr>
              <w:t>deadlines;</w:t>
            </w:r>
          </w:p>
        </w:tc>
      </w:tr>
    </w:tbl>
    <w:p w14:paraId="52A44788"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81282B0" w14:textId="77777777">
        <w:trPr>
          <w:tblCellSpacing w:w="0" w:type="dxa"/>
        </w:trPr>
        <w:tc>
          <w:tcPr>
            <w:tcW w:w="360" w:type="dxa"/>
            <w:vAlign w:val="center"/>
            <w:hideMark/>
          </w:tcPr>
          <w:p w14:paraId="035917EF" w14:textId="77777777" w:rsidR="00000000" w:rsidRDefault="0053651E">
            <w:pPr>
              <w:rPr>
                <w:rFonts w:eastAsia="Times New Roman"/>
                <w:sz w:val="20"/>
                <w:szCs w:val="20"/>
              </w:rPr>
            </w:pPr>
            <w:r>
              <w:rPr>
                <w:rFonts w:eastAsia="Times New Roman"/>
                <w:sz w:val="20"/>
                <w:szCs w:val="20"/>
              </w:rPr>
              <w:t> </w:t>
            </w:r>
          </w:p>
        </w:tc>
        <w:tc>
          <w:tcPr>
            <w:tcW w:w="360" w:type="dxa"/>
            <w:hideMark/>
          </w:tcPr>
          <w:p w14:paraId="0BF7D20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D419589" w14:textId="77777777" w:rsidR="00000000" w:rsidRDefault="0053651E">
            <w:pPr>
              <w:pStyle w:val="a3"/>
              <w:spacing w:before="0" w:beforeAutospacing="0" w:after="0" w:afterAutospacing="0"/>
              <w:rPr>
                <w:sz w:val="20"/>
                <w:szCs w:val="20"/>
              </w:rPr>
            </w:pPr>
            <w:r>
              <w:rPr>
                <w:sz w:val="20"/>
                <w:szCs w:val="20"/>
              </w:rPr>
              <w:t>result in our inability to properly monitor our compliance with the rules and regulations regarding our qualification as a REIT;</w:t>
            </w:r>
          </w:p>
        </w:tc>
      </w:tr>
    </w:tbl>
    <w:p w14:paraId="192C4C38"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8D7B255" w14:textId="77777777">
        <w:trPr>
          <w:tblCellSpacing w:w="0" w:type="dxa"/>
        </w:trPr>
        <w:tc>
          <w:tcPr>
            <w:tcW w:w="360" w:type="dxa"/>
            <w:vAlign w:val="center"/>
            <w:hideMark/>
          </w:tcPr>
          <w:p w14:paraId="5374AF3F" w14:textId="77777777" w:rsidR="00000000" w:rsidRDefault="0053651E">
            <w:pPr>
              <w:rPr>
                <w:rFonts w:eastAsia="Times New Roman"/>
                <w:sz w:val="20"/>
                <w:szCs w:val="20"/>
              </w:rPr>
            </w:pPr>
            <w:r>
              <w:rPr>
                <w:rFonts w:eastAsia="Times New Roman"/>
                <w:sz w:val="20"/>
                <w:szCs w:val="20"/>
              </w:rPr>
              <w:t> </w:t>
            </w:r>
          </w:p>
        </w:tc>
        <w:tc>
          <w:tcPr>
            <w:tcW w:w="360" w:type="dxa"/>
            <w:hideMark/>
          </w:tcPr>
          <w:p w14:paraId="3E73F8DA"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21E8B6E" w14:textId="77777777" w:rsidR="00000000" w:rsidRDefault="0053651E">
            <w:pPr>
              <w:pStyle w:val="a3"/>
              <w:spacing w:before="0" w:beforeAutospacing="0" w:after="0" w:afterAutospacing="0"/>
              <w:rPr>
                <w:sz w:val="20"/>
                <w:szCs w:val="20"/>
              </w:rPr>
            </w:pPr>
            <w:r>
              <w:rPr>
                <w:sz w:val="20"/>
                <w:szCs w:val="20"/>
              </w:rPr>
              <w:t>result in the unauthorized access to, and destruction, loss, theft, misappropriation or release of proprietary, confident</w:t>
            </w:r>
            <w:r>
              <w:rPr>
                <w:sz w:val="20"/>
                <w:szCs w:val="20"/>
              </w:rPr>
              <w:t>ial, sensitive or otherwise valuable information of ours or others, which others could use to compete against us or for disruptive, destructive or otherwise harmful purposes and outcomes;</w:t>
            </w:r>
          </w:p>
        </w:tc>
      </w:tr>
    </w:tbl>
    <w:p w14:paraId="35E149A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8C7813" w14:textId="77777777">
        <w:trPr>
          <w:tblCellSpacing w:w="0" w:type="dxa"/>
        </w:trPr>
        <w:tc>
          <w:tcPr>
            <w:tcW w:w="360" w:type="dxa"/>
            <w:vAlign w:val="center"/>
            <w:hideMark/>
          </w:tcPr>
          <w:p w14:paraId="1ED2CC22" w14:textId="77777777" w:rsidR="00000000" w:rsidRDefault="0053651E">
            <w:pPr>
              <w:rPr>
                <w:rFonts w:eastAsia="Times New Roman"/>
                <w:sz w:val="20"/>
                <w:szCs w:val="20"/>
              </w:rPr>
            </w:pPr>
            <w:r>
              <w:rPr>
                <w:rFonts w:eastAsia="Times New Roman"/>
                <w:sz w:val="20"/>
                <w:szCs w:val="20"/>
              </w:rPr>
              <w:t> </w:t>
            </w:r>
          </w:p>
        </w:tc>
        <w:tc>
          <w:tcPr>
            <w:tcW w:w="360" w:type="dxa"/>
            <w:hideMark/>
          </w:tcPr>
          <w:p w14:paraId="17EDE6A2"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CB583C2" w14:textId="77777777" w:rsidR="00000000" w:rsidRDefault="0053651E">
            <w:pPr>
              <w:pStyle w:val="a3"/>
              <w:spacing w:before="0" w:beforeAutospacing="0" w:after="0" w:afterAutospacing="0"/>
              <w:rPr>
                <w:sz w:val="20"/>
                <w:szCs w:val="20"/>
              </w:rPr>
            </w:pPr>
            <w:r>
              <w:rPr>
                <w:sz w:val="20"/>
                <w:szCs w:val="20"/>
              </w:rPr>
              <w:t>result in our inability to maintain the building systems relied upon by our tenants for the efficient use of their leased space;</w:t>
            </w:r>
          </w:p>
        </w:tc>
      </w:tr>
    </w:tbl>
    <w:p w14:paraId="79E75F7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64A38EB" w14:textId="77777777">
        <w:trPr>
          <w:tblCellSpacing w:w="0" w:type="dxa"/>
        </w:trPr>
        <w:tc>
          <w:tcPr>
            <w:tcW w:w="360" w:type="dxa"/>
            <w:vAlign w:val="center"/>
            <w:hideMark/>
          </w:tcPr>
          <w:p w14:paraId="3C4768DF" w14:textId="77777777" w:rsidR="00000000" w:rsidRDefault="0053651E">
            <w:pPr>
              <w:rPr>
                <w:rFonts w:eastAsia="Times New Roman"/>
                <w:sz w:val="20"/>
                <w:szCs w:val="20"/>
              </w:rPr>
            </w:pPr>
            <w:r>
              <w:rPr>
                <w:rFonts w:eastAsia="Times New Roman"/>
                <w:sz w:val="20"/>
                <w:szCs w:val="20"/>
              </w:rPr>
              <w:t> </w:t>
            </w:r>
          </w:p>
        </w:tc>
        <w:tc>
          <w:tcPr>
            <w:tcW w:w="360" w:type="dxa"/>
            <w:hideMark/>
          </w:tcPr>
          <w:p w14:paraId="1A8F15D8"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E45C958" w14:textId="77777777" w:rsidR="00000000" w:rsidRDefault="0053651E">
            <w:pPr>
              <w:pStyle w:val="a3"/>
              <w:spacing w:before="0" w:beforeAutospacing="0" w:after="0" w:afterAutospacing="0"/>
              <w:rPr>
                <w:sz w:val="20"/>
                <w:szCs w:val="20"/>
              </w:rPr>
            </w:pPr>
            <w:r>
              <w:rPr>
                <w:sz w:val="20"/>
                <w:szCs w:val="20"/>
              </w:rPr>
              <w:t>require significant management attention and resources to remedy and damages that result;</w:t>
            </w:r>
          </w:p>
        </w:tc>
      </w:tr>
    </w:tbl>
    <w:p w14:paraId="7876644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9A04760" w14:textId="77777777">
        <w:trPr>
          <w:tblCellSpacing w:w="0" w:type="dxa"/>
        </w:trPr>
        <w:tc>
          <w:tcPr>
            <w:tcW w:w="360" w:type="dxa"/>
            <w:vAlign w:val="center"/>
            <w:hideMark/>
          </w:tcPr>
          <w:p w14:paraId="70F156D2" w14:textId="77777777" w:rsidR="00000000" w:rsidRDefault="0053651E">
            <w:pPr>
              <w:rPr>
                <w:rFonts w:eastAsia="Times New Roman"/>
                <w:sz w:val="20"/>
                <w:szCs w:val="20"/>
              </w:rPr>
            </w:pPr>
            <w:r>
              <w:rPr>
                <w:rFonts w:eastAsia="Times New Roman"/>
                <w:sz w:val="20"/>
                <w:szCs w:val="20"/>
              </w:rPr>
              <w:t> </w:t>
            </w:r>
          </w:p>
        </w:tc>
        <w:tc>
          <w:tcPr>
            <w:tcW w:w="360" w:type="dxa"/>
            <w:hideMark/>
          </w:tcPr>
          <w:p w14:paraId="759CB97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884CC5A" w14:textId="77777777" w:rsidR="00000000" w:rsidRDefault="0053651E">
            <w:pPr>
              <w:pStyle w:val="a3"/>
              <w:spacing w:before="0" w:beforeAutospacing="0" w:after="0" w:afterAutospacing="0"/>
              <w:rPr>
                <w:sz w:val="20"/>
                <w:szCs w:val="20"/>
              </w:rPr>
            </w:pPr>
            <w:r>
              <w:rPr>
                <w:sz w:val="20"/>
                <w:szCs w:val="20"/>
              </w:rPr>
              <w:t xml:space="preserve">subject us to claims for </w:t>
            </w:r>
            <w:r>
              <w:rPr>
                <w:sz w:val="20"/>
                <w:szCs w:val="20"/>
              </w:rPr>
              <w:t>breach of contract, damages, credits, penalties or termination of leases or other agreements; or</w:t>
            </w:r>
          </w:p>
        </w:tc>
      </w:tr>
    </w:tbl>
    <w:p w14:paraId="54DF0DE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70A0FBA" w14:textId="77777777">
        <w:trPr>
          <w:tblCellSpacing w:w="0" w:type="dxa"/>
        </w:trPr>
        <w:tc>
          <w:tcPr>
            <w:tcW w:w="360" w:type="dxa"/>
            <w:vAlign w:val="center"/>
            <w:hideMark/>
          </w:tcPr>
          <w:p w14:paraId="0C265E6C" w14:textId="77777777" w:rsidR="00000000" w:rsidRDefault="0053651E">
            <w:pPr>
              <w:rPr>
                <w:rFonts w:eastAsia="Times New Roman"/>
                <w:sz w:val="20"/>
                <w:szCs w:val="20"/>
              </w:rPr>
            </w:pPr>
            <w:r>
              <w:rPr>
                <w:rFonts w:eastAsia="Times New Roman"/>
                <w:sz w:val="20"/>
                <w:szCs w:val="20"/>
              </w:rPr>
              <w:t> </w:t>
            </w:r>
          </w:p>
        </w:tc>
        <w:tc>
          <w:tcPr>
            <w:tcW w:w="360" w:type="dxa"/>
            <w:hideMark/>
          </w:tcPr>
          <w:p w14:paraId="37010B7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E225B01" w14:textId="77777777" w:rsidR="00000000" w:rsidRDefault="0053651E">
            <w:pPr>
              <w:pStyle w:val="a3"/>
              <w:spacing w:before="0" w:beforeAutospacing="0" w:after="0" w:afterAutospacing="0"/>
              <w:rPr>
                <w:sz w:val="20"/>
                <w:szCs w:val="20"/>
              </w:rPr>
            </w:pPr>
            <w:r>
              <w:rPr>
                <w:sz w:val="20"/>
                <w:szCs w:val="20"/>
              </w:rPr>
              <w:t>damage our reputation among our tenants, investors and associates.</w:t>
            </w:r>
          </w:p>
        </w:tc>
      </w:tr>
    </w:tbl>
    <w:p w14:paraId="680A2EA8" w14:textId="77777777" w:rsidR="00000000" w:rsidRDefault="0053651E">
      <w:pPr>
        <w:pStyle w:val="a3"/>
        <w:spacing w:before="0" w:beforeAutospacing="0" w:after="0" w:afterAutospacing="0"/>
        <w:rPr>
          <w:sz w:val="20"/>
          <w:szCs w:val="20"/>
        </w:rPr>
      </w:pPr>
      <w:r>
        <w:rPr>
          <w:sz w:val="20"/>
          <w:szCs w:val="20"/>
        </w:rPr>
        <w:t> </w:t>
      </w:r>
    </w:p>
    <w:p w14:paraId="69ACC5EF" w14:textId="77777777" w:rsidR="00000000" w:rsidRDefault="0053651E">
      <w:pPr>
        <w:pStyle w:val="a3"/>
        <w:spacing w:before="0" w:beforeAutospacing="0" w:after="0" w:afterAutospacing="0"/>
        <w:ind w:firstLine="360"/>
        <w:rPr>
          <w:sz w:val="20"/>
          <w:szCs w:val="20"/>
        </w:rPr>
      </w:pPr>
      <w:r>
        <w:rPr>
          <w:sz w:val="20"/>
          <w:szCs w:val="20"/>
        </w:rPr>
        <w:t>Moreover, cyber incidents perpetrated against our tenants, including unauthorized a</w:t>
      </w:r>
      <w:r>
        <w:rPr>
          <w:sz w:val="20"/>
          <w:szCs w:val="20"/>
        </w:rPr>
        <w:t>ccess to customers’ credit card data and other confidential information, could diminish consumer confidence and consumer spending and negatively impact our business.</w:t>
      </w:r>
    </w:p>
    <w:p w14:paraId="2432590A" w14:textId="77777777" w:rsidR="00000000" w:rsidRDefault="0053651E">
      <w:pPr>
        <w:pStyle w:val="a3"/>
        <w:spacing w:before="0" w:beforeAutospacing="0" w:after="0" w:afterAutospacing="0"/>
        <w:ind w:firstLine="360"/>
        <w:jc w:val="both"/>
        <w:rPr>
          <w:sz w:val="20"/>
          <w:szCs w:val="20"/>
        </w:rPr>
      </w:pPr>
      <w:r>
        <w:rPr>
          <w:sz w:val="20"/>
          <w:szCs w:val="20"/>
        </w:rPr>
        <w:t> </w:t>
      </w:r>
    </w:p>
    <w:p w14:paraId="3A8E87BC" w14:textId="77777777" w:rsidR="00000000" w:rsidRDefault="0053651E">
      <w:pPr>
        <w:jc w:val="center"/>
        <w:divId w:val="1127092503"/>
        <w:rPr>
          <w:rFonts w:eastAsia="Times New Roman"/>
          <w:sz w:val="20"/>
          <w:szCs w:val="20"/>
        </w:rPr>
      </w:pPr>
      <w:r>
        <w:rPr>
          <w:rFonts w:eastAsia="Times New Roman"/>
          <w:sz w:val="20"/>
          <w:szCs w:val="20"/>
        </w:rPr>
        <w:t xml:space="preserve">11 </w:t>
      </w:r>
    </w:p>
    <w:p w14:paraId="08FA0C7E" w14:textId="77777777" w:rsidR="00000000" w:rsidRDefault="0053651E">
      <w:pPr>
        <w:divId w:val="1127092503"/>
        <w:rPr>
          <w:rFonts w:eastAsia="Times New Roman"/>
          <w:sz w:val="20"/>
          <w:szCs w:val="20"/>
        </w:rPr>
      </w:pPr>
      <w:r>
        <w:rPr>
          <w:rFonts w:eastAsia="Times New Roman"/>
          <w:sz w:val="20"/>
          <w:szCs w:val="20"/>
        </w:rPr>
        <w:pict w14:anchorId="6BEEA2B1">
          <v:rect id="_x0000_i1040" style="width:0;height:1.5pt" o:hralign="center" o:hrstd="t" o:hr="t" fillcolor="#a0a0a0" stroked="f"/>
        </w:pict>
      </w:r>
    </w:p>
    <w:p w14:paraId="7BBE0567" w14:textId="77777777" w:rsidR="00000000" w:rsidRDefault="0053651E">
      <w:pPr>
        <w:divId w:val="11270925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3E23322" w14:textId="77777777" w:rsidR="00000000" w:rsidRDefault="0053651E">
      <w:pPr>
        <w:pStyle w:val="a3"/>
        <w:spacing w:before="0" w:beforeAutospacing="0" w:after="0" w:afterAutospacing="0"/>
        <w:rPr>
          <w:sz w:val="20"/>
          <w:szCs w:val="20"/>
        </w:rPr>
      </w:pPr>
      <w:r>
        <w:rPr>
          <w:sz w:val="20"/>
          <w:szCs w:val="20"/>
        </w:rPr>
        <w:t> </w:t>
      </w:r>
    </w:p>
    <w:p w14:paraId="57D07CC9" w14:textId="77777777" w:rsidR="00000000" w:rsidRDefault="0053651E">
      <w:pPr>
        <w:pStyle w:val="a3"/>
        <w:spacing w:before="0" w:beforeAutospacing="0" w:after="0" w:afterAutospacing="0"/>
        <w:ind w:firstLine="360"/>
        <w:jc w:val="both"/>
        <w:rPr>
          <w:sz w:val="20"/>
          <w:szCs w:val="20"/>
        </w:rPr>
      </w:pPr>
      <w:r>
        <w:rPr>
          <w:b/>
          <w:bCs/>
          <w:sz w:val="20"/>
          <w:szCs w:val="20"/>
        </w:rPr>
        <w:t>We may be subject to liability under environmental laws, ordinances and regulations.</w:t>
      </w:r>
    </w:p>
    <w:p w14:paraId="74501843" w14:textId="77777777" w:rsidR="00000000" w:rsidRDefault="0053651E">
      <w:pPr>
        <w:pStyle w:val="a3"/>
        <w:spacing w:before="0" w:beforeAutospacing="0" w:after="0" w:afterAutospacing="0"/>
        <w:ind w:firstLine="360"/>
        <w:jc w:val="both"/>
        <w:rPr>
          <w:sz w:val="20"/>
          <w:szCs w:val="20"/>
        </w:rPr>
      </w:pPr>
      <w:r>
        <w:rPr>
          <w:sz w:val="20"/>
          <w:szCs w:val="20"/>
        </w:rPr>
        <w:t> </w:t>
      </w:r>
    </w:p>
    <w:p w14:paraId="3FBFBC19" w14:textId="77777777" w:rsidR="00000000" w:rsidRDefault="0053651E">
      <w:pPr>
        <w:pStyle w:val="a3"/>
        <w:spacing w:before="0" w:beforeAutospacing="0" w:after="0" w:afterAutospacing="0"/>
        <w:ind w:firstLine="360"/>
        <w:jc w:val="both"/>
        <w:rPr>
          <w:sz w:val="20"/>
          <w:szCs w:val="20"/>
        </w:rPr>
      </w:pPr>
      <w:r>
        <w:rPr>
          <w:sz w:val="20"/>
          <w:szCs w:val="20"/>
        </w:rPr>
        <w:t>Under various federal, state, and local laws, ordinances and regulations, we may be co</w:t>
      </w:r>
      <w:r>
        <w:rPr>
          <w:sz w:val="20"/>
          <w:szCs w:val="20"/>
        </w:rPr>
        <w:t>nsidered an owner or operator of real property and may be responsible for paying for the disposal or treatment of hazardous or toxic substances released on or in our property, as well as certain other potential costs relating to hazardous or toxic substanc</w:t>
      </w:r>
      <w:r>
        <w:rPr>
          <w:sz w:val="20"/>
          <w:szCs w:val="20"/>
        </w:rPr>
        <w:t>es (including governmental fines and injuries to persons and property). This liability may be imposed whether or not we knew about, or were responsible for, the presence of hazardous or toxic substances.</w:t>
      </w:r>
    </w:p>
    <w:p w14:paraId="399FEB5E" w14:textId="77777777" w:rsidR="00000000" w:rsidRDefault="0053651E">
      <w:pPr>
        <w:pStyle w:val="a3"/>
        <w:spacing w:before="0" w:beforeAutospacing="0" w:after="0" w:afterAutospacing="0"/>
        <w:ind w:firstLine="360"/>
        <w:jc w:val="both"/>
        <w:rPr>
          <w:sz w:val="20"/>
          <w:szCs w:val="20"/>
        </w:rPr>
      </w:pPr>
      <w:r>
        <w:rPr>
          <w:sz w:val="20"/>
          <w:szCs w:val="20"/>
        </w:rPr>
        <w:t> </w:t>
      </w:r>
    </w:p>
    <w:p w14:paraId="47153849" w14:textId="77777777" w:rsidR="00000000" w:rsidRDefault="0053651E">
      <w:pPr>
        <w:pStyle w:val="a3"/>
        <w:spacing w:before="0" w:beforeAutospacing="0" w:after="0" w:afterAutospacing="0"/>
        <w:ind w:left="144" w:right="144"/>
        <w:jc w:val="both"/>
        <w:rPr>
          <w:sz w:val="20"/>
          <w:szCs w:val="20"/>
        </w:rPr>
      </w:pPr>
      <w:r>
        <w:rPr>
          <w:b/>
          <w:bCs/>
          <w:sz w:val="20"/>
          <w:szCs w:val="20"/>
        </w:rPr>
        <w:t xml:space="preserve">     Natural disasters, severe weather conditions </w:t>
      </w:r>
      <w:r>
        <w:rPr>
          <w:b/>
          <w:bCs/>
          <w:sz w:val="20"/>
          <w:szCs w:val="20"/>
        </w:rPr>
        <w:t>and the effects of climate change could have an adverse impact on our financial condition, results of operations and cash flows.</w:t>
      </w:r>
    </w:p>
    <w:p w14:paraId="141D18C5" w14:textId="77777777" w:rsidR="00000000" w:rsidRDefault="0053651E">
      <w:pPr>
        <w:pStyle w:val="a3"/>
        <w:spacing w:before="0" w:beforeAutospacing="0" w:after="0" w:afterAutospacing="0"/>
        <w:ind w:left="144" w:right="144"/>
        <w:jc w:val="both"/>
        <w:rPr>
          <w:sz w:val="20"/>
          <w:szCs w:val="20"/>
        </w:rPr>
      </w:pPr>
      <w:r>
        <w:rPr>
          <w:sz w:val="20"/>
          <w:szCs w:val="20"/>
        </w:rPr>
        <w:t> </w:t>
      </w:r>
    </w:p>
    <w:p w14:paraId="3B4C05A6" w14:textId="77777777" w:rsidR="00000000" w:rsidRDefault="0053651E">
      <w:pPr>
        <w:pStyle w:val="a3"/>
        <w:spacing w:before="0" w:beforeAutospacing="0" w:after="0" w:afterAutospacing="0"/>
        <w:ind w:left="144" w:right="144"/>
        <w:jc w:val="both"/>
        <w:rPr>
          <w:sz w:val="20"/>
          <w:szCs w:val="20"/>
        </w:rPr>
      </w:pPr>
      <w:r>
        <w:rPr>
          <w:sz w:val="20"/>
          <w:szCs w:val="20"/>
        </w:rPr>
        <w:t>    Our operations are located in areas that are subject to natural disasters and severe weather conditions such as hurricane</w:t>
      </w:r>
      <w:r>
        <w:rPr>
          <w:sz w:val="20"/>
          <w:szCs w:val="20"/>
        </w:rPr>
        <w:t>s, tornados, earthquakes, snowstorms, floods and fires, and the frequency of these natural disasters and severe weather conditions may increase due to climate change. The occurrence of natural disasters, severe weather conditions and the effects of climate</w:t>
      </w:r>
      <w:r>
        <w:rPr>
          <w:sz w:val="20"/>
          <w:szCs w:val="20"/>
        </w:rPr>
        <w:t xml:space="preserve"> change can delay new development or redevelopment projects, increase investment costs to repair or replace damaged properties, increase operation costs, including the cost of energy at our properties, increase costs for future property insurance, negative</w:t>
      </w:r>
      <w:r>
        <w:rPr>
          <w:sz w:val="20"/>
          <w:szCs w:val="20"/>
        </w:rPr>
        <w:t>ly impact the tenant demand for lease space and cause substantial damages or losses to our properties which could exceed any applicable insurance coverage. The incurrence of any of these losses, costs or business interruptions may adversely affect our fina</w:t>
      </w:r>
      <w:r>
        <w:rPr>
          <w:sz w:val="20"/>
          <w:szCs w:val="20"/>
        </w:rPr>
        <w:t>ncial condition, results of operations and cash flows.</w:t>
      </w:r>
    </w:p>
    <w:p w14:paraId="6E81811A" w14:textId="77777777" w:rsidR="00000000" w:rsidRDefault="0053651E">
      <w:pPr>
        <w:pStyle w:val="a3"/>
        <w:spacing w:before="0" w:beforeAutospacing="0" w:after="0" w:afterAutospacing="0"/>
        <w:ind w:left="144" w:right="144"/>
        <w:jc w:val="both"/>
        <w:rPr>
          <w:sz w:val="20"/>
          <w:szCs w:val="20"/>
        </w:rPr>
      </w:pPr>
      <w:r>
        <w:rPr>
          <w:sz w:val="20"/>
          <w:szCs w:val="20"/>
        </w:rPr>
        <w:t> </w:t>
      </w:r>
    </w:p>
    <w:p w14:paraId="7942AD71" w14:textId="77777777" w:rsidR="00000000" w:rsidRDefault="0053651E">
      <w:pPr>
        <w:pStyle w:val="a3"/>
        <w:spacing w:before="0" w:beforeAutospacing="0" w:after="0" w:afterAutospacing="0"/>
        <w:ind w:left="144" w:right="144"/>
        <w:jc w:val="both"/>
        <w:rPr>
          <w:sz w:val="20"/>
          <w:szCs w:val="20"/>
        </w:rPr>
      </w:pPr>
      <w:r>
        <w:rPr>
          <w:sz w:val="20"/>
          <w:szCs w:val="20"/>
        </w:rPr>
        <w:t>    In addition, changes in government legislation and regulation on climate change could result in increased capital expenditures to improve the energy efficiency of our existing properties and coul</w:t>
      </w:r>
      <w:r>
        <w:rPr>
          <w:sz w:val="20"/>
          <w:szCs w:val="20"/>
        </w:rPr>
        <w:t>d also require us to spend more on our development or redevelopment projects without a corresponding increase in revenues, which may adversely affect our financial condition, results of operations and cash flows. </w:t>
      </w:r>
    </w:p>
    <w:p w14:paraId="0E04B094" w14:textId="77777777" w:rsidR="00000000" w:rsidRDefault="0053651E">
      <w:pPr>
        <w:pStyle w:val="a3"/>
        <w:spacing w:before="0" w:beforeAutospacing="0" w:after="0" w:afterAutospacing="0"/>
        <w:ind w:left="144" w:right="144"/>
        <w:jc w:val="both"/>
        <w:rPr>
          <w:sz w:val="20"/>
          <w:szCs w:val="20"/>
        </w:rPr>
      </w:pPr>
      <w:r>
        <w:rPr>
          <w:sz w:val="20"/>
          <w:szCs w:val="20"/>
        </w:rPr>
        <w:t> </w:t>
      </w:r>
    </w:p>
    <w:p w14:paraId="64F6E03A" w14:textId="77777777" w:rsidR="00000000" w:rsidRDefault="0053651E">
      <w:pPr>
        <w:pStyle w:val="a3"/>
        <w:spacing w:before="0" w:beforeAutospacing="0" w:after="0" w:afterAutospacing="0"/>
        <w:ind w:left="144" w:right="144" w:firstLine="180"/>
        <w:jc w:val="both"/>
        <w:rPr>
          <w:sz w:val="20"/>
          <w:szCs w:val="20"/>
        </w:rPr>
      </w:pPr>
      <w:r>
        <w:rPr>
          <w:b/>
          <w:bCs/>
          <w:sz w:val="20"/>
          <w:szCs w:val="20"/>
        </w:rPr>
        <w:t>Pandemics or other health crises may adv</w:t>
      </w:r>
      <w:r>
        <w:rPr>
          <w:b/>
          <w:bCs/>
          <w:sz w:val="20"/>
          <w:szCs w:val="20"/>
        </w:rPr>
        <w:t>ersely affect our tenants’ financial condition and the profitability of our properties.</w:t>
      </w:r>
    </w:p>
    <w:p w14:paraId="6E04EF54" w14:textId="77777777" w:rsidR="00000000" w:rsidRDefault="0053651E">
      <w:pPr>
        <w:pStyle w:val="a3"/>
        <w:spacing w:before="0" w:beforeAutospacing="0" w:after="0" w:afterAutospacing="0"/>
        <w:ind w:left="144" w:right="144"/>
        <w:rPr>
          <w:sz w:val="20"/>
          <w:szCs w:val="20"/>
        </w:rPr>
      </w:pPr>
      <w:r>
        <w:rPr>
          <w:b/>
          <w:bCs/>
          <w:sz w:val="20"/>
          <w:szCs w:val="20"/>
        </w:rPr>
        <w:t> </w:t>
      </w:r>
    </w:p>
    <w:p w14:paraId="4E5E56B0" w14:textId="77777777" w:rsidR="00000000" w:rsidRDefault="0053651E">
      <w:pPr>
        <w:pStyle w:val="a3"/>
        <w:spacing w:before="0" w:beforeAutospacing="0" w:after="0" w:afterAutospacing="0"/>
        <w:ind w:left="144" w:right="144" w:firstLine="180"/>
        <w:jc w:val="both"/>
        <w:rPr>
          <w:sz w:val="20"/>
          <w:szCs w:val="20"/>
        </w:rPr>
      </w:pPr>
      <w:r>
        <w:rPr>
          <w:sz w:val="20"/>
          <w:szCs w:val="20"/>
        </w:rPr>
        <w:t>Our business and the businesses of our tenants could be materially and adversely affected by the risks, or the public perception of the risks, related to a pandemic or other health crisis, such as the recent outbreak of novel coronavirus (COVID-19).</w:t>
      </w:r>
    </w:p>
    <w:p w14:paraId="14306A71" w14:textId="77777777" w:rsidR="00000000" w:rsidRDefault="0053651E">
      <w:pPr>
        <w:pStyle w:val="a3"/>
        <w:spacing w:before="0" w:beforeAutospacing="0" w:after="0" w:afterAutospacing="0"/>
        <w:ind w:left="144" w:right="144"/>
        <w:jc w:val="both"/>
        <w:rPr>
          <w:sz w:val="20"/>
          <w:szCs w:val="20"/>
        </w:rPr>
      </w:pPr>
      <w:r>
        <w:rPr>
          <w:sz w:val="20"/>
          <w:szCs w:val="20"/>
        </w:rPr>
        <w:t> </w:t>
      </w:r>
    </w:p>
    <w:p w14:paraId="207035FD" w14:textId="77777777" w:rsidR="00000000" w:rsidRDefault="0053651E">
      <w:pPr>
        <w:pStyle w:val="a3"/>
        <w:spacing w:before="0" w:beforeAutospacing="0" w:after="0" w:afterAutospacing="0"/>
        <w:ind w:left="144" w:right="144" w:firstLine="180"/>
        <w:jc w:val="both"/>
        <w:rPr>
          <w:sz w:val="20"/>
          <w:szCs w:val="20"/>
        </w:rPr>
      </w:pPr>
      <w:r>
        <w:rPr>
          <w:sz w:val="20"/>
          <w:szCs w:val="20"/>
        </w:rPr>
        <w:t>Such</w:t>
      </w:r>
      <w:r>
        <w:rPr>
          <w:sz w:val="20"/>
          <w:szCs w:val="20"/>
        </w:rPr>
        <w:t xml:space="preserve"> events could result in the complete or partial closure of one or more of our tenants’ manufacturing facilities or distribution centers, temporary or long-term disruption in our tenants’ supply chains from local and international suppliers, and /or delays </w:t>
      </w:r>
      <w:r>
        <w:rPr>
          <w:sz w:val="20"/>
          <w:szCs w:val="20"/>
        </w:rPr>
        <w:t>in the delivery of our tenants’ inventory. </w:t>
      </w:r>
    </w:p>
    <w:p w14:paraId="0BD3E296" w14:textId="77777777" w:rsidR="00000000" w:rsidRDefault="0053651E">
      <w:pPr>
        <w:pStyle w:val="a3"/>
        <w:spacing w:before="0" w:beforeAutospacing="0" w:after="0" w:afterAutospacing="0"/>
        <w:ind w:left="144" w:right="144"/>
        <w:jc w:val="both"/>
        <w:rPr>
          <w:sz w:val="20"/>
          <w:szCs w:val="20"/>
        </w:rPr>
      </w:pPr>
      <w:r>
        <w:rPr>
          <w:sz w:val="20"/>
          <w:szCs w:val="20"/>
        </w:rPr>
        <w:t> </w:t>
      </w:r>
    </w:p>
    <w:p w14:paraId="5AA84665" w14:textId="77777777" w:rsidR="00000000" w:rsidRDefault="0053651E">
      <w:pPr>
        <w:pStyle w:val="a3"/>
        <w:spacing w:before="0" w:beforeAutospacing="0" w:after="0" w:afterAutospacing="0"/>
        <w:ind w:left="144" w:right="144" w:firstLine="180"/>
        <w:jc w:val="both"/>
        <w:rPr>
          <w:sz w:val="20"/>
          <w:szCs w:val="20"/>
        </w:rPr>
      </w:pPr>
      <w:r>
        <w:rPr>
          <w:sz w:val="20"/>
          <w:szCs w:val="20"/>
        </w:rPr>
        <w:t xml:space="preserve">The profitability of our properties depends, in part, on the willingness of customers to visit our tenants’ businesses. The risk, or public perception of the risk, of a pandemic or media coverage of infectious </w:t>
      </w:r>
      <w:r>
        <w:rPr>
          <w:sz w:val="20"/>
          <w:szCs w:val="20"/>
        </w:rPr>
        <w:t>diseases could cause employees or customers to avoid our properties, which could adversely affect foot traffic to our tenants’ businesses and our tenants’ ability to adequately staff their businesses. Such events could adversely impact tenants’ sales and/o</w:t>
      </w:r>
      <w:r>
        <w:rPr>
          <w:sz w:val="20"/>
          <w:szCs w:val="20"/>
        </w:rPr>
        <w:t>r cause the temporary closure of our tenants’ businesses, which could severely disrupt their operations and have a material adverse effect on our business, financial condition and results of operations.</w:t>
      </w:r>
    </w:p>
    <w:p w14:paraId="04A1697C" w14:textId="77777777" w:rsidR="00000000" w:rsidRDefault="0053651E">
      <w:pPr>
        <w:pStyle w:val="a3"/>
        <w:spacing w:before="0" w:beforeAutospacing="0" w:after="0" w:afterAutospacing="0"/>
        <w:ind w:left="144" w:right="144"/>
        <w:jc w:val="both"/>
        <w:rPr>
          <w:sz w:val="20"/>
          <w:szCs w:val="20"/>
        </w:rPr>
      </w:pPr>
      <w:r>
        <w:rPr>
          <w:sz w:val="20"/>
          <w:szCs w:val="20"/>
        </w:rPr>
        <w:t> </w:t>
      </w:r>
    </w:p>
    <w:p w14:paraId="3F5876E4" w14:textId="77777777" w:rsidR="00000000" w:rsidRDefault="0053651E">
      <w:pPr>
        <w:pStyle w:val="a3"/>
        <w:spacing w:before="0" w:beforeAutospacing="0" w:after="0" w:afterAutospacing="0"/>
        <w:ind w:left="144" w:right="144" w:firstLine="180"/>
        <w:jc w:val="both"/>
        <w:rPr>
          <w:sz w:val="20"/>
          <w:szCs w:val="20"/>
        </w:rPr>
      </w:pPr>
      <w:r>
        <w:rPr>
          <w:b/>
          <w:bCs/>
          <w:sz w:val="20"/>
          <w:szCs w:val="20"/>
        </w:rPr>
        <w:t>Corporate responsibility, specifically related to e</w:t>
      </w:r>
      <w:r>
        <w:rPr>
          <w:b/>
          <w:bCs/>
          <w:sz w:val="20"/>
          <w:szCs w:val="20"/>
        </w:rPr>
        <w:t>nvironmental, social and governance factors (“ESG”), may impose additional costs and expose us to new risks.</w:t>
      </w:r>
    </w:p>
    <w:p w14:paraId="3FD5CF30" w14:textId="77777777" w:rsidR="00000000" w:rsidRDefault="0053651E">
      <w:pPr>
        <w:pStyle w:val="a3"/>
        <w:spacing w:before="0" w:beforeAutospacing="0" w:after="0" w:afterAutospacing="0"/>
        <w:ind w:left="144" w:right="144" w:firstLine="180"/>
        <w:jc w:val="both"/>
        <w:rPr>
          <w:sz w:val="20"/>
          <w:szCs w:val="20"/>
        </w:rPr>
      </w:pPr>
      <w:r>
        <w:rPr>
          <w:sz w:val="20"/>
          <w:szCs w:val="20"/>
        </w:rPr>
        <w:t> </w:t>
      </w:r>
    </w:p>
    <w:p w14:paraId="087A2D6C" w14:textId="77777777" w:rsidR="00000000" w:rsidRDefault="0053651E">
      <w:pPr>
        <w:pStyle w:val="a3"/>
        <w:spacing w:before="0" w:beforeAutospacing="0" w:after="0" w:afterAutospacing="0"/>
        <w:ind w:left="144" w:right="144" w:firstLine="180"/>
        <w:jc w:val="both"/>
        <w:rPr>
          <w:sz w:val="20"/>
          <w:szCs w:val="20"/>
        </w:rPr>
      </w:pPr>
      <w:r>
        <w:rPr>
          <w:sz w:val="20"/>
          <w:szCs w:val="20"/>
        </w:rPr>
        <w:t xml:space="preserve">The importance of sustainability evaluations is becoming more broadly accepted by investors and shareholders. Certain organizations that provide </w:t>
      </w:r>
      <w:r>
        <w:rPr>
          <w:sz w:val="20"/>
          <w:szCs w:val="20"/>
        </w:rPr>
        <w:t>corporate governance and other corporate risk information to investors and shareholders have developed scores and ratings to evaluate companies and investment funds based upon environmental, social and governance (“ESG”) or “sustainability” metrics. Many i</w:t>
      </w:r>
      <w:r>
        <w:rPr>
          <w:sz w:val="20"/>
          <w:szCs w:val="20"/>
        </w:rPr>
        <w:t>nvestment funds focus on positive ESG business practices and sustainability scores when making investments and may consider a company’s sustainability score as a reputational or other factor in making an investment decision. In addition, investors, particu</w:t>
      </w:r>
      <w:r>
        <w:rPr>
          <w:sz w:val="20"/>
          <w:szCs w:val="20"/>
        </w:rPr>
        <w:t>larly institutional investors, use these scores to benchmark companies against their peers and if a company is perceived as lagging, these investors may engage with companies to require improved ESG disclosure or performance. We may face reputational damag</w:t>
      </w:r>
      <w:r>
        <w:rPr>
          <w:sz w:val="20"/>
          <w:szCs w:val="20"/>
        </w:rPr>
        <w:t xml:space="preserve">e in the event our corporate responsibility procedures or standards do not meet the standards set by various constituencies. Although we have generally scored highly in these metrics to date, there can be no assurance that we will continue to score highly </w:t>
      </w:r>
      <w:r>
        <w:rPr>
          <w:sz w:val="20"/>
          <w:szCs w:val="20"/>
        </w:rPr>
        <w:t xml:space="preserve">in the future. In addition, the criteria by which companies are rated may change, which could cause us to receive lower scores than previous years. A low sustainability score could result in a negative perception of the Company, or exclusion of our common </w:t>
      </w:r>
      <w:r>
        <w:rPr>
          <w:sz w:val="20"/>
          <w:szCs w:val="20"/>
        </w:rPr>
        <w:t>stock from consideration by certain investors who may elect to invest with our competition instead.</w:t>
      </w:r>
    </w:p>
    <w:p w14:paraId="522D3890" w14:textId="77777777" w:rsidR="00000000" w:rsidRDefault="0053651E">
      <w:pPr>
        <w:pStyle w:val="a3"/>
        <w:spacing w:before="0" w:beforeAutospacing="0" w:after="0" w:afterAutospacing="0"/>
        <w:ind w:left="144" w:right="144"/>
        <w:jc w:val="both"/>
        <w:rPr>
          <w:sz w:val="20"/>
          <w:szCs w:val="20"/>
        </w:rPr>
      </w:pPr>
      <w:r>
        <w:rPr>
          <w:sz w:val="20"/>
          <w:szCs w:val="20"/>
        </w:rPr>
        <w:t> </w:t>
      </w:r>
    </w:p>
    <w:p w14:paraId="2BDFCC39" w14:textId="77777777" w:rsidR="00000000" w:rsidRDefault="0053651E">
      <w:pPr>
        <w:pStyle w:val="a3"/>
        <w:spacing w:before="0" w:beforeAutospacing="0" w:after="0" w:afterAutospacing="0"/>
        <w:ind w:left="144" w:right="144"/>
        <w:jc w:val="both"/>
        <w:rPr>
          <w:sz w:val="20"/>
          <w:szCs w:val="20"/>
        </w:rPr>
      </w:pPr>
      <w:r>
        <w:rPr>
          <w:b/>
          <w:bCs/>
          <w:sz w:val="20"/>
          <w:szCs w:val="20"/>
        </w:rPr>
        <w:t>    Our success depends largely on the continued service and availability of key personnel.</w:t>
      </w:r>
    </w:p>
    <w:p w14:paraId="43AA6D5D" w14:textId="77777777" w:rsidR="00000000" w:rsidRDefault="0053651E">
      <w:pPr>
        <w:pStyle w:val="a3"/>
        <w:spacing w:before="0" w:beforeAutospacing="0" w:after="0" w:afterAutospacing="0"/>
        <w:ind w:left="144" w:right="144"/>
        <w:jc w:val="both"/>
        <w:rPr>
          <w:sz w:val="20"/>
          <w:szCs w:val="20"/>
        </w:rPr>
      </w:pPr>
      <w:r>
        <w:rPr>
          <w:sz w:val="20"/>
          <w:szCs w:val="20"/>
        </w:rPr>
        <w:t> </w:t>
      </w:r>
    </w:p>
    <w:p w14:paraId="7C326DA3" w14:textId="77777777" w:rsidR="00000000" w:rsidRDefault="0053651E">
      <w:pPr>
        <w:pStyle w:val="a3"/>
        <w:spacing w:before="0" w:beforeAutospacing="0" w:after="0" w:afterAutospacing="0"/>
        <w:ind w:left="144" w:right="144"/>
        <w:jc w:val="both"/>
        <w:rPr>
          <w:sz w:val="20"/>
          <w:szCs w:val="20"/>
        </w:rPr>
      </w:pPr>
      <w:r>
        <w:rPr>
          <w:sz w:val="20"/>
          <w:szCs w:val="20"/>
        </w:rPr>
        <w:t xml:space="preserve">    We depend on the deep industry knowledge and efforts of </w:t>
      </w:r>
      <w:r>
        <w:rPr>
          <w:sz w:val="20"/>
          <w:szCs w:val="20"/>
        </w:rPr>
        <w:t>key personnel, including our executive officers, to manage our day-to-day operations and strategic business direction. Our ability to attract, retain and motivate key personnel may significantly impact our future performance, and if any of our executive of</w:t>
      </w:r>
      <w:r>
        <w:rPr>
          <w:sz w:val="20"/>
          <w:szCs w:val="20"/>
        </w:rPr>
        <w:t>ficers or other key personnel depart the Company, for any reason, we may not be able to easily replace such individual. The loss of the services of our executive officers and other key personnel could have a material adverse effect on our financial conditi</w:t>
      </w:r>
      <w:r>
        <w:rPr>
          <w:sz w:val="20"/>
          <w:szCs w:val="20"/>
        </w:rPr>
        <w:t>on, results of operations and cash flows.</w:t>
      </w:r>
    </w:p>
    <w:p w14:paraId="35A4F2C9" w14:textId="77777777" w:rsidR="00000000" w:rsidRDefault="0053651E">
      <w:pPr>
        <w:pStyle w:val="a3"/>
        <w:spacing w:before="0" w:beforeAutospacing="0" w:after="0" w:afterAutospacing="0"/>
        <w:ind w:left="144" w:right="144"/>
        <w:rPr>
          <w:sz w:val="20"/>
          <w:szCs w:val="20"/>
        </w:rPr>
      </w:pPr>
      <w:r>
        <w:rPr>
          <w:sz w:val="20"/>
          <w:szCs w:val="20"/>
        </w:rPr>
        <w:t> </w:t>
      </w:r>
    </w:p>
    <w:p w14:paraId="1402EA81" w14:textId="77777777" w:rsidR="00000000" w:rsidRDefault="0053651E">
      <w:pPr>
        <w:pStyle w:val="a3"/>
        <w:spacing w:before="0" w:beforeAutospacing="0" w:after="0" w:afterAutospacing="0"/>
        <w:ind w:firstLine="360"/>
        <w:rPr>
          <w:sz w:val="20"/>
          <w:szCs w:val="20"/>
        </w:rPr>
      </w:pPr>
      <w:r>
        <w:rPr>
          <w:b/>
          <w:bCs/>
          <w:sz w:val="20"/>
          <w:szCs w:val="20"/>
          <w:u w:val="single"/>
        </w:rPr>
        <w:t>Risks Related to Our Debt and Equity Securities</w:t>
      </w:r>
    </w:p>
    <w:p w14:paraId="4EEB1667"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2BC74875" w14:textId="77777777" w:rsidR="00000000" w:rsidRDefault="0053651E">
      <w:pPr>
        <w:pStyle w:val="a3"/>
        <w:spacing w:before="0" w:beforeAutospacing="0" w:after="0" w:afterAutospacing="0"/>
        <w:ind w:firstLine="360"/>
        <w:jc w:val="both"/>
        <w:rPr>
          <w:sz w:val="20"/>
          <w:szCs w:val="20"/>
        </w:rPr>
      </w:pPr>
      <w:r>
        <w:rPr>
          <w:b/>
          <w:bCs/>
          <w:sz w:val="20"/>
          <w:szCs w:val="20"/>
        </w:rPr>
        <w:t>We may be unable to obtain financing through the debt and equity markets, which would have a material adverse effect on our growth strategy, our financial conditi</w:t>
      </w:r>
      <w:r>
        <w:rPr>
          <w:b/>
          <w:bCs/>
          <w:sz w:val="20"/>
          <w:szCs w:val="20"/>
        </w:rPr>
        <w:t>on and our results of operations.</w:t>
      </w:r>
      <w:r>
        <w:rPr>
          <w:sz w:val="20"/>
          <w:szCs w:val="20"/>
        </w:rPr>
        <w:t> </w:t>
      </w:r>
    </w:p>
    <w:p w14:paraId="17337E95" w14:textId="77777777" w:rsidR="00000000" w:rsidRDefault="0053651E">
      <w:pPr>
        <w:pStyle w:val="a3"/>
        <w:spacing w:before="0" w:beforeAutospacing="0" w:after="0" w:afterAutospacing="0"/>
        <w:ind w:firstLine="360"/>
        <w:jc w:val="both"/>
        <w:rPr>
          <w:sz w:val="20"/>
          <w:szCs w:val="20"/>
        </w:rPr>
      </w:pPr>
      <w:r>
        <w:rPr>
          <w:sz w:val="20"/>
          <w:szCs w:val="20"/>
        </w:rPr>
        <w:t> </w:t>
      </w:r>
    </w:p>
    <w:p w14:paraId="2D8BD7F2" w14:textId="77777777" w:rsidR="00000000" w:rsidRDefault="0053651E">
      <w:pPr>
        <w:pStyle w:val="a3"/>
        <w:spacing w:before="0" w:beforeAutospacing="0" w:after="0" w:afterAutospacing="0"/>
        <w:ind w:firstLine="360"/>
        <w:jc w:val="both"/>
        <w:rPr>
          <w:sz w:val="20"/>
          <w:szCs w:val="20"/>
        </w:rPr>
      </w:pPr>
      <w:r>
        <w:rPr>
          <w:sz w:val="20"/>
          <w:szCs w:val="20"/>
        </w:rPr>
        <w:t>We cannot assure you that we will be able to access the credit and/or equity markets to obtain additional debt or equity financing or that we will be able to obtain financing on terms favorable to us. The inability to o</w:t>
      </w:r>
      <w:r>
        <w:rPr>
          <w:sz w:val="20"/>
          <w:szCs w:val="20"/>
        </w:rPr>
        <w:t>btain financing on a timely basis could have negative effects on our business, such as:</w:t>
      </w:r>
    </w:p>
    <w:p w14:paraId="68E83322"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44132AA" w14:textId="77777777">
        <w:trPr>
          <w:tblCellSpacing w:w="0" w:type="dxa"/>
        </w:trPr>
        <w:tc>
          <w:tcPr>
            <w:tcW w:w="360" w:type="dxa"/>
            <w:vAlign w:val="center"/>
            <w:hideMark/>
          </w:tcPr>
          <w:p w14:paraId="2EFE7F7C" w14:textId="77777777" w:rsidR="00000000" w:rsidRDefault="0053651E">
            <w:pPr>
              <w:rPr>
                <w:rFonts w:eastAsia="Times New Roman"/>
                <w:sz w:val="20"/>
                <w:szCs w:val="20"/>
              </w:rPr>
            </w:pPr>
            <w:r>
              <w:rPr>
                <w:rFonts w:eastAsia="Times New Roman"/>
                <w:sz w:val="20"/>
                <w:szCs w:val="20"/>
              </w:rPr>
              <w:t> </w:t>
            </w:r>
          </w:p>
        </w:tc>
        <w:tc>
          <w:tcPr>
            <w:tcW w:w="360" w:type="dxa"/>
            <w:hideMark/>
          </w:tcPr>
          <w:p w14:paraId="746D939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2AC4A02A" w14:textId="77777777" w:rsidR="00000000" w:rsidRDefault="0053651E">
            <w:pPr>
              <w:pStyle w:val="a3"/>
              <w:spacing w:before="0" w:beforeAutospacing="0" w:after="0" w:afterAutospacing="0"/>
              <w:rPr>
                <w:sz w:val="20"/>
                <w:szCs w:val="20"/>
              </w:rPr>
            </w:pPr>
            <w:r>
              <w:rPr>
                <w:sz w:val="20"/>
                <w:szCs w:val="20"/>
              </w:rPr>
              <w:t>we could have great difficulty acquiring or developing properties, which would materially adversely affect our investment strategy;</w:t>
            </w:r>
          </w:p>
        </w:tc>
      </w:tr>
    </w:tbl>
    <w:p w14:paraId="6441819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A40FE3E" w14:textId="77777777">
        <w:trPr>
          <w:tblCellSpacing w:w="0" w:type="dxa"/>
        </w:trPr>
        <w:tc>
          <w:tcPr>
            <w:tcW w:w="360" w:type="dxa"/>
            <w:vAlign w:val="center"/>
            <w:hideMark/>
          </w:tcPr>
          <w:p w14:paraId="40148166" w14:textId="77777777" w:rsidR="00000000" w:rsidRDefault="0053651E">
            <w:pPr>
              <w:rPr>
                <w:rFonts w:eastAsia="Times New Roman"/>
                <w:sz w:val="20"/>
                <w:szCs w:val="20"/>
              </w:rPr>
            </w:pPr>
            <w:r>
              <w:rPr>
                <w:rFonts w:eastAsia="Times New Roman"/>
                <w:sz w:val="20"/>
                <w:szCs w:val="20"/>
              </w:rPr>
              <w:t> </w:t>
            </w:r>
          </w:p>
        </w:tc>
        <w:tc>
          <w:tcPr>
            <w:tcW w:w="360" w:type="dxa"/>
            <w:hideMark/>
          </w:tcPr>
          <w:p w14:paraId="6DB50B35"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57BD256" w14:textId="77777777" w:rsidR="00000000" w:rsidRDefault="0053651E">
            <w:pPr>
              <w:pStyle w:val="a3"/>
              <w:spacing w:before="0" w:beforeAutospacing="0" w:after="0" w:afterAutospacing="0"/>
              <w:rPr>
                <w:sz w:val="20"/>
                <w:szCs w:val="20"/>
              </w:rPr>
            </w:pPr>
            <w:r>
              <w:rPr>
                <w:sz w:val="20"/>
                <w:szCs w:val="20"/>
              </w:rPr>
              <w:t>our liquidity could be adversely affected;</w:t>
            </w:r>
          </w:p>
        </w:tc>
      </w:tr>
    </w:tbl>
    <w:p w14:paraId="7A66518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12C8260" w14:textId="77777777">
        <w:trPr>
          <w:tblCellSpacing w:w="0" w:type="dxa"/>
        </w:trPr>
        <w:tc>
          <w:tcPr>
            <w:tcW w:w="360" w:type="dxa"/>
            <w:vAlign w:val="center"/>
            <w:hideMark/>
          </w:tcPr>
          <w:p w14:paraId="4253CE44" w14:textId="77777777" w:rsidR="00000000" w:rsidRDefault="0053651E">
            <w:pPr>
              <w:rPr>
                <w:rFonts w:eastAsia="Times New Roman"/>
                <w:sz w:val="20"/>
                <w:szCs w:val="20"/>
              </w:rPr>
            </w:pPr>
            <w:r>
              <w:rPr>
                <w:rFonts w:eastAsia="Times New Roman"/>
                <w:sz w:val="20"/>
                <w:szCs w:val="20"/>
              </w:rPr>
              <w:t> </w:t>
            </w:r>
          </w:p>
        </w:tc>
        <w:tc>
          <w:tcPr>
            <w:tcW w:w="360" w:type="dxa"/>
            <w:hideMark/>
          </w:tcPr>
          <w:p w14:paraId="241CCF29"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0044242D" w14:textId="77777777" w:rsidR="00000000" w:rsidRDefault="0053651E">
            <w:pPr>
              <w:pStyle w:val="a3"/>
              <w:spacing w:before="0" w:beforeAutospacing="0" w:after="0" w:afterAutospacing="0"/>
              <w:rPr>
                <w:sz w:val="20"/>
                <w:szCs w:val="20"/>
              </w:rPr>
            </w:pPr>
            <w:r>
              <w:rPr>
                <w:sz w:val="20"/>
                <w:szCs w:val="20"/>
              </w:rPr>
              <w:t>we may be unable to repay or refinance our indebtedness;</w:t>
            </w:r>
          </w:p>
        </w:tc>
      </w:tr>
    </w:tbl>
    <w:p w14:paraId="3392874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520EE95" w14:textId="77777777">
        <w:trPr>
          <w:tblCellSpacing w:w="0" w:type="dxa"/>
        </w:trPr>
        <w:tc>
          <w:tcPr>
            <w:tcW w:w="360" w:type="dxa"/>
            <w:vAlign w:val="center"/>
            <w:hideMark/>
          </w:tcPr>
          <w:p w14:paraId="175C6DF6" w14:textId="77777777" w:rsidR="00000000" w:rsidRDefault="0053651E">
            <w:pPr>
              <w:rPr>
                <w:rFonts w:eastAsia="Times New Roman"/>
                <w:sz w:val="20"/>
                <w:szCs w:val="20"/>
              </w:rPr>
            </w:pPr>
            <w:r>
              <w:rPr>
                <w:rFonts w:eastAsia="Times New Roman"/>
                <w:sz w:val="20"/>
                <w:szCs w:val="20"/>
              </w:rPr>
              <w:t> </w:t>
            </w:r>
          </w:p>
        </w:tc>
        <w:tc>
          <w:tcPr>
            <w:tcW w:w="360" w:type="dxa"/>
            <w:hideMark/>
          </w:tcPr>
          <w:p w14:paraId="4FF32E90"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F4E2CFE" w14:textId="77777777" w:rsidR="00000000" w:rsidRDefault="0053651E">
            <w:pPr>
              <w:pStyle w:val="a3"/>
              <w:spacing w:before="0" w:beforeAutospacing="0" w:after="0" w:afterAutospacing="0"/>
              <w:rPr>
                <w:sz w:val="20"/>
                <w:szCs w:val="20"/>
              </w:rPr>
            </w:pPr>
            <w:r>
              <w:rPr>
                <w:sz w:val="20"/>
                <w:szCs w:val="20"/>
              </w:rPr>
              <w:t>we may</w:t>
            </w:r>
            <w:r>
              <w:rPr>
                <w:sz w:val="20"/>
                <w:szCs w:val="20"/>
              </w:rPr>
              <w:t xml:space="preserve"> need to make higher interest and principal payments or sell some of our assets on terms unfavorable to us to fund our indebtedness; or</w:t>
            </w:r>
          </w:p>
        </w:tc>
      </w:tr>
    </w:tbl>
    <w:p w14:paraId="4B6D8998"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FA7D247" w14:textId="77777777">
        <w:trPr>
          <w:tblCellSpacing w:w="0" w:type="dxa"/>
        </w:trPr>
        <w:tc>
          <w:tcPr>
            <w:tcW w:w="360" w:type="dxa"/>
            <w:vAlign w:val="center"/>
            <w:hideMark/>
          </w:tcPr>
          <w:p w14:paraId="4444604A" w14:textId="77777777" w:rsidR="00000000" w:rsidRDefault="0053651E">
            <w:pPr>
              <w:rPr>
                <w:rFonts w:eastAsia="Times New Roman"/>
                <w:sz w:val="20"/>
                <w:szCs w:val="20"/>
              </w:rPr>
            </w:pPr>
            <w:r>
              <w:rPr>
                <w:rFonts w:eastAsia="Times New Roman"/>
                <w:sz w:val="20"/>
                <w:szCs w:val="20"/>
              </w:rPr>
              <w:t> </w:t>
            </w:r>
          </w:p>
        </w:tc>
        <w:tc>
          <w:tcPr>
            <w:tcW w:w="360" w:type="dxa"/>
            <w:hideMark/>
          </w:tcPr>
          <w:p w14:paraId="0E2EC915"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3E4E812" w14:textId="77777777" w:rsidR="00000000" w:rsidRDefault="0053651E">
            <w:pPr>
              <w:pStyle w:val="a3"/>
              <w:spacing w:before="0" w:beforeAutospacing="0" w:after="0" w:afterAutospacing="0"/>
              <w:rPr>
                <w:sz w:val="20"/>
                <w:szCs w:val="20"/>
              </w:rPr>
            </w:pPr>
            <w:r>
              <w:rPr>
                <w:sz w:val="20"/>
                <w:szCs w:val="20"/>
              </w:rPr>
              <w:t>we may need to issue additional capital stock, which could further dilute the ownership of our existing stakeholders.</w:t>
            </w:r>
          </w:p>
        </w:tc>
      </w:tr>
    </w:tbl>
    <w:p w14:paraId="143AE289" w14:textId="77777777" w:rsidR="00000000" w:rsidRDefault="0053651E">
      <w:pPr>
        <w:pStyle w:val="a3"/>
        <w:spacing w:before="0" w:beforeAutospacing="0" w:after="0" w:afterAutospacing="0"/>
        <w:ind w:firstLine="360"/>
        <w:jc w:val="both"/>
        <w:rPr>
          <w:sz w:val="20"/>
          <w:szCs w:val="20"/>
        </w:rPr>
      </w:pPr>
      <w:r>
        <w:rPr>
          <w:sz w:val="20"/>
          <w:szCs w:val="20"/>
        </w:rPr>
        <w:t> </w:t>
      </w:r>
    </w:p>
    <w:p w14:paraId="3211553F" w14:textId="77777777" w:rsidR="00000000" w:rsidRDefault="0053651E">
      <w:pPr>
        <w:pStyle w:val="a3"/>
        <w:spacing w:before="0" w:beforeAutospacing="0" w:after="0" w:afterAutospacing="0"/>
        <w:ind w:firstLine="360"/>
        <w:jc w:val="both"/>
        <w:rPr>
          <w:sz w:val="20"/>
          <w:szCs w:val="20"/>
        </w:rPr>
      </w:pPr>
      <w:r>
        <w:rPr>
          <w:sz w:val="20"/>
          <w:szCs w:val="20"/>
        </w:rPr>
        <w:t>Adverse changes in our credit ratings could impair our ability to obtain additional debt and equity financing on terms favorable to us,</w:t>
      </w:r>
      <w:r>
        <w:rPr>
          <w:sz w:val="20"/>
          <w:szCs w:val="20"/>
        </w:rPr>
        <w:t xml:space="preserve"> if at all, and could significantly reduce the market price of our publicly traded securities.</w:t>
      </w:r>
    </w:p>
    <w:p w14:paraId="5E00238F" w14:textId="77777777" w:rsidR="00000000" w:rsidRDefault="0053651E">
      <w:pPr>
        <w:pStyle w:val="a3"/>
        <w:spacing w:before="0" w:beforeAutospacing="0" w:after="0" w:afterAutospacing="0"/>
        <w:ind w:firstLine="360"/>
        <w:jc w:val="both"/>
        <w:rPr>
          <w:sz w:val="20"/>
          <w:szCs w:val="20"/>
        </w:rPr>
      </w:pPr>
      <w:r>
        <w:rPr>
          <w:sz w:val="20"/>
          <w:szCs w:val="20"/>
        </w:rPr>
        <w:t> </w:t>
      </w:r>
    </w:p>
    <w:p w14:paraId="4660FE57" w14:textId="77777777" w:rsidR="00000000" w:rsidRDefault="0053651E">
      <w:pPr>
        <w:pStyle w:val="a3"/>
        <w:spacing w:before="0" w:beforeAutospacing="0" w:after="0" w:afterAutospacing="0"/>
        <w:ind w:firstLine="360"/>
        <w:jc w:val="both"/>
        <w:rPr>
          <w:sz w:val="20"/>
          <w:szCs w:val="20"/>
        </w:rPr>
      </w:pPr>
      <w:r>
        <w:rPr>
          <w:b/>
          <w:bCs/>
          <w:sz w:val="20"/>
          <w:szCs w:val="20"/>
        </w:rPr>
        <w:t>We are subject to financial covenants that may restrict our operating and acquisition activities.</w:t>
      </w:r>
    </w:p>
    <w:p w14:paraId="120A1DD5" w14:textId="77777777" w:rsidR="00000000" w:rsidRDefault="0053651E">
      <w:pPr>
        <w:pStyle w:val="a3"/>
        <w:spacing w:before="0" w:beforeAutospacing="0" w:after="0" w:afterAutospacing="0"/>
        <w:ind w:firstLine="360"/>
        <w:jc w:val="both"/>
        <w:rPr>
          <w:sz w:val="20"/>
          <w:szCs w:val="20"/>
        </w:rPr>
      </w:pPr>
      <w:r>
        <w:rPr>
          <w:sz w:val="20"/>
          <w:szCs w:val="20"/>
        </w:rPr>
        <w:t> </w:t>
      </w:r>
    </w:p>
    <w:p w14:paraId="29274022" w14:textId="77777777" w:rsidR="00000000" w:rsidRDefault="0053651E">
      <w:pPr>
        <w:pStyle w:val="a3"/>
        <w:spacing w:before="0" w:beforeAutospacing="0" w:after="0" w:afterAutospacing="0"/>
        <w:ind w:firstLine="360"/>
        <w:jc w:val="both"/>
        <w:rPr>
          <w:sz w:val="20"/>
          <w:szCs w:val="20"/>
        </w:rPr>
      </w:pPr>
      <w:r>
        <w:rPr>
          <w:sz w:val="20"/>
          <w:szCs w:val="20"/>
        </w:rPr>
        <w:t>Our revolving credit facility and the indentures under whic</w:t>
      </w:r>
      <w:r>
        <w:rPr>
          <w:sz w:val="20"/>
          <w:szCs w:val="20"/>
        </w:rPr>
        <w:t>h our senior unsecured debt is issued contain certain financial and operating covenants, including, among other things, certain coverage ratios and limitations on our ability to incur debt, make dividend payments, sell all or substantially all of our asset</w:t>
      </w:r>
      <w:r>
        <w:rPr>
          <w:sz w:val="20"/>
          <w:szCs w:val="20"/>
        </w:rPr>
        <w:t xml:space="preserve">s and engage in mergers and consolidations and certain acquisitions. These covenants may restrict our ability to pursue certain business initiatives or certain acquisition transactions that might otherwise be advantageous. In addition, failure to meet any </w:t>
      </w:r>
      <w:r>
        <w:rPr>
          <w:sz w:val="20"/>
          <w:szCs w:val="20"/>
        </w:rPr>
        <w:t>of the financial covenants could cause an event of default under our revolving credit facility and the indentures and/or accelerate some or all of our indebtedness, which would have a material adverse effect on us.</w:t>
      </w:r>
    </w:p>
    <w:p w14:paraId="61D42454" w14:textId="77777777" w:rsidR="00000000" w:rsidRDefault="0053651E">
      <w:pPr>
        <w:pStyle w:val="a3"/>
        <w:spacing w:before="0" w:beforeAutospacing="0" w:after="0" w:afterAutospacing="0"/>
        <w:ind w:firstLine="360"/>
        <w:jc w:val="both"/>
        <w:rPr>
          <w:sz w:val="20"/>
          <w:szCs w:val="20"/>
        </w:rPr>
      </w:pPr>
      <w:r>
        <w:rPr>
          <w:sz w:val="20"/>
          <w:szCs w:val="20"/>
        </w:rPr>
        <w:t> </w:t>
      </w:r>
    </w:p>
    <w:p w14:paraId="22828B66" w14:textId="77777777" w:rsidR="00000000" w:rsidRDefault="0053651E">
      <w:pPr>
        <w:jc w:val="center"/>
        <w:divId w:val="1394505387"/>
        <w:rPr>
          <w:rFonts w:eastAsia="Times New Roman"/>
          <w:sz w:val="20"/>
          <w:szCs w:val="20"/>
        </w:rPr>
      </w:pPr>
      <w:r>
        <w:rPr>
          <w:rFonts w:eastAsia="Times New Roman"/>
          <w:sz w:val="20"/>
          <w:szCs w:val="20"/>
        </w:rPr>
        <w:t xml:space="preserve">12 </w:t>
      </w:r>
    </w:p>
    <w:p w14:paraId="052A9C94" w14:textId="77777777" w:rsidR="00000000" w:rsidRDefault="0053651E">
      <w:pPr>
        <w:divId w:val="1394505387"/>
        <w:rPr>
          <w:rFonts w:eastAsia="Times New Roman"/>
          <w:sz w:val="20"/>
          <w:szCs w:val="20"/>
        </w:rPr>
      </w:pPr>
      <w:r>
        <w:rPr>
          <w:rFonts w:eastAsia="Times New Roman"/>
          <w:sz w:val="20"/>
          <w:szCs w:val="20"/>
        </w:rPr>
        <w:pict w14:anchorId="3CE4441B">
          <v:rect id="_x0000_i1041" style="width:0;height:1.5pt" o:hralign="center" o:hrstd="t" o:hr="t" fillcolor="#a0a0a0" stroked="f"/>
        </w:pict>
      </w:r>
    </w:p>
    <w:p w14:paraId="4EC5890B" w14:textId="77777777" w:rsidR="00000000" w:rsidRDefault="0053651E">
      <w:pPr>
        <w:divId w:val="13945053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B275C71" w14:textId="77777777" w:rsidR="00000000" w:rsidRDefault="0053651E">
      <w:pPr>
        <w:pStyle w:val="a3"/>
        <w:spacing w:before="0" w:beforeAutospacing="0" w:after="0" w:afterAutospacing="0"/>
        <w:rPr>
          <w:sz w:val="20"/>
          <w:szCs w:val="20"/>
        </w:rPr>
      </w:pPr>
      <w:r>
        <w:rPr>
          <w:sz w:val="20"/>
          <w:szCs w:val="20"/>
        </w:rPr>
        <w:t> </w:t>
      </w:r>
    </w:p>
    <w:p w14:paraId="00120EAE" w14:textId="77777777" w:rsidR="00000000" w:rsidRDefault="0053651E">
      <w:pPr>
        <w:pStyle w:val="a3"/>
        <w:spacing w:before="0" w:beforeAutospacing="0" w:after="0" w:afterAutospacing="0"/>
        <w:ind w:firstLine="360"/>
        <w:jc w:val="both"/>
        <w:rPr>
          <w:sz w:val="20"/>
          <w:szCs w:val="20"/>
        </w:rPr>
      </w:pPr>
      <w:r>
        <w:rPr>
          <w:b/>
          <w:bCs/>
          <w:sz w:val="20"/>
          <w:szCs w:val="20"/>
        </w:rPr>
        <w:t>Impacts from transition away from London Inter-bank Offered Rate (“LIBOR”).</w:t>
      </w:r>
    </w:p>
    <w:p w14:paraId="4FC9E275" w14:textId="77777777" w:rsidR="00000000" w:rsidRDefault="0053651E">
      <w:pPr>
        <w:pStyle w:val="a3"/>
        <w:spacing w:before="0" w:beforeAutospacing="0" w:after="0" w:afterAutospacing="0"/>
        <w:ind w:firstLine="360"/>
        <w:jc w:val="both"/>
        <w:rPr>
          <w:sz w:val="20"/>
          <w:szCs w:val="20"/>
        </w:rPr>
      </w:pPr>
      <w:r>
        <w:rPr>
          <w:sz w:val="20"/>
          <w:szCs w:val="20"/>
        </w:rPr>
        <w:t> </w:t>
      </w:r>
    </w:p>
    <w:p w14:paraId="0F0173A8" w14:textId="77777777" w:rsidR="00000000" w:rsidRDefault="0053651E">
      <w:pPr>
        <w:pStyle w:val="a3"/>
        <w:spacing w:before="0" w:beforeAutospacing="0" w:after="0" w:afterAutospacing="0"/>
        <w:ind w:firstLine="360"/>
        <w:jc w:val="both"/>
        <w:rPr>
          <w:sz w:val="20"/>
          <w:szCs w:val="20"/>
        </w:rPr>
      </w:pPr>
      <w:r>
        <w:rPr>
          <w:sz w:val="20"/>
          <w:szCs w:val="20"/>
        </w:rPr>
        <w:t>A portion of our long-term indebtedness bears interest at fluctuating interest rates based on L</w:t>
      </w:r>
      <w:r>
        <w:rPr>
          <w:sz w:val="20"/>
          <w:szCs w:val="20"/>
        </w:rPr>
        <w:t>IBOR for deposits of U.S. dollars. LIBOR and certain other interest “benchmarks” may be subject to regulatory guidance and/or reform that could cause interest rates under our current or future debt agreements to perform differently than in the past or caus</w:t>
      </w:r>
      <w:r>
        <w:rPr>
          <w:sz w:val="20"/>
          <w:szCs w:val="20"/>
        </w:rPr>
        <w:t>e other unanticipated consequences. The United Kingdom’s Financial Conduct Authority, which regulates LIBOR, has announced that it intends to stop encouraging or requiring banks to submit LIBOR rates after 2021, and it is unclear if LIBOR will cease to exi</w:t>
      </w:r>
      <w:r>
        <w:rPr>
          <w:sz w:val="20"/>
          <w:szCs w:val="20"/>
        </w:rPr>
        <w:t>st or if new methods of calculating LIBOR will evolve. If LIBOR ceases to exist or if the methods of calculating LIBOR change from their current form, interest rates on our current or future indebtedness may be adversely affected.</w:t>
      </w:r>
    </w:p>
    <w:p w14:paraId="45BEAA48" w14:textId="77777777" w:rsidR="00000000" w:rsidRDefault="0053651E">
      <w:pPr>
        <w:pStyle w:val="a3"/>
        <w:spacing w:before="0" w:beforeAutospacing="0" w:after="0" w:afterAutospacing="0"/>
        <w:ind w:firstLine="360"/>
        <w:jc w:val="both"/>
        <w:rPr>
          <w:sz w:val="20"/>
          <w:szCs w:val="20"/>
        </w:rPr>
      </w:pPr>
      <w:r>
        <w:rPr>
          <w:sz w:val="20"/>
          <w:szCs w:val="20"/>
        </w:rPr>
        <w:t> </w:t>
      </w:r>
    </w:p>
    <w:p w14:paraId="3E97531D" w14:textId="77777777" w:rsidR="00000000" w:rsidRDefault="0053651E">
      <w:pPr>
        <w:pStyle w:val="a3"/>
        <w:spacing w:before="0" w:beforeAutospacing="0" w:after="0" w:afterAutospacing="0"/>
        <w:ind w:firstLine="360"/>
        <w:jc w:val="both"/>
        <w:rPr>
          <w:sz w:val="20"/>
          <w:szCs w:val="20"/>
        </w:rPr>
      </w:pPr>
      <w:r>
        <w:rPr>
          <w:b/>
          <w:bCs/>
          <w:sz w:val="20"/>
          <w:szCs w:val="20"/>
        </w:rPr>
        <w:t>Changes in market condi</w:t>
      </w:r>
      <w:r>
        <w:rPr>
          <w:b/>
          <w:bCs/>
          <w:sz w:val="20"/>
          <w:szCs w:val="20"/>
        </w:rPr>
        <w:t>tions could adversely affect the market price of our publicly traded securities.</w:t>
      </w:r>
    </w:p>
    <w:p w14:paraId="4E5C59E6" w14:textId="77777777" w:rsidR="00000000" w:rsidRDefault="0053651E">
      <w:pPr>
        <w:pStyle w:val="a3"/>
        <w:spacing w:before="0" w:beforeAutospacing="0" w:after="0" w:afterAutospacing="0"/>
        <w:ind w:firstLine="360"/>
        <w:jc w:val="both"/>
        <w:rPr>
          <w:sz w:val="20"/>
          <w:szCs w:val="20"/>
        </w:rPr>
      </w:pPr>
      <w:r>
        <w:rPr>
          <w:sz w:val="20"/>
          <w:szCs w:val="20"/>
        </w:rPr>
        <w:t> </w:t>
      </w:r>
    </w:p>
    <w:p w14:paraId="47F1A8A4" w14:textId="77777777" w:rsidR="00000000" w:rsidRDefault="0053651E">
      <w:pPr>
        <w:pStyle w:val="a3"/>
        <w:spacing w:before="0" w:beforeAutospacing="0" w:after="0" w:afterAutospacing="0"/>
        <w:ind w:firstLine="360"/>
        <w:jc w:val="both"/>
        <w:rPr>
          <w:sz w:val="20"/>
          <w:szCs w:val="20"/>
        </w:rPr>
      </w:pPr>
      <w:r>
        <w:rPr>
          <w:sz w:val="20"/>
          <w:szCs w:val="20"/>
        </w:rPr>
        <w:t>The market price of our publicly traded securi</w:t>
      </w:r>
      <w:r>
        <w:rPr>
          <w:sz w:val="20"/>
          <w:szCs w:val="20"/>
        </w:rPr>
        <w:t>ties depends on various market conditions, which may change from time-to-time. Among the market conditions that may affect the market price of our publicly traded securities are the following:</w:t>
      </w:r>
    </w:p>
    <w:p w14:paraId="1CDF7E7C"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7E703B4" w14:textId="77777777">
        <w:trPr>
          <w:tblCellSpacing w:w="0" w:type="dxa"/>
        </w:trPr>
        <w:tc>
          <w:tcPr>
            <w:tcW w:w="360" w:type="dxa"/>
            <w:vAlign w:val="center"/>
            <w:hideMark/>
          </w:tcPr>
          <w:p w14:paraId="45042BE5" w14:textId="77777777" w:rsidR="00000000" w:rsidRDefault="0053651E">
            <w:pPr>
              <w:rPr>
                <w:rFonts w:eastAsia="Times New Roman"/>
                <w:sz w:val="20"/>
                <w:szCs w:val="20"/>
              </w:rPr>
            </w:pPr>
            <w:r>
              <w:rPr>
                <w:rFonts w:eastAsia="Times New Roman"/>
                <w:sz w:val="20"/>
                <w:szCs w:val="20"/>
              </w:rPr>
              <w:t> </w:t>
            </w:r>
          </w:p>
        </w:tc>
        <w:tc>
          <w:tcPr>
            <w:tcW w:w="360" w:type="dxa"/>
            <w:hideMark/>
          </w:tcPr>
          <w:p w14:paraId="4C14C9A8"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4890739" w14:textId="77777777" w:rsidR="00000000" w:rsidRDefault="0053651E">
            <w:pPr>
              <w:pStyle w:val="a3"/>
              <w:spacing w:before="0" w:beforeAutospacing="0" w:after="0" w:afterAutospacing="0"/>
              <w:rPr>
                <w:sz w:val="20"/>
                <w:szCs w:val="20"/>
              </w:rPr>
            </w:pPr>
            <w:r>
              <w:rPr>
                <w:sz w:val="20"/>
                <w:szCs w:val="20"/>
              </w:rPr>
              <w:t>the extent of institutional investor interest in us;</w:t>
            </w:r>
          </w:p>
        </w:tc>
      </w:tr>
    </w:tbl>
    <w:p w14:paraId="6485DCB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6B1B751" w14:textId="77777777">
        <w:trPr>
          <w:tblCellSpacing w:w="0" w:type="dxa"/>
        </w:trPr>
        <w:tc>
          <w:tcPr>
            <w:tcW w:w="360" w:type="dxa"/>
            <w:vAlign w:val="center"/>
            <w:hideMark/>
          </w:tcPr>
          <w:p w14:paraId="7E724261" w14:textId="77777777" w:rsidR="00000000" w:rsidRDefault="0053651E">
            <w:pPr>
              <w:rPr>
                <w:rFonts w:eastAsia="Times New Roman"/>
                <w:sz w:val="20"/>
                <w:szCs w:val="20"/>
              </w:rPr>
            </w:pPr>
            <w:r>
              <w:rPr>
                <w:rFonts w:eastAsia="Times New Roman"/>
                <w:sz w:val="20"/>
                <w:szCs w:val="20"/>
              </w:rPr>
              <w:t> </w:t>
            </w:r>
          </w:p>
        </w:tc>
        <w:tc>
          <w:tcPr>
            <w:tcW w:w="360" w:type="dxa"/>
            <w:hideMark/>
          </w:tcPr>
          <w:p w14:paraId="00698FE2"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CC18254" w14:textId="77777777" w:rsidR="00000000" w:rsidRDefault="0053651E">
            <w:pPr>
              <w:pStyle w:val="a3"/>
              <w:spacing w:before="0" w:beforeAutospacing="0" w:after="0" w:afterAutospacing="0"/>
              <w:rPr>
                <w:sz w:val="20"/>
                <w:szCs w:val="20"/>
              </w:rPr>
            </w:pPr>
            <w:r>
              <w:rPr>
                <w:sz w:val="20"/>
                <w:szCs w:val="20"/>
              </w:rPr>
              <w:t>the reputation of REITs generally and the reputation of REITs with portfolios similar to ours;</w:t>
            </w:r>
          </w:p>
        </w:tc>
      </w:tr>
    </w:tbl>
    <w:p w14:paraId="7AD28EB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017F0A4" w14:textId="77777777">
        <w:trPr>
          <w:tblCellSpacing w:w="0" w:type="dxa"/>
        </w:trPr>
        <w:tc>
          <w:tcPr>
            <w:tcW w:w="360" w:type="dxa"/>
            <w:vAlign w:val="center"/>
            <w:hideMark/>
          </w:tcPr>
          <w:p w14:paraId="7ABAF393" w14:textId="77777777" w:rsidR="00000000" w:rsidRDefault="0053651E">
            <w:pPr>
              <w:rPr>
                <w:rFonts w:eastAsia="Times New Roman"/>
                <w:sz w:val="20"/>
                <w:szCs w:val="20"/>
              </w:rPr>
            </w:pPr>
            <w:r>
              <w:rPr>
                <w:rFonts w:eastAsia="Times New Roman"/>
                <w:sz w:val="20"/>
                <w:szCs w:val="20"/>
              </w:rPr>
              <w:t> </w:t>
            </w:r>
          </w:p>
        </w:tc>
        <w:tc>
          <w:tcPr>
            <w:tcW w:w="360" w:type="dxa"/>
            <w:hideMark/>
          </w:tcPr>
          <w:p w14:paraId="711F459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7BE7193" w14:textId="77777777" w:rsidR="00000000" w:rsidRDefault="0053651E">
            <w:pPr>
              <w:pStyle w:val="a3"/>
              <w:spacing w:before="0" w:beforeAutospacing="0" w:after="0" w:afterAutospacing="0"/>
              <w:rPr>
                <w:sz w:val="20"/>
                <w:szCs w:val="20"/>
              </w:rPr>
            </w:pPr>
            <w:r>
              <w:rPr>
                <w:sz w:val="20"/>
                <w:szCs w:val="20"/>
              </w:rPr>
              <w:t>the attractiveness of the securities of REITs in comparison to securities issued by other entities, including securities issued by other real estate comp</w:t>
            </w:r>
            <w:r>
              <w:rPr>
                <w:sz w:val="20"/>
                <w:szCs w:val="20"/>
              </w:rPr>
              <w:t>anies;</w:t>
            </w:r>
          </w:p>
        </w:tc>
      </w:tr>
    </w:tbl>
    <w:p w14:paraId="71778E0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DABD34C" w14:textId="77777777">
        <w:trPr>
          <w:tblCellSpacing w:w="0" w:type="dxa"/>
        </w:trPr>
        <w:tc>
          <w:tcPr>
            <w:tcW w:w="360" w:type="dxa"/>
            <w:vAlign w:val="center"/>
            <w:hideMark/>
          </w:tcPr>
          <w:p w14:paraId="12919E0F" w14:textId="77777777" w:rsidR="00000000" w:rsidRDefault="0053651E">
            <w:pPr>
              <w:rPr>
                <w:rFonts w:eastAsia="Times New Roman"/>
                <w:sz w:val="20"/>
                <w:szCs w:val="20"/>
              </w:rPr>
            </w:pPr>
            <w:r>
              <w:rPr>
                <w:rFonts w:eastAsia="Times New Roman"/>
                <w:sz w:val="20"/>
                <w:szCs w:val="20"/>
              </w:rPr>
              <w:t> </w:t>
            </w:r>
          </w:p>
        </w:tc>
        <w:tc>
          <w:tcPr>
            <w:tcW w:w="360" w:type="dxa"/>
            <w:hideMark/>
          </w:tcPr>
          <w:p w14:paraId="7769595F"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1F968CFF" w14:textId="77777777" w:rsidR="00000000" w:rsidRDefault="0053651E">
            <w:pPr>
              <w:pStyle w:val="a3"/>
              <w:spacing w:before="0" w:beforeAutospacing="0" w:after="0" w:afterAutospacing="0"/>
              <w:rPr>
                <w:sz w:val="20"/>
                <w:szCs w:val="20"/>
              </w:rPr>
            </w:pPr>
            <w:r>
              <w:rPr>
                <w:sz w:val="20"/>
                <w:szCs w:val="20"/>
              </w:rPr>
              <w:t>our financial condition and performance;</w:t>
            </w:r>
          </w:p>
        </w:tc>
      </w:tr>
    </w:tbl>
    <w:p w14:paraId="73D6017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AC5938D" w14:textId="77777777">
        <w:trPr>
          <w:tblCellSpacing w:w="0" w:type="dxa"/>
        </w:trPr>
        <w:tc>
          <w:tcPr>
            <w:tcW w:w="360" w:type="dxa"/>
            <w:vAlign w:val="center"/>
            <w:hideMark/>
          </w:tcPr>
          <w:p w14:paraId="74024F8C" w14:textId="77777777" w:rsidR="00000000" w:rsidRDefault="0053651E">
            <w:pPr>
              <w:rPr>
                <w:rFonts w:eastAsia="Times New Roman"/>
                <w:sz w:val="20"/>
                <w:szCs w:val="20"/>
              </w:rPr>
            </w:pPr>
            <w:r>
              <w:rPr>
                <w:rFonts w:eastAsia="Times New Roman"/>
                <w:sz w:val="20"/>
                <w:szCs w:val="20"/>
              </w:rPr>
              <w:t> </w:t>
            </w:r>
          </w:p>
        </w:tc>
        <w:tc>
          <w:tcPr>
            <w:tcW w:w="360" w:type="dxa"/>
            <w:hideMark/>
          </w:tcPr>
          <w:p w14:paraId="17B2A5A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B8A7C0B" w14:textId="77777777" w:rsidR="00000000" w:rsidRDefault="0053651E">
            <w:pPr>
              <w:pStyle w:val="a3"/>
              <w:spacing w:before="0" w:beforeAutospacing="0" w:after="0" w:afterAutospacing="0"/>
              <w:rPr>
                <w:sz w:val="20"/>
                <w:szCs w:val="20"/>
              </w:rPr>
            </w:pPr>
            <w:r>
              <w:rPr>
                <w:sz w:val="20"/>
                <w:szCs w:val="20"/>
              </w:rPr>
              <w:t>the market’s perception of our growth potential, potential future cash dividends and risk profile;</w:t>
            </w:r>
          </w:p>
        </w:tc>
      </w:tr>
    </w:tbl>
    <w:p w14:paraId="18BA751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B887D7D" w14:textId="77777777">
        <w:trPr>
          <w:tblCellSpacing w:w="0" w:type="dxa"/>
        </w:trPr>
        <w:tc>
          <w:tcPr>
            <w:tcW w:w="360" w:type="dxa"/>
            <w:vAlign w:val="center"/>
            <w:hideMark/>
          </w:tcPr>
          <w:p w14:paraId="442AF0A3" w14:textId="77777777" w:rsidR="00000000" w:rsidRDefault="0053651E">
            <w:pPr>
              <w:rPr>
                <w:rFonts w:eastAsia="Times New Roman"/>
                <w:sz w:val="20"/>
                <w:szCs w:val="20"/>
              </w:rPr>
            </w:pPr>
            <w:r>
              <w:rPr>
                <w:rFonts w:eastAsia="Times New Roman"/>
                <w:sz w:val="20"/>
                <w:szCs w:val="20"/>
              </w:rPr>
              <w:t> </w:t>
            </w:r>
          </w:p>
        </w:tc>
        <w:tc>
          <w:tcPr>
            <w:tcW w:w="360" w:type="dxa"/>
            <w:hideMark/>
          </w:tcPr>
          <w:p w14:paraId="3E5E6BAA"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4755396A" w14:textId="77777777" w:rsidR="00000000" w:rsidRDefault="0053651E">
            <w:pPr>
              <w:pStyle w:val="a3"/>
              <w:spacing w:before="0" w:beforeAutospacing="0" w:after="0" w:afterAutospacing="0"/>
              <w:rPr>
                <w:sz w:val="20"/>
                <w:szCs w:val="20"/>
              </w:rPr>
            </w:pPr>
            <w:r>
              <w:rPr>
                <w:sz w:val="20"/>
                <w:szCs w:val="20"/>
              </w:rPr>
              <w:t>an increase in market interest rates, which may lead prospective investors to demand a higher distribution rate in relation to the price paid for our shares; and</w:t>
            </w:r>
          </w:p>
        </w:tc>
      </w:tr>
    </w:tbl>
    <w:p w14:paraId="2E42E00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21E9751" w14:textId="77777777">
        <w:trPr>
          <w:tblCellSpacing w:w="0" w:type="dxa"/>
        </w:trPr>
        <w:tc>
          <w:tcPr>
            <w:tcW w:w="360" w:type="dxa"/>
            <w:vAlign w:val="center"/>
            <w:hideMark/>
          </w:tcPr>
          <w:p w14:paraId="569A430A" w14:textId="77777777" w:rsidR="00000000" w:rsidRDefault="0053651E">
            <w:pPr>
              <w:rPr>
                <w:rFonts w:eastAsia="Times New Roman"/>
                <w:sz w:val="20"/>
                <w:szCs w:val="20"/>
              </w:rPr>
            </w:pPr>
            <w:r>
              <w:rPr>
                <w:rFonts w:eastAsia="Times New Roman"/>
                <w:sz w:val="20"/>
                <w:szCs w:val="20"/>
              </w:rPr>
              <w:t> </w:t>
            </w:r>
          </w:p>
        </w:tc>
        <w:tc>
          <w:tcPr>
            <w:tcW w:w="360" w:type="dxa"/>
            <w:hideMark/>
          </w:tcPr>
          <w:p w14:paraId="770ABB2F"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71BBF122" w14:textId="77777777" w:rsidR="00000000" w:rsidRDefault="0053651E">
            <w:pPr>
              <w:pStyle w:val="a3"/>
              <w:spacing w:before="0" w:beforeAutospacing="0" w:after="0" w:afterAutospacing="0"/>
              <w:rPr>
                <w:sz w:val="20"/>
                <w:szCs w:val="20"/>
              </w:rPr>
            </w:pPr>
            <w:r>
              <w:rPr>
                <w:sz w:val="20"/>
                <w:szCs w:val="20"/>
              </w:rPr>
              <w:t>general economic and financial market conditions.</w:t>
            </w:r>
          </w:p>
        </w:tc>
      </w:tr>
    </w:tbl>
    <w:p w14:paraId="7A9FE2E7" w14:textId="77777777" w:rsidR="00000000" w:rsidRDefault="0053651E">
      <w:pPr>
        <w:pStyle w:val="a3"/>
        <w:spacing w:before="0" w:beforeAutospacing="0" w:after="0" w:afterAutospacing="0"/>
        <w:ind w:firstLine="360"/>
        <w:rPr>
          <w:sz w:val="20"/>
          <w:szCs w:val="20"/>
        </w:rPr>
      </w:pPr>
      <w:r>
        <w:rPr>
          <w:sz w:val="20"/>
          <w:szCs w:val="20"/>
        </w:rPr>
        <w:t> </w:t>
      </w:r>
    </w:p>
    <w:p w14:paraId="62D0A802" w14:textId="77777777" w:rsidR="00000000" w:rsidRDefault="0053651E">
      <w:pPr>
        <w:pStyle w:val="a3"/>
        <w:spacing w:before="0" w:beforeAutospacing="0" w:after="0" w:afterAutospacing="0"/>
        <w:ind w:firstLine="360"/>
        <w:jc w:val="both"/>
        <w:rPr>
          <w:sz w:val="20"/>
          <w:szCs w:val="20"/>
        </w:rPr>
      </w:pPr>
      <w:r>
        <w:rPr>
          <w:b/>
          <w:bCs/>
          <w:sz w:val="20"/>
          <w:szCs w:val="20"/>
        </w:rPr>
        <w:t>We may change the dividend policy f</w:t>
      </w:r>
      <w:r>
        <w:rPr>
          <w:b/>
          <w:bCs/>
          <w:sz w:val="20"/>
          <w:szCs w:val="20"/>
        </w:rPr>
        <w:t>or our common stock in the future.</w:t>
      </w:r>
    </w:p>
    <w:p w14:paraId="79CA4ABC" w14:textId="77777777" w:rsidR="00000000" w:rsidRDefault="0053651E">
      <w:pPr>
        <w:pStyle w:val="a3"/>
        <w:spacing w:before="0" w:beforeAutospacing="0" w:after="0" w:afterAutospacing="0"/>
        <w:ind w:firstLine="360"/>
        <w:jc w:val="both"/>
        <w:rPr>
          <w:sz w:val="20"/>
          <w:szCs w:val="20"/>
        </w:rPr>
      </w:pPr>
      <w:r>
        <w:rPr>
          <w:sz w:val="20"/>
          <w:szCs w:val="20"/>
        </w:rPr>
        <w:t> </w:t>
      </w:r>
    </w:p>
    <w:p w14:paraId="60A211B8" w14:textId="77777777" w:rsidR="00000000" w:rsidRDefault="0053651E">
      <w:pPr>
        <w:pStyle w:val="a3"/>
        <w:spacing w:before="0" w:beforeAutospacing="0" w:after="0" w:afterAutospacing="0"/>
        <w:ind w:firstLine="360"/>
        <w:jc w:val="both"/>
        <w:rPr>
          <w:sz w:val="20"/>
          <w:szCs w:val="20"/>
        </w:rPr>
      </w:pPr>
      <w:r>
        <w:rPr>
          <w:sz w:val="20"/>
          <w:szCs w:val="20"/>
        </w:rPr>
        <w:t xml:space="preserve">The decision to declare and pay dividends on our common stock in the future, as well as the timing, amount and composition of any such future dividends, will be at the sole discretion of our Board of Directors and will </w:t>
      </w:r>
      <w:r>
        <w:rPr>
          <w:sz w:val="20"/>
          <w:szCs w:val="20"/>
        </w:rPr>
        <w:t>depend on our earnings, operating cash flows, liquidity, financial condition, capital requirements, contractual prohibitions or other limitations under our indebtedness including preferred stock, the annual distribution requirements under the REIT provisio</w:t>
      </w:r>
      <w:r>
        <w:rPr>
          <w:sz w:val="20"/>
          <w:szCs w:val="20"/>
        </w:rPr>
        <w:t>ns of the Code, state law and such other factors as our Board of Directors deems relevant or are requirements under the Code or state or federal laws. Any negative change in our dividend policy could have a material adverse effect on the market price of ou</w:t>
      </w:r>
      <w:r>
        <w:rPr>
          <w:sz w:val="20"/>
          <w:szCs w:val="20"/>
        </w:rPr>
        <w:t>r common stock.</w:t>
      </w:r>
    </w:p>
    <w:p w14:paraId="448EB0C3" w14:textId="77777777" w:rsidR="00000000" w:rsidRDefault="0053651E">
      <w:pPr>
        <w:pStyle w:val="a3"/>
        <w:spacing w:before="0" w:beforeAutospacing="0" w:after="0" w:afterAutospacing="0"/>
        <w:ind w:firstLine="360"/>
        <w:jc w:val="both"/>
        <w:rPr>
          <w:sz w:val="20"/>
          <w:szCs w:val="20"/>
        </w:rPr>
      </w:pPr>
      <w:r>
        <w:rPr>
          <w:sz w:val="20"/>
          <w:szCs w:val="20"/>
        </w:rPr>
        <w:t> </w:t>
      </w:r>
    </w:p>
    <w:p w14:paraId="311FF86A" w14:textId="77777777" w:rsidR="00000000" w:rsidRDefault="0053651E">
      <w:pPr>
        <w:pStyle w:val="a3"/>
        <w:spacing w:before="0" w:beforeAutospacing="0" w:after="0" w:afterAutospacing="0"/>
        <w:ind w:left="144" w:right="144"/>
        <w:jc w:val="both"/>
        <w:rPr>
          <w:sz w:val="20"/>
          <w:szCs w:val="20"/>
        </w:rPr>
      </w:pPr>
      <w:r>
        <w:rPr>
          <w:b/>
          <w:bCs/>
          <w:sz w:val="20"/>
          <w:szCs w:val="20"/>
        </w:rPr>
        <w:t xml:space="preserve">    </w:t>
      </w:r>
      <w:r>
        <w:rPr>
          <w:b/>
          <w:bCs/>
          <w:sz w:val="20"/>
          <w:szCs w:val="20"/>
        </w:rPr>
        <w:t>Our charter and bylaws and Maryland law contain provisions that may delay, defer or prevent a change of control transaction, even if such a change in control may be in our best interest, and as a result may depress the market price of our securities.</w:t>
      </w:r>
    </w:p>
    <w:p w14:paraId="3289D09A" w14:textId="77777777" w:rsidR="00000000" w:rsidRDefault="0053651E">
      <w:pPr>
        <w:pStyle w:val="a3"/>
        <w:spacing w:before="0" w:beforeAutospacing="0" w:after="0" w:afterAutospacing="0"/>
        <w:ind w:left="144" w:right="144"/>
        <w:jc w:val="both"/>
        <w:rPr>
          <w:sz w:val="20"/>
          <w:szCs w:val="20"/>
        </w:rPr>
      </w:pPr>
      <w:r>
        <w:rPr>
          <w:sz w:val="20"/>
          <w:szCs w:val="20"/>
        </w:rPr>
        <w:t> </w:t>
      </w:r>
    </w:p>
    <w:p w14:paraId="6C147278" w14:textId="77777777" w:rsidR="00000000" w:rsidRDefault="0053651E">
      <w:pPr>
        <w:pStyle w:val="a3"/>
        <w:spacing w:before="0" w:beforeAutospacing="0" w:after="0" w:afterAutospacing="0"/>
        <w:ind w:left="144" w:right="144"/>
        <w:jc w:val="both"/>
        <w:rPr>
          <w:sz w:val="20"/>
          <w:szCs w:val="20"/>
        </w:rPr>
      </w:pPr>
      <w:r>
        <w:rPr>
          <w:sz w:val="20"/>
          <w:szCs w:val="20"/>
        </w:rPr>
        <w:t>   </w:t>
      </w:r>
      <w:r>
        <w:rPr>
          <w:sz w:val="20"/>
          <w:szCs w:val="20"/>
        </w:rPr>
        <w:t xml:space="preserve"> Our charter contains certain ownership limits. Our charter contains various provisions that are intended to preserve our qualification as a REIT and, subject to certain exceptions, authorize our directors to take such actions as are necessary or appropria</w:t>
      </w:r>
      <w:r>
        <w:rPr>
          <w:sz w:val="20"/>
          <w:szCs w:val="20"/>
        </w:rPr>
        <w:t>te to preserve our qualification as a REIT</w:t>
      </w:r>
      <w:r>
        <w:rPr>
          <w:b/>
          <w:bCs/>
          <w:sz w:val="20"/>
          <w:szCs w:val="20"/>
        </w:rPr>
        <w:t>.</w:t>
      </w:r>
      <w:r>
        <w:rPr>
          <w:sz w:val="20"/>
          <w:szCs w:val="20"/>
        </w:rPr>
        <w:t xml:space="preserve">  For example, our charter prohibits the actual, beneficial or constructive ownership by any person of more than 9.8% in value or number of shares, whichever is more restrictive, of the outstanding shares of our c</w:t>
      </w:r>
      <w:r>
        <w:rPr>
          <w:sz w:val="20"/>
          <w:szCs w:val="20"/>
        </w:rPr>
        <w:t>ommon stock, and more than 9.8% in value of the aggregate outstanding shares of all classes and series of our stock. Our board of directors, in its sole and absolute discretion, may exempt a person, prospectively or retroactively, from these ownership limi</w:t>
      </w:r>
      <w:r>
        <w:rPr>
          <w:sz w:val="20"/>
          <w:szCs w:val="20"/>
        </w:rPr>
        <w:t>ts if certain conditions are satisfied. The restrictions on ownership and transfer of our stock may:</w:t>
      </w:r>
    </w:p>
    <w:p w14:paraId="67784D38" w14:textId="77777777" w:rsidR="00000000" w:rsidRDefault="0053651E">
      <w:pPr>
        <w:pStyle w:val="a3"/>
        <w:spacing w:before="0" w:beforeAutospacing="0" w:after="0" w:afterAutospacing="0"/>
        <w:ind w:left="144" w:right="144"/>
        <w:jc w:val="both"/>
        <w:rPr>
          <w:sz w:val="20"/>
          <w:szCs w:val="20"/>
        </w:rPr>
      </w:pPr>
      <w:r>
        <w:rPr>
          <w:sz w:val="20"/>
          <w:szCs w:val="20"/>
        </w:rPr>
        <w:t> </w:t>
      </w:r>
    </w:p>
    <w:p w14:paraId="0D373F47" w14:textId="77777777" w:rsidR="00000000" w:rsidRDefault="0053651E">
      <w:pPr>
        <w:pStyle w:val="a3"/>
        <w:spacing w:before="0" w:beforeAutospacing="0" w:after="0" w:afterAutospacing="0"/>
        <w:ind w:left="144" w:right="144"/>
        <w:jc w:val="both"/>
        <w:rPr>
          <w:sz w:val="20"/>
          <w:szCs w:val="20"/>
        </w:rPr>
      </w:pPr>
      <w:r>
        <w:rPr>
          <w:sz w:val="20"/>
          <w:szCs w:val="20"/>
        </w:rPr>
        <w:t>•  discourage a tender offer or other transactions or a change in management or of control that might involve a premium price for our common stock or tha</w:t>
      </w:r>
      <w:r>
        <w:rPr>
          <w:sz w:val="20"/>
          <w:szCs w:val="20"/>
        </w:rPr>
        <w:t>t our stockholders otherwise believe to be in their best interests; or</w:t>
      </w:r>
    </w:p>
    <w:p w14:paraId="1B8349C8" w14:textId="77777777" w:rsidR="00000000" w:rsidRDefault="0053651E">
      <w:pPr>
        <w:pStyle w:val="a3"/>
        <w:spacing w:before="0" w:beforeAutospacing="0" w:after="0" w:afterAutospacing="0"/>
        <w:ind w:left="144" w:right="144"/>
        <w:jc w:val="both"/>
        <w:rPr>
          <w:sz w:val="20"/>
          <w:szCs w:val="20"/>
        </w:rPr>
      </w:pPr>
      <w:r>
        <w:rPr>
          <w:sz w:val="20"/>
          <w:szCs w:val="20"/>
        </w:rPr>
        <w:t> </w:t>
      </w:r>
    </w:p>
    <w:p w14:paraId="16B23FF8" w14:textId="77777777" w:rsidR="00000000" w:rsidRDefault="0053651E">
      <w:pPr>
        <w:pStyle w:val="a3"/>
        <w:spacing w:before="0" w:beforeAutospacing="0" w:after="0" w:afterAutospacing="0"/>
        <w:ind w:left="144" w:right="144"/>
        <w:jc w:val="both"/>
        <w:rPr>
          <w:sz w:val="20"/>
          <w:szCs w:val="20"/>
        </w:rPr>
      </w:pPr>
      <w:r>
        <w:rPr>
          <w:sz w:val="20"/>
          <w:szCs w:val="20"/>
        </w:rPr>
        <w:t>•  result in the transfer of shares acquired in excess of the restrictions to a trust for the benefit of a charitable beneficiary and, as a result, the forfeiture by the acquirer of t</w:t>
      </w:r>
      <w:r>
        <w:rPr>
          <w:sz w:val="20"/>
          <w:szCs w:val="20"/>
        </w:rPr>
        <w:t>he benefits of owning the additional shares.</w:t>
      </w:r>
    </w:p>
    <w:p w14:paraId="4F4CDD6B" w14:textId="77777777" w:rsidR="00000000" w:rsidRDefault="0053651E">
      <w:pPr>
        <w:pStyle w:val="a3"/>
        <w:spacing w:before="0" w:beforeAutospacing="0" w:after="0" w:afterAutospacing="0"/>
        <w:ind w:firstLine="360"/>
        <w:jc w:val="both"/>
        <w:rPr>
          <w:sz w:val="20"/>
          <w:szCs w:val="20"/>
        </w:rPr>
      </w:pPr>
      <w:r>
        <w:rPr>
          <w:sz w:val="20"/>
          <w:szCs w:val="20"/>
        </w:rPr>
        <w:t> </w:t>
      </w:r>
    </w:p>
    <w:p w14:paraId="52D720EB" w14:textId="77777777" w:rsidR="00000000" w:rsidRDefault="0053651E">
      <w:pPr>
        <w:pStyle w:val="a3"/>
        <w:spacing w:before="0" w:beforeAutospacing="0" w:after="0" w:afterAutospacing="0"/>
        <w:ind w:firstLine="360"/>
        <w:rPr>
          <w:sz w:val="20"/>
          <w:szCs w:val="20"/>
        </w:rPr>
      </w:pPr>
      <w:r>
        <w:rPr>
          <w:b/>
          <w:bCs/>
          <w:sz w:val="20"/>
          <w:szCs w:val="20"/>
          <w:u w:val="single"/>
        </w:rPr>
        <w:t>Risks Related to Our Status as a REIT and Related U.S. Federal Income Tax Matters</w:t>
      </w:r>
    </w:p>
    <w:p w14:paraId="2216C96A" w14:textId="77777777" w:rsidR="00000000" w:rsidRDefault="0053651E">
      <w:pPr>
        <w:pStyle w:val="a3"/>
        <w:spacing w:before="0" w:beforeAutospacing="0" w:after="0" w:afterAutospacing="0"/>
        <w:jc w:val="both"/>
        <w:rPr>
          <w:sz w:val="20"/>
          <w:szCs w:val="20"/>
        </w:rPr>
      </w:pPr>
      <w:r>
        <w:rPr>
          <w:sz w:val="20"/>
          <w:szCs w:val="20"/>
        </w:rPr>
        <w:t> </w:t>
      </w:r>
    </w:p>
    <w:p w14:paraId="5F39AC84" w14:textId="77777777" w:rsidR="00000000" w:rsidRDefault="0053651E">
      <w:pPr>
        <w:pStyle w:val="a3"/>
        <w:spacing w:before="0" w:beforeAutospacing="0" w:after="0" w:afterAutospacing="0"/>
        <w:ind w:firstLine="360"/>
        <w:jc w:val="both"/>
        <w:rPr>
          <w:sz w:val="20"/>
          <w:szCs w:val="20"/>
        </w:rPr>
      </w:pPr>
      <w:r>
        <w:rPr>
          <w:b/>
          <w:bCs/>
          <w:sz w:val="20"/>
          <w:szCs w:val="20"/>
        </w:rPr>
        <w:t>Loss of our tax status as a REIT or changes in U.S. federal income tax laws, regulations, administrative interpretations or c</w:t>
      </w:r>
      <w:r>
        <w:rPr>
          <w:b/>
          <w:bCs/>
          <w:sz w:val="20"/>
          <w:szCs w:val="20"/>
        </w:rPr>
        <w:t>ourt decisions relating to REITs could have significant adverse consequences to us and the value of our securities.</w:t>
      </w:r>
    </w:p>
    <w:p w14:paraId="429C28F5" w14:textId="77777777" w:rsidR="00000000" w:rsidRDefault="0053651E">
      <w:pPr>
        <w:pStyle w:val="a3"/>
        <w:spacing w:before="0" w:beforeAutospacing="0" w:after="0" w:afterAutospacing="0"/>
        <w:ind w:firstLine="360"/>
        <w:rPr>
          <w:sz w:val="20"/>
          <w:szCs w:val="20"/>
        </w:rPr>
      </w:pPr>
      <w:r>
        <w:rPr>
          <w:sz w:val="20"/>
          <w:szCs w:val="20"/>
        </w:rPr>
        <w:t> </w:t>
      </w:r>
    </w:p>
    <w:p w14:paraId="7BDC1325" w14:textId="77777777" w:rsidR="00000000" w:rsidRDefault="0053651E">
      <w:pPr>
        <w:pStyle w:val="a3"/>
        <w:spacing w:before="0" w:beforeAutospacing="0" w:after="0" w:afterAutospacing="0"/>
        <w:ind w:firstLine="360"/>
        <w:jc w:val="both"/>
        <w:rPr>
          <w:sz w:val="20"/>
          <w:szCs w:val="20"/>
        </w:rPr>
      </w:pPr>
      <w:r>
        <w:rPr>
          <w:sz w:val="20"/>
          <w:szCs w:val="20"/>
        </w:rPr>
        <w:t>We have elected to be taxed as a REIT for U.S. federal income tax purposes under the Code. We believe that we are organized and operate in</w:t>
      </w:r>
      <w:r>
        <w:rPr>
          <w:sz w:val="20"/>
          <w:szCs w:val="20"/>
        </w:rPr>
        <w:t xml:space="preserve"> a manner that has allowed us to qualify and will allow us to remain qualified as a REIT under the Code. However, there can be no assurance that we have qualified or will continue to qualify as a REIT for U.S. federal income tax purposes.</w:t>
      </w:r>
    </w:p>
    <w:p w14:paraId="44D771F8" w14:textId="77777777" w:rsidR="00000000" w:rsidRDefault="0053651E">
      <w:pPr>
        <w:pStyle w:val="a3"/>
        <w:spacing w:before="0" w:beforeAutospacing="0" w:after="0" w:afterAutospacing="0"/>
        <w:ind w:firstLine="360"/>
        <w:jc w:val="both"/>
        <w:rPr>
          <w:sz w:val="20"/>
          <w:szCs w:val="20"/>
        </w:rPr>
      </w:pPr>
      <w:r>
        <w:rPr>
          <w:sz w:val="20"/>
          <w:szCs w:val="20"/>
        </w:rPr>
        <w:t> </w:t>
      </w:r>
    </w:p>
    <w:p w14:paraId="183C16EE" w14:textId="77777777" w:rsidR="00000000" w:rsidRDefault="0053651E">
      <w:pPr>
        <w:pStyle w:val="a3"/>
        <w:spacing w:before="0" w:beforeAutospacing="0" w:after="0" w:afterAutospacing="0"/>
        <w:ind w:firstLine="360"/>
        <w:jc w:val="both"/>
        <w:rPr>
          <w:sz w:val="20"/>
          <w:szCs w:val="20"/>
        </w:rPr>
      </w:pPr>
      <w:r>
        <w:rPr>
          <w:sz w:val="20"/>
          <w:szCs w:val="20"/>
        </w:rPr>
        <w:t>Qualification a</w:t>
      </w:r>
      <w:r>
        <w:rPr>
          <w:sz w:val="20"/>
          <w:szCs w:val="20"/>
        </w:rPr>
        <w:t xml:space="preserve">s a REIT involves the application of highly technical and complex Code provisions, for which there are only limited judicial and administrative interpretations. The determination of various factual matters and circumstances not entirely within our control </w:t>
      </w:r>
      <w:r>
        <w:rPr>
          <w:sz w:val="20"/>
          <w:szCs w:val="20"/>
        </w:rPr>
        <w:t>may affect our ability to qualify as a REIT. The rules dealing with U.S. federal income taxation are constantly under review by persons involved in the legislative process and by the IRS and U.S. Department of the Treasury. We cannot predict how changes in</w:t>
      </w:r>
      <w:r>
        <w:rPr>
          <w:sz w:val="20"/>
          <w:szCs w:val="20"/>
        </w:rPr>
        <w:t xml:space="preserve"> the tax laws might affect our investors or us. New legislation, regulations, administrative interpretations or court decisions could significantly and negatively change the tax laws with respect to qualification as a REIT, the U.S. federal income tax cons</w:t>
      </w:r>
      <w:r>
        <w:rPr>
          <w:sz w:val="20"/>
          <w:szCs w:val="20"/>
        </w:rPr>
        <w:t>equences of such qualification or the desirability of an investment in a REIT relative to other investments.</w:t>
      </w:r>
    </w:p>
    <w:p w14:paraId="54486826" w14:textId="77777777" w:rsidR="00000000" w:rsidRDefault="0053651E">
      <w:pPr>
        <w:pStyle w:val="a3"/>
        <w:spacing w:before="0" w:beforeAutospacing="0" w:after="0" w:afterAutospacing="0"/>
        <w:ind w:firstLine="360"/>
        <w:jc w:val="both"/>
        <w:rPr>
          <w:sz w:val="20"/>
          <w:szCs w:val="20"/>
        </w:rPr>
      </w:pPr>
      <w:r>
        <w:rPr>
          <w:sz w:val="20"/>
          <w:szCs w:val="20"/>
        </w:rPr>
        <w:t> </w:t>
      </w:r>
    </w:p>
    <w:p w14:paraId="78D062C7" w14:textId="77777777" w:rsidR="00000000" w:rsidRDefault="0053651E">
      <w:pPr>
        <w:pStyle w:val="a3"/>
        <w:spacing w:before="0" w:beforeAutospacing="0" w:after="0" w:afterAutospacing="0"/>
        <w:ind w:firstLine="360"/>
        <w:jc w:val="both"/>
        <w:rPr>
          <w:sz w:val="20"/>
          <w:szCs w:val="20"/>
        </w:rPr>
      </w:pPr>
      <w:r>
        <w:rPr>
          <w:sz w:val="20"/>
          <w:szCs w:val="20"/>
        </w:rPr>
        <w:t>In order to qualify as a REIT, we must satisfy a number of requirements, including requirements regarding the ownership of our stock, the composi</w:t>
      </w:r>
      <w:r>
        <w:rPr>
          <w:sz w:val="20"/>
          <w:szCs w:val="20"/>
        </w:rPr>
        <w:t>tion of our assets and the sources of our gross income. Also, we must make distributions to stockholders aggregating annually at least 90% of our REIT taxable income, excluding net capital gains. Furthermore, we own a direct or indirect interest in certain</w:t>
      </w:r>
      <w:r>
        <w:rPr>
          <w:sz w:val="20"/>
          <w:szCs w:val="20"/>
        </w:rPr>
        <w:t xml:space="preserve"> subsidiary REITs which elected to be taxed as REITs for U.S. federal income tax purposes under the Code. Provided that each subsidiary REIT qualifies as a REIT, our interest in such subsidiary REIT will be treated as a qualifying real estate asset for pur</w:t>
      </w:r>
      <w:r>
        <w:rPr>
          <w:sz w:val="20"/>
          <w:szCs w:val="20"/>
        </w:rPr>
        <w:t>poses of the REIT asset tests. To qualify as a REIT, the subsidiary REIT must independently satisfy all of the REIT qualification requirements. The failure of a subsidiary REIT to qualify as a REIT could have an adverse effect on our ability to comply with</w:t>
      </w:r>
      <w:r>
        <w:rPr>
          <w:sz w:val="20"/>
          <w:szCs w:val="20"/>
        </w:rPr>
        <w:t xml:space="preserve"> the REIT income and asset tests, and thus our ability to qualify as a REIT.</w:t>
      </w:r>
    </w:p>
    <w:p w14:paraId="6D6A587D" w14:textId="77777777" w:rsidR="00000000" w:rsidRDefault="0053651E">
      <w:pPr>
        <w:pStyle w:val="a3"/>
        <w:spacing w:before="0" w:beforeAutospacing="0" w:after="0" w:afterAutospacing="0"/>
        <w:ind w:firstLine="360"/>
        <w:rPr>
          <w:sz w:val="20"/>
          <w:szCs w:val="20"/>
        </w:rPr>
      </w:pPr>
      <w:r>
        <w:rPr>
          <w:sz w:val="20"/>
          <w:szCs w:val="20"/>
        </w:rPr>
        <w:t> </w:t>
      </w:r>
    </w:p>
    <w:p w14:paraId="23D19857" w14:textId="77777777" w:rsidR="00000000" w:rsidRDefault="0053651E">
      <w:pPr>
        <w:jc w:val="center"/>
        <w:divId w:val="66345183"/>
        <w:rPr>
          <w:rFonts w:eastAsia="Times New Roman"/>
          <w:sz w:val="20"/>
          <w:szCs w:val="20"/>
        </w:rPr>
      </w:pPr>
      <w:r>
        <w:rPr>
          <w:rFonts w:eastAsia="Times New Roman"/>
          <w:sz w:val="20"/>
          <w:szCs w:val="20"/>
        </w:rPr>
        <w:t xml:space="preserve">13 </w:t>
      </w:r>
    </w:p>
    <w:p w14:paraId="3ACE0EDB" w14:textId="77777777" w:rsidR="00000000" w:rsidRDefault="0053651E">
      <w:pPr>
        <w:divId w:val="66345183"/>
        <w:rPr>
          <w:rFonts w:eastAsia="Times New Roman"/>
          <w:sz w:val="20"/>
          <w:szCs w:val="20"/>
        </w:rPr>
      </w:pPr>
      <w:r>
        <w:rPr>
          <w:rFonts w:eastAsia="Times New Roman"/>
          <w:sz w:val="20"/>
          <w:szCs w:val="20"/>
        </w:rPr>
        <w:pict w14:anchorId="1C15978D">
          <v:rect id="_x0000_i1042" style="width:0;height:1.5pt" o:hralign="center" o:hrstd="t" o:hr="t" fillcolor="#a0a0a0" stroked="f"/>
        </w:pict>
      </w:r>
    </w:p>
    <w:p w14:paraId="0E1CCBD1" w14:textId="77777777" w:rsidR="00000000" w:rsidRDefault="0053651E">
      <w:pPr>
        <w:divId w:val="663451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C3C5C1" w14:textId="77777777" w:rsidR="00000000" w:rsidRDefault="0053651E">
      <w:pPr>
        <w:pStyle w:val="a3"/>
        <w:spacing w:before="0" w:beforeAutospacing="0" w:after="0" w:afterAutospacing="0"/>
        <w:rPr>
          <w:sz w:val="20"/>
          <w:szCs w:val="20"/>
        </w:rPr>
      </w:pPr>
      <w:r>
        <w:rPr>
          <w:sz w:val="20"/>
          <w:szCs w:val="20"/>
        </w:rPr>
        <w:t> </w:t>
      </w:r>
    </w:p>
    <w:p w14:paraId="4E8632C3" w14:textId="77777777" w:rsidR="00000000" w:rsidRDefault="0053651E">
      <w:pPr>
        <w:pStyle w:val="a3"/>
        <w:spacing w:before="0" w:beforeAutospacing="0" w:after="0" w:afterAutospacing="0"/>
        <w:ind w:firstLine="360"/>
        <w:jc w:val="both"/>
        <w:rPr>
          <w:sz w:val="20"/>
          <w:szCs w:val="20"/>
        </w:rPr>
      </w:pPr>
      <w:r>
        <w:rPr>
          <w:sz w:val="20"/>
          <w:szCs w:val="20"/>
        </w:rPr>
        <w:t>If we lose our REIT status, we will face serious tax consequences that will substantially reduce the funds available to pay dividends to stockholders for each of the years involved because:</w:t>
      </w:r>
    </w:p>
    <w:p w14:paraId="0D563EC8"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1019756" w14:textId="77777777">
        <w:trPr>
          <w:tblCellSpacing w:w="0" w:type="dxa"/>
        </w:trPr>
        <w:tc>
          <w:tcPr>
            <w:tcW w:w="360" w:type="dxa"/>
            <w:vAlign w:val="center"/>
            <w:hideMark/>
          </w:tcPr>
          <w:p w14:paraId="40B34444" w14:textId="77777777" w:rsidR="00000000" w:rsidRDefault="0053651E">
            <w:pPr>
              <w:rPr>
                <w:rFonts w:eastAsia="Times New Roman"/>
                <w:sz w:val="20"/>
                <w:szCs w:val="20"/>
              </w:rPr>
            </w:pPr>
            <w:r>
              <w:rPr>
                <w:rFonts w:eastAsia="Times New Roman"/>
                <w:sz w:val="20"/>
                <w:szCs w:val="20"/>
              </w:rPr>
              <w:t> </w:t>
            </w:r>
          </w:p>
        </w:tc>
        <w:tc>
          <w:tcPr>
            <w:tcW w:w="360" w:type="dxa"/>
            <w:hideMark/>
          </w:tcPr>
          <w:p w14:paraId="384EB4BA"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3E781D1C" w14:textId="77777777" w:rsidR="00000000" w:rsidRDefault="0053651E">
            <w:pPr>
              <w:pStyle w:val="a3"/>
              <w:spacing w:before="0" w:beforeAutospacing="0" w:after="0" w:afterAutospacing="0"/>
              <w:rPr>
                <w:sz w:val="20"/>
                <w:szCs w:val="20"/>
              </w:rPr>
            </w:pPr>
            <w:r>
              <w:rPr>
                <w:sz w:val="20"/>
                <w:szCs w:val="20"/>
              </w:rPr>
              <w:t>we would not be allowed a deduction for dividends to stockho</w:t>
            </w:r>
            <w:r>
              <w:rPr>
                <w:sz w:val="20"/>
                <w:szCs w:val="20"/>
              </w:rPr>
              <w:t>lders in computing our taxable income and we would be subject to the regular U.S. federal corporate income tax;</w:t>
            </w:r>
          </w:p>
        </w:tc>
      </w:tr>
    </w:tbl>
    <w:p w14:paraId="551781C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4AD4DE2" w14:textId="77777777">
        <w:trPr>
          <w:tblCellSpacing w:w="0" w:type="dxa"/>
        </w:trPr>
        <w:tc>
          <w:tcPr>
            <w:tcW w:w="360" w:type="dxa"/>
            <w:vAlign w:val="center"/>
            <w:hideMark/>
          </w:tcPr>
          <w:p w14:paraId="01D995D8" w14:textId="77777777" w:rsidR="00000000" w:rsidRDefault="0053651E">
            <w:pPr>
              <w:rPr>
                <w:rFonts w:eastAsia="Times New Roman"/>
                <w:sz w:val="20"/>
                <w:szCs w:val="20"/>
              </w:rPr>
            </w:pPr>
            <w:r>
              <w:rPr>
                <w:rFonts w:eastAsia="Times New Roman"/>
                <w:sz w:val="20"/>
                <w:szCs w:val="20"/>
              </w:rPr>
              <w:t> </w:t>
            </w:r>
          </w:p>
        </w:tc>
        <w:tc>
          <w:tcPr>
            <w:tcW w:w="360" w:type="dxa"/>
            <w:hideMark/>
          </w:tcPr>
          <w:p w14:paraId="135632F3"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6CED3F96" w14:textId="77777777" w:rsidR="00000000" w:rsidRDefault="0053651E">
            <w:pPr>
              <w:pStyle w:val="a3"/>
              <w:spacing w:before="0" w:beforeAutospacing="0" w:after="0" w:afterAutospacing="0"/>
              <w:rPr>
                <w:sz w:val="20"/>
                <w:szCs w:val="20"/>
              </w:rPr>
            </w:pPr>
            <w:r>
              <w:rPr>
                <w:sz w:val="20"/>
                <w:szCs w:val="20"/>
              </w:rPr>
              <w:t>we could possibly be subject to the federal alternative minimum tax for taxable years prior to 2018 or increased state and local taxes;</w:t>
            </w:r>
          </w:p>
        </w:tc>
      </w:tr>
    </w:tbl>
    <w:p w14:paraId="6791C29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75D458A" w14:textId="77777777">
        <w:trPr>
          <w:tblCellSpacing w:w="0" w:type="dxa"/>
        </w:trPr>
        <w:tc>
          <w:tcPr>
            <w:tcW w:w="360" w:type="dxa"/>
            <w:vAlign w:val="center"/>
            <w:hideMark/>
          </w:tcPr>
          <w:p w14:paraId="5DE440B3" w14:textId="77777777" w:rsidR="00000000" w:rsidRDefault="0053651E">
            <w:pPr>
              <w:rPr>
                <w:rFonts w:eastAsia="Times New Roman"/>
                <w:sz w:val="20"/>
                <w:szCs w:val="20"/>
              </w:rPr>
            </w:pPr>
            <w:r>
              <w:rPr>
                <w:rFonts w:eastAsia="Times New Roman"/>
                <w:sz w:val="20"/>
                <w:szCs w:val="20"/>
              </w:rPr>
              <w:t> </w:t>
            </w:r>
          </w:p>
        </w:tc>
        <w:tc>
          <w:tcPr>
            <w:tcW w:w="360" w:type="dxa"/>
            <w:hideMark/>
          </w:tcPr>
          <w:p w14:paraId="1893054C"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5B3EE829" w14:textId="77777777" w:rsidR="00000000" w:rsidRDefault="0053651E">
            <w:pPr>
              <w:pStyle w:val="a3"/>
              <w:spacing w:before="0" w:beforeAutospacing="0" w:after="0" w:afterAutospacing="0"/>
              <w:rPr>
                <w:sz w:val="20"/>
                <w:szCs w:val="20"/>
              </w:rPr>
            </w:pPr>
            <w:r>
              <w:rPr>
                <w:sz w:val="20"/>
                <w:szCs w:val="20"/>
              </w:rPr>
              <w:t>unless we were entitled to relief under statutory provisions, we could not elect to be taxed as a REIT for four taxable years following the year during which we were disqualified; and</w:t>
            </w:r>
          </w:p>
        </w:tc>
      </w:tr>
    </w:tbl>
    <w:p w14:paraId="70416E0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52BC71" w14:textId="77777777">
        <w:trPr>
          <w:tblCellSpacing w:w="0" w:type="dxa"/>
        </w:trPr>
        <w:tc>
          <w:tcPr>
            <w:tcW w:w="360" w:type="dxa"/>
            <w:vAlign w:val="center"/>
            <w:hideMark/>
          </w:tcPr>
          <w:p w14:paraId="1927443C" w14:textId="77777777" w:rsidR="00000000" w:rsidRDefault="0053651E">
            <w:pPr>
              <w:rPr>
                <w:rFonts w:eastAsia="Times New Roman"/>
                <w:sz w:val="20"/>
                <w:szCs w:val="20"/>
              </w:rPr>
            </w:pPr>
            <w:r>
              <w:rPr>
                <w:rFonts w:eastAsia="Times New Roman"/>
                <w:sz w:val="20"/>
                <w:szCs w:val="20"/>
              </w:rPr>
              <w:t> </w:t>
            </w:r>
          </w:p>
        </w:tc>
        <w:tc>
          <w:tcPr>
            <w:tcW w:w="360" w:type="dxa"/>
            <w:hideMark/>
          </w:tcPr>
          <w:p w14:paraId="12717A1B" w14:textId="77777777" w:rsidR="00000000" w:rsidRDefault="0053651E">
            <w:pPr>
              <w:pStyle w:val="a3"/>
              <w:spacing w:before="0" w:beforeAutospacing="0" w:after="0" w:afterAutospacing="0"/>
              <w:rPr>
                <w:sz w:val="20"/>
                <w:szCs w:val="20"/>
              </w:rPr>
            </w:pPr>
            <w:r>
              <w:rPr>
                <w:sz w:val="20"/>
                <w:szCs w:val="20"/>
              </w:rPr>
              <w:t>●</w:t>
            </w:r>
          </w:p>
        </w:tc>
        <w:tc>
          <w:tcPr>
            <w:tcW w:w="0" w:type="auto"/>
            <w:hideMark/>
          </w:tcPr>
          <w:p w14:paraId="26661C27" w14:textId="77777777" w:rsidR="00000000" w:rsidRDefault="0053651E">
            <w:pPr>
              <w:pStyle w:val="a3"/>
              <w:spacing w:before="0" w:beforeAutospacing="0" w:after="0" w:afterAutospacing="0"/>
              <w:rPr>
                <w:sz w:val="20"/>
                <w:szCs w:val="20"/>
              </w:rPr>
            </w:pPr>
            <w:r>
              <w:rPr>
                <w:sz w:val="20"/>
                <w:szCs w:val="20"/>
              </w:rPr>
              <w:t>we would not be required to make distributions to stockholders.</w:t>
            </w:r>
          </w:p>
        </w:tc>
      </w:tr>
    </w:tbl>
    <w:p w14:paraId="1F13FE57" w14:textId="77777777" w:rsidR="00000000" w:rsidRDefault="0053651E">
      <w:pPr>
        <w:pStyle w:val="a3"/>
        <w:spacing w:before="0" w:beforeAutospacing="0" w:after="0" w:afterAutospacing="0"/>
        <w:ind w:firstLine="360"/>
        <w:rPr>
          <w:sz w:val="20"/>
          <w:szCs w:val="20"/>
        </w:rPr>
      </w:pPr>
      <w:r>
        <w:rPr>
          <w:sz w:val="20"/>
          <w:szCs w:val="20"/>
        </w:rPr>
        <w:t> </w:t>
      </w:r>
    </w:p>
    <w:p w14:paraId="5D11076D" w14:textId="77777777" w:rsidR="00000000" w:rsidRDefault="0053651E">
      <w:pPr>
        <w:pStyle w:val="a3"/>
        <w:spacing w:before="0" w:beforeAutospacing="0" w:after="0" w:afterAutospacing="0"/>
        <w:ind w:firstLine="360"/>
        <w:jc w:val="both"/>
        <w:rPr>
          <w:sz w:val="20"/>
          <w:szCs w:val="20"/>
        </w:rPr>
      </w:pPr>
      <w:r>
        <w:rPr>
          <w:sz w:val="20"/>
          <w:szCs w:val="20"/>
        </w:rPr>
        <w:t>Moreover, the Tax Cuts and Jobs Act, enacted on December 22, 2017 (the "2017 Tax Legislation"), significantly changed the U.S. federal income taxation of U.S. businesses and their owners, i</w:t>
      </w:r>
      <w:r>
        <w:rPr>
          <w:sz w:val="20"/>
          <w:szCs w:val="20"/>
        </w:rPr>
        <w:t>ncluding REITs and their stockholders.</w:t>
      </w:r>
    </w:p>
    <w:p w14:paraId="7156C6CC" w14:textId="77777777" w:rsidR="00000000" w:rsidRDefault="0053651E">
      <w:pPr>
        <w:pStyle w:val="a3"/>
        <w:spacing w:before="0" w:beforeAutospacing="0" w:after="0" w:afterAutospacing="0"/>
        <w:rPr>
          <w:sz w:val="20"/>
          <w:szCs w:val="20"/>
        </w:rPr>
      </w:pPr>
      <w:r>
        <w:rPr>
          <w:sz w:val="20"/>
          <w:szCs w:val="20"/>
        </w:rPr>
        <w:t> </w:t>
      </w:r>
    </w:p>
    <w:p w14:paraId="29157706" w14:textId="77777777" w:rsidR="00000000" w:rsidRDefault="0053651E">
      <w:pPr>
        <w:pStyle w:val="a3"/>
        <w:spacing w:before="0" w:beforeAutospacing="0" w:after="0" w:afterAutospacing="0"/>
        <w:ind w:firstLine="360"/>
        <w:jc w:val="both"/>
        <w:rPr>
          <w:sz w:val="20"/>
          <w:szCs w:val="20"/>
        </w:rPr>
      </w:pPr>
      <w:r>
        <w:rPr>
          <w:sz w:val="20"/>
          <w:szCs w:val="20"/>
        </w:rPr>
        <w:t>The 2017 Tax Legislation remains unclear in many respects and could be subject to potential amendments</w:t>
      </w:r>
      <w:r>
        <w:rPr>
          <w:b/>
          <w:bCs/>
          <w:sz w:val="20"/>
          <w:szCs w:val="20"/>
        </w:rPr>
        <w:t xml:space="preserve"> </w:t>
      </w:r>
      <w:r>
        <w:rPr>
          <w:sz w:val="20"/>
          <w:szCs w:val="20"/>
        </w:rPr>
        <w:t>and technical corrections, as well as interpretations and implementing regulations by the Treasury and IRS, any</w:t>
      </w:r>
      <w:r>
        <w:rPr>
          <w:b/>
          <w:bCs/>
          <w:sz w:val="20"/>
          <w:szCs w:val="20"/>
        </w:rPr>
        <w:t xml:space="preserve"> </w:t>
      </w:r>
      <w:r>
        <w:rPr>
          <w:sz w:val="20"/>
          <w:szCs w:val="20"/>
        </w:rPr>
        <w:t>of which could lessen or increase certain adverse impacts of the legislation. In addition, it remains unclear how these</w:t>
      </w:r>
      <w:r>
        <w:rPr>
          <w:b/>
          <w:bCs/>
          <w:sz w:val="20"/>
          <w:szCs w:val="20"/>
        </w:rPr>
        <w:t xml:space="preserve"> </w:t>
      </w:r>
      <w:r>
        <w:rPr>
          <w:sz w:val="20"/>
          <w:szCs w:val="20"/>
        </w:rPr>
        <w:t>U.S. federal income tax changes will affect state and local taxation, which often uses U.S. federal taxable income as a</w:t>
      </w:r>
      <w:r>
        <w:rPr>
          <w:b/>
          <w:bCs/>
          <w:sz w:val="20"/>
          <w:szCs w:val="20"/>
        </w:rPr>
        <w:t xml:space="preserve"> </w:t>
      </w:r>
      <w:r>
        <w:rPr>
          <w:sz w:val="20"/>
          <w:szCs w:val="20"/>
        </w:rPr>
        <w:t>starting point f</w:t>
      </w:r>
      <w:r>
        <w:rPr>
          <w:sz w:val="20"/>
          <w:szCs w:val="20"/>
        </w:rPr>
        <w:t>or computing state and local tax liabilities.</w:t>
      </w:r>
    </w:p>
    <w:p w14:paraId="3783DED9" w14:textId="77777777" w:rsidR="00000000" w:rsidRDefault="0053651E">
      <w:pPr>
        <w:pStyle w:val="a3"/>
        <w:spacing w:before="0" w:beforeAutospacing="0" w:after="0" w:afterAutospacing="0"/>
        <w:ind w:firstLine="360"/>
        <w:jc w:val="both"/>
        <w:rPr>
          <w:sz w:val="20"/>
          <w:szCs w:val="20"/>
        </w:rPr>
      </w:pPr>
      <w:r>
        <w:rPr>
          <w:b/>
          <w:bCs/>
          <w:sz w:val="20"/>
          <w:szCs w:val="20"/>
        </w:rPr>
        <w:t> </w:t>
      </w:r>
    </w:p>
    <w:p w14:paraId="5908F11D" w14:textId="77777777" w:rsidR="00000000" w:rsidRDefault="0053651E">
      <w:pPr>
        <w:pStyle w:val="a3"/>
        <w:spacing w:before="0" w:beforeAutospacing="0" w:after="0" w:afterAutospacing="0"/>
        <w:ind w:firstLine="360"/>
        <w:jc w:val="both"/>
        <w:rPr>
          <w:sz w:val="20"/>
          <w:szCs w:val="20"/>
        </w:rPr>
      </w:pPr>
      <w:r>
        <w:rPr>
          <w:sz w:val="20"/>
          <w:szCs w:val="20"/>
        </w:rPr>
        <w:t>While some of the changes made by the 2017 Tax Legislation may adversely affect us in one or more reporting</w:t>
      </w:r>
      <w:r>
        <w:rPr>
          <w:b/>
          <w:bCs/>
          <w:sz w:val="20"/>
          <w:szCs w:val="20"/>
        </w:rPr>
        <w:t xml:space="preserve"> </w:t>
      </w:r>
      <w:r>
        <w:rPr>
          <w:sz w:val="20"/>
          <w:szCs w:val="20"/>
        </w:rPr>
        <w:t xml:space="preserve">periods and prospectively, other changes may be beneficial on a going forward basis. We continue to </w:t>
      </w:r>
      <w:r>
        <w:rPr>
          <w:sz w:val="20"/>
          <w:szCs w:val="20"/>
        </w:rPr>
        <w:t>work with</w:t>
      </w:r>
      <w:r>
        <w:rPr>
          <w:b/>
          <w:bCs/>
          <w:sz w:val="20"/>
          <w:szCs w:val="20"/>
        </w:rPr>
        <w:t xml:space="preserve"> </w:t>
      </w:r>
      <w:r>
        <w:rPr>
          <w:sz w:val="20"/>
          <w:szCs w:val="20"/>
        </w:rPr>
        <w:t>our tax advisors to determine the full impact that the 2017 Tax Legislation as a whole will have on</w:t>
      </w:r>
      <w:r>
        <w:rPr>
          <w:b/>
          <w:bCs/>
          <w:sz w:val="20"/>
          <w:szCs w:val="20"/>
        </w:rPr>
        <w:t xml:space="preserve"> </w:t>
      </w:r>
      <w:r>
        <w:rPr>
          <w:sz w:val="20"/>
          <w:szCs w:val="20"/>
        </w:rPr>
        <w:t>us. We urge our investors to consult with their legal and tax advisors with respect to such legislation and the</w:t>
      </w:r>
      <w:r>
        <w:rPr>
          <w:b/>
          <w:bCs/>
          <w:sz w:val="20"/>
          <w:szCs w:val="20"/>
        </w:rPr>
        <w:t xml:space="preserve"> </w:t>
      </w:r>
      <w:r>
        <w:rPr>
          <w:sz w:val="20"/>
          <w:szCs w:val="20"/>
        </w:rPr>
        <w:t>potential tax consequences of inve</w:t>
      </w:r>
      <w:r>
        <w:rPr>
          <w:sz w:val="20"/>
          <w:szCs w:val="20"/>
        </w:rPr>
        <w:t>sting in our common stock.</w:t>
      </w:r>
    </w:p>
    <w:p w14:paraId="4716CDE9" w14:textId="77777777" w:rsidR="00000000" w:rsidRDefault="0053651E">
      <w:pPr>
        <w:pStyle w:val="a3"/>
        <w:spacing w:before="0" w:beforeAutospacing="0" w:after="0" w:afterAutospacing="0"/>
        <w:ind w:firstLine="360"/>
        <w:jc w:val="both"/>
        <w:rPr>
          <w:sz w:val="20"/>
          <w:szCs w:val="20"/>
        </w:rPr>
      </w:pPr>
      <w:r>
        <w:rPr>
          <w:sz w:val="20"/>
          <w:szCs w:val="20"/>
        </w:rPr>
        <w:t> </w:t>
      </w:r>
    </w:p>
    <w:p w14:paraId="50E63E75" w14:textId="77777777" w:rsidR="00000000" w:rsidRDefault="0053651E">
      <w:pPr>
        <w:pStyle w:val="a3"/>
        <w:spacing w:before="0" w:beforeAutospacing="0" w:after="0" w:afterAutospacing="0"/>
        <w:ind w:firstLine="360"/>
        <w:jc w:val="both"/>
        <w:rPr>
          <w:sz w:val="20"/>
          <w:szCs w:val="20"/>
        </w:rPr>
      </w:pPr>
      <w:r>
        <w:rPr>
          <w:sz w:val="20"/>
          <w:szCs w:val="20"/>
        </w:rPr>
        <w:t>Our failure to qualify as a REIT or new legislation or changes in U.S. federal income tax laws (including interpretations and regulations with respect to the Tax Cuts and Jobs Act), and with respect to qualification as a REIT o</w:t>
      </w:r>
      <w:r>
        <w:rPr>
          <w:sz w:val="20"/>
          <w:szCs w:val="20"/>
        </w:rPr>
        <w:t>r the tax consequences of such qualification, could also impair our ability to expand our business or raise capital and have a materially adverse effect on the value of our securities.</w:t>
      </w:r>
    </w:p>
    <w:p w14:paraId="2BF6EE0A" w14:textId="77777777" w:rsidR="00000000" w:rsidRDefault="0053651E">
      <w:pPr>
        <w:pStyle w:val="a3"/>
        <w:spacing w:before="0" w:beforeAutospacing="0" w:after="0" w:afterAutospacing="0"/>
        <w:ind w:firstLine="360"/>
        <w:jc w:val="both"/>
        <w:rPr>
          <w:sz w:val="20"/>
          <w:szCs w:val="20"/>
        </w:rPr>
      </w:pPr>
      <w:r>
        <w:rPr>
          <w:sz w:val="20"/>
          <w:szCs w:val="20"/>
        </w:rPr>
        <w:t> </w:t>
      </w:r>
    </w:p>
    <w:p w14:paraId="3B16BFD0" w14:textId="77777777" w:rsidR="00000000" w:rsidRDefault="0053651E">
      <w:pPr>
        <w:pStyle w:val="a3"/>
        <w:spacing w:before="0" w:beforeAutospacing="0" w:after="0" w:afterAutospacing="0"/>
        <w:ind w:firstLine="360"/>
        <w:jc w:val="both"/>
        <w:rPr>
          <w:sz w:val="20"/>
          <w:szCs w:val="20"/>
        </w:rPr>
      </w:pPr>
      <w:r>
        <w:rPr>
          <w:b/>
          <w:bCs/>
          <w:sz w:val="20"/>
          <w:szCs w:val="20"/>
        </w:rPr>
        <w:t xml:space="preserve">To maintain our REIT status, we may be forced to borrow funds during </w:t>
      </w:r>
      <w:r>
        <w:rPr>
          <w:b/>
          <w:bCs/>
          <w:sz w:val="20"/>
          <w:szCs w:val="20"/>
        </w:rPr>
        <w:t>unfavorable market conditions, and the unavailability of such capital on favorable terms at the desired times, or at all, may cause us to curtail our investment activities and/or to dispose of assets at inopportune times, which could adversely affect our f</w:t>
      </w:r>
      <w:r>
        <w:rPr>
          <w:b/>
          <w:bCs/>
          <w:sz w:val="20"/>
          <w:szCs w:val="20"/>
        </w:rPr>
        <w:t>inancial condition, results of operations, cash flows and per share trading price of our common stock.</w:t>
      </w:r>
    </w:p>
    <w:p w14:paraId="72C961A8" w14:textId="77777777" w:rsidR="00000000" w:rsidRDefault="0053651E">
      <w:pPr>
        <w:pStyle w:val="a3"/>
        <w:spacing w:before="0" w:beforeAutospacing="0" w:after="0" w:afterAutospacing="0"/>
        <w:ind w:firstLine="360"/>
        <w:jc w:val="both"/>
        <w:rPr>
          <w:sz w:val="20"/>
          <w:szCs w:val="20"/>
        </w:rPr>
      </w:pPr>
      <w:r>
        <w:rPr>
          <w:sz w:val="20"/>
          <w:szCs w:val="20"/>
        </w:rPr>
        <w:t> </w:t>
      </w:r>
    </w:p>
    <w:p w14:paraId="32B454BB" w14:textId="77777777" w:rsidR="00000000" w:rsidRDefault="0053651E">
      <w:pPr>
        <w:pStyle w:val="a3"/>
        <w:spacing w:before="0" w:beforeAutospacing="0" w:after="0" w:afterAutospacing="0"/>
        <w:ind w:firstLine="360"/>
        <w:jc w:val="both"/>
        <w:rPr>
          <w:sz w:val="20"/>
          <w:szCs w:val="20"/>
        </w:rPr>
      </w:pPr>
      <w:r>
        <w:rPr>
          <w:sz w:val="20"/>
          <w:szCs w:val="20"/>
        </w:rPr>
        <w:t>To qualify as a REIT, we generally must distribute to our stockholders at least 90% of our net taxable income each year, excluding net capital gains, a</w:t>
      </w:r>
      <w:r>
        <w:rPr>
          <w:sz w:val="20"/>
          <w:szCs w:val="20"/>
        </w:rPr>
        <w:t>nd we will be subject to regular corporate income taxes on the amount we distribute that is less than 100% of our net taxable income each year, including capital gains. In addition, we will be subject to a 4% nondeductible excise tax on the amount, if any,</w:t>
      </w:r>
      <w:r>
        <w:rPr>
          <w:sz w:val="20"/>
          <w:szCs w:val="20"/>
        </w:rPr>
        <w:t xml:space="preserve"> by which distributions paid by us in any calendar year are less than the sum of 85% of our ordinary income, 95% of our capital gain net income and 100% of our undistributed income from prior years. While we have historically satisfied these distribution r</w:t>
      </w:r>
      <w:r>
        <w:rPr>
          <w:sz w:val="20"/>
          <w:szCs w:val="20"/>
        </w:rPr>
        <w:t>equirements by making cash distributions to our stockholders, a REIT is permitted to satisfy these requirements by making distributions of cash or other property, including, in limited circumstances, its own stock. Assuming we continue to satisfy these dis</w:t>
      </w:r>
      <w:r>
        <w:rPr>
          <w:sz w:val="20"/>
          <w:szCs w:val="20"/>
        </w:rPr>
        <w:t xml:space="preserve">tribution requirements with cash, we may need to borrow funds to meet the REIT distribution requirements and avoid the payment of income and excise taxes even if the then prevailing market conditions are not favorable for these borrowings. These borrowing </w:t>
      </w:r>
      <w:r>
        <w:rPr>
          <w:sz w:val="20"/>
          <w:szCs w:val="20"/>
        </w:rPr>
        <w:t>needs could result from differences in timing between the actual receipt of cash and inclusion of income for U.S. federal income tax purposes, or the effect of non-deductible capital expenditures, the creation of cash reserves or required debt or amortizat</w:t>
      </w:r>
      <w:r>
        <w:rPr>
          <w:sz w:val="20"/>
          <w:szCs w:val="20"/>
        </w:rPr>
        <w:t>ion payments. These sources, however, may not be available on favorable terms or at all. Our access to third-party sources of capital depends on a number of factors, including the market's perception of our growth potential, our current debt levels, the ma</w:t>
      </w:r>
      <w:r>
        <w:rPr>
          <w:sz w:val="20"/>
          <w:szCs w:val="20"/>
        </w:rPr>
        <w:t xml:space="preserve">rket price of our common stock, and our current and potential future earnings. We cannot assure you that we will have access to such capital on favorable terms at the desired times, or at all, which may cause us to curtail our investment activities and/or </w:t>
      </w:r>
      <w:r>
        <w:rPr>
          <w:sz w:val="20"/>
          <w:szCs w:val="20"/>
        </w:rPr>
        <w:t>to dispose of assets at inopportune times, and could adversely affect our financial condition, results of operations, cash flows and per share trading price of our common stock.</w:t>
      </w:r>
    </w:p>
    <w:p w14:paraId="4B235696" w14:textId="77777777" w:rsidR="00000000" w:rsidRDefault="0053651E">
      <w:pPr>
        <w:pStyle w:val="a3"/>
        <w:spacing w:before="0" w:beforeAutospacing="0" w:after="0" w:afterAutospacing="0"/>
        <w:ind w:firstLine="360"/>
        <w:rPr>
          <w:sz w:val="20"/>
          <w:szCs w:val="20"/>
        </w:rPr>
      </w:pPr>
      <w:r>
        <w:rPr>
          <w:sz w:val="20"/>
          <w:szCs w:val="20"/>
        </w:rPr>
        <w:t> </w:t>
      </w:r>
    </w:p>
    <w:p w14:paraId="25BD8B5D" w14:textId="77777777" w:rsidR="00000000" w:rsidRDefault="0053651E">
      <w:pPr>
        <w:jc w:val="center"/>
        <w:divId w:val="1005672184"/>
        <w:rPr>
          <w:rFonts w:eastAsia="Times New Roman"/>
          <w:sz w:val="20"/>
          <w:szCs w:val="20"/>
        </w:rPr>
      </w:pPr>
      <w:r>
        <w:rPr>
          <w:rFonts w:eastAsia="Times New Roman"/>
          <w:sz w:val="20"/>
          <w:szCs w:val="20"/>
        </w:rPr>
        <w:t xml:space="preserve">14 </w:t>
      </w:r>
    </w:p>
    <w:p w14:paraId="73984493" w14:textId="77777777" w:rsidR="00000000" w:rsidRDefault="0053651E">
      <w:pPr>
        <w:divId w:val="1005672184"/>
        <w:rPr>
          <w:rFonts w:eastAsia="Times New Roman"/>
          <w:sz w:val="20"/>
          <w:szCs w:val="20"/>
        </w:rPr>
      </w:pPr>
      <w:r>
        <w:rPr>
          <w:rFonts w:eastAsia="Times New Roman"/>
          <w:sz w:val="20"/>
          <w:szCs w:val="20"/>
        </w:rPr>
        <w:pict w14:anchorId="0363CA9A">
          <v:rect id="_x0000_i1043" style="width:0;height:1.5pt" o:hralign="center" o:hrstd="t" o:hr="t" fillcolor="#a0a0a0" stroked="f"/>
        </w:pict>
      </w:r>
    </w:p>
    <w:p w14:paraId="338BBAC8" w14:textId="77777777" w:rsidR="00000000" w:rsidRDefault="0053651E">
      <w:pPr>
        <w:divId w:val="1005672184"/>
        <w:rPr>
          <w:rFonts w:eastAsia="Times New Roman"/>
          <w:sz w:val="20"/>
          <w:szCs w:val="20"/>
        </w:rPr>
      </w:pPr>
      <w:hyperlink w:anchor="toc" w:history="1">
        <w:r>
          <w:rPr>
            <w:rStyle w:val="a4"/>
            <w:rFonts w:eastAsia="Times New Roman"/>
            <w:sz w:val="20"/>
            <w:szCs w:val="20"/>
          </w:rPr>
          <w:t>Table of C</w:t>
        </w:r>
        <w:r>
          <w:rPr>
            <w:rStyle w:val="a4"/>
            <w:rFonts w:eastAsia="Times New Roman"/>
            <w:sz w:val="20"/>
            <w:szCs w:val="20"/>
          </w:rPr>
          <w:t>ontents</w:t>
        </w:r>
      </w:hyperlink>
      <w:r>
        <w:rPr>
          <w:rFonts w:eastAsia="Times New Roman"/>
          <w:sz w:val="20"/>
          <w:szCs w:val="20"/>
        </w:rPr>
        <w:t xml:space="preserve"> </w:t>
      </w:r>
    </w:p>
    <w:p w14:paraId="12895C68" w14:textId="77777777" w:rsidR="00000000" w:rsidRDefault="0053651E">
      <w:pPr>
        <w:pStyle w:val="a3"/>
        <w:spacing w:before="0" w:beforeAutospacing="0" w:after="0" w:afterAutospacing="0"/>
        <w:rPr>
          <w:sz w:val="20"/>
          <w:szCs w:val="20"/>
        </w:rPr>
      </w:pPr>
      <w:r>
        <w:rPr>
          <w:sz w:val="20"/>
          <w:szCs w:val="20"/>
        </w:rPr>
        <w:t> </w:t>
      </w:r>
    </w:p>
    <w:p w14:paraId="3AAABBC7" w14:textId="77777777" w:rsidR="00000000" w:rsidRDefault="0053651E">
      <w:pPr>
        <w:pStyle w:val="a3"/>
        <w:spacing w:before="0" w:beforeAutospacing="0" w:after="0" w:afterAutospacing="0"/>
        <w:ind w:firstLine="360"/>
        <w:jc w:val="both"/>
        <w:rPr>
          <w:sz w:val="20"/>
          <w:szCs w:val="20"/>
        </w:rPr>
      </w:pPr>
      <w:r>
        <w:rPr>
          <w:b/>
          <w:bCs/>
          <w:sz w:val="20"/>
          <w:szCs w:val="20"/>
        </w:rPr>
        <w:t>The tax imposed on REITs engaging in “prohibited transactions” may limit our ability to engage in transactions which would be treated as sales for U.S. federal income tax purposes.</w:t>
      </w:r>
    </w:p>
    <w:p w14:paraId="42F28B66" w14:textId="77777777" w:rsidR="00000000" w:rsidRDefault="0053651E">
      <w:pPr>
        <w:pStyle w:val="a3"/>
        <w:spacing w:before="0" w:beforeAutospacing="0" w:after="0" w:afterAutospacing="0"/>
        <w:ind w:firstLine="360"/>
        <w:jc w:val="both"/>
        <w:rPr>
          <w:sz w:val="20"/>
          <w:szCs w:val="20"/>
        </w:rPr>
      </w:pPr>
      <w:r>
        <w:rPr>
          <w:sz w:val="20"/>
          <w:szCs w:val="20"/>
        </w:rPr>
        <w:t> </w:t>
      </w:r>
    </w:p>
    <w:p w14:paraId="6DDA942E" w14:textId="77777777" w:rsidR="00000000" w:rsidRDefault="0053651E">
      <w:pPr>
        <w:pStyle w:val="a3"/>
        <w:spacing w:before="0" w:beforeAutospacing="0" w:after="0" w:afterAutospacing="0"/>
        <w:ind w:firstLine="360"/>
        <w:jc w:val="both"/>
        <w:rPr>
          <w:sz w:val="20"/>
          <w:szCs w:val="20"/>
        </w:rPr>
      </w:pPr>
      <w:r>
        <w:rPr>
          <w:sz w:val="20"/>
          <w:szCs w:val="20"/>
        </w:rPr>
        <w:t>A REIT's net income from prohibited transactions is subject to a 100% penalty tax. In general, prohibited transactions are sales or other dispositions of property, other than foreclosure property, held primarily for sale to customers in the ordinary course</w:t>
      </w:r>
      <w:r>
        <w:rPr>
          <w:sz w:val="20"/>
          <w:szCs w:val="20"/>
        </w:rPr>
        <w:t xml:space="preserve"> of business. Although we do not intend to hold any properties that would be characterized as held for sale to customers in the ordinary course of our business, unless a sale or disposition qualifies under certain statutory safe harbors, such characterizat</w:t>
      </w:r>
      <w:r>
        <w:rPr>
          <w:sz w:val="20"/>
          <w:szCs w:val="20"/>
        </w:rPr>
        <w:t>ion is a factual determination and no guarantee can be given that the IRS would agree with our characterization of our properties or that we will always be able to make use of the available safe harbors.</w:t>
      </w:r>
    </w:p>
    <w:p w14:paraId="75739787" w14:textId="77777777" w:rsidR="00000000" w:rsidRDefault="0053651E">
      <w:pPr>
        <w:pStyle w:val="a3"/>
        <w:spacing w:before="0" w:beforeAutospacing="0" w:after="0" w:afterAutospacing="0"/>
        <w:ind w:firstLine="360"/>
        <w:jc w:val="both"/>
        <w:rPr>
          <w:sz w:val="20"/>
          <w:szCs w:val="20"/>
        </w:rPr>
      </w:pPr>
      <w:r>
        <w:rPr>
          <w:sz w:val="20"/>
          <w:szCs w:val="20"/>
        </w:rPr>
        <w:t> </w:t>
      </w:r>
    </w:p>
    <w:p w14:paraId="6E8908C1" w14:textId="77777777" w:rsidR="00000000" w:rsidRDefault="0053651E">
      <w:pPr>
        <w:pStyle w:val="a3"/>
        <w:spacing w:before="0" w:beforeAutospacing="0" w:after="0" w:afterAutospacing="0"/>
        <w:ind w:left="144" w:right="144"/>
        <w:jc w:val="both"/>
        <w:rPr>
          <w:sz w:val="20"/>
          <w:szCs w:val="20"/>
        </w:rPr>
      </w:pPr>
      <w:r>
        <w:rPr>
          <w:b/>
          <w:bCs/>
          <w:sz w:val="20"/>
          <w:szCs w:val="20"/>
        </w:rPr>
        <w:t xml:space="preserve">    Dividends payable by REITs do not qualify for </w:t>
      </w:r>
      <w:r>
        <w:rPr>
          <w:b/>
          <w:bCs/>
          <w:sz w:val="20"/>
          <w:szCs w:val="20"/>
        </w:rPr>
        <w:t>the reduced tax rates available for some dividends.</w:t>
      </w:r>
    </w:p>
    <w:p w14:paraId="1A21D7EA" w14:textId="77777777" w:rsidR="00000000" w:rsidRDefault="0053651E">
      <w:pPr>
        <w:pStyle w:val="a3"/>
        <w:spacing w:before="0" w:beforeAutospacing="0" w:after="0" w:afterAutospacing="0"/>
        <w:ind w:left="144" w:right="144"/>
        <w:jc w:val="both"/>
        <w:rPr>
          <w:sz w:val="20"/>
          <w:szCs w:val="20"/>
        </w:rPr>
      </w:pPr>
      <w:r>
        <w:rPr>
          <w:sz w:val="20"/>
          <w:szCs w:val="20"/>
        </w:rPr>
        <w:t> </w:t>
      </w:r>
    </w:p>
    <w:p w14:paraId="1F64F2F8" w14:textId="77777777" w:rsidR="00000000" w:rsidRDefault="0053651E">
      <w:pPr>
        <w:pStyle w:val="a3"/>
        <w:spacing w:before="0" w:beforeAutospacing="0" w:after="0" w:afterAutospacing="0"/>
        <w:ind w:left="144" w:right="144"/>
        <w:jc w:val="both"/>
        <w:rPr>
          <w:sz w:val="20"/>
          <w:szCs w:val="20"/>
        </w:rPr>
      </w:pPr>
      <w:r>
        <w:rPr>
          <w:sz w:val="20"/>
          <w:szCs w:val="20"/>
        </w:rPr>
        <w:t>    The maximum tax rate applicable to “qualified dividend income” payable to U.S. stockholders that are individuals, trusts and estates is 20%. Dividends payable by REITs, however, generally are not el</w:t>
      </w:r>
      <w:r>
        <w:rPr>
          <w:sz w:val="20"/>
          <w:szCs w:val="20"/>
        </w:rPr>
        <w:t>igible for these reduced rates. Under the 2017 Tax Legislation, U.S. stockholders that are individuals, trusts and estates generally may deduct up to 20% of the ordinary dividends (i.e., dividends not designated as capital gain dividends or qualified divid</w:t>
      </w:r>
      <w:r>
        <w:rPr>
          <w:sz w:val="20"/>
          <w:szCs w:val="20"/>
        </w:rPr>
        <w:t>end income) received from a REIT for taxable years beginning after December 31, 2017 and before January 1, 2026. Although this deduction reduces the effective tax rate applicable to certain dividends paid by REITs (generally to 29.6% assuming the sharehold</w:t>
      </w:r>
      <w:r>
        <w:rPr>
          <w:sz w:val="20"/>
          <w:szCs w:val="20"/>
        </w:rPr>
        <w:t xml:space="preserve">er is subject to the 37% maximum rate), such tax rate is still higher than the tax rate applicable to corporate dividends that constitute qualified dividend income. Accordingly, investors who are individuals, trusts and estates may perceive investments in </w:t>
      </w:r>
      <w:r>
        <w:rPr>
          <w:sz w:val="20"/>
          <w:szCs w:val="20"/>
        </w:rPr>
        <w:t>REITs to be relatively less attractive than investments in the stocks of non-REIT corporations that pay dividends treated as qualified dividend income, which could materially and adversely affect the value of the shares of REITs, including the per share tr</w:t>
      </w:r>
      <w:r>
        <w:rPr>
          <w:sz w:val="20"/>
          <w:szCs w:val="20"/>
        </w:rPr>
        <w:t>ading price of our common stock.</w:t>
      </w:r>
    </w:p>
    <w:p w14:paraId="7EC9C817" w14:textId="77777777" w:rsidR="00000000" w:rsidRDefault="0053651E">
      <w:pPr>
        <w:pStyle w:val="a3"/>
        <w:spacing w:before="0" w:beforeAutospacing="0" w:after="0" w:afterAutospacing="0"/>
        <w:ind w:firstLine="360"/>
        <w:jc w:val="both"/>
        <w:rPr>
          <w:sz w:val="20"/>
          <w:szCs w:val="20"/>
        </w:rPr>
      </w:pPr>
      <w:r>
        <w:rPr>
          <w:sz w:val="20"/>
          <w:szCs w:val="20"/>
        </w:rPr>
        <w:t> </w:t>
      </w:r>
    </w:p>
    <w:p w14:paraId="1E0E1CCF" w14:textId="77777777" w:rsidR="00000000" w:rsidRDefault="0053651E">
      <w:pPr>
        <w:pStyle w:val="a3"/>
        <w:spacing w:before="0" w:beforeAutospacing="0" w:after="0" w:afterAutospacing="0"/>
        <w:ind w:firstLine="360"/>
        <w:rPr>
          <w:sz w:val="20"/>
          <w:szCs w:val="20"/>
        </w:rPr>
      </w:pPr>
      <w:r>
        <w:rPr>
          <w:sz w:val="20"/>
          <w:szCs w:val="20"/>
        </w:rPr>
        <w:t> </w:t>
      </w:r>
    </w:p>
    <w:p w14:paraId="1E73EDD2" w14:textId="77777777" w:rsidR="00000000" w:rsidRDefault="0053651E">
      <w:pPr>
        <w:pStyle w:val="a3"/>
        <w:spacing w:before="0" w:beforeAutospacing="0" w:after="0" w:afterAutospacing="0"/>
        <w:rPr>
          <w:sz w:val="20"/>
          <w:szCs w:val="20"/>
        </w:rPr>
      </w:pPr>
      <w:r>
        <w:rPr>
          <w:sz w:val="20"/>
          <w:szCs w:val="20"/>
          <w:u w:val="single"/>
        </w:rPr>
        <w:t>Item 1B. Unresolved Staff Comments</w:t>
      </w:r>
    </w:p>
    <w:p w14:paraId="607742BD" w14:textId="77777777" w:rsidR="00000000" w:rsidRDefault="0053651E">
      <w:pPr>
        <w:pStyle w:val="a3"/>
        <w:spacing w:before="0" w:beforeAutospacing="0" w:after="0" w:afterAutospacing="0"/>
        <w:ind w:firstLine="360"/>
        <w:jc w:val="both"/>
        <w:rPr>
          <w:sz w:val="20"/>
          <w:szCs w:val="20"/>
        </w:rPr>
      </w:pPr>
      <w:r>
        <w:rPr>
          <w:sz w:val="20"/>
          <w:szCs w:val="20"/>
        </w:rPr>
        <w:t> </w:t>
      </w:r>
    </w:p>
    <w:p w14:paraId="5A48485E" w14:textId="77777777" w:rsidR="00000000" w:rsidRDefault="0053651E">
      <w:pPr>
        <w:pStyle w:val="a3"/>
        <w:spacing w:before="0" w:beforeAutospacing="0" w:after="0" w:afterAutospacing="0"/>
        <w:ind w:firstLine="360"/>
        <w:jc w:val="both"/>
        <w:rPr>
          <w:sz w:val="20"/>
          <w:szCs w:val="20"/>
        </w:rPr>
      </w:pPr>
      <w:r>
        <w:rPr>
          <w:sz w:val="20"/>
          <w:szCs w:val="20"/>
        </w:rPr>
        <w:t>None.</w:t>
      </w:r>
    </w:p>
    <w:p w14:paraId="220D13B8" w14:textId="77777777" w:rsidR="00000000" w:rsidRDefault="0053651E">
      <w:pPr>
        <w:pStyle w:val="a3"/>
        <w:spacing w:before="0" w:beforeAutospacing="0" w:after="0" w:afterAutospacing="0"/>
        <w:ind w:firstLine="360"/>
        <w:jc w:val="both"/>
        <w:rPr>
          <w:sz w:val="20"/>
          <w:szCs w:val="20"/>
        </w:rPr>
      </w:pPr>
      <w:r>
        <w:rPr>
          <w:sz w:val="20"/>
          <w:szCs w:val="20"/>
        </w:rPr>
        <w:t> </w:t>
      </w:r>
    </w:p>
    <w:p w14:paraId="6ABA3DF4" w14:textId="77777777" w:rsidR="00000000" w:rsidRDefault="0053651E">
      <w:pPr>
        <w:pStyle w:val="a3"/>
        <w:spacing w:before="0" w:beforeAutospacing="0" w:after="0" w:afterAutospacing="0"/>
        <w:rPr>
          <w:sz w:val="20"/>
          <w:szCs w:val="20"/>
        </w:rPr>
      </w:pPr>
      <w:r>
        <w:rPr>
          <w:sz w:val="20"/>
          <w:szCs w:val="20"/>
          <w:u w:val="single"/>
        </w:rPr>
        <w:t>Item 2. Properties</w:t>
      </w:r>
    </w:p>
    <w:p w14:paraId="05E797C1" w14:textId="77777777" w:rsidR="00000000" w:rsidRDefault="0053651E">
      <w:pPr>
        <w:pStyle w:val="a3"/>
        <w:spacing w:before="0" w:beforeAutospacing="0" w:after="0" w:afterAutospacing="0"/>
        <w:ind w:firstLine="360"/>
        <w:jc w:val="both"/>
        <w:rPr>
          <w:sz w:val="20"/>
          <w:szCs w:val="20"/>
        </w:rPr>
      </w:pPr>
      <w:r>
        <w:rPr>
          <w:sz w:val="20"/>
          <w:szCs w:val="20"/>
        </w:rPr>
        <w:t> </w:t>
      </w:r>
    </w:p>
    <w:p w14:paraId="20B57FFC" w14:textId="77777777" w:rsidR="00000000" w:rsidRDefault="0053651E">
      <w:pPr>
        <w:pStyle w:val="a3"/>
        <w:spacing w:before="0" w:beforeAutospacing="0" w:after="0" w:afterAutospacing="0"/>
        <w:ind w:firstLine="360"/>
        <w:jc w:val="both"/>
        <w:rPr>
          <w:sz w:val="20"/>
          <w:szCs w:val="20"/>
        </w:rPr>
      </w:pPr>
      <w:r>
        <w:rPr>
          <w:i/>
          <w:iCs/>
          <w:sz w:val="20"/>
          <w:szCs w:val="20"/>
        </w:rPr>
        <w:t xml:space="preserve">Real Estate Portfolio. </w:t>
      </w:r>
      <w:r>
        <w:rPr>
          <w:sz w:val="20"/>
          <w:szCs w:val="20"/>
        </w:rPr>
        <w:t>As of December 31, 2019, the Company had interests in 409 shopping center properties aggregating</w:t>
      </w:r>
      <w:r>
        <w:rPr>
          <w:sz w:val="20"/>
          <w:szCs w:val="20"/>
        </w:rPr>
        <w:t xml:space="preserve"> 72.4 million square feet of GLA located in 27 states and Puerto Rico. In addition, the Company had 243 other property interests, primarily through the Company’s preferred equity investments and other real estate investments, totaling 3.9 million square fe</w:t>
      </w:r>
      <w:r>
        <w:rPr>
          <w:sz w:val="20"/>
          <w:szCs w:val="20"/>
        </w:rPr>
        <w:t>et of GLA.  Open-air shopping centers comprise the primary focus of the Company's current portfolio.  As of December 31, 2019, the Company’s Combined Shopping Center Portfolio, including noncontrolling interests, was 96.4% leased.</w:t>
      </w:r>
    </w:p>
    <w:p w14:paraId="6DFBBB37" w14:textId="77777777" w:rsidR="00000000" w:rsidRDefault="0053651E">
      <w:pPr>
        <w:pStyle w:val="a3"/>
        <w:spacing w:before="0" w:beforeAutospacing="0" w:after="0" w:afterAutospacing="0"/>
        <w:ind w:firstLine="360"/>
        <w:rPr>
          <w:sz w:val="20"/>
          <w:szCs w:val="20"/>
        </w:rPr>
      </w:pPr>
      <w:r>
        <w:rPr>
          <w:sz w:val="20"/>
          <w:szCs w:val="20"/>
        </w:rPr>
        <w:t> </w:t>
      </w:r>
    </w:p>
    <w:p w14:paraId="6D4A108F" w14:textId="77777777" w:rsidR="00000000" w:rsidRDefault="0053651E">
      <w:pPr>
        <w:pStyle w:val="a3"/>
        <w:spacing w:before="0" w:beforeAutospacing="0" w:after="0" w:afterAutospacing="0"/>
        <w:ind w:firstLine="360"/>
        <w:jc w:val="both"/>
        <w:rPr>
          <w:sz w:val="20"/>
          <w:szCs w:val="20"/>
        </w:rPr>
      </w:pPr>
      <w:r>
        <w:rPr>
          <w:sz w:val="20"/>
          <w:szCs w:val="20"/>
        </w:rPr>
        <w:t xml:space="preserve">The Company's open-air </w:t>
      </w:r>
      <w:r>
        <w:rPr>
          <w:sz w:val="20"/>
          <w:szCs w:val="20"/>
        </w:rPr>
        <w:t>shopping center properties, which are generally owned and operated through subsidiaries or joint ventures, had an average size of 176,955 square feet as of December 31, 2019. The Company generally retains its shopping centers for long-term investment and c</w:t>
      </w:r>
      <w:r>
        <w:rPr>
          <w:sz w:val="20"/>
          <w:szCs w:val="20"/>
        </w:rPr>
        <w:t>onsequently pursues a program of regular physical maintenance together with redevelopment, major renovations and refurbishing to preserve and increase the value of its properties. This includes renovating existing facades, installing uniform signage, resur</w:t>
      </w:r>
      <w:r>
        <w:rPr>
          <w:sz w:val="20"/>
          <w:szCs w:val="20"/>
        </w:rPr>
        <w:t>facing parking lots and enhancing parking lot lighting. During 2019, the Company expended $184.0 million in connection with property redevelopments and $140.8 million related to improvements while expensing $28.3 million to operations.</w:t>
      </w:r>
    </w:p>
    <w:p w14:paraId="4D6A2739" w14:textId="77777777" w:rsidR="00000000" w:rsidRDefault="0053651E">
      <w:pPr>
        <w:pStyle w:val="a3"/>
        <w:spacing w:before="0" w:beforeAutospacing="0" w:after="0" w:afterAutospacing="0"/>
        <w:ind w:firstLine="360"/>
        <w:jc w:val="both"/>
        <w:rPr>
          <w:sz w:val="20"/>
          <w:szCs w:val="20"/>
        </w:rPr>
      </w:pPr>
      <w:r>
        <w:rPr>
          <w:sz w:val="20"/>
          <w:szCs w:val="20"/>
        </w:rPr>
        <w:t> </w:t>
      </w:r>
    </w:p>
    <w:p w14:paraId="7C6F977C" w14:textId="77777777" w:rsidR="00000000" w:rsidRDefault="0053651E">
      <w:pPr>
        <w:pStyle w:val="a3"/>
        <w:spacing w:before="0" w:beforeAutospacing="0" w:after="0" w:afterAutospacing="0"/>
        <w:ind w:firstLine="360"/>
        <w:jc w:val="both"/>
        <w:rPr>
          <w:sz w:val="20"/>
          <w:szCs w:val="20"/>
        </w:rPr>
      </w:pPr>
      <w:r>
        <w:rPr>
          <w:sz w:val="20"/>
          <w:szCs w:val="20"/>
        </w:rPr>
        <w:t>The Company's mana</w:t>
      </w:r>
      <w:r>
        <w:rPr>
          <w:sz w:val="20"/>
          <w:szCs w:val="20"/>
        </w:rPr>
        <w:t xml:space="preserve">gement believes its experience in the real estate industry and its relationships with numerous national and regional tenants gives it an advantage in an industry where ownership is fragmented among a large number of property owners. The Company's open-air </w:t>
      </w:r>
      <w:r>
        <w:rPr>
          <w:sz w:val="20"/>
          <w:szCs w:val="20"/>
        </w:rPr>
        <w:t>shopping centers are usually "anchored" by a grocery store, off-price retailer, discounter or service-oriented tenant. As one of the original participants in the growth of the shopping center industry and one of the nation's largest owners and operators of</w:t>
      </w:r>
      <w:r>
        <w:rPr>
          <w:sz w:val="20"/>
          <w:szCs w:val="20"/>
        </w:rPr>
        <w:t xml:space="preserve"> shopping centers, the Company has established close relationships with a large number of major national and regional retailers. Some of the major national and regional companies that are tenants in the Company's shopping center properties include TJX Comp</w:t>
      </w:r>
      <w:r>
        <w:rPr>
          <w:sz w:val="20"/>
          <w:szCs w:val="20"/>
        </w:rPr>
        <w:t>anies, The Home Depot, Ahold Delhaize, Albertsons, Petsmart, Ross Stores, Whole Foods Market, Bed Bath &amp; Beyond, Walmart and Burlington Stores, Inc.</w:t>
      </w:r>
    </w:p>
    <w:p w14:paraId="601371D2" w14:textId="77777777" w:rsidR="00000000" w:rsidRDefault="0053651E">
      <w:pPr>
        <w:pStyle w:val="a3"/>
        <w:spacing w:before="0" w:beforeAutospacing="0" w:after="0" w:afterAutospacing="0"/>
        <w:ind w:firstLine="360"/>
        <w:jc w:val="both"/>
        <w:rPr>
          <w:sz w:val="20"/>
          <w:szCs w:val="20"/>
        </w:rPr>
      </w:pPr>
      <w:r>
        <w:rPr>
          <w:sz w:val="20"/>
          <w:szCs w:val="20"/>
        </w:rPr>
        <w:t> </w:t>
      </w:r>
    </w:p>
    <w:p w14:paraId="65027634" w14:textId="77777777" w:rsidR="00000000" w:rsidRDefault="0053651E">
      <w:pPr>
        <w:pStyle w:val="a3"/>
        <w:spacing w:before="0" w:beforeAutospacing="0" w:after="0" w:afterAutospacing="0"/>
        <w:ind w:firstLine="360"/>
        <w:jc w:val="both"/>
        <w:rPr>
          <w:sz w:val="20"/>
          <w:szCs w:val="20"/>
        </w:rPr>
      </w:pPr>
      <w:r>
        <w:rPr>
          <w:sz w:val="20"/>
          <w:szCs w:val="20"/>
        </w:rPr>
        <w:t>The Company reduces its operating and leasing risks through diversification achieved by the geographic distribution of its properties and a large tenant base. As of December 31, 2019, no single open-air shopping center accounted for more than 1.9% of the C</w:t>
      </w:r>
      <w:r>
        <w:rPr>
          <w:sz w:val="20"/>
          <w:szCs w:val="20"/>
        </w:rPr>
        <w:t>ompany's annualized base rental revenues, including the proportionate share of base rental revenues from properties in which the Company has less than a 100% economic interest, or more than 1.9% of the Company’s total shopping center GLA. At December 31, 2</w:t>
      </w:r>
      <w:r>
        <w:rPr>
          <w:sz w:val="20"/>
          <w:szCs w:val="20"/>
        </w:rPr>
        <w:t>019, the Company’s five largest tenants were TJX Companies, The Home Depot, Ahold Delhaize, Albertsons and Petsmart, which represented 3.9%, 2.5%, 2.1%, 2.0% and 1.8%, respectively, of the Company’s annualized base rental revenues, including the proportion</w:t>
      </w:r>
      <w:r>
        <w:rPr>
          <w:sz w:val="20"/>
          <w:szCs w:val="20"/>
        </w:rPr>
        <w:t>ate share of base rental revenues from properties in which the Company has less than a 100% economic interest.</w:t>
      </w:r>
    </w:p>
    <w:p w14:paraId="2A7D9ED4" w14:textId="77777777" w:rsidR="00000000" w:rsidRDefault="0053651E">
      <w:pPr>
        <w:pStyle w:val="a3"/>
        <w:spacing w:before="0" w:beforeAutospacing="0" w:after="0" w:afterAutospacing="0"/>
        <w:ind w:firstLine="360"/>
        <w:jc w:val="both"/>
        <w:rPr>
          <w:sz w:val="20"/>
          <w:szCs w:val="20"/>
        </w:rPr>
      </w:pPr>
      <w:r>
        <w:rPr>
          <w:sz w:val="20"/>
          <w:szCs w:val="20"/>
        </w:rPr>
        <w:t> </w:t>
      </w:r>
    </w:p>
    <w:p w14:paraId="3043011C" w14:textId="77777777" w:rsidR="00000000" w:rsidRDefault="0053651E">
      <w:pPr>
        <w:pStyle w:val="a3"/>
        <w:spacing w:before="0" w:beforeAutospacing="0" w:after="0" w:afterAutospacing="0"/>
        <w:ind w:firstLine="360"/>
        <w:jc w:val="both"/>
        <w:rPr>
          <w:sz w:val="20"/>
          <w:szCs w:val="20"/>
        </w:rPr>
      </w:pPr>
      <w:r>
        <w:rPr>
          <w:sz w:val="20"/>
          <w:szCs w:val="20"/>
        </w:rPr>
        <w:t>A substantial portion of the Company's income consists of rent received under long-term leases. Most of the leases provide for the payment of f</w:t>
      </w:r>
      <w:r>
        <w:rPr>
          <w:sz w:val="20"/>
          <w:szCs w:val="20"/>
        </w:rPr>
        <w:t xml:space="preserve">ixed-base rentals monthly in advance and for the payment by tenants of an allocable share of the real estate taxes, insurance, utilities and common area maintenance expenses incurred in operating the shopping centers (certain of the leases provide for the </w:t>
      </w:r>
      <w:r>
        <w:rPr>
          <w:sz w:val="20"/>
          <w:szCs w:val="20"/>
        </w:rPr>
        <w:t>payment of a fixed-rate reimbursement of these such expenses). Although many of the leases require the Company to make roof and structural repairs as needed, a number of tenant leases place that responsibility on the tenant, and the Company's standard smal</w:t>
      </w:r>
      <w:r>
        <w:rPr>
          <w:sz w:val="20"/>
          <w:szCs w:val="20"/>
        </w:rPr>
        <w:t>l store lease provides for reimbursements by the tenant as part of common area maintenance. Additionally, many of the leases provide for reimbursements by the tenant of capital expenditures.</w:t>
      </w:r>
    </w:p>
    <w:p w14:paraId="158E5DB3" w14:textId="77777777" w:rsidR="00000000" w:rsidRDefault="0053651E">
      <w:pPr>
        <w:pStyle w:val="a3"/>
        <w:spacing w:before="0" w:beforeAutospacing="0" w:after="0" w:afterAutospacing="0"/>
        <w:ind w:firstLine="360"/>
        <w:rPr>
          <w:sz w:val="20"/>
          <w:szCs w:val="20"/>
        </w:rPr>
      </w:pPr>
      <w:r>
        <w:rPr>
          <w:sz w:val="20"/>
          <w:szCs w:val="20"/>
        </w:rPr>
        <w:t> </w:t>
      </w:r>
    </w:p>
    <w:p w14:paraId="11AD5D4B" w14:textId="77777777" w:rsidR="00000000" w:rsidRDefault="0053651E">
      <w:pPr>
        <w:jc w:val="center"/>
        <w:divId w:val="430782203"/>
        <w:rPr>
          <w:rFonts w:eastAsia="Times New Roman"/>
          <w:sz w:val="20"/>
          <w:szCs w:val="20"/>
        </w:rPr>
      </w:pPr>
      <w:r>
        <w:rPr>
          <w:rFonts w:eastAsia="Times New Roman"/>
          <w:sz w:val="20"/>
          <w:szCs w:val="20"/>
        </w:rPr>
        <w:t xml:space="preserve">15 </w:t>
      </w:r>
    </w:p>
    <w:p w14:paraId="42E0C1BD" w14:textId="77777777" w:rsidR="00000000" w:rsidRDefault="0053651E">
      <w:pPr>
        <w:divId w:val="430782203"/>
        <w:rPr>
          <w:rFonts w:eastAsia="Times New Roman"/>
          <w:sz w:val="20"/>
          <w:szCs w:val="20"/>
        </w:rPr>
      </w:pPr>
      <w:r>
        <w:rPr>
          <w:rFonts w:eastAsia="Times New Roman"/>
          <w:sz w:val="20"/>
          <w:szCs w:val="20"/>
        </w:rPr>
        <w:pict w14:anchorId="26602946">
          <v:rect id="_x0000_i1044" style="width:0;height:1.5pt" o:hralign="center" o:hrstd="t" o:hr="t" fillcolor="#a0a0a0" stroked="f"/>
        </w:pict>
      </w:r>
    </w:p>
    <w:p w14:paraId="4375520B" w14:textId="77777777" w:rsidR="00000000" w:rsidRDefault="0053651E">
      <w:pPr>
        <w:divId w:val="4307822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6D9366F" w14:textId="77777777" w:rsidR="00000000" w:rsidRDefault="0053651E">
      <w:pPr>
        <w:pStyle w:val="a3"/>
        <w:spacing w:before="0" w:beforeAutospacing="0" w:after="0" w:afterAutospacing="0"/>
        <w:rPr>
          <w:sz w:val="20"/>
          <w:szCs w:val="20"/>
        </w:rPr>
      </w:pPr>
      <w:r>
        <w:rPr>
          <w:sz w:val="20"/>
          <w:szCs w:val="20"/>
        </w:rPr>
        <w:t> </w:t>
      </w:r>
    </w:p>
    <w:p w14:paraId="5609E9E9" w14:textId="77777777" w:rsidR="00000000" w:rsidRDefault="0053651E">
      <w:pPr>
        <w:pStyle w:val="a3"/>
        <w:spacing w:before="0" w:beforeAutospacing="0" w:after="0" w:afterAutospacing="0"/>
        <w:ind w:firstLine="360"/>
        <w:jc w:val="both"/>
        <w:rPr>
          <w:sz w:val="20"/>
          <w:szCs w:val="20"/>
        </w:rPr>
      </w:pPr>
      <w:r>
        <w:rPr>
          <w:sz w:val="20"/>
          <w:szCs w:val="20"/>
        </w:rPr>
        <w:t>Minimum base rental revenues and operating expense reimbursements accounted for 97% and other revenues, including percentage rents, accounted for 3% of the Company's total revenues from rental properties for the year ended December</w:t>
      </w:r>
      <w:r>
        <w:rPr>
          <w:sz w:val="20"/>
          <w:szCs w:val="20"/>
        </w:rPr>
        <w:t xml:space="preserve"> 31, 2019. The Company's management believes that the base rent per leased square foot for many of the Company's existing leases is generally lower than the prevailing market-rate base rents in the geographic regions where the Company operates, reflecting </w:t>
      </w:r>
      <w:r>
        <w:rPr>
          <w:sz w:val="20"/>
          <w:szCs w:val="20"/>
        </w:rPr>
        <w:t>the potential for future growth. Additionally, a majority of the Company’s leases have provisions requiring contractual rent increases. The Company’s leases may also include escalation clauses, which provide for increases based upon changes in the consumer</w:t>
      </w:r>
      <w:r>
        <w:rPr>
          <w:sz w:val="20"/>
          <w:szCs w:val="20"/>
        </w:rPr>
        <w:t xml:space="preserve"> price index or similar inflation indices.</w:t>
      </w:r>
    </w:p>
    <w:p w14:paraId="555F6237" w14:textId="77777777" w:rsidR="00000000" w:rsidRDefault="0053651E">
      <w:pPr>
        <w:pStyle w:val="a3"/>
        <w:spacing w:before="0" w:beforeAutospacing="0" w:after="0" w:afterAutospacing="0"/>
        <w:jc w:val="both"/>
        <w:rPr>
          <w:sz w:val="20"/>
          <w:szCs w:val="20"/>
        </w:rPr>
      </w:pPr>
      <w:r>
        <w:rPr>
          <w:sz w:val="20"/>
          <w:szCs w:val="20"/>
        </w:rPr>
        <w:t> </w:t>
      </w:r>
    </w:p>
    <w:p w14:paraId="4747B843" w14:textId="77777777" w:rsidR="00000000" w:rsidRDefault="0053651E">
      <w:pPr>
        <w:pStyle w:val="a3"/>
        <w:spacing w:before="0" w:beforeAutospacing="0" w:after="0" w:afterAutospacing="0"/>
        <w:ind w:firstLine="360"/>
        <w:jc w:val="both"/>
        <w:rPr>
          <w:sz w:val="20"/>
          <w:szCs w:val="20"/>
        </w:rPr>
      </w:pPr>
      <w:r>
        <w:rPr>
          <w:sz w:val="20"/>
          <w:szCs w:val="20"/>
        </w:rPr>
        <w:t>As of December 31, 2019, the Company’s consolidated operating portfolio, comprised of 51.1 million square feet of GLA, was 96.2% leased. The consolidated operating portfolio consists entirely of properties locat</w:t>
      </w:r>
      <w:r>
        <w:rPr>
          <w:sz w:val="20"/>
          <w:szCs w:val="20"/>
        </w:rPr>
        <w:t>ed in the U.S., inclusive of Puerto Rico.  For the period January 1, 2019 to December 31, 2019, the Company increased the average base rent per leased square foot, which includes the impact of tenant concessions, in its consolidated portfolio of open-air s</w:t>
      </w:r>
      <w:r>
        <w:rPr>
          <w:sz w:val="20"/>
          <w:szCs w:val="20"/>
        </w:rPr>
        <w:t>hopping centers from $17.30 to $17.96, an increase of $0.66.  This increase primarily consists of (i) a $0.32 increase relating to new leases signed net of leases vacated and rent step-ups within the portfolio and (ii) a $0.34 increase relating to acquisit</w:t>
      </w:r>
      <w:r>
        <w:rPr>
          <w:sz w:val="20"/>
          <w:szCs w:val="20"/>
        </w:rPr>
        <w:t>ions, dispositions and properties moved into the consolidated portfolio.</w:t>
      </w:r>
    </w:p>
    <w:p w14:paraId="2574CBD7" w14:textId="77777777" w:rsidR="00000000" w:rsidRDefault="0053651E">
      <w:pPr>
        <w:pStyle w:val="a3"/>
        <w:spacing w:before="0" w:beforeAutospacing="0" w:after="0" w:afterAutospacing="0"/>
        <w:ind w:firstLine="360"/>
        <w:jc w:val="both"/>
        <w:rPr>
          <w:sz w:val="20"/>
          <w:szCs w:val="20"/>
        </w:rPr>
      </w:pPr>
      <w:r>
        <w:rPr>
          <w:sz w:val="20"/>
          <w:szCs w:val="20"/>
        </w:rPr>
        <w:t> </w:t>
      </w:r>
    </w:p>
    <w:p w14:paraId="0CBCC75B" w14:textId="77777777" w:rsidR="00000000" w:rsidRDefault="0053651E">
      <w:pPr>
        <w:pStyle w:val="a3"/>
        <w:spacing w:before="0" w:beforeAutospacing="0" w:after="0" w:afterAutospacing="0"/>
        <w:ind w:firstLine="360"/>
        <w:jc w:val="both"/>
        <w:rPr>
          <w:sz w:val="20"/>
          <w:szCs w:val="20"/>
        </w:rPr>
      </w:pPr>
      <w:r>
        <w:rPr>
          <w:sz w:val="20"/>
          <w:szCs w:val="20"/>
        </w:rPr>
        <w:t>The Company has a total of 5,458 leases in the consolidated operating portfolio. The following table sets forth the aggregate lease expirations for each of the next ten years, assum</w:t>
      </w:r>
      <w:r>
        <w:rPr>
          <w:sz w:val="20"/>
          <w:szCs w:val="20"/>
        </w:rPr>
        <w:t>ing no renewal options are exercised. For purposes of the table, the Total Annual Base Rent Expiring represents annualized rental revenue, excluding the impact of straight-line rent, for each lease that expires during the respective year. Amounts in thousa</w:t>
      </w:r>
      <w:r>
        <w:rPr>
          <w:sz w:val="20"/>
          <w:szCs w:val="20"/>
        </w:rPr>
        <w:t>nds, except for number of leases data:</w:t>
      </w:r>
    </w:p>
    <w:p w14:paraId="4138B624"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175"/>
        <w:gridCol w:w="77"/>
        <w:gridCol w:w="77"/>
        <w:gridCol w:w="227"/>
        <w:gridCol w:w="1175"/>
        <w:gridCol w:w="77"/>
        <w:gridCol w:w="78"/>
        <w:gridCol w:w="227"/>
        <w:gridCol w:w="1176"/>
        <w:gridCol w:w="78"/>
        <w:gridCol w:w="78"/>
        <w:gridCol w:w="277"/>
        <w:gridCol w:w="1176"/>
        <w:gridCol w:w="78"/>
        <w:gridCol w:w="78"/>
        <w:gridCol w:w="78"/>
        <w:gridCol w:w="1176"/>
        <w:gridCol w:w="167"/>
      </w:tblGrid>
      <w:tr w:rsidR="00000000" w14:paraId="3CC5CF7D" w14:textId="77777777">
        <w:trPr>
          <w:tblCellSpacing w:w="0" w:type="dxa"/>
        </w:trPr>
        <w:tc>
          <w:tcPr>
            <w:tcW w:w="0" w:type="auto"/>
            <w:tcBorders>
              <w:bottom w:val="single" w:sz="6" w:space="0" w:color="000000"/>
            </w:tcBorders>
            <w:vAlign w:val="bottom"/>
            <w:hideMark/>
          </w:tcPr>
          <w:p w14:paraId="37B052E1" w14:textId="77777777" w:rsidR="00000000" w:rsidRDefault="0053651E">
            <w:pPr>
              <w:pStyle w:val="a3"/>
              <w:spacing w:before="0" w:beforeAutospacing="0" w:after="0" w:afterAutospacing="0"/>
              <w:jc w:val="center"/>
              <w:rPr>
                <w:sz w:val="20"/>
                <w:szCs w:val="20"/>
              </w:rPr>
            </w:pPr>
            <w:r>
              <w:rPr>
                <w:b/>
                <w:bCs/>
                <w:sz w:val="20"/>
                <w:szCs w:val="20"/>
              </w:rPr>
              <w:t>Year Ending</w:t>
            </w:r>
          </w:p>
          <w:p w14:paraId="02684660"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560930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4F5A90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621330" w14:textId="77777777" w:rsidR="00000000" w:rsidRDefault="0053651E">
            <w:pPr>
              <w:pStyle w:val="a3"/>
              <w:spacing w:before="0" w:beforeAutospacing="0" w:after="0" w:afterAutospacing="0"/>
              <w:jc w:val="center"/>
              <w:rPr>
                <w:sz w:val="20"/>
                <w:szCs w:val="20"/>
              </w:rPr>
            </w:pPr>
            <w:r>
              <w:rPr>
                <w:b/>
                <w:bCs/>
                <w:sz w:val="20"/>
                <w:szCs w:val="20"/>
              </w:rPr>
              <w:t>Number of</w:t>
            </w:r>
          </w:p>
          <w:p w14:paraId="6086E144" w14:textId="77777777" w:rsidR="00000000" w:rsidRDefault="0053651E">
            <w:pPr>
              <w:pStyle w:val="a3"/>
              <w:spacing w:before="0" w:beforeAutospacing="0" w:after="0" w:afterAutospacing="0"/>
              <w:jc w:val="center"/>
              <w:rPr>
                <w:sz w:val="20"/>
                <w:szCs w:val="20"/>
              </w:rPr>
            </w:pPr>
            <w:r>
              <w:rPr>
                <w:b/>
                <w:bCs/>
                <w:sz w:val="20"/>
                <w:szCs w:val="20"/>
              </w:rPr>
              <w:t>Leases Expiring</w:t>
            </w:r>
          </w:p>
        </w:tc>
        <w:tc>
          <w:tcPr>
            <w:tcW w:w="0" w:type="auto"/>
            <w:tcMar>
              <w:top w:w="0" w:type="dxa"/>
              <w:left w:w="0" w:type="dxa"/>
              <w:bottom w:w="15" w:type="dxa"/>
              <w:right w:w="0" w:type="dxa"/>
            </w:tcMar>
            <w:vAlign w:val="bottom"/>
            <w:hideMark/>
          </w:tcPr>
          <w:p w14:paraId="317CDCD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E304C7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F150F6" w14:textId="77777777" w:rsidR="00000000" w:rsidRDefault="0053651E">
            <w:pPr>
              <w:pStyle w:val="a3"/>
              <w:spacing w:before="0" w:beforeAutospacing="0" w:after="0" w:afterAutospacing="0"/>
              <w:jc w:val="center"/>
              <w:rPr>
                <w:sz w:val="20"/>
                <w:szCs w:val="20"/>
              </w:rPr>
            </w:pPr>
            <w:r>
              <w:rPr>
                <w:b/>
                <w:bCs/>
                <w:sz w:val="20"/>
                <w:szCs w:val="20"/>
              </w:rPr>
              <w:t xml:space="preserve">Square Feet </w:t>
            </w:r>
          </w:p>
          <w:p w14:paraId="6DBBB2E6" w14:textId="77777777" w:rsidR="00000000" w:rsidRDefault="0053651E">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54CB10F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D56FE3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D62808E" w14:textId="77777777" w:rsidR="00000000" w:rsidRDefault="0053651E">
            <w:pPr>
              <w:pStyle w:val="a3"/>
              <w:spacing w:before="0" w:beforeAutospacing="0" w:after="0" w:afterAutospacing="0"/>
              <w:jc w:val="center"/>
              <w:rPr>
                <w:sz w:val="20"/>
                <w:szCs w:val="20"/>
              </w:rPr>
            </w:pPr>
            <w:r>
              <w:rPr>
                <w:b/>
                <w:bCs/>
                <w:sz w:val="20"/>
                <w:szCs w:val="20"/>
              </w:rPr>
              <w:t>Total Annual Base</w:t>
            </w:r>
          </w:p>
          <w:p w14:paraId="26EAB0DD" w14:textId="77777777" w:rsidR="00000000" w:rsidRDefault="0053651E">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14:paraId="148FC9A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B36F9E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1F1480" w14:textId="77777777" w:rsidR="00000000" w:rsidRDefault="0053651E">
            <w:pPr>
              <w:pStyle w:val="a3"/>
              <w:spacing w:before="0" w:beforeAutospacing="0" w:after="0" w:afterAutospacing="0"/>
              <w:jc w:val="center"/>
              <w:rPr>
                <w:sz w:val="20"/>
                <w:szCs w:val="20"/>
              </w:rPr>
            </w:pPr>
            <w:r>
              <w:rPr>
                <w:b/>
                <w:bCs/>
                <w:sz w:val="20"/>
                <w:szCs w:val="20"/>
              </w:rPr>
              <w:t>% of Gross</w:t>
            </w:r>
          </w:p>
          <w:p w14:paraId="3E6241D9" w14:textId="77777777" w:rsidR="00000000" w:rsidRDefault="0053651E">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14:paraId="5A850962" w14:textId="77777777" w:rsidR="00000000" w:rsidRDefault="0053651E">
            <w:pPr>
              <w:rPr>
                <w:rFonts w:eastAsia="Times New Roman"/>
                <w:sz w:val="20"/>
                <w:szCs w:val="20"/>
              </w:rPr>
            </w:pPr>
            <w:r>
              <w:rPr>
                <w:rFonts w:eastAsia="Times New Roman"/>
                <w:sz w:val="20"/>
                <w:szCs w:val="20"/>
              </w:rPr>
              <w:t> </w:t>
            </w:r>
          </w:p>
        </w:tc>
      </w:tr>
      <w:tr w:rsidR="00000000" w14:paraId="51D9E971" w14:textId="77777777">
        <w:trPr>
          <w:tblCellSpacing w:w="0" w:type="dxa"/>
        </w:trPr>
        <w:tc>
          <w:tcPr>
            <w:tcW w:w="550" w:type="pct"/>
            <w:shd w:val="clear" w:color="auto" w:fill="CCEEFF"/>
            <w:vAlign w:val="bottom"/>
            <w:hideMark/>
          </w:tcPr>
          <w:p w14:paraId="0BB5D4EA" w14:textId="77777777" w:rsidR="00000000" w:rsidRDefault="0053651E">
            <w:pPr>
              <w:ind w:left="176"/>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59B5DB1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0A1EEA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F4D171E" w14:textId="77777777" w:rsidR="00000000" w:rsidRDefault="0053651E">
            <w:pPr>
              <w:ind w:left="176"/>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5B7CB84F" w14:textId="77777777" w:rsidR="00000000" w:rsidRDefault="0053651E">
            <w:pPr>
              <w:ind w:left="176"/>
              <w:jc w:val="center"/>
              <w:rPr>
                <w:rFonts w:eastAsia="Times New Roman"/>
                <w:sz w:val="20"/>
                <w:szCs w:val="20"/>
              </w:rPr>
            </w:pPr>
            <w:r>
              <w:rPr>
                <w:rFonts w:eastAsia="Times New Roman"/>
                <w:sz w:val="20"/>
                <w:szCs w:val="20"/>
              </w:rPr>
              <w:t>156</w:t>
            </w:r>
          </w:p>
        </w:tc>
        <w:tc>
          <w:tcPr>
            <w:tcW w:w="50" w:type="pct"/>
            <w:tcBorders>
              <w:bottom w:val="nil"/>
            </w:tcBorders>
            <w:shd w:val="clear" w:color="auto" w:fill="CCEEFF"/>
            <w:vAlign w:val="bottom"/>
            <w:hideMark/>
          </w:tcPr>
          <w:p w14:paraId="5AB7837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D3A709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5FE82A9" w14:textId="77777777" w:rsidR="00000000" w:rsidRDefault="0053651E">
            <w:pPr>
              <w:ind w:left="176"/>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1FE76882" w14:textId="77777777" w:rsidR="00000000" w:rsidRDefault="0053651E">
            <w:pPr>
              <w:ind w:left="176"/>
              <w:jc w:val="center"/>
              <w:rPr>
                <w:rFonts w:eastAsia="Times New Roman"/>
                <w:sz w:val="20"/>
                <w:szCs w:val="20"/>
              </w:rPr>
            </w:pPr>
            <w:r>
              <w:rPr>
                <w:rFonts w:eastAsia="Times New Roman"/>
                <w:sz w:val="20"/>
                <w:szCs w:val="20"/>
              </w:rPr>
              <w:t>479</w:t>
            </w:r>
          </w:p>
        </w:tc>
        <w:tc>
          <w:tcPr>
            <w:tcW w:w="50" w:type="pct"/>
            <w:tcBorders>
              <w:bottom w:val="nil"/>
            </w:tcBorders>
            <w:shd w:val="clear" w:color="auto" w:fill="CCEEFF"/>
            <w:vAlign w:val="bottom"/>
            <w:hideMark/>
          </w:tcPr>
          <w:p w14:paraId="0BA1184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E2CEF2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DE7338" w14:textId="77777777" w:rsidR="00000000" w:rsidRDefault="0053651E">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5CF707F4" w14:textId="77777777" w:rsidR="00000000" w:rsidRDefault="0053651E">
            <w:pPr>
              <w:jc w:val="right"/>
              <w:rPr>
                <w:rFonts w:eastAsia="Times New Roman"/>
                <w:sz w:val="20"/>
                <w:szCs w:val="20"/>
              </w:rPr>
            </w:pPr>
            <w:r>
              <w:rPr>
                <w:rFonts w:eastAsia="Times New Roman"/>
                <w:sz w:val="20"/>
                <w:szCs w:val="20"/>
              </w:rPr>
              <w:t>9,939</w:t>
            </w:r>
          </w:p>
        </w:tc>
        <w:tc>
          <w:tcPr>
            <w:tcW w:w="50" w:type="pct"/>
            <w:tcBorders>
              <w:bottom w:val="nil"/>
            </w:tcBorders>
            <w:shd w:val="clear" w:color="auto" w:fill="CCEEFF"/>
            <w:vAlign w:val="bottom"/>
            <w:hideMark/>
          </w:tcPr>
          <w:p w14:paraId="0BF908F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BD99FB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6D1A506" w14:textId="77777777" w:rsidR="00000000" w:rsidRDefault="0053651E">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03B493CD" w14:textId="77777777" w:rsidR="00000000" w:rsidRDefault="0053651E">
            <w:pPr>
              <w:ind w:left="176"/>
              <w:jc w:val="right"/>
              <w:rPr>
                <w:rFonts w:eastAsia="Times New Roman"/>
                <w:sz w:val="20"/>
                <w:szCs w:val="20"/>
              </w:rPr>
            </w:pPr>
            <w:r>
              <w:rPr>
                <w:rFonts w:eastAsia="Times New Roman"/>
                <w:sz w:val="20"/>
                <w:szCs w:val="20"/>
              </w:rPr>
              <w:t>1.2</w:t>
            </w:r>
          </w:p>
        </w:tc>
        <w:tc>
          <w:tcPr>
            <w:tcW w:w="50" w:type="pct"/>
            <w:tcBorders>
              <w:bottom w:val="nil"/>
            </w:tcBorders>
            <w:shd w:val="clear" w:color="auto" w:fill="CCEEFF"/>
            <w:vAlign w:val="bottom"/>
            <w:hideMark/>
          </w:tcPr>
          <w:p w14:paraId="4196D0ED" w14:textId="77777777" w:rsidR="00000000" w:rsidRDefault="0053651E">
            <w:pPr>
              <w:rPr>
                <w:rFonts w:eastAsia="Times New Roman"/>
                <w:sz w:val="20"/>
                <w:szCs w:val="20"/>
              </w:rPr>
            </w:pPr>
            <w:r>
              <w:rPr>
                <w:rFonts w:eastAsia="Times New Roman"/>
                <w:sz w:val="20"/>
                <w:szCs w:val="20"/>
              </w:rPr>
              <w:t>%</w:t>
            </w:r>
          </w:p>
        </w:tc>
      </w:tr>
      <w:tr w:rsidR="00000000" w14:paraId="46101820" w14:textId="77777777">
        <w:trPr>
          <w:tblCellSpacing w:w="0" w:type="dxa"/>
        </w:trPr>
        <w:tc>
          <w:tcPr>
            <w:tcW w:w="0" w:type="auto"/>
            <w:shd w:val="clear" w:color="auto" w:fill="FFFFFF"/>
            <w:vAlign w:val="bottom"/>
            <w:hideMark/>
          </w:tcPr>
          <w:p w14:paraId="2FDD699F" w14:textId="77777777" w:rsidR="00000000" w:rsidRDefault="0053651E">
            <w:pPr>
              <w:pStyle w:val="a3"/>
              <w:spacing w:before="0" w:beforeAutospacing="0" w:after="0" w:afterAutospacing="0"/>
              <w:ind w:left="352" w:hanging="176"/>
              <w:jc w:val="center"/>
              <w:rPr>
                <w:sz w:val="20"/>
                <w:szCs w:val="20"/>
              </w:rPr>
            </w:pPr>
            <w:r>
              <w:rPr>
                <w:sz w:val="20"/>
                <w:szCs w:val="20"/>
              </w:rPr>
              <w:t>2020</w:t>
            </w:r>
          </w:p>
        </w:tc>
        <w:tc>
          <w:tcPr>
            <w:tcW w:w="0" w:type="auto"/>
            <w:shd w:val="clear" w:color="auto" w:fill="FFFFFF"/>
            <w:vAlign w:val="bottom"/>
            <w:hideMark/>
          </w:tcPr>
          <w:p w14:paraId="5C29BC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3F95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48A57F"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001CDCE" w14:textId="77777777" w:rsidR="00000000" w:rsidRDefault="0053651E">
            <w:pPr>
              <w:ind w:left="176"/>
              <w:jc w:val="center"/>
              <w:rPr>
                <w:rFonts w:eastAsia="Times New Roman"/>
                <w:sz w:val="20"/>
                <w:szCs w:val="20"/>
              </w:rPr>
            </w:pPr>
            <w:r>
              <w:rPr>
                <w:rFonts w:eastAsia="Times New Roman"/>
                <w:sz w:val="20"/>
                <w:szCs w:val="20"/>
              </w:rPr>
              <w:t>556</w:t>
            </w:r>
          </w:p>
        </w:tc>
        <w:tc>
          <w:tcPr>
            <w:tcW w:w="50" w:type="pct"/>
            <w:shd w:val="clear" w:color="auto" w:fill="FFFFFF"/>
            <w:vAlign w:val="bottom"/>
            <w:hideMark/>
          </w:tcPr>
          <w:p w14:paraId="40413B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13A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860C7E"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09A1657" w14:textId="77777777" w:rsidR="00000000" w:rsidRDefault="0053651E">
            <w:pPr>
              <w:ind w:left="176"/>
              <w:jc w:val="center"/>
              <w:rPr>
                <w:rFonts w:eastAsia="Times New Roman"/>
                <w:sz w:val="20"/>
                <w:szCs w:val="20"/>
              </w:rPr>
            </w:pPr>
            <w:r>
              <w:rPr>
                <w:rFonts w:eastAsia="Times New Roman"/>
                <w:sz w:val="20"/>
                <w:szCs w:val="20"/>
              </w:rPr>
              <w:t>2,907</w:t>
            </w:r>
          </w:p>
        </w:tc>
        <w:tc>
          <w:tcPr>
            <w:tcW w:w="50" w:type="pct"/>
            <w:shd w:val="clear" w:color="auto" w:fill="FFFFFF"/>
            <w:vAlign w:val="bottom"/>
            <w:hideMark/>
          </w:tcPr>
          <w:p w14:paraId="7257D5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B5F8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F80639"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67137399" w14:textId="77777777" w:rsidR="00000000" w:rsidRDefault="0053651E">
            <w:pPr>
              <w:jc w:val="right"/>
              <w:rPr>
                <w:rFonts w:eastAsia="Times New Roman"/>
                <w:sz w:val="20"/>
                <w:szCs w:val="20"/>
              </w:rPr>
            </w:pPr>
            <w:r>
              <w:rPr>
                <w:rFonts w:eastAsia="Times New Roman"/>
                <w:sz w:val="20"/>
                <w:szCs w:val="20"/>
              </w:rPr>
              <w:t>53,534</w:t>
            </w:r>
          </w:p>
        </w:tc>
        <w:tc>
          <w:tcPr>
            <w:tcW w:w="50" w:type="pct"/>
            <w:shd w:val="clear" w:color="auto" w:fill="FFFFFF"/>
            <w:vAlign w:val="bottom"/>
            <w:hideMark/>
          </w:tcPr>
          <w:p w14:paraId="7046AB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3F23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531498"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D49D39A" w14:textId="77777777" w:rsidR="00000000" w:rsidRDefault="0053651E">
            <w:pPr>
              <w:ind w:left="176"/>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14:paraId="04478042" w14:textId="77777777" w:rsidR="00000000" w:rsidRDefault="0053651E">
            <w:pPr>
              <w:rPr>
                <w:rFonts w:eastAsia="Times New Roman"/>
                <w:sz w:val="20"/>
                <w:szCs w:val="20"/>
              </w:rPr>
            </w:pPr>
            <w:r>
              <w:rPr>
                <w:rFonts w:eastAsia="Times New Roman"/>
                <w:sz w:val="20"/>
                <w:szCs w:val="20"/>
              </w:rPr>
              <w:t>%</w:t>
            </w:r>
          </w:p>
        </w:tc>
      </w:tr>
      <w:tr w:rsidR="00000000" w14:paraId="06DE9B79" w14:textId="77777777">
        <w:trPr>
          <w:tblCellSpacing w:w="0" w:type="dxa"/>
        </w:trPr>
        <w:tc>
          <w:tcPr>
            <w:tcW w:w="0" w:type="auto"/>
            <w:shd w:val="clear" w:color="auto" w:fill="CCEEFF"/>
            <w:vAlign w:val="bottom"/>
            <w:hideMark/>
          </w:tcPr>
          <w:p w14:paraId="727A6DA5" w14:textId="77777777" w:rsidR="00000000" w:rsidRDefault="0053651E">
            <w:pPr>
              <w:pStyle w:val="a3"/>
              <w:spacing w:before="0" w:beforeAutospacing="0" w:after="0" w:afterAutospacing="0"/>
              <w:ind w:left="352" w:hanging="176"/>
              <w:jc w:val="center"/>
              <w:rPr>
                <w:sz w:val="20"/>
                <w:szCs w:val="20"/>
              </w:rPr>
            </w:pPr>
            <w:r>
              <w:rPr>
                <w:sz w:val="20"/>
                <w:szCs w:val="20"/>
              </w:rPr>
              <w:t>2021</w:t>
            </w:r>
          </w:p>
        </w:tc>
        <w:tc>
          <w:tcPr>
            <w:tcW w:w="0" w:type="auto"/>
            <w:shd w:val="clear" w:color="auto" w:fill="CCEEFF"/>
            <w:vAlign w:val="bottom"/>
            <w:hideMark/>
          </w:tcPr>
          <w:p w14:paraId="5DCD53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1B22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147277"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8780955" w14:textId="77777777" w:rsidR="00000000" w:rsidRDefault="0053651E">
            <w:pPr>
              <w:ind w:left="176"/>
              <w:jc w:val="center"/>
              <w:rPr>
                <w:rFonts w:eastAsia="Times New Roman"/>
                <w:sz w:val="20"/>
                <w:szCs w:val="20"/>
              </w:rPr>
            </w:pPr>
            <w:r>
              <w:rPr>
                <w:rFonts w:eastAsia="Times New Roman"/>
                <w:sz w:val="20"/>
                <w:szCs w:val="20"/>
              </w:rPr>
              <w:t>769</w:t>
            </w:r>
          </w:p>
        </w:tc>
        <w:tc>
          <w:tcPr>
            <w:tcW w:w="50" w:type="pct"/>
            <w:shd w:val="clear" w:color="auto" w:fill="CCEEFF"/>
            <w:vAlign w:val="bottom"/>
            <w:hideMark/>
          </w:tcPr>
          <w:p w14:paraId="100AF4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4DA8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7FE5F"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7C658E8" w14:textId="77777777" w:rsidR="00000000" w:rsidRDefault="0053651E">
            <w:pPr>
              <w:ind w:left="176"/>
              <w:jc w:val="center"/>
              <w:rPr>
                <w:rFonts w:eastAsia="Times New Roman"/>
                <w:sz w:val="20"/>
                <w:szCs w:val="20"/>
              </w:rPr>
            </w:pPr>
            <w:r>
              <w:rPr>
                <w:rFonts w:eastAsia="Times New Roman"/>
                <w:sz w:val="20"/>
                <w:szCs w:val="20"/>
              </w:rPr>
              <w:t>5,712</w:t>
            </w:r>
          </w:p>
        </w:tc>
        <w:tc>
          <w:tcPr>
            <w:tcW w:w="50" w:type="pct"/>
            <w:shd w:val="clear" w:color="auto" w:fill="CCEEFF"/>
            <w:vAlign w:val="bottom"/>
            <w:hideMark/>
          </w:tcPr>
          <w:p w14:paraId="2F4D80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407A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AAF009"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4FC73733" w14:textId="77777777" w:rsidR="00000000" w:rsidRDefault="0053651E">
            <w:pPr>
              <w:ind w:left="176"/>
              <w:jc w:val="right"/>
              <w:rPr>
                <w:rFonts w:eastAsia="Times New Roman"/>
                <w:sz w:val="20"/>
                <w:szCs w:val="20"/>
              </w:rPr>
            </w:pPr>
            <w:r>
              <w:rPr>
                <w:rFonts w:eastAsia="Times New Roman"/>
                <w:sz w:val="20"/>
                <w:szCs w:val="20"/>
              </w:rPr>
              <w:t>90,814</w:t>
            </w:r>
          </w:p>
        </w:tc>
        <w:tc>
          <w:tcPr>
            <w:tcW w:w="50" w:type="pct"/>
            <w:shd w:val="clear" w:color="auto" w:fill="CCEEFF"/>
            <w:vAlign w:val="bottom"/>
            <w:hideMark/>
          </w:tcPr>
          <w:p w14:paraId="289D86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42A5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E47454"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604F7E53" w14:textId="77777777" w:rsidR="00000000" w:rsidRDefault="0053651E">
            <w:pPr>
              <w:ind w:left="176"/>
              <w:jc w:val="right"/>
              <w:rPr>
                <w:rFonts w:eastAsia="Times New Roman"/>
                <w:sz w:val="20"/>
                <w:szCs w:val="20"/>
              </w:rPr>
            </w:pPr>
            <w:r>
              <w:rPr>
                <w:rFonts w:eastAsia="Times New Roman"/>
                <w:sz w:val="20"/>
                <w:szCs w:val="20"/>
              </w:rPr>
              <w:t>11.1</w:t>
            </w:r>
          </w:p>
        </w:tc>
        <w:tc>
          <w:tcPr>
            <w:tcW w:w="50" w:type="pct"/>
            <w:shd w:val="clear" w:color="auto" w:fill="CCEEFF"/>
            <w:vAlign w:val="bottom"/>
            <w:hideMark/>
          </w:tcPr>
          <w:p w14:paraId="64AE1EC0" w14:textId="77777777" w:rsidR="00000000" w:rsidRDefault="0053651E">
            <w:pPr>
              <w:rPr>
                <w:rFonts w:eastAsia="Times New Roman"/>
                <w:sz w:val="20"/>
                <w:szCs w:val="20"/>
              </w:rPr>
            </w:pPr>
            <w:r>
              <w:rPr>
                <w:rFonts w:eastAsia="Times New Roman"/>
                <w:sz w:val="20"/>
                <w:szCs w:val="20"/>
              </w:rPr>
              <w:t>%</w:t>
            </w:r>
          </w:p>
        </w:tc>
      </w:tr>
      <w:tr w:rsidR="00000000" w14:paraId="79F72093" w14:textId="77777777">
        <w:trPr>
          <w:tblCellSpacing w:w="0" w:type="dxa"/>
        </w:trPr>
        <w:tc>
          <w:tcPr>
            <w:tcW w:w="0" w:type="auto"/>
            <w:shd w:val="clear" w:color="auto" w:fill="FFFFFF"/>
            <w:vAlign w:val="bottom"/>
            <w:hideMark/>
          </w:tcPr>
          <w:p w14:paraId="24FF1DC4" w14:textId="77777777" w:rsidR="00000000" w:rsidRDefault="0053651E">
            <w:pPr>
              <w:pStyle w:val="a3"/>
              <w:spacing w:before="0" w:beforeAutospacing="0" w:after="0" w:afterAutospacing="0"/>
              <w:ind w:left="352" w:hanging="176"/>
              <w:jc w:val="center"/>
              <w:rPr>
                <w:sz w:val="20"/>
                <w:szCs w:val="20"/>
              </w:rPr>
            </w:pPr>
            <w:r>
              <w:rPr>
                <w:sz w:val="20"/>
                <w:szCs w:val="20"/>
              </w:rPr>
              <w:t>2022</w:t>
            </w:r>
          </w:p>
        </w:tc>
        <w:tc>
          <w:tcPr>
            <w:tcW w:w="0" w:type="auto"/>
            <w:shd w:val="clear" w:color="auto" w:fill="FFFFFF"/>
            <w:vAlign w:val="bottom"/>
            <w:hideMark/>
          </w:tcPr>
          <w:p w14:paraId="6A25B3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644A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94C7B8"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BBED67A" w14:textId="77777777" w:rsidR="00000000" w:rsidRDefault="0053651E">
            <w:pPr>
              <w:ind w:left="176"/>
              <w:jc w:val="center"/>
              <w:rPr>
                <w:rFonts w:eastAsia="Times New Roman"/>
                <w:sz w:val="20"/>
                <w:szCs w:val="20"/>
              </w:rPr>
            </w:pPr>
            <w:r>
              <w:rPr>
                <w:rFonts w:eastAsia="Times New Roman"/>
                <w:sz w:val="20"/>
                <w:szCs w:val="20"/>
              </w:rPr>
              <w:t>828</w:t>
            </w:r>
          </w:p>
        </w:tc>
        <w:tc>
          <w:tcPr>
            <w:tcW w:w="50" w:type="pct"/>
            <w:shd w:val="clear" w:color="auto" w:fill="FFFFFF"/>
            <w:vAlign w:val="bottom"/>
            <w:hideMark/>
          </w:tcPr>
          <w:p w14:paraId="4336F1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D1B9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B62122"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32212A2" w14:textId="77777777" w:rsidR="00000000" w:rsidRDefault="0053651E">
            <w:pPr>
              <w:ind w:left="176"/>
              <w:jc w:val="center"/>
              <w:rPr>
                <w:rFonts w:eastAsia="Times New Roman"/>
                <w:sz w:val="20"/>
                <w:szCs w:val="20"/>
              </w:rPr>
            </w:pPr>
            <w:r>
              <w:rPr>
                <w:rFonts w:eastAsia="Times New Roman"/>
                <w:sz w:val="20"/>
                <w:szCs w:val="20"/>
              </w:rPr>
              <w:t>5,938</w:t>
            </w:r>
          </w:p>
        </w:tc>
        <w:tc>
          <w:tcPr>
            <w:tcW w:w="50" w:type="pct"/>
            <w:shd w:val="clear" w:color="auto" w:fill="FFFFFF"/>
            <w:vAlign w:val="bottom"/>
            <w:hideMark/>
          </w:tcPr>
          <w:p w14:paraId="6D319F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92D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185F9E"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4C18F9FA" w14:textId="77777777" w:rsidR="00000000" w:rsidRDefault="0053651E">
            <w:pPr>
              <w:ind w:left="176"/>
              <w:jc w:val="right"/>
              <w:rPr>
                <w:rFonts w:eastAsia="Times New Roman"/>
                <w:sz w:val="20"/>
                <w:szCs w:val="20"/>
              </w:rPr>
            </w:pPr>
            <w:r>
              <w:rPr>
                <w:rFonts w:eastAsia="Times New Roman"/>
                <w:sz w:val="20"/>
                <w:szCs w:val="20"/>
              </w:rPr>
              <w:t>103,109</w:t>
            </w:r>
          </w:p>
        </w:tc>
        <w:tc>
          <w:tcPr>
            <w:tcW w:w="50" w:type="pct"/>
            <w:shd w:val="clear" w:color="auto" w:fill="FFFFFF"/>
            <w:vAlign w:val="bottom"/>
            <w:hideMark/>
          </w:tcPr>
          <w:p w14:paraId="753AD3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FDD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411ACA"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3ADA680" w14:textId="77777777" w:rsidR="00000000" w:rsidRDefault="0053651E">
            <w:pPr>
              <w:ind w:left="176"/>
              <w:jc w:val="right"/>
              <w:rPr>
                <w:rFonts w:eastAsia="Times New Roman"/>
                <w:sz w:val="20"/>
                <w:szCs w:val="20"/>
              </w:rPr>
            </w:pPr>
            <w:r>
              <w:rPr>
                <w:rFonts w:eastAsia="Times New Roman"/>
                <w:sz w:val="20"/>
                <w:szCs w:val="20"/>
              </w:rPr>
              <w:t>12.6</w:t>
            </w:r>
          </w:p>
        </w:tc>
        <w:tc>
          <w:tcPr>
            <w:tcW w:w="50" w:type="pct"/>
            <w:shd w:val="clear" w:color="auto" w:fill="FFFFFF"/>
            <w:vAlign w:val="bottom"/>
            <w:hideMark/>
          </w:tcPr>
          <w:p w14:paraId="47D964A6" w14:textId="77777777" w:rsidR="00000000" w:rsidRDefault="0053651E">
            <w:pPr>
              <w:rPr>
                <w:rFonts w:eastAsia="Times New Roman"/>
                <w:sz w:val="20"/>
                <w:szCs w:val="20"/>
              </w:rPr>
            </w:pPr>
            <w:r>
              <w:rPr>
                <w:rFonts w:eastAsia="Times New Roman"/>
                <w:sz w:val="20"/>
                <w:szCs w:val="20"/>
              </w:rPr>
              <w:t>%</w:t>
            </w:r>
          </w:p>
        </w:tc>
      </w:tr>
      <w:tr w:rsidR="00000000" w14:paraId="7A48664A" w14:textId="77777777">
        <w:trPr>
          <w:tblCellSpacing w:w="0" w:type="dxa"/>
        </w:trPr>
        <w:tc>
          <w:tcPr>
            <w:tcW w:w="0" w:type="auto"/>
            <w:shd w:val="clear" w:color="auto" w:fill="CCEEFF"/>
            <w:vAlign w:val="bottom"/>
            <w:hideMark/>
          </w:tcPr>
          <w:p w14:paraId="18A9934D" w14:textId="77777777" w:rsidR="00000000" w:rsidRDefault="0053651E">
            <w:pPr>
              <w:pStyle w:val="a3"/>
              <w:spacing w:before="0" w:beforeAutospacing="0" w:after="0" w:afterAutospacing="0"/>
              <w:ind w:left="352" w:hanging="176"/>
              <w:jc w:val="center"/>
              <w:rPr>
                <w:sz w:val="20"/>
                <w:szCs w:val="20"/>
              </w:rPr>
            </w:pPr>
            <w:r>
              <w:rPr>
                <w:sz w:val="20"/>
                <w:szCs w:val="20"/>
              </w:rPr>
              <w:t>2023</w:t>
            </w:r>
          </w:p>
        </w:tc>
        <w:tc>
          <w:tcPr>
            <w:tcW w:w="0" w:type="auto"/>
            <w:shd w:val="clear" w:color="auto" w:fill="CCEEFF"/>
            <w:vAlign w:val="bottom"/>
            <w:hideMark/>
          </w:tcPr>
          <w:p w14:paraId="3C84BA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17C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66B2AD"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9E1843E" w14:textId="77777777" w:rsidR="00000000" w:rsidRDefault="0053651E">
            <w:pPr>
              <w:ind w:left="176"/>
              <w:jc w:val="center"/>
              <w:rPr>
                <w:rFonts w:eastAsia="Times New Roman"/>
                <w:sz w:val="20"/>
                <w:szCs w:val="20"/>
              </w:rPr>
            </w:pPr>
            <w:r>
              <w:rPr>
                <w:rFonts w:eastAsia="Times New Roman"/>
                <w:sz w:val="20"/>
                <w:szCs w:val="20"/>
              </w:rPr>
              <w:t>711</w:t>
            </w:r>
          </w:p>
        </w:tc>
        <w:tc>
          <w:tcPr>
            <w:tcW w:w="50" w:type="pct"/>
            <w:shd w:val="clear" w:color="auto" w:fill="CCEEFF"/>
            <w:vAlign w:val="bottom"/>
            <w:hideMark/>
          </w:tcPr>
          <w:p w14:paraId="6B9B1F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21EC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7BB41C"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5B9716F" w14:textId="77777777" w:rsidR="00000000" w:rsidRDefault="0053651E">
            <w:pPr>
              <w:ind w:left="176"/>
              <w:jc w:val="center"/>
              <w:rPr>
                <w:rFonts w:eastAsia="Times New Roman"/>
                <w:sz w:val="20"/>
                <w:szCs w:val="20"/>
              </w:rPr>
            </w:pPr>
            <w:r>
              <w:rPr>
                <w:rFonts w:eastAsia="Times New Roman"/>
                <w:sz w:val="20"/>
                <w:szCs w:val="20"/>
              </w:rPr>
              <w:t>5,780</w:t>
            </w:r>
          </w:p>
        </w:tc>
        <w:tc>
          <w:tcPr>
            <w:tcW w:w="50" w:type="pct"/>
            <w:shd w:val="clear" w:color="auto" w:fill="CCEEFF"/>
            <w:vAlign w:val="bottom"/>
            <w:hideMark/>
          </w:tcPr>
          <w:p w14:paraId="464192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9692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71B784"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0099F22A" w14:textId="77777777" w:rsidR="00000000" w:rsidRDefault="0053651E">
            <w:pPr>
              <w:ind w:left="176"/>
              <w:jc w:val="right"/>
              <w:rPr>
                <w:rFonts w:eastAsia="Times New Roman"/>
                <w:sz w:val="20"/>
                <w:szCs w:val="20"/>
              </w:rPr>
            </w:pPr>
            <w:r>
              <w:rPr>
                <w:rFonts w:eastAsia="Times New Roman"/>
                <w:sz w:val="20"/>
                <w:szCs w:val="20"/>
              </w:rPr>
              <w:t>98,737</w:t>
            </w:r>
          </w:p>
        </w:tc>
        <w:tc>
          <w:tcPr>
            <w:tcW w:w="50" w:type="pct"/>
            <w:shd w:val="clear" w:color="auto" w:fill="CCEEFF"/>
            <w:vAlign w:val="bottom"/>
            <w:hideMark/>
          </w:tcPr>
          <w:p w14:paraId="2CEBD3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0AAB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612BB2"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6CD608BA" w14:textId="77777777" w:rsidR="00000000" w:rsidRDefault="0053651E">
            <w:pPr>
              <w:ind w:left="176"/>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14:paraId="6A19C932" w14:textId="77777777" w:rsidR="00000000" w:rsidRDefault="0053651E">
            <w:pPr>
              <w:rPr>
                <w:rFonts w:eastAsia="Times New Roman"/>
                <w:sz w:val="20"/>
                <w:szCs w:val="20"/>
              </w:rPr>
            </w:pPr>
            <w:r>
              <w:rPr>
                <w:rFonts w:eastAsia="Times New Roman"/>
                <w:sz w:val="20"/>
                <w:szCs w:val="20"/>
              </w:rPr>
              <w:t>%</w:t>
            </w:r>
          </w:p>
        </w:tc>
      </w:tr>
      <w:tr w:rsidR="00000000" w14:paraId="0EDC1AD9" w14:textId="77777777">
        <w:trPr>
          <w:tblCellSpacing w:w="0" w:type="dxa"/>
        </w:trPr>
        <w:tc>
          <w:tcPr>
            <w:tcW w:w="0" w:type="auto"/>
            <w:shd w:val="clear" w:color="auto" w:fill="FFFFFF"/>
            <w:vAlign w:val="bottom"/>
            <w:hideMark/>
          </w:tcPr>
          <w:p w14:paraId="46893100" w14:textId="77777777" w:rsidR="00000000" w:rsidRDefault="0053651E">
            <w:pPr>
              <w:pStyle w:val="a3"/>
              <w:spacing w:before="0" w:beforeAutospacing="0" w:after="0" w:afterAutospacing="0"/>
              <w:ind w:left="352" w:hanging="176"/>
              <w:jc w:val="center"/>
              <w:rPr>
                <w:sz w:val="20"/>
                <w:szCs w:val="20"/>
              </w:rPr>
            </w:pPr>
            <w:r>
              <w:rPr>
                <w:sz w:val="20"/>
                <w:szCs w:val="20"/>
              </w:rPr>
              <w:t>2024</w:t>
            </w:r>
          </w:p>
        </w:tc>
        <w:tc>
          <w:tcPr>
            <w:tcW w:w="0" w:type="auto"/>
            <w:shd w:val="clear" w:color="auto" w:fill="FFFFFF"/>
            <w:vAlign w:val="bottom"/>
            <w:hideMark/>
          </w:tcPr>
          <w:p w14:paraId="18299A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0F6D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E8C90D"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675D3BC" w14:textId="77777777" w:rsidR="00000000" w:rsidRDefault="0053651E">
            <w:pPr>
              <w:ind w:left="176"/>
              <w:jc w:val="center"/>
              <w:rPr>
                <w:rFonts w:eastAsia="Times New Roman"/>
                <w:sz w:val="20"/>
                <w:szCs w:val="20"/>
              </w:rPr>
            </w:pPr>
            <w:r>
              <w:rPr>
                <w:rFonts w:eastAsia="Times New Roman"/>
                <w:sz w:val="20"/>
                <w:szCs w:val="20"/>
              </w:rPr>
              <w:t>664</w:t>
            </w:r>
          </w:p>
        </w:tc>
        <w:tc>
          <w:tcPr>
            <w:tcW w:w="50" w:type="pct"/>
            <w:shd w:val="clear" w:color="auto" w:fill="FFFFFF"/>
            <w:vAlign w:val="bottom"/>
            <w:hideMark/>
          </w:tcPr>
          <w:p w14:paraId="3148AF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7765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87E94C"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80DBAF6" w14:textId="77777777" w:rsidR="00000000" w:rsidRDefault="0053651E">
            <w:pPr>
              <w:ind w:left="176"/>
              <w:jc w:val="center"/>
              <w:rPr>
                <w:rFonts w:eastAsia="Times New Roman"/>
                <w:sz w:val="20"/>
                <w:szCs w:val="20"/>
              </w:rPr>
            </w:pPr>
            <w:r>
              <w:rPr>
                <w:rFonts w:eastAsia="Times New Roman"/>
                <w:sz w:val="20"/>
                <w:szCs w:val="20"/>
              </w:rPr>
              <w:t>5,389</w:t>
            </w:r>
          </w:p>
        </w:tc>
        <w:tc>
          <w:tcPr>
            <w:tcW w:w="50" w:type="pct"/>
            <w:shd w:val="clear" w:color="auto" w:fill="FFFFFF"/>
            <w:vAlign w:val="bottom"/>
            <w:hideMark/>
          </w:tcPr>
          <w:p w14:paraId="51CA4B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343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0C64FD"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348B1820" w14:textId="77777777" w:rsidR="00000000" w:rsidRDefault="0053651E">
            <w:pPr>
              <w:ind w:left="176"/>
              <w:jc w:val="right"/>
              <w:rPr>
                <w:rFonts w:eastAsia="Times New Roman"/>
                <w:sz w:val="20"/>
                <w:szCs w:val="20"/>
              </w:rPr>
            </w:pPr>
            <w:r>
              <w:rPr>
                <w:rFonts w:eastAsia="Times New Roman"/>
                <w:sz w:val="20"/>
                <w:szCs w:val="20"/>
              </w:rPr>
              <w:t>95,318</w:t>
            </w:r>
          </w:p>
        </w:tc>
        <w:tc>
          <w:tcPr>
            <w:tcW w:w="50" w:type="pct"/>
            <w:shd w:val="clear" w:color="auto" w:fill="FFFFFF"/>
            <w:vAlign w:val="bottom"/>
            <w:hideMark/>
          </w:tcPr>
          <w:p w14:paraId="572951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3304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30435E"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595274A" w14:textId="77777777" w:rsidR="00000000" w:rsidRDefault="0053651E">
            <w:pPr>
              <w:ind w:left="176"/>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14:paraId="76114049" w14:textId="77777777" w:rsidR="00000000" w:rsidRDefault="0053651E">
            <w:pPr>
              <w:rPr>
                <w:rFonts w:eastAsia="Times New Roman"/>
                <w:sz w:val="20"/>
                <w:szCs w:val="20"/>
              </w:rPr>
            </w:pPr>
            <w:r>
              <w:rPr>
                <w:rFonts w:eastAsia="Times New Roman"/>
                <w:sz w:val="20"/>
                <w:szCs w:val="20"/>
              </w:rPr>
              <w:t>%</w:t>
            </w:r>
          </w:p>
        </w:tc>
      </w:tr>
      <w:tr w:rsidR="00000000" w14:paraId="24705611" w14:textId="77777777">
        <w:trPr>
          <w:tblCellSpacing w:w="0" w:type="dxa"/>
        </w:trPr>
        <w:tc>
          <w:tcPr>
            <w:tcW w:w="0" w:type="auto"/>
            <w:shd w:val="clear" w:color="auto" w:fill="CCEEFF"/>
            <w:vAlign w:val="bottom"/>
            <w:hideMark/>
          </w:tcPr>
          <w:p w14:paraId="2CFEA0B8" w14:textId="77777777" w:rsidR="00000000" w:rsidRDefault="0053651E">
            <w:pPr>
              <w:pStyle w:val="a3"/>
              <w:spacing w:before="0" w:beforeAutospacing="0" w:after="0" w:afterAutospacing="0"/>
              <w:ind w:left="352" w:hanging="176"/>
              <w:jc w:val="center"/>
              <w:rPr>
                <w:sz w:val="20"/>
                <w:szCs w:val="20"/>
              </w:rPr>
            </w:pPr>
            <w:r>
              <w:rPr>
                <w:sz w:val="20"/>
                <w:szCs w:val="20"/>
              </w:rPr>
              <w:t>2025</w:t>
            </w:r>
          </w:p>
        </w:tc>
        <w:tc>
          <w:tcPr>
            <w:tcW w:w="0" w:type="auto"/>
            <w:shd w:val="clear" w:color="auto" w:fill="CCEEFF"/>
            <w:vAlign w:val="bottom"/>
            <w:hideMark/>
          </w:tcPr>
          <w:p w14:paraId="3F687A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40A5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292D31"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BB772F6" w14:textId="77777777" w:rsidR="00000000" w:rsidRDefault="0053651E">
            <w:pPr>
              <w:ind w:left="176"/>
              <w:jc w:val="center"/>
              <w:rPr>
                <w:rFonts w:eastAsia="Times New Roman"/>
                <w:sz w:val="20"/>
                <w:szCs w:val="20"/>
              </w:rPr>
            </w:pPr>
            <w:r>
              <w:rPr>
                <w:rFonts w:eastAsia="Times New Roman"/>
                <w:sz w:val="20"/>
                <w:szCs w:val="20"/>
              </w:rPr>
              <w:t>412</w:t>
            </w:r>
          </w:p>
        </w:tc>
        <w:tc>
          <w:tcPr>
            <w:tcW w:w="50" w:type="pct"/>
            <w:shd w:val="clear" w:color="auto" w:fill="CCEEFF"/>
            <w:vAlign w:val="bottom"/>
            <w:hideMark/>
          </w:tcPr>
          <w:p w14:paraId="27C230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BCC6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0C10BA"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1EAA1FD" w14:textId="77777777" w:rsidR="00000000" w:rsidRDefault="0053651E">
            <w:pPr>
              <w:ind w:left="176"/>
              <w:jc w:val="center"/>
              <w:rPr>
                <w:rFonts w:eastAsia="Times New Roman"/>
                <w:sz w:val="20"/>
                <w:szCs w:val="20"/>
              </w:rPr>
            </w:pPr>
            <w:r>
              <w:rPr>
                <w:rFonts w:eastAsia="Times New Roman"/>
                <w:sz w:val="20"/>
                <w:szCs w:val="20"/>
              </w:rPr>
              <w:t>3,816</w:t>
            </w:r>
          </w:p>
        </w:tc>
        <w:tc>
          <w:tcPr>
            <w:tcW w:w="50" w:type="pct"/>
            <w:shd w:val="clear" w:color="auto" w:fill="CCEEFF"/>
            <w:vAlign w:val="bottom"/>
            <w:hideMark/>
          </w:tcPr>
          <w:p w14:paraId="115528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FBA1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6DB528"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75CBAD73" w14:textId="77777777" w:rsidR="00000000" w:rsidRDefault="0053651E">
            <w:pPr>
              <w:ind w:left="176"/>
              <w:jc w:val="right"/>
              <w:rPr>
                <w:rFonts w:eastAsia="Times New Roman"/>
                <w:sz w:val="20"/>
                <w:szCs w:val="20"/>
              </w:rPr>
            </w:pPr>
            <w:r>
              <w:rPr>
                <w:rFonts w:eastAsia="Times New Roman"/>
                <w:sz w:val="20"/>
                <w:szCs w:val="20"/>
              </w:rPr>
              <w:t>63,517</w:t>
            </w:r>
          </w:p>
        </w:tc>
        <w:tc>
          <w:tcPr>
            <w:tcW w:w="50" w:type="pct"/>
            <w:shd w:val="clear" w:color="auto" w:fill="CCEEFF"/>
            <w:vAlign w:val="bottom"/>
            <w:hideMark/>
          </w:tcPr>
          <w:p w14:paraId="21CA00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85D6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3B28E"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B95EF3D" w14:textId="77777777" w:rsidR="00000000" w:rsidRDefault="0053651E">
            <w:pPr>
              <w:ind w:left="176"/>
              <w:jc w:val="right"/>
              <w:rPr>
                <w:rFonts w:eastAsia="Times New Roman"/>
                <w:sz w:val="20"/>
                <w:szCs w:val="20"/>
              </w:rPr>
            </w:pPr>
            <w:r>
              <w:rPr>
                <w:rFonts w:eastAsia="Times New Roman"/>
                <w:sz w:val="20"/>
                <w:szCs w:val="20"/>
              </w:rPr>
              <w:t>7.7</w:t>
            </w:r>
          </w:p>
        </w:tc>
        <w:tc>
          <w:tcPr>
            <w:tcW w:w="50" w:type="pct"/>
            <w:shd w:val="clear" w:color="auto" w:fill="CCEEFF"/>
            <w:vAlign w:val="bottom"/>
            <w:hideMark/>
          </w:tcPr>
          <w:p w14:paraId="2207E887" w14:textId="77777777" w:rsidR="00000000" w:rsidRDefault="0053651E">
            <w:pPr>
              <w:rPr>
                <w:rFonts w:eastAsia="Times New Roman"/>
                <w:sz w:val="20"/>
                <w:szCs w:val="20"/>
              </w:rPr>
            </w:pPr>
            <w:r>
              <w:rPr>
                <w:rFonts w:eastAsia="Times New Roman"/>
                <w:sz w:val="20"/>
                <w:szCs w:val="20"/>
              </w:rPr>
              <w:t>%</w:t>
            </w:r>
          </w:p>
        </w:tc>
      </w:tr>
      <w:tr w:rsidR="00000000" w14:paraId="67C83B79" w14:textId="77777777">
        <w:trPr>
          <w:tblCellSpacing w:w="0" w:type="dxa"/>
        </w:trPr>
        <w:tc>
          <w:tcPr>
            <w:tcW w:w="0" w:type="auto"/>
            <w:shd w:val="clear" w:color="auto" w:fill="FFFFFF"/>
            <w:vAlign w:val="bottom"/>
            <w:hideMark/>
          </w:tcPr>
          <w:p w14:paraId="04A2878C" w14:textId="77777777" w:rsidR="00000000" w:rsidRDefault="0053651E">
            <w:pPr>
              <w:pStyle w:val="a3"/>
              <w:spacing w:before="0" w:beforeAutospacing="0" w:after="0" w:afterAutospacing="0"/>
              <w:ind w:left="352" w:hanging="176"/>
              <w:jc w:val="center"/>
              <w:rPr>
                <w:sz w:val="20"/>
                <w:szCs w:val="20"/>
              </w:rPr>
            </w:pPr>
            <w:r>
              <w:rPr>
                <w:sz w:val="20"/>
                <w:szCs w:val="20"/>
              </w:rPr>
              <w:t>2026</w:t>
            </w:r>
          </w:p>
        </w:tc>
        <w:tc>
          <w:tcPr>
            <w:tcW w:w="0" w:type="auto"/>
            <w:shd w:val="clear" w:color="auto" w:fill="FFFFFF"/>
            <w:vAlign w:val="bottom"/>
            <w:hideMark/>
          </w:tcPr>
          <w:p w14:paraId="6A36B0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519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8282A0"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4DA21BE" w14:textId="77777777" w:rsidR="00000000" w:rsidRDefault="0053651E">
            <w:pPr>
              <w:ind w:left="176"/>
              <w:jc w:val="center"/>
              <w:rPr>
                <w:rFonts w:eastAsia="Times New Roman"/>
                <w:sz w:val="20"/>
                <w:szCs w:val="20"/>
              </w:rPr>
            </w:pPr>
            <w:r>
              <w:rPr>
                <w:rFonts w:eastAsia="Times New Roman"/>
                <w:sz w:val="20"/>
                <w:szCs w:val="20"/>
              </w:rPr>
              <w:t>252</w:t>
            </w:r>
          </w:p>
        </w:tc>
        <w:tc>
          <w:tcPr>
            <w:tcW w:w="50" w:type="pct"/>
            <w:shd w:val="clear" w:color="auto" w:fill="FFFFFF"/>
            <w:vAlign w:val="bottom"/>
            <w:hideMark/>
          </w:tcPr>
          <w:p w14:paraId="1F4D6C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41F1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E698D9"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D82800A" w14:textId="77777777" w:rsidR="00000000" w:rsidRDefault="0053651E">
            <w:pPr>
              <w:ind w:left="176"/>
              <w:jc w:val="center"/>
              <w:rPr>
                <w:rFonts w:eastAsia="Times New Roman"/>
                <w:sz w:val="20"/>
                <w:szCs w:val="20"/>
              </w:rPr>
            </w:pPr>
            <w:r>
              <w:rPr>
                <w:rFonts w:eastAsia="Times New Roman"/>
                <w:sz w:val="20"/>
                <w:szCs w:val="20"/>
              </w:rPr>
              <w:t>3,852</w:t>
            </w:r>
          </w:p>
        </w:tc>
        <w:tc>
          <w:tcPr>
            <w:tcW w:w="50" w:type="pct"/>
            <w:shd w:val="clear" w:color="auto" w:fill="FFFFFF"/>
            <w:vAlign w:val="bottom"/>
            <w:hideMark/>
          </w:tcPr>
          <w:p w14:paraId="4276FD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DCEA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2DEFB9"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0C5273B0" w14:textId="77777777" w:rsidR="00000000" w:rsidRDefault="0053651E">
            <w:pPr>
              <w:ind w:left="176"/>
              <w:jc w:val="right"/>
              <w:rPr>
                <w:rFonts w:eastAsia="Times New Roman"/>
                <w:sz w:val="20"/>
                <w:szCs w:val="20"/>
              </w:rPr>
            </w:pPr>
            <w:r>
              <w:rPr>
                <w:rFonts w:eastAsia="Times New Roman"/>
                <w:sz w:val="20"/>
                <w:szCs w:val="20"/>
              </w:rPr>
              <w:t>54,751</w:t>
            </w:r>
          </w:p>
        </w:tc>
        <w:tc>
          <w:tcPr>
            <w:tcW w:w="50" w:type="pct"/>
            <w:shd w:val="clear" w:color="auto" w:fill="FFFFFF"/>
            <w:vAlign w:val="bottom"/>
            <w:hideMark/>
          </w:tcPr>
          <w:p w14:paraId="522CD4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E0D0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A79EBC"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4818FA6" w14:textId="77777777" w:rsidR="00000000" w:rsidRDefault="0053651E">
            <w:pPr>
              <w:ind w:left="176"/>
              <w:jc w:val="right"/>
              <w:rPr>
                <w:rFonts w:eastAsia="Times New Roman"/>
                <w:sz w:val="20"/>
                <w:szCs w:val="20"/>
              </w:rPr>
            </w:pPr>
            <w:r>
              <w:rPr>
                <w:rFonts w:eastAsia="Times New Roman"/>
                <w:sz w:val="20"/>
                <w:szCs w:val="20"/>
              </w:rPr>
              <w:t>6.6</w:t>
            </w:r>
          </w:p>
        </w:tc>
        <w:tc>
          <w:tcPr>
            <w:tcW w:w="50" w:type="pct"/>
            <w:shd w:val="clear" w:color="auto" w:fill="FFFFFF"/>
            <w:vAlign w:val="bottom"/>
            <w:hideMark/>
          </w:tcPr>
          <w:p w14:paraId="2970CF2A" w14:textId="77777777" w:rsidR="00000000" w:rsidRDefault="0053651E">
            <w:pPr>
              <w:rPr>
                <w:rFonts w:eastAsia="Times New Roman"/>
                <w:sz w:val="20"/>
                <w:szCs w:val="20"/>
              </w:rPr>
            </w:pPr>
            <w:r>
              <w:rPr>
                <w:rFonts w:eastAsia="Times New Roman"/>
                <w:sz w:val="20"/>
                <w:szCs w:val="20"/>
              </w:rPr>
              <w:t>%</w:t>
            </w:r>
          </w:p>
        </w:tc>
      </w:tr>
      <w:tr w:rsidR="00000000" w14:paraId="65F50629" w14:textId="77777777">
        <w:trPr>
          <w:tblCellSpacing w:w="0" w:type="dxa"/>
        </w:trPr>
        <w:tc>
          <w:tcPr>
            <w:tcW w:w="0" w:type="auto"/>
            <w:shd w:val="clear" w:color="auto" w:fill="CCEEFF"/>
            <w:vAlign w:val="bottom"/>
            <w:hideMark/>
          </w:tcPr>
          <w:p w14:paraId="079E7A29" w14:textId="77777777" w:rsidR="00000000" w:rsidRDefault="0053651E">
            <w:pPr>
              <w:pStyle w:val="a3"/>
              <w:spacing w:before="0" w:beforeAutospacing="0" w:after="0" w:afterAutospacing="0"/>
              <w:ind w:left="352" w:hanging="176"/>
              <w:jc w:val="center"/>
              <w:rPr>
                <w:sz w:val="20"/>
                <w:szCs w:val="20"/>
              </w:rPr>
            </w:pPr>
            <w:r>
              <w:rPr>
                <w:sz w:val="20"/>
                <w:szCs w:val="20"/>
              </w:rPr>
              <w:t>2027</w:t>
            </w:r>
          </w:p>
        </w:tc>
        <w:tc>
          <w:tcPr>
            <w:tcW w:w="0" w:type="auto"/>
            <w:shd w:val="clear" w:color="auto" w:fill="CCEEFF"/>
            <w:vAlign w:val="bottom"/>
            <w:hideMark/>
          </w:tcPr>
          <w:p w14:paraId="65C12B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5CE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F4EB26"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3EE09E4" w14:textId="77777777" w:rsidR="00000000" w:rsidRDefault="0053651E">
            <w:pPr>
              <w:ind w:left="176"/>
              <w:jc w:val="center"/>
              <w:rPr>
                <w:rFonts w:eastAsia="Times New Roman"/>
                <w:sz w:val="20"/>
                <w:szCs w:val="20"/>
              </w:rPr>
            </w:pPr>
            <w:r>
              <w:rPr>
                <w:rFonts w:eastAsia="Times New Roman"/>
                <w:sz w:val="20"/>
                <w:szCs w:val="20"/>
              </w:rPr>
              <w:t>247</w:t>
            </w:r>
          </w:p>
        </w:tc>
        <w:tc>
          <w:tcPr>
            <w:tcW w:w="50" w:type="pct"/>
            <w:shd w:val="clear" w:color="auto" w:fill="CCEEFF"/>
            <w:vAlign w:val="bottom"/>
            <w:hideMark/>
          </w:tcPr>
          <w:p w14:paraId="1DFE37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AB15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15D61"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A181347" w14:textId="77777777" w:rsidR="00000000" w:rsidRDefault="0053651E">
            <w:pPr>
              <w:ind w:left="176"/>
              <w:jc w:val="center"/>
              <w:rPr>
                <w:rFonts w:eastAsia="Times New Roman"/>
                <w:sz w:val="20"/>
                <w:szCs w:val="20"/>
              </w:rPr>
            </w:pPr>
            <w:r>
              <w:rPr>
                <w:rFonts w:eastAsia="Times New Roman"/>
                <w:sz w:val="20"/>
                <w:szCs w:val="20"/>
              </w:rPr>
              <w:t>3,220</w:t>
            </w:r>
          </w:p>
        </w:tc>
        <w:tc>
          <w:tcPr>
            <w:tcW w:w="50" w:type="pct"/>
            <w:shd w:val="clear" w:color="auto" w:fill="CCEEFF"/>
            <w:vAlign w:val="bottom"/>
            <w:hideMark/>
          </w:tcPr>
          <w:p w14:paraId="48A857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3B02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E604E0"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2255DFF7" w14:textId="77777777" w:rsidR="00000000" w:rsidRDefault="0053651E">
            <w:pPr>
              <w:ind w:left="176"/>
              <w:jc w:val="right"/>
              <w:rPr>
                <w:rFonts w:eastAsia="Times New Roman"/>
                <w:sz w:val="20"/>
                <w:szCs w:val="20"/>
              </w:rPr>
            </w:pPr>
            <w:r>
              <w:rPr>
                <w:rFonts w:eastAsia="Times New Roman"/>
                <w:sz w:val="20"/>
                <w:szCs w:val="20"/>
              </w:rPr>
              <w:t>49,423</w:t>
            </w:r>
          </w:p>
        </w:tc>
        <w:tc>
          <w:tcPr>
            <w:tcW w:w="50" w:type="pct"/>
            <w:shd w:val="clear" w:color="auto" w:fill="CCEEFF"/>
            <w:vAlign w:val="bottom"/>
            <w:hideMark/>
          </w:tcPr>
          <w:p w14:paraId="537DD1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D58C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8DB1B4"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1E7154B" w14:textId="77777777" w:rsidR="00000000" w:rsidRDefault="0053651E">
            <w:pPr>
              <w:ind w:left="176"/>
              <w:jc w:val="right"/>
              <w:rPr>
                <w:rFonts w:eastAsia="Times New Roman"/>
                <w:sz w:val="20"/>
                <w:szCs w:val="20"/>
              </w:rPr>
            </w:pPr>
            <w:r>
              <w:rPr>
                <w:rFonts w:eastAsia="Times New Roman"/>
                <w:sz w:val="20"/>
                <w:szCs w:val="20"/>
              </w:rPr>
              <w:t>6.0</w:t>
            </w:r>
          </w:p>
        </w:tc>
        <w:tc>
          <w:tcPr>
            <w:tcW w:w="50" w:type="pct"/>
            <w:shd w:val="clear" w:color="auto" w:fill="CCEEFF"/>
            <w:vAlign w:val="bottom"/>
            <w:hideMark/>
          </w:tcPr>
          <w:p w14:paraId="39289BFD" w14:textId="77777777" w:rsidR="00000000" w:rsidRDefault="0053651E">
            <w:pPr>
              <w:rPr>
                <w:rFonts w:eastAsia="Times New Roman"/>
                <w:sz w:val="20"/>
                <w:szCs w:val="20"/>
              </w:rPr>
            </w:pPr>
            <w:r>
              <w:rPr>
                <w:rFonts w:eastAsia="Times New Roman"/>
                <w:sz w:val="20"/>
                <w:szCs w:val="20"/>
              </w:rPr>
              <w:t>%</w:t>
            </w:r>
          </w:p>
        </w:tc>
      </w:tr>
      <w:tr w:rsidR="00000000" w14:paraId="7D0B4EC6" w14:textId="77777777">
        <w:trPr>
          <w:tblCellSpacing w:w="0" w:type="dxa"/>
        </w:trPr>
        <w:tc>
          <w:tcPr>
            <w:tcW w:w="0" w:type="auto"/>
            <w:shd w:val="clear" w:color="auto" w:fill="FFFFFF"/>
            <w:vAlign w:val="bottom"/>
            <w:hideMark/>
          </w:tcPr>
          <w:p w14:paraId="03FA3727" w14:textId="77777777" w:rsidR="00000000" w:rsidRDefault="0053651E">
            <w:pPr>
              <w:pStyle w:val="a3"/>
              <w:spacing w:before="0" w:beforeAutospacing="0" w:after="0" w:afterAutospacing="0"/>
              <w:ind w:left="352" w:hanging="176"/>
              <w:jc w:val="center"/>
              <w:rPr>
                <w:sz w:val="20"/>
                <w:szCs w:val="20"/>
              </w:rPr>
            </w:pPr>
            <w:r>
              <w:rPr>
                <w:sz w:val="20"/>
                <w:szCs w:val="20"/>
              </w:rPr>
              <w:t>2028</w:t>
            </w:r>
          </w:p>
        </w:tc>
        <w:tc>
          <w:tcPr>
            <w:tcW w:w="0" w:type="auto"/>
            <w:shd w:val="clear" w:color="auto" w:fill="FFFFFF"/>
            <w:vAlign w:val="bottom"/>
            <w:hideMark/>
          </w:tcPr>
          <w:p w14:paraId="312287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C7F7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668775"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6676879" w14:textId="77777777" w:rsidR="00000000" w:rsidRDefault="0053651E">
            <w:pPr>
              <w:ind w:left="176"/>
              <w:jc w:val="center"/>
              <w:rPr>
                <w:rFonts w:eastAsia="Times New Roman"/>
                <w:sz w:val="20"/>
                <w:szCs w:val="20"/>
              </w:rPr>
            </w:pPr>
            <w:r>
              <w:rPr>
                <w:rFonts w:eastAsia="Times New Roman"/>
                <w:sz w:val="20"/>
                <w:szCs w:val="20"/>
              </w:rPr>
              <w:t>317</w:t>
            </w:r>
          </w:p>
        </w:tc>
        <w:tc>
          <w:tcPr>
            <w:tcW w:w="50" w:type="pct"/>
            <w:shd w:val="clear" w:color="auto" w:fill="FFFFFF"/>
            <w:vAlign w:val="bottom"/>
            <w:hideMark/>
          </w:tcPr>
          <w:p w14:paraId="381FC3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8A7C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C6C124"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FEC4C8F" w14:textId="77777777" w:rsidR="00000000" w:rsidRDefault="0053651E">
            <w:pPr>
              <w:ind w:left="176"/>
              <w:jc w:val="center"/>
              <w:rPr>
                <w:rFonts w:eastAsia="Times New Roman"/>
                <w:sz w:val="20"/>
                <w:szCs w:val="20"/>
              </w:rPr>
            </w:pPr>
            <w:r>
              <w:rPr>
                <w:rFonts w:eastAsia="Times New Roman"/>
                <w:sz w:val="20"/>
                <w:szCs w:val="20"/>
              </w:rPr>
              <w:t>3,211</w:t>
            </w:r>
          </w:p>
        </w:tc>
        <w:tc>
          <w:tcPr>
            <w:tcW w:w="50" w:type="pct"/>
            <w:shd w:val="clear" w:color="auto" w:fill="FFFFFF"/>
            <w:vAlign w:val="bottom"/>
            <w:hideMark/>
          </w:tcPr>
          <w:p w14:paraId="7741D2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376B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2F659F"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655A6FE8" w14:textId="77777777" w:rsidR="00000000" w:rsidRDefault="0053651E">
            <w:pPr>
              <w:ind w:left="176"/>
              <w:jc w:val="right"/>
              <w:rPr>
                <w:rFonts w:eastAsia="Times New Roman"/>
                <w:sz w:val="20"/>
                <w:szCs w:val="20"/>
              </w:rPr>
            </w:pPr>
            <w:r>
              <w:rPr>
                <w:rFonts w:eastAsia="Times New Roman"/>
                <w:sz w:val="20"/>
                <w:szCs w:val="20"/>
              </w:rPr>
              <w:t>60,879</w:t>
            </w:r>
          </w:p>
        </w:tc>
        <w:tc>
          <w:tcPr>
            <w:tcW w:w="50" w:type="pct"/>
            <w:shd w:val="clear" w:color="auto" w:fill="FFFFFF"/>
            <w:vAlign w:val="bottom"/>
            <w:hideMark/>
          </w:tcPr>
          <w:p w14:paraId="59840D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15D2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30973A"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D267711" w14:textId="77777777" w:rsidR="00000000" w:rsidRDefault="0053651E">
            <w:pPr>
              <w:ind w:left="176"/>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14:paraId="57B2AFB3" w14:textId="77777777" w:rsidR="00000000" w:rsidRDefault="0053651E">
            <w:pPr>
              <w:rPr>
                <w:rFonts w:eastAsia="Times New Roman"/>
                <w:sz w:val="20"/>
                <w:szCs w:val="20"/>
              </w:rPr>
            </w:pPr>
            <w:r>
              <w:rPr>
                <w:rFonts w:eastAsia="Times New Roman"/>
                <w:sz w:val="20"/>
                <w:szCs w:val="20"/>
              </w:rPr>
              <w:t>%</w:t>
            </w:r>
          </w:p>
        </w:tc>
      </w:tr>
      <w:tr w:rsidR="00000000" w14:paraId="0E13601C" w14:textId="77777777">
        <w:trPr>
          <w:tblCellSpacing w:w="0" w:type="dxa"/>
        </w:trPr>
        <w:tc>
          <w:tcPr>
            <w:tcW w:w="0" w:type="auto"/>
            <w:shd w:val="clear" w:color="auto" w:fill="CCEEFF"/>
            <w:vAlign w:val="bottom"/>
            <w:hideMark/>
          </w:tcPr>
          <w:p w14:paraId="35D9FF96" w14:textId="77777777" w:rsidR="00000000" w:rsidRDefault="0053651E">
            <w:pPr>
              <w:pStyle w:val="a3"/>
              <w:spacing w:before="0" w:beforeAutospacing="0" w:after="0" w:afterAutospacing="0"/>
              <w:ind w:left="352" w:hanging="176"/>
              <w:jc w:val="center"/>
              <w:rPr>
                <w:sz w:val="20"/>
                <w:szCs w:val="20"/>
              </w:rPr>
            </w:pPr>
            <w:r>
              <w:rPr>
                <w:sz w:val="20"/>
                <w:szCs w:val="20"/>
              </w:rPr>
              <w:t>2029</w:t>
            </w:r>
          </w:p>
        </w:tc>
        <w:tc>
          <w:tcPr>
            <w:tcW w:w="0" w:type="auto"/>
            <w:shd w:val="clear" w:color="auto" w:fill="CCEEFF"/>
            <w:vAlign w:val="bottom"/>
            <w:hideMark/>
          </w:tcPr>
          <w:p w14:paraId="072EE8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9A23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439944"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55B701C" w14:textId="77777777" w:rsidR="00000000" w:rsidRDefault="0053651E">
            <w:pPr>
              <w:ind w:left="176"/>
              <w:jc w:val="center"/>
              <w:rPr>
                <w:rFonts w:eastAsia="Times New Roman"/>
                <w:sz w:val="20"/>
                <w:szCs w:val="20"/>
              </w:rPr>
            </w:pPr>
            <w:r>
              <w:rPr>
                <w:rFonts w:eastAsia="Times New Roman"/>
                <w:sz w:val="20"/>
                <w:szCs w:val="20"/>
              </w:rPr>
              <w:t>252</w:t>
            </w:r>
          </w:p>
        </w:tc>
        <w:tc>
          <w:tcPr>
            <w:tcW w:w="50" w:type="pct"/>
            <w:shd w:val="clear" w:color="auto" w:fill="CCEEFF"/>
            <w:vAlign w:val="bottom"/>
            <w:hideMark/>
          </w:tcPr>
          <w:p w14:paraId="4FE8DB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279B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7D80D6"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6C45D7F" w14:textId="77777777" w:rsidR="00000000" w:rsidRDefault="0053651E">
            <w:pPr>
              <w:ind w:left="176"/>
              <w:jc w:val="center"/>
              <w:rPr>
                <w:rFonts w:eastAsia="Times New Roman"/>
                <w:sz w:val="20"/>
                <w:szCs w:val="20"/>
              </w:rPr>
            </w:pPr>
            <w:r>
              <w:rPr>
                <w:rFonts w:eastAsia="Times New Roman"/>
                <w:sz w:val="20"/>
                <w:szCs w:val="20"/>
              </w:rPr>
              <w:t>2,626</w:t>
            </w:r>
          </w:p>
        </w:tc>
        <w:tc>
          <w:tcPr>
            <w:tcW w:w="50" w:type="pct"/>
            <w:shd w:val="clear" w:color="auto" w:fill="CCEEFF"/>
            <w:vAlign w:val="bottom"/>
            <w:hideMark/>
          </w:tcPr>
          <w:p w14:paraId="06439D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EF42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D3D763" w14:textId="77777777" w:rsidR="00000000" w:rsidRDefault="0053651E">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14FAECF9" w14:textId="77777777" w:rsidR="00000000" w:rsidRDefault="0053651E">
            <w:pPr>
              <w:ind w:left="176"/>
              <w:jc w:val="right"/>
              <w:rPr>
                <w:rFonts w:eastAsia="Times New Roman"/>
                <w:sz w:val="20"/>
                <w:szCs w:val="20"/>
              </w:rPr>
            </w:pPr>
            <w:r>
              <w:rPr>
                <w:rFonts w:eastAsia="Times New Roman"/>
                <w:sz w:val="20"/>
                <w:szCs w:val="20"/>
              </w:rPr>
              <w:t>45,523</w:t>
            </w:r>
          </w:p>
        </w:tc>
        <w:tc>
          <w:tcPr>
            <w:tcW w:w="50" w:type="pct"/>
            <w:shd w:val="clear" w:color="auto" w:fill="CCEEFF"/>
            <w:vAlign w:val="bottom"/>
            <w:hideMark/>
          </w:tcPr>
          <w:p w14:paraId="7961D7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995C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836820"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B3E7316" w14:textId="77777777" w:rsidR="00000000" w:rsidRDefault="0053651E">
            <w:pPr>
              <w:ind w:left="176"/>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14:paraId="75D1D633" w14:textId="77777777" w:rsidR="00000000" w:rsidRDefault="0053651E">
            <w:pPr>
              <w:rPr>
                <w:rFonts w:eastAsia="Times New Roman"/>
                <w:sz w:val="20"/>
                <w:szCs w:val="20"/>
              </w:rPr>
            </w:pPr>
            <w:r>
              <w:rPr>
                <w:rFonts w:eastAsia="Times New Roman"/>
                <w:sz w:val="20"/>
                <w:szCs w:val="20"/>
              </w:rPr>
              <w:t>%</w:t>
            </w:r>
          </w:p>
        </w:tc>
      </w:tr>
    </w:tbl>
    <w:p w14:paraId="185AD622"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1F16A58" w14:textId="77777777">
        <w:trPr>
          <w:tblCellSpacing w:w="0" w:type="dxa"/>
        </w:trPr>
        <w:tc>
          <w:tcPr>
            <w:tcW w:w="360" w:type="dxa"/>
            <w:vAlign w:val="center"/>
            <w:hideMark/>
          </w:tcPr>
          <w:p w14:paraId="6FD5A686" w14:textId="77777777" w:rsidR="00000000" w:rsidRDefault="0053651E">
            <w:pPr>
              <w:rPr>
                <w:rFonts w:eastAsia="Times New Roman"/>
                <w:sz w:val="20"/>
                <w:szCs w:val="20"/>
              </w:rPr>
            </w:pPr>
            <w:r>
              <w:rPr>
                <w:rFonts w:eastAsia="Times New Roman"/>
                <w:sz w:val="20"/>
                <w:szCs w:val="20"/>
              </w:rPr>
              <w:t> </w:t>
            </w:r>
          </w:p>
        </w:tc>
        <w:tc>
          <w:tcPr>
            <w:tcW w:w="360" w:type="dxa"/>
            <w:hideMark/>
          </w:tcPr>
          <w:p w14:paraId="72624A27" w14:textId="77777777" w:rsidR="00000000" w:rsidRDefault="0053651E">
            <w:pPr>
              <w:pStyle w:val="a3"/>
              <w:spacing w:before="0" w:beforeAutospacing="0" w:after="0" w:afterAutospacing="0"/>
              <w:rPr>
                <w:sz w:val="20"/>
                <w:szCs w:val="20"/>
              </w:rPr>
            </w:pPr>
            <w:r>
              <w:rPr>
                <w:sz w:val="20"/>
                <w:szCs w:val="20"/>
              </w:rPr>
              <w:t>(1)</w:t>
            </w:r>
          </w:p>
        </w:tc>
        <w:tc>
          <w:tcPr>
            <w:tcW w:w="0" w:type="auto"/>
            <w:hideMark/>
          </w:tcPr>
          <w:p w14:paraId="3FC3B487" w14:textId="77777777" w:rsidR="00000000" w:rsidRDefault="0053651E">
            <w:pPr>
              <w:pStyle w:val="a3"/>
              <w:spacing w:before="0" w:beforeAutospacing="0" w:after="0" w:afterAutospacing="0"/>
              <w:rPr>
                <w:sz w:val="20"/>
                <w:szCs w:val="20"/>
              </w:rPr>
            </w:pPr>
            <w:r>
              <w:rPr>
                <w:sz w:val="20"/>
                <w:szCs w:val="20"/>
              </w:rPr>
              <w:t>Leases currently under month to month lease or in process of renewal.</w:t>
            </w:r>
          </w:p>
        </w:tc>
      </w:tr>
    </w:tbl>
    <w:p w14:paraId="3589A0DD" w14:textId="77777777" w:rsidR="00000000" w:rsidRDefault="0053651E">
      <w:pPr>
        <w:pStyle w:val="a3"/>
        <w:spacing w:before="0" w:beforeAutospacing="0" w:after="0" w:afterAutospacing="0"/>
        <w:ind w:firstLine="360"/>
        <w:jc w:val="both"/>
        <w:rPr>
          <w:sz w:val="20"/>
          <w:szCs w:val="20"/>
        </w:rPr>
      </w:pPr>
      <w:r>
        <w:rPr>
          <w:sz w:val="20"/>
          <w:szCs w:val="20"/>
        </w:rPr>
        <w:t> </w:t>
      </w:r>
    </w:p>
    <w:p w14:paraId="7BED1187" w14:textId="77777777" w:rsidR="00000000" w:rsidRDefault="0053651E">
      <w:pPr>
        <w:pStyle w:val="a3"/>
        <w:spacing w:before="0" w:beforeAutospacing="0" w:after="0" w:afterAutospacing="0"/>
        <w:ind w:firstLine="360"/>
        <w:jc w:val="both"/>
        <w:rPr>
          <w:sz w:val="20"/>
          <w:szCs w:val="20"/>
        </w:rPr>
      </w:pPr>
      <w:r>
        <w:rPr>
          <w:sz w:val="20"/>
          <w:szCs w:val="20"/>
        </w:rPr>
        <w:t>During 2019, the Company executed 907 leases totaling over 6.5 million square feet in the Company’s consolidated operating portfolio comprised of 318 new leases and 589 renewals and options. The leasing costs associated with these leases are estimated to a</w:t>
      </w:r>
      <w:r>
        <w:rPr>
          <w:sz w:val="20"/>
          <w:szCs w:val="20"/>
        </w:rPr>
        <w:t>ggregate $78.9 million or $44.28 per square foot. These costs include $62.7 million of tenant improvements and $16.2 million of leasing commissions. The average rent per square foot for (i) new leases was $22.72 and (ii) renewals and options was $15.99. Th</w:t>
      </w:r>
      <w:r>
        <w:rPr>
          <w:sz w:val="20"/>
          <w:szCs w:val="20"/>
        </w:rPr>
        <w:t>e Company will seek to obtain rents that are higher than amounts within its expiring leases, however, there are many variables and uncertainties which can significantly affect the leasing market at any time; as such, the Company cannot guarantee that futur</w:t>
      </w:r>
      <w:r>
        <w:rPr>
          <w:sz w:val="20"/>
          <w:szCs w:val="20"/>
        </w:rPr>
        <w:t>e leases will continue to be signed for rents that are equal to or higher than current amounts.</w:t>
      </w:r>
    </w:p>
    <w:p w14:paraId="50C660AD" w14:textId="77777777" w:rsidR="00000000" w:rsidRDefault="0053651E">
      <w:pPr>
        <w:pStyle w:val="a3"/>
        <w:spacing w:before="0" w:beforeAutospacing="0" w:after="0" w:afterAutospacing="0"/>
        <w:ind w:firstLine="360"/>
        <w:jc w:val="both"/>
        <w:rPr>
          <w:sz w:val="20"/>
          <w:szCs w:val="20"/>
        </w:rPr>
      </w:pPr>
      <w:r>
        <w:rPr>
          <w:sz w:val="20"/>
          <w:szCs w:val="20"/>
        </w:rPr>
        <w:t> </w:t>
      </w:r>
    </w:p>
    <w:p w14:paraId="6577B7C5" w14:textId="77777777" w:rsidR="00000000" w:rsidRDefault="0053651E">
      <w:pPr>
        <w:pStyle w:val="a3"/>
        <w:spacing w:before="0" w:beforeAutospacing="0" w:after="0" w:afterAutospacing="0"/>
        <w:ind w:firstLine="360"/>
        <w:jc w:val="both"/>
        <w:rPr>
          <w:sz w:val="20"/>
          <w:szCs w:val="20"/>
        </w:rPr>
      </w:pPr>
      <w:r>
        <w:rPr>
          <w:i/>
          <w:iCs/>
          <w:sz w:val="20"/>
          <w:szCs w:val="20"/>
        </w:rPr>
        <w:t>Ground-Leased Properties</w:t>
      </w:r>
      <w:r>
        <w:rPr>
          <w:sz w:val="20"/>
          <w:szCs w:val="20"/>
        </w:rPr>
        <w:t>. The Company has interests in 28 consolidated shopping center properties that are subject to long-term ground leases where a third pa</w:t>
      </w:r>
      <w:r>
        <w:rPr>
          <w:sz w:val="20"/>
          <w:szCs w:val="20"/>
        </w:rPr>
        <w:t>rty owns and has leased the underlying land to the Company to construct and/or operate a shopping center. The Company pays rent for the use of the land and generally is responsible for all costs and expenses associated with the building and improvements. A</w:t>
      </w:r>
      <w:r>
        <w:rPr>
          <w:sz w:val="20"/>
          <w:szCs w:val="20"/>
        </w:rPr>
        <w:t>t the end of these long-term leases, unless extended, the land together with all improvements reverts to the landowner (See Footnote 1 of the Notes to Consolidated Financial Statements included in this Form 10-K, New Accounting Pronouncements- Leases).</w:t>
      </w:r>
    </w:p>
    <w:p w14:paraId="3CD1E220" w14:textId="77777777" w:rsidR="00000000" w:rsidRDefault="0053651E">
      <w:pPr>
        <w:pStyle w:val="a3"/>
        <w:spacing w:before="0" w:beforeAutospacing="0" w:after="0" w:afterAutospacing="0"/>
        <w:ind w:firstLine="360"/>
        <w:jc w:val="both"/>
        <w:rPr>
          <w:sz w:val="20"/>
          <w:szCs w:val="20"/>
        </w:rPr>
      </w:pPr>
      <w:r>
        <w:rPr>
          <w:sz w:val="20"/>
          <w:szCs w:val="20"/>
        </w:rPr>
        <w:t> </w:t>
      </w:r>
    </w:p>
    <w:p w14:paraId="5ADCAC22" w14:textId="77777777" w:rsidR="00000000" w:rsidRDefault="0053651E">
      <w:pPr>
        <w:pStyle w:val="a3"/>
        <w:spacing w:before="0" w:beforeAutospacing="0" w:after="0" w:afterAutospacing="0"/>
        <w:ind w:firstLine="360"/>
        <w:jc w:val="both"/>
        <w:rPr>
          <w:sz w:val="20"/>
          <w:szCs w:val="20"/>
        </w:rPr>
      </w:pPr>
      <w:r>
        <w:rPr>
          <w:sz w:val="20"/>
          <w:szCs w:val="20"/>
        </w:rPr>
        <w:t>M</w:t>
      </w:r>
      <w:r>
        <w:rPr>
          <w:sz w:val="20"/>
          <w:szCs w:val="20"/>
        </w:rPr>
        <w:t>ore specific information with respect to each of the Company's property interests is set forth in Exhibit 99.1, which is incorporated herein by reference.</w:t>
      </w:r>
    </w:p>
    <w:p w14:paraId="5EC46B44" w14:textId="77777777" w:rsidR="00000000" w:rsidRDefault="0053651E">
      <w:pPr>
        <w:pStyle w:val="a3"/>
        <w:spacing w:before="0" w:beforeAutospacing="0" w:after="0" w:afterAutospacing="0"/>
        <w:ind w:firstLine="360"/>
        <w:jc w:val="both"/>
        <w:rPr>
          <w:sz w:val="20"/>
          <w:szCs w:val="20"/>
        </w:rPr>
      </w:pPr>
      <w:r>
        <w:rPr>
          <w:sz w:val="20"/>
          <w:szCs w:val="20"/>
        </w:rPr>
        <w:t> </w:t>
      </w:r>
    </w:p>
    <w:p w14:paraId="30540485" w14:textId="77777777" w:rsidR="00000000" w:rsidRDefault="0053651E">
      <w:pPr>
        <w:pStyle w:val="a3"/>
        <w:spacing w:before="0" w:beforeAutospacing="0" w:after="0" w:afterAutospacing="0"/>
        <w:rPr>
          <w:sz w:val="20"/>
          <w:szCs w:val="20"/>
        </w:rPr>
      </w:pPr>
      <w:r>
        <w:rPr>
          <w:sz w:val="20"/>
          <w:szCs w:val="20"/>
          <w:u w:val="single"/>
        </w:rPr>
        <w:t>Item 3. Legal Proceedings</w:t>
      </w:r>
    </w:p>
    <w:p w14:paraId="223E1C9D" w14:textId="77777777" w:rsidR="00000000" w:rsidRDefault="0053651E">
      <w:pPr>
        <w:pStyle w:val="a3"/>
        <w:spacing w:before="0" w:beforeAutospacing="0" w:after="0" w:afterAutospacing="0"/>
        <w:ind w:firstLine="360"/>
        <w:jc w:val="both"/>
        <w:rPr>
          <w:sz w:val="20"/>
          <w:szCs w:val="20"/>
        </w:rPr>
      </w:pPr>
      <w:r>
        <w:rPr>
          <w:sz w:val="20"/>
          <w:szCs w:val="20"/>
        </w:rPr>
        <w:t> </w:t>
      </w:r>
    </w:p>
    <w:p w14:paraId="43DC72A6" w14:textId="77777777" w:rsidR="00000000" w:rsidRDefault="0053651E">
      <w:pPr>
        <w:pStyle w:val="a3"/>
        <w:spacing w:before="0" w:beforeAutospacing="0" w:after="0" w:afterAutospacing="0"/>
        <w:ind w:firstLine="360"/>
        <w:jc w:val="both"/>
        <w:rPr>
          <w:sz w:val="20"/>
          <w:szCs w:val="20"/>
        </w:rPr>
      </w:pPr>
      <w:r>
        <w:rPr>
          <w:sz w:val="20"/>
          <w:szCs w:val="20"/>
        </w:rPr>
        <w:t>The Company is not presently involved in any litigatio</w:t>
      </w:r>
      <w:r>
        <w:rPr>
          <w:sz w:val="20"/>
          <w:szCs w:val="20"/>
        </w:rPr>
        <w:t>n nor, to its knowledge, is any litigation threatened against the Company or its subsidiaries that, in management's opinion, would result in any material adverse effect on the Company's ownership, management or operation of its properties taken as a whole,</w:t>
      </w:r>
      <w:r>
        <w:rPr>
          <w:sz w:val="20"/>
          <w:szCs w:val="20"/>
        </w:rPr>
        <w:t xml:space="preserve"> or which is not covered by the Company's liability insurance.</w:t>
      </w:r>
    </w:p>
    <w:p w14:paraId="7B272C4F" w14:textId="77777777" w:rsidR="00000000" w:rsidRDefault="0053651E">
      <w:pPr>
        <w:pStyle w:val="a3"/>
        <w:spacing w:before="0" w:beforeAutospacing="0" w:after="0" w:afterAutospacing="0"/>
        <w:ind w:firstLine="360"/>
        <w:jc w:val="both"/>
        <w:rPr>
          <w:sz w:val="20"/>
          <w:szCs w:val="20"/>
        </w:rPr>
      </w:pPr>
      <w:r>
        <w:rPr>
          <w:sz w:val="20"/>
          <w:szCs w:val="20"/>
        </w:rPr>
        <w:t> </w:t>
      </w:r>
    </w:p>
    <w:p w14:paraId="28DBC305" w14:textId="77777777" w:rsidR="00000000" w:rsidRDefault="0053651E">
      <w:pPr>
        <w:pStyle w:val="a3"/>
        <w:spacing w:before="0" w:beforeAutospacing="0" w:after="0" w:afterAutospacing="0"/>
        <w:rPr>
          <w:sz w:val="20"/>
          <w:szCs w:val="20"/>
        </w:rPr>
      </w:pPr>
      <w:r>
        <w:rPr>
          <w:sz w:val="20"/>
          <w:szCs w:val="20"/>
          <w:u w:val="single"/>
        </w:rPr>
        <w:t>Item 4. Mine Safety Disclosures</w:t>
      </w:r>
    </w:p>
    <w:p w14:paraId="11D55516" w14:textId="77777777" w:rsidR="00000000" w:rsidRDefault="0053651E">
      <w:pPr>
        <w:pStyle w:val="a3"/>
        <w:spacing w:before="0" w:beforeAutospacing="0" w:after="0" w:afterAutospacing="0"/>
        <w:ind w:firstLine="360"/>
        <w:rPr>
          <w:sz w:val="20"/>
          <w:szCs w:val="20"/>
        </w:rPr>
      </w:pPr>
      <w:r>
        <w:rPr>
          <w:sz w:val="20"/>
          <w:szCs w:val="20"/>
        </w:rPr>
        <w:t> </w:t>
      </w:r>
    </w:p>
    <w:p w14:paraId="402DDE4C" w14:textId="77777777" w:rsidR="00000000" w:rsidRDefault="0053651E">
      <w:pPr>
        <w:pStyle w:val="a3"/>
        <w:spacing w:before="0" w:beforeAutospacing="0" w:after="0" w:afterAutospacing="0"/>
        <w:ind w:firstLine="360"/>
        <w:rPr>
          <w:sz w:val="20"/>
          <w:szCs w:val="20"/>
        </w:rPr>
      </w:pPr>
      <w:r>
        <w:rPr>
          <w:sz w:val="20"/>
          <w:szCs w:val="20"/>
        </w:rPr>
        <w:t>Not applicable.</w:t>
      </w:r>
    </w:p>
    <w:p w14:paraId="3AB5D104" w14:textId="77777777" w:rsidR="00000000" w:rsidRDefault="0053651E">
      <w:pPr>
        <w:pStyle w:val="a3"/>
        <w:spacing w:before="0" w:beforeAutospacing="0" w:after="0" w:afterAutospacing="0"/>
        <w:ind w:firstLine="360"/>
        <w:rPr>
          <w:sz w:val="20"/>
          <w:szCs w:val="20"/>
        </w:rPr>
      </w:pPr>
      <w:r>
        <w:rPr>
          <w:sz w:val="20"/>
          <w:szCs w:val="20"/>
        </w:rPr>
        <w:t> </w:t>
      </w:r>
    </w:p>
    <w:p w14:paraId="6C206443" w14:textId="77777777" w:rsidR="00000000" w:rsidRDefault="0053651E">
      <w:pPr>
        <w:jc w:val="center"/>
        <w:divId w:val="1704359577"/>
        <w:rPr>
          <w:rFonts w:eastAsia="Times New Roman"/>
          <w:sz w:val="20"/>
          <w:szCs w:val="20"/>
        </w:rPr>
      </w:pPr>
      <w:r>
        <w:rPr>
          <w:rFonts w:eastAsia="Times New Roman"/>
          <w:sz w:val="20"/>
          <w:szCs w:val="20"/>
        </w:rPr>
        <w:t xml:space="preserve">16 </w:t>
      </w:r>
    </w:p>
    <w:p w14:paraId="31B34811" w14:textId="77777777" w:rsidR="00000000" w:rsidRDefault="0053651E">
      <w:pPr>
        <w:divId w:val="1704359577"/>
        <w:rPr>
          <w:rFonts w:eastAsia="Times New Roman"/>
          <w:sz w:val="20"/>
          <w:szCs w:val="20"/>
        </w:rPr>
      </w:pPr>
      <w:r>
        <w:rPr>
          <w:rFonts w:eastAsia="Times New Roman"/>
          <w:sz w:val="20"/>
          <w:szCs w:val="20"/>
        </w:rPr>
        <w:pict w14:anchorId="521C262A">
          <v:rect id="_x0000_i1045" style="width:0;height:1.5pt" o:hralign="center" o:hrstd="t" o:hr="t" fillcolor="#a0a0a0" stroked="f"/>
        </w:pict>
      </w:r>
    </w:p>
    <w:p w14:paraId="45E0730A" w14:textId="77777777" w:rsidR="00000000" w:rsidRDefault="0053651E">
      <w:pPr>
        <w:divId w:val="17043595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EAA2FAF" w14:textId="77777777" w:rsidR="00000000" w:rsidRDefault="0053651E">
      <w:pPr>
        <w:pStyle w:val="a3"/>
        <w:spacing w:before="0" w:beforeAutospacing="0" w:after="0" w:afterAutospacing="0"/>
        <w:rPr>
          <w:sz w:val="20"/>
          <w:szCs w:val="20"/>
        </w:rPr>
      </w:pPr>
      <w:r>
        <w:rPr>
          <w:sz w:val="20"/>
          <w:szCs w:val="20"/>
        </w:rPr>
        <w:t> </w:t>
      </w:r>
    </w:p>
    <w:p w14:paraId="71F4195F" w14:textId="77777777" w:rsidR="00000000" w:rsidRDefault="0053651E">
      <w:pPr>
        <w:pStyle w:val="a3"/>
        <w:spacing w:before="0" w:beforeAutospacing="0" w:after="0" w:afterAutospacing="0"/>
        <w:ind w:firstLine="360"/>
        <w:rPr>
          <w:sz w:val="20"/>
          <w:szCs w:val="20"/>
        </w:rPr>
      </w:pPr>
      <w:r>
        <w:rPr>
          <w:sz w:val="20"/>
          <w:szCs w:val="20"/>
          <w:u w:val="single"/>
        </w:rPr>
        <w:t>PART II</w:t>
      </w:r>
    </w:p>
    <w:p w14:paraId="3C7E58AF" w14:textId="77777777" w:rsidR="00000000" w:rsidRDefault="0053651E">
      <w:pPr>
        <w:pStyle w:val="a3"/>
        <w:spacing w:before="0" w:beforeAutospacing="0" w:after="0" w:afterAutospacing="0"/>
        <w:ind w:firstLine="360"/>
        <w:jc w:val="both"/>
        <w:rPr>
          <w:sz w:val="20"/>
          <w:szCs w:val="20"/>
        </w:rPr>
      </w:pPr>
      <w:r>
        <w:rPr>
          <w:sz w:val="20"/>
          <w:szCs w:val="20"/>
        </w:rPr>
        <w:t> </w:t>
      </w:r>
    </w:p>
    <w:p w14:paraId="561CFF20" w14:textId="77777777" w:rsidR="00000000" w:rsidRDefault="0053651E">
      <w:pPr>
        <w:pStyle w:val="a3"/>
        <w:spacing w:before="0" w:beforeAutospacing="0" w:after="0" w:afterAutospacing="0"/>
        <w:rPr>
          <w:sz w:val="20"/>
          <w:szCs w:val="20"/>
        </w:rPr>
      </w:pPr>
      <w:r>
        <w:rPr>
          <w:sz w:val="20"/>
          <w:szCs w:val="20"/>
          <w:u w:val="single"/>
        </w:rPr>
        <w:t>Item 5. Market for the Registrant's Common Equity, Related Stockholder Matters and Issuer Purchases of Equity Securities</w:t>
      </w:r>
    </w:p>
    <w:p w14:paraId="31744864" w14:textId="77777777" w:rsidR="00000000" w:rsidRDefault="0053651E">
      <w:pPr>
        <w:pStyle w:val="a3"/>
        <w:spacing w:before="0" w:beforeAutospacing="0" w:after="0" w:afterAutospacing="0"/>
        <w:ind w:firstLine="360"/>
        <w:jc w:val="both"/>
        <w:rPr>
          <w:sz w:val="20"/>
          <w:szCs w:val="20"/>
        </w:rPr>
      </w:pPr>
      <w:r>
        <w:rPr>
          <w:sz w:val="20"/>
          <w:szCs w:val="20"/>
        </w:rPr>
        <w:t> </w:t>
      </w:r>
    </w:p>
    <w:p w14:paraId="5509EF08" w14:textId="77777777" w:rsidR="00000000" w:rsidRDefault="0053651E">
      <w:pPr>
        <w:pStyle w:val="a3"/>
        <w:spacing w:before="0" w:beforeAutospacing="0" w:after="0" w:afterAutospacing="0"/>
        <w:ind w:firstLine="360"/>
        <w:rPr>
          <w:sz w:val="20"/>
          <w:szCs w:val="20"/>
        </w:rPr>
      </w:pPr>
      <w:r>
        <w:rPr>
          <w:sz w:val="20"/>
          <w:szCs w:val="20"/>
          <w:u w:val="single"/>
        </w:rPr>
        <w:t>Market Information:</w:t>
      </w:r>
      <w:r>
        <w:rPr>
          <w:sz w:val="20"/>
          <w:szCs w:val="20"/>
        </w:rPr>
        <w:t xml:space="preserve"> The Company’s common stock is traded on the NYSE under the trading symbol "KIM".   </w:t>
      </w:r>
    </w:p>
    <w:p w14:paraId="7923E36A" w14:textId="77777777" w:rsidR="00000000" w:rsidRDefault="0053651E">
      <w:pPr>
        <w:pStyle w:val="a3"/>
        <w:spacing w:before="0" w:beforeAutospacing="0" w:after="0" w:afterAutospacing="0"/>
        <w:ind w:firstLine="360"/>
        <w:jc w:val="both"/>
        <w:rPr>
          <w:sz w:val="20"/>
          <w:szCs w:val="20"/>
        </w:rPr>
      </w:pPr>
      <w:r>
        <w:rPr>
          <w:sz w:val="20"/>
          <w:szCs w:val="20"/>
        </w:rPr>
        <w:t> </w:t>
      </w:r>
    </w:p>
    <w:p w14:paraId="70D84DB8" w14:textId="77777777" w:rsidR="00000000" w:rsidRDefault="0053651E">
      <w:pPr>
        <w:pStyle w:val="a3"/>
        <w:spacing w:before="0" w:beforeAutospacing="0" w:after="0" w:afterAutospacing="0"/>
        <w:ind w:firstLine="360"/>
        <w:jc w:val="both"/>
        <w:rPr>
          <w:sz w:val="20"/>
          <w:szCs w:val="20"/>
        </w:rPr>
      </w:pPr>
      <w:r>
        <w:rPr>
          <w:sz w:val="20"/>
          <w:szCs w:val="20"/>
          <w:u w:val="single"/>
        </w:rPr>
        <w:t>Holders:</w:t>
      </w:r>
      <w:r>
        <w:rPr>
          <w:sz w:val="20"/>
          <w:szCs w:val="20"/>
        </w:rPr>
        <w:t xml:space="preserve"> The number of hold</w:t>
      </w:r>
      <w:r>
        <w:rPr>
          <w:sz w:val="20"/>
          <w:szCs w:val="20"/>
        </w:rPr>
        <w:t>ers of record of the Company's common stock, par value $0.01 per share, was 2,032 as of January 31, 2020.</w:t>
      </w:r>
    </w:p>
    <w:p w14:paraId="352A818F" w14:textId="77777777" w:rsidR="00000000" w:rsidRDefault="0053651E">
      <w:pPr>
        <w:pStyle w:val="a3"/>
        <w:spacing w:before="0" w:beforeAutospacing="0" w:after="0" w:afterAutospacing="0"/>
        <w:ind w:firstLine="360"/>
        <w:jc w:val="both"/>
        <w:rPr>
          <w:sz w:val="20"/>
          <w:szCs w:val="20"/>
        </w:rPr>
      </w:pPr>
      <w:r>
        <w:rPr>
          <w:sz w:val="20"/>
          <w:szCs w:val="20"/>
        </w:rPr>
        <w:t> </w:t>
      </w:r>
    </w:p>
    <w:p w14:paraId="3AB90C36" w14:textId="77777777" w:rsidR="00000000" w:rsidRDefault="0053651E">
      <w:pPr>
        <w:pStyle w:val="a3"/>
        <w:spacing w:before="0" w:beforeAutospacing="0" w:after="0" w:afterAutospacing="0"/>
        <w:ind w:firstLine="360"/>
        <w:jc w:val="both"/>
        <w:rPr>
          <w:sz w:val="20"/>
          <w:szCs w:val="20"/>
        </w:rPr>
      </w:pPr>
      <w:r>
        <w:rPr>
          <w:sz w:val="20"/>
          <w:szCs w:val="20"/>
          <w:u w:val="single"/>
        </w:rPr>
        <w:t>Dividends:</w:t>
      </w:r>
      <w:r>
        <w:rPr>
          <w:sz w:val="20"/>
          <w:szCs w:val="20"/>
        </w:rPr>
        <w:t xml:space="preserve"> Since the IPO, the Company has paid regular quarterly cash dividends to its stockholders. While the Company intends to continue paying re</w:t>
      </w:r>
      <w:r>
        <w:rPr>
          <w:sz w:val="20"/>
          <w:szCs w:val="20"/>
        </w:rPr>
        <w:t>gular quarterly cash dividends, future dividend declarations will be paid at the discretion of the Board of Directors and will depend on the actual cash flows of the Company, its financial condition, capital requirements, the annual distribution requiremen</w:t>
      </w:r>
      <w:r>
        <w:rPr>
          <w:sz w:val="20"/>
          <w:szCs w:val="20"/>
        </w:rPr>
        <w:t>ts under the REIT provisions of the Code and such other factors as the Board of Directors deems relevant. The Company’s Board of Directors will continue to evaluate the Company’s dividend policy on a quarterly basis as they monitor sources of capital and e</w:t>
      </w:r>
      <w:r>
        <w:rPr>
          <w:sz w:val="20"/>
          <w:szCs w:val="20"/>
        </w:rPr>
        <w:t>valuate operating fundamentals. The Company is required by the Code to distribute at least 90% of its REIT taxable income. The actual cash flow available to pay dividends will be affected by a number of factors, including the revenues received from operati</w:t>
      </w:r>
      <w:r>
        <w:rPr>
          <w:sz w:val="20"/>
          <w:szCs w:val="20"/>
        </w:rPr>
        <w:t>ng properties, the operating expenses of the Company, the interest expense on its borrowings, the ability of lessees to meet their obligations to the Company, the ability to refinance near-term debt maturities and any unanticipated capital expenditures.</w:t>
      </w:r>
    </w:p>
    <w:p w14:paraId="68165579"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66"/>
        <w:gridCol w:w="50"/>
        <w:gridCol w:w="100"/>
        <w:gridCol w:w="972"/>
        <w:gridCol w:w="167"/>
        <w:gridCol w:w="50"/>
        <w:gridCol w:w="100"/>
        <w:gridCol w:w="973"/>
        <w:gridCol w:w="167"/>
      </w:tblGrid>
      <w:tr w:rsidR="00000000" w14:paraId="38278D76" w14:textId="77777777">
        <w:trPr>
          <w:tblCellSpacing w:w="0" w:type="dxa"/>
        </w:trPr>
        <w:tc>
          <w:tcPr>
            <w:tcW w:w="0" w:type="auto"/>
            <w:vAlign w:val="bottom"/>
            <w:hideMark/>
          </w:tcPr>
          <w:p w14:paraId="3BD9E55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140010A"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F74AC94"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3A0DA2B3" w14:textId="77777777" w:rsidR="00000000" w:rsidRDefault="0053651E">
            <w:pPr>
              <w:rPr>
                <w:rFonts w:eastAsia="Times New Roman"/>
                <w:sz w:val="20"/>
                <w:szCs w:val="20"/>
              </w:rPr>
            </w:pPr>
            <w:r>
              <w:rPr>
                <w:rFonts w:eastAsia="Times New Roman"/>
                <w:sz w:val="20"/>
                <w:szCs w:val="20"/>
              </w:rPr>
              <w:t> </w:t>
            </w:r>
          </w:p>
        </w:tc>
      </w:tr>
      <w:tr w:rsidR="00000000" w14:paraId="3DCEE440" w14:textId="77777777">
        <w:trPr>
          <w:tblCellSpacing w:w="0" w:type="dxa"/>
        </w:trPr>
        <w:tc>
          <w:tcPr>
            <w:tcW w:w="0" w:type="auto"/>
            <w:vAlign w:val="bottom"/>
            <w:hideMark/>
          </w:tcPr>
          <w:p w14:paraId="606AB8F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945BD8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85DFC9"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1E6C46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D09D84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DBBA18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23030D9" w14:textId="77777777" w:rsidR="00000000" w:rsidRDefault="0053651E">
            <w:pPr>
              <w:rPr>
                <w:rFonts w:eastAsia="Times New Roman"/>
                <w:sz w:val="20"/>
                <w:szCs w:val="20"/>
              </w:rPr>
            </w:pPr>
            <w:r>
              <w:rPr>
                <w:rFonts w:eastAsia="Times New Roman"/>
                <w:sz w:val="20"/>
                <w:szCs w:val="20"/>
              </w:rPr>
              <w:t> </w:t>
            </w:r>
          </w:p>
        </w:tc>
      </w:tr>
      <w:tr w:rsidR="00000000" w14:paraId="5AA9AB84" w14:textId="77777777">
        <w:trPr>
          <w:tblCellSpacing w:w="0" w:type="dxa"/>
        </w:trPr>
        <w:tc>
          <w:tcPr>
            <w:tcW w:w="3100" w:type="pct"/>
            <w:shd w:val="clear" w:color="auto" w:fill="CCEEFF"/>
            <w:vAlign w:val="bottom"/>
            <w:hideMark/>
          </w:tcPr>
          <w:p w14:paraId="451748FC" w14:textId="77777777" w:rsidR="00000000" w:rsidRDefault="0053651E">
            <w:pPr>
              <w:pStyle w:val="a3"/>
              <w:spacing w:before="0" w:beforeAutospacing="0" w:after="0" w:afterAutospacing="0"/>
              <w:rPr>
                <w:sz w:val="20"/>
                <w:szCs w:val="20"/>
              </w:rPr>
            </w:pPr>
            <w:r>
              <w:rPr>
                <w:sz w:val="20"/>
                <w:szCs w:val="20"/>
              </w:rPr>
              <w:t>Dividend paid per share</w:t>
            </w:r>
          </w:p>
        </w:tc>
        <w:tc>
          <w:tcPr>
            <w:tcW w:w="50" w:type="pct"/>
            <w:shd w:val="clear" w:color="auto" w:fill="CCEEFF"/>
            <w:vAlign w:val="bottom"/>
            <w:hideMark/>
          </w:tcPr>
          <w:p w14:paraId="2957CE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924940" w14:textId="77777777" w:rsidR="00000000" w:rsidRDefault="0053651E">
            <w:pPr>
              <w:rPr>
                <w:rFonts w:eastAsia="Times New Roman"/>
                <w:sz w:val="20"/>
                <w:szCs w:val="20"/>
              </w:rPr>
            </w:pPr>
            <w:r>
              <w:rPr>
                <w:rFonts w:eastAsia="Times New Roman"/>
                <w:sz w:val="20"/>
                <w:szCs w:val="20"/>
              </w:rPr>
              <w:t>$</w:t>
            </w:r>
          </w:p>
        </w:tc>
        <w:tc>
          <w:tcPr>
            <w:tcW w:w="800" w:type="pct"/>
            <w:shd w:val="clear" w:color="auto" w:fill="CCEEFF"/>
            <w:vAlign w:val="bottom"/>
            <w:hideMark/>
          </w:tcPr>
          <w:p w14:paraId="0F10D799"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142BB6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0B66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657F87" w14:textId="77777777" w:rsidR="00000000" w:rsidRDefault="0053651E">
            <w:pPr>
              <w:rPr>
                <w:rFonts w:eastAsia="Times New Roman"/>
                <w:sz w:val="20"/>
                <w:szCs w:val="20"/>
              </w:rPr>
            </w:pPr>
            <w:r>
              <w:rPr>
                <w:rFonts w:eastAsia="Times New Roman"/>
                <w:sz w:val="20"/>
                <w:szCs w:val="20"/>
              </w:rPr>
              <w:t>$</w:t>
            </w:r>
          </w:p>
        </w:tc>
        <w:tc>
          <w:tcPr>
            <w:tcW w:w="800" w:type="pct"/>
            <w:shd w:val="clear" w:color="auto" w:fill="CCEEFF"/>
            <w:vAlign w:val="bottom"/>
            <w:hideMark/>
          </w:tcPr>
          <w:p w14:paraId="2CDA115F"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44D92D3F" w14:textId="77777777" w:rsidR="00000000" w:rsidRDefault="0053651E">
            <w:pPr>
              <w:rPr>
                <w:rFonts w:eastAsia="Times New Roman"/>
                <w:sz w:val="20"/>
                <w:szCs w:val="20"/>
              </w:rPr>
            </w:pPr>
            <w:r>
              <w:rPr>
                <w:rFonts w:eastAsia="Times New Roman"/>
                <w:sz w:val="20"/>
                <w:szCs w:val="20"/>
              </w:rPr>
              <w:t> </w:t>
            </w:r>
          </w:p>
        </w:tc>
      </w:tr>
      <w:tr w:rsidR="00000000" w14:paraId="2BED28EA" w14:textId="77777777">
        <w:trPr>
          <w:tblCellSpacing w:w="0" w:type="dxa"/>
        </w:trPr>
        <w:tc>
          <w:tcPr>
            <w:tcW w:w="0" w:type="auto"/>
            <w:shd w:val="clear" w:color="auto" w:fill="FFFFFF"/>
            <w:vAlign w:val="bottom"/>
            <w:hideMark/>
          </w:tcPr>
          <w:p w14:paraId="3A25DACB"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594770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55353"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B4A4DEC" w14:textId="77777777" w:rsidR="00000000" w:rsidRDefault="0053651E">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14:paraId="4C9C4E7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37B35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BF41AB"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C47075F" w14:textId="77777777" w:rsidR="00000000" w:rsidRDefault="0053651E">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7BF2C7EF" w14:textId="77777777" w:rsidR="00000000" w:rsidRDefault="0053651E">
            <w:pPr>
              <w:rPr>
                <w:rFonts w:eastAsia="Times New Roman"/>
                <w:sz w:val="20"/>
                <w:szCs w:val="20"/>
              </w:rPr>
            </w:pPr>
            <w:r>
              <w:rPr>
                <w:rFonts w:eastAsia="Times New Roman"/>
                <w:sz w:val="20"/>
                <w:szCs w:val="20"/>
              </w:rPr>
              <w:t>%</w:t>
            </w:r>
          </w:p>
        </w:tc>
      </w:tr>
      <w:tr w:rsidR="00000000" w14:paraId="2B9CF292" w14:textId="77777777">
        <w:trPr>
          <w:tblCellSpacing w:w="0" w:type="dxa"/>
        </w:trPr>
        <w:tc>
          <w:tcPr>
            <w:tcW w:w="0" w:type="auto"/>
            <w:shd w:val="clear" w:color="auto" w:fill="CCEEFF"/>
            <w:vAlign w:val="bottom"/>
            <w:hideMark/>
          </w:tcPr>
          <w:p w14:paraId="4447740C" w14:textId="77777777" w:rsidR="00000000" w:rsidRDefault="0053651E">
            <w:pPr>
              <w:pStyle w:val="a3"/>
              <w:spacing w:before="0" w:beforeAutospacing="0" w:after="0" w:afterAutospacing="0"/>
              <w:rPr>
                <w:sz w:val="20"/>
                <w:szCs w:val="20"/>
              </w:rPr>
            </w:pPr>
            <w:r>
              <w:rPr>
                <w:sz w:val="20"/>
                <w:szCs w:val="20"/>
              </w:rPr>
              <w:t>Capital gains</w:t>
            </w:r>
          </w:p>
        </w:tc>
        <w:tc>
          <w:tcPr>
            <w:tcW w:w="50" w:type="pct"/>
            <w:shd w:val="clear" w:color="auto" w:fill="CCEEFF"/>
            <w:vAlign w:val="bottom"/>
            <w:hideMark/>
          </w:tcPr>
          <w:p w14:paraId="043BBE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058C82"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6EC0516" w14:textId="77777777" w:rsidR="00000000" w:rsidRDefault="0053651E">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14:paraId="278BD6C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ABAE9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98AE3B"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F60EA33" w14:textId="77777777" w:rsidR="00000000" w:rsidRDefault="0053651E">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14:paraId="14055510" w14:textId="77777777" w:rsidR="00000000" w:rsidRDefault="0053651E">
            <w:pPr>
              <w:rPr>
                <w:rFonts w:eastAsia="Times New Roman"/>
                <w:sz w:val="20"/>
                <w:szCs w:val="20"/>
              </w:rPr>
            </w:pPr>
            <w:r>
              <w:rPr>
                <w:rFonts w:eastAsia="Times New Roman"/>
                <w:sz w:val="20"/>
                <w:szCs w:val="20"/>
              </w:rPr>
              <w:t>%</w:t>
            </w:r>
          </w:p>
        </w:tc>
      </w:tr>
      <w:tr w:rsidR="00000000" w14:paraId="6C27CB72" w14:textId="77777777">
        <w:trPr>
          <w:tblCellSpacing w:w="0" w:type="dxa"/>
        </w:trPr>
        <w:tc>
          <w:tcPr>
            <w:tcW w:w="0" w:type="auto"/>
            <w:shd w:val="clear" w:color="auto" w:fill="FFFFFF"/>
            <w:vAlign w:val="bottom"/>
            <w:hideMark/>
          </w:tcPr>
          <w:p w14:paraId="3F12A7E0" w14:textId="77777777" w:rsidR="00000000" w:rsidRDefault="0053651E">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14:paraId="49BF18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11AA29"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7B9C41C" w14:textId="77777777" w:rsidR="00000000" w:rsidRDefault="0053651E">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14:paraId="4CA5182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49C49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BEF86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B4C27DC" w14:textId="77777777" w:rsidR="00000000" w:rsidRDefault="0053651E">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14:paraId="33A215B7" w14:textId="77777777" w:rsidR="00000000" w:rsidRDefault="0053651E">
            <w:pPr>
              <w:rPr>
                <w:rFonts w:eastAsia="Times New Roman"/>
                <w:sz w:val="20"/>
                <w:szCs w:val="20"/>
              </w:rPr>
            </w:pPr>
            <w:r>
              <w:rPr>
                <w:rFonts w:eastAsia="Times New Roman"/>
                <w:sz w:val="20"/>
                <w:szCs w:val="20"/>
              </w:rPr>
              <w:t>%</w:t>
            </w:r>
          </w:p>
        </w:tc>
      </w:tr>
    </w:tbl>
    <w:p w14:paraId="4DB4B692" w14:textId="77777777" w:rsidR="00000000" w:rsidRDefault="0053651E">
      <w:pPr>
        <w:pStyle w:val="a3"/>
        <w:spacing w:before="0" w:beforeAutospacing="0" w:after="0" w:afterAutospacing="0"/>
        <w:jc w:val="both"/>
        <w:rPr>
          <w:sz w:val="20"/>
          <w:szCs w:val="20"/>
        </w:rPr>
      </w:pPr>
      <w:r>
        <w:rPr>
          <w:sz w:val="20"/>
          <w:szCs w:val="20"/>
        </w:rPr>
        <w:t> </w:t>
      </w:r>
    </w:p>
    <w:p w14:paraId="28CCD715" w14:textId="77777777" w:rsidR="00000000" w:rsidRDefault="0053651E">
      <w:pPr>
        <w:pStyle w:val="a3"/>
        <w:spacing w:before="0" w:beforeAutospacing="0" w:after="0" w:afterAutospacing="0"/>
        <w:ind w:firstLine="360"/>
        <w:jc w:val="both"/>
        <w:rPr>
          <w:sz w:val="20"/>
          <w:szCs w:val="20"/>
        </w:rPr>
      </w:pPr>
      <w:r>
        <w:rPr>
          <w:sz w:val="20"/>
          <w:szCs w:val="20"/>
        </w:rPr>
        <w:t>In addition to its common stock offerings, the Company has capitalized on the growth in its business through the issuance of unsecured fixed and floating-rate medium-term notes, underwritten bonds, unsecured bank debt, mortgage debt and construction loans,</w:t>
      </w:r>
      <w:r>
        <w:rPr>
          <w:sz w:val="20"/>
          <w:szCs w:val="20"/>
        </w:rPr>
        <w:t xml:space="preserve"> convertible preferred stock and perpetual preferred stock. Borrowings under the Company's revolving credit facility have also been an interim source of funds to both finance the purchase of properties and other investments and meet any short-term working </w:t>
      </w:r>
      <w:r>
        <w:rPr>
          <w:sz w:val="20"/>
          <w:szCs w:val="20"/>
        </w:rPr>
        <w:t>capital requirements. The various instruments governing the Company's issuance of its unsecured public debt, bank debt, mortgage debt and preferred stock impose certain restrictions on the Company regarding dividends, voting, liquidation and other preferen</w:t>
      </w:r>
      <w:r>
        <w:rPr>
          <w:sz w:val="20"/>
          <w:szCs w:val="20"/>
        </w:rPr>
        <w:t>tial rights available to the holders of such instruments. See "Management's Discussion and Analysis of Financial Condition and Results of Operations" and Footnotes 12, 13 and 16 of the Notes to Consolidated Financial Statements included in this Form 10-K.</w:t>
      </w:r>
    </w:p>
    <w:p w14:paraId="55640483" w14:textId="77777777" w:rsidR="00000000" w:rsidRDefault="0053651E">
      <w:pPr>
        <w:pStyle w:val="a3"/>
        <w:spacing w:before="0" w:beforeAutospacing="0" w:after="0" w:afterAutospacing="0"/>
        <w:ind w:firstLine="360"/>
        <w:jc w:val="both"/>
        <w:rPr>
          <w:sz w:val="20"/>
          <w:szCs w:val="20"/>
        </w:rPr>
      </w:pPr>
      <w:r>
        <w:rPr>
          <w:sz w:val="20"/>
          <w:szCs w:val="20"/>
        </w:rPr>
        <w:t> </w:t>
      </w:r>
    </w:p>
    <w:p w14:paraId="790E0528" w14:textId="77777777" w:rsidR="00000000" w:rsidRDefault="0053651E">
      <w:pPr>
        <w:pStyle w:val="a3"/>
        <w:spacing w:before="0" w:beforeAutospacing="0" w:after="0" w:afterAutospacing="0"/>
        <w:ind w:firstLine="360"/>
        <w:jc w:val="both"/>
        <w:rPr>
          <w:sz w:val="20"/>
          <w:szCs w:val="20"/>
        </w:rPr>
      </w:pPr>
      <w:r>
        <w:rPr>
          <w:sz w:val="20"/>
          <w:szCs w:val="20"/>
        </w:rPr>
        <w:t>The Company does not believe that the preferential rights available to the holders of its Class L Preferred Stock and Class M Preferred Stock, the financial covenants contained in its public bond indentures, as amended, or its revolving credit agreements</w:t>
      </w:r>
      <w:r>
        <w:rPr>
          <w:sz w:val="20"/>
          <w:szCs w:val="20"/>
        </w:rPr>
        <w:t xml:space="preserve"> will have an adverse impact on the Company's ability to pay dividends in the normal course to its common stockholders or to distribute amounts necessary to maintain its qualification as a REIT.</w:t>
      </w:r>
    </w:p>
    <w:p w14:paraId="29E8BB21" w14:textId="77777777" w:rsidR="00000000" w:rsidRDefault="0053651E">
      <w:pPr>
        <w:pStyle w:val="a3"/>
        <w:spacing w:before="0" w:beforeAutospacing="0" w:after="0" w:afterAutospacing="0"/>
        <w:ind w:firstLine="360"/>
        <w:jc w:val="both"/>
        <w:rPr>
          <w:sz w:val="20"/>
          <w:szCs w:val="20"/>
        </w:rPr>
      </w:pPr>
      <w:r>
        <w:rPr>
          <w:sz w:val="20"/>
          <w:szCs w:val="20"/>
        </w:rPr>
        <w:t> </w:t>
      </w:r>
    </w:p>
    <w:p w14:paraId="605FB488" w14:textId="77777777" w:rsidR="00000000" w:rsidRDefault="0053651E">
      <w:pPr>
        <w:pStyle w:val="a3"/>
        <w:spacing w:before="0" w:beforeAutospacing="0" w:after="0" w:afterAutospacing="0"/>
        <w:ind w:firstLine="360"/>
        <w:jc w:val="both"/>
        <w:rPr>
          <w:sz w:val="20"/>
          <w:szCs w:val="20"/>
        </w:rPr>
      </w:pPr>
      <w:r>
        <w:rPr>
          <w:sz w:val="20"/>
          <w:szCs w:val="20"/>
        </w:rPr>
        <w:t>The Company maintains a dividend reinvestment and direct st</w:t>
      </w:r>
      <w:r>
        <w:rPr>
          <w:sz w:val="20"/>
          <w:szCs w:val="20"/>
        </w:rPr>
        <w:t>ock purchase plan (the "Plan") pursuant to which common and preferred stockholders and other interested investors may elect to automatically reinvest their dividends to purchase shares of the Company’s common stock or, through optional cash payments, purch</w:t>
      </w:r>
      <w:r>
        <w:rPr>
          <w:sz w:val="20"/>
          <w:szCs w:val="20"/>
        </w:rPr>
        <w:t>ase shares of the Company’s common stock. The Company may, from time-to-time, either (i) purchase shares of its common stock in the open market or (ii) issue new shares of its common stock for the purpose of fulfilling its obligations under the Plan.</w:t>
      </w:r>
    </w:p>
    <w:p w14:paraId="529DB38D" w14:textId="77777777" w:rsidR="00000000" w:rsidRDefault="0053651E">
      <w:pPr>
        <w:pStyle w:val="a3"/>
        <w:spacing w:before="0" w:beforeAutospacing="0" w:after="0" w:afterAutospacing="0"/>
        <w:jc w:val="center"/>
        <w:rPr>
          <w:sz w:val="20"/>
          <w:szCs w:val="20"/>
        </w:rPr>
      </w:pPr>
      <w:r>
        <w:rPr>
          <w:sz w:val="20"/>
          <w:szCs w:val="20"/>
        </w:rPr>
        <w:t> </w:t>
      </w:r>
    </w:p>
    <w:p w14:paraId="06FE0284" w14:textId="77777777" w:rsidR="00000000" w:rsidRDefault="0053651E">
      <w:pPr>
        <w:pStyle w:val="a3"/>
        <w:spacing w:before="0" w:beforeAutospacing="0" w:after="0" w:afterAutospacing="0"/>
        <w:ind w:firstLine="360"/>
        <w:rPr>
          <w:sz w:val="20"/>
          <w:szCs w:val="20"/>
        </w:rPr>
      </w:pPr>
      <w:r>
        <w:rPr>
          <w:sz w:val="20"/>
          <w:szCs w:val="20"/>
          <w:u w:val="single"/>
        </w:rPr>
        <w:t>Rec</w:t>
      </w:r>
      <w:r>
        <w:rPr>
          <w:sz w:val="20"/>
          <w:szCs w:val="20"/>
          <w:u w:val="single"/>
        </w:rPr>
        <w:t>ent Sales of Unregistered Securities:</w:t>
      </w:r>
      <w:r>
        <w:rPr>
          <w:sz w:val="20"/>
          <w:szCs w:val="20"/>
        </w:rPr>
        <w:t xml:space="preserve"> None.</w:t>
      </w:r>
    </w:p>
    <w:p w14:paraId="59B330B5" w14:textId="77777777" w:rsidR="00000000" w:rsidRDefault="0053651E">
      <w:pPr>
        <w:pStyle w:val="a3"/>
        <w:spacing w:before="0" w:beforeAutospacing="0" w:after="0" w:afterAutospacing="0"/>
        <w:ind w:firstLine="360"/>
        <w:rPr>
          <w:sz w:val="20"/>
          <w:szCs w:val="20"/>
        </w:rPr>
      </w:pPr>
      <w:r>
        <w:rPr>
          <w:sz w:val="20"/>
          <w:szCs w:val="20"/>
        </w:rPr>
        <w:t> </w:t>
      </w:r>
    </w:p>
    <w:p w14:paraId="4A6076C8" w14:textId="77777777" w:rsidR="00000000" w:rsidRDefault="0053651E">
      <w:pPr>
        <w:pStyle w:val="a3"/>
        <w:spacing w:before="0" w:beforeAutospacing="0" w:after="0" w:afterAutospacing="0"/>
        <w:ind w:firstLine="360"/>
        <w:jc w:val="both"/>
        <w:rPr>
          <w:sz w:val="20"/>
          <w:szCs w:val="20"/>
        </w:rPr>
      </w:pPr>
      <w:r>
        <w:rPr>
          <w:sz w:val="20"/>
          <w:szCs w:val="20"/>
          <w:u w:val="single"/>
        </w:rPr>
        <w:t>Issuer Purchases of Equity Securities:</w:t>
      </w:r>
      <w:r>
        <w:rPr>
          <w:sz w:val="20"/>
          <w:szCs w:val="20"/>
        </w:rPr>
        <w:t xml:space="preserve"> During the year ended December 31, 2019, the Company repurchased 223,609 shares for an aggregate purchase price of $4.0 million (weighted average price of $17.76 per share</w:t>
      </w:r>
      <w:r>
        <w:rPr>
          <w:sz w:val="20"/>
          <w:szCs w:val="20"/>
        </w:rPr>
        <w:t>) in connection with common shares surrendered or deemed surrendered to the Company to satisfy statutory minimum tax withholding obligations in connection with the vesting of restricted stock awards under the Company’s equity-based compensation plans. In a</w:t>
      </w:r>
      <w:r>
        <w:rPr>
          <w:sz w:val="20"/>
          <w:szCs w:val="20"/>
        </w:rPr>
        <w:t>ddition, during February 2018, the Company’s Board of Directors authorized a share repurchase program, which is effective for a term of two years, pursuant to which the Company may repurchase shares of its common stock, par value $0.01 per share, with an a</w:t>
      </w:r>
      <w:r>
        <w:rPr>
          <w:sz w:val="20"/>
          <w:szCs w:val="20"/>
        </w:rPr>
        <w:t>ggregate gross purchase price of up to $300.0 million. The Company did not make any repurchases under this common share repurchase program during 2019.  As of December 31, 2019, the Company had $224.9 million available under this common share repurchase pr</w:t>
      </w:r>
      <w:r>
        <w:rPr>
          <w:sz w:val="20"/>
          <w:szCs w:val="20"/>
        </w:rPr>
        <w:t>ogram.</w:t>
      </w:r>
    </w:p>
    <w:p w14:paraId="71B9A720" w14:textId="77777777" w:rsidR="00000000" w:rsidRDefault="0053651E">
      <w:pPr>
        <w:pStyle w:val="a3"/>
        <w:spacing w:before="0" w:beforeAutospacing="0" w:after="0" w:afterAutospacing="0"/>
        <w:ind w:firstLine="360"/>
        <w:jc w:val="both"/>
        <w:rPr>
          <w:sz w:val="20"/>
          <w:szCs w:val="20"/>
        </w:rPr>
      </w:pPr>
      <w:r>
        <w:rPr>
          <w:sz w:val="20"/>
          <w:szCs w:val="20"/>
        </w:rPr>
        <w:t> </w:t>
      </w:r>
    </w:p>
    <w:p w14:paraId="7A4D79F9" w14:textId="77777777" w:rsidR="00000000" w:rsidRDefault="0053651E">
      <w:pPr>
        <w:jc w:val="center"/>
        <w:divId w:val="355892794"/>
        <w:rPr>
          <w:rFonts w:eastAsia="Times New Roman"/>
          <w:sz w:val="20"/>
          <w:szCs w:val="20"/>
        </w:rPr>
      </w:pPr>
      <w:r>
        <w:rPr>
          <w:rFonts w:eastAsia="Times New Roman"/>
          <w:sz w:val="20"/>
          <w:szCs w:val="20"/>
        </w:rPr>
        <w:t xml:space="preserve">17 </w:t>
      </w:r>
    </w:p>
    <w:p w14:paraId="094D2F56" w14:textId="77777777" w:rsidR="00000000" w:rsidRDefault="0053651E">
      <w:pPr>
        <w:divId w:val="355892794"/>
        <w:rPr>
          <w:rFonts w:eastAsia="Times New Roman"/>
          <w:sz w:val="20"/>
          <w:szCs w:val="20"/>
        </w:rPr>
      </w:pPr>
      <w:r>
        <w:rPr>
          <w:rFonts w:eastAsia="Times New Roman"/>
          <w:sz w:val="20"/>
          <w:szCs w:val="20"/>
        </w:rPr>
        <w:pict w14:anchorId="1CF0FAE4">
          <v:rect id="_x0000_i1046" style="width:0;height:1.5pt" o:hralign="center" o:hrstd="t" o:hr="t" fillcolor="#a0a0a0" stroked="f"/>
        </w:pict>
      </w:r>
    </w:p>
    <w:p w14:paraId="711D9CAE" w14:textId="77777777" w:rsidR="00000000" w:rsidRDefault="0053651E">
      <w:pPr>
        <w:divId w:val="3558927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810A005" w14:textId="77777777" w:rsidR="00000000" w:rsidRDefault="0053651E">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835"/>
        <w:gridCol w:w="73"/>
        <w:gridCol w:w="74"/>
        <w:gridCol w:w="1021"/>
        <w:gridCol w:w="74"/>
        <w:gridCol w:w="74"/>
        <w:gridCol w:w="101"/>
        <w:gridCol w:w="1021"/>
        <w:gridCol w:w="74"/>
        <w:gridCol w:w="74"/>
        <w:gridCol w:w="74"/>
        <w:gridCol w:w="1021"/>
        <w:gridCol w:w="74"/>
        <w:gridCol w:w="74"/>
        <w:gridCol w:w="100"/>
        <w:gridCol w:w="1053"/>
        <w:gridCol w:w="74"/>
      </w:tblGrid>
      <w:tr w:rsidR="00000000" w14:paraId="01453EDB" w14:textId="77777777">
        <w:trPr>
          <w:tblCellSpacing w:w="0" w:type="dxa"/>
        </w:trPr>
        <w:tc>
          <w:tcPr>
            <w:tcW w:w="1800" w:type="pct"/>
            <w:tcBorders>
              <w:bottom w:val="single" w:sz="6" w:space="0" w:color="000000"/>
            </w:tcBorders>
            <w:vAlign w:val="bottom"/>
            <w:hideMark/>
          </w:tcPr>
          <w:p w14:paraId="50D7AD5E" w14:textId="77777777" w:rsidR="00000000" w:rsidRDefault="0053651E">
            <w:pPr>
              <w:pStyle w:val="a3"/>
              <w:spacing w:before="0" w:beforeAutospacing="0" w:after="0" w:afterAutospacing="0"/>
              <w:jc w:val="center"/>
              <w:rPr>
                <w:sz w:val="20"/>
                <w:szCs w:val="20"/>
              </w:rPr>
            </w:pPr>
            <w:r>
              <w:rPr>
                <w:b/>
                <w:bCs/>
                <w:sz w:val="20"/>
                <w:szCs w:val="20"/>
              </w:rPr>
              <w:t>Period</w:t>
            </w:r>
          </w:p>
        </w:tc>
        <w:tc>
          <w:tcPr>
            <w:tcW w:w="50" w:type="pct"/>
            <w:vAlign w:val="bottom"/>
            <w:hideMark/>
          </w:tcPr>
          <w:p w14:paraId="7D22C8E9"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A8283B6" w14:textId="77777777" w:rsidR="00000000" w:rsidRDefault="0053651E">
            <w:pPr>
              <w:pStyle w:val="a3"/>
              <w:spacing w:before="0" w:beforeAutospacing="0" w:after="0" w:afterAutospacing="0"/>
              <w:jc w:val="center"/>
              <w:rPr>
                <w:sz w:val="20"/>
                <w:szCs w:val="20"/>
              </w:rPr>
            </w:pPr>
            <w:r>
              <w:rPr>
                <w:b/>
                <w:bCs/>
                <w:sz w:val="20"/>
                <w:szCs w:val="20"/>
              </w:rPr>
              <w:t>Total</w:t>
            </w:r>
          </w:p>
          <w:p w14:paraId="3C03BAB4" w14:textId="77777777" w:rsidR="00000000" w:rsidRDefault="0053651E">
            <w:pPr>
              <w:pStyle w:val="a3"/>
              <w:spacing w:before="0" w:beforeAutospacing="0" w:after="0" w:afterAutospacing="0"/>
              <w:jc w:val="center"/>
              <w:rPr>
                <w:sz w:val="20"/>
                <w:szCs w:val="20"/>
              </w:rPr>
            </w:pPr>
            <w:r>
              <w:rPr>
                <w:b/>
                <w:bCs/>
                <w:sz w:val="20"/>
                <w:szCs w:val="20"/>
              </w:rPr>
              <w:t>Number of</w:t>
            </w:r>
          </w:p>
          <w:p w14:paraId="761E6035" w14:textId="77777777" w:rsidR="00000000" w:rsidRDefault="0053651E">
            <w:pPr>
              <w:pStyle w:val="a3"/>
              <w:spacing w:before="0" w:beforeAutospacing="0" w:after="0" w:afterAutospacing="0"/>
              <w:jc w:val="center"/>
              <w:rPr>
                <w:sz w:val="20"/>
                <w:szCs w:val="20"/>
              </w:rPr>
            </w:pPr>
            <w:r>
              <w:rPr>
                <w:b/>
                <w:bCs/>
                <w:sz w:val="20"/>
                <w:szCs w:val="20"/>
              </w:rPr>
              <w:t>Shares</w:t>
            </w:r>
          </w:p>
          <w:p w14:paraId="065DC2C6" w14:textId="77777777" w:rsidR="00000000" w:rsidRDefault="0053651E">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14:paraId="5605E099"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A86300A"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8EDBD09" w14:textId="77777777" w:rsidR="00000000" w:rsidRDefault="0053651E">
            <w:pPr>
              <w:pStyle w:val="a3"/>
              <w:spacing w:before="0" w:beforeAutospacing="0" w:after="0" w:afterAutospacing="0"/>
              <w:jc w:val="center"/>
              <w:rPr>
                <w:sz w:val="20"/>
                <w:szCs w:val="20"/>
              </w:rPr>
            </w:pPr>
            <w:r>
              <w:rPr>
                <w:b/>
                <w:bCs/>
                <w:sz w:val="20"/>
                <w:szCs w:val="20"/>
              </w:rPr>
              <w:t>Average</w:t>
            </w:r>
          </w:p>
          <w:p w14:paraId="6379CE18" w14:textId="77777777" w:rsidR="00000000" w:rsidRDefault="0053651E">
            <w:pPr>
              <w:pStyle w:val="a3"/>
              <w:spacing w:before="0" w:beforeAutospacing="0" w:after="0" w:afterAutospacing="0"/>
              <w:jc w:val="center"/>
              <w:rPr>
                <w:sz w:val="20"/>
                <w:szCs w:val="20"/>
              </w:rPr>
            </w:pPr>
            <w:r>
              <w:rPr>
                <w:b/>
                <w:bCs/>
                <w:sz w:val="20"/>
                <w:szCs w:val="20"/>
              </w:rPr>
              <w:t>Price</w:t>
            </w:r>
          </w:p>
          <w:p w14:paraId="52E46807" w14:textId="77777777" w:rsidR="00000000" w:rsidRDefault="0053651E">
            <w:pPr>
              <w:pStyle w:val="a3"/>
              <w:spacing w:before="0" w:beforeAutospacing="0" w:after="0" w:afterAutospacing="0"/>
              <w:jc w:val="center"/>
              <w:rPr>
                <w:sz w:val="20"/>
                <w:szCs w:val="20"/>
              </w:rPr>
            </w:pPr>
            <w:r>
              <w:rPr>
                <w:b/>
                <w:bCs/>
                <w:sz w:val="20"/>
                <w:szCs w:val="20"/>
              </w:rPr>
              <w:t>Paid per</w:t>
            </w:r>
          </w:p>
          <w:p w14:paraId="1F77B14E" w14:textId="77777777" w:rsidR="00000000" w:rsidRDefault="0053651E">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14:paraId="4DD9D23B"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862F38E"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7266B6C" w14:textId="77777777" w:rsidR="00000000" w:rsidRDefault="0053651E">
            <w:pPr>
              <w:pStyle w:val="a3"/>
              <w:spacing w:before="0" w:beforeAutospacing="0" w:after="0" w:afterAutospacing="0"/>
              <w:jc w:val="center"/>
              <w:rPr>
                <w:sz w:val="20"/>
                <w:szCs w:val="20"/>
              </w:rPr>
            </w:pPr>
            <w:r>
              <w:rPr>
                <w:b/>
                <w:bCs/>
                <w:sz w:val="20"/>
                <w:szCs w:val="20"/>
              </w:rPr>
              <w:t>Total Number of</w:t>
            </w:r>
          </w:p>
          <w:p w14:paraId="27F3EA19" w14:textId="77777777" w:rsidR="00000000" w:rsidRDefault="0053651E">
            <w:pPr>
              <w:pStyle w:val="a3"/>
              <w:spacing w:before="0" w:beforeAutospacing="0" w:after="0" w:afterAutospacing="0"/>
              <w:jc w:val="center"/>
              <w:rPr>
                <w:sz w:val="20"/>
                <w:szCs w:val="20"/>
              </w:rPr>
            </w:pPr>
            <w:r>
              <w:rPr>
                <w:b/>
                <w:bCs/>
                <w:sz w:val="20"/>
                <w:szCs w:val="20"/>
              </w:rPr>
              <w:t>Shares Purchased</w:t>
            </w:r>
          </w:p>
          <w:p w14:paraId="53688F15" w14:textId="77777777" w:rsidR="00000000" w:rsidRDefault="0053651E">
            <w:pPr>
              <w:pStyle w:val="a3"/>
              <w:spacing w:before="0" w:beforeAutospacing="0" w:after="0" w:afterAutospacing="0"/>
              <w:jc w:val="center"/>
              <w:rPr>
                <w:sz w:val="20"/>
                <w:szCs w:val="20"/>
              </w:rPr>
            </w:pPr>
            <w:r>
              <w:rPr>
                <w:b/>
                <w:bCs/>
                <w:sz w:val="20"/>
                <w:szCs w:val="20"/>
              </w:rPr>
              <w:t>as Part of Publicly</w:t>
            </w:r>
          </w:p>
          <w:p w14:paraId="6D45F5D6" w14:textId="77777777" w:rsidR="00000000" w:rsidRDefault="0053651E">
            <w:pPr>
              <w:pStyle w:val="a3"/>
              <w:spacing w:before="0" w:beforeAutospacing="0" w:after="0" w:afterAutospacing="0"/>
              <w:jc w:val="center"/>
              <w:rPr>
                <w:sz w:val="20"/>
                <w:szCs w:val="20"/>
              </w:rPr>
            </w:pPr>
            <w:r>
              <w:rPr>
                <w:b/>
                <w:bCs/>
                <w:sz w:val="20"/>
                <w:szCs w:val="20"/>
              </w:rPr>
              <w:t>Announced Plans</w:t>
            </w:r>
          </w:p>
          <w:p w14:paraId="2FF51172" w14:textId="77777777" w:rsidR="00000000" w:rsidRDefault="0053651E">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67AB223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B4DB0F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E89D029" w14:textId="77777777" w:rsidR="00000000" w:rsidRDefault="0053651E">
            <w:pPr>
              <w:pStyle w:val="a3"/>
              <w:spacing w:before="0" w:beforeAutospacing="0" w:after="0" w:afterAutospacing="0"/>
              <w:jc w:val="center"/>
              <w:rPr>
                <w:sz w:val="20"/>
                <w:szCs w:val="20"/>
              </w:rPr>
            </w:pPr>
            <w:r>
              <w:rPr>
                <w:b/>
                <w:bCs/>
                <w:sz w:val="20"/>
                <w:szCs w:val="20"/>
              </w:rPr>
              <w:t>Approximate Dollar</w:t>
            </w:r>
          </w:p>
          <w:p w14:paraId="6803A117" w14:textId="77777777" w:rsidR="00000000" w:rsidRDefault="0053651E">
            <w:pPr>
              <w:pStyle w:val="a3"/>
              <w:spacing w:before="0" w:beforeAutospacing="0" w:after="0" w:afterAutospacing="0"/>
              <w:jc w:val="center"/>
              <w:rPr>
                <w:sz w:val="20"/>
                <w:szCs w:val="20"/>
              </w:rPr>
            </w:pPr>
            <w:r>
              <w:rPr>
                <w:b/>
                <w:bCs/>
                <w:sz w:val="20"/>
                <w:szCs w:val="20"/>
              </w:rPr>
              <w:t>Value of Shares that</w:t>
            </w:r>
          </w:p>
          <w:p w14:paraId="6E47D448" w14:textId="77777777" w:rsidR="00000000" w:rsidRDefault="0053651E">
            <w:pPr>
              <w:pStyle w:val="a3"/>
              <w:spacing w:before="0" w:beforeAutospacing="0" w:after="0" w:afterAutospacing="0"/>
              <w:jc w:val="center"/>
              <w:rPr>
                <w:sz w:val="20"/>
                <w:szCs w:val="20"/>
              </w:rPr>
            </w:pPr>
            <w:r>
              <w:rPr>
                <w:b/>
                <w:bCs/>
                <w:sz w:val="20"/>
                <w:szCs w:val="20"/>
              </w:rPr>
              <w:t>May Yet Be Purchased</w:t>
            </w:r>
          </w:p>
          <w:p w14:paraId="54A7C1B2" w14:textId="77777777" w:rsidR="00000000" w:rsidRDefault="0053651E">
            <w:pPr>
              <w:pStyle w:val="a3"/>
              <w:spacing w:before="0" w:beforeAutospacing="0" w:after="0" w:afterAutospacing="0"/>
              <w:jc w:val="center"/>
              <w:rPr>
                <w:sz w:val="20"/>
                <w:szCs w:val="20"/>
              </w:rPr>
            </w:pPr>
            <w:r>
              <w:rPr>
                <w:b/>
                <w:bCs/>
                <w:sz w:val="20"/>
                <w:szCs w:val="20"/>
              </w:rPr>
              <w:t>Under the Plans or</w:t>
            </w:r>
          </w:p>
          <w:p w14:paraId="42BEA71A" w14:textId="77777777" w:rsidR="00000000" w:rsidRDefault="0053651E">
            <w:pPr>
              <w:pStyle w:val="a3"/>
              <w:spacing w:before="0" w:beforeAutospacing="0" w:after="0" w:afterAutospacing="0"/>
              <w:jc w:val="center"/>
              <w:rPr>
                <w:sz w:val="20"/>
                <w:szCs w:val="20"/>
              </w:rPr>
            </w:pPr>
            <w:r>
              <w:rPr>
                <w:b/>
                <w:bCs/>
                <w:sz w:val="20"/>
                <w:szCs w:val="20"/>
              </w:rPr>
              <w:t>Programs</w:t>
            </w:r>
          </w:p>
          <w:p w14:paraId="271D5754"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2BAC04EA" w14:textId="77777777" w:rsidR="00000000" w:rsidRDefault="0053651E">
            <w:pPr>
              <w:rPr>
                <w:rFonts w:eastAsia="Times New Roman"/>
                <w:sz w:val="20"/>
                <w:szCs w:val="20"/>
              </w:rPr>
            </w:pPr>
            <w:r>
              <w:rPr>
                <w:rFonts w:eastAsia="Times New Roman"/>
                <w:sz w:val="20"/>
                <w:szCs w:val="20"/>
              </w:rPr>
              <w:t> </w:t>
            </w:r>
          </w:p>
        </w:tc>
      </w:tr>
      <w:tr w:rsidR="00000000" w14:paraId="6DF3D4F7" w14:textId="77777777">
        <w:trPr>
          <w:tblCellSpacing w:w="0" w:type="dxa"/>
        </w:trPr>
        <w:tc>
          <w:tcPr>
            <w:tcW w:w="1800" w:type="pct"/>
            <w:shd w:val="clear" w:color="auto" w:fill="CCEEFF"/>
            <w:vAlign w:val="bottom"/>
            <w:hideMark/>
          </w:tcPr>
          <w:p w14:paraId="588913BA" w14:textId="77777777" w:rsidR="00000000" w:rsidRDefault="0053651E">
            <w:pPr>
              <w:pStyle w:val="a3"/>
              <w:spacing w:before="0" w:beforeAutospacing="0" w:after="0" w:afterAutospacing="0"/>
              <w:rPr>
                <w:sz w:val="20"/>
                <w:szCs w:val="20"/>
              </w:rPr>
            </w:pPr>
            <w:r>
              <w:rPr>
                <w:sz w:val="20"/>
                <w:szCs w:val="20"/>
              </w:rPr>
              <w:t>January 1, 2019 – January 31, 2019</w:t>
            </w:r>
          </w:p>
        </w:tc>
        <w:tc>
          <w:tcPr>
            <w:tcW w:w="50" w:type="pct"/>
            <w:shd w:val="clear" w:color="auto" w:fill="CCEEFF"/>
            <w:vAlign w:val="bottom"/>
            <w:hideMark/>
          </w:tcPr>
          <w:p w14:paraId="1DC69A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2E2B8"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6309E83" w14:textId="77777777" w:rsidR="00000000" w:rsidRDefault="0053651E">
            <w:pPr>
              <w:jc w:val="right"/>
              <w:rPr>
                <w:rFonts w:eastAsia="Times New Roman"/>
                <w:sz w:val="20"/>
                <w:szCs w:val="20"/>
              </w:rPr>
            </w:pPr>
            <w:r>
              <w:rPr>
                <w:rFonts w:eastAsia="Times New Roman"/>
                <w:sz w:val="20"/>
                <w:szCs w:val="20"/>
              </w:rPr>
              <w:t>9,931</w:t>
            </w:r>
          </w:p>
        </w:tc>
        <w:tc>
          <w:tcPr>
            <w:tcW w:w="50" w:type="pct"/>
            <w:shd w:val="clear" w:color="auto" w:fill="CCEEFF"/>
            <w:vAlign w:val="bottom"/>
            <w:hideMark/>
          </w:tcPr>
          <w:p w14:paraId="323DD0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6608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61357F"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254E33E9" w14:textId="77777777" w:rsidR="00000000" w:rsidRDefault="0053651E">
            <w:pPr>
              <w:jc w:val="right"/>
              <w:rPr>
                <w:rFonts w:eastAsia="Times New Roman"/>
                <w:sz w:val="20"/>
                <w:szCs w:val="20"/>
              </w:rPr>
            </w:pPr>
            <w:r>
              <w:rPr>
                <w:rFonts w:eastAsia="Times New Roman"/>
                <w:sz w:val="20"/>
                <w:szCs w:val="20"/>
              </w:rPr>
              <w:t>14.62</w:t>
            </w:r>
          </w:p>
        </w:tc>
        <w:tc>
          <w:tcPr>
            <w:tcW w:w="50" w:type="pct"/>
            <w:shd w:val="clear" w:color="auto" w:fill="CCEEFF"/>
            <w:vAlign w:val="bottom"/>
            <w:hideMark/>
          </w:tcPr>
          <w:p w14:paraId="442A45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B010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740850"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B6F943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294FF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1335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FADA9C"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42A171D5"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4698C614" w14:textId="77777777" w:rsidR="00000000" w:rsidRDefault="0053651E">
            <w:pPr>
              <w:rPr>
                <w:rFonts w:eastAsia="Times New Roman"/>
                <w:sz w:val="20"/>
                <w:szCs w:val="20"/>
              </w:rPr>
            </w:pPr>
            <w:r>
              <w:rPr>
                <w:rFonts w:eastAsia="Times New Roman"/>
                <w:sz w:val="20"/>
                <w:szCs w:val="20"/>
              </w:rPr>
              <w:t> </w:t>
            </w:r>
          </w:p>
        </w:tc>
      </w:tr>
      <w:tr w:rsidR="00000000" w14:paraId="2CED0B77" w14:textId="77777777">
        <w:trPr>
          <w:tblCellSpacing w:w="0" w:type="dxa"/>
        </w:trPr>
        <w:tc>
          <w:tcPr>
            <w:tcW w:w="1800" w:type="pct"/>
            <w:shd w:val="clear" w:color="auto" w:fill="FFFFFF"/>
            <w:vAlign w:val="bottom"/>
            <w:hideMark/>
          </w:tcPr>
          <w:p w14:paraId="3E3DF08E" w14:textId="77777777" w:rsidR="00000000" w:rsidRDefault="0053651E">
            <w:pPr>
              <w:pStyle w:val="a3"/>
              <w:spacing w:before="0" w:beforeAutospacing="0" w:after="0" w:afterAutospacing="0"/>
              <w:rPr>
                <w:sz w:val="20"/>
                <w:szCs w:val="20"/>
              </w:rPr>
            </w:pPr>
            <w:r>
              <w:rPr>
                <w:sz w:val="20"/>
                <w:szCs w:val="20"/>
              </w:rPr>
              <w:t>February 1, 2019 – February 28, 2019</w:t>
            </w:r>
          </w:p>
        </w:tc>
        <w:tc>
          <w:tcPr>
            <w:tcW w:w="50" w:type="pct"/>
            <w:shd w:val="clear" w:color="auto" w:fill="FFFFFF"/>
            <w:vAlign w:val="bottom"/>
            <w:hideMark/>
          </w:tcPr>
          <w:p w14:paraId="694255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E70C83"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AD7C5E6" w14:textId="77777777" w:rsidR="00000000" w:rsidRDefault="0053651E">
            <w:pPr>
              <w:jc w:val="right"/>
              <w:rPr>
                <w:rFonts w:eastAsia="Times New Roman"/>
                <w:sz w:val="20"/>
                <w:szCs w:val="20"/>
              </w:rPr>
            </w:pPr>
            <w:r>
              <w:rPr>
                <w:rFonts w:eastAsia="Times New Roman"/>
                <w:sz w:val="20"/>
                <w:szCs w:val="20"/>
              </w:rPr>
              <w:t>171,591</w:t>
            </w:r>
          </w:p>
        </w:tc>
        <w:tc>
          <w:tcPr>
            <w:tcW w:w="50" w:type="pct"/>
            <w:shd w:val="clear" w:color="auto" w:fill="FFFFFF"/>
            <w:vAlign w:val="bottom"/>
            <w:hideMark/>
          </w:tcPr>
          <w:p w14:paraId="32CFC6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0E1D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9B114E"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57F39528" w14:textId="77777777" w:rsidR="00000000" w:rsidRDefault="0053651E">
            <w:pPr>
              <w:jc w:val="right"/>
              <w:rPr>
                <w:rFonts w:eastAsia="Times New Roman"/>
                <w:sz w:val="20"/>
                <w:szCs w:val="20"/>
              </w:rPr>
            </w:pPr>
            <w:r>
              <w:rPr>
                <w:rFonts w:eastAsia="Times New Roman"/>
                <w:sz w:val="20"/>
                <w:szCs w:val="20"/>
              </w:rPr>
              <w:t>17.73</w:t>
            </w:r>
          </w:p>
        </w:tc>
        <w:tc>
          <w:tcPr>
            <w:tcW w:w="50" w:type="pct"/>
            <w:shd w:val="clear" w:color="auto" w:fill="FFFFFF"/>
            <w:vAlign w:val="bottom"/>
            <w:hideMark/>
          </w:tcPr>
          <w:p w14:paraId="36AE05B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1ED94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8387A3"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7F74D2F"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558DD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296C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4668B2"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5D2B3F37"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5F2516EB" w14:textId="77777777" w:rsidR="00000000" w:rsidRDefault="0053651E">
            <w:pPr>
              <w:rPr>
                <w:rFonts w:eastAsia="Times New Roman"/>
                <w:sz w:val="20"/>
                <w:szCs w:val="20"/>
              </w:rPr>
            </w:pPr>
            <w:r>
              <w:rPr>
                <w:rFonts w:eastAsia="Times New Roman"/>
                <w:sz w:val="20"/>
                <w:szCs w:val="20"/>
              </w:rPr>
              <w:t> </w:t>
            </w:r>
          </w:p>
        </w:tc>
      </w:tr>
      <w:tr w:rsidR="00000000" w14:paraId="43CB542F" w14:textId="77777777">
        <w:trPr>
          <w:tblCellSpacing w:w="0" w:type="dxa"/>
        </w:trPr>
        <w:tc>
          <w:tcPr>
            <w:tcW w:w="1800" w:type="pct"/>
            <w:shd w:val="clear" w:color="auto" w:fill="CCEEFF"/>
            <w:vAlign w:val="bottom"/>
            <w:hideMark/>
          </w:tcPr>
          <w:p w14:paraId="1CDDA2C2" w14:textId="77777777" w:rsidR="00000000" w:rsidRDefault="0053651E">
            <w:pPr>
              <w:pStyle w:val="a3"/>
              <w:spacing w:before="0" w:beforeAutospacing="0" w:after="0" w:afterAutospacing="0"/>
              <w:rPr>
                <w:sz w:val="20"/>
                <w:szCs w:val="20"/>
              </w:rPr>
            </w:pPr>
            <w:r>
              <w:rPr>
                <w:sz w:val="20"/>
                <w:szCs w:val="20"/>
              </w:rPr>
              <w:t>March 1, 2019 – March 31, 2019</w:t>
            </w:r>
          </w:p>
        </w:tc>
        <w:tc>
          <w:tcPr>
            <w:tcW w:w="50" w:type="pct"/>
            <w:shd w:val="clear" w:color="auto" w:fill="CCEEFF"/>
            <w:vAlign w:val="bottom"/>
            <w:hideMark/>
          </w:tcPr>
          <w:p w14:paraId="7DB9ADB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4B0D84"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552637B" w14:textId="77777777" w:rsidR="00000000" w:rsidRDefault="0053651E">
            <w:pPr>
              <w:jc w:val="right"/>
              <w:rPr>
                <w:rFonts w:eastAsia="Times New Roman"/>
                <w:sz w:val="20"/>
                <w:szCs w:val="20"/>
              </w:rPr>
            </w:pPr>
            <w:r>
              <w:rPr>
                <w:rFonts w:eastAsia="Times New Roman"/>
                <w:sz w:val="20"/>
                <w:szCs w:val="20"/>
              </w:rPr>
              <w:t>2,939</w:t>
            </w:r>
          </w:p>
        </w:tc>
        <w:tc>
          <w:tcPr>
            <w:tcW w:w="50" w:type="pct"/>
            <w:shd w:val="clear" w:color="auto" w:fill="CCEEFF"/>
            <w:vAlign w:val="bottom"/>
            <w:hideMark/>
          </w:tcPr>
          <w:p w14:paraId="74BF60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E2B0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A2B0E7"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2F6965F6" w14:textId="77777777" w:rsidR="00000000" w:rsidRDefault="0053651E">
            <w:pPr>
              <w:jc w:val="right"/>
              <w:rPr>
                <w:rFonts w:eastAsia="Times New Roman"/>
                <w:sz w:val="20"/>
                <w:szCs w:val="20"/>
              </w:rPr>
            </w:pPr>
            <w:r>
              <w:rPr>
                <w:rFonts w:eastAsia="Times New Roman"/>
                <w:sz w:val="20"/>
                <w:szCs w:val="20"/>
              </w:rPr>
              <w:t>17.61</w:t>
            </w:r>
          </w:p>
        </w:tc>
        <w:tc>
          <w:tcPr>
            <w:tcW w:w="50" w:type="pct"/>
            <w:shd w:val="clear" w:color="auto" w:fill="CCEEFF"/>
            <w:vAlign w:val="bottom"/>
            <w:hideMark/>
          </w:tcPr>
          <w:p w14:paraId="797952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5550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0A4D98"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84FC11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6AF9F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9016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C32F89"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3F036D31"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0180C327" w14:textId="77777777" w:rsidR="00000000" w:rsidRDefault="0053651E">
            <w:pPr>
              <w:rPr>
                <w:rFonts w:eastAsia="Times New Roman"/>
                <w:sz w:val="20"/>
                <w:szCs w:val="20"/>
              </w:rPr>
            </w:pPr>
            <w:r>
              <w:rPr>
                <w:rFonts w:eastAsia="Times New Roman"/>
                <w:sz w:val="20"/>
                <w:szCs w:val="20"/>
              </w:rPr>
              <w:t> </w:t>
            </w:r>
          </w:p>
        </w:tc>
      </w:tr>
      <w:tr w:rsidR="00000000" w14:paraId="16D0D23E" w14:textId="77777777">
        <w:trPr>
          <w:tblCellSpacing w:w="0" w:type="dxa"/>
        </w:trPr>
        <w:tc>
          <w:tcPr>
            <w:tcW w:w="1800" w:type="pct"/>
            <w:shd w:val="clear" w:color="auto" w:fill="FFFFFF"/>
            <w:vAlign w:val="bottom"/>
            <w:hideMark/>
          </w:tcPr>
          <w:p w14:paraId="6A695E92" w14:textId="77777777" w:rsidR="00000000" w:rsidRDefault="0053651E">
            <w:pPr>
              <w:pStyle w:val="a3"/>
              <w:spacing w:before="0" w:beforeAutospacing="0" w:after="0" w:afterAutospacing="0"/>
              <w:rPr>
                <w:sz w:val="20"/>
                <w:szCs w:val="20"/>
              </w:rPr>
            </w:pPr>
            <w:r>
              <w:rPr>
                <w:sz w:val="20"/>
                <w:szCs w:val="20"/>
              </w:rPr>
              <w:t>April 1, 2019 – April 30, 2019</w:t>
            </w:r>
          </w:p>
        </w:tc>
        <w:tc>
          <w:tcPr>
            <w:tcW w:w="50" w:type="pct"/>
            <w:shd w:val="clear" w:color="auto" w:fill="FFFFFF"/>
            <w:vAlign w:val="bottom"/>
            <w:hideMark/>
          </w:tcPr>
          <w:p w14:paraId="675E07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6565E8"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6032576" w14:textId="77777777" w:rsidR="00000000" w:rsidRDefault="0053651E">
            <w:pPr>
              <w:jc w:val="right"/>
              <w:rPr>
                <w:rFonts w:eastAsia="Times New Roman"/>
                <w:sz w:val="20"/>
                <w:szCs w:val="20"/>
              </w:rPr>
            </w:pPr>
            <w:r>
              <w:rPr>
                <w:rFonts w:eastAsia="Times New Roman"/>
                <w:sz w:val="20"/>
                <w:szCs w:val="20"/>
              </w:rPr>
              <w:t>2,238</w:t>
            </w:r>
          </w:p>
        </w:tc>
        <w:tc>
          <w:tcPr>
            <w:tcW w:w="50" w:type="pct"/>
            <w:shd w:val="clear" w:color="auto" w:fill="FFFFFF"/>
            <w:vAlign w:val="bottom"/>
            <w:hideMark/>
          </w:tcPr>
          <w:p w14:paraId="51C0F1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0A94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DCCE78"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23E99ED9" w14:textId="77777777" w:rsidR="00000000" w:rsidRDefault="0053651E">
            <w:pPr>
              <w:jc w:val="right"/>
              <w:rPr>
                <w:rFonts w:eastAsia="Times New Roman"/>
                <w:sz w:val="20"/>
                <w:szCs w:val="20"/>
              </w:rPr>
            </w:pPr>
            <w:r>
              <w:rPr>
                <w:rFonts w:eastAsia="Times New Roman"/>
                <w:sz w:val="20"/>
                <w:szCs w:val="20"/>
              </w:rPr>
              <w:t>18.08</w:t>
            </w:r>
          </w:p>
        </w:tc>
        <w:tc>
          <w:tcPr>
            <w:tcW w:w="50" w:type="pct"/>
            <w:shd w:val="clear" w:color="auto" w:fill="FFFFFF"/>
            <w:vAlign w:val="bottom"/>
            <w:hideMark/>
          </w:tcPr>
          <w:p w14:paraId="547FA8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789C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14AAB3"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9E5975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7EB46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FEBC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7F6D53"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3D91BF67"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1B689961" w14:textId="77777777" w:rsidR="00000000" w:rsidRDefault="0053651E">
            <w:pPr>
              <w:rPr>
                <w:rFonts w:eastAsia="Times New Roman"/>
                <w:sz w:val="20"/>
                <w:szCs w:val="20"/>
              </w:rPr>
            </w:pPr>
            <w:r>
              <w:rPr>
                <w:rFonts w:eastAsia="Times New Roman"/>
                <w:sz w:val="20"/>
                <w:szCs w:val="20"/>
              </w:rPr>
              <w:t> </w:t>
            </w:r>
          </w:p>
        </w:tc>
      </w:tr>
      <w:tr w:rsidR="00000000" w14:paraId="674634ED" w14:textId="77777777">
        <w:trPr>
          <w:tblCellSpacing w:w="0" w:type="dxa"/>
        </w:trPr>
        <w:tc>
          <w:tcPr>
            <w:tcW w:w="1800" w:type="pct"/>
            <w:shd w:val="clear" w:color="auto" w:fill="CCEEFF"/>
            <w:vAlign w:val="bottom"/>
            <w:hideMark/>
          </w:tcPr>
          <w:p w14:paraId="641E4A3F" w14:textId="77777777" w:rsidR="00000000" w:rsidRDefault="0053651E">
            <w:pPr>
              <w:pStyle w:val="a3"/>
              <w:spacing w:before="0" w:beforeAutospacing="0" w:after="0" w:afterAutospacing="0"/>
              <w:rPr>
                <w:sz w:val="20"/>
                <w:szCs w:val="20"/>
              </w:rPr>
            </w:pPr>
            <w:r>
              <w:rPr>
                <w:sz w:val="20"/>
                <w:szCs w:val="20"/>
              </w:rPr>
              <w:t>May 1, 2019 – May 31, 2019</w:t>
            </w:r>
          </w:p>
        </w:tc>
        <w:tc>
          <w:tcPr>
            <w:tcW w:w="50" w:type="pct"/>
            <w:shd w:val="clear" w:color="auto" w:fill="CCEEFF"/>
            <w:vAlign w:val="bottom"/>
            <w:hideMark/>
          </w:tcPr>
          <w:p w14:paraId="791335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037D97"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DF609C2" w14:textId="77777777" w:rsidR="00000000" w:rsidRDefault="0053651E">
            <w:pPr>
              <w:jc w:val="right"/>
              <w:rPr>
                <w:rFonts w:eastAsia="Times New Roman"/>
                <w:sz w:val="20"/>
                <w:szCs w:val="20"/>
              </w:rPr>
            </w:pPr>
            <w:r>
              <w:rPr>
                <w:rFonts w:eastAsia="Times New Roman"/>
                <w:sz w:val="20"/>
                <w:szCs w:val="20"/>
              </w:rPr>
              <w:t>17,334</w:t>
            </w:r>
          </w:p>
        </w:tc>
        <w:tc>
          <w:tcPr>
            <w:tcW w:w="50" w:type="pct"/>
            <w:shd w:val="clear" w:color="auto" w:fill="CCEEFF"/>
            <w:vAlign w:val="bottom"/>
            <w:hideMark/>
          </w:tcPr>
          <w:p w14:paraId="52E133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89BD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494EF9"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3E6780AC" w14:textId="77777777" w:rsidR="00000000" w:rsidRDefault="0053651E">
            <w:pPr>
              <w:jc w:val="right"/>
              <w:rPr>
                <w:rFonts w:eastAsia="Times New Roman"/>
                <w:sz w:val="20"/>
                <w:szCs w:val="20"/>
              </w:rPr>
            </w:pPr>
            <w:r>
              <w:rPr>
                <w:rFonts w:eastAsia="Times New Roman"/>
                <w:sz w:val="20"/>
                <w:szCs w:val="20"/>
              </w:rPr>
              <w:t>18.09</w:t>
            </w:r>
          </w:p>
        </w:tc>
        <w:tc>
          <w:tcPr>
            <w:tcW w:w="50" w:type="pct"/>
            <w:shd w:val="clear" w:color="auto" w:fill="CCEEFF"/>
            <w:vAlign w:val="bottom"/>
            <w:hideMark/>
          </w:tcPr>
          <w:p w14:paraId="23C014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476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8FAE19"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816D59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F0CD9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1010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538842"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499F1149"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7666F808" w14:textId="77777777" w:rsidR="00000000" w:rsidRDefault="0053651E">
            <w:pPr>
              <w:rPr>
                <w:rFonts w:eastAsia="Times New Roman"/>
                <w:sz w:val="20"/>
                <w:szCs w:val="20"/>
              </w:rPr>
            </w:pPr>
            <w:r>
              <w:rPr>
                <w:rFonts w:eastAsia="Times New Roman"/>
                <w:sz w:val="20"/>
                <w:szCs w:val="20"/>
              </w:rPr>
              <w:t> </w:t>
            </w:r>
          </w:p>
        </w:tc>
      </w:tr>
      <w:tr w:rsidR="00000000" w14:paraId="2EDC8C5B" w14:textId="77777777">
        <w:trPr>
          <w:tblCellSpacing w:w="0" w:type="dxa"/>
        </w:trPr>
        <w:tc>
          <w:tcPr>
            <w:tcW w:w="1800" w:type="pct"/>
            <w:shd w:val="clear" w:color="auto" w:fill="FFFFFF"/>
            <w:vAlign w:val="bottom"/>
            <w:hideMark/>
          </w:tcPr>
          <w:p w14:paraId="0B696934" w14:textId="77777777" w:rsidR="00000000" w:rsidRDefault="0053651E">
            <w:pPr>
              <w:pStyle w:val="a3"/>
              <w:spacing w:before="0" w:beforeAutospacing="0" w:after="0" w:afterAutospacing="0"/>
              <w:rPr>
                <w:sz w:val="20"/>
                <w:szCs w:val="20"/>
              </w:rPr>
            </w:pPr>
            <w:r>
              <w:rPr>
                <w:sz w:val="20"/>
                <w:szCs w:val="20"/>
              </w:rPr>
              <w:t>June 1, 2019 – June 30, 2019</w:t>
            </w:r>
          </w:p>
        </w:tc>
        <w:tc>
          <w:tcPr>
            <w:tcW w:w="50" w:type="pct"/>
            <w:shd w:val="clear" w:color="auto" w:fill="FFFFFF"/>
            <w:vAlign w:val="bottom"/>
            <w:hideMark/>
          </w:tcPr>
          <w:p w14:paraId="65F5A2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584105"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3C32F8A" w14:textId="77777777" w:rsidR="00000000" w:rsidRDefault="0053651E">
            <w:pPr>
              <w:jc w:val="right"/>
              <w:rPr>
                <w:rFonts w:eastAsia="Times New Roman"/>
                <w:sz w:val="20"/>
                <w:szCs w:val="20"/>
              </w:rPr>
            </w:pPr>
            <w:r>
              <w:rPr>
                <w:rFonts w:eastAsia="Times New Roman"/>
                <w:sz w:val="20"/>
                <w:szCs w:val="20"/>
              </w:rPr>
              <w:t>2,402</w:t>
            </w:r>
          </w:p>
        </w:tc>
        <w:tc>
          <w:tcPr>
            <w:tcW w:w="50" w:type="pct"/>
            <w:shd w:val="clear" w:color="auto" w:fill="FFFFFF"/>
            <w:vAlign w:val="bottom"/>
            <w:hideMark/>
          </w:tcPr>
          <w:p w14:paraId="120388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AB33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D6C99E"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510199CC" w14:textId="77777777" w:rsidR="00000000" w:rsidRDefault="0053651E">
            <w:pPr>
              <w:jc w:val="right"/>
              <w:rPr>
                <w:rFonts w:eastAsia="Times New Roman"/>
                <w:sz w:val="20"/>
                <w:szCs w:val="20"/>
              </w:rPr>
            </w:pPr>
            <w:r>
              <w:rPr>
                <w:rFonts w:eastAsia="Times New Roman"/>
                <w:sz w:val="20"/>
                <w:szCs w:val="20"/>
              </w:rPr>
              <w:t>18.73</w:t>
            </w:r>
          </w:p>
        </w:tc>
        <w:tc>
          <w:tcPr>
            <w:tcW w:w="50" w:type="pct"/>
            <w:shd w:val="clear" w:color="auto" w:fill="FFFFFF"/>
            <w:vAlign w:val="bottom"/>
            <w:hideMark/>
          </w:tcPr>
          <w:p w14:paraId="45761A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E08F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00557D"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FDC9D4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D8AE3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4826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EFA46F"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7A8431F4"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3C7D52C1" w14:textId="77777777" w:rsidR="00000000" w:rsidRDefault="0053651E">
            <w:pPr>
              <w:rPr>
                <w:rFonts w:eastAsia="Times New Roman"/>
                <w:sz w:val="20"/>
                <w:szCs w:val="20"/>
              </w:rPr>
            </w:pPr>
            <w:r>
              <w:rPr>
                <w:rFonts w:eastAsia="Times New Roman"/>
                <w:sz w:val="20"/>
                <w:szCs w:val="20"/>
              </w:rPr>
              <w:t> </w:t>
            </w:r>
          </w:p>
        </w:tc>
      </w:tr>
      <w:tr w:rsidR="00000000" w14:paraId="651EE0D1" w14:textId="77777777">
        <w:trPr>
          <w:tblCellSpacing w:w="0" w:type="dxa"/>
        </w:trPr>
        <w:tc>
          <w:tcPr>
            <w:tcW w:w="1800" w:type="pct"/>
            <w:shd w:val="clear" w:color="auto" w:fill="CCEEFF"/>
            <w:vAlign w:val="bottom"/>
            <w:hideMark/>
          </w:tcPr>
          <w:p w14:paraId="5E015B85" w14:textId="77777777" w:rsidR="00000000" w:rsidRDefault="0053651E">
            <w:pPr>
              <w:pStyle w:val="a3"/>
              <w:spacing w:before="0" w:beforeAutospacing="0" w:after="0" w:afterAutospacing="0"/>
              <w:rPr>
                <w:sz w:val="20"/>
                <w:szCs w:val="20"/>
              </w:rPr>
            </w:pPr>
            <w:r>
              <w:rPr>
                <w:sz w:val="20"/>
                <w:szCs w:val="20"/>
              </w:rPr>
              <w:t>July 1, 2019 – July 31, 2019</w:t>
            </w:r>
          </w:p>
        </w:tc>
        <w:tc>
          <w:tcPr>
            <w:tcW w:w="50" w:type="pct"/>
            <w:shd w:val="clear" w:color="auto" w:fill="CCEEFF"/>
            <w:vAlign w:val="bottom"/>
            <w:hideMark/>
          </w:tcPr>
          <w:p w14:paraId="7520DC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FA1A3"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AA89F31" w14:textId="77777777" w:rsidR="00000000" w:rsidRDefault="0053651E">
            <w:pPr>
              <w:jc w:val="right"/>
              <w:rPr>
                <w:rFonts w:eastAsia="Times New Roman"/>
                <w:sz w:val="20"/>
                <w:szCs w:val="20"/>
              </w:rPr>
            </w:pPr>
            <w:r>
              <w:rPr>
                <w:rFonts w:eastAsia="Times New Roman"/>
                <w:sz w:val="20"/>
                <w:szCs w:val="20"/>
              </w:rPr>
              <w:t>3,222</w:t>
            </w:r>
          </w:p>
        </w:tc>
        <w:tc>
          <w:tcPr>
            <w:tcW w:w="50" w:type="pct"/>
            <w:shd w:val="clear" w:color="auto" w:fill="CCEEFF"/>
            <w:vAlign w:val="bottom"/>
            <w:hideMark/>
          </w:tcPr>
          <w:p w14:paraId="71EFDE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334F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83DC30"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06A2F675" w14:textId="77777777" w:rsidR="00000000" w:rsidRDefault="0053651E">
            <w:pPr>
              <w:jc w:val="right"/>
              <w:rPr>
                <w:rFonts w:eastAsia="Times New Roman"/>
                <w:sz w:val="20"/>
                <w:szCs w:val="20"/>
              </w:rPr>
            </w:pPr>
            <w:r>
              <w:rPr>
                <w:rFonts w:eastAsia="Times New Roman"/>
                <w:sz w:val="20"/>
                <w:szCs w:val="20"/>
              </w:rPr>
              <w:t>18.44</w:t>
            </w:r>
          </w:p>
        </w:tc>
        <w:tc>
          <w:tcPr>
            <w:tcW w:w="50" w:type="pct"/>
            <w:shd w:val="clear" w:color="auto" w:fill="CCEEFF"/>
            <w:vAlign w:val="bottom"/>
            <w:hideMark/>
          </w:tcPr>
          <w:p w14:paraId="34D591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A91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C915C2"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8547F9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CB034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CD83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405C16"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1919774F"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0102D7D6" w14:textId="77777777" w:rsidR="00000000" w:rsidRDefault="0053651E">
            <w:pPr>
              <w:rPr>
                <w:rFonts w:eastAsia="Times New Roman"/>
                <w:sz w:val="20"/>
                <w:szCs w:val="20"/>
              </w:rPr>
            </w:pPr>
            <w:r>
              <w:rPr>
                <w:rFonts w:eastAsia="Times New Roman"/>
                <w:sz w:val="20"/>
                <w:szCs w:val="20"/>
              </w:rPr>
              <w:t> </w:t>
            </w:r>
          </w:p>
        </w:tc>
      </w:tr>
      <w:tr w:rsidR="00000000" w14:paraId="687AFA0B" w14:textId="77777777">
        <w:trPr>
          <w:tblCellSpacing w:w="0" w:type="dxa"/>
        </w:trPr>
        <w:tc>
          <w:tcPr>
            <w:tcW w:w="1800" w:type="pct"/>
            <w:shd w:val="clear" w:color="auto" w:fill="FFFFFF"/>
            <w:vAlign w:val="bottom"/>
            <w:hideMark/>
          </w:tcPr>
          <w:p w14:paraId="6CA394FB" w14:textId="77777777" w:rsidR="00000000" w:rsidRDefault="0053651E">
            <w:pPr>
              <w:pStyle w:val="a3"/>
              <w:spacing w:before="0" w:beforeAutospacing="0" w:after="0" w:afterAutospacing="0"/>
              <w:rPr>
                <w:sz w:val="20"/>
                <w:szCs w:val="20"/>
              </w:rPr>
            </w:pPr>
            <w:r>
              <w:rPr>
                <w:sz w:val="20"/>
                <w:szCs w:val="20"/>
              </w:rPr>
              <w:t>August 1, 2019 – August 31, 2019</w:t>
            </w:r>
          </w:p>
        </w:tc>
        <w:tc>
          <w:tcPr>
            <w:tcW w:w="50" w:type="pct"/>
            <w:shd w:val="clear" w:color="auto" w:fill="FFFFFF"/>
            <w:vAlign w:val="bottom"/>
            <w:hideMark/>
          </w:tcPr>
          <w:p w14:paraId="5A974B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35AAAD"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AE1A862" w14:textId="77777777" w:rsidR="00000000" w:rsidRDefault="0053651E">
            <w:pPr>
              <w:jc w:val="right"/>
              <w:rPr>
                <w:rFonts w:eastAsia="Times New Roman"/>
                <w:sz w:val="20"/>
                <w:szCs w:val="20"/>
              </w:rPr>
            </w:pPr>
            <w:r>
              <w:rPr>
                <w:rFonts w:eastAsia="Times New Roman"/>
                <w:sz w:val="20"/>
                <w:szCs w:val="20"/>
              </w:rPr>
              <w:t>10,473</w:t>
            </w:r>
          </w:p>
        </w:tc>
        <w:tc>
          <w:tcPr>
            <w:tcW w:w="50" w:type="pct"/>
            <w:shd w:val="clear" w:color="auto" w:fill="FFFFFF"/>
            <w:vAlign w:val="bottom"/>
            <w:hideMark/>
          </w:tcPr>
          <w:p w14:paraId="5E0583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186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13C097"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38D033E0" w14:textId="77777777" w:rsidR="00000000" w:rsidRDefault="0053651E">
            <w:pPr>
              <w:jc w:val="right"/>
              <w:rPr>
                <w:rFonts w:eastAsia="Times New Roman"/>
                <w:sz w:val="20"/>
                <w:szCs w:val="20"/>
              </w:rPr>
            </w:pPr>
            <w:r>
              <w:rPr>
                <w:rFonts w:eastAsia="Times New Roman"/>
                <w:sz w:val="20"/>
                <w:szCs w:val="20"/>
              </w:rPr>
              <w:t>19.03</w:t>
            </w:r>
          </w:p>
        </w:tc>
        <w:tc>
          <w:tcPr>
            <w:tcW w:w="50" w:type="pct"/>
            <w:shd w:val="clear" w:color="auto" w:fill="FFFFFF"/>
            <w:vAlign w:val="bottom"/>
            <w:hideMark/>
          </w:tcPr>
          <w:p w14:paraId="2662FC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6E68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AEEEA0"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E05497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BDF3B4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F315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8F7401"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27622ED8"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7CABDE45" w14:textId="77777777" w:rsidR="00000000" w:rsidRDefault="0053651E">
            <w:pPr>
              <w:rPr>
                <w:rFonts w:eastAsia="Times New Roman"/>
                <w:sz w:val="20"/>
                <w:szCs w:val="20"/>
              </w:rPr>
            </w:pPr>
            <w:r>
              <w:rPr>
                <w:rFonts w:eastAsia="Times New Roman"/>
                <w:sz w:val="20"/>
                <w:szCs w:val="20"/>
              </w:rPr>
              <w:t> </w:t>
            </w:r>
          </w:p>
        </w:tc>
      </w:tr>
      <w:tr w:rsidR="00000000" w14:paraId="6D5FA19C" w14:textId="77777777">
        <w:trPr>
          <w:tblCellSpacing w:w="0" w:type="dxa"/>
        </w:trPr>
        <w:tc>
          <w:tcPr>
            <w:tcW w:w="1800" w:type="pct"/>
            <w:shd w:val="clear" w:color="auto" w:fill="CCEEFF"/>
            <w:vAlign w:val="bottom"/>
            <w:hideMark/>
          </w:tcPr>
          <w:p w14:paraId="50D7774C" w14:textId="77777777" w:rsidR="00000000" w:rsidRDefault="0053651E">
            <w:pPr>
              <w:pStyle w:val="a3"/>
              <w:spacing w:before="0" w:beforeAutospacing="0" w:after="0" w:afterAutospacing="0"/>
              <w:rPr>
                <w:sz w:val="20"/>
                <w:szCs w:val="20"/>
              </w:rPr>
            </w:pPr>
            <w:r>
              <w:rPr>
                <w:sz w:val="20"/>
                <w:szCs w:val="20"/>
              </w:rPr>
              <w:t>September 1, 2019 – September 30, 2019</w:t>
            </w:r>
          </w:p>
        </w:tc>
        <w:tc>
          <w:tcPr>
            <w:tcW w:w="50" w:type="pct"/>
            <w:shd w:val="clear" w:color="auto" w:fill="CCEEFF"/>
            <w:vAlign w:val="bottom"/>
            <w:hideMark/>
          </w:tcPr>
          <w:p w14:paraId="75088F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7F9D3A"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EBFAA3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9F2BC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40F7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598392"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401982E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BEE1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ED57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1EB7F"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BC431E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0BBC2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20FF2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E8D7BB"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59A8D7A1"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3D652C41" w14:textId="77777777" w:rsidR="00000000" w:rsidRDefault="0053651E">
            <w:pPr>
              <w:rPr>
                <w:rFonts w:eastAsia="Times New Roman"/>
                <w:sz w:val="20"/>
                <w:szCs w:val="20"/>
              </w:rPr>
            </w:pPr>
            <w:r>
              <w:rPr>
                <w:rFonts w:eastAsia="Times New Roman"/>
                <w:sz w:val="20"/>
                <w:szCs w:val="20"/>
              </w:rPr>
              <w:t> </w:t>
            </w:r>
          </w:p>
        </w:tc>
      </w:tr>
      <w:tr w:rsidR="00000000" w14:paraId="44BADBEF" w14:textId="77777777">
        <w:trPr>
          <w:tblCellSpacing w:w="0" w:type="dxa"/>
        </w:trPr>
        <w:tc>
          <w:tcPr>
            <w:tcW w:w="1800" w:type="pct"/>
            <w:shd w:val="clear" w:color="auto" w:fill="FFFFFF"/>
            <w:vAlign w:val="bottom"/>
            <w:hideMark/>
          </w:tcPr>
          <w:p w14:paraId="08C7E260" w14:textId="77777777" w:rsidR="00000000" w:rsidRDefault="0053651E">
            <w:pPr>
              <w:pStyle w:val="a3"/>
              <w:spacing w:before="0" w:beforeAutospacing="0" w:after="0" w:afterAutospacing="0"/>
              <w:rPr>
                <w:sz w:val="20"/>
                <w:szCs w:val="20"/>
              </w:rPr>
            </w:pPr>
            <w:r>
              <w:rPr>
                <w:sz w:val="20"/>
                <w:szCs w:val="20"/>
              </w:rPr>
              <w:t>October 1, 2019 – October 31, 2019</w:t>
            </w:r>
          </w:p>
        </w:tc>
        <w:tc>
          <w:tcPr>
            <w:tcW w:w="50" w:type="pct"/>
            <w:shd w:val="clear" w:color="auto" w:fill="FFFFFF"/>
            <w:vAlign w:val="bottom"/>
            <w:hideMark/>
          </w:tcPr>
          <w:p w14:paraId="774424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33D310"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B34C72F" w14:textId="77777777" w:rsidR="00000000" w:rsidRDefault="0053651E">
            <w:pPr>
              <w:jc w:val="right"/>
              <w:rPr>
                <w:rFonts w:eastAsia="Times New Roman"/>
                <w:sz w:val="20"/>
                <w:szCs w:val="20"/>
              </w:rPr>
            </w:pPr>
            <w:r>
              <w:rPr>
                <w:rFonts w:eastAsia="Times New Roman"/>
                <w:sz w:val="20"/>
                <w:szCs w:val="20"/>
              </w:rPr>
              <w:t>3,479</w:t>
            </w:r>
          </w:p>
        </w:tc>
        <w:tc>
          <w:tcPr>
            <w:tcW w:w="50" w:type="pct"/>
            <w:shd w:val="clear" w:color="auto" w:fill="FFFFFF"/>
            <w:vAlign w:val="bottom"/>
            <w:hideMark/>
          </w:tcPr>
          <w:p w14:paraId="72CA1C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BA36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D99FC6"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2FD356EE" w14:textId="77777777" w:rsidR="00000000" w:rsidRDefault="0053651E">
            <w:pPr>
              <w:jc w:val="right"/>
              <w:rPr>
                <w:rFonts w:eastAsia="Times New Roman"/>
                <w:sz w:val="20"/>
                <w:szCs w:val="20"/>
              </w:rPr>
            </w:pPr>
            <w:r>
              <w:rPr>
                <w:rFonts w:eastAsia="Times New Roman"/>
                <w:sz w:val="20"/>
                <w:szCs w:val="20"/>
              </w:rPr>
              <w:t>21.02</w:t>
            </w:r>
          </w:p>
        </w:tc>
        <w:tc>
          <w:tcPr>
            <w:tcW w:w="50" w:type="pct"/>
            <w:shd w:val="clear" w:color="auto" w:fill="FFFFFF"/>
            <w:vAlign w:val="bottom"/>
            <w:hideMark/>
          </w:tcPr>
          <w:p w14:paraId="59BAC6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694D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DDC5C4"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5F8FB5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BCF44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895A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5F5520"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75518FAD"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5501E4FF" w14:textId="77777777" w:rsidR="00000000" w:rsidRDefault="0053651E">
            <w:pPr>
              <w:rPr>
                <w:rFonts w:eastAsia="Times New Roman"/>
                <w:sz w:val="20"/>
                <w:szCs w:val="20"/>
              </w:rPr>
            </w:pPr>
            <w:r>
              <w:rPr>
                <w:rFonts w:eastAsia="Times New Roman"/>
                <w:sz w:val="20"/>
                <w:szCs w:val="20"/>
              </w:rPr>
              <w:t> </w:t>
            </w:r>
          </w:p>
        </w:tc>
      </w:tr>
      <w:tr w:rsidR="00000000" w14:paraId="6E6693BB" w14:textId="77777777">
        <w:trPr>
          <w:tblCellSpacing w:w="0" w:type="dxa"/>
        </w:trPr>
        <w:tc>
          <w:tcPr>
            <w:tcW w:w="1800" w:type="pct"/>
            <w:shd w:val="clear" w:color="auto" w:fill="CCEEFF"/>
            <w:vAlign w:val="bottom"/>
            <w:hideMark/>
          </w:tcPr>
          <w:p w14:paraId="4F943CBC" w14:textId="77777777" w:rsidR="00000000" w:rsidRDefault="0053651E">
            <w:pPr>
              <w:pStyle w:val="a3"/>
              <w:spacing w:before="0" w:beforeAutospacing="0" w:after="0" w:afterAutospacing="0"/>
              <w:rPr>
                <w:sz w:val="20"/>
                <w:szCs w:val="20"/>
              </w:rPr>
            </w:pPr>
            <w:r>
              <w:rPr>
                <w:sz w:val="20"/>
                <w:szCs w:val="20"/>
              </w:rPr>
              <w:t>November 1, 2019 – November 30, 2019</w:t>
            </w:r>
          </w:p>
        </w:tc>
        <w:tc>
          <w:tcPr>
            <w:tcW w:w="50" w:type="pct"/>
            <w:shd w:val="clear" w:color="auto" w:fill="CCEEFF"/>
            <w:vAlign w:val="bottom"/>
            <w:hideMark/>
          </w:tcPr>
          <w:p w14:paraId="04EADB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E54ADE"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776043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58D46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DAE6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CB902F"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3367103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E546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D2C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5490D1"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0446CE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C13B9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BF87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BABE48"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7022A2CD"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7BCC79B8" w14:textId="77777777" w:rsidR="00000000" w:rsidRDefault="0053651E">
            <w:pPr>
              <w:rPr>
                <w:rFonts w:eastAsia="Times New Roman"/>
                <w:sz w:val="20"/>
                <w:szCs w:val="20"/>
              </w:rPr>
            </w:pPr>
            <w:r>
              <w:rPr>
                <w:rFonts w:eastAsia="Times New Roman"/>
                <w:sz w:val="20"/>
                <w:szCs w:val="20"/>
              </w:rPr>
              <w:t> </w:t>
            </w:r>
          </w:p>
        </w:tc>
      </w:tr>
      <w:tr w:rsidR="00000000" w14:paraId="1DD7E593" w14:textId="77777777">
        <w:trPr>
          <w:tblCellSpacing w:w="0" w:type="dxa"/>
        </w:trPr>
        <w:tc>
          <w:tcPr>
            <w:tcW w:w="1800" w:type="pct"/>
            <w:shd w:val="clear" w:color="auto" w:fill="FFFFFF"/>
            <w:vAlign w:val="bottom"/>
            <w:hideMark/>
          </w:tcPr>
          <w:p w14:paraId="703E71EE" w14:textId="77777777" w:rsidR="00000000" w:rsidRDefault="0053651E">
            <w:pPr>
              <w:pStyle w:val="a3"/>
              <w:spacing w:before="0" w:beforeAutospacing="0" w:after="0" w:afterAutospacing="0"/>
              <w:rPr>
                <w:sz w:val="20"/>
                <w:szCs w:val="20"/>
              </w:rPr>
            </w:pPr>
            <w:r>
              <w:rPr>
                <w:sz w:val="20"/>
                <w:szCs w:val="20"/>
              </w:rPr>
              <w:t>December 1, 2019 – December 31, 2019</w:t>
            </w:r>
          </w:p>
        </w:tc>
        <w:tc>
          <w:tcPr>
            <w:tcW w:w="50" w:type="pct"/>
            <w:shd w:val="clear" w:color="auto" w:fill="FFFFFF"/>
            <w:vAlign w:val="bottom"/>
            <w:hideMark/>
          </w:tcPr>
          <w:p w14:paraId="26A5A13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256D4E" w14:textId="77777777" w:rsidR="00000000" w:rsidRDefault="0053651E">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25DF0C0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8DD0E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9493F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FE44D4" w14:textId="77777777" w:rsidR="00000000" w:rsidRDefault="0053651E">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FFFFFF"/>
            <w:vAlign w:val="bottom"/>
            <w:hideMark/>
          </w:tcPr>
          <w:p w14:paraId="06A32C6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CEBCF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8717E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2AD39DD" w14:textId="77777777" w:rsidR="00000000" w:rsidRDefault="0053651E">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4A917C3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A566A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A17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70811D"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28162674" w14:textId="77777777" w:rsidR="00000000" w:rsidRDefault="0053651E">
            <w:pPr>
              <w:jc w:val="right"/>
              <w:rPr>
                <w:rFonts w:eastAsia="Times New Roman"/>
                <w:sz w:val="20"/>
                <w:szCs w:val="20"/>
              </w:rPr>
            </w:pPr>
            <w:r>
              <w:rPr>
                <w:rFonts w:eastAsia="Times New Roman"/>
                <w:sz w:val="20"/>
                <w:szCs w:val="20"/>
              </w:rPr>
              <w:t>224.9</w:t>
            </w:r>
          </w:p>
        </w:tc>
        <w:tc>
          <w:tcPr>
            <w:tcW w:w="50" w:type="pct"/>
            <w:shd w:val="clear" w:color="auto" w:fill="FFFFFF"/>
            <w:tcMar>
              <w:top w:w="0" w:type="dxa"/>
              <w:left w:w="0" w:type="dxa"/>
              <w:bottom w:w="15" w:type="dxa"/>
              <w:right w:w="0" w:type="dxa"/>
            </w:tcMar>
            <w:vAlign w:val="bottom"/>
            <w:hideMark/>
          </w:tcPr>
          <w:p w14:paraId="74CDFFB6" w14:textId="77777777" w:rsidR="00000000" w:rsidRDefault="0053651E">
            <w:pPr>
              <w:rPr>
                <w:rFonts w:eastAsia="Times New Roman"/>
                <w:sz w:val="20"/>
                <w:szCs w:val="20"/>
              </w:rPr>
            </w:pPr>
            <w:r>
              <w:rPr>
                <w:rFonts w:eastAsia="Times New Roman"/>
                <w:sz w:val="20"/>
                <w:szCs w:val="20"/>
              </w:rPr>
              <w:t> </w:t>
            </w:r>
          </w:p>
        </w:tc>
      </w:tr>
      <w:tr w:rsidR="00000000" w14:paraId="7CA112E8" w14:textId="77777777">
        <w:trPr>
          <w:tblCellSpacing w:w="0" w:type="dxa"/>
        </w:trPr>
        <w:tc>
          <w:tcPr>
            <w:tcW w:w="1800" w:type="pct"/>
            <w:shd w:val="clear" w:color="auto" w:fill="CCEEFF"/>
            <w:vAlign w:val="bottom"/>
            <w:hideMark/>
          </w:tcPr>
          <w:p w14:paraId="7E8F0700" w14:textId="77777777" w:rsidR="00000000" w:rsidRDefault="0053651E">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14:paraId="500C799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9A199F5" w14:textId="77777777" w:rsidR="00000000" w:rsidRDefault="0053651E">
            <w:pPr>
              <w:rPr>
                <w:rFonts w:eastAsia="Times New Roman"/>
                <w:sz w:val="20"/>
                <w:szCs w:val="20"/>
              </w:rPr>
            </w:pPr>
            <w:r>
              <w:rPr>
                <w:rFonts w:eastAsia="Times New Roman"/>
                <w:b/>
                <w:bCs/>
                <w:sz w:val="20"/>
                <w:szCs w:val="20"/>
              </w:rPr>
              <w:t> </w:t>
            </w:r>
          </w:p>
        </w:tc>
        <w:tc>
          <w:tcPr>
            <w:tcW w:w="650" w:type="pct"/>
            <w:tcBorders>
              <w:bottom w:val="double" w:sz="6" w:space="0" w:color="000000"/>
            </w:tcBorders>
            <w:shd w:val="clear" w:color="auto" w:fill="CCEEFF"/>
            <w:vAlign w:val="bottom"/>
            <w:hideMark/>
          </w:tcPr>
          <w:p w14:paraId="179C0866" w14:textId="77777777" w:rsidR="00000000" w:rsidRDefault="0053651E">
            <w:pPr>
              <w:jc w:val="right"/>
              <w:rPr>
                <w:rFonts w:eastAsia="Times New Roman"/>
                <w:sz w:val="20"/>
                <w:szCs w:val="20"/>
              </w:rPr>
            </w:pPr>
            <w:r>
              <w:rPr>
                <w:rFonts w:eastAsia="Times New Roman"/>
                <w:b/>
                <w:bCs/>
                <w:sz w:val="20"/>
                <w:szCs w:val="20"/>
              </w:rPr>
              <w:t>223,609</w:t>
            </w:r>
          </w:p>
        </w:tc>
        <w:tc>
          <w:tcPr>
            <w:tcW w:w="50" w:type="pct"/>
            <w:shd w:val="clear" w:color="auto" w:fill="CCEEFF"/>
            <w:tcMar>
              <w:top w:w="0" w:type="dxa"/>
              <w:left w:w="0" w:type="dxa"/>
              <w:bottom w:w="45" w:type="dxa"/>
              <w:right w:w="0" w:type="dxa"/>
            </w:tcMar>
            <w:vAlign w:val="bottom"/>
            <w:hideMark/>
          </w:tcPr>
          <w:p w14:paraId="57FAF3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6E2C7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AAB9923" w14:textId="77777777" w:rsidR="00000000" w:rsidRDefault="0053651E">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741E7C06" w14:textId="77777777" w:rsidR="00000000" w:rsidRDefault="0053651E">
            <w:pPr>
              <w:jc w:val="right"/>
              <w:rPr>
                <w:rFonts w:eastAsia="Times New Roman"/>
                <w:sz w:val="20"/>
                <w:szCs w:val="20"/>
              </w:rPr>
            </w:pPr>
            <w:r>
              <w:rPr>
                <w:rFonts w:eastAsia="Times New Roman"/>
                <w:b/>
                <w:bCs/>
                <w:sz w:val="20"/>
                <w:szCs w:val="20"/>
              </w:rPr>
              <w:t>17.76</w:t>
            </w:r>
          </w:p>
        </w:tc>
        <w:tc>
          <w:tcPr>
            <w:tcW w:w="50" w:type="pct"/>
            <w:shd w:val="clear" w:color="auto" w:fill="CCEEFF"/>
            <w:tcMar>
              <w:top w:w="0" w:type="dxa"/>
              <w:left w:w="0" w:type="dxa"/>
              <w:bottom w:w="45" w:type="dxa"/>
              <w:right w:w="0" w:type="dxa"/>
            </w:tcMar>
            <w:vAlign w:val="bottom"/>
            <w:hideMark/>
          </w:tcPr>
          <w:p w14:paraId="5088E7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2F3DB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25F5937" w14:textId="77777777" w:rsidR="00000000" w:rsidRDefault="0053651E">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14:paraId="5EEE749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CFC78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A80C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F000DD"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35E0276"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8916372" w14:textId="77777777" w:rsidR="00000000" w:rsidRDefault="0053651E">
            <w:pPr>
              <w:rPr>
                <w:rFonts w:eastAsia="Times New Roman"/>
                <w:sz w:val="20"/>
                <w:szCs w:val="20"/>
              </w:rPr>
            </w:pPr>
            <w:r>
              <w:rPr>
                <w:rFonts w:eastAsia="Times New Roman"/>
                <w:sz w:val="20"/>
                <w:szCs w:val="20"/>
              </w:rPr>
              <w:t> </w:t>
            </w:r>
          </w:p>
        </w:tc>
      </w:tr>
    </w:tbl>
    <w:p w14:paraId="4A5F5048" w14:textId="77777777" w:rsidR="00000000" w:rsidRDefault="0053651E">
      <w:pPr>
        <w:pStyle w:val="a3"/>
        <w:spacing w:before="0" w:beforeAutospacing="0" w:after="0" w:afterAutospacing="0"/>
        <w:rPr>
          <w:sz w:val="20"/>
          <w:szCs w:val="20"/>
        </w:rPr>
      </w:pPr>
      <w:r>
        <w:rPr>
          <w:sz w:val="20"/>
          <w:szCs w:val="20"/>
        </w:rPr>
        <w:t> </w:t>
      </w:r>
    </w:p>
    <w:p w14:paraId="4597B9B1" w14:textId="77777777" w:rsidR="00000000" w:rsidRDefault="0053651E">
      <w:pPr>
        <w:pStyle w:val="a3"/>
        <w:spacing w:before="0" w:beforeAutospacing="0" w:after="0" w:afterAutospacing="0"/>
        <w:ind w:firstLine="360"/>
        <w:jc w:val="both"/>
        <w:rPr>
          <w:sz w:val="20"/>
          <w:szCs w:val="20"/>
        </w:rPr>
      </w:pPr>
      <w:r>
        <w:rPr>
          <w:sz w:val="20"/>
          <w:szCs w:val="20"/>
          <w:u w:val="single"/>
        </w:rPr>
        <w:t>Total Stockholder Return Performance:</w:t>
      </w:r>
      <w:r>
        <w:rPr>
          <w:sz w:val="20"/>
          <w:szCs w:val="20"/>
        </w:rPr>
        <w:t xml:space="preserve"> </w:t>
      </w:r>
      <w:r>
        <w:rPr>
          <w:sz w:val="20"/>
          <w:szCs w:val="20"/>
        </w:rPr>
        <w:t>The following performance chart compares, over the five years ended December 31, 2019, the cumulative total stockholder return on the Company’s common stock with the cumulative total return of the S&amp;P 500 Index and the cumulative total return of the NAREIT</w:t>
      </w:r>
      <w:r>
        <w:rPr>
          <w:sz w:val="20"/>
          <w:szCs w:val="20"/>
        </w:rPr>
        <w:t xml:space="preserve"> Equity REITs Index (the “NAREIT Equity REITs”) prepared and published by the National Association of Real Estate Investment Trusts (“NAREIT”). The NAREIT Equity REIT Index is a free-float adjusted, market capitalization-weighted index of U.S. equity REITs</w:t>
      </w:r>
      <w:r>
        <w:rPr>
          <w:sz w:val="20"/>
          <w:szCs w:val="20"/>
        </w:rPr>
        <w:t>. Constituents of the index include all tax-qualified REITs with more than 50% of total assets in qualifying real estate assets other than mortgages secured by real property.</w:t>
      </w:r>
    </w:p>
    <w:p w14:paraId="68BB857A" w14:textId="77777777" w:rsidR="00000000" w:rsidRDefault="0053651E">
      <w:pPr>
        <w:pStyle w:val="a3"/>
        <w:spacing w:before="0" w:beforeAutospacing="0" w:after="0" w:afterAutospacing="0"/>
        <w:ind w:firstLine="360"/>
        <w:jc w:val="both"/>
        <w:rPr>
          <w:sz w:val="20"/>
          <w:szCs w:val="20"/>
        </w:rPr>
      </w:pPr>
      <w:r>
        <w:rPr>
          <w:sz w:val="20"/>
          <w:szCs w:val="20"/>
        </w:rPr>
        <w:t> </w:t>
      </w:r>
    </w:p>
    <w:p w14:paraId="7CFC92C7" w14:textId="77777777" w:rsidR="00000000" w:rsidRDefault="0053651E">
      <w:pPr>
        <w:pStyle w:val="a3"/>
        <w:spacing w:before="0" w:beforeAutospacing="0" w:after="0" w:afterAutospacing="0"/>
        <w:ind w:firstLine="360"/>
        <w:jc w:val="both"/>
        <w:rPr>
          <w:sz w:val="20"/>
          <w:szCs w:val="20"/>
        </w:rPr>
      </w:pPr>
      <w:r>
        <w:rPr>
          <w:sz w:val="20"/>
          <w:szCs w:val="20"/>
        </w:rPr>
        <w:t>Stockholder return performance, presented annually for the five years ended Dec</w:t>
      </w:r>
      <w:r>
        <w:rPr>
          <w:sz w:val="20"/>
          <w:szCs w:val="20"/>
        </w:rPr>
        <w:t>ember 31, 2019, is not necessarily indicative of future results. All stockholder return performance assumes the reinvestment of dividends. The information in this paragraph and the following performance chart are deemed to be furnished, not filed.</w:t>
      </w:r>
    </w:p>
    <w:p w14:paraId="0097C6FF" w14:textId="77777777" w:rsidR="00000000" w:rsidRDefault="0053651E">
      <w:pPr>
        <w:pStyle w:val="a3"/>
        <w:spacing w:before="0" w:beforeAutospacing="0" w:after="0" w:afterAutospacing="0"/>
        <w:ind w:firstLine="360"/>
        <w:jc w:val="both"/>
        <w:rPr>
          <w:sz w:val="20"/>
          <w:szCs w:val="20"/>
        </w:rPr>
      </w:pPr>
      <w:r>
        <w:rPr>
          <w:sz w:val="20"/>
          <w:szCs w:val="20"/>
        </w:rPr>
        <w:t> </w:t>
      </w:r>
    </w:p>
    <w:p w14:paraId="59B9CAED" w14:textId="77777777" w:rsidR="00000000" w:rsidRDefault="0053651E">
      <w:pPr>
        <w:pStyle w:val="a3"/>
        <w:spacing w:before="0" w:beforeAutospacing="0" w:after="0" w:afterAutospacing="0"/>
        <w:ind w:firstLine="360"/>
        <w:jc w:val="center"/>
        <w:rPr>
          <w:sz w:val="20"/>
          <w:szCs w:val="20"/>
        </w:rPr>
      </w:pPr>
      <w:r>
        <w:rPr>
          <w:noProof/>
          <w:sz w:val="20"/>
          <w:szCs w:val="20"/>
        </w:rPr>
        <w:drawing>
          <wp:inline distT="0" distB="0" distL="0" distR="0" wp14:anchorId="63D5CA4D" wp14:editId="1BBEE522">
            <wp:extent cx="304800" cy="304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AAB8F8" w14:textId="77777777" w:rsidR="00000000" w:rsidRDefault="0053651E">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967"/>
        <w:gridCol w:w="69"/>
        <w:gridCol w:w="100"/>
        <w:gridCol w:w="775"/>
        <w:gridCol w:w="69"/>
        <w:gridCol w:w="70"/>
        <w:gridCol w:w="100"/>
        <w:gridCol w:w="776"/>
        <w:gridCol w:w="70"/>
        <w:gridCol w:w="70"/>
        <w:gridCol w:w="100"/>
        <w:gridCol w:w="776"/>
        <w:gridCol w:w="70"/>
        <w:gridCol w:w="70"/>
        <w:gridCol w:w="100"/>
        <w:gridCol w:w="776"/>
        <w:gridCol w:w="70"/>
        <w:gridCol w:w="70"/>
        <w:gridCol w:w="100"/>
        <w:gridCol w:w="776"/>
        <w:gridCol w:w="70"/>
        <w:gridCol w:w="70"/>
        <w:gridCol w:w="100"/>
        <w:gridCol w:w="776"/>
        <w:gridCol w:w="70"/>
      </w:tblGrid>
      <w:tr w:rsidR="00000000" w14:paraId="5C252336" w14:textId="77777777">
        <w:trPr>
          <w:tblCellSpacing w:w="0" w:type="dxa"/>
        </w:trPr>
        <w:tc>
          <w:tcPr>
            <w:tcW w:w="600" w:type="pct"/>
            <w:tcBorders>
              <w:bottom w:val="single" w:sz="6" w:space="0" w:color="000000"/>
            </w:tcBorders>
            <w:vAlign w:val="bottom"/>
            <w:hideMark/>
          </w:tcPr>
          <w:p w14:paraId="7B86E359" w14:textId="77777777" w:rsidR="00000000" w:rsidRDefault="0053651E">
            <w:pPr>
              <w:rPr>
                <w:rFonts w:eastAsia="Times New Roman"/>
                <w:sz w:val="20"/>
                <w:szCs w:val="20"/>
              </w:rPr>
            </w:pPr>
            <w:r>
              <w:rPr>
                <w:rFonts w:eastAsia="Times New Roman"/>
                <w:sz w:val="20"/>
                <w:szCs w:val="20"/>
              </w:rPr>
              <w:t> </w:t>
            </w:r>
          </w:p>
        </w:tc>
        <w:tc>
          <w:tcPr>
            <w:tcW w:w="3850" w:type="pct"/>
            <w:gridSpan w:val="23"/>
            <w:tcBorders>
              <w:bottom w:val="single" w:sz="6" w:space="0" w:color="000000"/>
            </w:tcBorders>
            <w:vAlign w:val="bottom"/>
            <w:hideMark/>
          </w:tcPr>
          <w:p w14:paraId="00CCC4B2" w14:textId="77777777" w:rsidR="00000000" w:rsidRDefault="0053651E">
            <w:pPr>
              <w:pStyle w:val="a3"/>
              <w:spacing w:before="0" w:beforeAutospacing="0" w:after="0" w:afterAutospacing="0"/>
              <w:jc w:val="center"/>
              <w:rPr>
                <w:sz w:val="20"/>
                <w:szCs w:val="20"/>
              </w:rPr>
            </w:pPr>
            <w:r>
              <w:rPr>
                <w:b/>
                <w:bCs/>
                <w:sz w:val="20"/>
                <w:szCs w:val="20"/>
              </w:rPr>
              <w:t>Comparison of 5 year cumulative total return data points</w:t>
            </w:r>
          </w:p>
        </w:tc>
        <w:tc>
          <w:tcPr>
            <w:tcW w:w="50" w:type="pct"/>
            <w:vAlign w:val="bottom"/>
            <w:hideMark/>
          </w:tcPr>
          <w:p w14:paraId="4AA2A1C7" w14:textId="77777777" w:rsidR="00000000" w:rsidRDefault="0053651E">
            <w:pPr>
              <w:rPr>
                <w:rFonts w:eastAsia="Times New Roman"/>
                <w:sz w:val="20"/>
                <w:szCs w:val="20"/>
              </w:rPr>
            </w:pPr>
            <w:r>
              <w:rPr>
                <w:rFonts w:eastAsia="Times New Roman"/>
                <w:sz w:val="20"/>
                <w:szCs w:val="20"/>
              </w:rPr>
              <w:t> </w:t>
            </w:r>
          </w:p>
        </w:tc>
      </w:tr>
      <w:tr w:rsidR="00000000" w14:paraId="7AD5A083" w14:textId="77777777">
        <w:trPr>
          <w:tblCellSpacing w:w="0" w:type="dxa"/>
        </w:trPr>
        <w:tc>
          <w:tcPr>
            <w:tcW w:w="600" w:type="pct"/>
            <w:tcBorders>
              <w:bottom w:val="single" w:sz="6" w:space="0" w:color="000000"/>
            </w:tcBorders>
            <w:vAlign w:val="bottom"/>
            <w:hideMark/>
          </w:tcPr>
          <w:p w14:paraId="17C4C4B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tcMar>
              <w:top w:w="0" w:type="dxa"/>
              <w:left w:w="0" w:type="dxa"/>
              <w:bottom w:w="15" w:type="dxa"/>
              <w:right w:w="0" w:type="dxa"/>
            </w:tcMar>
            <w:vAlign w:val="bottom"/>
            <w:hideMark/>
          </w:tcPr>
          <w:p w14:paraId="72BB116B"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D982285" w14:textId="77777777" w:rsidR="00000000" w:rsidRDefault="0053651E">
            <w:pPr>
              <w:pStyle w:val="a3"/>
              <w:spacing w:before="0" w:beforeAutospacing="0" w:after="0" w:afterAutospacing="0"/>
              <w:jc w:val="center"/>
              <w:rPr>
                <w:sz w:val="20"/>
                <w:szCs w:val="20"/>
              </w:rPr>
            </w:pPr>
            <w:r>
              <w:rPr>
                <w:b/>
                <w:bCs/>
                <w:sz w:val="20"/>
                <w:szCs w:val="20"/>
              </w:rPr>
              <w:t>Dec-14</w:t>
            </w:r>
          </w:p>
        </w:tc>
        <w:tc>
          <w:tcPr>
            <w:tcW w:w="50" w:type="pct"/>
            <w:tcBorders>
              <w:bottom w:val="single" w:sz="6" w:space="0" w:color="000000"/>
            </w:tcBorders>
            <w:vAlign w:val="bottom"/>
            <w:hideMark/>
          </w:tcPr>
          <w:p w14:paraId="20710A7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2BABD31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9CD30D4" w14:textId="77777777" w:rsidR="00000000" w:rsidRDefault="0053651E">
            <w:pPr>
              <w:pStyle w:val="a3"/>
              <w:spacing w:before="0" w:beforeAutospacing="0" w:after="0" w:afterAutospacing="0"/>
              <w:jc w:val="center"/>
              <w:rPr>
                <w:sz w:val="20"/>
                <w:szCs w:val="20"/>
              </w:rPr>
            </w:pPr>
            <w:r>
              <w:rPr>
                <w:b/>
                <w:bCs/>
                <w:sz w:val="20"/>
                <w:szCs w:val="20"/>
              </w:rPr>
              <w:t>Dec-15</w:t>
            </w:r>
          </w:p>
        </w:tc>
        <w:tc>
          <w:tcPr>
            <w:tcW w:w="50" w:type="pct"/>
            <w:tcBorders>
              <w:bottom w:val="single" w:sz="6" w:space="0" w:color="000000"/>
            </w:tcBorders>
            <w:vAlign w:val="bottom"/>
            <w:hideMark/>
          </w:tcPr>
          <w:p w14:paraId="4FD7264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0BE570C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C235D99" w14:textId="77777777" w:rsidR="00000000" w:rsidRDefault="0053651E">
            <w:pPr>
              <w:pStyle w:val="a3"/>
              <w:spacing w:before="0" w:beforeAutospacing="0" w:after="0" w:afterAutospacing="0"/>
              <w:jc w:val="center"/>
              <w:rPr>
                <w:sz w:val="20"/>
                <w:szCs w:val="20"/>
              </w:rPr>
            </w:pPr>
            <w:r>
              <w:rPr>
                <w:b/>
                <w:bCs/>
                <w:sz w:val="20"/>
                <w:szCs w:val="20"/>
              </w:rPr>
              <w:t>Dec-16</w:t>
            </w:r>
          </w:p>
        </w:tc>
        <w:tc>
          <w:tcPr>
            <w:tcW w:w="50" w:type="pct"/>
            <w:tcBorders>
              <w:bottom w:val="single" w:sz="6" w:space="0" w:color="000000"/>
            </w:tcBorders>
            <w:vAlign w:val="bottom"/>
            <w:hideMark/>
          </w:tcPr>
          <w:p w14:paraId="73CAAD5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168DF1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F423769" w14:textId="77777777" w:rsidR="00000000" w:rsidRDefault="0053651E">
            <w:pPr>
              <w:pStyle w:val="a3"/>
              <w:spacing w:before="0" w:beforeAutospacing="0" w:after="0" w:afterAutospacing="0"/>
              <w:jc w:val="center"/>
              <w:rPr>
                <w:sz w:val="20"/>
                <w:szCs w:val="20"/>
              </w:rPr>
            </w:pPr>
            <w:r>
              <w:rPr>
                <w:b/>
                <w:bCs/>
                <w:sz w:val="20"/>
                <w:szCs w:val="20"/>
              </w:rPr>
              <w:t>Dec-17</w:t>
            </w:r>
          </w:p>
        </w:tc>
        <w:tc>
          <w:tcPr>
            <w:tcW w:w="50" w:type="pct"/>
            <w:tcBorders>
              <w:bottom w:val="single" w:sz="6" w:space="0" w:color="000000"/>
            </w:tcBorders>
            <w:vAlign w:val="bottom"/>
            <w:hideMark/>
          </w:tcPr>
          <w:p w14:paraId="5A54A5B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7C67216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B790273" w14:textId="77777777" w:rsidR="00000000" w:rsidRDefault="0053651E">
            <w:pPr>
              <w:pStyle w:val="a3"/>
              <w:spacing w:before="0" w:beforeAutospacing="0" w:after="0" w:afterAutospacing="0"/>
              <w:jc w:val="center"/>
              <w:rPr>
                <w:sz w:val="20"/>
                <w:szCs w:val="20"/>
              </w:rPr>
            </w:pPr>
            <w:r>
              <w:rPr>
                <w:b/>
                <w:bCs/>
                <w:sz w:val="20"/>
                <w:szCs w:val="20"/>
              </w:rPr>
              <w:t>Dec-18</w:t>
            </w:r>
          </w:p>
        </w:tc>
        <w:tc>
          <w:tcPr>
            <w:tcW w:w="50" w:type="pct"/>
            <w:tcBorders>
              <w:bottom w:val="single" w:sz="6" w:space="0" w:color="000000"/>
            </w:tcBorders>
            <w:vAlign w:val="bottom"/>
            <w:hideMark/>
          </w:tcPr>
          <w:p w14:paraId="0C5FB8D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F42D96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29A772B" w14:textId="77777777" w:rsidR="00000000" w:rsidRDefault="0053651E">
            <w:pPr>
              <w:pStyle w:val="a3"/>
              <w:spacing w:before="0" w:beforeAutospacing="0" w:after="0" w:afterAutospacing="0"/>
              <w:jc w:val="center"/>
              <w:rPr>
                <w:sz w:val="20"/>
                <w:szCs w:val="20"/>
              </w:rPr>
            </w:pPr>
            <w:r>
              <w:rPr>
                <w:b/>
                <w:bCs/>
                <w:sz w:val="20"/>
                <w:szCs w:val="20"/>
              </w:rPr>
              <w:t>Dec-19</w:t>
            </w:r>
          </w:p>
        </w:tc>
        <w:tc>
          <w:tcPr>
            <w:tcW w:w="50" w:type="pct"/>
            <w:tcMar>
              <w:top w:w="0" w:type="dxa"/>
              <w:left w:w="0" w:type="dxa"/>
              <w:bottom w:w="15" w:type="dxa"/>
              <w:right w:w="0" w:type="dxa"/>
            </w:tcMar>
            <w:vAlign w:val="bottom"/>
            <w:hideMark/>
          </w:tcPr>
          <w:p w14:paraId="0ADA7C0C" w14:textId="77777777" w:rsidR="00000000" w:rsidRDefault="0053651E">
            <w:pPr>
              <w:rPr>
                <w:rFonts w:eastAsia="Times New Roman"/>
                <w:sz w:val="20"/>
                <w:szCs w:val="20"/>
              </w:rPr>
            </w:pPr>
            <w:r>
              <w:rPr>
                <w:rFonts w:eastAsia="Times New Roman"/>
                <w:sz w:val="20"/>
                <w:szCs w:val="20"/>
              </w:rPr>
              <w:t> </w:t>
            </w:r>
          </w:p>
        </w:tc>
      </w:tr>
      <w:tr w:rsidR="00000000" w14:paraId="4A39CEFA" w14:textId="77777777">
        <w:trPr>
          <w:tblCellSpacing w:w="0" w:type="dxa"/>
        </w:trPr>
        <w:tc>
          <w:tcPr>
            <w:tcW w:w="600" w:type="pct"/>
            <w:tcBorders>
              <w:bottom w:val="nil"/>
            </w:tcBorders>
            <w:shd w:val="clear" w:color="auto" w:fill="CCEEFF"/>
            <w:vAlign w:val="bottom"/>
            <w:hideMark/>
          </w:tcPr>
          <w:p w14:paraId="707BBEB8" w14:textId="77777777" w:rsidR="00000000" w:rsidRDefault="0053651E">
            <w:pPr>
              <w:pStyle w:val="a3"/>
              <w:spacing w:before="0" w:beforeAutospacing="0" w:after="0" w:afterAutospacing="0"/>
              <w:rPr>
                <w:sz w:val="20"/>
                <w:szCs w:val="20"/>
              </w:rPr>
            </w:pPr>
            <w:r>
              <w:rPr>
                <w:sz w:val="20"/>
                <w:szCs w:val="20"/>
              </w:rPr>
              <w:t>Kimco Realty Corporation</w:t>
            </w:r>
          </w:p>
        </w:tc>
        <w:tc>
          <w:tcPr>
            <w:tcW w:w="50" w:type="pct"/>
            <w:tcBorders>
              <w:bottom w:val="nil"/>
            </w:tcBorders>
            <w:shd w:val="clear" w:color="auto" w:fill="CCEEFF"/>
            <w:vAlign w:val="bottom"/>
            <w:hideMark/>
          </w:tcPr>
          <w:p w14:paraId="56507FD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9465E8F"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4BA677E7" w14:textId="77777777" w:rsidR="00000000" w:rsidRDefault="0053651E">
            <w:pPr>
              <w:jc w:val="right"/>
              <w:rPr>
                <w:rFonts w:eastAsia="Times New Roman"/>
                <w:sz w:val="20"/>
                <w:szCs w:val="20"/>
              </w:rPr>
            </w:pPr>
            <w:r>
              <w:rPr>
                <w:rFonts w:eastAsia="Times New Roman"/>
                <w:sz w:val="20"/>
                <w:szCs w:val="20"/>
              </w:rPr>
              <w:t>100</w:t>
            </w:r>
          </w:p>
        </w:tc>
        <w:tc>
          <w:tcPr>
            <w:tcW w:w="50" w:type="pct"/>
            <w:tcBorders>
              <w:bottom w:val="nil"/>
            </w:tcBorders>
            <w:shd w:val="clear" w:color="auto" w:fill="CCEEFF"/>
            <w:vAlign w:val="bottom"/>
            <w:hideMark/>
          </w:tcPr>
          <w:p w14:paraId="4C52BE9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D66B9B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8EF7BEC"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671C96D" w14:textId="77777777" w:rsidR="00000000" w:rsidRDefault="0053651E">
            <w:pPr>
              <w:jc w:val="right"/>
              <w:rPr>
                <w:rFonts w:eastAsia="Times New Roman"/>
                <w:sz w:val="20"/>
                <w:szCs w:val="20"/>
              </w:rPr>
            </w:pPr>
            <w:r>
              <w:rPr>
                <w:rFonts w:eastAsia="Times New Roman"/>
                <w:sz w:val="20"/>
                <w:szCs w:val="20"/>
              </w:rPr>
              <w:t>109</w:t>
            </w:r>
          </w:p>
        </w:tc>
        <w:tc>
          <w:tcPr>
            <w:tcW w:w="50" w:type="pct"/>
            <w:tcBorders>
              <w:bottom w:val="nil"/>
            </w:tcBorders>
            <w:shd w:val="clear" w:color="auto" w:fill="CCEEFF"/>
            <w:vAlign w:val="bottom"/>
            <w:hideMark/>
          </w:tcPr>
          <w:p w14:paraId="3649396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22B35D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EBCB598"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88F6F2B" w14:textId="77777777" w:rsidR="00000000" w:rsidRDefault="0053651E">
            <w:pPr>
              <w:jc w:val="right"/>
              <w:rPr>
                <w:rFonts w:eastAsia="Times New Roman"/>
                <w:sz w:val="20"/>
                <w:szCs w:val="20"/>
              </w:rPr>
            </w:pPr>
            <w:r>
              <w:rPr>
                <w:rFonts w:eastAsia="Times New Roman"/>
                <w:sz w:val="20"/>
                <w:szCs w:val="20"/>
              </w:rPr>
              <w:t>108</w:t>
            </w:r>
          </w:p>
        </w:tc>
        <w:tc>
          <w:tcPr>
            <w:tcW w:w="50" w:type="pct"/>
            <w:tcBorders>
              <w:bottom w:val="nil"/>
            </w:tcBorders>
            <w:shd w:val="clear" w:color="auto" w:fill="CCEEFF"/>
            <w:vAlign w:val="bottom"/>
            <w:hideMark/>
          </w:tcPr>
          <w:p w14:paraId="61A8B47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021008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D1DB161"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72A9F84" w14:textId="77777777" w:rsidR="00000000" w:rsidRDefault="0053651E">
            <w:pPr>
              <w:jc w:val="right"/>
              <w:rPr>
                <w:rFonts w:eastAsia="Times New Roman"/>
                <w:sz w:val="20"/>
                <w:szCs w:val="20"/>
              </w:rPr>
            </w:pPr>
            <w:r>
              <w:rPr>
                <w:rFonts w:eastAsia="Times New Roman"/>
                <w:sz w:val="20"/>
                <w:szCs w:val="20"/>
              </w:rPr>
              <w:t>82</w:t>
            </w:r>
          </w:p>
        </w:tc>
        <w:tc>
          <w:tcPr>
            <w:tcW w:w="50" w:type="pct"/>
            <w:tcBorders>
              <w:bottom w:val="nil"/>
            </w:tcBorders>
            <w:shd w:val="clear" w:color="auto" w:fill="CCEEFF"/>
            <w:vAlign w:val="bottom"/>
            <w:hideMark/>
          </w:tcPr>
          <w:p w14:paraId="69367D8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A7A26B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B2D0F2D"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3AAC2E7B" w14:textId="77777777" w:rsidR="00000000" w:rsidRDefault="0053651E">
            <w:pPr>
              <w:jc w:val="right"/>
              <w:rPr>
                <w:rFonts w:eastAsia="Times New Roman"/>
                <w:sz w:val="20"/>
                <w:szCs w:val="20"/>
              </w:rPr>
            </w:pPr>
            <w:r>
              <w:rPr>
                <w:rFonts w:eastAsia="Times New Roman"/>
                <w:sz w:val="20"/>
                <w:szCs w:val="20"/>
              </w:rPr>
              <w:t>71</w:t>
            </w:r>
          </w:p>
        </w:tc>
        <w:tc>
          <w:tcPr>
            <w:tcW w:w="50" w:type="pct"/>
            <w:tcBorders>
              <w:bottom w:val="nil"/>
            </w:tcBorders>
            <w:shd w:val="clear" w:color="auto" w:fill="CCEEFF"/>
            <w:vAlign w:val="bottom"/>
            <w:hideMark/>
          </w:tcPr>
          <w:p w14:paraId="7A7FE55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78E57C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ACB56F9"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75D45FD4" w14:textId="77777777" w:rsidR="00000000" w:rsidRDefault="0053651E">
            <w:pPr>
              <w:jc w:val="right"/>
              <w:rPr>
                <w:rFonts w:eastAsia="Times New Roman"/>
                <w:sz w:val="20"/>
                <w:szCs w:val="20"/>
              </w:rPr>
            </w:pPr>
            <w:r>
              <w:rPr>
                <w:rFonts w:eastAsia="Times New Roman"/>
                <w:sz w:val="20"/>
                <w:szCs w:val="20"/>
              </w:rPr>
              <w:t>107</w:t>
            </w:r>
          </w:p>
        </w:tc>
        <w:tc>
          <w:tcPr>
            <w:tcW w:w="50" w:type="pct"/>
            <w:tcBorders>
              <w:bottom w:val="nil"/>
            </w:tcBorders>
            <w:shd w:val="clear" w:color="auto" w:fill="CCEEFF"/>
            <w:vAlign w:val="bottom"/>
            <w:hideMark/>
          </w:tcPr>
          <w:p w14:paraId="6F6D2BE4" w14:textId="77777777" w:rsidR="00000000" w:rsidRDefault="0053651E">
            <w:pPr>
              <w:rPr>
                <w:rFonts w:eastAsia="Times New Roman"/>
                <w:sz w:val="20"/>
                <w:szCs w:val="20"/>
              </w:rPr>
            </w:pPr>
            <w:r>
              <w:rPr>
                <w:rFonts w:eastAsia="Times New Roman"/>
                <w:sz w:val="20"/>
                <w:szCs w:val="20"/>
              </w:rPr>
              <w:t> </w:t>
            </w:r>
          </w:p>
        </w:tc>
      </w:tr>
      <w:tr w:rsidR="00000000" w14:paraId="70537ACF" w14:textId="77777777">
        <w:trPr>
          <w:tblCellSpacing w:w="0" w:type="dxa"/>
        </w:trPr>
        <w:tc>
          <w:tcPr>
            <w:tcW w:w="600" w:type="pct"/>
            <w:shd w:val="clear" w:color="auto" w:fill="FFFFFF"/>
            <w:vAlign w:val="bottom"/>
            <w:hideMark/>
          </w:tcPr>
          <w:p w14:paraId="26C61E1F" w14:textId="77777777" w:rsidR="00000000" w:rsidRDefault="0053651E">
            <w:pPr>
              <w:pStyle w:val="a3"/>
              <w:spacing w:before="0" w:beforeAutospacing="0" w:after="0" w:afterAutospacing="0"/>
              <w:rPr>
                <w:sz w:val="20"/>
                <w:szCs w:val="20"/>
              </w:rPr>
            </w:pPr>
            <w:r>
              <w:rPr>
                <w:sz w:val="20"/>
                <w:szCs w:val="20"/>
              </w:rPr>
              <w:t>S&amp;</w:t>
            </w:r>
            <w:r>
              <w:rPr>
                <w:sz w:val="20"/>
                <w:szCs w:val="20"/>
              </w:rPr>
              <w:t>P 500</w:t>
            </w:r>
          </w:p>
        </w:tc>
        <w:tc>
          <w:tcPr>
            <w:tcW w:w="50" w:type="pct"/>
            <w:shd w:val="clear" w:color="auto" w:fill="FFFFFF"/>
            <w:vAlign w:val="bottom"/>
            <w:hideMark/>
          </w:tcPr>
          <w:p w14:paraId="197E41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F8508"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78F4DC9"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0FA7F5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8610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258D2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6A47F0A" w14:textId="77777777" w:rsidR="00000000" w:rsidRDefault="0053651E">
            <w:pPr>
              <w:jc w:val="right"/>
              <w:rPr>
                <w:rFonts w:eastAsia="Times New Roman"/>
                <w:sz w:val="20"/>
                <w:szCs w:val="20"/>
              </w:rPr>
            </w:pPr>
            <w:r>
              <w:rPr>
                <w:rFonts w:eastAsia="Times New Roman"/>
                <w:sz w:val="20"/>
                <w:szCs w:val="20"/>
              </w:rPr>
              <w:t>101</w:t>
            </w:r>
          </w:p>
        </w:tc>
        <w:tc>
          <w:tcPr>
            <w:tcW w:w="50" w:type="pct"/>
            <w:shd w:val="clear" w:color="auto" w:fill="FFFFFF"/>
            <w:vAlign w:val="bottom"/>
            <w:hideMark/>
          </w:tcPr>
          <w:p w14:paraId="0FAA57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F57F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15EE7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969AE9C" w14:textId="77777777" w:rsidR="00000000" w:rsidRDefault="0053651E">
            <w:pPr>
              <w:jc w:val="right"/>
              <w:rPr>
                <w:rFonts w:eastAsia="Times New Roman"/>
                <w:sz w:val="20"/>
                <w:szCs w:val="20"/>
              </w:rPr>
            </w:pPr>
            <w:r>
              <w:rPr>
                <w:rFonts w:eastAsia="Times New Roman"/>
                <w:sz w:val="20"/>
                <w:szCs w:val="20"/>
              </w:rPr>
              <w:t>114</w:t>
            </w:r>
          </w:p>
        </w:tc>
        <w:tc>
          <w:tcPr>
            <w:tcW w:w="50" w:type="pct"/>
            <w:shd w:val="clear" w:color="auto" w:fill="FFFFFF"/>
            <w:vAlign w:val="bottom"/>
            <w:hideMark/>
          </w:tcPr>
          <w:p w14:paraId="765C61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1BFC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C0B461"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0D4BE03" w14:textId="77777777" w:rsidR="00000000" w:rsidRDefault="0053651E">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14:paraId="6C8A4B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8292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46D67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49E1661" w14:textId="77777777" w:rsidR="00000000" w:rsidRDefault="0053651E">
            <w:pPr>
              <w:jc w:val="right"/>
              <w:rPr>
                <w:rFonts w:eastAsia="Times New Roman"/>
                <w:sz w:val="20"/>
                <w:szCs w:val="20"/>
              </w:rPr>
            </w:pPr>
            <w:r>
              <w:rPr>
                <w:rFonts w:eastAsia="Times New Roman"/>
                <w:sz w:val="20"/>
                <w:szCs w:val="20"/>
              </w:rPr>
              <w:t>132</w:t>
            </w:r>
          </w:p>
        </w:tc>
        <w:tc>
          <w:tcPr>
            <w:tcW w:w="50" w:type="pct"/>
            <w:shd w:val="clear" w:color="auto" w:fill="FFFFFF"/>
            <w:vAlign w:val="bottom"/>
            <w:hideMark/>
          </w:tcPr>
          <w:p w14:paraId="7FCD52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F5A6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F7C649"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507E9A9D" w14:textId="77777777" w:rsidR="00000000" w:rsidRDefault="0053651E">
            <w:pPr>
              <w:jc w:val="right"/>
              <w:rPr>
                <w:rFonts w:eastAsia="Times New Roman"/>
                <w:sz w:val="20"/>
                <w:szCs w:val="20"/>
              </w:rPr>
            </w:pPr>
            <w:r>
              <w:rPr>
                <w:rFonts w:eastAsia="Times New Roman"/>
                <w:sz w:val="20"/>
                <w:szCs w:val="20"/>
              </w:rPr>
              <w:t>174</w:t>
            </w:r>
          </w:p>
        </w:tc>
        <w:tc>
          <w:tcPr>
            <w:tcW w:w="50" w:type="pct"/>
            <w:shd w:val="clear" w:color="auto" w:fill="FFFFFF"/>
            <w:vAlign w:val="bottom"/>
            <w:hideMark/>
          </w:tcPr>
          <w:p w14:paraId="23FE5D71" w14:textId="77777777" w:rsidR="00000000" w:rsidRDefault="0053651E">
            <w:pPr>
              <w:rPr>
                <w:rFonts w:eastAsia="Times New Roman"/>
                <w:sz w:val="20"/>
                <w:szCs w:val="20"/>
              </w:rPr>
            </w:pPr>
            <w:r>
              <w:rPr>
                <w:rFonts w:eastAsia="Times New Roman"/>
                <w:sz w:val="20"/>
                <w:szCs w:val="20"/>
              </w:rPr>
              <w:t> </w:t>
            </w:r>
          </w:p>
        </w:tc>
      </w:tr>
      <w:tr w:rsidR="00000000" w14:paraId="1B806F35" w14:textId="77777777">
        <w:trPr>
          <w:tblCellSpacing w:w="0" w:type="dxa"/>
        </w:trPr>
        <w:tc>
          <w:tcPr>
            <w:tcW w:w="600" w:type="pct"/>
            <w:shd w:val="clear" w:color="auto" w:fill="CCEEFF"/>
            <w:vAlign w:val="bottom"/>
            <w:hideMark/>
          </w:tcPr>
          <w:p w14:paraId="4D9B5155" w14:textId="77777777" w:rsidR="00000000" w:rsidRDefault="0053651E">
            <w:pPr>
              <w:pStyle w:val="a3"/>
              <w:spacing w:before="0" w:beforeAutospacing="0" w:after="0" w:afterAutospacing="0"/>
              <w:rPr>
                <w:sz w:val="20"/>
                <w:szCs w:val="20"/>
              </w:rPr>
            </w:pPr>
            <w:r>
              <w:rPr>
                <w:sz w:val="20"/>
                <w:szCs w:val="20"/>
              </w:rPr>
              <w:t>NAREIT Equity REITs</w:t>
            </w:r>
          </w:p>
        </w:tc>
        <w:tc>
          <w:tcPr>
            <w:tcW w:w="50" w:type="pct"/>
            <w:shd w:val="clear" w:color="auto" w:fill="CCEEFF"/>
            <w:vAlign w:val="bottom"/>
            <w:hideMark/>
          </w:tcPr>
          <w:p w14:paraId="5A8C06B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EA7658"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5CADBF8"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326596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4406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C0FA9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105AEB8C" w14:textId="77777777" w:rsidR="00000000" w:rsidRDefault="0053651E">
            <w:pPr>
              <w:jc w:val="right"/>
              <w:rPr>
                <w:rFonts w:eastAsia="Times New Roman"/>
                <w:sz w:val="20"/>
                <w:szCs w:val="20"/>
              </w:rPr>
            </w:pPr>
            <w:r>
              <w:rPr>
                <w:rFonts w:eastAsia="Times New Roman"/>
                <w:sz w:val="20"/>
                <w:szCs w:val="20"/>
              </w:rPr>
              <w:t>103</w:t>
            </w:r>
          </w:p>
        </w:tc>
        <w:tc>
          <w:tcPr>
            <w:tcW w:w="50" w:type="pct"/>
            <w:shd w:val="clear" w:color="auto" w:fill="CCEEFF"/>
            <w:vAlign w:val="bottom"/>
            <w:hideMark/>
          </w:tcPr>
          <w:p w14:paraId="0B0B08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4516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9F8F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5220104A"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331DBF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66D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D36AFE"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0BC33C4" w14:textId="77777777" w:rsidR="00000000" w:rsidRDefault="0053651E">
            <w:pPr>
              <w:jc w:val="right"/>
              <w:rPr>
                <w:rFonts w:eastAsia="Times New Roman"/>
                <w:sz w:val="20"/>
                <w:szCs w:val="20"/>
              </w:rPr>
            </w:pPr>
            <w:r>
              <w:rPr>
                <w:rFonts w:eastAsia="Times New Roman"/>
                <w:sz w:val="20"/>
                <w:szCs w:val="20"/>
              </w:rPr>
              <w:t>118</w:t>
            </w:r>
          </w:p>
        </w:tc>
        <w:tc>
          <w:tcPr>
            <w:tcW w:w="50" w:type="pct"/>
            <w:shd w:val="clear" w:color="auto" w:fill="CCEEFF"/>
            <w:vAlign w:val="bottom"/>
            <w:hideMark/>
          </w:tcPr>
          <w:p w14:paraId="2F1AC7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62CA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0D67B0"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3B4F97E4"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7782CE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2DB2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3608B0"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47F812A4" w14:textId="77777777" w:rsidR="00000000" w:rsidRDefault="0053651E">
            <w:pPr>
              <w:jc w:val="right"/>
              <w:rPr>
                <w:rFonts w:eastAsia="Times New Roman"/>
                <w:sz w:val="20"/>
                <w:szCs w:val="20"/>
              </w:rPr>
            </w:pPr>
            <w:r>
              <w:rPr>
                <w:rFonts w:eastAsia="Times New Roman"/>
                <w:sz w:val="20"/>
                <w:szCs w:val="20"/>
              </w:rPr>
              <w:t>142</w:t>
            </w:r>
          </w:p>
        </w:tc>
        <w:tc>
          <w:tcPr>
            <w:tcW w:w="50" w:type="pct"/>
            <w:shd w:val="clear" w:color="auto" w:fill="CCEEFF"/>
            <w:vAlign w:val="bottom"/>
            <w:hideMark/>
          </w:tcPr>
          <w:p w14:paraId="12EFFB17" w14:textId="77777777" w:rsidR="00000000" w:rsidRDefault="0053651E">
            <w:pPr>
              <w:rPr>
                <w:rFonts w:eastAsia="Times New Roman"/>
                <w:sz w:val="20"/>
                <w:szCs w:val="20"/>
              </w:rPr>
            </w:pPr>
            <w:r>
              <w:rPr>
                <w:rFonts w:eastAsia="Times New Roman"/>
                <w:sz w:val="20"/>
                <w:szCs w:val="20"/>
              </w:rPr>
              <w:t> </w:t>
            </w:r>
          </w:p>
        </w:tc>
      </w:tr>
    </w:tbl>
    <w:p w14:paraId="29371388" w14:textId="77777777" w:rsidR="00000000" w:rsidRDefault="0053651E">
      <w:pPr>
        <w:pStyle w:val="a3"/>
        <w:spacing w:before="0" w:beforeAutospacing="0" w:after="0" w:afterAutospacing="0"/>
        <w:rPr>
          <w:sz w:val="20"/>
          <w:szCs w:val="20"/>
        </w:rPr>
      </w:pPr>
      <w:r>
        <w:rPr>
          <w:sz w:val="20"/>
          <w:szCs w:val="20"/>
        </w:rPr>
        <w:t> </w:t>
      </w:r>
    </w:p>
    <w:p w14:paraId="40F502A0" w14:textId="77777777" w:rsidR="00000000" w:rsidRDefault="0053651E">
      <w:pPr>
        <w:jc w:val="center"/>
        <w:divId w:val="1814255615"/>
        <w:rPr>
          <w:rFonts w:eastAsia="Times New Roman"/>
          <w:sz w:val="20"/>
          <w:szCs w:val="20"/>
        </w:rPr>
      </w:pPr>
      <w:r>
        <w:rPr>
          <w:rFonts w:eastAsia="Times New Roman"/>
          <w:sz w:val="20"/>
          <w:szCs w:val="20"/>
        </w:rPr>
        <w:t xml:space="preserve">18 </w:t>
      </w:r>
    </w:p>
    <w:p w14:paraId="12729323" w14:textId="77777777" w:rsidR="00000000" w:rsidRDefault="0053651E">
      <w:pPr>
        <w:divId w:val="1814255615"/>
        <w:rPr>
          <w:rFonts w:eastAsia="Times New Roman"/>
          <w:sz w:val="20"/>
          <w:szCs w:val="20"/>
        </w:rPr>
      </w:pPr>
      <w:r>
        <w:rPr>
          <w:rFonts w:eastAsia="Times New Roman"/>
          <w:sz w:val="20"/>
          <w:szCs w:val="20"/>
        </w:rPr>
        <w:pict w14:anchorId="0569182E">
          <v:rect id="_x0000_i1048" style="width:0;height:1.5pt" o:hralign="center" o:hrstd="t" o:hr="t" fillcolor="#a0a0a0" stroked="f"/>
        </w:pict>
      </w:r>
    </w:p>
    <w:p w14:paraId="5083657A" w14:textId="77777777" w:rsidR="00000000" w:rsidRDefault="0053651E">
      <w:pPr>
        <w:divId w:val="18142556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BD8E943" w14:textId="77777777" w:rsidR="00000000" w:rsidRDefault="0053651E">
      <w:pPr>
        <w:pStyle w:val="a3"/>
        <w:spacing w:before="0" w:beforeAutospacing="0" w:after="0" w:afterAutospacing="0"/>
        <w:rPr>
          <w:sz w:val="20"/>
          <w:szCs w:val="20"/>
        </w:rPr>
      </w:pPr>
      <w:r>
        <w:rPr>
          <w:sz w:val="20"/>
          <w:szCs w:val="20"/>
        </w:rPr>
        <w:t> </w:t>
      </w:r>
    </w:p>
    <w:p w14:paraId="2B79976B" w14:textId="77777777" w:rsidR="00000000" w:rsidRDefault="0053651E">
      <w:pPr>
        <w:pStyle w:val="a3"/>
        <w:spacing w:before="0" w:beforeAutospacing="0" w:after="0" w:afterAutospacing="0"/>
        <w:rPr>
          <w:sz w:val="20"/>
          <w:szCs w:val="20"/>
        </w:rPr>
      </w:pPr>
      <w:r>
        <w:rPr>
          <w:sz w:val="20"/>
          <w:szCs w:val="20"/>
          <w:u w:val="single"/>
        </w:rPr>
        <w:t>Item 6. Selected Financial Data</w:t>
      </w:r>
    </w:p>
    <w:p w14:paraId="72B2A2CF" w14:textId="77777777" w:rsidR="00000000" w:rsidRDefault="0053651E">
      <w:pPr>
        <w:pStyle w:val="a3"/>
        <w:spacing w:before="0" w:beforeAutospacing="0" w:after="0" w:afterAutospacing="0"/>
        <w:ind w:firstLine="360"/>
        <w:jc w:val="both"/>
        <w:rPr>
          <w:sz w:val="20"/>
          <w:szCs w:val="20"/>
        </w:rPr>
      </w:pPr>
      <w:r>
        <w:rPr>
          <w:sz w:val="20"/>
          <w:szCs w:val="20"/>
        </w:rPr>
        <w:t> </w:t>
      </w:r>
    </w:p>
    <w:p w14:paraId="4A1CCF37" w14:textId="77777777" w:rsidR="00000000" w:rsidRDefault="0053651E">
      <w:pPr>
        <w:pStyle w:val="a3"/>
        <w:spacing w:before="0" w:beforeAutospacing="0" w:after="0" w:afterAutospacing="0"/>
        <w:ind w:firstLine="360"/>
        <w:jc w:val="both"/>
        <w:rPr>
          <w:sz w:val="20"/>
          <w:szCs w:val="20"/>
        </w:rPr>
      </w:pPr>
      <w:r>
        <w:rPr>
          <w:sz w:val="20"/>
          <w:szCs w:val="20"/>
        </w:rPr>
        <w:t>The following table sets forth selected, historical, consolidated financial data for the Company and should be read in conjunction with the Consolidated Financial Statements of the Company and Notes thereto and Management’s Discussion and Analysis of Finan</w:t>
      </w:r>
      <w:r>
        <w:rPr>
          <w:sz w:val="20"/>
          <w:szCs w:val="20"/>
        </w:rPr>
        <w:t>cial Condition and Results of Operations included in this Form 10-K.</w:t>
      </w:r>
    </w:p>
    <w:p w14:paraId="4E466019" w14:textId="77777777" w:rsidR="00000000" w:rsidRDefault="0053651E">
      <w:pPr>
        <w:pStyle w:val="a3"/>
        <w:spacing w:before="0" w:beforeAutospacing="0" w:after="0" w:afterAutospacing="0"/>
        <w:ind w:firstLine="360"/>
        <w:jc w:val="both"/>
        <w:rPr>
          <w:sz w:val="20"/>
          <w:szCs w:val="20"/>
        </w:rPr>
      </w:pPr>
      <w:r>
        <w:rPr>
          <w:sz w:val="20"/>
          <w:szCs w:val="20"/>
        </w:rPr>
        <w:t> </w:t>
      </w:r>
    </w:p>
    <w:p w14:paraId="7CE1873B" w14:textId="77777777" w:rsidR="00000000" w:rsidRDefault="0053651E">
      <w:pPr>
        <w:pStyle w:val="a3"/>
        <w:spacing w:before="0" w:beforeAutospacing="0" w:after="0" w:afterAutospacing="0"/>
        <w:ind w:firstLine="360"/>
        <w:jc w:val="both"/>
        <w:rPr>
          <w:sz w:val="20"/>
          <w:szCs w:val="20"/>
        </w:rPr>
      </w:pPr>
      <w:r>
        <w:rPr>
          <w:sz w:val="20"/>
          <w:szCs w:val="20"/>
        </w:rPr>
        <w:t>The Company believes that the book value of its real estate assets, which reflects the historical costs of such real estate assets less accumulated depreciation, is not indicative of th</w:t>
      </w:r>
      <w:r>
        <w:rPr>
          <w:sz w:val="20"/>
          <w:szCs w:val="20"/>
        </w:rPr>
        <w:t>e current market value of its properties. Historical operating results are not necessarily indicative of future operating performance.</w:t>
      </w:r>
    </w:p>
    <w:p w14:paraId="730DCEB4"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21"/>
        <w:gridCol w:w="50"/>
        <w:gridCol w:w="100"/>
        <w:gridCol w:w="800"/>
        <w:gridCol w:w="67"/>
        <w:gridCol w:w="50"/>
        <w:gridCol w:w="100"/>
        <w:gridCol w:w="800"/>
        <w:gridCol w:w="67"/>
        <w:gridCol w:w="50"/>
        <w:gridCol w:w="100"/>
        <w:gridCol w:w="800"/>
        <w:gridCol w:w="67"/>
        <w:gridCol w:w="50"/>
        <w:gridCol w:w="100"/>
        <w:gridCol w:w="800"/>
        <w:gridCol w:w="67"/>
        <w:gridCol w:w="50"/>
        <w:gridCol w:w="100"/>
        <w:gridCol w:w="800"/>
        <w:gridCol w:w="67"/>
      </w:tblGrid>
      <w:tr w:rsidR="00000000" w14:paraId="3F628642" w14:textId="77777777">
        <w:trPr>
          <w:tblCellSpacing w:w="0" w:type="dxa"/>
        </w:trPr>
        <w:tc>
          <w:tcPr>
            <w:tcW w:w="0" w:type="auto"/>
            <w:vAlign w:val="bottom"/>
            <w:hideMark/>
          </w:tcPr>
          <w:p w14:paraId="73BFBB5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D83AEE3" w14:textId="77777777" w:rsidR="00000000" w:rsidRDefault="0053651E">
            <w:pPr>
              <w:rPr>
                <w:rFonts w:eastAsia="Times New Roman"/>
                <w:sz w:val="20"/>
                <w:szCs w:val="20"/>
              </w:rPr>
            </w:pPr>
            <w:r>
              <w:rPr>
                <w:rFonts w:eastAsia="Times New Roman"/>
                <w:sz w:val="20"/>
                <w:szCs w:val="20"/>
              </w:rPr>
              <w:t> </w:t>
            </w:r>
          </w:p>
        </w:tc>
        <w:tc>
          <w:tcPr>
            <w:tcW w:w="0" w:type="auto"/>
            <w:gridSpan w:val="18"/>
            <w:tcBorders>
              <w:bottom w:val="single" w:sz="6" w:space="0" w:color="000000"/>
            </w:tcBorders>
            <w:vAlign w:val="bottom"/>
            <w:hideMark/>
          </w:tcPr>
          <w:p w14:paraId="5FD8F4AF"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212FBC96" w14:textId="77777777" w:rsidR="00000000" w:rsidRDefault="0053651E">
            <w:pPr>
              <w:rPr>
                <w:rFonts w:eastAsia="Times New Roman"/>
                <w:sz w:val="20"/>
                <w:szCs w:val="20"/>
              </w:rPr>
            </w:pPr>
            <w:r>
              <w:rPr>
                <w:rFonts w:eastAsia="Times New Roman"/>
                <w:sz w:val="20"/>
                <w:szCs w:val="20"/>
              </w:rPr>
              <w:t> </w:t>
            </w:r>
          </w:p>
        </w:tc>
      </w:tr>
      <w:tr w:rsidR="00000000" w14:paraId="5FE13A1D" w14:textId="77777777">
        <w:trPr>
          <w:tblCellSpacing w:w="0" w:type="dxa"/>
        </w:trPr>
        <w:tc>
          <w:tcPr>
            <w:tcW w:w="0" w:type="auto"/>
            <w:vAlign w:val="bottom"/>
            <w:hideMark/>
          </w:tcPr>
          <w:p w14:paraId="41C55B8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B563EA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AEBEB3"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8D6A2A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D2BDC4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6AD8ACC"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AB27E2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C9DF03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1620BE"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25F2BEB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C8B33F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355987F" w14:textId="77777777" w:rsidR="00000000" w:rsidRDefault="0053651E">
            <w:pPr>
              <w:pStyle w:val="a3"/>
              <w:spacing w:before="0" w:beforeAutospacing="0" w:after="0" w:afterAutospacing="0"/>
              <w:jc w:val="center"/>
              <w:rPr>
                <w:sz w:val="20"/>
                <w:szCs w:val="20"/>
              </w:rPr>
            </w:pPr>
            <w:r>
              <w:rPr>
                <w:b/>
                <w:bCs/>
                <w:sz w:val="20"/>
                <w:szCs w:val="20"/>
              </w:rPr>
              <w:t>2016</w:t>
            </w:r>
          </w:p>
        </w:tc>
        <w:tc>
          <w:tcPr>
            <w:tcW w:w="0" w:type="auto"/>
            <w:tcMar>
              <w:top w:w="0" w:type="dxa"/>
              <w:left w:w="0" w:type="dxa"/>
              <w:bottom w:w="15" w:type="dxa"/>
              <w:right w:w="0" w:type="dxa"/>
            </w:tcMar>
            <w:vAlign w:val="bottom"/>
            <w:hideMark/>
          </w:tcPr>
          <w:p w14:paraId="75C80D1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6AAF3B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555F1F" w14:textId="77777777" w:rsidR="00000000" w:rsidRDefault="0053651E">
            <w:pPr>
              <w:pStyle w:val="a3"/>
              <w:spacing w:before="0" w:beforeAutospacing="0" w:after="0" w:afterAutospacing="0"/>
              <w:jc w:val="center"/>
              <w:rPr>
                <w:sz w:val="20"/>
                <w:szCs w:val="20"/>
              </w:rPr>
            </w:pPr>
            <w:r>
              <w:rPr>
                <w:b/>
                <w:bCs/>
                <w:sz w:val="20"/>
                <w:szCs w:val="20"/>
              </w:rPr>
              <w:t xml:space="preserve">2015 </w:t>
            </w:r>
          </w:p>
        </w:tc>
        <w:tc>
          <w:tcPr>
            <w:tcW w:w="0" w:type="auto"/>
            <w:tcMar>
              <w:top w:w="0" w:type="dxa"/>
              <w:left w:w="0" w:type="dxa"/>
              <w:bottom w:w="15" w:type="dxa"/>
              <w:right w:w="0" w:type="dxa"/>
            </w:tcMar>
            <w:vAlign w:val="bottom"/>
            <w:hideMark/>
          </w:tcPr>
          <w:p w14:paraId="612EEA59" w14:textId="77777777" w:rsidR="00000000" w:rsidRDefault="0053651E">
            <w:pPr>
              <w:rPr>
                <w:rFonts w:eastAsia="Times New Roman"/>
                <w:sz w:val="20"/>
                <w:szCs w:val="20"/>
              </w:rPr>
            </w:pPr>
            <w:r>
              <w:rPr>
                <w:rFonts w:eastAsia="Times New Roman"/>
                <w:sz w:val="20"/>
                <w:szCs w:val="20"/>
              </w:rPr>
              <w:t> </w:t>
            </w:r>
          </w:p>
        </w:tc>
      </w:tr>
      <w:tr w:rsidR="00000000" w14:paraId="41EF6BE6" w14:textId="77777777">
        <w:trPr>
          <w:tblCellSpacing w:w="0" w:type="dxa"/>
        </w:trPr>
        <w:tc>
          <w:tcPr>
            <w:tcW w:w="0" w:type="auto"/>
            <w:vAlign w:val="bottom"/>
            <w:hideMark/>
          </w:tcPr>
          <w:p w14:paraId="5E7F45F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3AB45D5" w14:textId="77777777" w:rsidR="00000000" w:rsidRDefault="0053651E">
            <w:pPr>
              <w:rPr>
                <w:rFonts w:eastAsia="Times New Roman"/>
                <w:sz w:val="20"/>
                <w:szCs w:val="20"/>
              </w:rPr>
            </w:pPr>
            <w:r>
              <w:rPr>
                <w:rFonts w:eastAsia="Times New Roman"/>
                <w:sz w:val="20"/>
                <w:szCs w:val="20"/>
              </w:rPr>
              <w:t> </w:t>
            </w:r>
          </w:p>
        </w:tc>
        <w:tc>
          <w:tcPr>
            <w:tcW w:w="0" w:type="auto"/>
            <w:gridSpan w:val="18"/>
            <w:vAlign w:val="bottom"/>
            <w:hideMark/>
          </w:tcPr>
          <w:p w14:paraId="6CA2CBF3" w14:textId="77777777" w:rsidR="00000000" w:rsidRDefault="0053651E">
            <w:pPr>
              <w:pStyle w:val="a3"/>
              <w:spacing w:before="0" w:beforeAutospacing="0" w:after="0" w:afterAutospacing="0"/>
              <w:jc w:val="center"/>
              <w:rPr>
                <w:sz w:val="20"/>
                <w:szCs w:val="20"/>
              </w:rPr>
            </w:pPr>
            <w:r>
              <w:rPr>
                <w:sz w:val="20"/>
                <w:szCs w:val="20"/>
              </w:rPr>
              <w:t>(in thousands, except per share data)</w:t>
            </w:r>
          </w:p>
        </w:tc>
        <w:tc>
          <w:tcPr>
            <w:tcW w:w="0" w:type="auto"/>
            <w:vAlign w:val="bottom"/>
            <w:hideMark/>
          </w:tcPr>
          <w:p w14:paraId="3C7725BC" w14:textId="77777777" w:rsidR="00000000" w:rsidRDefault="0053651E">
            <w:pPr>
              <w:rPr>
                <w:rFonts w:eastAsia="Times New Roman"/>
                <w:sz w:val="20"/>
                <w:szCs w:val="20"/>
              </w:rPr>
            </w:pPr>
            <w:r>
              <w:rPr>
                <w:rFonts w:eastAsia="Times New Roman"/>
                <w:sz w:val="20"/>
                <w:szCs w:val="20"/>
              </w:rPr>
              <w:t> </w:t>
            </w:r>
          </w:p>
        </w:tc>
      </w:tr>
      <w:tr w:rsidR="00000000" w14:paraId="3AE28440" w14:textId="77777777">
        <w:trPr>
          <w:tblCellSpacing w:w="0" w:type="dxa"/>
        </w:trPr>
        <w:tc>
          <w:tcPr>
            <w:tcW w:w="2000" w:type="pct"/>
            <w:shd w:val="clear" w:color="auto" w:fill="CCEEFF"/>
            <w:vAlign w:val="bottom"/>
            <w:hideMark/>
          </w:tcPr>
          <w:p w14:paraId="190B1ECA" w14:textId="77777777" w:rsidR="00000000" w:rsidRDefault="0053651E">
            <w:pPr>
              <w:pStyle w:val="a3"/>
              <w:spacing w:before="0" w:beforeAutospacing="0" w:after="0" w:afterAutospacing="0"/>
              <w:rPr>
                <w:sz w:val="20"/>
                <w:szCs w:val="20"/>
              </w:rPr>
            </w:pPr>
            <w:r>
              <w:rPr>
                <w:sz w:val="20"/>
                <w:szCs w:val="20"/>
              </w:rPr>
              <w:t>Operating Data:</w:t>
            </w:r>
          </w:p>
        </w:tc>
        <w:tc>
          <w:tcPr>
            <w:tcW w:w="0" w:type="auto"/>
            <w:shd w:val="clear" w:color="auto" w:fill="CCEEFF"/>
            <w:vAlign w:val="bottom"/>
            <w:hideMark/>
          </w:tcPr>
          <w:p w14:paraId="5AA8E2C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0FE8D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575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9C0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08837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96DC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693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F79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33A4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F4E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F9B8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EE16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96E2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3AA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482A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4EF5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F096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815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DDB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4AC4B" w14:textId="77777777" w:rsidR="00000000" w:rsidRDefault="0053651E">
            <w:pPr>
              <w:rPr>
                <w:rFonts w:eastAsia="Times New Roman"/>
                <w:sz w:val="20"/>
                <w:szCs w:val="20"/>
              </w:rPr>
            </w:pPr>
            <w:r>
              <w:rPr>
                <w:rFonts w:eastAsia="Times New Roman"/>
                <w:sz w:val="20"/>
                <w:szCs w:val="20"/>
              </w:rPr>
              <w:t> </w:t>
            </w:r>
          </w:p>
        </w:tc>
      </w:tr>
      <w:tr w:rsidR="00000000" w14:paraId="2EF36ED5" w14:textId="77777777">
        <w:trPr>
          <w:tblCellSpacing w:w="0" w:type="dxa"/>
        </w:trPr>
        <w:tc>
          <w:tcPr>
            <w:tcW w:w="0" w:type="auto"/>
            <w:shd w:val="clear" w:color="auto" w:fill="FFFFFF"/>
            <w:vAlign w:val="bottom"/>
            <w:hideMark/>
          </w:tcPr>
          <w:p w14:paraId="1EF85E46" w14:textId="77777777" w:rsidR="00000000" w:rsidRDefault="0053651E">
            <w:pPr>
              <w:pStyle w:val="a3"/>
              <w:spacing w:before="0" w:beforeAutospacing="0" w:after="0" w:afterAutospacing="0"/>
              <w:rPr>
                <w:sz w:val="20"/>
                <w:szCs w:val="20"/>
              </w:rPr>
            </w:pPr>
            <w:r>
              <w:rPr>
                <w:sz w:val="20"/>
                <w:szCs w:val="20"/>
              </w:rPr>
              <w:t>Revenues from rental properties (1)</w:t>
            </w:r>
          </w:p>
        </w:tc>
        <w:tc>
          <w:tcPr>
            <w:tcW w:w="50" w:type="pct"/>
            <w:shd w:val="clear" w:color="auto" w:fill="FFFFFF"/>
            <w:vAlign w:val="bottom"/>
            <w:hideMark/>
          </w:tcPr>
          <w:p w14:paraId="394560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9F42E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9D5AA99" w14:textId="77777777" w:rsidR="00000000" w:rsidRDefault="0053651E">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14:paraId="54FE88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D6A6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CA497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770194B" w14:textId="77777777" w:rsidR="00000000" w:rsidRDefault="0053651E">
            <w:pPr>
              <w:jc w:val="right"/>
              <w:rPr>
                <w:rFonts w:eastAsia="Times New Roman"/>
                <w:sz w:val="20"/>
                <w:szCs w:val="20"/>
              </w:rPr>
            </w:pPr>
            <w:r>
              <w:rPr>
                <w:rFonts w:eastAsia="Times New Roman"/>
                <w:sz w:val="20"/>
                <w:szCs w:val="20"/>
              </w:rPr>
              <w:t>1,149,603</w:t>
            </w:r>
          </w:p>
        </w:tc>
        <w:tc>
          <w:tcPr>
            <w:tcW w:w="50" w:type="pct"/>
            <w:shd w:val="clear" w:color="auto" w:fill="FFFFFF"/>
            <w:vAlign w:val="bottom"/>
            <w:hideMark/>
          </w:tcPr>
          <w:p w14:paraId="428710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88A9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E0F2B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3CC0CCD" w14:textId="77777777" w:rsidR="00000000" w:rsidRDefault="0053651E">
            <w:pPr>
              <w:jc w:val="right"/>
              <w:rPr>
                <w:rFonts w:eastAsia="Times New Roman"/>
                <w:sz w:val="20"/>
                <w:szCs w:val="20"/>
              </w:rPr>
            </w:pPr>
            <w:r>
              <w:rPr>
                <w:rFonts w:eastAsia="Times New Roman"/>
                <w:sz w:val="20"/>
                <w:szCs w:val="20"/>
              </w:rPr>
              <w:t>1,183,785</w:t>
            </w:r>
          </w:p>
        </w:tc>
        <w:tc>
          <w:tcPr>
            <w:tcW w:w="50" w:type="pct"/>
            <w:shd w:val="clear" w:color="auto" w:fill="FFFFFF"/>
            <w:vAlign w:val="bottom"/>
            <w:hideMark/>
          </w:tcPr>
          <w:p w14:paraId="561408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A0F7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33BD1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EE9FABD" w14:textId="77777777" w:rsidR="00000000" w:rsidRDefault="0053651E">
            <w:pPr>
              <w:jc w:val="right"/>
              <w:rPr>
                <w:rFonts w:eastAsia="Times New Roman"/>
                <w:sz w:val="20"/>
                <w:szCs w:val="20"/>
              </w:rPr>
            </w:pPr>
            <w:r>
              <w:rPr>
                <w:rFonts w:eastAsia="Times New Roman"/>
                <w:sz w:val="20"/>
                <w:szCs w:val="20"/>
              </w:rPr>
              <w:t>1,152,401</w:t>
            </w:r>
          </w:p>
        </w:tc>
        <w:tc>
          <w:tcPr>
            <w:tcW w:w="50" w:type="pct"/>
            <w:shd w:val="clear" w:color="auto" w:fill="FFFFFF"/>
            <w:vAlign w:val="bottom"/>
            <w:hideMark/>
          </w:tcPr>
          <w:p w14:paraId="014507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3497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93449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08BAE74B" w14:textId="77777777" w:rsidR="00000000" w:rsidRDefault="0053651E">
            <w:pPr>
              <w:jc w:val="right"/>
              <w:rPr>
                <w:rFonts w:eastAsia="Times New Roman"/>
                <w:sz w:val="20"/>
                <w:szCs w:val="20"/>
              </w:rPr>
            </w:pPr>
            <w:r>
              <w:rPr>
                <w:rFonts w:eastAsia="Times New Roman"/>
                <w:sz w:val="20"/>
                <w:szCs w:val="20"/>
              </w:rPr>
              <w:t>1,144,474</w:t>
            </w:r>
          </w:p>
        </w:tc>
        <w:tc>
          <w:tcPr>
            <w:tcW w:w="50" w:type="pct"/>
            <w:shd w:val="clear" w:color="auto" w:fill="FFFFFF"/>
            <w:vAlign w:val="bottom"/>
            <w:hideMark/>
          </w:tcPr>
          <w:p w14:paraId="0547CF96" w14:textId="77777777" w:rsidR="00000000" w:rsidRDefault="0053651E">
            <w:pPr>
              <w:rPr>
                <w:rFonts w:eastAsia="Times New Roman"/>
                <w:sz w:val="20"/>
                <w:szCs w:val="20"/>
              </w:rPr>
            </w:pPr>
            <w:r>
              <w:rPr>
                <w:rFonts w:eastAsia="Times New Roman"/>
                <w:sz w:val="20"/>
                <w:szCs w:val="20"/>
              </w:rPr>
              <w:t> </w:t>
            </w:r>
          </w:p>
        </w:tc>
      </w:tr>
      <w:tr w:rsidR="00000000" w14:paraId="1FD3A46E" w14:textId="77777777">
        <w:trPr>
          <w:tblCellSpacing w:w="0" w:type="dxa"/>
        </w:trPr>
        <w:tc>
          <w:tcPr>
            <w:tcW w:w="0" w:type="auto"/>
            <w:shd w:val="clear" w:color="auto" w:fill="CCEEFF"/>
            <w:vAlign w:val="center"/>
            <w:hideMark/>
          </w:tcPr>
          <w:p w14:paraId="4BEFA3D7" w14:textId="77777777" w:rsidR="00000000" w:rsidRDefault="0053651E">
            <w:pPr>
              <w:rPr>
                <w:rFonts w:eastAsia="Times New Roman"/>
                <w:sz w:val="20"/>
                <w:szCs w:val="20"/>
              </w:rPr>
            </w:pPr>
            <w:r>
              <w:rPr>
                <w:rFonts w:eastAsia="Times New Roman"/>
                <w:sz w:val="20"/>
                <w:szCs w:val="20"/>
              </w:rPr>
              <w:t>Impairment charges (2)</w:t>
            </w:r>
          </w:p>
        </w:tc>
        <w:tc>
          <w:tcPr>
            <w:tcW w:w="50" w:type="pct"/>
            <w:shd w:val="clear" w:color="auto" w:fill="CCEEFF"/>
            <w:vAlign w:val="center"/>
            <w:hideMark/>
          </w:tcPr>
          <w:p w14:paraId="436D4D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33DD5F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0645E46F" w14:textId="77777777" w:rsidR="00000000" w:rsidRDefault="0053651E">
            <w:pPr>
              <w:jc w:val="right"/>
              <w:rPr>
                <w:rFonts w:eastAsia="Times New Roman"/>
                <w:sz w:val="20"/>
                <w:szCs w:val="20"/>
              </w:rPr>
            </w:pPr>
            <w:r>
              <w:rPr>
                <w:rFonts w:eastAsia="Times New Roman"/>
                <w:sz w:val="20"/>
                <w:szCs w:val="20"/>
              </w:rPr>
              <w:t>(48,743</w:t>
            </w:r>
          </w:p>
        </w:tc>
        <w:tc>
          <w:tcPr>
            <w:tcW w:w="50" w:type="pct"/>
            <w:shd w:val="clear" w:color="auto" w:fill="CCEEFF"/>
            <w:vAlign w:val="center"/>
            <w:hideMark/>
          </w:tcPr>
          <w:p w14:paraId="425934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7337DD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127A08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28461111" w14:textId="77777777" w:rsidR="00000000" w:rsidRDefault="0053651E">
            <w:pPr>
              <w:jc w:val="right"/>
              <w:rPr>
                <w:rFonts w:eastAsia="Times New Roman"/>
                <w:sz w:val="20"/>
                <w:szCs w:val="20"/>
              </w:rPr>
            </w:pPr>
            <w:r>
              <w:rPr>
                <w:rFonts w:eastAsia="Times New Roman"/>
                <w:sz w:val="20"/>
                <w:szCs w:val="20"/>
              </w:rPr>
              <w:t>(79,207</w:t>
            </w:r>
          </w:p>
        </w:tc>
        <w:tc>
          <w:tcPr>
            <w:tcW w:w="50" w:type="pct"/>
            <w:shd w:val="clear" w:color="auto" w:fill="CCEEFF"/>
            <w:vAlign w:val="center"/>
            <w:hideMark/>
          </w:tcPr>
          <w:p w14:paraId="2309919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412334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7EA5131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1DDA46D4" w14:textId="77777777" w:rsidR="00000000" w:rsidRDefault="0053651E">
            <w:pPr>
              <w:jc w:val="right"/>
              <w:rPr>
                <w:rFonts w:eastAsia="Times New Roman"/>
                <w:sz w:val="20"/>
                <w:szCs w:val="20"/>
              </w:rPr>
            </w:pPr>
            <w:r>
              <w:rPr>
                <w:rFonts w:eastAsia="Times New Roman"/>
                <w:sz w:val="20"/>
                <w:szCs w:val="20"/>
              </w:rPr>
              <w:t>(67,331</w:t>
            </w:r>
          </w:p>
        </w:tc>
        <w:tc>
          <w:tcPr>
            <w:tcW w:w="50" w:type="pct"/>
            <w:shd w:val="clear" w:color="auto" w:fill="CCEEFF"/>
            <w:vAlign w:val="center"/>
            <w:hideMark/>
          </w:tcPr>
          <w:p w14:paraId="59DBF50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6653E8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3C05CA9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4539F366" w14:textId="77777777" w:rsidR="00000000" w:rsidRDefault="0053651E">
            <w:pPr>
              <w:jc w:val="right"/>
              <w:rPr>
                <w:rFonts w:eastAsia="Times New Roman"/>
                <w:sz w:val="20"/>
                <w:szCs w:val="20"/>
              </w:rPr>
            </w:pPr>
            <w:r>
              <w:rPr>
                <w:rFonts w:eastAsia="Times New Roman"/>
                <w:sz w:val="20"/>
                <w:szCs w:val="20"/>
              </w:rPr>
              <w:t>(93,266</w:t>
            </w:r>
          </w:p>
        </w:tc>
        <w:tc>
          <w:tcPr>
            <w:tcW w:w="50" w:type="pct"/>
            <w:shd w:val="clear" w:color="auto" w:fill="CCEEFF"/>
            <w:vAlign w:val="center"/>
            <w:hideMark/>
          </w:tcPr>
          <w:p w14:paraId="5B3B632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105793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0AC2888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63FC02D2" w14:textId="77777777" w:rsidR="00000000" w:rsidRDefault="0053651E">
            <w:pPr>
              <w:jc w:val="right"/>
              <w:rPr>
                <w:rFonts w:eastAsia="Times New Roman"/>
                <w:sz w:val="20"/>
                <w:szCs w:val="20"/>
              </w:rPr>
            </w:pPr>
            <w:r>
              <w:rPr>
                <w:rFonts w:eastAsia="Times New Roman"/>
                <w:sz w:val="20"/>
                <w:szCs w:val="20"/>
              </w:rPr>
              <w:t>(45,383</w:t>
            </w:r>
          </w:p>
        </w:tc>
        <w:tc>
          <w:tcPr>
            <w:tcW w:w="50" w:type="pct"/>
            <w:shd w:val="clear" w:color="auto" w:fill="CCEEFF"/>
            <w:vAlign w:val="center"/>
            <w:hideMark/>
          </w:tcPr>
          <w:p w14:paraId="56052E72" w14:textId="77777777" w:rsidR="00000000" w:rsidRDefault="0053651E">
            <w:pPr>
              <w:rPr>
                <w:rFonts w:eastAsia="Times New Roman"/>
                <w:sz w:val="20"/>
                <w:szCs w:val="20"/>
              </w:rPr>
            </w:pPr>
            <w:r>
              <w:rPr>
                <w:rFonts w:eastAsia="Times New Roman"/>
                <w:sz w:val="20"/>
                <w:szCs w:val="20"/>
              </w:rPr>
              <w:t>)</w:t>
            </w:r>
          </w:p>
        </w:tc>
      </w:tr>
      <w:tr w:rsidR="00000000" w14:paraId="2E13A662" w14:textId="77777777">
        <w:trPr>
          <w:tblCellSpacing w:w="0" w:type="dxa"/>
        </w:trPr>
        <w:tc>
          <w:tcPr>
            <w:tcW w:w="0" w:type="auto"/>
            <w:shd w:val="clear" w:color="auto" w:fill="FFFFFF"/>
            <w:vAlign w:val="center"/>
            <w:hideMark/>
          </w:tcPr>
          <w:p w14:paraId="1557E1B6" w14:textId="77777777" w:rsidR="00000000" w:rsidRDefault="0053651E">
            <w:pPr>
              <w:rPr>
                <w:rFonts w:eastAsia="Times New Roman"/>
                <w:sz w:val="20"/>
                <w:szCs w:val="20"/>
              </w:rPr>
            </w:pPr>
            <w:r>
              <w:rPr>
                <w:rFonts w:eastAsia="Times New Roman"/>
                <w:sz w:val="20"/>
                <w:szCs w:val="20"/>
              </w:rPr>
              <w:t>Depreciation and amortization</w:t>
            </w:r>
          </w:p>
        </w:tc>
        <w:tc>
          <w:tcPr>
            <w:tcW w:w="50" w:type="pct"/>
            <w:shd w:val="clear" w:color="auto" w:fill="FFFFFF"/>
            <w:vAlign w:val="center"/>
            <w:hideMark/>
          </w:tcPr>
          <w:p w14:paraId="677ABD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6AB5CBA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5B521EB4" w14:textId="77777777" w:rsidR="00000000" w:rsidRDefault="0053651E">
            <w:pPr>
              <w:jc w:val="right"/>
              <w:rPr>
                <w:rFonts w:eastAsia="Times New Roman"/>
                <w:sz w:val="20"/>
                <w:szCs w:val="20"/>
              </w:rPr>
            </w:pPr>
            <w:r>
              <w:rPr>
                <w:rFonts w:eastAsia="Times New Roman"/>
                <w:sz w:val="20"/>
                <w:szCs w:val="20"/>
              </w:rPr>
              <w:t>(277,879</w:t>
            </w:r>
          </w:p>
        </w:tc>
        <w:tc>
          <w:tcPr>
            <w:tcW w:w="50" w:type="pct"/>
            <w:shd w:val="clear" w:color="auto" w:fill="FFFFFF"/>
            <w:vAlign w:val="center"/>
            <w:hideMark/>
          </w:tcPr>
          <w:p w14:paraId="7870CE3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1AA3B9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161F5CB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4C356A45" w14:textId="77777777" w:rsidR="00000000" w:rsidRDefault="0053651E">
            <w:pPr>
              <w:jc w:val="right"/>
              <w:rPr>
                <w:rFonts w:eastAsia="Times New Roman"/>
                <w:sz w:val="20"/>
                <w:szCs w:val="20"/>
              </w:rPr>
            </w:pPr>
            <w:r>
              <w:rPr>
                <w:rFonts w:eastAsia="Times New Roman"/>
                <w:sz w:val="20"/>
                <w:szCs w:val="20"/>
              </w:rPr>
              <w:t>(310,380</w:t>
            </w:r>
          </w:p>
        </w:tc>
        <w:tc>
          <w:tcPr>
            <w:tcW w:w="50" w:type="pct"/>
            <w:shd w:val="clear" w:color="auto" w:fill="FFFFFF"/>
            <w:vAlign w:val="center"/>
            <w:hideMark/>
          </w:tcPr>
          <w:p w14:paraId="383AA7F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3D4A92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0EFE8F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3ECA3C87" w14:textId="77777777" w:rsidR="00000000" w:rsidRDefault="0053651E">
            <w:pPr>
              <w:jc w:val="right"/>
              <w:rPr>
                <w:rFonts w:eastAsia="Times New Roman"/>
                <w:sz w:val="20"/>
                <w:szCs w:val="20"/>
              </w:rPr>
            </w:pPr>
            <w:r>
              <w:rPr>
                <w:rFonts w:eastAsia="Times New Roman"/>
                <w:sz w:val="20"/>
                <w:szCs w:val="20"/>
              </w:rPr>
              <w:t>(360,811</w:t>
            </w:r>
          </w:p>
        </w:tc>
        <w:tc>
          <w:tcPr>
            <w:tcW w:w="50" w:type="pct"/>
            <w:shd w:val="clear" w:color="auto" w:fill="FFFFFF"/>
            <w:vAlign w:val="center"/>
            <w:hideMark/>
          </w:tcPr>
          <w:p w14:paraId="6F80E26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3E798D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82A3E4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67A433CF" w14:textId="77777777" w:rsidR="00000000" w:rsidRDefault="0053651E">
            <w:pPr>
              <w:jc w:val="right"/>
              <w:rPr>
                <w:rFonts w:eastAsia="Times New Roman"/>
                <w:sz w:val="20"/>
                <w:szCs w:val="20"/>
              </w:rPr>
            </w:pPr>
            <w:r>
              <w:rPr>
                <w:rFonts w:eastAsia="Times New Roman"/>
                <w:sz w:val="20"/>
                <w:szCs w:val="20"/>
              </w:rPr>
              <w:t>(355,320</w:t>
            </w:r>
          </w:p>
        </w:tc>
        <w:tc>
          <w:tcPr>
            <w:tcW w:w="50" w:type="pct"/>
            <w:shd w:val="clear" w:color="auto" w:fill="FFFFFF"/>
            <w:vAlign w:val="center"/>
            <w:hideMark/>
          </w:tcPr>
          <w:p w14:paraId="21647C5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2703F8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E6B502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55EE6638" w14:textId="77777777" w:rsidR="00000000" w:rsidRDefault="0053651E">
            <w:pPr>
              <w:jc w:val="right"/>
              <w:rPr>
                <w:rFonts w:eastAsia="Times New Roman"/>
                <w:sz w:val="20"/>
                <w:szCs w:val="20"/>
              </w:rPr>
            </w:pPr>
            <w:r>
              <w:rPr>
                <w:rFonts w:eastAsia="Times New Roman"/>
                <w:sz w:val="20"/>
                <w:szCs w:val="20"/>
              </w:rPr>
              <w:t>(344,527</w:t>
            </w:r>
          </w:p>
        </w:tc>
        <w:tc>
          <w:tcPr>
            <w:tcW w:w="50" w:type="pct"/>
            <w:shd w:val="clear" w:color="auto" w:fill="FFFFFF"/>
            <w:vAlign w:val="center"/>
            <w:hideMark/>
          </w:tcPr>
          <w:p w14:paraId="35D456D3" w14:textId="77777777" w:rsidR="00000000" w:rsidRDefault="0053651E">
            <w:pPr>
              <w:rPr>
                <w:rFonts w:eastAsia="Times New Roman"/>
                <w:sz w:val="20"/>
                <w:szCs w:val="20"/>
              </w:rPr>
            </w:pPr>
            <w:r>
              <w:rPr>
                <w:rFonts w:eastAsia="Times New Roman"/>
                <w:sz w:val="20"/>
                <w:szCs w:val="20"/>
              </w:rPr>
              <w:t>)</w:t>
            </w:r>
          </w:p>
        </w:tc>
      </w:tr>
      <w:tr w:rsidR="00000000" w14:paraId="30C408DD" w14:textId="77777777">
        <w:trPr>
          <w:tblCellSpacing w:w="0" w:type="dxa"/>
        </w:trPr>
        <w:tc>
          <w:tcPr>
            <w:tcW w:w="0" w:type="auto"/>
            <w:shd w:val="clear" w:color="auto" w:fill="CCEEFF"/>
            <w:vAlign w:val="center"/>
            <w:hideMark/>
          </w:tcPr>
          <w:p w14:paraId="42E2CD40" w14:textId="77777777" w:rsidR="00000000" w:rsidRDefault="0053651E">
            <w:pPr>
              <w:rPr>
                <w:rFonts w:eastAsia="Times New Roman"/>
                <w:sz w:val="20"/>
                <w:szCs w:val="20"/>
              </w:rPr>
            </w:pPr>
            <w:r>
              <w:rPr>
                <w:rFonts w:eastAsia="Times New Roman"/>
                <w:sz w:val="20"/>
                <w:szCs w:val="20"/>
              </w:rPr>
              <w:t>Gain on sale of properties/change in control of interests</w:t>
            </w:r>
          </w:p>
        </w:tc>
        <w:tc>
          <w:tcPr>
            <w:tcW w:w="50" w:type="pct"/>
            <w:shd w:val="clear" w:color="auto" w:fill="CCEEFF"/>
            <w:vAlign w:val="center"/>
            <w:hideMark/>
          </w:tcPr>
          <w:p w14:paraId="11E8ED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2FE4E07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7A841D3A"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CCEEFF"/>
            <w:vAlign w:val="center"/>
            <w:hideMark/>
          </w:tcPr>
          <w:p w14:paraId="39623E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090ED9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19B7AD2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367A4506" w14:textId="77777777" w:rsidR="00000000" w:rsidRDefault="0053651E">
            <w:pPr>
              <w:jc w:val="right"/>
              <w:rPr>
                <w:rFonts w:eastAsia="Times New Roman"/>
                <w:sz w:val="20"/>
                <w:szCs w:val="20"/>
              </w:rPr>
            </w:pPr>
            <w:r>
              <w:rPr>
                <w:rFonts w:eastAsia="Times New Roman"/>
                <w:sz w:val="20"/>
                <w:szCs w:val="20"/>
              </w:rPr>
              <w:t>229,840</w:t>
            </w:r>
          </w:p>
        </w:tc>
        <w:tc>
          <w:tcPr>
            <w:tcW w:w="50" w:type="pct"/>
            <w:shd w:val="clear" w:color="auto" w:fill="CCEEFF"/>
            <w:vAlign w:val="center"/>
            <w:hideMark/>
          </w:tcPr>
          <w:p w14:paraId="0BB6D6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0043D5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564E54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4ABBD6B1" w14:textId="77777777" w:rsidR="00000000" w:rsidRDefault="0053651E">
            <w:pPr>
              <w:jc w:val="right"/>
              <w:rPr>
                <w:rFonts w:eastAsia="Times New Roman"/>
                <w:sz w:val="20"/>
                <w:szCs w:val="20"/>
              </w:rPr>
            </w:pPr>
            <w:r>
              <w:rPr>
                <w:rFonts w:eastAsia="Times New Roman"/>
                <w:sz w:val="20"/>
                <w:szCs w:val="20"/>
              </w:rPr>
              <w:t>93,538</w:t>
            </w:r>
          </w:p>
        </w:tc>
        <w:tc>
          <w:tcPr>
            <w:tcW w:w="50" w:type="pct"/>
            <w:shd w:val="clear" w:color="auto" w:fill="CCEEFF"/>
            <w:vAlign w:val="center"/>
            <w:hideMark/>
          </w:tcPr>
          <w:p w14:paraId="232811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33912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F81B76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3E65A071" w14:textId="77777777" w:rsidR="00000000" w:rsidRDefault="0053651E">
            <w:pPr>
              <w:jc w:val="right"/>
              <w:rPr>
                <w:rFonts w:eastAsia="Times New Roman"/>
                <w:sz w:val="20"/>
                <w:szCs w:val="20"/>
              </w:rPr>
            </w:pPr>
            <w:r>
              <w:rPr>
                <w:rFonts w:eastAsia="Times New Roman"/>
                <w:sz w:val="20"/>
                <w:szCs w:val="20"/>
              </w:rPr>
              <w:t>92,823</w:t>
            </w:r>
          </w:p>
        </w:tc>
        <w:tc>
          <w:tcPr>
            <w:tcW w:w="50" w:type="pct"/>
            <w:shd w:val="clear" w:color="auto" w:fill="CCEEFF"/>
            <w:vAlign w:val="center"/>
            <w:hideMark/>
          </w:tcPr>
          <w:p w14:paraId="5BC8E7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564A6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165DFF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7C4DF433" w14:textId="77777777" w:rsidR="00000000" w:rsidRDefault="0053651E">
            <w:pPr>
              <w:jc w:val="right"/>
              <w:rPr>
                <w:rFonts w:eastAsia="Times New Roman"/>
                <w:sz w:val="20"/>
                <w:szCs w:val="20"/>
              </w:rPr>
            </w:pPr>
            <w:r>
              <w:rPr>
                <w:rFonts w:eastAsia="Times New Roman"/>
                <w:sz w:val="20"/>
                <w:szCs w:val="20"/>
              </w:rPr>
              <w:t>132,908</w:t>
            </w:r>
          </w:p>
        </w:tc>
        <w:tc>
          <w:tcPr>
            <w:tcW w:w="50" w:type="pct"/>
            <w:shd w:val="clear" w:color="auto" w:fill="CCEEFF"/>
            <w:vAlign w:val="center"/>
            <w:hideMark/>
          </w:tcPr>
          <w:p w14:paraId="559E30D4" w14:textId="77777777" w:rsidR="00000000" w:rsidRDefault="0053651E">
            <w:pPr>
              <w:rPr>
                <w:rFonts w:eastAsia="Times New Roman"/>
                <w:sz w:val="20"/>
                <w:szCs w:val="20"/>
              </w:rPr>
            </w:pPr>
            <w:r>
              <w:rPr>
                <w:rFonts w:eastAsia="Times New Roman"/>
                <w:sz w:val="20"/>
                <w:szCs w:val="20"/>
              </w:rPr>
              <w:t> </w:t>
            </w:r>
          </w:p>
        </w:tc>
      </w:tr>
      <w:tr w:rsidR="00000000" w14:paraId="3A984385" w14:textId="77777777">
        <w:trPr>
          <w:tblCellSpacing w:w="0" w:type="dxa"/>
        </w:trPr>
        <w:tc>
          <w:tcPr>
            <w:tcW w:w="0" w:type="auto"/>
            <w:shd w:val="clear" w:color="auto" w:fill="FFFFFF"/>
            <w:vAlign w:val="bottom"/>
            <w:hideMark/>
          </w:tcPr>
          <w:p w14:paraId="6B94C393" w14:textId="77777777" w:rsidR="00000000" w:rsidRDefault="0053651E">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14:paraId="451FCE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48DB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0FE1ED8" w14:textId="77777777" w:rsidR="00000000" w:rsidRDefault="0053651E">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14:paraId="7FF20B1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3A1AF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5C80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06816FA" w14:textId="77777777" w:rsidR="00000000" w:rsidRDefault="0053651E">
            <w:pPr>
              <w:jc w:val="right"/>
              <w:rPr>
                <w:rFonts w:eastAsia="Times New Roman"/>
                <w:sz w:val="20"/>
                <w:szCs w:val="20"/>
              </w:rPr>
            </w:pPr>
            <w:r>
              <w:rPr>
                <w:rFonts w:eastAsia="Times New Roman"/>
                <w:sz w:val="20"/>
                <w:szCs w:val="20"/>
              </w:rPr>
              <w:t>(183,339</w:t>
            </w:r>
          </w:p>
        </w:tc>
        <w:tc>
          <w:tcPr>
            <w:tcW w:w="50" w:type="pct"/>
            <w:shd w:val="clear" w:color="auto" w:fill="FFFFFF"/>
            <w:vAlign w:val="bottom"/>
            <w:hideMark/>
          </w:tcPr>
          <w:p w14:paraId="14464BA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7D180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3188F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65F44CA" w14:textId="77777777" w:rsidR="00000000" w:rsidRDefault="0053651E">
            <w:pPr>
              <w:jc w:val="right"/>
              <w:rPr>
                <w:rFonts w:eastAsia="Times New Roman"/>
                <w:sz w:val="20"/>
                <w:szCs w:val="20"/>
              </w:rPr>
            </w:pPr>
            <w:r>
              <w:rPr>
                <w:rFonts w:eastAsia="Times New Roman"/>
                <w:sz w:val="20"/>
                <w:szCs w:val="20"/>
              </w:rPr>
              <w:t>(191,956</w:t>
            </w:r>
          </w:p>
        </w:tc>
        <w:tc>
          <w:tcPr>
            <w:tcW w:w="50" w:type="pct"/>
            <w:shd w:val="clear" w:color="auto" w:fill="FFFFFF"/>
            <w:vAlign w:val="bottom"/>
            <w:hideMark/>
          </w:tcPr>
          <w:p w14:paraId="6FDEDEE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41A6F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2900B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10D8316" w14:textId="77777777" w:rsidR="00000000" w:rsidRDefault="0053651E">
            <w:pPr>
              <w:jc w:val="right"/>
              <w:rPr>
                <w:rFonts w:eastAsia="Times New Roman"/>
                <w:sz w:val="20"/>
                <w:szCs w:val="20"/>
              </w:rPr>
            </w:pPr>
            <w:r>
              <w:rPr>
                <w:rFonts w:eastAsia="Times New Roman"/>
                <w:sz w:val="20"/>
                <w:szCs w:val="20"/>
              </w:rPr>
              <w:t>(192,549</w:t>
            </w:r>
          </w:p>
        </w:tc>
        <w:tc>
          <w:tcPr>
            <w:tcW w:w="50" w:type="pct"/>
            <w:shd w:val="clear" w:color="auto" w:fill="FFFFFF"/>
            <w:vAlign w:val="bottom"/>
            <w:hideMark/>
          </w:tcPr>
          <w:p w14:paraId="5E6AC09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06AC2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B7BFA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63FFDE6" w14:textId="77777777" w:rsidR="00000000" w:rsidRDefault="0053651E">
            <w:pPr>
              <w:jc w:val="right"/>
              <w:rPr>
                <w:rFonts w:eastAsia="Times New Roman"/>
                <w:sz w:val="20"/>
                <w:szCs w:val="20"/>
              </w:rPr>
            </w:pPr>
            <w:r>
              <w:rPr>
                <w:rFonts w:eastAsia="Times New Roman"/>
                <w:sz w:val="20"/>
                <w:szCs w:val="20"/>
              </w:rPr>
              <w:t>(218,891</w:t>
            </w:r>
          </w:p>
        </w:tc>
        <w:tc>
          <w:tcPr>
            <w:tcW w:w="50" w:type="pct"/>
            <w:shd w:val="clear" w:color="auto" w:fill="FFFFFF"/>
            <w:vAlign w:val="bottom"/>
            <w:hideMark/>
          </w:tcPr>
          <w:p w14:paraId="6FFC3C0A" w14:textId="77777777" w:rsidR="00000000" w:rsidRDefault="0053651E">
            <w:pPr>
              <w:rPr>
                <w:rFonts w:eastAsia="Times New Roman"/>
                <w:sz w:val="20"/>
                <w:szCs w:val="20"/>
              </w:rPr>
            </w:pPr>
            <w:r>
              <w:rPr>
                <w:rFonts w:eastAsia="Times New Roman"/>
                <w:sz w:val="20"/>
                <w:szCs w:val="20"/>
              </w:rPr>
              <w:t>)</w:t>
            </w:r>
          </w:p>
        </w:tc>
      </w:tr>
      <w:tr w:rsidR="00000000" w14:paraId="2CB63ECE" w14:textId="77777777">
        <w:trPr>
          <w:tblCellSpacing w:w="0" w:type="dxa"/>
        </w:trPr>
        <w:tc>
          <w:tcPr>
            <w:tcW w:w="0" w:type="auto"/>
            <w:shd w:val="clear" w:color="auto" w:fill="CCEEFF"/>
            <w:vAlign w:val="bottom"/>
            <w:hideMark/>
          </w:tcPr>
          <w:p w14:paraId="7E6310C4" w14:textId="77777777" w:rsidR="00000000" w:rsidRDefault="0053651E">
            <w:pPr>
              <w:pStyle w:val="a3"/>
              <w:spacing w:before="0" w:beforeAutospacing="0" w:after="0" w:afterAutospacing="0"/>
              <w:rPr>
                <w:sz w:val="20"/>
                <w:szCs w:val="20"/>
              </w:rPr>
            </w:pPr>
            <w:r>
              <w:rPr>
                <w:sz w:val="20"/>
                <w:szCs w:val="20"/>
              </w:rPr>
              <w:t>Early extinguishment of debt charges</w:t>
            </w:r>
          </w:p>
        </w:tc>
        <w:tc>
          <w:tcPr>
            <w:tcW w:w="50" w:type="pct"/>
            <w:shd w:val="clear" w:color="auto" w:fill="CCEEFF"/>
            <w:vAlign w:val="bottom"/>
            <w:hideMark/>
          </w:tcPr>
          <w:p w14:paraId="39872C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B1206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335B03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B523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179F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B243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FB9E844"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14:paraId="6A1043B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D0249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D514A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2886682B" w14:textId="77777777" w:rsidR="00000000" w:rsidRDefault="0053651E">
            <w:pPr>
              <w:jc w:val="right"/>
              <w:rPr>
                <w:rFonts w:eastAsia="Times New Roman"/>
                <w:sz w:val="20"/>
                <w:szCs w:val="20"/>
              </w:rPr>
            </w:pPr>
            <w:r>
              <w:rPr>
                <w:rFonts w:eastAsia="Times New Roman"/>
                <w:sz w:val="20"/>
                <w:szCs w:val="20"/>
              </w:rPr>
              <w:t>(1,753</w:t>
            </w:r>
          </w:p>
        </w:tc>
        <w:tc>
          <w:tcPr>
            <w:tcW w:w="50" w:type="pct"/>
            <w:shd w:val="clear" w:color="auto" w:fill="CCEEFF"/>
            <w:vAlign w:val="bottom"/>
            <w:hideMark/>
          </w:tcPr>
          <w:p w14:paraId="47570C1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178B4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6693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1120191D" w14:textId="77777777" w:rsidR="00000000" w:rsidRDefault="0053651E">
            <w:pPr>
              <w:jc w:val="right"/>
              <w:rPr>
                <w:rFonts w:eastAsia="Times New Roman"/>
                <w:sz w:val="20"/>
                <w:szCs w:val="20"/>
              </w:rPr>
            </w:pPr>
            <w:r>
              <w:rPr>
                <w:rFonts w:eastAsia="Times New Roman"/>
                <w:sz w:val="20"/>
                <w:szCs w:val="20"/>
              </w:rPr>
              <w:t>(45,674</w:t>
            </w:r>
          </w:p>
        </w:tc>
        <w:tc>
          <w:tcPr>
            <w:tcW w:w="50" w:type="pct"/>
            <w:shd w:val="clear" w:color="auto" w:fill="CCEEFF"/>
            <w:vAlign w:val="bottom"/>
            <w:hideMark/>
          </w:tcPr>
          <w:p w14:paraId="177019B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2986E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CC8FD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EB6D4F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715DC6E" w14:textId="77777777" w:rsidR="00000000" w:rsidRDefault="0053651E">
            <w:pPr>
              <w:rPr>
                <w:rFonts w:eastAsia="Times New Roman"/>
                <w:sz w:val="20"/>
                <w:szCs w:val="20"/>
              </w:rPr>
            </w:pPr>
            <w:r>
              <w:rPr>
                <w:rFonts w:eastAsia="Times New Roman"/>
                <w:sz w:val="20"/>
                <w:szCs w:val="20"/>
              </w:rPr>
              <w:t> </w:t>
            </w:r>
          </w:p>
        </w:tc>
      </w:tr>
      <w:tr w:rsidR="00000000" w14:paraId="7309C6D2" w14:textId="77777777">
        <w:trPr>
          <w:tblCellSpacing w:w="0" w:type="dxa"/>
        </w:trPr>
        <w:tc>
          <w:tcPr>
            <w:tcW w:w="0" w:type="auto"/>
            <w:shd w:val="clear" w:color="auto" w:fill="FFFFFF"/>
            <w:vAlign w:val="bottom"/>
            <w:hideMark/>
          </w:tcPr>
          <w:p w14:paraId="66942C51" w14:textId="77777777" w:rsidR="00000000" w:rsidRDefault="0053651E">
            <w:pPr>
              <w:pStyle w:val="a3"/>
              <w:spacing w:before="0" w:beforeAutospacing="0" w:after="0" w:afterAutospacing="0"/>
              <w:rPr>
                <w:sz w:val="20"/>
                <w:szCs w:val="20"/>
              </w:rPr>
            </w:pPr>
            <w:r>
              <w:rPr>
                <w:sz w:val="20"/>
                <w:szCs w:val="20"/>
              </w:rPr>
              <w:t>Benefit/(provision) for income taxes, net (1)</w:t>
            </w:r>
          </w:p>
        </w:tc>
        <w:tc>
          <w:tcPr>
            <w:tcW w:w="50" w:type="pct"/>
            <w:shd w:val="clear" w:color="auto" w:fill="FFFFFF"/>
            <w:vAlign w:val="bottom"/>
            <w:hideMark/>
          </w:tcPr>
          <w:p w14:paraId="5D7504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2F247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497DB4D" w14:textId="77777777" w:rsidR="00000000" w:rsidRDefault="0053651E">
            <w:pPr>
              <w:jc w:val="right"/>
              <w:rPr>
                <w:rFonts w:eastAsia="Times New Roman"/>
                <w:sz w:val="20"/>
                <w:szCs w:val="20"/>
              </w:rPr>
            </w:pPr>
            <w:r>
              <w:rPr>
                <w:rFonts w:eastAsia="Times New Roman"/>
                <w:sz w:val="20"/>
                <w:szCs w:val="20"/>
              </w:rPr>
              <w:t>3,317</w:t>
            </w:r>
          </w:p>
        </w:tc>
        <w:tc>
          <w:tcPr>
            <w:tcW w:w="50" w:type="pct"/>
            <w:shd w:val="clear" w:color="auto" w:fill="FFFFFF"/>
            <w:vAlign w:val="bottom"/>
            <w:hideMark/>
          </w:tcPr>
          <w:p w14:paraId="10C4F7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5BDE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853B3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C3C86B7" w14:textId="77777777" w:rsidR="00000000" w:rsidRDefault="0053651E">
            <w:pPr>
              <w:jc w:val="right"/>
              <w:rPr>
                <w:rFonts w:eastAsia="Times New Roman"/>
                <w:sz w:val="20"/>
                <w:szCs w:val="20"/>
              </w:rPr>
            </w:pPr>
            <w:r>
              <w:rPr>
                <w:rFonts w:eastAsia="Times New Roman"/>
                <w:sz w:val="20"/>
                <w:szCs w:val="20"/>
              </w:rPr>
              <w:t>(1,600</w:t>
            </w:r>
          </w:p>
        </w:tc>
        <w:tc>
          <w:tcPr>
            <w:tcW w:w="50" w:type="pct"/>
            <w:shd w:val="clear" w:color="auto" w:fill="FFFFFF"/>
            <w:vAlign w:val="bottom"/>
            <w:hideMark/>
          </w:tcPr>
          <w:p w14:paraId="7908F1F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738A3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E418B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03953ACA" w14:textId="77777777" w:rsidR="00000000" w:rsidRDefault="0053651E">
            <w:pPr>
              <w:jc w:val="right"/>
              <w:rPr>
                <w:rFonts w:eastAsia="Times New Roman"/>
                <w:sz w:val="20"/>
                <w:szCs w:val="20"/>
              </w:rPr>
            </w:pPr>
            <w:r>
              <w:rPr>
                <w:rFonts w:eastAsia="Times New Roman"/>
                <w:sz w:val="20"/>
                <w:szCs w:val="20"/>
              </w:rPr>
              <w:t>880</w:t>
            </w:r>
          </w:p>
        </w:tc>
        <w:tc>
          <w:tcPr>
            <w:tcW w:w="50" w:type="pct"/>
            <w:shd w:val="clear" w:color="auto" w:fill="FFFFFF"/>
            <w:vAlign w:val="bottom"/>
            <w:hideMark/>
          </w:tcPr>
          <w:p w14:paraId="0EFD19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B8AA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5F332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83A639B" w14:textId="77777777" w:rsidR="00000000" w:rsidRDefault="0053651E">
            <w:pPr>
              <w:jc w:val="right"/>
              <w:rPr>
                <w:rFonts w:eastAsia="Times New Roman"/>
                <w:sz w:val="20"/>
                <w:szCs w:val="20"/>
              </w:rPr>
            </w:pPr>
            <w:r>
              <w:rPr>
                <w:rFonts w:eastAsia="Times New Roman"/>
                <w:sz w:val="20"/>
                <w:szCs w:val="20"/>
              </w:rPr>
              <w:t>(78,583</w:t>
            </w:r>
          </w:p>
        </w:tc>
        <w:tc>
          <w:tcPr>
            <w:tcW w:w="50" w:type="pct"/>
            <w:shd w:val="clear" w:color="auto" w:fill="FFFFFF"/>
            <w:vAlign w:val="bottom"/>
            <w:hideMark/>
          </w:tcPr>
          <w:p w14:paraId="330BF9E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7DF0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7973D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55E21A0" w14:textId="77777777" w:rsidR="00000000" w:rsidRDefault="0053651E">
            <w:pPr>
              <w:jc w:val="right"/>
              <w:rPr>
                <w:rFonts w:eastAsia="Times New Roman"/>
                <w:sz w:val="20"/>
                <w:szCs w:val="20"/>
              </w:rPr>
            </w:pPr>
            <w:r>
              <w:rPr>
                <w:rFonts w:eastAsia="Times New Roman"/>
                <w:sz w:val="20"/>
                <w:szCs w:val="20"/>
              </w:rPr>
              <w:t>(67,325</w:t>
            </w:r>
          </w:p>
        </w:tc>
        <w:tc>
          <w:tcPr>
            <w:tcW w:w="50" w:type="pct"/>
            <w:shd w:val="clear" w:color="auto" w:fill="FFFFFF"/>
            <w:vAlign w:val="bottom"/>
            <w:hideMark/>
          </w:tcPr>
          <w:p w14:paraId="773CD023" w14:textId="77777777" w:rsidR="00000000" w:rsidRDefault="0053651E">
            <w:pPr>
              <w:rPr>
                <w:rFonts w:eastAsia="Times New Roman"/>
                <w:sz w:val="20"/>
                <w:szCs w:val="20"/>
              </w:rPr>
            </w:pPr>
            <w:r>
              <w:rPr>
                <w:rFonts w:eastAsia="Times New Roman"/>
                <w:sz w:val="20"/>
                <w:szCs w:val="20"/>
              </w:rPr>
              <w:t>)</w:t>
            </w:r>
          </w:p>
        </w:tc>
      </w:tr>
      <w:tr w:rsidR="00000000" w14:paraId="2258752B" w14:textId="77777777">
        <w:trPr>
          <w:tblCellSpacing w:w="0" w:type="dxa"/>
        </w:trPr>
        <w:tc>
          <w:tcPr>
            <w:tcW w:w="0" w:type="auto"/>
            <w:shd w:val="clear" w:color="auto" w:fill="CCEEFF"/>
            <w:vAlign w:val="bottom"/>
            <w:hideMark/>
          </w:tcPr>
          <w:p w14:paraId="591D6D15" w14:textId="77777777" w:rsidR="00000000" w:rsidRDefault="0053651E">
            <w:pPr>
              <w:pStyle w:val="a3"/>
              <w:spacing w:before="0" w:beforeAutospacing="0" w:after="0" w:afterAutospacing="0"/>
              <w:rPr>
                <w:sz w:val="20"/>
                <w:szCs w:val="20"/>
              </w:rPr>
            </w:pPr>
            <w:r>
              <w:rPr>
                <w:sz w:val="20"/>
                <w:szCs w:val="20"/>
              </w:rPr>
              <w:t>Income from continuing operations</w:t>
            </w:r>
          </w:p>
        </w:tc>
        <w:tc>
          <w:tcPr>
            <w:tcW w:w="50" w:type="pct"/>
            <w:shd w:val="clear" w:color="auto" w:fill="CCEEFF"/>
            <w:vAlign w:val="bottom"/>
            <w:hideMark/>
          </w:tcPr>
          <w:p w14:paraId="58EEB6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CE520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E2EA7CB"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CCEEFF"/>
            <w:vAlign w:val="bottom"/>
            <w:hideMark/>
          </w:tcPr>
          <w:p w14:paraId="5EE806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4436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F6BB0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172A920" w14:textId="77777777" w:rsidR="00000000" w:rsidRDefault="0053651E">
            <w:pPr>
              <w:jc w:val="right"/>
              <w:rPr>
                <w:rFonts w:eastAsia="Times New Roman"/>
                <w:sz w:val="20"/>
                <w:szCs w:val="20"/>
              </w:rPr>
            </w:pPr>
            <w:r>
              <w:rPr>
                <w:rFonts w:eastAsia="Times New Roman"/>
                <w:sz w:val="20"/>
                <w:szCs w:val="20"/>
              </w:rPr>
              <w:t>498,463</w:t>
            </w:r>
          </w:p>
        </w:tc>
        <w:tc>
          <w:tcPr>
            <w:tcW w:w="50" w:type="pct"/>
            <w:shd w:val="clear" w:color="auto" w:fill="CCEEFF"/>
            <w:vAlign w:val="bottom"/>
            <w:hideMark/>
          </w:tcPr>
          <w:p w14:paraId="56CF34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2976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C3ABB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09ED0CF" w14:textId="77777777" w:rsidR="00000000" w:rsidRDefault="0053651E">
            <w:pPr>
              <w:jc w:val="right"/>
              <w:rPr>
                <w:rFonts w:eastAsia="Times New Roman"/>
                <w:sz w:val="20"/>
                <w:szCs w:val="20"/>
              </w:rPr>
            </w:pPr>
            <w:r>
              <w:rPr>
                <w:rFonts w:eastAsia="Times New Roman"/>
                <w:sz w:val="20"/>
                <w:szCs w:val="20"/>
              </w:rPr>
              <w:t>439,671</w:t>
            </w:r>
          </w:p>
        </w:tc>
        <w:tc>
          <w:tcPr>
            <w:tcW w:w="50" w:type="pct"/>
            <w:shd w:val="clear" w:color="auto" w:fill="CCEEFF"/>
            <w:vAlign w:val="bottom"/>
            <w:hideMark/>
          </w:tcPr>
          <w:p w14:paraId="17BD8C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CED0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33545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6636974B" w14:textId="77777777" w:rsidR="00000000" w:rsidRDefault="0053651E">
            <w:pPr>
              <w:jc w:val="right"/>
              <w:rPr>
                <w:rFonts w:eastAsia="Times New Roman"/>
                <w:sz w:val="20"/>
                <w:szCs w:val="20"/>
              </w:rPr>
            </w:pPr>
            <w:r>
              <w:rPr>
                <w:rFonts w:eastAsia="Times New Roman"/>
                <w:sz w:val="20"/>
                <w:szCs w:val="20"/>
              </w:rPr>
              <w:t>386,138</w:t>
            </w:r>
          </w:p>
        </w:tc>
        <w:tc>
          <w:tcPr>
            <w:tcW w:w="50" w:type="pct"/>
            <w:shd w:val="clear" w:color="auto" w:fill="CCEEFF"/>
            <w:vAlign w:val="bottom"/>
            <w:hideMark/>
          </w:tcPr>
          <w:p w14:paraId="5756F9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8DB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AFD8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80D89B3" w14:textId="77777777" w:rsidR="00000000" w:rsidRDefault="0053651E">
            <w:pPr>
              <w:jc w:val="right"/>
              <w:rPr>
                <w:rFonts w:eastAsia="Times New Roman"/>
                <w:sz w:val="20"/>
                <w:szCs w:val="20"/>
              </w:rPr>
            </w:pPr>
            <w:r>
              <w:rPr>
                <w:rFonts w:eastAsia="Times New Roman"/>
                <w:sz w:val="20"/>
                <w:szCs w:val="20"/>
              </w:rPr>
              <w:t>900,218</w:t>
            </w:r>
          </w:p>
        </w:tc>
        <w:tc>
          <w:tcPr>
            <w:tcW w:w="50" w:type="pct"/>
            <w:shd w:val="clear" w:color="auto" w:fill="CCEEFF"/>
            <w:vAlign w:val="bottom"/>
            <w:hideMark/>
          </w:tcPr>
          <w:p w14:paraId="4A686787" w14:textId="77777777" w:rsidR="00000000" w:rsidRDefault="0053651E">
            <w:pPr>
              <w:rPr>
                <w:rFonts w:eastAsia="Times New Roman"/>
                <w:sz w:val="20"/>
                <w:szCs w:val="20"/>
              </w:rPr>
            </w:pPr>
            <w:r>
              <w:rPr>
                <w:rFonts w:eastAsia="Times New Roman"/>
                <w:sz w:val="20"/>
                <w:szCs w:val="20"/>
              </w:rPr>
              <w:t> </w:t>
            </w:r>
          </w:p>
        </w:tc>
      </w:tr>
      <w:tr w:rsidR="00000000" w14:paraId="0BF5B6A3" w14:textId="77777777">
        <w:trPr>
          <w:tblCellSpacing w:w="0" w:type="dxa"/>
        </w:trPr>
        <w:tc>
          <w:tcPr>
            <w:tcW w:w="0" w:type="auto"/>
            <w:shd w:val="clear" w:color="auto" w:fill="FFFFFF"/>
            <w:vAlign w:val="bottom"/>
            <w:hideMark/>
          </w:tcPr>
          <w:p w14:paraId="3693C545" w14:textId="77777777" w:rsidR="00000000" w:rsidRDefault="0053651E">
            <w:pPr>
              <w:pStyle w:val="a3"/>
              <w:spacing w:before="0" w:beforeAutospacing="0" w:after="0" w:afterAutospacing="0"/>
              <w:rPr>
                <w:sz w:val="20"/>
                <w:szCs w:val="20"/>
              </w:rPr>
            </w:pPr>
            <w:r>
              <w:rPr>
                <w:sz w:val="20"/>
                <w:szCs w:val="20"/>
              </w:rPr>
              <w:t>Net income</w:t>
            </w:r>
          </w:p>
        </w:tc>
        <w:tc>
          <w:tcPr>
            <w:tcW w:w="50" w:type="pct"/>
            <w:shd w:val="clear" w:color="auto" w:fill="FFFFFF"/>
            <w:vAlign w:val="bottom"/>
            <w:hideMark/>
          </w:tcPr>
          <w:p w14:paraId="5E03A8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757E0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F705671"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14:paraId="03B0F1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31CF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E7D0F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B478477" w14:textId="77777777" w:rsidR="00000000" w:rsidRDefault="0053651E">
            <w:pPr>
              <w:jc w:val="right"/>
              <w:rPr>
                <w:rFonts w:eastAsia="Times New Roman"/>
                <w:sz w:val="20"/>
                <w:szCs w:val="20"/>
              </w:rPr>
            </w:pPr>
            <w:r>
              <w:rPr>
                <w:rFonts w:eastAsia="Times New Roman"/>
                <w:sz w:val="20"/>
                <w:szCs w:val="20"/>
              </w:rPr>
              <w:t>498,463</w:t>
            </w:r>
          </w:p>
        </w:tc>
        <w:tc>
          <w:tcPr>
            <w:tcW w:w="50" w:type="pct"/>
            <w:shd w:val="clear" w:color="auto" w:fill="FFFFFF"/>
            <w:vAlign w:val="bottom"/>
            <w:hideMark/>
          </w:tcPr>
          <w:p w14:paraId="31B1BE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D48C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27A88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778ADD6" w14:textId="77777777" w:rsidR="00000000" w:rsidRDefault="0053651E">
            <w:pPr>
              <w:jc w:val="right"/>
              <w:rPr>
                <w:rFonts w:eastAsia="Times New Roman"/>
                <w:sz w:val="20"/>
                <w:szCs w:val="20"/>
              </w:rPr>
            </w:pPr>
            <w:r>
              <w:rPr>
                <w:rFonts w:eastAsia="Times New Roman"/>
                <w:sz w:val="20"/>
                <w:szCs w:val="20"/>
              </w:rPr>
              <w:t>439,671</w:t>
            </w:r>
          </w:p>
        </w:tc>
        <w:tc>
          <w:tcPr>
            <w:tcW w:w="50" w:type="pct"/>
            <w:shd w:val="clear" w:color="auto" w:fill="FFFFFF"/>
            <w:vAlign w:val="bottom"/>
            <w:hideMark/>
          </w:tcPr>
          <w:p w14:paraId="1BB1DB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C12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990F8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2F5085B" w14:textId="77777777" w:rsidR="00000000" w:rsidRDefault="0053651E">
            <w:pPr>
              <w:jc w:val="right"/>
              <w:rPr>
                <w:rFonts w:eastAsia="Times New Roman"/>
                <w:sz w:val="20"/>
                <w:szCs w:val="20"/>
              </w:rPr>
            </w:pPr>
            <w:r>
              <w:rPr>
                <w:rFonts w:eastAsia="Times New Roman"/>
                <w:sz w:val="20"/>
                <w:szCs w:val="20"/>
              </w:rPr>
              <w:t>386,138</w:t>
            </w:r>
          </w:p>
        </w:tc>
        <w:tc>
          <w:tcPr>
            <w:tcW w:w="50" w:type="pct"/>
            <w:shd w:val="clear" w:color="auto" w:fill="FFFFFF"/>
            <w:vAlign w:val="bottom"/>
            <w:hideMark/>
          </w:tcPr>
          <w:p w14:paraId="7D4E56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6815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0A39F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05F2E0D" w14:textId="77777777" w:rsidR="00000000" w:rsidRDefault="0053651E">
            <w:pPr>
              <w:jc w:val="right"/>
              <w:rPr>
                <w:rFonts w:eastAsia="Times New Roman"/>
                <w:sz w:val="20"/>
                <w:szCs w:val="20"/>
              </w:rPr>
            </w:pPr>
            <w:r>
              <w:rPr>
                <w:rFonts w:eastAsia="Times New Roman"/>
                <w:sz w:val="20"/>
                <w:szCs w:val="20"/>
              </w:rPr>
              <w:t>900,143</w:t>
            </w:r>
          </w:p>
        </w:tc>
        <w:tc>
          <w:tcPr>
            <w:tcW w:w="50" w:type="pct"/>
            <w:shd w:val="clear" w:color="auto" w:fill="FFFFFF"/>
            <w:vAlign w:val="bottom"/>
            <w:hideMark/>
          </w:tcPr>
          <w:p w14:paraId="2E76505C" w14:textId="77777777" w:rsidR="00000000" w:rsidRDefault="0053651E">
            <w:pPr>
              <w:rPr>
                <w:rFonts w:eastAsia="Times New Roman"/>
                <w:sz w:val="20"/>
                <w:szCs w:val="20"/>
              </w:rPr>
            </w:pPr>
            <w:r>
              <w:rPr>
                <w:rFonts w:eastAsia="Times New Roman"/>
                <w:sz w:val="20"/>
                <w:szCs w:val="20"/>
              </w:rPr>
              <w:t> </w:t>
            </w:r>
          </w:p>
        </w:tc>
      </w:tr>
      <w:tr w:rsidR="00000000" w14:paraId="6A8F8F34" w14:textId="77777777">
        <w:trPr>
          <w:tblCellSpacing w:w="0" w:type="dxa"/>
        </w:trPr>
        <w:tc>
          <w:tcPr>
            <w:tcW w:w="0" w:type="auto"/>
            <w:shd w:val="clear" w:color="auto" w:fill="CCEEFF"/>
            <w:vAlign w:val="bottom"/>
            <w:hideMark/>
          </w:tcPr>
          <w:p w14:paraId="6C6C3D31" w14:textId="77777777" w:rsidR="00000000" w:rsidRDefault="0053651E">
            <w:pPr>
              <w:pStyle w:val="a3"/>
              <w:spacing w:before="0" w:beforeAutospacing="0" w:after="0" w:afterAutospacing="0"/>
              <w:rPr>
                <w:sz w:val="20"/>
                <w:szCs w:val="20"/>
              </w:rPr>
            </w:pPr>
            <w:r>
              <w:rPr>
                <w:sz w:val="20"/>
                <w:szCs w:val="20"/>
              </w:rPr>
              <w:t>Net income attributable to the Company</w:t>
            </w:r>
          </w:p>
        </w:tc>
        <w:tc>
          <w:tcPr>
            <w:tcW w:w="50" w:type="pct"/>
            <w:shd w:val="clear" w:color="auto" w:fill="CCEEFF"/>
            <w:vAlign w:val="bottom"/>
            <w:hideMark/>
          </w:tcPr>
          <w:p w14:paraId="0F7460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A92D2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3B3738BE" w14:textId="77777777" w:rsidR="00000000" w:rsidRDefault="0053651E">
            <w:pPr>
              <w:jc w:val="right"/>
              <w:rPr>
                <w:rFonts w:eastAsia="Times New Roman"/>
                <w:sz w:val="20"/>
                <w:szCs w:val="20"/>
              </w:rPr>
            </w:pPr>
            <w:r>
              <w:rPr>
                <w:rFonts w:eastAsia="Times New Roman"/>
                <w:sz w:val="20"/>
                <w:szCs w:val="20"/>
              </w:rPr>
              <w:t>410,605</w:t>
            </w:r>
          </w:p>
        </w:tc>
        <w:tc>
          <w:tcPr>
            <w:tcW w:w="50" w:type="pct"/>
            <w:shd w:val="clear" w:color="auto" w:fill="CCEEFF"/>
            <w:vAlign w:val="bottom"/>
            <w:hideMark/>
          </w:tcPr>
          <w:p w14:paraId="5088B4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B20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7976F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11D594AF" w14:textId="77777777" w:rsidR="00000000" w:rsidRDefault="0053651E">
            <w:pPr>
              <w:jc w:val="right"/>
              <w:rPr>
                <w:rFonts w:eastAsia="Times New Roman"/>
                <w:sz w:val="20"/>
                <w:szCs w:val="20"/>
              </w:rPr>
            </w:pPr>
            <w:r>
              <w:rPr>
                <w:rFonts w:eastAsia="Times New Roman"/>
                <w:sz w:val="20"/>
                <w:szCs w:val="20"/>
              </w:rPr>
              <w:t>497,795</w:t>
            </w:r>
          </w:p>
        </w:tc>
        <w:tc>
          <w:tcPr>
            <w:tcW w:w="50" w:type="pct"/>
            <w:shd w:val="clear" w:color="auto" w:fill="CCEEFF"/>
            <w:vAlign w:val="bottom"/>
            <w:hideMark/>
          </w:tcPr>
          <w:p w14:paraId="49B5C4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4CEF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835C3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29758E63" w14:textId="77777777" w:rsidR="00000000" w:rsidRDefault="0053651E">
            <w:pPr>
              <w:jc w:val="right"/>
              <w:rPr>
                <w:rFonts w:eastAsia="Times New Roman"/>
                <w:sz w:val="20"/>
                <w:szCs w:val="20"/>
              </w:rPr>
            </w:pPr>
            <w:r>
              <w:rPr>
                <w:rFonts w:eastAsia="Times New Roman"/>
                <w:sz w:val="20"/>
                <w:szCs w:val="20"/>
              </w:rPr>
              <w:t>426,075</w:t>
            </w:r>
          </w:p>
        </w:tc>
        <w:tc>
          <w:tcPr>
            <w:tcW w:w="50" w:type="pct"/>
            <w:shd w:val="clear" w:color="auto" w:fill="CCEEFF"/>
            <w:vAlign w:val="bottom"/>
            <w:hideMark/>
          </w:tcPr>
          <w:p w14:paraId="1DE42E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E169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930B4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B250A2B" w14:textId="77777777" w:rsidR="00000000" w:rsidRDefault="0053651E">
            <w:pPr>
              <w:jc w:val="right"/>
              <w:rPr>
                <w:rFonts w:eastAsia="Times New Roman"/>
                <w:sz w:val="20"/>
                <w:szCs w:val="20"/>
              </w:rPr>
            </w:pPr>
            <w:r>
              <w:rPr>
                <w:rFonts w:eastAsia="Times New Roman"/>
                <w:sz w:val="20"/>
                <w:szCs w:val="20"/>
              </w:rPr>
              <w:t>378,850</w:t>
            </w:r>
          </w:p>
        </w:tc>
        <w:tc>
          <w:tcPr>
            <w:tcW w:w="50" w:type="pct"/>
            <w:shd w:val="clear" w:color="auto" w:fill="CCEEFF"/>
            <w:vAlign w:val="bottom"/>
            <w:hideMark/>
          </w:tcPr>
          <w:p w14:paraId="570410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EF5D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E6E9A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39ED6E1" w14:textId="77777777" w:rsidR="00000000" w:rsidRDefault="0053651E">
            <w:pPr>
              <w:jc w:val="right"/>
              <w:rPr>
                <w:rFonts w:eastAsia="Times New Roman"/>
                <w:sz w:val="20"/>
                <w:szCs w:val="20"/>
              </w:rPr>
            </w:pPr>
            <w:r>
              <w:rPr>
                <w:rFonts w:eastAsia="Times New Roman"/>
                <w:sz w:val="20"/>
                <w:szCs w:val="20"/>
              </w:rPr>
              <w:t>894,115</w:t>
            </w:r>
          </w:p>
        </w:tc>
        <w:tc>
          <w:tcPr>
            <w:tcW w:w="50" w:type="pct"/>
            <w:shd w:val="clear" w:color="auto" w:fill="CCEEFF"/>
            <w:vAlign w:val="bottom"/>
            <w:hideMark/>
          </w:tcPr>
          <w:p w14:paraId="3FA65173" w14:textId="77777777" w:rsidR="00000000" w:rsidRDefault="0053651E">
            <w:pPr>
              <w:rPr>
                <w:rFonts w:eastAsia="Times New Roman"/>
                <w:sz w:val="20"/>
                <w:szCs w:val="20"/>
              </w:rPr>
            </w:pPr>
            <w:r>
              <w:rPr>
                <w:rFonts w:eastAsia="Times New Roman"/>
                <w:sz w:val="20"/>
                <w:szCs w:val="20"/>
              </w:rPr>
              <w:t> </w:t>
            </w:r>
          </w:p>
        </w:tc>
      </w:tr>
      <w:tr w:rsidR="00000000" w14:paraId="2056CC9F" w14:textId="77777777">
        <w:trPr>
          <w:tblCellSpacing w:w="0" w:type="dxa"/>
        </w:trPr>
        <w:tc>
          <w:tcPr>
            <w:tcW w:w="0" w:type="auto"/>
            <w:shd w:val="clear" w:color="auto" w:fill="FFFFFF"/>
            <w:vAlign w:val="bottom"/>
            <w:hideMark/>
          </w:tcPr>
          <w:p w14:paraId="2075A359" w14:textId="77777777" w:rsidR="00000000" w:rsidRDefault="0053651E">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5C083E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54DAC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958D9AF" w14:textId="77777777" w:rsidR="00000000" w:rsidRDefault="0053651E">
            <w:pPr>
              <w:jc w:val="right"/>
              <w:rPr>
                <w:rFonts w:eastAsia="Times New Roman"/>
                <w:sz w:val="20"/>
                <w:szCs w:val="20"/>
              </w:rPr>
            </w:pPr>
            <w:r>
              <w:rPr>
                <w:rFonts w:eastAsia="Times New Roman"/>
                <w:sz w:val="20"/>
                <w:szCs w:val="20"/>
              </w:rPr>
              <w:t>339,988</w:t>
            </w:r>
          </w:p>
        </w:tc>
        <w:tc>
          <w:tcPr>
            <w:tcW w:w="50" w:type="pct"/>
            <w:shd w:val="clear" w:color="auto" w:fill="FFFFFF"/>
            <w:vAlign w:val="bottom"/>
            <w:hideMark/>
          </w:tcPr>
          <w:p w14:paraId="50A3D1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AB43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4E217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06607D4" w14:textId="77777777" w:rsidR="00000000" w:rsidRDefault="0053651E">
            <w:pPr>
              <w:jc w:val="right"/>
              <w:rPr>
                <w:rFonts w:eastAsia="Times New Roman"/>
                <w:sz w:val="20"/>
                <w:szCs w:val="20"/>
              </w:rPr>
            </w:pPr>
            <w:r>
              <w:rPr>
                <w:rFonts w:eastAsia="Times New Roman"/>
                <w:sz w:val="20"/>
                <w:szCs w:val="20"/>
              </w:rPr>
              <w:t>439,604</w:t>
            </w:r>
          </w:p>
        </w:tc>
        <w:tc>
          <w:tcPr>
            <w:tcW w:w="50" w:type="pct"/>
            <w:shd w:val="clear" w:color="auto" w:fill="FFFFFF"/>
            <w:vAlign w:val="bottom"/>
            <w:hideMark/>
          </w:tcPr>
          <w:p w14:paraId="35471B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FE40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03EB7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D6DEE8E" w14:textId="77777777" w:rsidR="00000000" w:rsidRDefault="0053651E">
            <w:pPr>
              <w:jc w:val="right"/>
              <w:rPr>
                <w:rFonts w:eastAsia="Times New Roman"/>
                <w:sz w:val="20"/>
                <w:szCs w:val="20"/>
              </w:rPr>
            </w:pPr>
            <w:r>
              <w:rPr>
                <w:rFonts w:eastAsia="Times New Roman"/>
                <w:sz w:val="20"/>
                <w:szCs w:val="20"/>
              </w:rPr>
              <w:t>372,461</w:t>
            </w:r>
          </w:p>
        </w:tc>
        <w:tc>
          <w:tcPr>
            <w:tcW w:w="50" w:type="pct"/>
            <w:shd w:val="clear" w:color="auto" w:fill="FFFFFF"/>
            <w:vAlign w:val="bottom"/>
            <w:hideMark/>
          </w:tcPr>
          <w:p w14:paraId="0D6596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5523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3D317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49E86E7" w14:textId="77777777" w:rsidR="00000000" w:rsidRDefault="0053651E">
            <w:pPr>
              <w:jc w:val="right"/>
              <w:rPr>
                <w:rFonts w:eastAsia="Times New Roman"/>
                <w:sz w:val="20"/>
                <w:szCs w:val="20"/>
              </w:rPr>
            </w:pPr>
            <w:r>
              <w:rPr>
                <w:rFonts w:eastAsia="Times New Roman"/>
                <w:sz w:val="20"/>
                <w:szCs w:val="20"/>
              </w:rPr>
              <w:t>332,630</w:t>
            </w:r>
          </w:p>
        </w:tc>
        <w:tc>
          <w:tcPr>
            <w:tcW w:w="50" w:type="pct"/>
            <w:shd w:val="clear" w:color="auto" w:fill="FFFFFF"/>
            <w:vAlign w:val="bottom"/>
            <w:hideMark/>
          </w:tcPr>
          <w:p w14:paraId="10AA37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1AD6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ADA08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4F3280A" w14:textId="77777777" w:rsidR="00000000" w:rsidRDefault="0053651E">
            <w:pPr>
              <w:jc w:val="right"/>
              <w:rPr>
                <w:rFonts w:eastAsia="Times New Roman"/>
                <w:sz w:val="20"/>
                <w:szCs w:val="20"/>
              </w:rPr>
            </w:pPr>
            <w:r>
              <w:rPr>
                <w:rFonts w:eastAsia="Times New Roman"/>
                <w:sz w:val="20"/>
                <w:szCs w:val="20"/>
              </w:rPr>
              <w:t>831,215</w:t>
            </w:r>
          </w:p>
        </w:tc>
        <w:tc>
          <w:tcPr>
            <w:tcW w:w="50" w:type="pct"/>
            <w:shd w:val="clear" w:color="auto" w:fill="FFFFFF"/>
            <w:vAlign w:val="bottom"/>
            <w:hideMark/>
          </w:tcPr>
          <w:p w14:paraId="0F53E3CC" w14:textId="77777777" w:rsidR="00000000" w:rsidRDefault="0053651E">
            <w:pPr>
              <w:rPr>
                <w:rFonts w:eastAsia="Times New Roman"/>
                <w:sz w:val="20"/>
                <w:szCs w:val="20"/>
              </w:rPr>
            </w:pPr>
            <w:r>
              <w:rPr>
                <w:rFonts w:eastAsia="Times New Roman"/>
                <w:sz w:val="20"/>
                <w:szCs w:val="20"/>
              </w:rPr>
              <w:t> </w:t>
            </w:r>
          </w:p>
        </w:tc>
      </w:tr>
      <w:tr w:rsidR="00000000" w14:paraId="340BE5E7" w14:textId="77777777">
        <w:trPr>
          <w:tblCellSpacing w:w="0" w:type="dxa"/>
        </w:trPr>
        <w:tc>
          <w:tcPr>
            <w:tcW w:w="0" w:type="auto"/>
            <w:shd w:val="clear" w:color="auto" w:fill="CCEEFF"/>
            <w:vAlign w:val="bottom"/>
            <w:hideMark/>
          </w:tcPr>
          <w:p w14:paraId="3CF4BC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FE14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125E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8A81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6A1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ED3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0E7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057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13F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BB09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2111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61B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7076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3AE9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CDA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EDF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85A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E3FBF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46782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CD5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71060" w14:textId="77777777" w:rsidR="00000000" w:rsidRDefault="0053651E">
            <w:pPr>
              <w:rPr>
                <w:rFonts w:eastAsia="Times New Roman"/>
                <w:sz w:val="20"/>
                <w:szCs w:val="20"/>
              </w:rPr>
            </w:pPr>
            <w:r>
              <w:rPr>
                <w:rFonts w:eastAsia="Times New Roman"/>
                <w:sz w:val="20"/>
                <w:szCs w:val="20"/>
              </w:rPr>
              <w:t> </w:t>
            </w:r>
          </w:p>
        </w:tc>
      </w:tr>
      <w:tr w:rsidR="00000000" w14:paraId="09A10AF4" w14:textId="77777777">
        <w:trPr>
          <w:tblCellSpacing w:w="0" w:type="dxa"/>
        </w:trPr>
        <w:tc>
          <w:tcPr>
            <w:tcW w:w="0" w:type="auto"/>
            <w:shd w:val="clear" w:color="auto" w:fill="FFFFFF"/>
            <w:vAlign w:val="bottom"/>
            <w:hideMark/>
          </w:tcPr>
          <w:p w14:paraId="477F9D25" w14:textId="77777777" w:rsidR="00000000" w:rsidRDefault="0053651E">
            <w:pPr>
              <w:pStyle w:val="a3"/>
              <w:spacing w:before="0" w:beforeAutospacing="0" w:after="0" w:afterAutospacing="0"/>
              <w:rPr>
                <w:sz w:val="20"/>
                <w:szCs w:val="20"/>
              </w:rPr>
            </w:pPr>
            <w:r>
              <w:rPr>
                <w:sz w:val="20"/>
                <w:szCs w:val="20"/>
              </w:rPr>
              <w:t>Earnings per common share:</w:t>
            </w:r>
          </w:p>
        </w:tc>
        <w:tc>
          <w:tcPr>
            <w:tcW w:w="0" w:type="auto"/>
            <w:shd w:val="clear" w:color="auto" w:fill="FFFFFF"/>
            <w:vAlign w:val="bottom"/>
            <w:hideMark/>
          </w:tcPr>
          <w:p w14:paraId="05BC60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32A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3487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50BCE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6B26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1CB4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FF47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FCB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F840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942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89ED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6363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7FA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8085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E500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DEA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FE42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0A4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2788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C71C99" w14:textId="77777777" w:rsidR="00000000" w:rsidRDefault="0053651E">
            <w:pPr>
              <w:rPr>
                <w:rFonts w:eastAsia="Times New Roman"/>
                <w:sz w:val="20"/>
                <w:szCs w:val="20"/>
              </w:rPr>
            </w:pPr>
            <w:r>
              <w:rPr>
                <w:rFonts w:eastAsia="Times New Roman"/>
                <w:sz w:val="20"/>
                <w:szCs w:val="20"/>
              </w:rPr>
              <w:t> </w:t>
            </w:r>
          </w:p>
        </w:tc>
      </w:tr>
      <w:tr w:rsidR="00000000" w14:paraId="2D699338" w14:textId="77777777">
        <w:trPr>
          <w:tblCellSpacing w:w="0" w:type="dxa"/>
        </w:trPr>
        <w:tc>
          <w:tcPr>
            <w:tcW w:w="0" w:type="auto"/>
            <w:shd w:val="clear" w:color="auto" w:fill="CCEEFF"/>
            <w:vAlign w:val="bottom"/>
            <w:hideMark/>
          </w:tcPr>
          <w:p w14:paraId="022DDF60" w14:textId="77777777" w:rsidR="00000000" w:rsidRDefault="0053651E">
            <w:pPr>
              <w:pStyle w:val="a3"/>
              <w:spacing w:before="0" w:beforeAutospacing="0" w:after="0" w:afterAutospacing="0"/>
              <w:ind w:left="180"/>
              <w:rPr>
                <w:sz w:val="20"/>
                <w:szCs w:val="20"/>
              </w:rPr>
            </w:pPr>
            <w:r>
              <w:rPr>
                <w:sz w:val="20"/>
                <w:szCs w:val="20"/>
              </w:rPr>
              <w:t>Income from continuing operations:</w:t>
            </w:r>
          </w:p>
        </w:tc>
        <w:tc>
          <w:tcPr>
            <w:tcW w:w="0" w:type="auto"/>
            <w:shd w:val="clear" w:color="auto" w:fill="CCEEFF"/>
            <w:vAlign w:val="bottom"/>
            <w:hideMark/>
          </w:tcPr>
          <w:p w14:paraId="34DF2A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326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00E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A005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C5D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BEB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31B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A17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650D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8FC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3D9A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4C3F5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27AD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E860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9E0D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2367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44B4B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4C53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DA8F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66EB9B" w14:textId="77777777" w:rsidR="00000000" w:rsidRDefault="0053651E">
            <w:pPr>
              <w:rPr>
                <w:rFonts w:eastAsia="Times New Roman"/>
                <w:sz w:val="20"/>
                <w:szCs w:val="20"/>
              </w:rPr>
            </w:pPr>
            <w:r>
              <w:rPr>
                <w:rFonts w:eastAsia="Times New Roman"/>
                <w:sz w:val="20"/>
                <w:szCs w:val="20"/>
              </w:rPr>
              <w:t> </w:t>
            </w:r>
          </w:p>
        </w:tc>
      </w:tr>
      <w:tr w:rsidR="00000000" w14:paraId="37240EE9" w14:textId="77777777">
        <w:trPr>
          <w:tblCellSpacing w:w="0" w:type="dxa"/>
        </w:trPr>
        <w:tc>
          <w:tcPr>
            <w:tcW w:w="0" w:type="auto"/>
            <w:shd w:val="clear" w:color="auto" w:fill="FFFFFF"/>
            <w:vAlign w:val="bottom"/>
            <w:hideMark/>
          </w:tcPr>
          <w:p w14:paraId="46419320" w14:textId="77777777" w:rsidR="00000000" w:rsidRDefault="0053651E">
            <w:pPr>
              <w:pStyle w:val="a3"/>
              <w:spacing w:before="0" w:beforeAutospacing="0" w:after="0" w:afterAutospacing="0"/>
              <w:ind w:left="540"/>
              <w:rPr>
                <w:sz w:val="20"/>
                <w:szCs w:val="20"/>
              </w:rPr>
            </w:pPr>
            <w:r>
              <w:rPr>
                <w:sz w:val="20"/>
                <w:szCs w:val="20"/>
              </w:rPr>
              <w:t>Basic</w:t>
            </w:r>
          </w:p>
        </w:tc>
        <w:tc>
          <w:tcPr>
            <w:tcW w:w="50" w:type="pct"/>
            <w:shd w:val="clear" w:color="auto" w:fill="FFFFFF"/>
            <w:vAlign w:val="bottom"/>
            <w:hideMark/>
          </w:tcPr>
          <w:p w14:paraId="5CB60C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A422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D67ACA7"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FFFFFF"/>
            <w:vAlign w:val="bottom"/>
            <w:hideMark/>
          </w:tcPr>
          <w:p w14:paraId="4D5753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1D69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54749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40A70CB"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FFFFFF"/>
            <w:vAlign w:val="bottom"/>
            <w:hideMark/>
          </w:tcPr>
          <w:p w14:paraId="2F95F9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9966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ECDDA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3FF72AF"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FFFFFF"/>
            <w:vAlign w:val="bottom"/>
            <w:hideMark/>
          </w:tcPr>
          <w:p w14:paraId="49DF6D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76D8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652C6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964C37A" w14:textId="77777777" w:rsidR="00000000" w:rsidRDefault="0053651E">
            <w:pPr>
              <w:jc w:val="right"/>
              <w:rPr>
                <w:rFonts w:eastAsia="Times New Roman"/>
                <w:sz w:val="20"/>
                <w:szCs w:val="20"/>
              </w:rPr>
            </w:pPr>
            <w:r>
              <w:rPr>
                <w:rFonts w:eastAsia="Times New Roman"/>
                <w:sz w:val="20"/>
                <w:szCs w:val="20"/>
              </w:rPr>
              <w:t>0.79</w:t>
            </w:r>
          </w:p>
        </w:tc>
        <w:tc>
          <w:tcPr>
            <w:tcW w:w="50" w:type="pct"/>
            <w:shd w:val="clear" w:color="auto" w:fill="FFFFFF"/>
            <w:vAlign w:val="bottom"/>
            <w:hideMark/>
          </w:tcPr>
          <w:p w14:paraId="29AC26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533D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60467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87B2042" w14:textId="77777777" w:rsidR="00000000" w:rsidRDefault="0053651E">
            <w:pPr>
              <w:jc w:val="right"/>
              <w:rPr>
                <w:rFonts w:eastAsia="Times New Roman"/>
                <w:sz w:val="20"/>
                <w:szCs w:val="20"/>
              </w:rPr>
            </w:pPr>
            <w:r>
              <w:rPr>
                <w:rFonts w:eastAsia="Times New Roman"/>
                <w:sz w:val="20"/>
                <w:szCs w:val="20"/>
              </w:rPr>
              <w:t>2.01</w:t>
            </w:r>
          </w:p>
        </w:tc>
        <w:tc>
          <w:tcPr>
            <w:tcW w:w="50" w:type="pct"/>
            <w:shd w:val="clear" w:color="auto" w:fill="FFFFFF"/>
            <w:vAlign w:val="bottom"/>
            <w:hideMark/>
          </w:tcPr>
          <w:p w14:paraId="2691818F" w14:textId="77777777" w:rsidR="00000000" w:rsidRDefault="0053651E">
            <w:pPr>
              <w:rPr>
                <w:rFonts w:eastAsia="Times New Roman"/>
                <w:sz w:val="20"/>
                <w:szCs w:val="20"/>
              </w:rPr>
            </w:pPr>
            <w:r>
              <w:rPr>
                <w:rFonts w:eastAsia="Times New Roman"/>
                <w:sz w:val="20"/>
                <w:szCs w:val="20"/>
              </w:rPr>
              <w:t> </w:t>
            </w:r>
          </w:p>
        </w:tc>
      </w:tr>
      <w:tr w:rsidR="00000000" w14:paraId="22769CEC" w14:textId="77777777">
        <w:trPr>
          <w:tblCellSpacing w:w="0" w:type="dxa"/>
        </w:trPr>
        <w:tc>
          <w:tcPr>
            <w:tcW w:w="0" w:type="auto"/>
            <w:shd w:val="clear" w:color="auto" w:fill="CCEEFF"/>
            <w:vAlign w:val="bottom"/>
            <w:hideMark/>
          </w:tcPr>
          <w:p w14:paraId="7D5CD0D0" w14:textId="77777777" w:rsidR="00000000" w:rsidRDefault="0053651E">
            <w:pPr>
              <w:pStyle w:val="a3"/>
              <w:spacing w:before="0" w:beforeAutospacing="0" w:after="0" w:afterAutospacing="0"/>
              <w:ind w:left="540"/>
              <w:rPr>
                <w:sz w:val="20"/>
                <w:szCs w:val="20"/>
              </w:rPr>
            </w:pPr>
            <w:r>
              <w:rPr>
                <w:sz w:val="20"/>
                <w:szCs w:val="20"/>
              </w:rPr>
              <w:t>Diluted</w:t>
            </w:r>
          </w:p>
        </w:tc>
        <w:tc>
          <w:tcPr>
            <w:tcW w:w="50" w:type="pct"/>
            <w:shd w:val="clear" w:color="auto" w:fill="CCEEFF"/>
            <w:vAlign w:val="bottom"/>
            <w:hideMark/>
          </w:tcPr>
          <w:p w14:paraId="6CC3C9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12486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E70D5D0"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CCEEFF"/>
            <w:vAlign w:val="bottom"/>
            <w:hideMark/>
          </w:tcPr>
          <w:p w14:paraId="19C755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184C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4D720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601B54C5"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CCEEFF"/>
            <w:vAlign w:val="bottom"/>
            <w:hideMark/>
          </w:tcPr>
          <w:p w14:paraId="139003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E506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49549F"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740539D"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CCEEFF"/>
            <w:vAlign w:val="bottom"/>
            <w:hideMark/>
          </w:tcPr>
          <w:p w14:paraId="79D4B7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A2DB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C098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2C54EFC" w14:textId="77777777" w:rsidR="00000000" w:rsidRDefault="0053651E">
            <w:pPr>
              <w:jc w:val="right"/>
              <w:rPr>
                <w:rFonts w:eastAsia="Times New Roman"/>
                <w:sz w:val="20"/>
                <w:szCs w:val="20"/>
              </w:rPr>
            </w:pPr>
            <w:r>
              <w:rPr>
                <w:rFonts w:eastAsia="Times New Roman"/>
                <w:sz w:val="20"/>
                <w:szCs w:val="20"/>
              </w:rPr>
              <w:t>0.79</w:t>
            </w:r>
          </w:p>
        </w:tc>
        <w:tc>
          <w:tcPr>
            <w:tcW w:w="50" w:type="pct"/>
            <w:shd w:val="clear" w:color="auto" w:fill="CCEEFF"/>
            <w:vAlign w:val="bottom"/>
            <w:hideMark/>
          </w:tcPr>
          <w:p w14:paraId="167411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CD9A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B79AC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5B8F5FE" w14:textId="77777777" w:rsidR="00000000" w:rsidRDefault="0053651E">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14:paraId="63C1F23B" w14:textId="77777777" w:rsidR="00000000" w:rsidRDefault="0053651E">
            <w:pPr>
              <w:rPr>
                <w:rFonts w:eastAsia="Times New Roman"/>
                <w:sz w:val="20"/>
                <w:szCs w:val="20"/>
              </w:rPr>
            </w:pPr>
            <w:r>
              <w:rPr>
                <w:rFonts w:eastAsia="Times New Roman"/>
                <w:sz w:val="20"/>
                <w:szCs w:val="20"/>
              </w:rPr>
              <w:t> </w:t>
            </w:r>
          </w:p>
        </w:tc>
      </w:tr>
      <w:tr w:rsidR="00000000" w14:paraId="72C3D685" w14:textId="77777777">
        <w:trPr>
          <w:tblCellSpacing w:w="0" w:type="dxa"/>
        </w:trPr>
        <w:tc>
          <w:tcPr>
            <w:tcW w:w="0" w:type="auto"/>
            <w:shd w:val="clear" w:color="auto" w:fill="FFFFFF"/>
            <w:vAlign w:val="bottom"/>
            <w:hideMark/>
          </w:tcPr>
          <w:p w14:paraId="3B6EDB42" w14:textId="77777777" w:rsidR="00000000" w:rsidRDefault="0053651E">
            <w:pPr>
              <w:pStyle w:val="a3"/>
              <w:spacing w:before="0" w:beforeAutospacing="0" w:after="0" w:afterAutospacing="0"/>
              <w:ind w:left="180"/>
              <w:rPr>
                <w:sz w:val="20"/>
                <w:szCs w:val="20"/>
              </w:rPr>
            </w:pPr>
            <w:r>
              <w:rPr>
                <w:sz w:val="20"/>
                <w:szCs w:val="20"/>
              </w:rPr>
              <w:t>Net income available to the Company’s common shareholders:</w:t>
            </w:r>
          </w:p>
        </w:tc>
        <w:tc>
          <w:tcPr>
            <w:tcW w:w="0" w:type="auto"/>
            <w:shd w:val="clear" w:color="auto" w:fill="FFFFFF"/>
            <w:vAlign w:val="bottom"/>
            <w:hideMark/>
          </w:tcPr>
          <w:p w14:paraId="26DE3E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DD8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4BE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8EDC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B7957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E607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F73B2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508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2E67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033D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21D1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3E9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FF42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6AD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464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31EC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7571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E479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3184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8034F" w14:textId="77777777" w:rsidR="00000000" w:rsidRDefault="0053651E">
            <w:pPr>
              <w:rPr>
                <w:rFonts w:eastAsia="Times New Roman"/>
                <w:sz w:val="20"/>
                <w:szCs w:val="20"/>
              </w:rPr>
            </w:pPr>
            <w:r>
              <w:rPr>
                <w:rFonts w:eastAsia="Times New Roman"/>
                <w:sz w:val="20"/>
                <w:szCs w:val="20"/>
              </w:rPr>
              <w:t> </w:t>
            </w:r>
          </w:p>
        </w:tc>
      </w:tr>
      <w:tr w:rsidR="00000000" w14:paraId="37894EC2" w14:textId="77777777">
        <w:trPr>
          <w:tblCellSpacing w:w="0" w:type="dxa"/>
        </w:trPr>
        <w:tc>
          <w:tcPr>
            <w:tcW w:w="0" w:type="auto"/>
            <w:shd w:val="clear" w:color="auto" w:fill="CCEEFF"/>
            <w:vAlign w:val="bottom"/>
            <w:hideMark/>
          </w:tcPr>
          <w:p w14:paraId="5E09B0F0" w14:textId="77777777" w:rsidR="00000000" w:rsidRDefault="0053651E">
            <w:pPr>
              <w:pStyle w:val="a3"/>
              <w:spacing w:before="0" w:beforeAutospacing="0" w:after="0" w:afterAutospacing="0"/>
              <w:ind w:left="540"/>
              <w:rPr>
                <w:sz w:val="20"/>
                <w:szCs w:val="20"/>
              </w:rPr>
            </w:pPr>
            <w:r>
              <w:rPr>
                <w:sz w:val="20"/>
                <w:szCs w:val="20"/>
              </w:rPr>
              <w:t>Basic</w:t>
            </w:r>
          </w:p>
        </w:tc>
        <w:tc>
          <w:tcPr>
            <w:tcW w:w="50" w:type="pct"/>
            <w:shd w:val="clear" w:color="auto" w:fill="CCEEFF"/>
            <w:vAlign w:val="bottom"/>
            <w:hideMark/>
          </w:tcPr>
          <w:p w14:paraId="34D5D4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46599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7E7D1F1"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CCEEFF"/>
            <w:vAlign w:val="bottom"/>
            <w:hideMark/>
          </w:tcPr>
          <w:p w14:paraId="236DED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3B72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9EC02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F3EBA16"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CCEEFF"/>
            <w:vAlign w:val="bottom"/>
            <w:hideMark/>
          </w:tcPr>
          <w:p w14:paraId="0475CB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1F75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E268B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D7814E"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CCEEFF"/>
            <w:vAlign w:val="bottom"/>
            <w:hideMark/>
          </w:tcPr>
          <w:p w14:paraId="758864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4BE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6C5F7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5980165" w14:textId="77777777" w:rsidR="00000000" w:rsidRDefault="0053651E">
            <w:pPr>
              <w:jc w:val="right"/>
              <w:rPr>
                <w:rFonts w:eastAsia="Times New Roman"/>
                <w:sz w:val="20"/>
                <w:szCs w:val="20"/>
              </w:rPr>
            </w:pPr>
            <w:r>
              <w:rPr>
                <w:rFonts w:eastAsia="Times New Roman"/>
                <w:sz w:val="20"/>
                <w:szCs w:val="20"/>
              </w:rPr>
              <w:t>0.79</w:t>
            </w:r>
          </w:p>
        </w:tc>
        <w:tc>
          <w:tcPr>
            <w:tcW w:w="50" w:type="pct"/>
            <w:shd w:val="clear" w:color="auto" w:fill="CCEEFF"/>
            <w:vAlign w:val="bottom"/>
            <w:hideMark/>
          </w:tcPr>
          <w:p w14:paraId="637A68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02AE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EF06E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3E7AD4C" w14:textId="77777777" w:rsidR="00000000" w:rsidRDefault="0053651E">
            <w:pPr>
              <w:jc w:val="right"/>
              <w:rPr>
                <w:rFonts w:eastAsia="Times New Roman"/>
                <w:sz w:val="20"/>
                <w:szCs w:val="20"/>
              </w:rPr>
            </w:pPr>
            <w:r>
              <w:rPr>
                <w:rFonts w:eastAsia="Times New Roman"/>
                <w:sz w:val="20"/>
                <w:szCs w:val="20"/>
              </w:rPr>
              <w:t>2.01</w:t>
            </w:r>
          </w:p>
        </w:tc>
        <w:tc>
          <w:tcPr>
            <w:tcW w:w="50" w:type="pct"/>
            <w:shd w:val="clear" w:color="auto" w:fill="CCEEFF"/>
            <w:vAlign w:val="bottom"/>
            <w:hideMark/>
          </w:tcPr>
          <w:p w14:paraId="69F001FE" w14:textId="77777777" w:rsidR="00000000" w:rsidRDefault="0053651E">
            <w:pPr>
              <w:rPr>
                <w:rFonts w:eastAsia="Times New Roman"/>
                <w:sz w:val="20"/>
                <w:szCs w:val="20"/>
              </w:rPr>
            </w:pPr>
            <w:r>
              <w:rPr>
                <w:rFonts w:eastAsia="Times New Roman"/>
                <w:sz w:val="20"/>
                <w:szCs w:val="20"/>
              </w:rPr>
              <w:t> </w:t>
            </w:r>
          </w:p>
        </w:tc>
      </w:tr>
      <w:tr w:rsidR="00000000" w14:paraId="0A866CA1" w14:textId="77777777">
        <w:trPr>
          <w:tblCellSpacing w:w="0" w:type="dxa"/>
        </w:trPr>
        <w:tc>
          <w:tcPr>
            <w:tcW w:w="0" w:type="auto"/>
            <w:shd w:val="clear" w:color="auto" w:fill="FFFFFF"/>
            <w:vAlign w:val="bottom"/>
            <w:hideMark/>
          </w:tcPr>
          <w:p w14:paraId="299F2804" w14:textId="77777777" w:rsidR="00000000" w:rsidRDefault="0053651E">
            <w:pPr>
              <w:pStyle w:val="a3"/>
              <w:spacing w:before="0" w:beforeAutospacing="0" w:after="0" w:afterAutospacing="0"/>
              <w:ind w:left="540"/>
              <w:rPr>
                <w:sz w:val="20"/>
                <w:szCs w:val="20"/>
              </w:rPr>
            </w:pPr>
            <w:r>
              <w:rPr>
                <w:sz w:val="20"/>
                <w:szCs w:val="20"/>
              </w:rPr>
              <w:t>Diluted</w:t>
            </w:r>
          </w:p>
        </w:tc>
        <w:tc>
          <w:tcPr>
            <w:tcW w:w="50" w:type="pct"/>
            <w:shd w:val="clear" w:color="auto" w:fill="FFFFFF"/>
            <w:vAlign w:val="bottom"/>
            <w:hideMark/>
          </w:tcPr>
          <w:p w14:paraId="59CEFC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B93BD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0139D804"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FFFFFF"/>
            <w:vAlign w:val="bottom"/>
            <w:hideMark/>
          </w:tcPr>
          <w:p w14:paraId="2320BF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5AF9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2A515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57F116F"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FFFFFF"/>
            <w:vAlign w:val="bottom"/>
            <w:hideMark/>
          </w:tcPr>
          <w:p w14:paraId="16CC83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EB02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5634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77F5472"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FFFFFF"/>
            <w:vAlign w:val="bottom"/>
            <w:hideMark/>
          </w:tcPr>
          <w:p w14:paraId="5AD75A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AD41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B5E06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B6FA026" w14:textId="77777777" w:rsidR="00000000" w:rsidRDefault="0053651E">
            <w:pPr>
              <w:jc w:val="right"/>
              <w:rPr>
                <w:rFonts w:eastAsia="Times New Roman"/>
                <w:sz w:val="20"/>
                <w:szCs w:val="20"/>
              </w:rPr>
            </w:pPr>
            <w:r>
              <w:rPr>
                <w:rFonts w:eastAsia="Times New Roman"/>
                <w:sz w:val="20"/>
                <w:szCs w:val="20"/>
              </w:rPr>
              <w:t>0.79</w:t>
            </w:r>
          </w:p>
        </w:tc>
        <w:tc>
          <w:tcPr>
            <w:tcW w:w="50" w:type="pct"/>
            <w:shd w:val="clear" w:color="auto" w:fill="FFFFFF"/>
            <w:vAlign w:val="bottom"/>
            <w:hideMark/>
          </w:tcPr>
          <w:p w14:paraId="745F90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819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34660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53A146B" w14:textId="77777777" w:rsidR="00000000" w:rsidRDefault="0053651E">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002E47D5" w14:textId="77777777" w:rsidR="00000000" w:rsidRDefault="0053651E">
            <w:pPr>
              <w:rPr>
                <w:rFonts w:eastAsia="Times New Roman"/>
                <w:sz w:val="20"/>
                <w:szCs w:val="20"/>
              </w:rPr>
            </w:pPr>
            <w:r>
              <w:rPr>
                <w:rFonts w:eastAsia="Times New Roman"/>
                <w:sz w:val="20"/>
                <w:szCs w:val="20"/>
              </w:rPr>
              <w:t> </w:t>
            </w:r>
          </w:p>
        </w:tc>
      </w:tr>
      <w:tr w:rsidR="00000000" w14:paraId="7962DF89" w14:textId="77777777">
        <w:trPr>
          <w:tblCellSpacing w:w="0" w:type="dxa"/>
        </w:trPr>
        <w:tc>
          <w:tcPr>
            <w:tcW w:w="0" w:type="auto"/>
            <w:shd w:val="clear" w:color="auto" w:fill="CCEEFF"/>
            <w:vAlign w:val="bottom"/>
            <w:hideMark/>
          </w:tcPr>
          <w:p w14:paraId="62022372" w14:textId="77777777" w:rsidR="00000000" w:rsidRDefault="0053651E">
            <w:pPr>
              <w:pStyle w:val="a3"/>
              <w:spacing w:before="0" w:beforeAutospacing="0" w:after="0" w:afterAutospacing="0"/>
              <w:ind w:left="180"/>
              <w:rPr>
                <w:sz w:val="20"/>
                <w:szCs w:val="20"/>
              </w:rPr>
            </w:pPr>
            <w:r>
              <w:rPr>
                <w:sz w:val="20"/>
                <w:szCs w:val="20"/>
              </w:rPr>
              <w:t>Weighted average number of shares of common stock:</w:t>
            </w:r>
          </w:p>
        </w:tc>
        <w:tc>
          <w:tcPr>
            <w:tcW w:w="0" w:type="auto"/>
            <w:shd w:val="clear" w:color="auto" w:fill="CCEEFF"/>
            <w:vAlign w:val="bottom"/>
            <w:hideMark/>
          </w:tcPr>
          <w:p w14:paraId="0716B52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30878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C81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2A97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CE2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E84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7B82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F8D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E4F8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CBD4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686E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2A0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E01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6F217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3D3D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35B8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9B95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0E37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42A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49131" w14:textId="77777777" w:rsidR="00000000" w:rsidRDefault="0053651E">
            <w:pPr>
              <w:rPr>
                <w:rFonts w:eastAsia="Times New Roman"/>
                <w:sz w:val="20"/>
                <w:szCs w:val="20"/>
              </w:rPr>
            </w:pPr>
            <w:r>
              <w:rPr>
                <w:rFonts w:eastAsia="Times New Roman"/>
                <w:sz w:val="20"/>
                <w:szCs w:val="20"/>
              </w:rPr>
              <w:t> </w:t>
            </w:r>
          </w:p>
        </w:tc>
      </w:tr>
      <w:tr w:rsidR="00000000" w14:paraId="41BF0599" w14:textId="77777777">
        <w:trPr>
          <w:tblCellSpacing w:w="0" w:type="dxa"/>
        </w:trPr>
        <w:tc>
          <w:tcPr>
            <w:tcW w:w="0" w:type="auto"/>
            <w:shd w:val="clear" w:color="auto" w:fill="FFFFFF"/>
            <w:vAlign w:val="bottom"/>
            <w:hideMark/>
          </w:tcPr>
          <w:p w14:paraId="612689B2" w14:textId="77777777" w:rsidR="00000000" w:rsidRDefault="0053651E">
            <w:pPr>
              <w:pStyle w:val="a3"/>
              <w:spacing w:before="0" w:beforeAutospacing="0" w:after="0" w:afterAutospacing="0"/>
              <w:ind w:left="540"/>
              <w:rPr>
                <w:sz w:val="20"/>
                <w:szCs w:val="20"/>
              </w:rPr>
            </w:pPr>
            <w:r>
              <w:rPr>
                <w:sz w:val="20"/>
                <w:szCs w:val="20"/>
              </w:rPr>
              <w:t>Basic</w:t>
            </w:r>
          </w:p>
        </w:tc>
        <w:tc>
          <w:tcPr>
            <w:tcW w:w="50" w:type="pct"/>
            <w:shd w:val="clear" w:color="auto" w:fill="FFFFFF"/>
            <w:vAlign w:val="bottom"/>
            <w:hideMark/>
          </w:tcPr>
          <w:p w14:paraId="1E7D66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D136F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36FACC" w14:textId="77777777" w:rsidR="00000000" w:rsidRDefault="0053651E">
            <w:pPr>
              <w:jc w:val="right"/>
              <w:rPr>
                <w:rFonts w:eastAsia="Times New Roman"/>
                <w:sz w:val="20"/>
                <w:szCs w:val="20"/>
              </w:rPr>
            </w:pPr>
            <w:r>
              <w:rPr>
                <w:rFonts w:eastAsia="Times New Roman"/>
                <w:sz w:val="20"/>
                <w:szCs w:val="20"/>
              </w:rPr>
              <w:t>420,370</w:t>
            </w:r>
          </w:p>
        </w:tc>
        <w:tc>
          <w:tcPr>
            <w:tcW w:w="50" w:type="pct"/>
            <w:shd w:val="clear" w:color="auto" w:fill="FFFFFF"/>
            <w:vAlign w:val="bottom"/>
            <w:hideMark/>
          </w:tcPr>
          <w:p w14:paraId="3C4046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CEB6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49ADB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9B6F73" w14:textId="77777777" w:rsidR="00000000" w:rsidRDefault="0053651E">
            <w:pPr>
              <w:jc w:val="right"/>
              <w:rPr>
                <w:rFonts w:eastAsia="Times New Roman"/>
                <w:sz w:val="20"/>
                <w:szCs w:val="20"/>
              </w:rPr>
            </w:pPr>
            <w:r>
              <w:rPr>
                <w:rFonts w:eastAsia="Times New Roman"/>
                <w:sz w:val="20"/>
                <w:szCs w:val="20"/>
              </w:rPr>
              <w:t>420,641</w:t>
            </w:r>
          </w:p>
        </w:tc>
        <w:tc>
          <w:tcPr>
            <w:tcW w:w="50" w:type="pct"/>
            <w:shd w:val="clear" w:color="auto" w:fill="FFFFFF"/>
            <w:vAlign w:val="bottom"/>
            <w:hideMark/>
          </w:tcPr>
          <w:p w14:paraId="7C0F5A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0B1F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C9BFB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BCC303B" w14:textId="77777777" w:rsidR="00000000" w:rsidRDefault="0053651E">
            <w:pPr>
              <w:jc w:val="right"/>
              <w:rPr>
                <w:rFonts w:eastAsia="Times New Roman"/>
                <w:sz w:val="20"/>
                <w:szCs w:val="20"/>
              </w:rPr>
            </w:pPr>
            <w:r>
              <w:rPr>
                <w:rFonts w:eastAsia="Times New Roman"/>
                <w:sz w:val="20"/>
                <w:szCs w:val="20"/>
              </w:rPr>
              <w:t>423,614</w:t>
            </w:r>
          </w:p>
        </w:tc>
        <w:tc>
          <w:tcPr>
            <w:tcW w:w="50" w:type="pct"/>
            <w:shd w:val="clear" w:color="auto" w:fill="FFFFFF"/>
            <w:vAlign w:val="bottom"/>
            <w:hideMark/>
          </w:tcPr>
          <w:p w14:paraId="636351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3899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56124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307D848" w14:textId="77777777" w:rsidR="00000000" w:rsidRDefault="0053651E">
            <w:pPr>
              <w:jc w:val="right"/>
              <w:rPr>
                <w:rFonts w:eastAsia="Times New Roman"/>
                <w:sz w:val="20"/>
                <w:szCs w:val="20"/>
              </w:rPr>
            </w:pPr>
            <w:r>
              <w:rPr>
                <w:rFonts w:eastAsia="Times New Roman"/>
                <w:sz w:val="20"/>
                <w:szCs w:val="20"/>
              </w:rPr>
              <w:t>418,402</w:t>
            </w:r>
          </w:p>
        </w:tc>
        <w:tc>
          <w:tcPr>
            <w:tcW w:w="50" w:type="pct"/>
            <w:shd w:val="clear" w:color="auto" w:fill="FFFFFF"/>
            <w:vAlign w:val="bottom"/>
            <w:hideMark/>
          </w:tcPr>
          <w:p w14:paraId="2F00F5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CDBA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6BF19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D2106BF" w14:textId="77777777" w:rsidR="00000000" w:rsidRDefault="0053651E">
            <w:pPr>
              <w:jc w:val="right"/>
              <w:rPr>
                <w:rFonts w:eastAsia="Times New Roman"/>
                <w:sz w:val="20"/>
                <w:szCs w:val="20"/>
              </w:rPr>
            </w:pPr>
            <w:r>
              <w:rPr>
                <w:rFonts w:eastAsia="Times New Roman"/>
                <w:sz w:val="20"/>
                <w:szCs w:val="20"/>
              </w:rPr>
              <w:t>411,319</w:t>
            </w:r>
          </w:p>
        </w:tc>
        <w:tc>
          <w:tcPr>
            <w:tcW w:w="50" w:type="pct"/>
            <w:shd w:val="clear" w:color="auto" w:fill="FFFFFF"/>
            <w:vAlign w:val="bottom"/>
            <w:hideMark/>
          </w:tcPr>
          <w:p w14:paraId="770CD11C" w14:textId="77777777" w:rsidR="00000000" w:rsidRDefault="0053651E">
            <w:pPr>
              <w:rPr>
                <w:rFonts w:eastAsia="Times New Roman"/>
                <w:sz w:val="20"/>
                <w:szCs w:val="20"/>
              </w:rPr>
            </w:pPr>
            <w:r>
              <w:rPr>
                <w:rFonts w:eastAsia="Times New Roman"/>
                <w:sz w:val="20"/>
                <w:szCs w:val="20"/>
              </w:rPr>
              <w:t> </w:t>
            </w:r>
          </w:p>
        </w:tc>
      </w:tr>
      <w:tr w:rsidR="00000000" w14:paraId="07FFBF52" w14:textId="77777777">
        <w:trPr>
          <w:tblCellSpacing w:w="0" w:type="dxa"/>
        </w:trPr>
        <w:tc>
          <w:tcPr>
            <w:tcW w:w="0" w:type="auto"/>
            <w:shd w:val="clear" w:color="auto" w:fill="CCEEFF"/>
            <w:vAlign w:val="bottom"/>
            <w:hideMark/>
          </w:tcPr>
          <w:p w14:paraId="5846A41C" w14:textId="77777777" w:rsidR="00000000" w:rsidRDefault="0053651E">
            <w:pPr>
              <w:pStyle w:val="a3"/>
              <w:spacing w:before="0" w:beforeAutospacing="0" w:after="0" w:afterAutospacing="0"/>
              <w:ind w:left="540"/>
              <w:rPr>
                <w:sz w:val="20"/>
                <w:szCs w:val="20"/>
              </w:rPr>
            </w:pPr>
            <w:r>
              <w:rPr>
                <w:sz w:val="20"/>
                <w:szCs w:val="20"/>
              </w:rPr>
              <w:t>Diluted</w:t>
            </w:r>
          </w:p>
        </w:tc>
        <w:tc>
          <w:tcPr>
            <w:tcW w:w="50" w:type="pct"/>
            <w:shd w:val="clear" w:color="auto" w:fill="CCEEFF"/>
            <w:vAlign w:val="bottom"/>
            <w:hideMark/>
          </w:tcPr>
          <w:p w14:paraId="2912A4B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467C9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277557" w14:textId="77777777" w:rsidR="00000000" w:rsidRDefault="0053651E">
            <w:pPr>
              <w:jc w:val="right"/>
              <w:rPr>
                <w:rFonts w:eastAsia="Times New Roman"/>
                <w:sz w:val="20"/>
                <w:szCs w:val="20"/>
              </w:rPr>
            </w:pPr>
            <w:r>
              <w:rPr>
                <w:rFonts w:eastAsia="Times New Roman"/>
                <w:sz w:val="20"/>
                <w:szCs w:val="20"/>
              </w:rPr>
              <w:t>421,799</w:t>
            </w:r>
          </w:p>
        </w:tc>
        <w:tc>
          <w:tcPr>
            <w:tcW w:w="50" w:type="pct"/>
            <w:shd w:val="clear" w:color="auto" w:fill="CCEEFF"/>
            <w:vAlign w:val="bottom"/>
            <w:hideMark/>
          </w:tcPr>
          <w:p w14:paraId="06CD70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5F26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50C2E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516246" w14:textId="77777777" w:rsidR="00000000" w:rsidRDefault="0053651E">
            <w:pPr>
              <w:jc w:val="right"/>
              <w:rPr>
                <w:rFonts w:eastAsia="Times New Roman"/>
                <w:sz w:val="20"/>
                <w:szCs w:val="20"/>
              </w:rPr>
            </w:pPr>
            <w:r>
              <w:rPr>
                <w:rFonts w:eastAsia="Times New Roman"/>
                <w:sz w:val="20"/>
                <w:szCs w:val="20"/>
              </w:rPr>
              <w:t>421,379</w:t>
            </w:r>
          </w:p>
        </w:tc>
        <w:tc>
          <w:tcPr>
            <w:tcW w:w="50" w:type="pct"/>
            <w:shd w:val="clear" w:color="auto" w:fill="CCEEFF"/>
            <w:vAlign w:val="bottom"/>
            <w:hideMark/>
          </w:tcPr>
          <w:p w14:paraId="6D33C8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AB7B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B0903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9A6C46" w14:textId="77777777" w:rsidR="00000000" w:rsidRDefault="0053651E">
            <w:pPr>
              <w:jc w:val="right"/>
              <w:rPr>
                <w:rFonts w:eastAsia="Times New Roman"/>
                <w:sz w:val="20"/>
                <w:szCs w:val="20"/>
              </w:rPr>
            </w:pPr>
            <w:r>
              <w:rPr>
                <w:rFonts w:eastAsia="Times New Roman"/>
                <w:sz w:val="20"/>
                <w:szCs w:val="20"/>
              </w:rPr>
              <w:t>424,019</w:t>
            </w:r>
          </w:p>
        </w:tc>
        <w:tc>
          <w:tcPr>
            <w:tcW w:w="50" w:type="pct"/>
            <w:shd w:val="clear" w:color="auto" w:fill="CCEEFF"/>
            <w:vAlign w:val="bottom"/>
            <w:hideMark/>
          </w:tcPr>
          <w:p w14:paraId="523873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B0E6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8F538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83DDC6" w14:textId="77777777" w:rsidR="00000000" w:rsidRDefault="0053651E">
            <w:pPr>
              <w:jc w:val="right"/>
              <w:rPr>
                <w:rFonts w:eastAsia="Times New Roman"/>
                <w:sz w:val="20"/>
                <w:szCs w:val="20"/>
              </w:rPr>
            </w:pPr>
            <w:r>
              <w:rPr>
                <w:rFonts w:eastAsia="Times New Roman"/>
                <w:sz w:val="20"/>
                <w:szCs w:val="20"/>
              </w:rPr>
              <w:t>419,709</w:t>
            </w:r>
          </w:p>
        </w:tc>
        <w:tc>
          <w:tcPr>
            <w:tcW w:w="50" w:type="pct"/>
            <w:shd w:val="clear" w:color="auto" w:fill="CCEEFF"/>
            <w:vAlign w:val="bottom"/>
            <w:hideMark/>
          </w:tcPr>
          <w:p w14:paraId="05DFC1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03E4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67785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8078C0" w14:textId="77777777" w:rsidR="00000000" w:rsidRDefault="0053651E">
            <w:pPr>
              <w:jc w:val="right"/>
              <w:rPr>
                <w:rFonts w:eastAsia="Times New Roman"/>
                <w:sz w:val="20"/>
                <w:szCs w:val="20"/>
              </w:rPr>
            </w:pPr>
            <w:r>
              <w:rPr>
                <w:rFonts w:eastAsia="Times New Roman"/>
                <w:sz w:val="20"/>
                <w:szCs w:val="20"/>
              </w:rPr>
              <w:t>412,851</w:t>
            </w:r>
          </w:p>
        </w:tc>
        <w:tc>
          <w:tcPr>
            <w:tcW w:w="50" w:type="pct"/>
            <w:shd w:val="clear" w:color="auto" w:fill="CCEEFF"/>
            <w:vAlign w:val="bottom"/>
            <w:hideMark/>
          </w:tcPr>
          <w:p w14:paraId="7BA51ABD" w14:textId="77777777" w:rsidR="00000000" w:rsidRDefault="0053651E">
            <w:pPr>
              <w:rPr>
                <w:rFonts w:eastAsia="Times New Roman"/>
                <w:sz w:val="20"/>
                <w:szCs w:val="20"/>
              </w:rPr>
            </w:pPr>
            <w:r>
              <w:rPr>
                <w:rFonts w:eastAsia="Times New Roman"/>
                <w:sz w:val="20"/>
                <w:szCs w:val="20"/>
              </w:rPr>
              <w:t> </w:t>
            </w:r>
          </w:p>
        </w:tc>
      </w:tr>
      <w:tr w:rsidR="00000000" w14:paraId="713EB89E" w14:textId="77777777">
        <w:trPr>
          <w:tblCellSpacing w:w="0" w:type="dxa"/>
        </w:trPr>
        <w:tc>
          <w:tcPr>
            <w:tcW w:w="0" w:type="auto"/>
            <w:shd w:val="clear" w:color="auto" w:fill="FFFFFF"/>
            <w:vAlign w:val="bottom"/>
            <w:hideMark/>
          </w:tcPr>
          <w:p w14:paraId="795B6D99" w14:textId="77777777" w:rsidR="00000000" w:rsidRDefault="0053651E">
            <w:pPr>
              <w:pStyle w:val="a3"/>
              <w:spacing w:before="0" w:beforeAutospacing="0" w:after="0" w:afterAutospacing="0"/>
              <w:ind w:left="180"/>
              <w:rPr>
                <w:sz w:val="20"/>
                <w:szCs w:val="20"/>
              </w:rPr>
            </w:pPr>
            <w:r>
              <w:rPr>
                <w:sz w:val="20"/>
                <w:szCs w:val="20"/>
              </w:rPr>
              <w:t>Cash dividends declared per common share</w:t>
            </w:r>
          </w:p>
        </w:tc>
        <w:tc>
          <w:tcPr>
            <w:tcW w:w="50" w:type="pct"/>
            <w:shd w:val="clear" w:color="auto" w:fill="FFFFFF"/>
            <w:vAlign w:val="bottom"/>
            <w:hideMark/>
          </w:tcPr>
          <w:p w14:paraId="43888B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56F6C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B470105" w14:textId="77777777" w:rsidR="00000000" w:rsidRDefault="0053651E">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14:paraId="1DFF01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F889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BB2A4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650B530" w14:textId="77777777" w:rsidR="00000000" w:rsidRDefault="0053651E">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14:paraId="0143C7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45B9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F878B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03C5F4F" w14:textId="77777777" w:rsidR="00000000" w:rsidRDefault="0053651E">
            <w:pPr>
              <w:jc w:val="right"/>
              <w:rPr>
                <w:rFonts w:eastAsia="Times New Roman"/>
                <w:sz w:val="20"/>
                <w:szCs w:val="20"/>
              </w:rPr>
            </w:pPr>
            <w:r>
              <w:rPr>
                <w:rFonts w:eastAsia="Times New Roman"/>
                <w:sz w:val="20"/>
                <w:szCs w:val="20"/>
              </w:rPr>
              <w:t>1.090</w:t>
            </w:r>
          </w:p>
        </w:tc>
        <w:tc>
          <w:tcPr>
            <w:tcW w:w="50" w:type="pct"/>
            <w:shd w:val="clear" w:color="auto" w:fill="FFFFFF"/>
            <w:vAlign w:val="bottom"/>
            <w:hideMark/>
          </w:tcPr>
          <w:p w14:paraId="172132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A7B8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4BF84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D801368" w14:textId="77777777" w:rsidR="00000000" w:rsidRDefault="0053651E">
            <w:pPr>
              <w:jc w:val="right"/>
              <w:rPr>
                <w:rFonts w:eastAsia="Times New Roman"/>
                <w:sz w:val="20"/>
                <w:szCs w:val="20"/>
              </w:rPr>
            </w:pPr>
            <w:r>
              <w:rPr>
                <w:rFonts w:eastAsia="Times New Roman"/>
                <w:sz w:val="20"/>
                <w:szCs w:val="20"/>
              </w:rPr>
              <w:t>1.035</w:t>
            </w:r>
          </w:p>
        </w:tc>
        <w:tc>
          <w:tcPr>
            <w:tcW w:w="50" w:type="pct"/>
            <w:shd w:val="clear" w:color="auto" w:fill="FFFFFF"/>
            <w:vAlign w:val="bottom"/>
            <w:hideMark/>
          </w:tcPr>
          <w:p w14:paraId="45755A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15BD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04375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7CC7EA4" w14:textId="77777777" w:rsidR="00000000" w:rsidRDefault="0053651E">
            <w:pPr>
              <w:jc w:val="right"/>
              <w:rPr>
                <w:rFonts w:eastAsia="Times New Roman"/>
                <w:sz w:val="20"/>
                <w:szCs w:val="20"/>
              </w:rPr>
            </w:pPr>
            <w:r>
              <w:rPr>
                <w:rFonts w:eastAsia="Times New Roman"/>
                <w:sz w:val="20"/>
                <w:szCs w:val="20"/>
              </w:rPr>
              <w:t>0.975</w:t>
            </w:r>
          </w:p>
        </w:tc>
        <w:tc>
          <w:tcPr>
            <w:tcW w:w="50" w:type="pct"/>
            <w:shd w:val="clear" w:color="auto" w:fill="FFFFFF"/>
            <w:vAlign w:val="bottom"/>
            <w:hideMark/>
          </w:tcPr>
          <w:p w14:paraId="5B233896" w14:textId="77777777" w:rsidR="00000000" w:rsidRDefault="0053651E">
            <w:pPr>
              <w:rPr>
                <w:rFonts w:eastAsia="Times New Roman"/>
                <w:sz w:val="20"/>
                <w:szCs w:val="20"/>
              </w:rPr>
            </w:pPr>
            <w:r>
              <w:rPr>
                <w:rFonts w:eastAsia="Times New Roman"/>
                <w:sz w:val="20"/>
                <w:szCs w:val="20"/>
              </w:rPr>
              <w:t> </w:t>
            </w:r>
          </w:p>
        </w:tc>
      </w:tr>
      <w:tr w:rsidR="00000000" w14:paraId="0070E441" w14:textId="77777777">
        <w:trPr>
          <w:tblCellSpacing w:w="0" w:type="dxa"/>
        </w:trPr>
        <w:tc>
          <w:tcPr>
            <w:tcW w:w="0" w:type="auto"/>
            <w:shd w:val="clear" w:color="auto" w:fill="CCEEFF"/>
            <w:vAlign w:val="center"/>
            <w:hideMark/>
          </w:tcPr>
          <w:p w14:paraId="0E3D75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6CB72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2601224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center"/>
            <w:hideMark/>
          </w:tcPr>
          <w:p w14:paraId="148BFF64"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59D168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1ACB4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999D89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center"/>
            <w:hideMark/>
          </w:tcPr>
          <w:p w14:paraId="4E169509"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536049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300379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10516B9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center"/>
            <w:hideMark/>
          </w:tcPr>
          <w:p w14:paraId="1E9A74C7"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267EAA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4691A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2F2CAA2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center"/>
            <w:hideMark/>
          </w:tcPr>
          <w:p w14:paraId="5F878715"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6D561B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1B6332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47886E9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center"/>
            <w:hideMark/>
          </w:tcPr>
          <w:p w14:paraId="58068D70" w14:textId="77777777" w:rsidR="00000000" w:rsidRDefault="0053651E">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0E6CD696" w14:textId="77777777" w:rsidR="00000000" w:rsidRDefault="0053651E">
            <w:pPr>
              <w:rPr>
                <w:rFonts w:eastAsia="Times New Roman"/>
                <w:sz w:val="20"/>
                <w:szCs w:val="20"/>
              </w:rPr>
            </w:pPr>
            <w:r>
              <w:rPr>
                <w:rFonts w:eastAsia="Times New Roman"/>
                <w:sz w:val="20"/>
                <w:szCs w:val="20"/>
              </w:rPr>
              <w:t> </w:t>
            </w:r>
          </w:p>
        </w:tc>
      </w:tr>
      <w:tr w:rsidR="00000000" w14:paraId="4A2A4019" w14:textId="77777777">
        <w:trPr>
          <w:tblCellSpacing w:w="0" w:type="dxa"/>
        </w:trPr>
        <w:tc>
          <w:tcPr>
            <w:tcW w:w="0" w:type="auto"/>
            <w:shd w:val="clear" w:color="auto" w:fill="FFFFFF"/>
            <w:vAlign w:val="center"/>
            <w:hideMark/>
          </w:tcPr>
          <w:p w14:paraId="05F14817" w14:textId="77777777" w:rsidR="00000000" w:rsidRDefault="0053651E">
            <w:pPr>
              <w:rPr>
                <w:rFonts w:eastAsia="Times New Roman"/>
                <w:sz w:val="20"/>
                <w:szCs w:val="20"/>
              </w:rPr>
            </w:pPr>
            <w:r>
              <w:rPr>
                <w:rFonts w:eastAsia="Times New Roman"/>
                <w:sz w:val="20"/>
                <w:szCs w:val="20"/>
              </w:rPr>
              <w:t>Cash flow provided by operations</w:t>
            </w:r>
          </w:p>
        </w:tc>
        <w:tc>
          <w:tcPr>
            <w:tcW w:w="50" w:type="pct"/>
            <w:shd w:val="clear" w:color="auto" w:fill="FFFFFF"/>
            <w:vAlign w:val="center"/>
            <w:hideMark/>
          </w:tcPr>
          <w:p w14:paraId="14674F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A6F5E0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7D782351" w14:textId="77777777" w:rsidR="00000000" w:rsidRDefault="0053651E">
            <w:pPr>
              <w:jc w:val="right"/>
              <w:rPr>
                <w:rFonts w:eastAsia="Times New Roman"/>
                <w:sz w:val="20"/>
                <w:szCs w:val="20"/>
              </w:rPr>
            </w:pPr>
            <w:r>
              <w:rPr>
                <w:rFonts w:eastAsia="Times New Roman"/>
                <w:sz w:val="20"/>
                <w:szCs w:val="20"/>
              </w:rPr>
              <w:t>583,628</w:t>
            </w:r>
          </w:p>
        </w:tc>
        <w:tc>
          <w:tcPr>
            <w:tcW w:w="50" w:type="pct"/>
            <w:shd w:val="clear" w:color="auto" w:fill="FFFFFF"/>
            <w:vAlign w:val="center"/>
            <w:hideMark/>
          </w:tcPr>
          <w:p w14:paraId="04EFE3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0204B4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0989B295"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0294A579" w14:textId="77777777" w:rsidR="00000000" w:rsidRDefault="0053651E">
            <w:pPr>
              <w:jc w:val="right"/>
              <w:rPr>
                <w:rFonts w:eastAsia="Times New Roman"/>
                <w:sz w:val="20"/>
                <w:szCs w:val="20"/>
              </w:rPr>
            </w:pPr>
            <w:r>
              <w:rPr>
                <w:rFonts w:eastAsia="Times New Roman"/>
                <w:sz w:val="20"/>
                <w:szCs w:val="20"/>
              </w:rPr>
              <w:t>637,936</w:t>
            </w:r>
          </w:p>
        </w:tc>
        <w:tc>
          <w:tcPr>
            <w:tcW w:w="50" w:type="pct"/>
            <w:shd w:val="clear" w:color="auto" w:fill="FFFFFF"/>
            <w:vAlign w:val="center"/>
            <w:hideMark/>
          </w:tcPr>
          <w:p w14:paraId="1B9CC4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683B88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4EF450F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0DD3D9F9" w14:textId="77777777" w:rsidR="00000000" w:rsidRDefault="0053651E">
            <w:pPr>
              <w:jc w:val="right"/>
              <w:rPr>
                <w:rFonts w:eastAsia="Times New Roman"/>
                <w:sz w:val="20"/>
                <w:szCs w:val="20"/>
              </w:rPr>
            </w:pPr>
            <w:r>
              <w:rPr>
                <w:rFonts w:eastAsia="Times New Roman"/>
                <w:sz w:val="20"/>
                <w:szCs w:val="20"/>
              </w:rPr>
              <w:t>614,181</w:t>
            </w:r>
          </w:p>
        </w:tc>
        <w:tc>
          <w:tcPr>
            <w:tcW w:w="50" w:type="pct"/>
            <w:shd w:val="clear" w:color="auto" w:fill="FFFFFF"/>
            <w:vAlign w:val="center"/>
            <w:hideMark/>
          </w:tcPr>
          <w:p w14:paraId="135DD3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118EE3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31BC5F2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229C4214" w14:textId="77777777" w:rsidR="00000000" w:rsidRDefault="0053651E">
            <w:pPr>
              <w:jc w:val="right"/>
              <w:rPr>
                <w:rFonts w:eastAsia="Times New Roman"/>
                <w:sz w:val="20"/>
                <w:szCs w:val="20"/>
              </w:rPr>
            </w:pPr>
            <w:r>
              <w:rPr>
                <w:rFonts w:eastAsia="Times New Roman"/>
                <w:sz w:val="20"/>
                <w:szCs w:val="20"/>
              </w:rPr>
              <w:t>592,096</w:t>
            </w:r>
          </w:p>
        </w:tc>
        <w:tc>
          <w:tcPr>
            <w:tcW w:w="50" w:type="pct"/>
            <w:shd w:val="clear" w:color="auto" w:fill="FFFFFF"/>
            <w:vAlign w:val="center"/>
            <w:hideMark/>
          </w:tcPr>
          <w:p w14:paraId="5F9FAE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0C0902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0BDDCC6"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1ECB7165" w14:textId="77777777" w:rsidR="00000000" w:rsidRDefault="0053651E">
            <w:pPr>
              <w:jc w:val="right"/>
              <w:rPr>
                <w:rFonts w:eastAsia="Times New Roman"/>
                <w:sz w:val="20"/>
                <w:szCs w:val="20"/>
              </w:rPr>
            </w:pPr>
            <w:r>
              <w:rPr>
                <w:rFonts w:eastAsia="Times New Roman"/>
                <w:sz w:val="20"/>
                <w:szCs w:val="20"/>
              </w:rPr>
              <w:t>493,701</w:t>
            </w:r>
          </w:p>
        </w:tc>
        <w:tc>
          <w:tcPr>
            <w:tcW w:w="50" w:type="pct"/>
            <w:shd w:val="clear" w:color="auto" w:fill="FFFFFF"/>
            <w:vAlign w:val="center"/>
            <w:hideMark/>
          </w:tcPr>
          <w:p w14:paraId="7DCA04E2" w14:textId="77777777" w:rsidR="00000000" w:rsidRDefault="0053651E">
            <w:pPr>
              <w:rPr>
                <w:rFonts w:eastAsia="Times New Roman"/>
                <w:sz w:val="20"/>
                <w:szCs w:val="20"/>
              </w:rPr>
            </w:pPr>
            <w:r>
              <w:rPr>
                <w:rFonts w:eastAsia="Times New Roman"/>
                <w:sz w:val="20"/>
                <w:szCs w:val="20"/>
              </w:rPr>
              <w:t> </w:t>
            </w:r>
          </w:p>
        </w:tc>
      </w:tr>
      <w:tr w:rsidR="00000000" w14:paraId="77CCD6D3" w14:textId="77777777">
        <w:trPr>
          <w:tblCellSpacing w:w="0" w:type="dxa"/>
        </w:trPr>
        <w:tc>
          <w:tcPr>
            <w:tcW w:w="0" w:type="auto"/>
            <w:shd w:val="clear" w:color="auto" w:fill="CCEEFF"/>
            <w:vAlign w:val="center"/>
            <w:hideMark/>
          </w:tcPr>
          <w:p w14:paraId="51E9CB6F" w14:textId="77777777" w:rsidR="00000000" w:rsidRDefault="0053651E">
            <w:pPr>
              <w:rPr>
                <w:rFonts w:eastAsia="Times New Roman"/>
                <w:sz w:val="20"/>
                <w:szCs w:val="20"/>
              </w:rPr>
            </w:pPr>
            <w:r>
              <w:rPr>
                <w:rFonts w:eastAsia="Times New Roman"/>
                <w:sz w:val="20"/>
                <w:szCs w:val="20"/>
              </w:rPr>
              <w:t>Cash flow (used for)/provided by investing activities</w:t>
            </w:r>
          </w:p>
        </w:tc>
        <w:tc>
          <w:tcPr>
            <w:tcW w:w="50" w:type="pct"/>
            <w:shd w:val="clear" w:color="auto" w:fill="CCEEFF"/>
            <w:vAlign w:val="center"/>
            <w:hideMark/>
          </w:tcPr>
          <w:p w14:paraId="112E3E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3627A5D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2A1273B7" w14:textId="77777777" w:rsidR="00000000" w:rsidRDefault="0053651E">
            <w:pPr>
              <w:jc w:val="right"/>
              <w:rPr>
                <w:rFonts w:eastAsia="Times New Roman"/>
                <w:sz w:val="20"/>
                <w:szCs w:val="20"/>
              </w:rPr>
            </w:pPr>
            <w:r>
              <w:rPr>
                <w:rFonts w:eastAsia="Times New Roman"/>
                <w:sz w:val="20"/>
                <w:szCs w:val="20"/>
              </w:rPr>
              <w:t>(120,421</w:t>
            </w:r>
          </w:p>
        </w:tc>
        <w:tc>
          <w:tcPr>
            <w:tcW w:w="50" w:type="pct"/>
            <w:shd w:val="clear" w:color="auto" w:fill="CCEEFF"/>
            <w:vAlign w:val="center"/>
            <w:hideMark/>
          </w:tcPr>
          <w:p w14:paraId="20EDECF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62A80C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3EDDB7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370A369C" w14:textId="77777777" w:rsidR="00000000" w:rsidRDefault="0053651E">
            <w:pPr>
              <w:jc w:val="right"/>
              <w:rPr>
                <w:rFonts w:eastAsia="Times New Roman"/>
                <w:sz w:val="20"/>
                <w:szCs w:val="20"/>
              </w:rPr>
            </w:pPr>
            <w:r>
              <w:rPr>
                <w:rFonts w:eastAsia="Times New Roman"/>
                <w:sz w:val="20"/>
                <w:szCs w:val="20"/>
              </w:rPr>
              <w:t>253,645</w:t>
            </w:r>
          </w:p>
        </w:tc>
        <w:tc>
          <w:tcPr>
            <w:tcW w:w="50" w:type="pct"/>
            <w:shd w:val="clear" w:color="auto" w:fill="CCEEFF"/>
            <w:vAlign w:val="center"/>
            <w:hideMark/>
          </w:tcPr>
          <w:p w14:paraId="1DDDBD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EB19A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E7AB28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241FC45B" w14:textId="77777777" w:rsidR="00000000" w:rsidRDefault="0053651E">
            <w:pPr>
              <w:jc w:val="right"/>
              <w:rPr>
                <w:rFonts w:eastAsia="Times New Roman"/>
                <w:sz w:val="20"/>
                <w:szCs w:val="20"/>
              </w:rPr>
            </w:pPr>
            <w:r>
              <w:rPr>
                <w:rFonts w:eastAsia="Times New Roman"/>
                <w:sz w:val="20"/>
                <w:szCs w:val="20"/>
              </w:rPr>
              <w:t>(294,280</w:t>
            </w:r>
          </w:p>
        </w:tc>
        <w:tc>
          <w:tcPr>
            <w:tcW w:w="50" w:type="pct"/>
            <w:shd w:val="clear" w:color="auto" w:fill="CCEEFF"/>
            <w:vAlign w:val="center"/>
            <w:hideMark/>
          </w:tcPr>
          <w:p w14:paraId="71BC8C5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696078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34F564F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452F3CE2" w14:textId="77777777" w:rsidR="00000000" w:rsidRDefault="0053651E">
            <w:pPr>
              <w:jc w:val="right"/>
              <w:rPr>
                <w:rFonts w:eastAsia="Times New Roman"/>
                <w:sz w:val="20"/>
                <w:szCs w:val="20"/>
              </w:rPr>
            </w:pPr>
            <w:r>
              <w:rPr>
                <w:rFonts w:eastAsia="Times New Roman"/>
                <w:sz w:val="20"/>
                <w:szCs w:val="20"/>
              </w:rPr>
              <w:t>165,383</w:t>
            </w:r>
          </w:p>
        </w:tc>
        <w:tc>
          <w:tcPr>
            <w:tcW w:w="50" w:type="pct"/>
            <w:shd w:val="clear" w:color="auto" w:fill="CCEEFF"/>
            <w:vAlign w:val="center"/>
            <w:hideMark/>
          </w:tcPr>
          <w:p w14:paraId="403F8C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0F1B7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342C921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center"/>
            <w:hideMark/>
          </w:tcPr>
          <w:p w14:paraId="2CEC8D9D" w14:textId="77777777" w:rsidR="00000000" w:rsidRDefault="0053651E">
            <w:pPr>
              <w:jc w:val="right"/>
              <w:rPr>
                <w:rFonts w:eastAsia="Times New Roman"/>
                <w:sz w:val="20"/>
                <w:szCs w:val="20"/>
              </w:rPr>
            </w:pPr>
            <w:r>
              <w:rPr>
                <w:rFonts w:eastAsia="Times New Roman"/>
                <w:sz w:val="20"/>
                <w:szCs w:val="20"/>
              </w:rPr>
              <w:t>21,365</w:t>
            </w:r>
          </w:p>
        </w:tc>
        <w:tc>
          <w:tcPr>
            <w:tcW w:w="50" w:type="pct"/>
            <w:shd w:val="clear" w:color="auto" w:fill="CCEEFF"/>
            <w:vAlign w:val="center"/>
            <w:hideMark/>
          </w:tcPr>
          <w:p w14:paraId="0A01880B" w14:textId="77777777" w:rsidR="00000000" w:rsidRDefault="0053651E">
            <w:pPr>
              <w:rPr>
                <w:rFonts w:eastAsia="Times New Roman"/>
                <w:sz w:val="20"/>
                <w:szCs w:val="20"/>
              </w:rPr>
            </w:pPr>
            <w:r>
              <w:rPr>
                <w:rFonts w:eastAsia="Times New Roman"/>
                <w:sz w:val="20"/>
                <w:szCs w:val="20"/>
              </w:rPr>
              <w:t> </w:t>
            </w:r>
          </w:p>
        </w:tc>
      </w:tr>
      <w:tr w:rsidR="00000000" w14:paraId="370545D4" w14:textId="77777777">
        <w:trPr>
          <w:tblCellSpacing w:w="0" w:type="dxa"/>
        </w:trPr>
        <w:tc>
          <w:tcPr>
            <w:tcW w:w="0" w:type="auto"/>
            <w:shd w:val="clear" w:color="auto" w:fill="FFFFFF"/>
            <w:vAlign w:val="center"/>
            <w:hideMark/>
          </w:tcPr>
          <w:p w14:paraId="085A4BC6" w14:textId="77777777" w:rsidR="00000000" w:rsidRDefault="0053651E">
            <w:pPr>
              <w:rPr>
                <w:rFonts w:eastAsia="Times New Roman"/>
                <w:sz w:val="20"/>
                <w:szCs w:val="20"/>
              </w:rPr>
            </w:pPr>
            <w:r>
              <w:rPr>
                <w:rFonts w:eastAsia="Times New Roman"/>
                <w:sz w:val="20"/>
                <w:szCs w:val="20"/>
              </w:rPr>
              <w:t>Cash flow used for financing activities</w:t>
            </w:r>
          </w:p>
        </w:tc>
        <w:tc>
          <w:tcPr>
            <w:tcW w:w="50" w:type="pct"/>
            <w:shd w:val="clear" w:color="auto" w:fill="FFFFFF"/>
            <w:vAlign w:val="center"/>
            <w:hideMark/>
          </w:tcPr>
          <w:p w14:paraId="0B19AC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306B49F"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634C1F89" w14:textId="77777777" w:rsidR="00000000" w:rsidRDefault="0053651E">
            <w:pPr>
              <w:jc w:val="right"/>
              <w:rPr>
                <w:rFonts w:eastAsia="Times New Roman"/>
                <w:sz w:val="20"/>
                <w:szCs w:val="20"/>
              </w:rPr>
            </w:pPr>
            <w:r>
              <w:rPr>
                <w:rFonts w:eastAsia="Times New Roman"/>
                <w:sz w:val="20"/>
                <w:szCs w:val="20"/>
              </w:rPr>
              <w:t>(482,841</w:t>
            </w:r>
          </w:p>
        </w:tc>
        <w:tc>
          <w:tcPr>
            <w:tcW w:w="50" w:type="pct"/>
            <w:shd w:val="clear" w:color="auto" w:fill="FFFFFF"/>
            <w:vAlign w:val="center"/>
            <w:hideMark/>
          </w:tcPr>
          <w:p w14:paraId="7A62BAA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389EE0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4210933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10EC6E43" w14:textId="77777777" w:rsidR="00000000" w:rsidRDefault="0053651E">
            <w:pPr>
              <w:jc w:val="right"/>
              <w:rPr>
                <w:rFonts w:eastAsia="Times New Roman"/>
                <w:sz w:val="20"/>
                <w:szCs w:val="20"/>
              </w:rPr>
            </w:pPr>
            <w:r>
              <w:rPr>
                <w:rFonts w:eastAsia="Times New Roman"/>
                <w:sz w:val="20"/>
                <w:szCs w:val="20"/>
              </w:rPr>
              <w:t>(986,513</w:t>
            </w:r>
          </w:p>
        </w:tc>
        <w:tc>
          <w:tcPr>
            <w:tcW w:w="50" w:type="pct"/>
            <w:shd w:val="clear" w:color="auto" w:fill="FFFFFF"/>
            <w:vAlign w:val="center"/>
            <w:hideMark/>
          </w:tcPr>
          <w:p w14:paraId="594ECC8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3F09BF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41488E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52D46998" w14:textId="77777777" w:rsidR="00000000" w:rsidRDefault="0053651E">
            <w:pPr>
              <w:jc w:val="right"/>
              <w:rPr>
                <w:rFonts w:eastAsia="Times New Roman"/>
                <w:sz w:val="20"/>
                <w:szCs w:val="20"/>
              </w:rPr>
            </w:pPr>
            <w:r>
              <w:rPr>
                <w:rFonts w:eastAsia="Times New Roman"/>
                <w:sz w:val="20"/>
                <w:szCs w:val="20"/>
              </w:rPr>
              <w:t>(223,874</w:t>
            </w:r>
          </w:p>
        </w:tc>
        <w:tc>
          <w:tcPr>
            <w:tcW w:w="50" w:type="pct"/>
            <w:shd w:val="clear" w:color="auto" w:fill="FFFFFF"/>
            <w:vAlign w:val="center"/>
            <w:hideMark/>
          </w:tcPr>
          <w:p w14:paraId="39E3D33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742BE8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37DEE6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212FF5A8" w14:textId="77777777" w:rsidR="00000000" w:rsidRDefault="0053651E">
            <w:pPr>
              <w:jc w:val="right"/>
              <w:rPr>
                <w:rFonts w:eastAsia="Times New Roman"/>
                <w:sz w:val="20"/>
                <w:szCs w:val="20"/>
              </w:rPr>
            </w:pPr>
            <w:r>
              <w:rPr>
                <w:rFonts w:eastAsia="Times New Roman"/>
                <w:sz w:val="20"/>
                <w:szCs w:val="20"/>
              </w:rPr>
              <w:t>(804,527</w:t>
            </w:r>
          </w:p>
        </w:tc>
        <w:tc>
          <w:tcPr>
            <w:tcW w:w="50" w:type="pct"/>
            <w:shd w:val="clear" w:color="auto" w:fill="FFFFFF"/>
            <w:vAlign w:val="center"/>
            <w:hideMark/>
          </w:tcPr>
          <w:p w14:paraId="47EFFAC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5C73BE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F58FB1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center"/>
            <w:hideMark/>
          </w:tcPr>
          <w:p w14:paraId="73A5C778" w14:textId="77777777" w:rsidR="00000000" w:rsidRDefault="0053651E">
            <w:pPr>
              <w:jc w:val="right"/>
              <w:rPr>
                <w:rFonts w:eastAsia="Times New Roman"/>
                <w:sz w:val="20"/>
                <w:szCs w:val="20"/>
              </w:rPr>
            </w:pPr>
            <w:r>
              <w:rPr>
                <w:rFonts w:eastAsia="Times New Roman"/>
                <w:sz w:val="20"/>
                <w:szCs w:val="20"/>
              </w:rPr>
              <w:t>(512,854</w:t>
            </w:r>
          </w:p>
        </w:tc>
        <w:tc>
          <w:tcPr>
            <w:tcW w:w="50" w:type="pct"/>
            <w:shd w:val="clear" w:color="auto" w:fill="FFFFFF"/>
            <w:vAlign w:val="center"/>
            <w:hideMark/>
          </w:tcPr>
          <w:p w14:paraId="39E23B2F" w14:textId="77777777" w:rsidR="00000000" w:rsidRDefault="0053651E">
            <w:pPr>
              <w:rPr>
                <w:rFonts w:eastAsia="Times New Roman"/>
                <w:sz w:val="20"/>
                <w:szCs w:val="20"/>
              </w:rPr>
            </w:pPr>
            <w:r>
              <w:rPr>
                <w:rFonts w:eastAsia="Times New Roman"/>
                <w:sz w:val="20"/>
                <w:szCs w:val="20"/>
              </w:rPr>
              <w:t>)</w:t>
            </w:r>
          </w:p>
        </w:tc>
      </w:tr>
    </w:tbl>
    <w:p w14:paraId="6054A1FE" w14:textId="77777777" w:rsidR="00000000" w:rsidRDefault="0053651E">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391"/>
        <w:gridCol w:w="50"/>
        <w:gridCol w:w="100"/>
        <w:gridCol w:w="900"/>
        <w:gridCol w:w="50"/>
        <w:gridCol w:w="50"/>
        <w:gridCol w:w="100"/>
        <w:gridCol w:w="900"/>
        <w:gridCol w:w="50"/>
        <w:gridCol w:w="50"/>
        <w:gridCol w:w="100"/>
        <w:gridCol w:w="900"/>
        <w:gridCol w:w="50"/>
        <w:gridCol w:w="50"/>
        <w:gridCol w:w="100"/>
        <w:gridCol w:w="900"/>
        <w:gridCol w:w="50"/>
        <w:gridCol w:w="50"/>
        <w:gridCol w:w="100"/>
        <w:gridCol w:w="900"/>
        <w:gridCol w:w="50"/>
      </w:tblGrid>
      <w:tr w:rsidR="00000000" w14:paraId="0CDB3D10" w14:textId="77777777">
        <w:trPr>
          <w:tblCellSpacing w:w="0" w:type="dxa"/>
        </w:trPr>
        <w:tc>
          <w:tcPr>
            <w:tcW w:w="0" w:type="auto"/>
            <w:vAlign w:val="bottom"/>
            <w:hideMark/>
          </w:tcPr>
          <w:p w14:paraId="29D76E2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8A9C90D" w14:textId="77777777" w:rsidR="00000000" w:rsidRDefault="0053651E">
            <w:pPr>
              <w:rPr>
                <w:rFonts w:eastAsia="Times New Roman"/>
                <w:sz w:val="20"/>
                <w:szCs w:val="20"/>
              </w:rPr>
            </w:pPr>
            <w:r>
              <w:rPr>
                <w:rFonts w:eastAsia="Times New Roman"/>
                <w:sz w:val="20"/>
                <w:szCs w:val="20"/>
              </w:rPr>
              <w:t> </w:t>
            </w:r>
          </w:p>
        </w:tc>
        <w:tc>
          <w:tcPr>
            <w:tcW w:w="0" w:type="auto"/>
            <w:gridSpan w:val="18"/>
            <w:tcBorders>
              <w:bottom w:val="single" w:sz="6" w:space="0" w:color="000000"/>
            </w:tcBorders>
            <w:vAlign w:val="bottom"/>
            <w:hideMark/>
          </w:tcPr>
          <w:p w14:paraId="3492CD5E"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EDD5A39" w14:textId="77777777" w:rsidR="00000000" w:rsidRDefault="0053651E">
            <w:pPr>
              <w:rPr>
                <w:rFonts w:eastAsia="Times New Roman"/>
                <w:sz w:val="20"/>
                <w:szCs w:val="20"/>
              </w:rPr>
            </w:pPr>
            <w:r>
              <w:rPr>
                <w:rFonts w:eastAsia="Times New Roman"/>
                <w:sz w:val="20"/>
                <w:szCs w:val="20"/>
              </w:rPr>
              <w:t> </w:t>
            </w:r>
          </w:p>
        </w:tc>
      </w:tr>
      <w:tr w:rsidR="00000000" w14:paraId="0C5A1C53" w14:textId="77777777">
        <w:trPr>
          <w:tblCellSpacing w:w="0" w:type="dxa"/>
        </w:trPr>
        <w:tc>
          <w:tcPr>
            <w:tcW w:w="0" w:type="auto"/>
            <w:vAlign w:val="bottom"/>
            <w:hideMark/>
          </w:tcPr>
          <w:p w14:paraId="51C2482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556187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2F57E72"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F00C6D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BD9D20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E5BCDF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2F9017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5B983A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8FB6BB7"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0060161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13D06B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376C75" w14:textId="77777777" w:rsidR="00000000" w:rsidRDefault="0053651E">
            <w:pPr>
              <w:pStyle w:val="a3"/>
              <w:spacing w:before="0" w:beforeAutospacing="0" w:after="0" w:afterAutospacing="0"/>
              <w:jc w:val="center"/>
              <w:rPr>
                <w:sz w:val="20"/>
                <w:szCs w:val="20"/>
              </w:rPr>
            </w:pPr>
            <w:r>
              <w:rPr>
                <w:b/>
                <w:bCs/>
                <w:sz w:val="20"/>
                <w:szCs w:val="20"/>
              </w:rPr>
              <w:t>2016</w:t>
            </w:r>
          </w:p>
        </w:tc>
        <w:tc>
          <w:tcPr>
            <w:tcW w:w="0" w:type="auto"/>
            <w:tcMar>
              <w:top w:w="0" w:type="dxa"/>
              <w:left w:w="0" w:type="dxa"/>
              <w:bottom w:w="15" w:type="dxa"/>
              <w:right w:w="0" w:type="dxa"/>
            </w:tcMar>
            <w:vAlign w:val="bottom"/>
            <w:hideMark/>
          </w:tcPr>
          <w:p w14:paraId="72487B6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1B3656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A46F139" w14:textId="77777777" w:rsidR="00000000" w:rsidRDefault="0053651E">
            <w:pPr>
              <w:pStyle w:val="a3"/>
              <w:spacing w:before="0" w:beforeAutospacing="0" w:after="0" w:afterAutospacing="0"/>
              <w:jc w:val="center"/>
              <w:rPr>
                <w:sz w:val="20"/>
                <w:szCs w:val="20"/>
              </w:rPr>
            </w:pPr>
            <w:r>
              <w:rPr>
                <w:b/>
                <w:bCs/>
                <w:sz w:val="20"/>
                <w:szCs w:val="20"/>
              </w:rPr>
              <w:t>2015</w:t>
            </w:r>
          </w:p>
        </w:tc>
        <w:tc>
          <w:tcPr>
            <w:tcW w:w="0" w:type="auto"/>
            <w:tcMar>
              <w:top w:w="0" w:type="dxa"/>
              <w:left w:w="0" w:type="dxa"/>
              <w:bottom w:w="15" w:type="dxa"/>
              <w:right w:w="0" w:type="dxa"/>
            </w:tcMar>
            <w:vAlign w:val="bottom"/>
            <w:hideMark/>
          </w:tcPr>
          <w:p w14:paraId="4EA0DD64" w14:textId="77777777" w:rsidR="00000000" w:rsidRDefault="0053651E">
            <w:pPr>
              <w:rPr>
                <w:rFonts w:eastAsia="Times New Roman"/>
                <w:sz w:val="20"/>
                <w:szCs w:val="20"/>
              </w:rPr>
            </w:pPr>
            <w:r>
              <w:rPr>
                <w:rFonts w:eastAsia="Times New Roman"/>
                <w:sz w:val="20"/>
                <w:szCs w:val="20"/>
              </w:rPr>
              <w:t> </w:t>
            </w:r>
          </w:p>
        </w:tc>
      </w:tr>
      <w:tr w:rsidR="00000000" w14:paraId="4500DF42" w14:textId="77777777">
        <w:trPr>
          <w:tblCellSpacing w:w="0" w:type="dxa"/>
        </w:trPr>
        <w:tc>
          <w:tcPr>
            <w:tcW w:w="0" w:type="auto"/>
            <w:vAlign w:val="bottom"/>
            <w:hideMark/>
          </w:tcPr>
          <w:p w14:paraId="77FD4B3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B3B0CCA" w14:textId="77777777" w:rsidR="00000000" w:rsidRDefault="0053651E">
            <w:pPr>
              <w:rPr>
                <w:rFonts w:eastAsia="Times New Roman"/>
                <w:sz w:val="20"/>
                <w:szCs w:val="20"/>
              </w:rPr>
            </w:pPr>
            <w:r>
              <w:rPr>
                <w:rFonts w:eastAsia="Times New Roman"/>
                <w:sz w:val="20"/>
                <w:szCs w:val="20"/>
              </w:rPr>
              <w:t> </w:t>
            </w:r>
          </w:p>
        </w:tc>
        <w:tc>
          <w:tcPr>
            <w:tcW w:w="0" w:type="auto"/>
            <w:gridSpan w:val="18"/>
            <w:vAlign w:val="bottom"/>
            <w:hideMark/>
          </w:tcPr>
          <w:p w14:paraId="336687D0" w14:textId="77777777" w:rsidR="00000000" w:rsidRDefault="0053651E">
            <w:pPr>
              <w:pStyle w:val="a3"/>
              <w:spacing w:before="0" w:beforeAutospacing="0" w:after="0" w:afterAutospacing="0"/>
              <w:jc w:val="center"/>
              <w:rPr>
                <w:sz w:val="20"/>
                <w:szCs w:val="20"/>
              </w:rPr>
            </w:pPr>
            <w:r>
              <w:rPr>
                <w:sz w:val="20"/>
                <w:szCs w:val="20"/>
              </w:rPr>
              <w:t>(in thousands)</w:t>
            </w:r>
          </w:p>
        </w:tc>
        <w:tc>
          <w:tcPr>
            <w:tcW w:w="0" w:type="auto"/>
            <w:vAlign w:val="bottom"/>
            <w:hideMark/>
          </w:tcPr>
          <w:p w14:paraId="7F74F5A6" w14:textId="77777777" w:rsidR="00000000" w:rsidRDefault="0053651E">
            <w:pPr>
              <w:rPr>
                <w:rFonts w:eastAsia="Times New Roman"/>
                <w:sz w:val="20"/>
                <w:szCs w:val="20"/>
              </w:rPr>
            </w:pPr>
            <w:r>
              <w:rPr>
                <w:rFonts w:eastAsia="Times New Roman"/>
                <w:sz w:val="20"/>
                <w:szCs w:val="20"/>
              </w:rPr>
              <w:t> </w:t>
            </w:r>
          </w:p>
        </w:tc>
      </w:tr>
      <w:tr w:rsidR="00000000" w14:paraId="78DAB1AB" w14:textId="77777777">
        <w:trPr>
          <w:tblCellSpacing w:w="0" w:type="dxa"/>
        </w:trPr>
        <w:tc>
          <w:tcPr>
            <w:tcW w:w="1750" w:type="pct"/>
            <w:shd w:val="clear" w:color="auto" w:fill="CCEEFF"/>
            <w:vAlign w:val="bottom"/>
            <w:hideMark/>
          </w:tcPr>
          <w:p w14:paraId="4D81CDDA" w14:textId="77777777" w:rsidR="00000000" w:rsidRDefault="0053651E">
            <w:pPr>
              <w:pStyle w:val="a3"/>
              <w:spacing w:before="0" w:beforeAutospacing="0" w:after="0" w:afterAutospacing="0"/>
              <w:rPr>
                <w:sz w:val="20"/>
                <w:szCs w:val="20"/>
              </w:rPr>
            </w:pPr>
            <w:r>
              <w:rPr>
                <w:sz w:val="20"/>
                <w:szCs w:val="20"/>
              </w:rPr>
              <w:t>Balance Sheet Data:</w:t>
            </w:r>
          </w:p>
        </w:tc>
        <w:tc>
          <w:tcPr>
            <w:tcW w:w="0" w:type="auto"/>
            <w:shd w:val="clear" w:color="auto" w:fill="CCEEFF"/>
            <w:vAlign w:val="bottom"/>
            <w:hideMark/>
          </w:tcPr>
          <w:p w14:paraId="07C30D1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A36F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ACA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9328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46C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847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D062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290B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158D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042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68E9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CBE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2143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F74A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AF45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BBDC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3B88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C36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073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B6F54" w14:textId="77777777" w:rsidR="00000000" w:rsidRDefault="0053651E">
            <w:pPr>
              <w:rPr>
                <w:rFonts w:eastAsia="Times New Roman"/>
                <w:sz w:val="20"/>
                <w:szCs w:val="20"/>
              </w:rPr>
            </w:pPr>
            <w:r>
              <w:rPr>
                <w:rFonts w:eastAsia="Times New Roman"/>
                <w:sz w:val="20"/>
                <w:szCs w:val="20"/>
              </w:rPr>
              <w:t> </w:t>
            </w:r>
          </w:p>
        </w:tc>
      </w:tr>
      <w:tr w:rsidR="00000000" w14:paraId="50E35CAE" w14:textId="77777777">
        <w:trPr>
          <w:tblCellSpacing w:w="0" w:type="dxa"/>
        </w:trPr>
        <w:tc>
          <w:tcPr>
            <w:tcW w:w="0" w:type="auto"/>
            <w:shd w:val="clear" w:color="auto" w:fill="FFFFFF"/>
            <w:vAlign w:val="bottom"/>
            <w:hideMark/>
          </w:tcPr>
          <w:p w14:paraId="78DEEA40" w14:textId="77777777" w:rsidR="00000000" w:rsidRDefault="0053651E">
            <w:pPr>
              <w:pStyle w:val="a3"/>
              <w:spacing w:before="0" w:beforeAutospacing="0" w:after="0" w:afterAutospacing="0"/>
              <w:rPr>
                <w:sz w:val="20"/>
                <w:szCs w:val="20"/>
              </w:rPr>
            </w:pPr>
            <w:r>
              <w:rPr>
                <w:sz w:val="20"/>
                <w:szCs w:val="20"/>
              </w:rPr>
              <w:t>Real estate, before accumulated depreciation</w:t>
            </w:r>
          </w:p>
        </w:tc>
        <w:tc>
          <w:tcPr>
            <w:tcW w:w="50" w:type="pct"/>
            <w:shd w:val="clear" w:color="auto" w:fill="FFFFFF"/>
            <w:vAlign w:val="bottom"/>
            <w:hideMark/>
          </w:tcPr>
          <w:p w14:paraId="1ACD804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BEF45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0B09190" w14:textId="77777777" w:rsidR="00000000" w:rsidRDefault="0053651E">
            <w:pPr>
              <w:jc w:val="right"/>
              <w:rPr>
                <w:rFonts w:eastAsia="Times New Roman"/>
                <w:sz w:val="20"/>
                <w:szCs w:val="20"/>
              </w:rPr>
            </w:pPr>
            <w:r>
              <w:rPr>
                <w:rFonts w:eastAsia="Times New Roman"/>
                <w:sz w:val="20"/>
                <w:szCs w:val="20"/>
              </w:rPr>
              <w:t>11,929,276</w:t>
            </w:r>
          </w:p>
        </w:tc>
        <w:tc>
          <w:tcPr>
            <w:tcW w:w="50" w:type="pct"/>
            <w:shd w:val="clear" w:color="auto" w:fill="FFFFFF"/>
            <w:vAlign w:val="bottom"/>
            <w:hideMark/>
          </w:tcPr>
          <w:p w14:paraId="00CD00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9DE6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A53C33"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D035F0C" w14:textId="77777777" w:rsidR="00000000" w:rsidRDefault="0053651E">
            <w:pPr>
              <w:jc w:val="right"/>
              <w:rPr>
                <w:rFonts w:eastAsia="Times New Roman"/>
                <w:sz w:val="20"/>
                <w:szCs w:val="20"/>
              </w:rPr>
            </w:pPr>
            <w:r>
              <w:rPr>
                <w:rFonts w:eastAsia="Times New Roman"/>
                <w:sz w:val="20"/>
                <w:szCs w:val="20"/>
              </w:rPr>
              <w:t>11,877,190</w:t>
            </w:r>
          </w:p>
        </w:tc>
        <w:tc>
          <w:tcPr>
            <w:tcW w:w="50" w:type="pct"/>
            <w:shd w:val="clear" w:color="auto" w:fill="FFFFFF"/>
            <w:vAlign w:val="bottom"/>
            <w:hideMark/>
          </w:tcPr>
          <w:p w14:paraId="456226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6060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5E014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664597D" w14:textId="77777777" w:rsidR="00000000" w:rsidRDefault="0053651E">
            <w:pPr>
              <w:jc w:val="right"/>
              <w:rPr>
                <w:rFonts w:eastAsia="Times New Roman"/>
                <w:sz w:val="20"/>
                <w:szCs w:val="20"/>
              </w:rPr>
            </w:pPr>
            <w:r>
              <w:rPr>
                <w:rFonts w:eastAsia="Times New Roman"/>
                <w:sz w:val="20"/>
                <w:szCs w:val="20"/>
              </w:rPr>
              <w:t>12,653,446</w:t>
            </w:r>
          </w:p>
        </w:tc>
        <w:tc>
          <w:tcPr>
            <w:tcW w:w="50" w:type="pct"/>
            <w:shd w:val="clear" w:color="auto" w:fill="FFFFFF"/>
            <w:vAlign w:val="bottom"/>
            <w:hideMark/>
          </w:tcPr>
          <w:p w14:paraId="42C9CF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2D18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23780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5FC146AA" w14:textId="77777777" w:rsidR="00000000" w:rsidRDefault="0053651E">
            <w:pPr>
              <w:jc w:val="right"/>
              <w:rPr>
                <w:rFonts w:eastAsia="Times New Roman"/>
                <w:sz w:val="20"/>
                <w:szCs w:val="20"/>
              </w:rPr>
            </w:pPr>
            <w:r>
              <w:rPr>
                <w:rFonts w:eastAsia="Times New Roman"/>
                <w:sz w:val="20"/>
                <w:szCs w:val="20"/>
              </w:rPr>
              <w:t>12,008,075</w:t>
            </w:r>
          </w:p>
        </w:tc>
        <w:tc>
          <w:tcPr>
            <w:tcW w:w="50" w:type="pct"/>
            <w:shd w:val="clear" w:color="auto" w:fill="FFFFFF"/>
            <w:vAlign w:val="bottom"/>
            <w:hideMark/>
          </w:tcPr>
          <w:p w14:paraId="14C0CD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9BC7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43B18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1FDAC09" w14:textId="77777777" w:rsidR="00000000" w:rsidRDefault="0053651E">
            <w:pPr>
              <w:jc w:val="right"/>
              <w:rPr>
                <w:rFonts w:eastAsia="Times New Roman"/>
                <w:sz w:val="20"/>
                <w:szCs w:val="20"/>
              </w:rPr>
            </w:pPr>
            <w:r>
              <w:rPr>
                <w:rFonts w:eastAsia="Times New Roman"/>
                <w:sz w:val="20"/>
                <w:szCs w:val="20"/>
              </w:rPr>
              <w:t>11,568,809</w:t>
            </w:r>
          </w:p>
        </w:tc>
        <w:tc>
          <w:tcPr>
            <w:tcW w:w="50" w:type="pct"/>
            <w:shd w:val="clear" w:color="auto" w:fill="FFFFFF"/>
            <w:vAlign w:val="bottom"/>
            <w:hideMark/>
          </w:tcPr>
          <w:p w14:paraId="1BBD86A6" w14:textId="77777777" w:rsidR="00000000" w:rsidRDefault="0053651E">
            <w:pPr>
              <w:rPr>
                <w:rFonts w:eastAsia="Times New Roman"/>
                <w:sz w:val="20"/>
                <w:szCs w:val="20"/>
              </w:rPr>
            </w:pPr>
            <w:r>
              <w:rPr>
                <w:rFonts w:eastAsia="Times New Roman"/>
                <w:sz w:val="20"/>
                <w:szCs w:val="20"/>
              </w:rPr>
              <w:t> </w:t>
            </w:r>
          </w:p>
        </w:tc>
      </w:tr>
      <w:tr w:rsidR="00000000" w14:paraId="4F016410" w14:textId="77777777">
        <w:trPr>
          <w:tblCellSpacing w:w="0" w:type="dxa"/>
        </w:trPr>
        <w:tc>
          <w:tcPr>
            <w:tcW w:w="0" w:type="auto"/>
            <w:shd w:val="clear" w:color="auto" w:fill="CCEEFF"/>
            <w:vAlign w:val="bottom"/>
            <w:hideMark/>
          </w:tcPr>
          <w:p w14:paraId="3D6758E7" w14:textId="77777777" w:rsidR="00000000" w:rsidRDefault="0053651E">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14:paraId="40CA59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DE3D4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41E28073" w14:textId="77777777" w:rsidR="00000000" w:rsidRDefault="0053651E">
            <w:pPr>
              <w:jc w:val="right"/>
              <w:rPr>
                <w:rFonts w:eastAsia="Times New Roman"/>
                <w:sz w:val="20"/>
                <w:szCs w:val="20"/>
              </w:rPr>
            </w:pPr>
            <w:r>
              <w:rPr>
                <w:rFonts w:eastAsia="Times New Roman"/>
                <w:sz w:val="20"/>
                <w:szCs w:val="20"/>
              </w:rPr>
              <w:t>10,997,867</w:t>
            </w:r>
          </w:p>
        </w:tc>
        <w:tc>
          <w:tcPr>
            <w:tcW w:w="50" w:type="pct"/>
            <w:shd w:val="clear" w:color="auto" w:fill="CCEEFF"/>
            <w:vAlign w:val="bottom"/>
            <w:hideMark/>
          </w:tcPr>
          <w:p w14:paraId="29668E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786C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DCCA35"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4D4624A0" w14:textId="77777777" w:rsidR="00000000" w:rsidRDefault="0053651E">
            <w:pPr>
              <w:jc w:val="right"/>
              <w:rPr>
                <w:rFonts w:eastAsia="Times New Roman"/>
                <w:sz w:val="20"/>
                <w:szCs w:val="20"/>
              </w:rPr>
            </w:pPr>
            <w:r>
              <w:rPr>
                <w:rFonts w:eastAsia="Times New Roman"/>
                <w:sz w:val="20"/>
                <w:szCs w:val="20"/>
              </w:rPr>
              <w:t>10,999,100</w:t>
            </w:r>
          </w:p>
        </w:tc>
        <w:tc>
          <w:tcPr>
            <w:tcW w:w="50" w:type="pct"/>
            <w:shd w:val="clear" w:color="auto" w:fill="CCEEFF"/>
            <w:vAlign w:val="bottom"/>
            <w:hideMark/>
          </w:tcPr>
          <w:p w14:paraId="16F7F2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0BEF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DF7629"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4C4B698" w14:textId="77777777" w:rsidR="00000000" w:rsidRDefault="0053651E">
            <w:pPr>
              <w:jc w:val="right"/>
              <w:rPr>
                <w:rFonts w:eastAsia="Times New Roman"/>
                <w:sz w:val="20"/>
                <w:szCs w:val="20"/>
              </w:rPr>
            </w:pPr>
            <w:r>
              <w:rPr>
                <w:rFonts w:eastAsia="Times New Roman"/>
                <w:sz w:val="20"/>
                <w:szCs w:val="20"/>
              </w:rPr>
              <w:t>11,763,726</w:t>
            </w:r>
          </w:p>
        </w:tc>
        <w:tc>
          <w:tcPr>
            <w:tcW w:w="50" w:type="pct"/>
            <w:shd w:val="clear" w:color="auto" w:fill="CCEEFF"/>
            <w:vAlign w:val="bottom"/>
            <w:hideMark/>
          </w:tcPr>
          <w:p w14:paraId="399DCB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A035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36C5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5000EDF2" w14:textId="77777777" w:rsidR="00000000" w:rsidRDefault="0053651E">
            <w:pPr>
              <w:jc w:val="right"/>
              <w:rPr>
                <w:rFonts w:eastAsia="Times New Roman"/>
                <w:sz w:val="20"/>
                <w:szCs w:val="20"/>
              </w:rPr>
            </w:pPr>
            <w:r>
              <w:rPr>
                <w:rFonts w:eastAsia="Times New Roman"/>
                <w:sz w:val="20"/>
                <w:szCs w:val="20"/>
              </w:rPr>
              <w:t>11,230,600</w:t>
            </w:r>
          </w:p>
        </w:tc>
        <w:tc>
          <w:tcPr>
            <w:tcW w:w="50" w:type="pct"/>
            <w:shd w:val="clear" w:color="auto" w:fill="CCEEFF"/>
            <w:vAlign w:val="bottom"/>
            <w:hideMark/>
          </w:tcPr>
          <w:p w14:paraId="4EB545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3E62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4457A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2FE36DB9" w14:textId="77777777" w:rsidR="00000000" w:rsidRDefault="0053651E">
            <w:pPr>
              <w:jc w:val="right"/>
              <w:rPr>
                <w:rFonts w:eastAsia="Times New Roman"/>
                <w:sz w:val="20"/>
                <w:szCs w:val="20"/>
              </w:rPr>
            </w:pPr>
            <w:r>
              <w:rPr>
                <w:rFonts w:eastAsia="Times New Roman"/>
                <w:sz w:val="20"/>
                <w:szCs w:val="20"/>
              </w:rPr>
              <w:t>11,344,171</w:t>
            </w:r>
          </w:p>
        </w:tc>
        <w:tc>
          <w:tcPr>
            <w:tcW w:w="50" w:type="pct"/>
            <w:shd w:val="clear" w:color="auto" w:fill="CCEEFF"/>
            <w:vAlign w:val="bottom"/>
            <w:hideMark/>
          </w:tcPr>
          <w:p w14:paraId="42F513B2" w14:textId="77777777" w:rsidR="00000000" w:rsidRDefault="0053651E">
            <w:pPr>
              <w:rPr>
                <w:rFonts w:eastAsia="Times New Roman"/>
                <w:sz w:val="20"/>
                <w:szCs w:val="20"/>
              </w:rPr>
            </w:pPr>
            <w:r>
              <w:rPr>
                <w:rFonts w:eastAsia="Times New Roman"/>
                <w:sz w:val="20"/>
                <w:szCs w:val="20"/>
              </w:rPr>
              <w:t> </w:t>
            </w:r>
          </w:p>
        </w:tc>
      </w:tr>
      <w:tr w:rsidR="00000000" w14:paraId="7DBCF796" w14:textId="77777777">
        <w:trPr>
          <w:tblCellSpacing w:w="0" w:type="dxa"/>
        </w:trPr>
        <w:tc>
          <w:tcPr>
            <w:tcW w:w="0" w:type="auto"/>
            <w:shd w:val="clear" w:color="auto" w:fill="FFFFFF"/>
            <w:vAlign w:val="bottom"/>
            <w:hideMark/>
          </w:tcPr>
          <w:p w14:paraId="03688FD6" w14:textId="77777777" w:rsidR="00000000" w:rsidRDefault="0053651E">
            <w:pPr>
              <w:pStyle w:val="a3"/>
              <w:spacing w:before="0" w:beforeAutospacing="0" w:after="0" w:afterAutospacing="0"/>
              <w:rPr>
                <w:sz w:val="20"/>
                <w:szCs w:val="20"/>
              </w:rPr>
            </w:pPr>
            <w:r>
              <w:rPr>
                <w:sz w:val="20"/>
                <w:szCs w:val="20"/>
              </w:rPr>
              <w:t>Total debt</w:t>
            </w:r>
          </w:p>
        </w:tc>
        <w:tc>
          <w:tcPr>
            <w:tcW w:w="50" w:type="pct"/>
            <w:shd w:val="clear" w:color="auto" w:fill="FFFFFF"/>
            <w:vAlign w:val="bottom"/>
            <w:hideMark/>
          </w:tcPr>
          <w:p w14:paraId="5D62A5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84AD93"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79039B85" w14:textId="77777777" w:rsidR="00000000" w:rsidRDefault="0053651E">
            <w:pPr>
              <w:jc w:val="right"/>
              <w:rPr>
                <w:rFonts w:eastAsia="Times New Roman"/>
                <w:sz w:val="20"/>
                <w:szCs w:val="20"/>
              </w:rPr>
            </w:pPr>
            <w:r>
              <w:rPr>
                <w:rFonts w:eastAsia="Times New Roman"/>
                <w:sz w:val="20"/>
                <w:szCs w:val="20"/>
              </w:rPr>
              <w:t>5,315,767</w:t>
            </w:r>
          </w:p>
        </w:tc>
        <w:tc>
          <w:tcPr>
            <w:tcW w:w="50" w:type="pct"/>
            <w:shd w:val="clear" w:color="auto" w:fill="FFFFFF"/>
            <w:vAlign w:val="bottom"/>
            <w:hideMark/>
          </w:tcPr>
          <w:p w14:paraId="1A7223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BDF6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A1DBA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05756008" w14:textId="77777777" w:rsidR="00000000" w:rsidRDefault="0053651E">
            <w:pPr>
              <w:jc w:val="right"/>
              <w:rPr>
                <w:rFonts w:eastAsia="Times New Roman"/>
                <w:sz w:val="20"/>
                <w:szCs w:val="20"/>
              </w:rPr>
            </w:pPr>
            <w:r>
              <w:rPr>
                <w:rFonts w:eastAsia="Times New Roman"/>
                <w:sz w:val="20"/>
                <w:szCs w:val="20"/>
              </w:rPr>
              <w:t>4,873,872</w:t>
            </w:r>
          </w:p>
        </w:tc>
        <w:tc>
          <w:tcPr>
            <w:tcW w:w="50" w:type="pct"/>
            <w:shd w:val="clear" w:color="auto" w:fill="FFFFFF"/>
            <w:vAlign w:val="bottom"/>
            <w:hideMark/>
          </w:tcPr>
          <w:p w14:paraId="02F1C0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7CD8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9CA406"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6B4D434F" w14:textId="77777777" w:rsidR="00000000" w:rsidRDefault="0053651E">
            <w:pPr>
              <w:jc w:val="right"/>
              <w:rPr>
                <w:rFonts w:eastAsia="Times New Roman"/>
                <w:sz w:val="20"/>
                <w:szCs w:val="20"/>
              </w:rPr>
            </w:pPr>
            <w:r>
              <w:rPr>
                <w:rFonts w:eastAsia="Times New Roman"/>
                <w:sz w:val="20"/>
                <w:szCs w:val="20"/>
              </w:rPr>
              <w:t>5,478,927</w:t>
            </w:r>
          </w:p>
        </w:tc>
        <w:tc>
          <w:tcPr>
            <w:tcW w:w="50" w:type="pct"/>
            <w:shd w:val="clear" w:color="auto" w:fill="FFFFFF"/>
            <w:vAlign w:val="bottom"/>
            <w:hideMark/>
          </w:tcPr>
          <w:p w14:paraId="0E1C12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F7F8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FBCA59"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7A8EB862" w14:textId="77777777" w:rsidR="00000000" w:rsidRDefault="0053651E">
            <w:pPr>
              <w:jc w:val="right"/>
              <w:rPr>
                <w:rFonts w:eastAsia="Times New Roman"/>
                <w:sz w:val="20"/>
                <w:szCs w:val="20"/>
              </w:rPr>
            </w:pPr>
            <w:r>
              <w:rPr>
                <w:rFonts w:eastAsia="Times New Roman"/>
                <w:sz w:val="20"/>
                <w:szCs w:val="20"/>
              </w:rPr>
              <w:t>5,066,368</w:t>
            </w:r>
          </w:p>
        </w:tc>
        <w:tc>
          <w:tcPr>
            <w:tcW w:w="50" w:type="pct"/>
            <w:shd w:val="clear" w:color="auto" w:fill="FFFFFF"/>
            <w:vAlign w:val="bottom"/>
            <w:hideMark/>
          </w:tcPr>
          <w:p w14:paraId="504471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CDA1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BD87A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D0920E7" w14:textId="77777777" w:rsidR="00000000" w:rsidRDefault="0053651E">
            <w:pPr>
              <w:jc w:val="right"/>
              <w:rPr>
                <w:rFonts w:eastAsia="Times New Roman"/>
                <w:sz w:val="20"/>
                <w:szCs w:val="20"/>
              </w:rPr>
            </w:pPr>
            <w:r>
              <w:rPr>
                <w:rFonts w:eastAsia="Times New Roman"/>
                <w:sz w:val="20"/>
                <w:szCs w:val="20"/>
              </w:rPr>
              <w:t>5,376,310</w:t>
            </w:r>
          </w:p>
        </w:tc>
        <w:tc>
          <w:tcPr>
            <w:tcW w:w="50" w:type="pct"/>
            <w:shd w:val="clear" w:color="auto" w:fill="FFFFFF"/>
            <w:vAlign w:val="bottom"/>
            <w:hideMark/>
          </w:tcPr>
          <w:p w14:paraId="52400998" w14:textId="77777777" w:rsidR="00000000" w:rsidRDefault="0053651E">
            <w:pPr>
              <w:rPr>
                <w:rFonts w:eastAsia="Times New Roman"/>
                <w:sz w:val="20"/>
                <w:szCs w:val="20"/>
              </w:rPr>
            </w:pPr>
            <w:r>
              <w:rPr>
                <w:rFonts w:eastAsia="Times New Roman"/>
                <w:sz w:val="20"/>
                <w:szCs w:val="20"/>
              </w:rPr>
              <w:t> </w:t>
            </w:r>
          </w:p>
        </w:tc>
      </w:tr>
      <w:tr w:rsidR="00000000" w14:paraId="45C240D0" w14:textId="77777777">
        <w:trPr>
          <w:tblCellSpacing w:w="0" w:type="dxa"/>
        </w:trPr>
        <w:tc>
          <w:tcPr>
            <w:tcW w:w="0" w:type="auto"/>
            <w:shd w:val="clear" w:color="auto" w:fill="CCEEFF"/>
            <w:vAlign w:val="bottom"/>
            <w:hideMark/>
          </w:tcPr>
          <w:p w14:paraId="557340DC" w14:textId="77777777" w:rsidR="00000000" w:rsidRDefault="0053651E">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14:paraId="418C0C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B7C15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0881064B" w14:textId="77777777" w:rsidR="00000000" w:rsidRDefault="0053651E">
            <w:pPr>
              <w:jc w:val="right"/>
              <w:rPr>
                <w:rFonts w:eastAsia="Times New Roman"/>
                <w:sz w:val="20"/>
                <w:szCs w:val="20"/>
              </w:rPr>
            </w:pPr>
            <w:r>
              <w:rPr>
                <w:rFonts w:eastAsia="Times New Roman"/>
                <w:sz w:val="20"/>
                <w:szCs w:val="20"/>
              </w:rPr>
              <w:t>4,864,892</w:t>
            </w:r>
          </w:p>
        </w:tc>
        <w:tc>
          <w:tcPr>
            <w:tcW w:w="50" w:type="pct"/>
            <w:shd w:val="clear" w:color="auto" w:fill="CCEEFF"/>
            <w:vAlign w:val="bottom"/>
            <w:hideMark/>
          </w:tcPr>
          <w:p w14:paraId="58DB1C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F453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1BDA6"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515288C" w14:textId="77777777" w:rsidR="00000000" w:rsidRDefault="0053651E">
            <w:pPr>
              <w:jc w:val="right"/>
              <w:rPr>
                <w:rFonts w:eastAsia="Times New Roman"/>
                <w:sz w:val="20"/>
                <w:szCs w:val="20"/>
              </w:rPr>
            </w:pPr>
            <w:r>
              <w:rPr>
                <w:rFonts w:eastAsia="Times New Roman"/>
                <w:sz w:val="20"/>
                <w:szCs w:val="20"/>
              </w:rPr>
              <w:t>5,333,804</w:t>
            </w:r>
          </w:p>
        </w:tc>
        <w:tc>
          <w:tcPr>
            <w:tcW w:w="50" w:type="pct"/>
            <w:shd w:val="clear" w:color="auto" w:fill="CCEEFF"/>
            <w:vAlign w:val="bottom"/>
            <w:hideMark/>
          </w:tcPr>
          <w:p w14:paraId="47C179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554D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96FBEE"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364BAB5C" w14:textId="77777777" w:rsidR="00000000" w:rsidRDefault="0053651E">
            <w:pPr>
              <w:jc w:val="right"/>
              <w:rPr>
                <w:rFonts w:eastAsia="Times New Roman"/>
                <w:sz w:val="20"/>
                <w:szCs w:val="20"/>
              </w:rPr>
            </w:pPr>
            <w:r>
              <w:rPr>
                <w:rFonts w:eastAsia="Times New Roman"/>
                <w:sz w:val="20"/>
                <w:szCs w:val="20"/>
              </w:rPr>
              <w:t>5,394,244</w:t>
            </w:r>
          </w:p>
        </w:tc>
        <w:tc>
          <w:tcPr>
            <w:tcW w:w="50" w:type="pct"/>
            <w:shd w:val="clear" w:color="auto" w:fill="CCEEFF"/>
            <w:vAlign w:val="bottom"/>
            <w:hideMark/>
          </w:tcPr>
          <w:p w14:paraId="0FF9B0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EF54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99AE9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2CC7E98" w14:textId="77777777" w:rsidR="00000000" w:rsidRDefault="0053651E">
            <w:pPr>
              <w:jc w:val="right"/>
              <w:rPr>
                <w:rFonts w:eastAsia="Times New Roman"/>
                <w:sz w:val="20"/>
                <w:szCs w:val="20"/>
              </w:rPr>
            </w:pPr>
            <w:r>
              <w:rPr>
                <w:rFonts w:eastAsia="Times New Roman"/>
                <w:sz w:val="20"/>
                <w:szCs w:val="20"/>
              </w:rPr>
              <w:t>5,256,139</w:t>
            </w:r>
          </w:p>
        </w:tc>
        <w:tc>
          <w:tcPr>
            <w:tcW w:w="50" w:type="pct"/>
            <w:shd w:val="clear" w:color="auto" w:fill="CCEEFF"/>
            <w:vAlign w:val="bottom"/>
            <w:hideMark/>
          </w:tcPr>
          <w:p w14:paraId="2A218A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DC5E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1B6C06"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F0BDBCC" w14:textId="77777777" w:rsidR="00000000" w:rsidRDefault="0053651E">
            <w:pPr>
              <w:jc w:val="right"/>
              <w:rPr>
                <w:rFonts w:eastAsia="Times New Roman"/>
                <w:sz w:val="20"/>
                <w:szCs w:val="20"/>
              </w:rPr>
            </w:pPr>
            <w:r>
              <w:rPr>
                <w:rFonts w:eastAsia="Times New Roman"/>
                <w:sz w:val="20"/>
                <w:szCs w:val="20"/>
              </w:rPr>
              <w:t>5,046,300</w:t>
            </w:r>
          </w:p>
        </w:tc>
        <w:tc>
          <w:tcPr>
            <w:tcW w:w="50" w:type="pct"/>
            <w:shd w:val="clear" w:color="auto" w:fill="CCEEFF"/>
            <w:vAlign w:val="bottom"/>
            <w:hideMark/>
          </w:tcPr>
          <w:p w14:paraId="34FC1519" w14:textId="77777777" w:rsidR="00000000" w:rsidRDefault="0053651E">
            <w:pPr>
              <w:rPr>
                <w:rFonts w:eastAsia="Times New Roman"/>
                <w:sz w:val="20"/>
                <w:szCs w:val="20"/>
              </w:rPr>
            </w:pPr>
            <w:r>
              <w:rPr>
                <w:rFonts w:eastAsia="Times New Roman"/>
                <w:sz w:val="20"/>
                <w:szCs w:val="20"/>
              </w:rPr>
              <w:t> </w:t>
            </w:r>
          </w:p>
        </w:tc>
      </w:tr>
    </w:tbl>
    <w:p w14:paraId="483D5882"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63DCEFF4" w14:textId="77777777">
        <w:trPr>
          <w:tblCellSpacing w:w="0" w:type="dxa"/>
        </w:trPr>
        <w:tc>
          <w:tcPr>
            <w:tcW w:w="1080" w:type="dxa"/>
            <w:hideMark/>
          </w:tcPr>
          <w:p w14:paraId="7479511C" w14:textId="77777777" w:rsidR="00000000" w:rsidRDefault="0053651E">
            <w:pPr>
              <w:rPr>
                <w:rFonts w:eastAsia="Times New Roman"/>
              </w:rPr>
            </w:pPr>
            <w:r>
              <w:rPr>
                <w:rFonts w:eastAsia="Times New Roman"/>
              </w:rPr>
              <w:t> </w:t>
            </w:r>
          </w:p>
        </w:tc>
        <w:tc>
          <w:tcPr>
            <w:tcW w:w="360" w:type="dxa"/>
            <w:hideMark/>
          </w:tcPr>
          <w:p w14:paraId="6D298FDD" w14:textId="77777777" w:rsidR="00000000" w:rsidRDefault="0053651E">
            <w:pPr>
              <w:pStyle w:val="a3"/>
              <w:spacing w:before="0" w:beforeAutospacing="0" w:after="0" w:afterAutospacing="0"/>
              <w:rPr>
                <w:sz w:val="20"/>
                <w:szCs w:val="20"/>
              </w:rPr>
            </w:pPr>
            <w:r>
              <w:rPr>
                <w:sz w:val="20"/>
                <w:szCs w:val="20"/>
              </w:rPr>
              <w:t>(1)</w:t>
            </w:r>
          </w:p>
        </w:tc>
        <w:tc>
          <w:tcPr>
            <w:tcW w:w="0" w:type="auto"/>
            <w:hideMark/>
          </w:tcPr>
          <w:p w14:paraId="6E80F251" w14:textId="77777777" w:rsidR="00000000" w:rsidRDefault="0053651E">
            <w:pPr>
              <w:pStyle w:val="a3"/>
              <w:spacing w:before="0" w:beforeAutospacing="0" w:after="0" w:afterAutospacing="0"/>
              <w:rPr>
                <w:sz w:val="20"/>
                <w:szCs w:val="20"/>
              </w:rPr>
            </w:pPr>
            <w:r>
              <w:rPr>
                <w:sz w:val="20"/>
                <w:szCs w:val="20"/>
              </w:rPr>
              <w:t>Does not include amounts reflected in discontinued operations.</w:t>
            </w:r>
          </w:p>
        </w:tc>
      </w:tr>
    </w:tbl>
    <w:p w14:paraId="2DEE5E7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53E32779" w14:textId="77777777">
        <w:trPr>
          <w:tblCellSpacing w:w="0" w:type="dxa"/>
        </w:trPr>
        <w:tc>
          <w:tcPr>
            <w:tcW w:w="1080" w:type="dxa"/>
            <w:hideMark/>
          </w:tcPr>
          <w:p w14:paraId="2CAA3074" w14:textId="77777777" w:rsidR="00000000" w:rsidRDefault="0053651E">
            <w:pPr>
              <w:rPr>
                <w:rFonts w:eastAsia="Times New Roman"/>
              </w:rPr>
            </w:pPr>
            <w:r>
              <w:rPr>
                <w:rFonts w:eastAsia="Times New Roman"/>
              </w:rPr>
              <w:t> </w:t>
            </w:r>
          </w:p>
        </w:tc>
        <w:tc>
          <w:tcPr>
            <w:tcW w:w="360" w:type="dxa"/>
            <w:hideMark/>
          </w:tcPr>
          <w:p w14:paraId="1811A158" w14:textId="77777777" w:rsidR="00000000" w:rsidRDefault="0053651E">
            <w:pPr>
              <w:pStyle w:val="a3"/>
              <w:spacing w:before="0" w:beforeAutospacing="0" w:after="0" w:afterAutospacing="0"/>
              <w:rPr>
                <w:sz w:val="20"/>
                <w:szCs w:val="20"/>
              </w:rPr>
            </w:pPr>
            <w:r>
              <w:rPr>
                <w:sz w:val="20"/>
                <w:szCs w:val="20"/>
              </w:rPr>
              <w:t>(2)</w:t>
            </w:r>
          </w:p>
        </w:tc>
        <w:tc>
          <w:tcPr>
            <w:tcW w:w="0" w:type="auto"/>
            <w:hideMark/>
          </w:tcPr>
          <w:p w14:paraId="77676037" w14:textId="77777777" w:rsidR="00000000" w:rsidRDefault="0053651E">
            <w:pPr>
              <w:pStyle w:val="a3"/>
              <w:spacing w:before="0" w:beforeAutospacing="0" w:after="0" w:afterAutospacing="0"/>
              <w:rPr>
                <w:sz w:val="20"/>
                <w:szCs w:val="20"/>
              </w:rPr>
            </w:pPr>
            <w:r>
              <w:rPr>
                <w:sz w:val="20"/>
                <w:szCs w:val="20"/>
              </w:rPr>
              <w:t>Amounts exclude noncontrolling interests and amounts reflected in discontinued operations.</w:t>
            </w:r>
          </w:p>
        </w:tc>
      </w:tr>
    </w:tbl>
    <w:p w14:paraId="4C6E32C9" w14:textId="77777777" w:rsidR="00000000" w:rsidRDefault="0053651E">
      <w:pPr>
        <w:pStyle w:val="a3"/>
        <w:spacing w:before="0" w:beforeAutospacing="0" w:after="0" w:afterAutospacing="0"/>
        <w:rPr>
          <w:sz w:val="20"/>
          <w:szCs w:val="20"/>
        </w:rPr>
      </w:pPr>
      <w:r>
        <w:rPr>
          <w:sz w:val="20"/>
          <w:szCs w:val="20"/>
        </w:rPr>
        <w:t> </w:t>
      </w:r>
    </w:p>
    <w:p w14:paraId="3A9F1D17" w14:textId="77777777" w:rsidR="00000000" w:rsidRDefault="0053651E">
      <w:pPr>
        <w:jc w:val="center"/>
        <w:divId w:val="1048456202"/>
        <w:rPr>
          <w:rFonts w:eastAsia="Times New Roman"/>
          <w:sz w:val="20"/>
          <w:szCs w:val="20"/>
        </w:rPr>
      </w:pPr>
      <w:r>
        <w:rPr>
          <w:rFonts w:eastAsia="Times New Roman"/>
          <w:sz w:val="20"/>
          <w:szCs w:val="20"/>
        </w:rPr>
        <w:t xml:space="preserve">19 </w:t>
      </w:r>
    </w:p>
    <w:p w14:paraId="052BCD8E" w14:textId="77777777" w:rsidR="00000000" w:rsidRDefault="0053651E">
      <w:pPr>
        <w:divId w:val="1048456202"/>
        <w:rPr>
          <w:rFonts w:eastAsia="Times New Roman"/>
          <w:sz w:val="20"/>
          <w:szCs w:val="20"/>
        </w:rPr>
      </w:pPr>
      <w:r>
        <w:rPr>
          <w:rFonts w:eastAsia="Times New Roman"/>
          <w:sz w:val="20"/>
          <w:szCs w:val="20"/>
        </w:rPr>
        <w:pict w14:anchorId="2BD1537C">
          <v:rect id="_x0000_i1049" style="width:0;height:1.5pt" o:hralign="center" o:hrstd="t" o:hr="t" fillcolor="#a0a0a0" stroked="f"/>
        </w:pict>
      </w:r>
    </w:p>
    <w:p w14:paraId="7C797E06" w14:textId="77777777" w:rsidR="00000000" w:rsidRDefault="0053651E">
      <w:pPr>
        <w:divId w:val="10484562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BE4AA48" w14:textId="77777777" w:rsidR="00000000" w:rsidRDefault="0053651E">
      <w:pPr>
        <w:pStyle w:val="a3"/>
        <w:spacing w:before="0" w:beforeAutospacing="0" w:after="0" w:afterAutospacing="0"/>
        <w:rPr>
          <w:sz w:val="20"/>
          <w:szCs w:val="20"/>
        </w:rPr>
      </w:pPr>
      <w:r>
        <w:rPr>
          <w:sz w:val="20"/>
          <w:szCs w:val="20"/>
        </w:rPr>
        <w:t> </w:t>
      </w:r>
    </w:p>
    <w:p w14:paraId="6E6580F8" w14:textId="77777777" w:rsidR="00000000" w:rsidRDefault="0053651E">
      <w:pPr>
        <w:pStyle w:val="a3"/>
        <w:spacing w:before="0" w:beforeAutospacing="0" w:after="0" w:afterAutospacing="0"/>
        <w:rPr>
          <w:sz w:val="20"/>
          <w:szCs w:val="20"/>
        </w:rPr>
      </w:pPr>
      <w:r>
        <w:rPr>
          <w:sz w:val="20"/>
          <w:szCs w:val="20"/>
          <w:u w:val="single"/>
        </w:rPr>
        <w:t>Item 7. Management's Discussion and Analysis of Financial Condition and Results of Operations</w:t>
      </w:r>
    </w:p>
    <w:p w14:paraId="47118AC0" w14:textId="77777777" w:rsidR="00000000" w:rsidRDefault="0053651E">
      <w:pPr>
        <w:pStyle w:val="a3"/>
        <w:spacing w:before="0" w:beforeAutospacing="0" w:after="0" w:afterAutospacing="0"/>
        <w:jc w:val="both"/>
        <w:rPr>
          <w:sz w:val="20"/>
          <w:szCs w:val="20"/>
        </w:rPr>
      </w:pPr>
      <w:r>
        <w:rPr>
          <w:sz w:val="20"/>
          <w:szCs w:val="20"/>
        </w:rPr>
        <w:t> </w:t>
      </w:r>
    </w:p>
    <w:p w14:paraId="0704CDE2" w14:textId="77777777" w:rsidR="00000000" w:rsidRDefault="0053651E">
      <w:pPr>
        <w:pStyle w:val="a3"/>
        <w:spacing w:before="0" w:beforeAutospacing="0" w:after="0" w:afterAutospacing="0"/>
        <w:ind w:firstLine="360"/>
        <w:jc w:val="both"/>
        <w:rPr>
          <w:sz w:val="20"/>
          <w:szCs w:val="20"/>
        </w:rPr>
      </w:pPr>
      <w:r>
        <w:rPr>
          <w:sz w:val="20"/>
          <w:szCs w:val="20"/>
        </w:rPr>
        <w:t>The following discussion should be read in conjunction with the Consolidated Financial Statements and Notes thereto includ</w:t>
      </w:r>
      <w:r>
        <w:rPr>
          <w:sz w:val="20"/>
          <w:szCs w:val="20"/>
        </w:rPr>
        <w:t>ed in this Form 10-K. Historical results and percentage relationships set forth in the Consolidated Statements of Income contained in the Consolidated Financial Statements, including trends, should not be taken as indicative of future operations.</w:t>
      </w:r>
    </w:p>
    <w:p w14:paraId="5E5AFA51" w14:textId="77777777" w:rsidR="00000000" w:rsidRDefault="0053651E">
      <w:pPr>
        <w:pStyle w:val="a3"/>
        <w:spacing w:before="0" w:beforeAutospacing="0" w:after="0" w:afterAutospacing="0"/>
        <w:ind w:firstLine="360"/>
        <w:jc w:val="both"/>
        <w:rPr>
          <w:sz w:val="20"/>
          <w:szCs w:val="20"/>
        </w:rPr>
      </w:pPr>
      <w:r>
        <w:rPr>
          <w:sz w:val="20"/>
          <w:szCs w:val="20"/>
        </w:rPr>
        <w:t> </w:t>
      </w:r>
    </w:p>
    <w:p w14:paraId="6341DD80" w14:textId="77777777" w:rsidR="00000000" w:rsidRDefault="0053651E">
      <w:pPr>
        <w:pStyle w:val="a3"/>
        <w:spacing w:before="0" w:beforeAutospacing="0" w:after="0" w:afterAutospacing="0"/>
        <w:ind w:firstLine="360"/>
        <w:jc w:val="both"/>
        <w:rPr>
          <w:sz w:val="20"/>
          <w:szCs w:val="20"/>
        </w:rPr>
      </w:pPr>
      <w:r>
        <w:rPr>
          <w:sz w:val="20"/>
          <w:szCs w:val="20"/>
          <w:u w:val="single"/>
        </w:rPr>
        <w:t>Critical Accounting Policies</w:t>
      </w:r>
    </w:p>
    <w:p w14:paraId="70DB5CCD" w14:textId="77777777" w:rsidR="00000000" w:rsidRDefault="0053651E">
      <w:pPr>
        <w:pStyle w:val="a3"/>
        <w:spacing w:before="0" w:beforeAutospacing="0" w:after="0" w:afterAutospacing="0"/>
        <w:jc w:val="both"/>
        <w:rPr>
          <w:sz w:val="20"/>
          <w:szCs w:val="20"/>
        </w:rPr>
      </w:pPr>
      <w:r>
        <w:rPr>
          <w:sz w:val="20"/>
          <w:szCs w:val="20"/>
        </w:rPr>
        <w:t> </w:t>
      </w:r>
    </w:p>
    <w:p w14:paraId="2A84147E" w14:textId="77777777" w:rsidR="00000000" w:rsidRDefault="0053651E">
      <w:pPr>
        <w:pStyle w:val="a3"/>
        <w:spacing w:before="0" w:beforeAutospacing="0" w:after="0" w:afterAutospacing="0"/>
        <w:ind w:firstLine="360"/>
        <w:jc w:val="both"/>
        <w:rPr>
          <w:sz w:val="20"/>
          <w:szCs w:val="20"/>
        </w:rPr>
      </w:pPr>
      <w:r>
        <w:rPr>
          <w:sz w:val="20"/>
          <w:szCs w:val="20"/>
        </w:rPr>
        <w:t>The Consolidated Financial Statements of the Company include the accounts of the Company, its wholly-owned subsidiaries and all entities in which the Company has a controlling interest, including where the Company has been de</w:t>
      </w:r>
      <w:r>
        <w:rPr>
          <w:sz w:val="20"/>
          <w:szCs w:val="20"/>
        </w:rPr>
        <w:t>termined to be a primary beneficiary of a variable interest entity in accordance with the consolidation guidance of the FASB Accounting Standards Codification. The Company applies these provisions to each of its joint venture investments to determine wheth</w:t>
      </w:r>
      <w:r>
        <w:rPr>
          <w:sz w:val="20"/>
          <w:szCs w:val="20"/>
        </w:rPr>
        <w:t xml:space="preserve">er the cost, equity or consolidation method of accounting is appropriate.   The Company evaluates performance on a property specific or transactional basis and does not distinguish its principal business or group its operations on a geographical basis for </w:t>
      </w:r>
      <w:r>
        <w:rPr>
          <w:sz w:val="20"/>
          <w:szCs w:val="20"/>
        </w:rPr>
        <w:t>purposes of measuring performance.  Accordingly, the Company believes it has a single reportable segment for disclosure purposes in accordance with accounting principles generally accepted in the United States of America ("GAAP"). The preparation of financ</w:t>
      </w:r>
      <w:r>
        <w:rPr>
          <w:sz w:val="20"/>
          <w:szCs w:val="20"/>
        </w:rPr>
        <w:t>ial statements in conformity with GAAP requires management to make estimates and assumptions in certain circumstances that affect amounts reported in the accompanying Consolidated Financial Statements and related notes. In preparing these financial stateme</w:t>
      </w:r>
      <w:r>
        <w:rPr>
          <w:sz w:val="20"/>
          <w:szCs w:val="20"/>
        </w:rPr>
        <w:t>nts, management has made its best estimates and assumptions that affect the reported amounts of assets and liabilities. These estimates are based on, but not limited to, historical results, industry standards and current economic conditions, giving due con</w:t>
      </w:r>
      <w:r>
        <w:rPr>
          <w:sz w:val="20"/>
          <w:szCs w:val="20"/>
        </w:rPr>
        <w:t>sideration to materiality. The most significant assumptions and estimates relate to revenue recognition and the recoverability of trade accounts receivable, depreciable lives, valuation of real estate, including real estate under development, and intangibl</w:t>
      </w:r>
      <w:r>
        <w:rPr>
          <w:sz w:val="20"/>
          <w:szCs w:val="20"/>
        </w:rPr>
        <w:t>e assets and liabilities, valuation of joint venture investments and other investments, and realizability of deferred tax assets and uncertain tax positions. Application of these assumptions requires the exercise of judgment as to future uncertainties, and</w:t>
      </w:r>
      <w:r>
        <w:rPr>
          <w:sz w:val="20"/>
          <w:szCs w:val="20"/>
        </w:rPr>
        <w:t>, as a result, actual results could materially differ from these estimates.</w:t>
      </w:r>
    </w:p>
    <w:p w14:paraId="2812EE88" w14:textId="77777777" w:rsidR="00000000" w:rsidRDefault="0053651E">
      <w:pPr>
        <w:pStyle w:val="a3"/>
        <w:spacing w:before="0" w:beforeAutospacing="0" w:after="0" w:afterAutospacing="0"/>
        <w:ind w:firstLine="360"/>
        <w:rPr>
          <w:sz w:val="20"/>
          <w:szCs w:val="20"/>
        </w:rPr>
      </w:pPr>
      <w:r>
        <w:rPr>
          <w:sz w:val="20"/>
          <w:szCs w:val="20"/>
        </w:rPr>
        <w:t> </w:t>
      </w:r>
    </w:p>
    <w:p w14:paraId="79559931" w14:textId="77777777" w:rsidR="00000000" w:rsidRDefault="0053651E">
      <w:pPr>
        <w:pStyle w:val="a3"/>
        <w:spacing w:before="0" w:beforeAutospacing="0" w:after="0" w:afterAutospacing="0"/>
        <w:ind w:firstLine="360"/>
        <w:jc w:val="both"/>
        <w:rPr>
          <w:sz w:val="20"/>
          <w:szCs w:val="20"/>
        </w:rPr>
      </w:pPr>
      <w:r>
        <w:rPr>
          <w:sz w:val="20"/>
          <w:szCs w:val="20"/>
        </w:rPr>
        <w:t>The Company is required to make subjective assessments as to whether there are impairments in the value of its real estate properties, investments in joint ventures, marketable s</w:t>
      </w:r>
      <w:r>
        <w:rPr>
          <w:sz w:val="20"/>
          <w:szCs w:val="20"/>
        </w:rPr>
        <w:t>ecurities and other investments. The Company’s reported net earnings are directly affected by management’s estimate of impairments.</w:t>
      </w:r>
    </w:p>
    <w:p w14:paraId="63E2D912" w14:textId="77777777" w:rsidR="00000000" w:rsidRDefault="0053651E">
      <w:pPr>
        <w:pStyle w:val="a3"/>
        <w:spacing w:before="0" w:beforeAutospacing="0" w:after="0" w:afterAutospacing="0"/>
        <w:ind w:firstLine="360"/>
        <w:jc w:val="both"/>
        <w:rPr>
          <w:sz w:val="20"/>
          <w:szCs w:val="20"/>
        </w:rPr>
      </w:pPr>
      <w:r>
        <w:rPr>
          <w:sz w:val="20"/>
          <w:szCs w:val="20"/>
        </w:rPr>
        <w:t> </w:t>
      </w:r>
    </w:p>
    <w:p w14:paraId="10AE7384" w14:textId="77777777" w:rsidR="00000000" w:rsidRDefault="0053651E">
      <w:pPr>
        <w:pStyle w:val="a3"/>
        <w:spacing w:before="0" w:beforeAutospacing="0" w:after="0" w:afterAutospacing="0"/>
        <w:ind w:left="360"/>
        <w:jc w:val="both"/>
        <w:rPr>
          <w:sz w:val="20"/>
          <w:szCs w:val="20"/>
        </w:rPr>
      </w:pPr>
      <w:r>
        <w:rPr>
          <w:i/>
          <w:iCs/>
          <w:sz w:val="20"/>
          <w:szCs w:val="20"/>
        </w:rPr>
        <w:t>Revenue Recognition and Recoverability of Trade Accounts Receivable</w:t>
      </w:r>
    </w:p>
    <w:p w14:paraId="0F92389E" w14:textId="77777777" w:rsidR="00000000" w:rsidRDefault="0053651E">
      <w:pPr>
        <w:pStyle w:val="a3"/>
        <w:spacing w:before="0" w:beforeAutospacing="0" w:after="0" w:afterAutospacing="0"/>
        <w:ind w:firstLine="360"/>
        <w:jc w:val="both"/>
        <w:rPr>
          <w:sz w:val="20"/>
          <w:szCs w:val="20"/>
        </w:rPr>
      </w:pPr>
      <w:r>
        <w:rPr>
          <w:sz w:val="20"/>
          <w:szCs w:val="20"/>
        </w:rPr>
        <w:t> </w:t>
      </w:r>
    </w:p>
    <w:p w14:paraId="7792B892" w14:textId="77777777" w:rsidR="00000000" w:rsidRDefault="0053651E">
      <w:pPr>
        <w:pStyle w:val="a3"/>
        <w:spacing w:before="0" w:beforeAutospacing="0" w:after="0" w:afterAutospacing="0"/>
        <w:ind w:firstLine="360"/>
        <w:jc w:val="both"/>
        <w:rPr>
          <w:sz w:val="20"/>
          <w:szCs w:val="20"/>
        </w:rPr>
      </w:pPr>
      <w:r>
        <w:rPr>
          <w:sz w:val="20"/>
          <w:szCs w:val="20"/>
        </w:rPr>
        <w:t>Revenues from rental properties, net are comprised o</w:t>
      </w:r>
      <w:r>
        <w:rPr>
          <w:sz w:val="20"/>
          <w:szCs w:val="20"/>
        </w:rPr>
        <w:t>f minimum base rent, percentage rent, lease termination fee income, amortization of above-market and below-market rent adjustments and straight-line rent adjustments.  Upon the adoption of ASU 2016-02, Leases (Topic 842) ("ASU 2016-02"), the Company electe</w:t>
      </w:r>
      <w:r>
        <w:rPr>
          <w:sz w:val="20"/>
          <w:szCs w:val="20"/>
        </w:rPr>
        <w:t>d the lessor practical expedient to combine the lease and non-lease components, determined the lease component was the predominant component and as a result, accounted for the combined components under Topic 842.  Non-lease components include reimbursement</w:t>
      </w:r>
      <w:r>
        <w:rPr>
          <w:sz w:val="20"/>
          <w:szCs w:val="20"/>
        </w:rPr>
        <w:t>s paid to the Company from tenants for common area maintenance costs, and other operating expenses. The combined components are included in Revenues from rental properties, net on the Company’s Consolidated Statements of Income. </w:t>
      </w:r>
    </w:p>
    <w:p w14:paraId="52BFBB90" w14:textId="77777777" w:rsidR="00000000" w:rsidRDefault="0053651E">
      <w:pPr>
        <w:pStyle w:val="a3"/>
        <w:spacing w:before="0" w:beforeAutospacing="0" w:after="0" w:afterAutospacing="0"/>
        <w:ind w:left="144" w:right="144"/>
        <w:jc w:val="both"/>
        <w:rPr>
          <w:sz w:val="20"/>
          <w:szCs w:val="20"/>
        </w:rPr>
      </w:pPr>
      <w:r>
        <w:rPr>
          <w:sz w:val="20"/>
          <w:szCs w:val="20"/>
        </w:rPr>
        <w:t> </w:t>
      </w:r>
    </w:p>
    <w:p w14:paraId="208B6D57" w14:textId="77777777" w:rsidR="00000000" w:rsidRDefault="0053651E">
      <w:pPr>
        <w:pStyle w:val="a3"/>
        <w:spacing w:before="0" w:beforeAutospacing="0" w:after="0" w:afterAutospacing="0"/>
        <w:ind w:firstLine="360"/>
        <w:jc w:val="both"/>
        <w:rPr>
          <w:sz w:val="20"/>
          <w:szCs w:val="20"/>
        </w:rPr>
      </w:pPr>
      <w:r>
        <w:rPr>
          <w:sz w:val="20"/>
          <w:szCs w:val="20"/>
        </w:rPr>
        <w:t>Base rental revenues fro</w:t>
      </w:r>
      <w:r>
        <w:rPr>
          <w:sz w:val="20"/>
          <w:szCs w:val="20"/>
        </w:rPr>
        <w:t>m rental properties are recognized on a straight-line basis over the terms of the related leases. Certain of these leases also provide for percentage rents based upon the level of sales achieved by the lessee. These percentage rents are recognized once the</w:t>
      </w:r>
      <w:r>
        <w:rPr>
          <w:sz w:val="20"/>
          <w:szCs w:val="20"/>
        </w:rPr>
        <w:t xml:space="preserve"> required sales level is achieved. Rental income may also include payments received in connection with lease termination agreements. Lease termination fee income is recognized when the lessee provides consideration in order to terminate an existing lease a</w:t>
      </w:r>
      <w:r>
        <w:rPr>
          <w:sz w:val="20"/>
          <w:szCs w:val="20"/>
        </w:rPr>
        <w:t>greement and has vacated the leased space.  If the lessee continues to occupy the leased space for a period of time after the lease termination is agreed upon, the termination fee is accounted for as a lease modification based on the modified lease term.  </w:t>
      </w:r>
      <w:r>
        <w:rPr>
          <w:sz w:val="20"/>
          <w:szCs w:val="20"/>
        </w:rPr>
        <w:t xml:space="preserve"> Upon acquisition of real estate operating properties, the Company estimates the fair value of identified intangible assets and liabilities (including above-market and below-market leases, where applicable).  The capitalized above-market or below-market in</w:t>
      </w:r>
      <w:r>
        <w:rPr>
          <w:sz w:val="20"/>
          <w:szCs w:val="20"/>
        </w:rPr>
        <w:t>tangible asset or liability is amortized to rental income over the estimated remaining term of the respective leases, which includes the expected renewal option period for below-market leases.</w:t>
      </w:r>
    </w:p>
    <w:p w14:paraId="1FEE56E8" w14:textId="77777777" w:rsidR="00000000" w:rsidRDefault="0053651E">
      <w:pPr>
        <w:pStyle w:val="a3"/>
        <w:spacing w:before="0" w:beforeAutospacing="0" w:after="0" w:afterAutospacing="0"/>
        <w:ind w:left="144" w:right="144"/>
        <w:jc w:val="both"/>
        <w:rPr>
          <w:sz w:val="20"/>
          <w:szCs w:val="20"/>
        </w:rPr>
      </w:pPr>
      <w:r>
        <w:rPr>
          <w:sz w:val="20"/>
          <w:szCs w:val="20"/>
        </w:rPr>
        <w:t> </w:t>
      </w:r>
    </w:p>
    <w:p w14:paraId="1588D3E2" w14:textId="77777777" w:rsidR="00000000" w:rsidRDefault="0053651E">
      <w:pPr>
        <w:pStyle w:val="a3"/>
        <w:spacing w:before="0" w:beforeAutospacing="0" w:after="0" w:afterAutospacing="0"/>
        <w:ind w:firstLine="360"/>
        <w:jc w:val="both"/>
        <w:rPr>
          <w:sz w:val="20"/>
          <w:szCs w:val="20"/>
        </w:rPr>
      </w:pPr>
      <w:r>
        <w:rPr>
          <w:sz w:val="20"/>
          <w:szCs w:val="20"/>
        </w:rPr>
        <w:t>Also included in Revenues from rental properties, net are anc</w:t>
      </w:r>
      <w:r>
        <w:rPr>
          <w:sz w:val="20"/>
          <w:szCs w:val="20"/>
        </w:rPr>
        <w:t>illary income and tax increment financing ("TIF") income.  Ancillary income is derived through various agreements relating to parking lots, clothing bins, temporary storage, vending machines, ATMs, trash bins and trash collections, seasonal leases, etc.  T</w:t>
      </w:r>
      <w:r>
        <w:rPr>
          <w:sz w:val="20"/>
          <w:szCs w:val="20"/>
        </w:rPr>
        <w:t>he majority of the revenue derived from these sources is through lease agreements/arrangements and is recognized in accordance with the lease terms described in the lease.  The Company has TIF agreements with certain municipalities and receives payments in</w:t>
      </w:r>
      <w:r>
        <w:rPr>
          <w:sz w:val="20"/>
          <w:szCs w:val="20"/>
        </w:rPr>
        <w:t xml:space="preserve"> accordance with the agreements.  TIF reimbursement income is recognized on a cash-basis when received.</w:t>
      </w:r>
    </w:p>
    <w:p w14:paraId="3D353129" w14:textId="77777777" w:rsidR="00000000" w:rsidRDefault="0053651E">
      <w:pPr>
        <w:pStyle w:val="a3"/>
        <w:spacing w:before="0" w:beforeAutospacing="0" w:after="0" w:afterAutospacing="0"/>
        <w:ind w:firstLine="360"/>
        <w:jc w:val="both"/>
        <w:rPr>
          <w:sz w:val="20"/>
          <w:szCs w:val="20"/>
        </w:rPr>
      </w:pPr>
      <w:r>
        <w:rPr>
          <w:sz w:val="20"/>
          <w:szCs w:val="20"/>
        </w:rPr>
        <w:t> </w:t>
      </w:r>
    </w:p>
    <w:p w14:paraId="3CABC43E" w14:textId="77777777" w:rsidR="00000000" w:rsidRDefault="0053651E">
      <w:pPr>
        <w:pStyle w:val="a3"/>
        <w:spacing w:before="0" w:beforeAutospacing="0" w:after="0" w:afterAutospacing="0"/>
        <w:ind w:firstLine="360"/>
        <w:jc w:val="both"/>
        <w:rPr>
          <w:sz w:val="20"/>
          <w:szCs w:val="20"/>
        </w:rPr>
      </w:pPr>
      <w:r>
        <w:rPr>
          <w:sz w:val="20"/>
          <w:szCs w:val="20"/>
          <w:u w:val="single"/>
        </w:rPr>
        <w:t>Trade accounts receivable</w:t>
      </w:r>
    </w:p>
    <w:p w14:paraId="249449E7" w14:textId="77777777" w:rsidR="00000000" w:rsidRDefault="0053651E">
      <w:pPr>
        <w:pStyle w:val="a3"/>
        <w:spacing w:before="0" w:beforeAutospacing="0" w:after="0" w:afterAutospacing="0"/>
        <w:ind w:firstLine="360"/>
        <w:jc w:val="both"/>
        <w:rPr>
          <w:sz w:val="20"/>
          <w:szCs w:val="20"/>
        </w:rPr>
      </w:pPr>
      <w:r>
        <w:rPr>
          <w:sz w:val="20"/>
          <w:szCs w:val="20"/>
        </w:rPr>
        <w:t> </w:t>
      </w:r>
    </w:p>
    <w:p w14:paraId="67E3F26A" w14:textId="77777777" w:rsidR="00000000" w:rsidRDefault="0053651E">
      <w:pPr>
        <w:pStyle w:val="a3"/>
        <w:spacing w:before="0" w:beforeAutospacing="0" w:after="0" w:afterAutospacing="0"/>
        <w:ind w:firstLine="360"/>
        <w:jc w:val="both"/>
        <w:rPr>
          <w:sz w:val="20"/>
          <w:szCs w:val="20"/>
        </w:rPr>
      </w:pPr>
      <w:r>
        <w:rPr>
          <w:sz w:val="20"/>
          <w:szCs w:val="20"/>
        </w:rPr>
        <w:t>The Company reviews its trade accounts receivable, including its straight-line rent receivable, related to base rents, str</w:t>
      </w:r>
      <w:r>
        <w:rPr>
          <w:sz w:val="20"/>
          <w:szCs w:val="20"/>
        </w:rPr>
        <w:t>aight-line rent, expense reimbursements and other revenues for collectability. The Company analyzes its accounts receivable, customer credit worthiness and current economic trends when evaluating the adequacy of the collectability of the lessee’s total acc</w:t>
      </w:r>
      <w:r>
        <w:rPr>
          <w:sz w:val="20"/>
          <w:szCs w:val="20"/>
        </w:rPr>
        <w:t>ounts receivable balance on a lease by lease basis. In addition, tenants in bankruptcy are analyzed and considerations are made in connection with the expected recovery of pre-petition and post-petition bankruptcy claims. Effective January 1, 2019, in acco</w:t>
      </w:r>
      <w:r>
        <w:rPr>
          <w:sz w:val="20"/>
          <w:szCs w:val="20"/>
        </w:rPr>
        <w:t>rdance with the adoption of Topic 842 the Company includes provision for doubtful accounts in Revenues from rental properties, net. If a lessee’s accounts receivable balance is considered uncollectible, the Company will write-off the receivable balances as</w:t>
      </w:r>
      <w:r>
        <w:rPr>
          <w:sz w:val="20"/>
          <w:szCs w:val="20"/>
        </w:rPr>
        <w:t>sociated with the lease and will only recognize lease income on a cash basis. If the Company subsequently determines that it is probable it will collect the remaining lessee’s lease payments under the lease term, the Company will then reinstate the straigh</w:t>
      </w:r>
      <w:r>
        <w:rPr>
          <w:sz w:val="20"/>
          <w:szCs w:val="20"/>
        </w:rPr>
        <w:t>t-line balance and the lease income will then be limited to the lesser of (i) the straight-line rental income or (ii) the lease payments that have been collected from the lessee.</w:t>
      </w:r>
    </w:p>
    <w:p w14:paraId="2ED7C1FF" w14:textId="77777777" w:rsidR="00000000" w:rsidRDefault="0053651E">
      <w:pPr>
        <w:pStyle w:val="a3"/>
        <w:spacing w:before="0" w:beforeAutospacing="0" w:after="0" w:afterAutospacing="0"/>
        <w:ind w:firstLine="360"/>
        <w:jc w:val="both"/>
        <w:rPr>
          <w:sz w:val="20"/>
          <w:szCs w:val="20"/>
        </w:rPr>
      </w:pPr>
      <w:r>
        <w:rPr>
          <w:sz w:val="20"/>
          <w:szCs w:val="20"/>
        </w:rPr>
        <w:t> </w:t>
      </w:r>
    </w:p>
    <w:p w14:paraId="263A2649" w14:textId="77777777" w:rsidR="00000000" w:rsidRDefault="0053651E">
      <w:pPr>
        <w:jc w:val="center"/>
        <w:divId w:val="55476087"/>
        <w:rPr>
          <w:rFonts w:eastAsia="Times New Roman"/>
          <w:sz w:val="20"/>
          <w:szCs w:val="20"/>
        </w:rPr>
      </w:pPr>
      <w:r>
        <w:rPr>
          <w:rFonts w:eastAsia="Times New Roman"/>
          <w:sz w:val="20"/>
          <w:szCs w:val="20"/>
        </w:rPr>
        <w:t xml:space="preserve">20 </w:t>
      </w:r>
    </w:p>
    <w:p w14:paraId="1FDB7F69" w14:textId="77777777" w:rsidR="00000000" w:rsidRDefault="0053651E">
      <w:pPr>
        <w:divId w:val="55476087"/>
        <w:rPr>
          <w:rFonts w:eastAsia="Times New Roman"/>
          <w:sz w:val="20"/>
          <w:szCs w:val="20"/>
        </w:rPr>
      </w:pPr>
      <w:r>
        <w:rPr>
          <w:rFonts w:eastAsia="Times New Roman"/>
          <w:sz w:val="20"/>
          <w:szCs w:val="20"/>
        </w:rPr>
        <w:pict w14:anchorId="187C8D6C">
          <v:rect id="_x0000_i1050" style="width:0;height:1.5pt" o:hralign="center" o:hrstd="t" o:hr="t" fillcolor="#a0a0a0" stroked="f"/>
        </w:pict>
      </w:r>
    </w:p>
    <w:p w14:paraId="42B39E29" w14:textId="77777777" w:rsidR="00000000" w:rsidRDefault="0053651E">
      <w:pPr>
        <w:divId w:val="554760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FC75B84" w14:textId="77777777" w:rsidR="00000000" w:rsidRDefault="0053651E">
      <w:pPr>
        <w:pStyle w:val="a3"/>
        <w:spacing w:before="0" w:beforeAutospacing="0" w:after="0" w:afterAutospacing="0"/>
        <w:rPr>
          <w:sz w:val="20"/>
          <w:szCs w:val="20"/>
        </w:rPr>
      </w:pPr>
      <w:r>
        <w:rPr>
          <w:sz w:val="20"/>
          <w:szCs w:val="20"/>
        </w:rPr>
        <w:t> </w:t>
      </w:r>
    </w:p>
    <w:p w14:paraId="1E0EC1E1" w14:textId="77777777" w:rsidR="00000000" w:rsidRDefault="0053651E">
      <w:pPr>
        <w:pStyle w:val="a3"/>
        <w:spacing w:before="0" w:beforeAutospacing="0" w:after="0" w:afterAutospacing="0"/>
        <w:ind w:left="360"/>
        <w:rPr>
          <w:sz w:val="20"/>
          <w:szCs w:val="20"/>
        </w:rPr>
      </w:pPr>
      <w:r>
        <w:rPr>
          <w:i/>
          <w:iCs/>
          <w:sz w:val="20"/>
          <w:szCs w:val="20"/>
        </w:rPr>
        <w:t>Real Estate </w:t>
      </w:r>
    </w:p>
    <w:p w14:paraId="37309002" w14:textId="77777777" w:rsidR="00000000" w:rsidRDefault="0053651E">
      <w:pPr>
        <w:pStyle w:val="a3"/>
        <w:spacing w:before="0" w:beforeAutospacing="0" w:after="0" w:afterAutospacing="0"/>
        <w:ind w:firstLine="360"/>
        <w:jc w:val="both"/>
        <w:rPr>
          <w:sz w:val="20"/>
          <w:szCs w:val="20"/>
        </w:rPr>
      </w:pPr>
      <w:r>
        <w:rPr>
          <w:sz w:val="20"/>
          <w:szCs w:val="20"/>
        </w:rPr>
        <w:t> </w:t>
      </w:r>
    </w:p>
    <w:p w14:paraId="5D116A33" w14:textId="77777777" w:rsidR="00000000" w:rsidRDefault="0053651E">
      <w:pPr>
        <w:pStyle w:val="a3"/>
        <w:spacing w:before="0" w:beforeAutospacing="0" w:after="0" w:afterAutospacing="0"/>
        <w:ind w:firstLine="360"/>
        <w:jc w:val="both"/>
        <w:rPr>
          <w:sz w:val="20"/>
          <w:szCs w:val="20"/>
        </w:rPr>
      </w:pPr>
      <w:r>
        <w:rPr>
          <w:sz w:val="20"/>
          <w:szCs w:val="20"/>
          <w:u w:val="single"/>
        </w:rPr>
        <w:t>Depreciable Lives</w:t>
      </w:r>
    </w:p>
    <w:p w14:paraId="00241FB1" w14:textId="77777777" w:rsidR="00000000" w:rsidRDefault="0053651E">
      <w:pPr>
        <w:pStyle w:val="a3"/>
        <w:spacing w:before="0" w:beforeAutospacing="0" w:after="0" w:afterAutospacing="0"/>
        <w:ind w:firstLine="360"/>
        <w:jc w:val="both"/>
        <w:rPr>
          <w:sz w:val="20"/>
          <w:szCs w:val="20"/>
        </w:rPr>
      </w:pPr>
      <w:r>
        <w:rPr>
          <w:sz w:val="20"/>
          <w:szCs w:val="20"/>
        </w:rPr>
        <w:t> </w:t>
      </w:r>
    </w:p>
    <w:p w14:paraId="04E071C4" w14:textId="77777777" w:rsidR="00000000" w:rsidRDefault="0053651E">
      <w:pPr>
        <w:pStyle w:val="a3"/>
        <w:spacing w:before="0" w:beforeAutospacing="0" w:after="0" w:afterAutospacing="0"/>
        <w:ind w:firstLine="360"/>
        <w:jc w:val="both"/>
        <w:rPr>
          <w:sz w:val="20"/>
          <w:szCs w:val="20"/>
        </w:rPr>
      </w:pPr>
      <w:r>
        <w:rPr>
          <w:sz w:val="20"/>
          <w:szCs w:val="20"/>
        </w:rPr>
        <w:t>The Company’s investments in real estate properties are stated at cost, less accumulated depreciation and amortization. Expenditures for maintenance and repairs are charged t</w:t>
      </w:r>
      <w:r>
        <w:rPr>
          <w:sz w:val="20"/>
          <w:szCs w:val="20"/>
        </w:rPr>
        <w:t>o operations as incurred. Significant renovations and replacements, which improve and extend the life of the asset, are capitalized.</w:t>
      </w:r>
    </w:p>
    <w:p w14:paraId="317922FA" w14:textId="77777777" w:rsidR="00000000" w:rsidRDefault="0053651E">
      <w:pPr>
        <w:pStyle w:val="a3"/>
        <w:spacing w:before="0" w:beforeAutospacing="0" w:after="0" w:afterAutospacing="0"/>
        <w:ind w:firstLine="360"/>
        <w:jc w:val="both"/>
        <w:rPr>
          <w:sz w:val="20"/>
          <w:szCs w:val="20"/>
        </w:rPr>
      </w:pPr>
      <w:r>
        <w:rPr>
          <w:sz w:val="20"/>
          <w:szCs w:val="20"/>
        </w:rPr>
        <w:t> </w:t>
      </w:r>
    </w:p>
    <w:p w14:paraId="0F3FB091" w14:textId="77777777" w:rsidR="00000000" w:rsidRDefault="0053651E">
      <w:pPr>
        <w:pStyle w:val="a3"/>
        <w:spacing w:before="0" w:beforeAutospacing="0" w:after="0" w:afterAutospacing="0"/>
        <w:ind w:firstLine="360"/>
        <w:jc w:val="both"/>
        <w:rPr>
          <w:sz w:val="20"/>
          <w:szCs w:val="20"/>
        </w:rPr>
      </w:pPr>
      <w:r>
        <w:rPr>
          <w:sz w:val="20"/>
          <w:szCs w:val="20"/>
        </w:rPr>
        <w:t>The Company capitalizes acquisition costs related to real estate operating properties, which qualify as asset acquisition</w:t>
      </w:r>
      <w:r>
        <w:rPr>
          <w:sz w:val="20"/>
          <w:szCs w:val="20"/>
        </w:rPr>
        <w:t>s. Also, upon acquisition of real estate operating properties, the Company estimates the fair value of acquired tangible assets (consisting of land, building, building improvements and tenant improvements) and identified intangible assets and liabilities (</w:t>
      </w:r>
      <w:r>
        <w:rPr>
          <w:sz w:val="20"/>
          <w:szCs w:val="20"/>
        </w:rPr>
        <w:t>consisting of above and below-market leases, in-place leases, and tenant relationships, where applicable), assumed debt and redeemable units issued at the date of acquisition, based on evaluation of information and estimates available at that date. Fair va</w:t>
      </w:r>
      <w:r>
        <w:rPr>
          <w:sz w:val="20"/>
          <w:szCs w:val="20"/>
        </w:rPr>
        <w:t>lue is determined based on a market approach, which contemplates the price that would be received to sell an asset or paid to transfer a liability in an orderly transaction between market participants at the measurement date.</w:t>
      </w:r>
    </w:p>
    <w:p w14:paraId="196572DF" w14:textId="77777777" w:rsidR="00000000" w:rsidRDefault="0053651E">
      <w:pPr>
        <w:pStyle w:val="a3"/>
        <w:spacing w:before="0" w:beforeAutospacing="0" w:after="0" w:afterAutospacing="0"/>
        <w:ind w:firstLine="360"/>
        <w:jc w:val="both"/>
        <w:rPr>
          <w:sz w:val="20"/>
          <w:szCs w:val="20"/>
        </w:rPr>
      </w:pPr>
      <w:r>
        <w:rPr>
          <w:sz w:val="20"/>
          <w:szCs w:val="20"/>
        </w:rPr>
        <w:t> </w:t>
      </w:r>
    </w:p>
    <w:p w14:paraId="63F49C14" w14:textId="77777777" w:rsidR="00000000" w:rsidRDefault="0053651E">
      <w:pPr>
        <w:pStyle w:val="a3"/>
        <w:spacing w:before="0" w:beforeAutospacing="0" w:after="0" w:afterAutospacing="0"/>
        <w:ind w:firstLine="360"/>
        <w:jc w:val="both"/>
        <w:rPr>
          <w:sz w:val="20"/>
          <w:szCs w:val="20"/>
        </w:rPr>
      </w:pPr>
      <w:r>
        <w:rPr>
          <w:sz w:val="20"/>
          <w:szCs w:val="20"/>
        </w:rPr>
        <w:t>Depreciation and amortizatio</w:t>
      </w:r>
      <w:r>
        <w:rPr>
          <w:sz w:val="20"/>
          <w:szCs w:val="20"/>
        </w:rPr>
        <w:t>n are provided on the straight-line method over the estimated useful lives of the assets, as follows:</w:t>
      </w:r>
    </w:p>
    <w:p w14:paraId="3A14A344" w14:textId="77777777" w:rsidR="00000000" w:rsidRDefault="0053651E">
      <w:pPr>
        <w:pStyle w:val="a3"/>
        <w:spacing w:before="0" w:beforeAutospacing="0" w:after="0" w:afterAutospacing="0"/>
        <w:ind w:firstLine="360"/>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4419"/>
        <w:gridCol w:w="226"/>
        <w:gridCol w:w="2415"/>
      </w:tblGrid>
      <w:tr w:rsidR="00000000" w14:paraId="2FBF4CA9" w14:textId="77777777">
        <w:trPr>
          <w:tblCellSpacing w:w="0" w:type="dxa"/>
        </w:trPr>
        <w:tc>
          <w:tcPr>
            <w:tcW w:w="3130" w:type="pct"/>
            <w:shd w:val="clear" w:color="auto" w:fill="CCEEFF"/>
            <w:hideMark/>
          </w:tcPr>
          <w:p w14:paraId="44C82A64" w14:textId="77777777" w:rsidR="00000000" w:rsidRDefault="0053651E">
            <w:pPr>
              <w:pStyle w:val="a3"/>
              <w:spacing w:before="0" w:beforeAutospacing="0" w:after="0" w:afterAutospacing="0"/>
              <w:rPr>
                <w:sz w:val="20"/>
                <w:szCs w:val="20"/>
              </w:rPr>
            </w:pPr>
            <w:r>
              <w:rPr>
                <w:sz w:val="20"/>
                <w:szCs w:val="20"/>
              </w:rPr>
              <w:t>Buildings and building improvements (in years)</w:t>
            </w:r>
          </w:p>
        </w:tc>
        <w:tc>
          <w:tcPr>
            <w:tcW w:w="160" w:type="pct"/>
            <w:shd w:val="clear" w:color="auto" w:fill="CCEEFF"/>
            <w:hideMark/>
          </w:tcPr>
          <w:p w14:paraId="4E0F0B21" w14:textId="77777777" w:rsidR="00000000" w:rsidRDefault="0053651E">
            <w:pPr>
              <w:rPr>
                <w:rFonts w:eastAsia="Times New Roman"/>
                <w:sz w:val="20"/>
                <w:szCs w:val="20"/>
              </w:rPr>
            </w:pPr>
            <w:r>
              <w:rPr>
                <w:rFonts w:eastAsia="Times New Roman"/>
                <w:sz w:val="20"/>
                <w:szCs w:val="20"/>
              </w:rPr>
              <w:t> </w:t>
            </w:r>
          </w:p>
        </w:tc>
        <w:tc>
          <w:tcPr>
            <w:tcW w:w="1710" w:type="pct"/>
            <w:shd w:val="clear" w:color="auto" w:fill="CCEEFF"/>
            <w:hideMark/>
          </w:tcPr>
          <w:p w14:paraId="322AD1CC" w14:textId="77777777" w:rsidR="00000000" w:rsidRDefault="0053651E">
            <w:pPr>
              <w:pStyle w:val="a3"/>
              <w:spacing w:before="0" w:beforeAutospacing="0" w:after="0" w:afterAutospacing="0"/>
              <w:rPr>
                <w:sz w:val="20"/>
                <w:szCs w:val="20"/>
              </w:rPr>
            </w:pPr>
            <w:r>
              <w:rPr>
                <w:sz w:val="20"/>
                <w:szCs w:val="20"/>
              </w:rPr>
              <w:t>5 to 50</w:t>
            </w:r>
          </w:p>
        </w:tc>
      </w:tr>
      <w:tr w:rsidR="00000000" w14:paraId="392BB992" w14:textId="77777777">
        <w:trPr>
          <w:tblCellSpacing w:w="0" w:type="dxa"/>
        </w:trPr>
        <w:tc>
          <w:tcPr>
            <w:tcW w:w="3130" w:type="pct"/>
            <w:shd w:val="clear" w:color="auto" w:fill="FFFFFF"/>
            <w:vAlign w:val="bottom"/>
            <w:hideMark/>
          </w:tcPr>
          <w:p w14:paraId="58ECC928" w14:textId="77777777" w:rsidR="00000000" w:rsidRDefault="0053651E">
            <w:pPr>
              <w:pStyle w:val="a3"/>
              <w:spacing w:before="0" w:beforeAutospacing="0" w:after="0" w:afterAutospacing="0"/>
              <w:ind w:left="180" w:hanging="180"/>
              <w:rPr>
                <w:sz w:val="20"/>
                <w:szCs w:val="20"/>
              </w:rPr>
            </w:pPr>
            <w:r>
              <w:rPr>
                <w:sz w:val="20"/>
                <w:szCs w:val="20"/>
              </w:rPr>
              <w:t>Fixtures, leasehold and tenant improvements (including certain identified intangible assets)</w:t>
            </w:r>
          </w:p>
        </w:tc>
        <w:tc>
          <w:tcPr>
            <w:tcW w:w="160" w:type="pct"/>
            <w:shd w:val="clear" w:color="auto" w:fill="FFFFFF"/>
            <w:hideMark/>
          </w:tcPr>
          <w:p w14:paraId="0EEDF49A" w14:textId="77777777" w:rsidR="00000000" w:rsidRDefault="0053651E">
            <w:pPr>
              <w:rPr>
                <w:rFonts w:eastAsia="Times New Roman"/>
                <w:sz w:val="20"/>
                <w:szCs w:val="20"/>
              </w:rPr>
            </w:pPr>
            <w:r>
              <w:rPr>
                <w:rFonts w:eastAsia="Times New Roman"/>
                <w:sz w:val="20"/>
                <w:szCs w:val="20"/>
              </w:rPr>
              <w:t> </w:t>
            </w:r>
          </w:p>
        </w:tc>
        <w:tc>
          <w:tcPr>
            <w:tcW w:w="1710" w:type="pct"/>
            <w:shd w:val="clear" w:color="auto" w:fill="FFFFFF"/>
            <w:vAlign w:val="center"/>
            <w:hideMark/>
          </w:tcPr>
          <w:p w14:paraId="59CD6F17" w14:textId="77777777" w:rsidR="00000000" w:rsidRDefault="0053651E">
            <w:pPr>
              <w:pStyle w:val="a3"/>
              <w:spacing w:before="0" w:beforeAutospacing="0" w:after="0" w:afterAutospacing="0"/>
              <w:ind w:left="210" w:hanging="210"/>
              <w:rPr>
                <w:sz w:val="20"/>
                <w:szCs w:val="20"/>
              </w:rPr>
            </w:pPr>
            <w:r>
              <w:rPr>
                <w:sz w:val="20"/>
                <w:szCs w:val="20"/>
              </w:rPr>
              <w:t>Terms of leases or useful lives, whichever is shorter</w:t>
            </w:r>
          </w:p>
        </w:tc>
      </w:tr>
    </w:tbl>
    <w:p w14:paraId="5D7AE550" w14:textId="77777777" w:rsidR="00000000" w:rsidRDefault="0053651E">
      <w:pPr>
        <w:pStyle w:val="a3"/>
        <w:spacing w:before="0" w:beforeAutospacing="0" w:after="0" w:afterAutospacing="0"/>
        <w:ind w:firstLine="360"/>
        <w:rPr>
          <w:sz w:val="20"/>
          <w:szCs w:val="20"/>
        </w:rPr>
      </w:pPr>
      <w:r>
        <w:rPr>
          <w:sz w:val="20"/>
          <w:szCs w:val="20"/>
        </w:rPr>
        <w:t> </w:t>
      </w:r>
    </w:p>
    <w:p w14:paraId="4EBC0EA5" w14:textId="77777777" w:rsidR="00000000" w:rsidRDefault="0053651E">
      <w:pPr>
        <w:pStyle w:val="a3"/>
        <w:spacing w:before="0" w:beforeAutospacing="0" w:after="0" w:afterAutospacing="0"/>
        <w:ind w:firstLine="360"/>
        <w:jc w:val="both"/>
        <w:rPr>
          <w:sz w:val="20"/>
          <w:szCs w:val="20"/>
        </w:rPr>
      </w:pPr>
      <w:r>
        <w:rPr>
          <w:sz w:val="20"/>
          <w:szCs w:val="20"/>
        </w:rPr>
        <w:t xml:space="preserve">The Company is required to make subjective assessments as to the useful lives of its properties for purposes of determining the amount of depreciation to reflect on an annual basis with respect to </w:t>
      </w:r>
      <w:r>
        <w:rPr>
          <w:sz w:val="20"/>
          <w:szCs w:val="20"/>
        </w:rPr>
        <w:t>those properties. These assessments have a direct impact on the Company’s net earnings.</w:t>
      </w:r>
    </w:p>
    <w:p w14:paraId="1F8AAEF4" w14:textId="77777777" w:rsidR="00000000" w:rsidRDefault="0053651E">
      <w:pPr>
        <w:pStyle w:val="a3"/>
        <w:spacing w:before="0" w:beforeAutospacing="0" w:after="0" w:afterAutospacing="0"/>
        <w:ind w:firstLine="360"/>
        <w:jc w:val="both"/>
        <w:rPr>
          <w:sz w:val="20"/>
          <w:szCs w:val="20"/>
        </w:rPr>
      </w:pPr>
      <w:r>
        <w:rPr>
          <w:sz w:val="20"/>
          <w:szCs w:val="20"/>
        </w:rPr>
        <w:t> </w:t>
      </w:r>
    </w:p>
    <w:p w14:paraId="26668668" w14:textId="77777777" w:rsidR="00000000" w:rsidRDefault="0053651E">
      <w:pPr>
        <w:pStyle w:val="a3"/>
        <w:spacing w:before="0" w:beforeAutospacing="0" w:after="0" w:afterAutospacing="0"/>
        <w:ind w:firstLine="360"/>
        <w:jc w:val="both"/>
        <w:rPr>
          <w:sz w:val="20"/>
          <w:szCs w:val="20"/>
        </w:rPr>
      </w:pPr>
      <w:r>
        <w:rPr>
          <w:sz w:val="20"/>
          <w:szCs w:val="20"/>
          <w:u w:val="single"/>
        </w:rPr>
        <w:t>Valuation of real estate, including real estate under development, and intangible assets and liabilities</w:t>
      </w:r>
    </w:p>
    <w:p w14:paraId="463F0D5C" w14:textId="77777777" w:rsidR="00000000" w:rsidRDefault="0053651E">
      <w:pPr>
        <w:pStyle w:val="a3"/>
        <w:spacing w:before="0" w:beforeAutospacing="0" w:after="0" w:afterAutospacing="0"/>
        <w:ind w:firstLine="360"/>
        <w:jc w:val="both"/>
        <w:rPr>
          <w:sz w:val="20"/>
          <w:szCs w:val="20"/>
        </w:rPr>
      </w:pPr>
      <w:r>
        <w:rPr>
          <w:sz w:val="20"/>
          <w:szCs w:val="20"/>
        </w:rPr>
        <w:t> </w:t>
      </w:r>
    </w:p>
    <w:p w14:paraId="7BF06A7E" w14:textId="77777777" w:rsidR="00000000" w:rsidRDefault="0053651E">
      <w:pPr>
        <w:pStyle w:val="a3"/>
        <w:spacing w:before="0" w:beforeAutospacing="0" w:after="0" w:afterAutospacing="0"/>
        <w:ind w:firstLine="360"/>
        <w:jc w:val="both"/>
        <w:rPr>
          <w:sz w:val="20"/>
          <w:szCs w:val="20"/>
        </w:rPr>
      </w:pPr>
      <w:r>
        <w:rPr>
          <w:sz w:val="20"/>
          <w:szCs w:val="20"/>
        </w:rPr>
        <w:t>On a continuous basis, management assesses whether there ar</w:t>
      </w:r>
      <w:r>
        <w:rPr>
          <w:sz w:val="20"/>
          <w:szCs w:val="20"/>
        </w:rPr>
        <w:t>e any indicators, including property operating performance, changes in anticipated holding period, general market conditions and delays of development, that the value of the real estate properties (including any related amortizable intangible assets or lia</w:t>
      </w:r>
      <w:r>
        <w:rPr>
          <w:sz w:val="20"/>
          <w:szCs w:val="20"/>
        </w:rPr>
        <w:t>bilities) may be impaired. A property value is considered impaired only if management’s estimate of current and projected operating cash flows, net of anticipated construction and leasing costs (undiscounted and unleveraged), of the property over its antic</w:t>
      </w:r>
      <w:r>
        <w:rPr>
          <w:sz w:val="20"/>
          <w:szCs w:val="20"/>
        </w:rPr>
        <w:t xml:space="preserve">ipated hold period is less than the net carrying value of the property. Such cash flow projections consider factors such as expected future costs of materials and labor, operating income, trends and prospects, as well as the effects of demand, competition </w:t>
      </w:r>
      <w:r>
        <w:rPr>
          <w:sz w:val="20"/>
          <w:szCs w:val="20"/>
        </w:rPr>
        <w:t>and other factors. To the extent impairment has occurred, the carrying value of the property would be adjusted to reflect the estimated fair value of the property. The Company’s estimated fair values are primarily based upon estimated sales prices from sig</w:t>
      </w:r>
      <w:r>
        <w:rPr>
          <w:sz w:val="20"/>
          <w:szCs w:val="20"/>
        </w:rPr>
        <w:t>ned contracts or letters of intent from third parties, discounted cash flow models or third party appraisals. Estimated fair values that are based on discounted cash flow models include all estimated cash inflows and outflows over a specified holding perio</w:t>
      </w:r>
      <w:r>
        <w:rPr>
          <w:sz w:val="20"/>
          <w:szCs w:val="20"/>
        </w:rPr>
        <w:t>d. Capitalization rates and discount rates utilized in these models are based upon unobservable rates that the Company believes to be within a reasonable range of current market rates.</w:t>
      </w:r>
    </w:p>
    <w:p w14:paraId="51326F70" w14:textId="77777777" w:rsidR="00000000" w:rsidRDefault="0053651E">
      <w:pPr>
        <w:pStyle w:val="a3"/>
        <w:spacing w:before="0" w:beforeAutospacing="0" w:after="0" w:afterAutospacing="0"/>
        <w:ind w:firstLine="360"/>
        <w:jc w:val="both"/>
        <w:rPr>
          <w:sz w:val="20"/>
          <w:szCs w:val="20"/>
        </w:rPr>
      </w:pPr>
      <w:r>
        <w:rPr>
          <w:sz w:val="20"/>
          <w:szCs w:val="20"/>
        </w:rPr>
        <w:t> </w:t>
      </w:r>
    </w:p>
    <w:p w14:paraId="16EA0BB5" w14:textId="77777777" w:rsidR="00000000" w:rsidRDefault="0053651E">
      <w:pPr>
        <w:pStyle w:val="a3"/>
        <w:spacing w:before="0" w:beforeAutospacing="0" w:after="0" w:afterAutospacing="0"/>
        <w:ind w:firstLine="360"/>
        <w:jc w:val="both"/>
        <w:rPr>
          <w:sz w:val="20"/>
          <w:szCs w:val="20"/>
        </w:rPr>
      </w:pPr>
      <w:r>
        <w:rPr>
          <w:sz w:val="20"/>
          <w:szCs w:val="20"/>
        </w:rPr>
        <w:t>When a real estate asset is identified by management as held-for-sale</w:t>
      </w:r>
      <w:r>
        <w:rPr>
          <w:sz w:val="20"/>
          <w:szCs w:val="20"/>
        </w:rPr>
        <w:t>, the Company ceases depreciation of the asset and estimates the sales price of such asset net of selling costs. If, in management’s opinion, the net sales price of the asset is less than the net book value of such asset, an adjustment to the carrying valu</w:t>
      </w:r>
      <w:r>
        <w:rPr>
          <w:sz w:val="20"/>
          <w:szCs w:val="20"/>
        </w:rPr>
        <w:t>e would be recorded to reflect the estimated fair value of the property.</w:t>
      </w:r>
    </w:p>
    <w:p w14:paraId="2BCFE770" w14:textId="77777777" w:rsidR="00000000" w:rsidRDefault="0053651E">
      <w:pPr>
        <w:pStyle w:val="a3"/>
        <w:spacing w:before="0" w:beforeAutospacing="0" w:after="0" w:afterAutospacing="0"/>
        <w:ind w:firstLine="360"/>
        <w:rPr>
          <w:sz w:val="20"/>
          <w:szCs w:val="20"/>
        </w:rPr>
      </w:pPr>
      <w:r>
        <w:rPr>
          <w:i/>
          <w:iCs/>
          <w:sz w:val="20"/>
          <w:szCs w:val="20"/>
        </w:rPr>
        <w:t> </w:t>
      </w:r>
    </w:p>
    <w:p w14:paraId="61EE6E81" w14:textId="77777777" w:rsidR="00000000" w:rsidRDefault="0053651E">
      <w:pPr>
        <w:pStyle w:val="a3"/>
        <w:spacing w:before="0" w:beforeAutospacing="0" w:after="0" w:afterAutospacing="0"/>
        <w:ind w:left="360"/>
        <w:rPr>
          <w:sz w:val="20"/>
          <w:szCs w:val="20"/>
        </w:rPr>
      </w:pPr>
      <w:r>
        <w:rPr>
          <w:sz w:val="20"/>
          <w:szCs w:val="20"/>
          <w:u w:val="single"/>
        </w:rPr>
        <w:t>Valuation of Joint Venture Investments and Other Investments</w:t>
      </w:r>
    </w:p>
    <w:p w14:paraId="13123B42" w14:textId="77777777" w:rsidR="00000000" w:rsidRDefault="0053651E">
      <w:pPr>
        <w:pStyle w:val="a3"/>
        <w:spacing w:before="0" w:beforeAutospacing="0" w:after="0" w:afterAutospacing="0"/>
        <w:ind w:firstLine="360"/>
        <w:rPr>
          <w:sz w:val="20"/>
          <w:szCs w:val="20"/>
        </w:rPr>
      </w:pPr>
      <w:r>
        <w:rPr>
          <w:sz w:val="20"/>
          <w:szCs w:val="20"/>
        </w:rPr>
        <w:t> </w:t>
      </w:r>
    </w:p>
    <w:p w14:paraId="3D781823" w14:textId="77777777" w:rsidR="00000000" w:rsidRDefault="0053651E">
      <w:pPr>
        <w:pStyle w:val="a3"/>
        <w:spacing w:before="0" w:beforeAutospacing="0" w:after="0" w:afterAutospacing="0"/>
        <w:ind w:firstLine="360"/>
        <w:jc w:val="both"/>
        <w:rPr>
          <w:sz w:val="20"/>
          <w:szCs w:val="20"/>
        </w:rPr>
      </w:pPr>
      <w:r>
        <w:rPr>
          <w:sz w:val="20"/>
          <w:szCs w:val="20"/>
        </w:rPr>
        <w:t>The Company accounts for its investments in unconsolidated joint ventures under the equity method of accounting as the</w:t>
      </w:r>
      <w:r>
        <w:rPr>
          <w:sz w:val="20"/>
          <w:szCs w:val="20"/>
        </w:rPr>
        <w:t xml:space="preserve"> Company exercises significant influence, but does not control, these entities. These investments are recorded initially at cost and are subsequently adjusted for cash contributions and distributions. Earnings for each investment are recognized in accordan</w:t>
      </w:r>
      <w:r>
        <w:rPr>
          <w:sz w:val="20"/>
          <w:szCs w:val="20"/>
        </w:rPr>
        <w:t>ce with each respective investment agreement and, where applicable, are based upon an allocation of the investment’s net assets at book value as if the investment was hypothetically liquidated at the end of each reporting period.</w:t>
      </w:r>
    </w:p>
    <w:p w14:paraId="4342C34B" w14:textId="77777777" w:rsidR="00000000" w:rsidRDefault="0053651E">
      <w:pPr>
        <w:pStyle w:val="a3"/>
        <w:spacing w:before="0" w:beforeAutospacing="0" w:after="0" w:afterAutospacing="0"/>
        <w:ind w:firstLine="360"/>
        <w:jc w:val="both"/>
        <w:rPr>
          <w:sz w:val="20"/>
          <w:szCs w:val="20"/>
        </w:rPr>
      </w:pPr>
      <w:r>
        <w:rPr>
          <w:sz w:val="20"/>
          <w:szCs w:val="20"/>
        </w:rPr>
        <w:t> </w:t>
      </w:r>
    </w:p>
    <w:p w14:paraId="734AE025" w14:textId="77777777" w:rsidR="00000000" w:rsidRDefault="0053651E">
      <w:pPr>
        <w:pStyle w:val="a3"/>
        <w:spacing w:before="0" w:beforeAutospacing="0" w:after="0" w:afterAutospacing="0"/>
        <w:ind w:firstLine="360"/>
        <w:jc w:val="both"/>
        <w:rPr>
          <w:sz w:val="20"/>
          <w:szCs w:val="20"/>
        </w:rPr>
      </w:pPr>
      <w:r>
        <w:rPr>
          <w:sz w:val="20"/>
          <w:szCs w:val="20"/>
        </w:rPr>
        <w:t>The Company’s joint vent</w:t>
      </w:r>
      <w:r>
        <w:rPr>
          <w:sz w:val="20"/>
          <w:szCs w:val="20"/>
        </w:rPr>
        <w:t>ures and other real estate investments primarily consist of co-investments with institutional and other joint venture partners in open-air shopping center properties, consistent with its core business. These joint ventures typically obtain non-recourse thi</w:t>
      </w:r>
      <w:r>
        <w:rPr>
          <w:sz w:val="20"/>
          <w:szCs w:val="20"/>
        </w:rPr>
        <w:t>rd-party financing on their property investments, thus contractually limiting the Company’s exposure to losses to the amount of its equity investment, and, due to the lender’s exposure to losses, a lender typically will require a minimum level of equity in</w:t>
      </w:r>
      <w:r>
        <w:rPr>
          <w:sz w:val="20"/>
          <w:szCs w:val="20"/>
        </w:rPr>
        <w:t xml:space="preserve"> order to mitigate its risk. From time to time the joint ventures will obtain unsecured debt, which may be guaranteed by the joint venture. The Company’s exposure to losses associated with its unconsolidated joint ventures is primarily limited to its carry</w:t>
      </w:r>
      <w:r>
        <w:rPr>
          <w:sz w:val="20"/>
          <w:szCs w:val="20"/>
        </w:rPr>
        <w:t>ing value in these investments.</w:t>
      </w:r>
    </w:p>
    <w:p w14:paraId="1A85EBB9" w14:textId="77777777" w:rsidR="00000000" w:rsidRDefault="0053651E">
      <w:pPr>
        <w:pStyle w:val="a3"/>
        <w:spacing w:before="0" w:beforeAutospacing="0" w:after="0" w:afterAutospacing="0"/>
        <w:ind w:firstLine="360"/>
        <w:rPr>
          <w:sz w:val="20"/>
          <w:szCs w:val="20"/>
        </w:rPr>
      </w:pPr>
      <w:r>
        <w:rPr>
          <w:sz w:val="20"/>
          <w:szCs w:val="20"/>
        </w:rPr>
        <w:t> </w:t>
      </w:r>
    </w:p>
    <w:p w14:paraId="1EB0CA7C" w14:textId="77777777" w:rsidR="00000000" w:rsidRDefault="0053651E">
      <w:pPr>
        <w:jc w:val="center"/>
        <w:divId w:val="1608848685"/>
        <w:rPr>
          <w:rFonts w:eastAsia="Times New Roman"/>
          <w:sz w:val="20"/>
          <w:szCs w:val="20"/>
        </w:rPr>
      </w:pPr>
      <w:r>
        <w:rPr>
          <w:rFonts w:eastAsia="Times New Roman"/>
          <w:sz w:val="20"/>
          <w:szCs w:val="20"/>
        </w:rPr>
        <w:t xml:space="preserve">21 </w:t>
      </w:r>
    </w:p>
    <w:p w14:paraId="7F54CC50" w14:textId="77777777" w:rsidR="00000000" w:rsidRDefault="0053651E">
      <w:pPr>
        <w:divId w:val="1608848685"/>
        <w:rPr>
          <w:rFonts w:eastAsia="Times New Roman"/>
          <w:sz w:val="20"/>
          <w:szCs w:val="20"/>
        </w:rPr>
      </w:pPr>
      <w:r>
        <w:rPr>
          <w:rFonts w:eastAsia="Times New Roman"/>
          <w:sz w:val="20"/>
          <w:szCs w:val="20"/>
        </w:rPr>
        <w:pict w14:anchorId="7D4A25BF">
          <v:rect id="_x0000_i1051" style="width:0;height:1.5pt" o:hralign="center" o:hrstd="t" o:hr="t" fillcolor="#a0a0a0" stroked="f"/>
        </w:pict>
      </w:r>
    </w:p>
    <w:p w14:paraId="732F0E06" w14:textId="77777777" w:rsidR="00000000" w:rsidRDefault="0053651E">
      <w:pPr>
        <w:divId w:val="16088486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F39EAD9" w14:textId="77777777" w:rsidR="00000000" w:rsidRDefault="0053651E">
      <w:pPr>
        <w:pStyle w:val="a3"/>
        <w:spacing w:before="0" w:beforeAutospacing="0" w:after="0" w:afterAutospacing="0"/>
        <w:rPr>
          <w:sz w:val="20"/>
          <w:szCs w:val="20"/>
        </w:rPr>
      </w:pPr>
      <w:r>
        <w:rPr>
          <w:sz w:val="20"/>
          <w:szCs w:val="20"/>
        </w:rPr>
        <w:t> </w:t>
      </w:r>
    </w:p>
    <w:p w14:paraId="1BF36B9D" w14:textId="77777777" w:rsidR="00000000" w:rsidRDefault="0053651E">
      <w:pPr>
        <w:pStyle w:val="a3"/>
        <w:spacing w:before="0" w:beforeAutospacing="0" w:after="0" w:afterAutospacing="0"/>
        <w:ind w:firstLine="360"/>
        <w:jc w:val="both"/>
        <w:rPr>
          <w:sz w:val="20"/>
          <w:szCs w:val="20"/>
        </w:rPr>
      </w:pPr>
      <w:r>
        <w:rPr>
          <w:sz w:val="20"/>
          <w:szCs w:val="20"/>
        </w:rPr>
        <w:t>On a continuous basis, management assesses whether there are any indicators, including property operating performance and general market conditions, that the value of the Co</w:t>
      </w:r>
      <w:r>
        <w:rPr>
          <w:sz w:val="20"/>
          <w:szCs w:val="20"/>
        </w:rPr>
        <w:t xml:space="preserve">mpany’s investments in unconsolidated joint ventures may be impaired. An investment’s value is impaired only if management’s estimate of the fair value of the investment is less than the carrying value of the investment and such difference is deemed to be </w:t>
      </w:r>
      <w:r>
        <w:rPr>
          <w:sz w:val="20"/>
          <w:szCs w:val="20"/>
        </w:rPr>
        <w:t>other-than-temporary. To the extent impairment has occurred, the loss will be measured as the excess of the carrying amount of the investment over the estimated fair value of the investment. Estimated fair values which are based on discounted cash flow mod</w:t>
      </w:r>
      <w:r>
        <w:rPr>
          <w:sz w:val="20"/>
          <w:szCs w:val="20"/>
        </w:rPr>
        <w:t>els include all estimated cash inflows and outflows over a specified holding period, capitalization rates and discount rates utilized in these models are based upon unobservable rates that the Company believes to be within a reasonable range of current mar</w:t>
      </w:r>
      <w:r>
        <w:rPr>
          <w:sz w:val="20"/>
          <w:szCs w:val="20"/>
        </w:rPr>
        <w:t>ket rates. </w:t>
      </w:r>
    </w:p>
    <w:p w14:paraId="64742559" w14:textId="77777777" w:rsidR="00000000" w:rsidRDefault="0053651E">
      <w:pPr>
        <w:pStyle w:val="a3"/>
        <w:spacing w:before="0" w:beforeAutospacing="0" w:after="0" w:afterAutospacing="0"/>
        <w:ind w:firstLine="360"/>
        <w:jc w:val="both"/>
        <w:rPr>
          <w:sz w:val="20"/>
          <w:szCs w:val="20"/>
        </w:rPr>
      </w:pPr>
      <w:r>
        <w:rPr>
          <w:sz w:val="20"/>
          <w:szCs w:val="20"/>
        </w:rPr>
        <w:t> </w:t>
      </w:r>
    </w:p>
    <w:p w14:paraId="56C9B3D4" w14:textId="77777777" w:rsidR="00000000" w:rsidRDefault="0053651E">
      <w:pPr>
        <w:pStyle w:val="a3"/>
        <w:spacing w:before="0" w:beforeAutospacing="0" w:after="0" w:afterAutospacing="0"/>
        <w:ind w:firstLine="360"/>
        <w:jc w:val="both"/>
        <w:rPr>
          <w:sz w:val="20"/>
          <w:szCs w:val="20"/>
        </w:rPr>
      </w:pPr>
      <w:r>
        <w:rPr>
          <w:sz w:val="20"/>
          <w:szCs w:val="20"/>
        </w:rPr>
        <w:t>The Company’s estimated fair values are based upon a discounted cash flow model for each joint venture that includes all estimated cash inflows and outflows over a specified holding period and, where applicable, any estimated debt premiums. C</w:t>
      </w:r>
      <w:r>
        <w:rPr>
          <w:sz w:val="20"/>
          <w:szCs w:val="20"/>
        </w:rPr>
        <w:t>apitalization rates, discount rates and credit spreads utilized in these models are based upon rates that the Company believes to be within a reasonable range of current market rates.</w:t>
      </w:r>
    </w:p>
    <w:p w14:paraId="1304A675" w14:textId="77777777" w:rsidR="00000000" w:rsidRDefault="0053651E">
      <w:pPr>
        <w:pStyle w:val="a3"/>
        <w:spacing w:before="0" w:beforeAutospacing="0" w:after="0" w:afterAutospacing="0"/>
        <w:ind w:firstLine="360"/>
        <w:jc w:val="both"/>
        <w:rPr>
          <w:sz w:val="20"/>
          <w:szCs w:val="20"/>
        </w:rPr>
      </w:pPr>
      <w:r>
        <w:rPr>
          <w:sz w:val="20"/>
          <w:szCs w:val="20"/>
        </w:rPr>
        <w:t> </w:t>
      </w:r>
    </w:p>
    <w:p w14:paraId="34729332" w14:textId="77777777" w:rsidR="00000000" w:rsidRDefault="0053651E">
      <w:pPr>
        <w:pStyle w:val="a3"/>
        <w:spacing w:before="0" w:beforeAutospacing="0" w:after="0" w:afterAutospacing="0"/>
        <w:ind w:left="360"/>
        <w:jc w:val="both"/>
        <w:rPr>
          <w:sz w:val="20"/>
          <w:szCs w:val="20"/>
        </w:rPr>
      </w:pPr>
      <w:r>
        <w:rPr>
          <w:i/>
          <w:iCs/>
          <w:sz w:val="20"/>
          <w:szCs w:val="20"/>
        </w:rPr>
        <w:t>Realizability of Deferred Tax Assets and Uncertain Tax Positions</w:t>
      </w:r>
    </w:p>
    <w:p w14:paraId="2A85C3F3" w14:textId="77777777" w:rsidR="00000000" w:rsidRDefault="0053651E">
      <w:pPr>
        <w:pStyle w:val="a3"/>
        <w:spacing w:before="0" w:beforeAutospacing="0" w:after="0" w:afterAutospacing="0"/>
        <w:ind w:firstLine="360"/>
        <w:rPr>
          <w:sz w:val="20"/>
          <w:szCs w:val="20"/>
        </w:rPr>
      </w:pPr>
      <w:r>
        <w:rPr>
          <w:sz w:val="20"/>
          <w:szCs w:val="20"/>
        </w:rPr>
        <w:t> </w:t>
      </w:r>
    </w:p>
    <w:p w14:paraId="68BB127F" w14:textId="77777777" w:rsidR="00000000" w:rsidRDefault="0053651E">
      <w:pPr>
        <w:pStyle w:val="a3"/>
        <w:spacing w:before="0" w:beforeAutospacing="0" w:after="0" w:afterAutospacing="0"/>
        <w:ind w:firstLine="360"/>
        <w:jc w:val="both"/>
        <w:rPr>
          <w:sz w:val="20"/>
          <w:szCs w:val="20"/>
        </w:rPr>
      </w:pPr>
      <w:r>
        <w:rPr>
          <w:sz w:val="20"/>
          <w:szCs w:val="20"/>
        </w:rPr>
        <w:t>The</w:t>
      </w:r>
      <w:r>
        <w:rPr>
          <w:sz w:val="20"/>
          <w:szCs w:val="20"/>
        </w:rPr>
        <w:t xml:space="preserve"> Company is subject to federal, state and local income taxes on the income from its activities relating to its TRSs and subject to local taxes on certain non-U.S. investments. The Company accounts for income taxes using the asset and liability method, whic</w:t>
      </w:r>
      <w:r>
        <w:rPr>
          <w:sz w:val="20"/>
          <w:szCs w:val="20"/>
        </w:rPr>
        <w:t>h requires that deferred tax assets and liabilities be recognized based on future tax consequences of temporary differences between the financial statement carrying amounts of existing assets and liabilities and their respective tax basis. Deferred tax ass</w:t>
      </w:r>
      <w:r>
        <w:rPr>
          <w:sz w:val="20"/>
          <w:szCs w:val="20"/>
        </w:rPr>
        <w:t>ets and liabilities are measured using enacted tax rates expected to apply in the years in which temporary differences are expected to be recovered or settled. The effect on deferred tax assets and liabilities of a change in tax rates is recognized in earn</w:t>
      </w:r>
      <w:r>
        <w:rPr>
          <w:sz w:val="20"/>
          <w:szCs w:val="20"/>
        </w:rPr>
        <w:t>ings in the period when the changes are enacted.</w:t>
      </w:r>
    </w:p>
    <w:p w14:paraId="6BC18E71" w14:textId="77777777" w:rsidR="00000000" w:rsidRDefault="0053651E">
      <w:pPr>
        <w:pStyle w:val="a3"/>
        <w:spacing w:before="0" w:beforeAutospacing="0" w:after="0" w:afterAutospacing="0"/>
        <w:ind w:firstLine="360"/>
        <w:jc w:val="both"/>
        <w:rPr>
          <w:sz w:val="20"/>
          <w:szCs w:val="20"/>
        </w:rPr>
      </w:pPr>
      <w:r>
        <w:rPr>
          <w:sz w:val="20"/>
          <w:szCs w:val="20"/>
        </w:rPr>
        <w:t> </w:t>
      </w:r>
    </w:p>
    <w:p w14:paraId="7B826C00" w14:textId="77777777" w:rsidR="00000000" w:rsidRDefault="0053651E">
      <w:pPr>
        <w:pStyle w:val="a3"/>
        <w:spacing w:before="0" w:beforeAutospacing="0" w:after="0" w:afterAutospacing="0"/>
        <w:ind w:firstLine="360"/>
        <w:jc w:val="both"/>
        <w:rPr>
          <w:sz w:val="20"/>
          <w:szCs w:val="20"/>
        </w:rPr>
      </w:pPr>
      <w:r>
        <w:rPr>
          <w:sz w:val="20"/>
          <w:szCs w:val="20"/>
        </w:rPr>
        <w:t>A reduction of the carrying amounts of deferred tax assets by a valuation allowance is required if, based on the evidence available, it is more likely than not (a likelihood of more than 50 percent) that s</w:t>
      </w:r>
      <w:r>
        <w:rPr>
          <w:sz w:val="20"/>
          <w:szCs w:val="20"/>
        </w:rPr>
        <w:t>ome portion or all of the deferred tax assets will not be realized. The valuation allowance, which requires significant judgement from management, should be sufficient to reduce the deferred tax asset to the amount that is more likely than not to be realiz</w:t>
      </w:r>
      <w:r>
        <w:rPr>
          <w:sz w:val="20"/>
          <w:szCs w:val="20"/>
        </w:rPr>
        <w:t>ed. The Company’s reported net earnings are directly affected by management’s judgement in determining a valuation allowance.</w:t>
      </w:r>
    </w:p>
    <w:p w14:paraId="55762C04" w14:textId="77777777" w:rsidR="00000000" w:rsidRDefault="0053651E">
      <w:pPr>
        <w:pStyle w:val="a3"/>
        <w:spacing w:before="0" w:beforeAutospacing="0" w:after="0" w:afterAutospacing="0"/>
        <w:ind w:firstLine="360"/>
        <w:jc w:val="both"/>
        <w:rPr>
          <w:sz w:val="20"/>
          <w:szCs w:val="20"/>
        </w:rPr>
      </w:pPr>
      <w:r>
        <w:rPr>
          <w:sz w:val="20"/>
          <w:szCs w:val="20"/>
        </w:rPr>
        <w:t> </w:t>
      </w:r>
    </w:p>
    <w:p w14:paraId="31838493" w14:textId="77777777" w:rsidR="00000000" w:rsidRDefault="0053651E">
      <w:pPr>
        <w:pStyle w:val="a3"/>
        <w:spacing w:before="0" w:beforeAutospacing="0" w:after="0" w:afterAutospacing="0"/>
        <w:ind w:firstLine="360"/>
        <w:jc w:val="both"/>
        <w:rPr>
          <w:sz w:val="20"/>
          <w:szCs w:val="20"/>
        </w:rPr>
      </w:pPr>
      <w:r>
        <w:rPr>
          <w:sz w:val="20"/>
          <w:szCs w:val="20"/>
        </w:rPr>
        <w:t>The Company recognizes and measures benefits for uncertain tax positions, which requires significant judgment from management. A</w:t>
      </w:r>
      <w:r>
        <w:rPr>
          <w:sz w:val="20"/>
          <w:szCs w:val="20"/>
        </w:rPr>
        <w:t>lthough the Company believes it has adequately reserved for any uncertain tax positions, no assurance can be given that the final tax outcome of these matters will not be different. The Company adjusts these reserves in light of changing facts and circumst</w:t>
      </w:r>
      <w:r>
        <w:rPr>
          <w:sz w:val="20"/>
          <w:szCs w:val="20"/>
        </w:rPr>
        <w:t>ances, such as the closing of a tax audit or the refinement of an estimate. Changes in the recognition or measurement of uncertain tax positions could result in material increases or decreases in the Company’s income tax expense in the period in which a ch</w:t>
      </w:r>
      <w:r>
        <w:rPr>
          <w:sz w:val="20"/>
          <w:szCs w:val="20"/>
        </w:rPr>
        <w:t>ange is made, which could have a material impact on operating results (see Footnote 21 of the Notes to Consolidated Financial Statements included in this Form 10-K).</w:t>
      </w:r>
    </w:p>
    <w:p w14:paraId="1D81BD31" w14:textId="77777777" w:rsidR="00000000" w:rsidRDefault="0053651E">
      <w:pPr>
        <w:pStyle w:val="a3"/>
        <w:spacing w:before="0" w:beforeAutospacing="0" w:after="0" w:afterAutospacing="0"/>
        <w:ind w:firstLine="360"/>
        <w:jc w:val="both"/>
        <w:rPr>
          <w:sz w:val="20"/>
          <w:szCs w:val="20"/>
        </w:rPr>
      </w:pPr>
      <w:r>
        <w:rPr>
          <w:sz w:val="20"/>
          <w:szCs w:val="20"/>
        </w:rPr>
        <w:t> </w:t>
      </w:r>
    </w:p>
    <w:p w14:paraId="1543C6B6" w14:textId="77777777" w:rsidR="00000000" w:rsidRDefault="0053651E">
      <w:pPr>
        <w:pStyle w:val="a3"/>
        <w:spacing w:before="0" w:beforeAutospacing="0" w:after="0" w:afterAutospacing="0"/>
        <w:ind w:firstLine="360"/>
        <w:rPr>
          <w:sz w:val="20"/>
          <w:szCs w:val="20"/>
        </w:rPr>
      </w:pPr>
      <w:r>
        <w:rPr>
          <w:sz w:val="20"/>
          <w:szCs w:val="20"/>
          <w:u w:val="single"/>
        </w:rPr>
        <w:t>Executive Overview</w:t>
      </w:r>
    </w:p>
    <w:p w14:paraId="642AF9A6" w14:textId="77777777" w:rsidR="00000000" w:rsidRDefault="0053651E">
      <w:pPr>
        <w:pStyle w:val="a3"/>
        <w:spacing w:before="0" w:beforeAutospacing="0" w:after="0" w:afterAutospacing="0"/>
        <w:ind w:firstLine="360"/>
        <w:jc w:val="both"/>
        <w:rPr>
          <w:sz w:val="20"/>
          <w:szCs w:val="20"/>
        </w:rPr>
      </w:pPr>
      <w:r>
        <w:rPr>
          <w:sz w:val="20"/>
          <w:szCs w:val="20"/>
        </w:rPr>
        <w:t> </w:t>
      </w:r>
    </w:p>
    <w:p w14:paraId="5FB844B9" w14:textId="77777777" w:rsidR="00000000" w:rsidRDefault="0053651E">
      <w:pPr>
        <w:pStyle w:val="a3"/>
        <w:spacing w:before="0" w:beforeAutospacing="0" w:after="0" w:afterAutospacing="0"/>
        <w:ind w:firstLine="360"/>
        <w:jc w:val="both"/>
        <w:rPr>
          <w:sz w:val="20"/>
          <w:szCs w:val="20"/>
        </w:rPr>
      </w:pPr>
      <w:r>
        <w:rPr>
          <w:sz w:val="20"/>
          <w:szCs w:val="20"/>
        </w:rPr>
        <w:t>Kimco Realty Corporation is one of North America’s largest publicly</w:t>
      </w:r>
      <w:r>
        <w:rPr>
          <w:sz w:val="20"/>
          <w:szCs w:val="20"/>
        </w:rPr>
        <w:t xml:space="preserve"> traded owners and operators of open-air shopping centers. The executive officers are engaged in the day-to-day management and operation of real estate exclusively with the Company, with nearly all operating functions, including leasing, asset management, </w:t>
      </w:r>
      <w:r>
        <w:rPr>
          <w:sz w:val="20"/>
          <w:szCs w:val="20"/>
        </w:rPr>
        <w:t>maintenance, construction, legal, finance and accounting, administered by the Company.</w:t>
      </w:r>
    </w:p>
    <w:p w14:paraId="3B314ADE" w14:textId="77777777" w:rsidR="00000000" w:rsidRDefault="0053651E">
      <w:pPr>
        <w:pStyle w:val="a3"/>
        <w:spacing w:before="0" w:beforeAutospacing="0" w:after="0" w:afterAutospacing="0"/>
        <w:ind w:firstLine="360"/>
        <w:jc w:val="both"/>
        <w:rPr>
          <w:sz w:val="20"/>
          <w:szCs w:val="20"/>
        </w:rPr>
      </w:pPr>
      <w:r>
        <w:rPr>
          <w:sz w:val="20"/>
          <w:szCs w:val="20"/>
        </w:rPr>
        <w:t> </w:t>
      </w:r>
    </w:p>
    <w:p w14:paraId="6D12026F" w14:textId="77777777" w:rsidR="00000000" w:rsidRDefault="0053651E">
      <w:pPr>
        <w:pStyle w:val="a3"/>
        <w:spacing w:before="0" w:beforeAutospacing="0" w:after="0" w:afterAutospacing="0"/>
        <w:ind w:firstLine="360"/>
        <w:jc w:val="both"/>
        <w:rPr>
          <w:sz w:val="20"/>
          <w:szCs w:val="20"/>
        </w:rPr>
      </w:pPr>
      <w:r>
        <w:rPr>
          <w:sz w:val="20"/>
          <w:szCs w:val="20"/>
        </w:rPr>
        <w:t>The following highlights the Company’s significant transactions, events and results that occurred during the year ended December 31, 2019:</w:t>
      </w:r>
    </w:p>
    <w:p w14:paraId="66F449B8" w14:textId="77777777" w:rsidR="00000000" w:rsidRDefault="0053651E">
      <w:pPr>
        <w:pStyle w:val="a3"/>
        <w:spacing w:before="0" w:beforeAutospacing="0" w:after="0" w:afterAutospacing="0"/>
        <w:jc w:val="center"/>
        <w:rPr>
          <w:sz w:val="20"/>
          <w:szCs w:val="20"/>
        </w:rPr>
      </w:pPr>
      <w:r>
        <w:rPr>
          <w:sz w:val="20"/>
          <w:szCs w:val="20"/>
        </w:rPr>
        <w:t> </w:t>
      </w:r>
    </w:p>
    <w:p w14:paraId="44BCF92D" w14:textId="77777777" w:rsidR="00000000" w:rsidRDefault="0053651E">
      <w:pPr>
        <w:pStyle w:val="a3"/>
        <w:spacing w:before="0" w:beforeAutospacing="0" w:after="0" w:afterAutospacing="0"/>
        <w:rPr>
          <w:sz w:val="20"/>
          <w:szCs w:val="20"/>
        </w:rPr>
      </w:pPr>
      <w:r>
        <w:rPr>
          <w:i/>
          <w:iCs/>
          <w:sz w:val="20"/>
          <w:szCs w:val="20"/>
        </w:rPr>
        <w:t xml:space="preserve">Financial </w:t>
      </w:r>
      <w:r>
        <w:rPr>
          <w:i/>
          <w:iCs/>
          <w:sz w:val="20"/>
          <w:szCs w:val="20"/>
        </w:rPr>
        <w:t>and Portfolio Information:</w:t>
      </w:r>
    </w:p>
    <w:p w14:paraId="20B00B51"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DA85ABC" w14:textId="77777777">
        <w:trPr>
          <w:tblCellSpacing w:w="0" w:type="dxa"/>
        </w:trPr>
        <w:tc>
          <w:tcPr>
            <w:tcW w:w="360" w:type="dxa"/>
            <w:vAlign w:val="center"/>
            <w:hideMark/>
          </w:tcPr>
          <w:p w14:paraId="1CAEDF58" w14:textId="77777777" w:rsidR="00000000" w:rsidRDefault="0053651E">
            <w:pPr>
              <w:rPr>
                <w:rFonts w:eastAsia="Times New Roman"/>
                <w:sz w:val="20"/>
                <w:szCs w:val="20"/>
              </w:rPr>
            </w:pPr>
            <w:r>
              <w:rPr>
                <w:rFonts w:eastAsia="Times New Roman"/>
                <w:sz w:val="20"/>
                <w:szCs w:val="20"/>
              </w:rPr>
              <w:t> </w:t>
            </w:r>
          </w:p>
        </w:tc>
        <w:tc>
          <w:tcPr>
            <w:tcW w:w="360" w:type="dxa"/>
            <w:hideMark/>
          </w:tcPr>
          <w:p w14:paraId="7BBB004B"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0072878" w14:textId="77777777" w:rsidR="00000000" w:rsidRDefault="0053651E">
            <w:pPr>
              <w:pStyle w:val="a3"/>
              <w:spacing w:before="0" w:beforeAutospacing="0" w:after="0" w:afterAutospacing="0"/>
              <w:jc w:val="both"/>
              <w:rPr>
                <w:sz w:val="20"/>
                <w:szCs w:val="20"/>
              </w:rPr>
            </w:pPr>
            <w:r>
              <w:rPr>
                <w:sz w:val="20"/>
                <w:szCs w:val="20"/>
              </w:rPr>
              <w:t>Net income available to the Company’s common shareholders was $340.0 million, or $0.80 per diluted share, for the year ended December 31, 2019 as compared to $439.6 million, or $1.02 per diluted share, for the year ended De</w:t>
            </w:r>
            <w:r>
              <w:rPr>
                <w:sz w:val="20"/>
                <w:szCs w:val="20"/>
              </w:rPr>
              <w:t>cember 31, 2018.</w:t>
            </w:r>
          </w:p>
        </w:tc>
      </w:tr>
    </w:tbl>
    <w:p w14:paraId="7EADC1A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731D9E6" w14:textId="77777777">
        <w:trPr>
          <w:tblCellSpacing w:w="0" w:type="dxa"/>
        </w:trPr>
        <w:tc>
          <w:tcPr>
            <w:tcW w:w="360" w:type="dxa"/>
            <w:vAlign w:val="center"/>
            <w:hideMark/>
          </w:tcPr>
          <w:p w14:paraId="6AEAF7F6" w14:textId="77777777" w:rsidR="00000000" w:rsidRDefault="0053651E">
            <w:pPr>
              <w:rPr>
                <w:rFonts w:eastAsia="Times New Roman"/>
                <w:sz w:val="20"/>
                <w:szCs w:val="20"/>
              </w:rPr>
            </w:pPr>
            <w:r>
              <w:rPr>
                <w:rFonts w:eastAsia="Times New Roman"/>
                <w:sz w:val="20"/>
                <w:szCs w:val="20"/>
              </w:rPr>
              <w:t> </w:t>
            </w:r>
          </w:p>
        </w:tc>
        <w:tc>
          <w:tcPr>
            <w:tcW w:w="360" w:type="dxa"/>
            <w:hideMark/>
          </w:tcPr>
          <w:p w14:paraId="53377F8B"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1324D5FC" w14:textId="77777777" w:rsidR="00000000" w:rsidRDefault="0053651E">
            <w:pPr>
              <w:pStyle w:val="a3"/>
              <w:spacing w:before="0" w:beforeAutospacing="0" w:after="0" w:afterAutospacing="0"/>
              <w:jc w:val="both"/>
              <w:rPr>
                <w:sz w:val="20"/>
                <w:szCs w:val="20"/>
              </w:rPr>
            </w:pPr>
            <w:r>
              <w:rPr>
                <w:sz w:val="20"/>
                <w:szCs w:val="20"/>
              </w:rPr>
              <w:t>Funds from operations (“FFO”) was $608.4 million or $1.44 per diluted share for the year ended December 31, 2019, as compared to $609.8 million or $1.45 per diluted share for the corresponding period in 2018 (see additional disclosur</w:t>
            </w:r>
            <w:r>
              <w:rPr>
                <w:sz w:val="20"/>
                <w:szCs w:val="20"/>
              </w:rPr>
              <w:t>e on FFO beginning on page 33).</w:t>
            </w:r>
          </w:p>
        </w:tc>
      </w:tr>
    </w:tbl>
    <w:p w14:paraId="1E810C9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D35E339" w14:textId="77777777">
        <w:trPr>
          <w:tblCellSpacing w:w="0" w:type="dxa"/>
        </w:trPr>
        <w:tc>
          <w:tcPr>
            <w:tcW w:w="360" w:type="dxa"/>
            <w:vAlign w:val="center"/>
            <w:hideMark/>
          </w:tcPr>
          <w:p w14:paraId="57CDEEDA" w14:textId="77777777" w:rsidR="00000000" w:rsidRDefault="0053651E">
            <w:pPr>
              <w:rPr>
                <w:rFonts w:eastAsia="Times New Roman"/>
                <w:sz w:val="20"/>
                <w:szCs w:val="20"/>
              </w:rPr>
            </w:pPr>
            <w:r>
              <w:rPr>
                <w:rFonts w:eastAsia="Times New Roman"/>
                <w:sz w:val="20"/>
                <w:szCs w:val="20"/>
              </w:rPr>
              <w:t> </w:t>
            </w:r>
          </w:p>
        </w:tc>
        <w:tc>
          <w:tcPr>
            <w:tcW w:w="360" w:type="dxa"/>
            <w:hideMark/>
          </w:tcPr>
          <w:p w14:paraId="1250F8CA"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7651DD2" w14:textId="77777777" w:rsidR="00000000" w:rsidRDefault="0053651E">
            <w:pPr>
              <w:pStyle w:val="a3"/>
              <w:spacing w:before="0" w:beforeAutospacing="0" w:after="0" w:afterAutospacing="0"/>
              <w:jc w:val="both"/>
              <w:rPr>
                <w:sz w:val="20"/>
                <w:szCs w:val="20"/>
              </w:rPr>
            </w:pPr>
            <w:r>
              <w:rPr>
                <w:sz w:val="20"/>
                <w:szCs w:val="20"/>
              </w:rPr>
              <w:t>FFO as adjusted was $620.1 million or $1.47 per diluted share for the year ended December 31, 2019, as compared to $613.0 million, or $1.45 per diluted share for the corresponding period in 2018 (see additional disclosure on FFO beginning on page 33).</w:t>
            </w:r>
          </w:p>
        </w:tc>
      </w:tr>
    </w:tbl>
    <w:p w14:paraId="675AC4B1" w14:textId="77777777" w:rsidR="00000000" w:rsidRDefault="0053651E">
      <w:pPr>
        <w:pStyle w:val="a3"/>
        <w:spacing w:before="0" w:beforeAutospacing="0" w:after="0" w:afterAutospacing="0"/>
        <w:rPr>
          <w:sz w:val="20"/>
          <w:szCs w:val="20"/>
        </w:rPr>
      </w:pPr>
      <w:r>
        <w:rPr>
          <w:sz w:val="20"/>
          <w:szCs w:val="20"/>
        </w:rPr>
        <w:t> </w:t>
      </w:r>
    </w:p>
    <w:p w14:paraId="2038A2FA" w14:textId="77777777" w:rsidR="00000000" w:rsidRDefault="0053651E">
      <w:pPr>
        <w:jc w:val="center"/>
        <w:divId w:val="120270030"/>
        <w:rPr>
          <w:rFonts w:eastAsia="Times New Roman"/>
          <w:sz w:val="20"/>
          <w:szCs w:val="20"/>
        </w:rPr>
      </w:pPr>
      <w:r>
        <w:rPr>
          <w:rFonts w:eastAsia="Times New Roman"/>
          <w:sz w:val="20"/>
          <w:szCs w:val="20"/>
        </w:rPr>
        <w:t xml:space="preserve">22 </w:t>
      </w:r>
    </w:p>
    <w:p w14:paraId="37D12125" w14:textId="77777777" w:rsidR="00000000" w:rsidRDefault="0053651E">
      <w:pPr>
        <w:divId w:val="120270030"/>
        <w:rPr>
          <w:rFonts w:eastAsia="Times New Roman"/>
          <w:sz w:val="20"/>
          <w:szCs w:val="20"/>
        </w:rPr>
      </w:pPr>
      <w:r>
        <w:rPr>
          <w:rFonts w:eastAsia="Times New Roman"/>
          <w:sz w:val="20"/>
          <w:szCs w:val="20"/>
        </w:rPr>
        <w:pict w14:anchorId="20971576">
          <v:rect id="_x0000_i1052" style="width:0;height:1.5pt" o:hralign="center" o:hrstd="t" o:hr="t" fillcolor="#a0a0a0" stroked="f"/>
        </w:pict>
      </w:r>
    </w:p>
    <w:p w14:paraId="6CF1577D" w14:textId="77777777" w:rsidR="00000000" w:rsidRDefault="0053651E">
      <w:pPr>
        <w:divId w:val="1202700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B64875"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27647D6" w14:textId="77777777">
        <w:trPr>
          <w:tblCellSpacing w:w="0" w:type="dxa"/>
        </w:trPr>
        <w:tc>
          <w:tcPr>
            <w:tcW w:w="360" w:type="dxa"/>
            <w:vAlign w:val="center"/>
            <w:hideMark/>
          </w:tcPr>
          <w:p w14:paraId="49064F4D" w14:textId="77777777" w:rsidR="00000000" w:rsidRDefault="0053651E">
            <w:pPr>
              <w:rPr>
                <w:rFonts w:eastAsia="Times New Roman"/>
                <w:sz w:val="20"/>
                <w:szCs w:val="20"/>
              </w:rPr>
            </w:pPr>
            <w:r>
              <w:rPr>
                <w:rFonts w:eastAsia="Times New Roman"/>
                <w:sz w:val="20"/>
                <w:szCs w:val="20"/>
              </w:rPr>
              <w:t> </w:t>
            </w:r>
          </w:p>
        </w:tc>
        <w:tc>
          <w:tcPr>
            <w:tcW w:w="360" w:type="dxa"/>
            <w:hideMark/>
          </w:tcPr>
          <w:p w14:paraId="121D098E"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F044920" w14:textId="77777777" w:rsidR="00000000" w:rsidRDefault="0053651E">
            <w:pPr>
              <w:pStyle w:val="a3"/>
              <w:spacing w:before="0" w:beforeAutospacing="0" w:after="0" w:afterAutospacing="0"/>
              <w:jc w:val="both"/>
              <w:rPr>
                <w:sz w:val="20"/>
                <w:szCs w:val="20"/>
              </w:rPr>
            </w:pPr>
            <w:r>
              <w:rPr>
                <w:sz w:val="20"/>
                <w:szCs w:val="20"/>
              </w:rPr>
              <w:t>Same property net operating income (“Same property NOI”) increased 3.0% for the year ended December 31, 2019, as compared to the corresponding period in 2018 (see ad</w:t>
            </w:r>
            <w:r>
              <w:rPr>
                <w:sz w:val="20"/>
                <w:szCs w:val="20"/>
              </w:rPr>
              <w:t>ditional disclosure on Same property NOI beginning on page 34).</w:t>
            </w:r>
          </w:p>
        </w:tc>
      </w:tr>
    </w:tbl>
    <w:p w14:paraId="6EAEB64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F96C7A6" w14:textId="77777777">
        <w:trPr>
          <w:tblCellSpacing w:w="0" w:type="dxa"/>
        </w:trPr>
        <w:tc>
          <w:tcPr>
            <w:tcW w:w="360" w:type="dxa"/>
            <w:vAlign w:val="center"/>
            <w:hideMark/>
          </w:tcPr>
          <w:p w14:paraId="3F93C452" w14:textId="77777777" w:rsidR="00000000" w:rsidRDefault="0053651E">
            <w:pPr>
              <w:rPr>
                <w:rFonts w:eastAsia="Times New Roman"/>
                <w:sz w:val="20"/>
                <w:szCs w:val="20"/>
              </w:rPr>
            </w:pPr>
            <w:r>
              <w:rPr>
                <w:rFonts w:eastAsia="Times New Roman"/>
                <w:sz w:val="20"/>
                <w:szCs w:val="20"/>
              </w:rPr>
              <w:t> </w:t>
            </w:r>
          </w:p>
        </w:tc>
        <w:tc>
          <w:tcPr>
            <w:tcW w:w="360" w:type="dxa"/>
            <w:hideMark/>
          </w:tcPr>
          <w:p w14:paraId="22DF4174"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9DEB370" w14:textId="77777777" w:rsidR="00000000" w:rsidRDefault="0053651E">
            <w:pPr>
              <w:pStyle w:val="a3"/>
              <w:spacing w:before="0" w:beforeAutospacing="0" w:after="0" w:afterAutospacing="0"/>
              <w:jc w:val="both"/>
              <w:rPr>
                <w:sz w:val="20"/>
                <w:szCs w:val="20"/>
              </w:rPr>
            </w:pPr>
            <w:r>
              <w:rPr>
                <w:sz w:val="20"/>
                <w:szCs w:val="20"/>
              </w:rPr>
              <w:t>Executed 907 new leases, renewals and options totaling approximately 6.5 million square feet in the consolidated operating portfolio.</w:t>
            </w:r>
          </w:p>
        </w:tc>
      </w:tr>
    </w:tbl>
    <w:p w14:paraId="7675FDB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FF38543" w14:textId="77777777">
        <w:trPr>
          <w:tblCellSpacing w:w="0" w:type="dxa"/>
        </w:trPr>
        <w:tc>
          <w:tcPr>
            <w:tcW w:w="360" w:type="dxa"/>
            <w:vAlign w:val="center"/>
            <w:hideMark/>
          </w:tcPr>
          <w:p w14:paraId="27939AEB" w14:textId="77777777" w:rsidR="00000000" w:rsidRDefault="0053651E">
            <w:pPr>
              <w:rPr>
                <w:rFonts w:eastAsia="Times New Roman"/>
                <w:sz w:val="20"/>
                <w:szCs w:val="20"/>
              </w:rPr>
            </w:pPr>
            <w:r>
              <w:rPr>
                <w:rFonts w:eastAsia="Times New Roman"/>
                <w:sz w:val="20"/>
                <w:szCs w:val="20"/>
              </w:rPr>
              <w:t> </w:t>
            </w:r>
          </w:p>
        </w:tc>
        <w:tc>
          <w:tcPr>
            <w:tcW w:w="360" w:type="dxa"/>
            <w:hideMark/>
          </w:tcPr>
          <w:p w14:paraId="64AAF4D2"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D7F191F" w14:textId="77777777" w:rsidR="00000000" w:rsidRDefault="0053651E">
            <w:pPr>
              <w:pStyle w:val="a3"/>
              <w:spacing w:before="0" w:beforeAutospacing="0" w:after="0" w:afterAutospacing="0"/>
              <w:jc w:val="both"/>
              <w:rPr>
                <w:sz w:val="20"/>
                <w:szCs w:val="20"/>
              </w:rPr>
            </w:pPr>
            <w:r>
              <w:rPr>
                <w:sz w:val="20"/>
                <w:szCs w:val="20"/>
              </w:rPr>
              <w:t>The Company’s consolidated operating portfolio</w:t>
            </w:r>
            <w:r>
              <w:rPr>
                <w:sz w:val="20"/>
                <w:szCs w:val="20"/>
              </w:rPr>
              <w:t xml:space="preserve"> occupancy at December 31, 2019 was 96.4% as compared to 95.8% at December 31, 2018.</w:t>
            </w:r>
          </w:p>
        </w:tc>
      </w:tr>
    </w:tbl>
    <w:p w14:paraId="1C4C54BA" w14:textId="77777777" w:rsidR="00000000" w:rsidRDefault="0053651E">
      <w:pPr>
        <w:pStyle w:val="a3"/>
        <w:spacing w:before="0" w:beforeAutospacing="0" w:after="0" w:afterAutospacing="0"/>
        <w:ind w:left="720"/>
        <w:rPr>
          <w:sz w:val="20"/>
          <w:szCs w:val="20"/>
        </w:rPr>
      </w:pPr>
      <w:r>
        <w:rPr>
          <w:sz w:val="20"/>
          <w:szCs w:val="20"/>
        </w:rPr>
        <w:t> </w:t>
      </w:r>
    </w:p>
    <w:p w14:paraId="375B20F0" w14:textId="77777777" w:rsidR="00000000" w:rsidRDefault="0053651E">
      <w:pPr>
        <w:pStyle w:val="a3"/>
        <w:spacing w:before="0" w:beforeAutospacing="0" w:after="0" w:afterAutospacing="0"/>
        <w:rPr>
          <w:sz w:val="20"/>
          <w:szCs w:val="20"/>
        </w:rPr>
      </w:pPr>
      <w:r>
        <w:rPr>
          <w:i/>
          <w:iCs/>
          <w:sz w:val="20"/>
          <w:szCs w:val="20"/>
        </w:rPr>
        <w:t>Acquisition and Disposition Activity (see Footnotes 3 and 5 of the Notes to Consolidated Financial Statements included in this Form 10-K):</w:t>
      </w:r>
    </w:p>
    <w:p w14:paraId="3E0B67F6"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C7F9AC5" w14:textId="77777777">
        <w:trPr>
          <w:tblCellSpacing w:w="0" w:type="dxa"/>
        </w:trPr>
        <w:tc>
          <w:tcPr>
            <w:tcW w:w="360" w:type="dxa"/>
            <w:vAlign w:val="center"/>
            <w:hideMark/>
          </w:tcPr>
          <w:p w14:paraId="56A01ADD" w14:textId="77777777" w:rsidR="00000000" w:rsidRDefault="0053651E">
            <w:pPr>
              <w:rPr>
                <w:rFonts w:eastAsia="Times New Roman"/>
                <w:sz w:val="20"/>
                <w:szCs w:val="20"/>
              </w:rPr>
            </w:pPr>
            <w:r>
              <w:rPr>
                <w:rFonts w:eastAsia="Times New Roman"/>
                <w:sz w:val="20"/>
                <w:szCs w:val="20"/>
              </w:rPr>
              <w:t> </w:t>
            </w:r>
          </w:p>
        </w:tc>
        <w:tc>
          <w:tcPr>
            <w:tcW w:w="360" w:type="dxa"/>
            <w:hideMark/>
          </w:tcPr>
          <w:p w14:paraId="5733699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A670033" w14:textId="77777777" w:rsidR="00000000" w:rsidRDefault="0053651E">
            <w:pPr>
              <w:pStyle w:val="a3"/>
              <w:spacing w:before="0" w:beforeAutospacing="0" w:after="0" w:afterAutospacing="0"/>
              <w:jc w:val="both"/>
              <w:rPr>
                <w:sz w:val="20"/>
                <w:szCs w:val="20"/>
              </w:rPr>
            </w:pPr>
            <w:r>
              <w:rPr>
                <w:sz w:val="20"/>
                <w:szCs w:val="20"/>
              </w:rPr>
              <w:t>Acquired three operating properties located in Sun City, AZ, Truckee, CA and San Diego, CA, in separate transactions, for an aggregate purchase price of $31.3 million.</w:t>
            </w:r>
          </w:p>
        </w:tc>
      </w:tr>
    </w:tbl>
    <w:p w14:paraId="16611CC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17A0793" w14:textId="77777777">
        <w:trPr>
          <w:tblCellSpacing w:w="0" w:type="dxa"/>
        </w:trPr>
        <w:tc>
          <w:tcPr>
            <w:tcW w:w="360" w:type="dxa"/>
            <w:vAlign w:val="center"/>
            <w:hideMark/>
          </w:tcPr>
          <w:p w14:paraId="269AEF3E" w14:textId="77777777" w:rsidR="00000000" w:rsidRDefault="0053651E">
            <w:pPr>
              <w:rPr>
                <w:rFonts w:eastAsia="Times New Roman"/>
                <w:sz w:val="20"/>
                <w:szCs w:val="20"/>
              </w:rPr>
            </w:pPr>
            <w:r>
              <w:rPr>
                <w:rFonts w:eastAsia="Times New Roman"/>
                <w:sz w:val="20"/>
                <w:szCs w:val="20"/>
              </w:rPr>
              <w:t> </w:t>
            </w:r>
          </w:p>
        </w:tc>
        <w:tc>
          <w:tcPr>
            <w:tcW w:w="360" w:type="dxa"/>
            <w:hideMark/>
          </w:tcPr>
          <w:p w14:paraId="20D8E04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3B21244A" w14:textId="77777777" w:rsidR="00000000" w:rsidRDefault="0053651E">
            <w:pPr>
              <w:pStyle w:val="a3"/>
              <w:spacing w:before="0" w:beforeAutospacing="0" w:after="0" w:afterAutospacing="0"/>
              <w:jc w:val="both"/>
              <w:rPr>
                <w:sz w:val="20"/>
                <w:szCs w:val="20"/>
              </w:rPr>
            </w:pPr>
            <w:r>
              <w:rPr>
                <w:sz w:val="20"/>
                <w:szCs w:val="20"/>
              </w:rPr>
              <w:t>During 2019, the Company disposed of 20 operating properties and nine out-parcels,</w:t>
            </w:r>
            <w:r>
              <w:rPr>
                <w:sz w:val="20"/>
                <w:szCs w:val="20"/>
              </w:rPr>
              <w:t xml:space="preserve"> in separate transactions, for an aggregate sales price of $344.7 million. Certain of these transactions resulted in aggregate gains of $79.2 million.</w:t>
            </w:r>
          </w:p>
        </w:tc>
      </w:tr>
    </w:tbl>
    <w:p w14:paraId="418139F7" w14:textId="77777777" w:rsidR="00000000" w:rsidRDefault="0053651E">
      <w:pPr>
        <w:pStyle w:val="a3"/>
        <w:spacing w:before="0" w:beforeAutospacing="0" w:after="0" w:afterAutospacing="0"/>
        <w:jc w:val="both"/>
        <w:rPr>
          <w:sz w:val="20"/>
          <w:szCs w:val="20"/>
        </w:rPr>
      </w:pPr>
      <w:r>
        <w:rPr>
          <w:sz w:val="20"/>
          <w:szCs w:val="20"/>
        </w:rPr>
        <w:t> </w:t>
      </w:r>
    </w:p>
    <w:p w14:paraId="15998EFA" w14:textId="77777777" w:rsidR="00000000" w:rsidRDefault="0053651E">
      <w:pPr>
        <w:pStyle w:val="a3"/>
        <w:spacing w:before="0" w:beforeAutospacing="0" w:after="0" w:afterAutospacing="0"/>
        <w:jc w:val="both"/>
        <w:rPr>
          <w:sz w:val="20"/>
          <w:szCs w:val="20"/>
        </w:rPr>
      </w:pPr>
      <w:r>
        <w:rPr>
          <w:i/>
          <w:iCs/>
          <w:sz w:val="20"/>
          <w:szCs w:val="20"/>
        </w:rPr>
        <w:t>Development Activity (see Footnote 4 of the Notes to Consolidated Financial Statements included in thi</w:t>
      </w:r>
      <w:r>
        <w:rPr>
          <w:i/>
          <w:iCs/>
          <w:sz w:val="20"/>
          <w:szCs w:val="20"/>
        </w:rPr>
        <w:t>s Form 10-K):</w:t>
      </w:r>
    </w:p>
    <w:p w14:paraId="3F0ECE62"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85C0A1E" w14:textId="77777777">
        <w:trPr>
          <w:tblCellSpacing w:w="0" w:type="dxa"/>
        </w:trPr>
        <w:tc>
          <w:tcPr>
            <w:tcW w:w="360" w:type="dxa"/>
            <w:vAlign w:val="center"/>
            <w:hideMark/>
          </w:tcPr>
          <w:p w14:paraId="36105CF8" w14:textId="77777777" w:rsidR="00000000" w:rsidRDefault="0053651E">
            <w:pPr>
              <w:rPr>
                <w:rFonts w:eastAsia="Times New Roman"/>
                <w:sz w:val="20"/>
                <w:szCs w:val="20"/>
              </w:rPr>
            </w:pPr>
            <w:r>
              <w:rPr>
                <w:rFonts w:eastAsia="Times New Roman"/>
                <w:sz w:val="20"/>
                <w:szCs w:val="20"/>
              </w:rPr>
              <w:t> </w:t>
            </w:r>
          </w:p>
        </w:tc>
        <w:tc>
          <w:tcPr>
            <w:tcW w:w="360" w:type="dxa"/>
            <w:hideMark/>
          </w:tcPr>
          <w:p w14:paraId="2CCB67FE"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12614335" w14:textId="77777777" w:rsidR="00000000" w:rsidRDefault="0053651E">
            <w:pPr>
              <w:rPr>
                <w:rFonts w:eastAsia="Times New Roman"/>
                <w:sz w:val="20"/>
                <w:szCs w:val="20"/>
              </w:rPr>
            </w:pPr>
            <w:r>
              <w:rPr>
                <w:rFonts w:eastAsia="Times New Roman"/>
                <w:sz w:val="20"/>
                <w:szCs w:val="20"/>
              </w:rPr>
              <w:t> Placed into service Mills Station a Signature Serie</w:t>
            </w:r>
            <w:r>
              <w:rPr>
                <w:rFonts w:eastAsia="Times New Roman"/>
                <w:sz w:val="20"/>
                <w:szCs w:val="20"/>
              </w:rPr>
              <w:t>s</w:t>
            </w:r>
            <w:r>
              <w:rPr>
                <w:rFonts w:eastAsia="Times New Roman"/>
                <w:sz w:val="20"/>
                <w:szCs w:val="20"/>
                <w:vertAlign w:val="superscript"/>
              </w:rPr>
              <w:t>TM</w:t>
            </w:r>
            <w:r>
              <w:rPr>
                <w:rFonts w:eastAsia="Times New Roman"/>
                <w:sz w:val="20"/>
                <w:szCs w:val="20"/>
              </w:rPr>
              <w:t xml:space="preserve"> development project located in Owings Mills, MD. </w:t>
            </w:r>
          </w:p>
        </w:tc>
      </w:tr>
    </w:tbl>
    <w:p w14:paraId="3DFCEDC6" w14:textId="77777777" w:rsidR="00000000" w:rsidRDefault="0053651E">
      <w:pPr>
        <w:pStyle w:val="a3"/>
        <w:spacing w:before="0" w:beforeAutospacing="0" w:after="0" w:afterAutospacing="0"/>
        <w:jc w:val="both"/>
        <w:rPr>
          <w:sz w:val="20"/>
          <w:szCs w:val="20"/>
        </w:rPr>
      </w:pPr>
      <w:r>
        <w:rPr>
          <w:sz w:val="20"/>
          <w:szCs w:val="20"/>
        </w:rPr>
        <w:t> </w:t>
      </w:r>
    </w:p>
    <w:p w14:paraId="2B3AACB5" w14:textId="77777777" w:rsidR="00000000" w:rsidRDefault="0053651E">
      <w:pPr>
        <w:pStyle w:val="a3"/>
        <w:spacing w:before="0" w:beforeAutospacing="0" w:after="0" w:afterAutospacing="0"/>
        <w:rPr>
          <w:sz w:val="20"/>
          <w:szCs w:val="20"/>
        </w:rPr>
      </w:pPr>
      <w:r>
        <w:rPr>
          <w:i/>
          <w:iCs/>
          <w:sz w:val="20"/>
          <w:szCs w:val="20"/>
        </w:rPr>
        <w:t>Capital Activity (for additional details see Liquidity and Capital Resources below):</w:t>
      </w:r>
    </w:p>
    <w:p w14:paraId="0500653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871F9CB" w14:textId="77777777">
        <w:trPr>
          <w:tblCellSpacing w:w="0" w:type="dxa"/>
        </w:trPr>
        <w:tc>
          <w:tcPr>
            <w:tcW w:w="360" w:type="dxa"/>
            <w:vAlign w:val="center"/>
            <w:hideMark/>
          </w:tcPr>
          <w:p w14:paraId="7B369636" w14:textId="77777777" w:rsidR="00000000" w:rsidRDefault="0053651E">
            <w:pPr>
              <w:rPr>
                <w:rFonts w:eastAsia="Times New Roman"/>
                <w:sz w:val="20"/>
                <w:szCs w:val="20"/>
              </w:rPr>
            </w:pPr>
            <w:r>
              <w:rPr>
                <w:rFonts w:eastAsia="Times New Roman"/>
                <w:sz w:val="20"/>
                <w:szCs w:val="20"/>
              </w:rPr>
              <w:t> </w:t>
            </w:r>
          </w:p>
        </w:tc>
        <w:tc>
          <w:tcPr>
            <w:tcW w:w="360" w:type="dxa"/>
            <w:hideMark/>
          </w:tcPr>
          <w:p w14:paraId="782D832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50DAB51" w14:textId="77777777" w:rsidR="00000000" w:rsidRDefault="0053651E">
            <w:pPr>
              <w:pStyle w:val="a3"/>
              <w:spacing w:before="0" w:beforeAutospacing="0" w:after="0" w:afterAutospacing="0"/>
              <w:jc w:val="both"/>
              <w:rPr>
                <w:sz w:val="20"/>
                <w:szCs w:val="20"/>
              </w:rPr>
            </w:pPr>
            <w:r>
              <w:rPr>
                <w:sz w:val="20"/>
                <w:szCs w:val="20"/>
              </w:rPr>
              <w:t>Generated net proceeds of $200.1 million through the issuance of 9.5 million shares of common stock at a weighted average net price of $21.03 per share under the Company’s ATM program.</w:t>
            </w:r>
          </w:p>
        </w:tc>
      </w:tr>
    </w:tbl>
    <w:p w14:paraId="4788E9D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4D27767" w14:textId="77777777">
        <w:trPr>
          <w:tblCellSpacing w:w="0" w:type="dxa"/>
        </w:trPr>
        <w:tc>
          <w:tcPr>
            <w:tcW w:w="360" w:type="dxa"/>
            <w:vAlign w:val="center"/>
            <w:hideMark/>
          </w:tcPr>
          <w:p w14:paraId="6A80ACB5" w14:textId="77777777" w:rsidR="00000000" w:rsidRDefault="0053651E">
            <w:pPr>
              <w:rPr>
                <w:rFonts w:eastAsia="Times New Roman"/>
                <w:sz w:val="20"/>
                <w:szCs w:val="20"/>
              </w:rPr>
            </w:pPr>
            <w:r>
              <w:rPr>
                <w:rFonts w:eastAsia="Times New Roman"/>
                <w:sz w:val="20"/>
                <w:szCs w:val="20"/>
              </w:rPr>
              <w:t> </w:t>
            </w:r>
          </w:p>
        </w:tc>
        <w:tc>
          <w:tcPr>
            <w:tcW w:w="360" w:type="dxa"/>
            <w:hideMark/>
          </w:tcPr>
          <w:p w14:paraId="656E8B65"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CE69441" w14:textId="77777777" w:rsidR="00000000" w:rsidRDefault="0053651E">
            <w:pPr>
              <w:pStyle w:val="a3"/>
              <w:spacing w:before="0" w:beforeAutospacing="0" w:after="0" w:afterAutospacing="0"/>
              <w:jc w:val="both"/>
              <w:rPr>
                <w:sz w:val="20"/>
                <w:szCs w:val="20"/>
              </w:rPr>
            </w:pPr>
            <w:r>
              <w:rPr>
                <w:sz w:val="20"/>
                <w:szCs w:val="20"/>
              </w:rPr>
              <w:t>Redeemed $175.0 million of 6.000% Class I Preferred Stock, $225.0</w:t>
            </w:r>
            <w:r>
              <w:rPr>
                <w:sz w:val="20"/>
                <w:szCs w:val="20"/>
              </w:rPr>
              <w:t xml:space="preserve"> million of 5.500% Class J Preferred Stock, and $175.0 million of 5.625% Class K Preferred Stock incurring an aggregate $18.5 million redemption charge as a result of these redemptions in 2019.</w:t>
            </w:r>
          </w:p>
        </w:tc>
      </w:tr>
    </w:tbl>
    <w:p w14:paraId="693B7292"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91B4B80" w14:textId="77777777">
        <w:trPr>
          <w:tblCellSpacing w:w="0" w:type="dxa"/>
        </w:trPr>
        <w:tc>
          <w:tcPr>
            <w:tcW w:w="360" w:type="dxa"/>
            <w:vAlign w:val="center"/>
            <w:hideMark/>
          </w:tcPr>
          <w:p w14:paraId="28A7482C" w14:textId="77777777" w:rsidR="00000000" w:rsidRDefault="0053651E">
            <w:pPr>
              <w:rPr>
                <w:rFonts w:eastAsia="Times New Roman"/>
                <w:sz w:val="20"/>
                <w:szCs w:val="20"/>
              </w:rPr>
            </w:pPr>
            <w:r>
              <w:rPr>
                <w:rFonts w:eastAsia="Times New Roman"/>
                <w:sz w:val="20"/>
                <w:szCs w:val="20"/>
              </w:rPr>
              <w:t> </w:t>
            </w:r>
          </w:p>
        </w:tc>
        <w:tc>
          <w:tcPr>
            <w:tcW w:w="360" w:type="dxa"/>
            <w:hideMark/>
          </w:tcPr>
          <w:p w14:paraId="3488808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3B67109" w14:textId="77777777" w:rsidR="00000000" w:rsidRDefault="0053651E">
            <w:pPr>
              <w:pStyle w:val="a3"/>
              <w:spacing w:before="0" w:beforeAutospacing="0" w:after="0" w:afterAutospacing="0"/>
              <w:jc w:val="both"/>
              <w:rPr>
                <w:sz w:val="20"/>
                <w:szCs w:val="20"/>
              </w:rPr>
            </w:pPr>
            <w:r>
              <w:rPr>
                <w:sz w:val="20"/>
                <w:szCs w:val="20"/>
              </w:rPr>
              <w:t>Issued $350.0 million of 3.700% notes maturing October 2</w:t>
            </w:r>
            <w:r>
              <w:rPr>
                <w:sz w:val="20"/>
                <w:szCs w:val="20"/>
              </w:rPr>
              <w:t>049, with an effective yield of 3.765%.</w:t>
            </w:r>
          </w:p>
        </w:tc>
      </w:tr>
    </w:tbl>
    <w:p w14:paraId="672C3042" w14:textId="77777777" w:rsidR="00000000" w:rsidRDefault="0053651E">
      <w:pPr>
        <w:pStyle w:val="a3"/>
        <w:spacing w:before="0" w:beforeAutospacing="0" w:after="0" w:afterAutospacing="0"/>
        <w:ind w:left="720"/>
        <w:jc w:val="both"/>
        <w:rPr>
          <w:sz w:val="20"/>
          <w:szCs w:val="20"/>
        </w:rPr>
      </w:pPr>
      <w:r>
        <w:rPr>
          <w:sz w:val="20"/>
          <w:szCs w:val="20"/>
        </w:rPr>
        <w:t> </w:t>
      </w:r>
    </w:p>
    <w:p w14:paraId="25444E1D" w14:textId="77777777" w:rsidR="00000000" w:rsidRDefault="0053651E">
      <w:pPr>
        <w:pStyle w:val="a3"/>
        <w:spacing w:before="0" w:beforeAutospacing="0" w:after="0" w:afterAutospacing="0"/>
        <w:ind w:left="720"/>
        <w:rPr>
          <w:sz w:val="20"/>
          <w:szCs w:val="20"/>
        </w:rPr>
      </w:pPr>
      <w:r>
        <w:rPr>
          <w:sz w:val="20"/>
          <w:szCs w:val="20"/>
        </w:rPr>
        <w:t>As a result of the above debt activity, the Company’s consolidated debt maturity profile, including extension options, is as follows:</w:t>
      </w:r>
    </w:p>
    <w:p w14:paraId="487564DC" w14:textId="77777777" w:rsidR="00000000" w:rsidRDefault="0053651E">
      <w:pPr>
        <w:pStyle w:val="a3"/>
        <w:spacing w:before="0" w:beforeAutospacing="0" w:after="0" w:afterAutospacing="0"/>
        <w:rPr>
          <w:sz w:val="20"/>
          <w:szCs w:val="20"/>
        </w:rPr>
      </w:pPr>
      <w:r>
        <w:rPr>
          <w:sz w:val="20"/>
          <w:szCs w:val="20"/>
        </w:rPr>
        <w:t> </w:t>
      </w:r>
    </w:p>
    <w:p w14:paraId="5AAB19D9" w14:textId="77777777" w:rsidR="00000000" w:rsidRDefault="0053651E">
      <w:pPr>
        <w:pStyle w:val="a3"/>
        <w:spacing w:before="0" w:beforeAutospacing="0" w:after="0" w:afterAutospacing="0"/>
        <w:jc w:val="center"/>
        <w:rPr>
          <w:sz w:val="20"/>
          <w:szCs w:val="20"/>
        </w:rPr>
      </w:pPr>
      <w:r>
        <w:rPr>
          <w:noProof/>
          <w:sz w:val="20"/>
          <w:szCs w:val="20"/>
        </w:rPr>
        <w:drawing>
          <wp:inline distT="0" distB="0" distL="0" distR="0" wp14:anchorId="5F1F1A1F" wp14:editId="4739F153">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0B7012" w14:textId="77777777" w:rsidR="00000000" w:rsidRDefault="0053651E">
      <w:pPr>
        <w:pStyle w:val="a3"/>
        <w:spacing w:before="0" w:beforeAutospacing="0" w:after="0" w:afterAutospacing="0"/>
        <w:ind w:firstLine="36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01C6431" w14:textId="77777777">
        <w:trPr>
          <w:tblCellSpacing w:w="0" w:type="dxa"/>
        </w:trPr>
        <w:tc>
          <w:tcPr>
            <w:tcW w:w="360" w:type="dxa"/>
            <w:vAlign w:val="center"/>
            <w:hideMark/>
          </w:tcPr>
          <w:p w14:paraId="5ED7655D" w14:textId="77777777" w:rsidR="00000000" w:rsidRDefault="0053651E">
            <w:pPr>
              <w:rPr>
                <w:rFonts w:eastAsia="Times New Roman"/>
                <w:sz w:val="20"/>
                <w:szCs w:val="20"/>
              </w:rPr>
            </w:pPr>
            <w:r>
              <w:rPr>
                <w:rFonts w:eastAsia="Times New Roman"/>
                <w:sz w:val="20"/>
                <w:szCs w:val="20"/>
              </w:rPr>
              <w:t> </w:t>
            </w:r>
          </w:p>
        </w:tc>
        <w:tc>
          <w:tcPr>
            <w:tcW w:w="360" w:type="dxa"/>
            <w:hideMark/>
          </w:tcPr>
          <w:p w14:paraId="08588053"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63F93F8" w14:textId="77777777" w:rsidR="00000000" w:rsidRDefault="0053651E">
            <w:pPr>
              <w:pStyle w:val="a3"/>
              <w:spacing w:before="0" w:beforeAutospacing="0" w:after="0" w:afterAutospacing="0"/>
              <w:jc w:val="both"/>
              <w:rPr>
                <w:sz w:val="20"/>
                <w:szCs w:val="20"/>
              </w:rPr>
            </w:pPr>
            <w:r>
              <w:rPr>
                <w:sz w:val="20"/>
                <w:szCs w:val="20"/>
              </w:rPr>
              <w:t>As of December 31, 2019, the weighted average interest rate was 3.46% and the weighted average maturity profile was 10.6 years related to the Company’s consolidated debt.</w:t>
            </w:r>
          </w:p>
        </w:tc>
      </w:tr>
    </w:tbl>
    <w:p w14:paraId="2C3C7023" w14:textId="77777777" w:rsidR="00000000" w:rsidRDefault="0053651E">
      <w:pPr>
        <w:pStyle w:val="a3"/>
        <w:spacing w:before="0" w:beforeAutospacing="0" w:after="0" w:afterAutospacing="0"/>
        <w:rPr>
          <w:sz w:val="20"/>
          <w:szCs w:val="20"/>
        </w:rPr>
      </w:pPr>
      <w:r>
        <w:rPr>
          <w:sz w:val="20"/>
          <w:szCs w:val="20"/>
        </w:rPr>
        <w:t> </w:t>
      </w:r>
    </w:p>
    <w:p w14:paraId="25A6BB5E" w14:textId="77777777" w:rsidR="00000000" w:rsidRDefault="0053651E">
      <w:pPr>
        <w:pStyle w:val="a3"/>
        <w:spacing w:before="0" w:beforeAutospacing="0" w:after="0" w:afterAutospacing="0"/>
        <w:ind w:firstLine="360"/>
        <w:jc w:val="both"/>
        <w:rPr>
          <w:sz w:val="20"/>
          <w:szCs w:val="20"/>
        </w:rPr>
      </w:pPr>
      <w:r>
        <w:rPr>
          <w:sz w:val="20"/>
          <w:szCs w:val="20"/>
        </w:rPr>
        <w:t>The Company faces external factors which may influence its future results from ope</w:t>
      </w:r>
      <w:r>
        <w:rPr>
          <w:sz w:val="20"/>
          <w:szCs w:val="20"/>
        </w:rPr>
        <w:t>rations. The convenience and availability of e-commerce has continued to impact the retail sector, which could affect our ability to increase or maintain rental rates and our ability to renew expiring leases and/or lease available space. To mitigate the ef</w:t>
      </w:r>
      <w:r>
        <w:rPr>
          <w:sz w:val="20"/>
          <w:szCs w:val="20"/>
        </w:rPr>
        <w:t>fect of e-commerce on its business, the Company’s strategy has been to attract local area customers to its properties by providing a diverse and robust tenant base across a variety of retailers, including grocery stores, off-price retailers, discounters or</w:t>
      </w:r>
      <w:r>
        <w:rPr>
          <w:sz w:val="20"/>
          <w:szCs w:val="20"/>
        </w:rPr>
        <w:t xml:space="preserve"> service-oriented tenants, which offer buy online and pick up in store, off-price merchandise and day-to-day necessities rather than high-priced luxury items. </w:t>
      </w:r>
    </w:p>
    <w:p w14:paraId="086ED806" w14:textId="77777777" w:rsidR="00000000" w:rsidRDefault="0053651E">
      <w:pPr>
        <w:pStyle w:val="a3"/>
        <w:spacing w:before="0" w:beforeAutospacing="0" w:after="0" w:afterAutospacing="0"/>
        <w:ind w:firstLine="360"/>
        <w:jc w:val="both"/>
        <w:rPr>
          <w:sz w:val="20"/>
          <w:szCs w:val="20"/>
        </w:rPr>
      </w:pPr>
      <w:r>
        <w:rPr>
          <w:sz w:val="20"/>
          <w:szCs w:val="20"/>
        </w:rPr>
        <w:t> </w:t>
      </w:r>
    </w:p>
    <w:p w14:paraId="1F620D9D" w14:textId="77777777" w:rsidR="00000000" w:rsidRDefault="0053651E">
      <w:pPr>
        <w:jc w:val="center"/>
        <w:divId w:val="816730819"/>
        <w:rPr>
          <w:rFonts w:eastAsia="Times New Roman"/>
          <w:sz w:val="20"/>
          <w:szCs w:val="20"/>
        </w:rPr>
      </w:pPr>
      <w:r>
        <w:rPr>
          <w:rFonts w:eastAsia="Times New Roman"/>
          <w:sz w:val="20"/>
          <w:szCs w:val="20"/>
        </w:rPr>
        <w:t xml:space="preserve">23 </w:t>
      </w:r>
    </w:p>
    <w:p w14:paraId="0FB0F2B1" w14:textId="77777777" w:rsidR="00000000" w:rsidRDefault="0053651E">
      <w:pPr>
        <w:divId w:val="816730819"/>
        <w:rPr>
          <w:rFonts w:eastAsia="Times New Roman"/>
          <w:sz w:val="20"/>
          <w:szCs w:val="20"/>
        </w:rPr>
      </w:pPr>
      <w:r>
        <w:rPr>
          <w:rFonts w:eastAsia="Times New Roman"/>
          <w:sz w:val="20"/>
          <w:szCs w:val="20"/>
        </w:rPr>
        <w:pict w14:anchorId="14EBE3BB">
          <v:rect id="_x0000_i1054" style="width:0;height:1.5pt" o:hralign="center" o:hrstd="t" o:hr="t" fillcolor="#a0a0a0" stroked="f"/>
        </w:pict>
      </w:r>
    </w:p>
    <w:p w14:paraId="125B1BB0" w14:textId="77777777" w:rsidR="00000000" w:rsidRDefault="0053651E">
      <w:pPr>
        <w:divId w:val="8167308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C41E8EE" w14:textId="77777777" w:rsidR="00000000" w:rsidRDefault="0053651E">
      <w:pPr>
        <w:pStyle w:val="a3"/>
        <w:spacing w:before="0" w:beforeAutospacing="0" w:after="0" w:afterAutospacing="0"/>
        <w:rPr>
          <w:sz w:val="20"/>
          <w:szCs w:val="20"/>
        </w:rPr>
      </w:pPr>
      <w:r>
        <w:rPr>
          <w:sz w:val="20"/>
          <w:szCs w:val="20"/>
        </w:rPr>
        <w:t> </w:t>
      </w:r>
    </w:p>
    <w:p w14:paraId="1791E2EE" w14:textId="77777777" w:rsidR="00000000" w:rsidRDefault="0053651E">
      <w:pPr>
        <w:pStyle w:val="a3"/>
        <w:spacing w:before="0" w:beforeAutospacing="0" w:after="0" w:afterAutospacing="0"/>
        <w:ind w:firstLine="360"/>
        <w:jc w:val="both"/>
        <w:rPr>
          <w:sz w:val="20"/>
          <w:szCs w:val="20"/>
        </w:rPr>
      </w:pPr>
      <w:r>
        <w:rPr>
          <w:sz w:val="20"/>
          <w:szCs w:val="20"/>
        </w:rPr>
        <w:t>The Com</w:t>
      </w:r>
      <w:r>
        <w:rPr>
          <w:sz w:val="20"/>
          <w:szCs w:val="20"/>
        </w:rPr>
        <w:t>pany’s investment strategy is to invest capital into high quality assets focusing on major metropolitan-area U.S. markets, predominantly on the East and West coasts and in the Sunbelt region, which are supported by strong demographics, significant projecte</w:t>
      </w:r>
      <w:r>
        <w:rPr>
          <w:sz w:val="20"/>
          <w:szCs w:val="20"/>
        </w:rPr>
        <w:t>d population growth, and where the Company perceives significant barriers to entry while disposing of lesser quality assets in less desirable locations.  Through this strategy, the Company has transformed its portfolio and will continue these efforts as de</w:t>
      </w:r>
      <w:r>
        <w:rPr>
          <w:sz w:val="20"/>
          <w:szCs w:val="20"/>
        </w:rPr>
        <w:t>emed necessary to maximize the quality and growth of its portfolio.  The properties acquired are primarily located in major metropolitan areas allowing tenants to generate higher foot traffic, resulting in higher sales volume.  The Company believes that th</w:t>
      </w:r>
      <w:r>
        <w:rPr>
          <w:sz w:val="20"/>
          <w:szCs w:val="20"/>
        </w:rPr>
        <w:t>is will enable it to maintain higher occupancy levels, rental rates and rental growth.  In addition, the Company, on a selective basis, has developed or redeveloped projects which include residential and mixed-use components.</w:t>
      </w:r>
    </w:p>
    <w:p w14:paraId="52BB9096" w14:textId="77777777" w:rsidR="00000000" w:rsidRDefault="0053651E">
      <w:pPr>
        <w:pStyle w:val="a3"/>
        <w:spacing w:before="0" w:beforeAutospacing="0" w:after="0" w:afterAutospacing="0"/>
        <w:ind w:firstLine="360"/>
        <w:jc w:val="both"/>
        <w:rPr>
          <w:sz w:val="20"/>
          <w:szCs w:val="20"/>
        </w:rPr>
      </w:pPr>
      <w:r>
        <w:rPr>
          <w:sz w:val="20"/>
          <w:szCs w:val="20"/>
        </w:rPr>
        <w:t> </w:t>
      </w:r>
    </w:p>
    <w:p w14:paraId="00A6B951" w14:textId="77777777" w:rsidR="00000000" w:rsidRDefault="0053651E">
      <w:pPr>
        <w:pStyle w:val="a3"/>
        <w:spacing w:before="0" w:beforeAutospacing="0" w:after="0" w:afterAutospacing="0"/>
        <w:ind w:firstLine="360"/>
        <w:jc w:val="both"/>
        <w:rPr>
          <w:sz w:val="20"/>
          <w:szCs w:val="20"/>
        </w:rPr>
      </w:pPr>
      <w:r>
        <w:rPr>
          <w:sz w:val="20"/>
          <w:szCs w:val="20"/>
        </w:rPr>
        <w:t>As part of the Company’s inv</w:t>
      </w:r>
      <w:r>
        <w:rPr>
          <w:sz w:val="20"/>
          <w:szCs w:val="20"/>
        </w:rPr>
        <w:t>estment strategy, each property is evaluated for its highest and best use, which may include residential and mixed-use components. In addition, the Company may consider other opportunistic investments related to retailer controlled real estate, such as, re</w:t>
      </w:r>
      <w:r>
        <w:rPr>
          <w:sz w:val="20"/>
          <w:szCs w:val="20"/>
        </w:rPr>
        <w:t>positioning underperforming retail locations, retail real estate financing and bankruptcy transaction support. The Company has an active capital recycling program which provides for the disposition of certain properties. If the estimated fair value for any</w:t>
      </w:r>
      <w:r>
        <w:rPr>
          <w:sz w:val="20"/>
          <w:szCs w:val="20"/>
        </w:rPr>
        <w:t xml:space="preserve"> of these assets is less than their net carrying values, the Company would be required to take impairment charges and such amounts could be material.  For a further discussion of these and other factors that could impact our future results, performance or </w:t>
      </w:r>
      <w:r>
        <w:rPr>
          <w:sz w:val="20"/>
          <w:szCs w:val="20"/>
        </w:rPr>
        <w:t>transactions, see Item 1A. “Risk Factors.”</w:t>
      </w:r>
    </w:p>
    <w:p w14:paraId="171FFE58" w14:textId="77777777" w:rsidR="00000000" w:rsidRDefault="0053651E">
      <w:pPr>
        <w:pStyle w:val="a3"/>
        <w:spacing w:before="0" w:beforeAutospacing="0" w:after="0" w:afterAutospacing="0"/>
        <w:ind w:firstLine="360"/>
        <w:jc w:val="both"/>
        <w:rPr>
          <w:sz w:val="20"/>
          <w:szCs w:val="20"/>
        </w:rPr>
      </w:pPr>
      <w:r>
        <w:rPr>
          <w:sz w:val="20"/>
          <w:szCs w:val="20"/>
        </w:rPr>
        <w:t> </w:t>
      </w:r>
    </w:p>
    <w:p w14:paraId="416D2600" w14:textId="77777777" w:rsidR="00000000" w:rsidRDefault="0053651E">
      <w:pPr>
        <w:pStyle w:val="a3"/>
        <w:spacing w:before="0" w:beforeAutospacing="0" w:after="0" w:afterAutospacing="0"/>
        <w:rPr>
          <w:sz w:val="20"/>
          <w:szCs w:val="20"/>
        </w:rPr>
      </w:pPr>
      <w:r>
        <w:rPr>
          <w:sz w:val="20"/>
          <w:szCs w:val="20"/>
          <w:u w:val="single"/>
        </w:rPr>
        <w:t>Results of Operations</w:t>
      </w:r>
    </w:p>
    <w:p w14:paraId="13579D8A" w14:textId="77777777" w:rsidR="00000000" w:rsidRDefault="0053651E">
      <w:pPr>
        <w:pStyle w:val="a3"/>
        <w:spacing w:before="0" w:beforeAutospacing="0" w:after="0" w:afterAutospacing="0"/>
        <w:rPr>
          <w:sz w:val="20"/>
          <w:szCs w:val="20"/>
        </w:rPr>
      </w:pPr>
      <w:r>
        <w:rPr>
          <w:sz w:val="20"/>
          <w:szCs w:val="20"/>
        </w:rPr>
        <w:t> </w:t>
      </w:r>
    </w:p>
    <w:p w14:paraId="23437686" w14:textId="77777777" w:rsidR="00000000" w:rsidRDefault="0053651E">
      <w:pPr>
        <w:pStyle w:val="a3"/>
        <w:spacing w:before="0" w:beforeAutospacing="0" w:after="0" w:afterAutospacing="0"/>
        <w:rPr>
          <w:sz w:val="20"/>
          <w:szCs w:val="20"/>
        </w:rPr>
      </w:pPr>
      <w:r>
        <w:rPr>
          <w:b/>
          <w:bCs/>
          <w:sz w:val="20"/>
          <w:szCs w:val="20"/>
        </w:rPr>
        <w:t>Comparison of Years Ended December 31, 2019 to 2018</w:t>
      </w:r>
    </w:p>
    <w:p w14:paraId="6E26BFC7" w14:textId="77777777" w:rsidR="00000000" w:rsidRDefault="0053651E">
      <w:pPr>
        <w:pStyle w:val="a3"/>
        <w:spacing w:before="0" w:beforeAutospacing="0" w:after="0" w:afterAutospacing="0"/>
        <w:rPr>
          <w:sz w:val="20"/>
          <w:szCs w:val="20"/>
        </w:rPr>
      </w:pPr>
      <w:r>
        <w:rPr>
          <w:i/>
          <w:iCs/>
          <w:sz w:val="20"/>
          <w:szCs w:val="20"/>
        </w:rPr>
        <w:t> </w:t>
      </w:r>
    </w:p>
    <w:p w14:paraId="5F9831F9" w14:textId="77777777" w:rsidR="00000000" w:rsidRDefault="0053651E">
      <w:pPr>
        <w:pStyle w:val="a3"/>
        <w:spacing w:before="0" w:beforeAutospacing="0" w:after="0" w:afterAutospacing="0"/>
        <w:ind w:firstLine="360"/>
        <w:jc w:val="both"/>
        <w:rPr>
          <w:sz w:val="20"/>
          <w:szCs w:val="20"/>
        </w:rPr>
      </w:pPr>
      <w:r>
        <w:rPr>
          <w:sz w:val="20"/>
          <w:szCs w:val="20"/>
        </w:rPr>
        <w:t>The following table presents the comparative results from the Company’s Consolidated Statements of Income for the year ended December 31, 2019, as compared to the corresponding period in 2018 (in thousands, except per share data):</w:t>
      </w:r>
    </w:p>
    <w:p w14:paraId="6CC200E2" w14:textId="77777777" w:rsidR="00000000" w:rsidRDefault="0053651E">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476"/>
        <w:gridCol w:w="71"/>
        <w:gridCol w:w="100"/>
        <w:gridCol w:w="1089"/>
        <w:gridCol w:w="71"/>
        <w:gridCol w:w="72"/>
        <w:gridCol w:w="100"/>
        <w:gridCol w:w="1090"/>
        <w:gridCol w:w="72"/>
        <w:gridCol w:w="72"/>
        <w:gridCol w:w="100"/>
        <w:gridCol w:w="1090"/>
        <w:gridCol w:w="72"/>
      </w:tblGrid>
      <w:tr w:rsidR="00000000" w14:paraId="19EBCACC" w14:textId="77777777">
        <w:trPr>
          <w:tblCellSpacing w:w="0" w:type="dxa"/>
        </w:trPr>
        <w:tc>
          <w:tcPr>
            <w:tcW w:w="0" w:type="auto"/>
            <w:vAlign w:val="bottom"/>
            <w:hideMark/>
          </w:tcPr>
          <w:p w14:paraId="69A8DFB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E9BC5B4"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08FC49C9" w14:textId="77777777" w:rsidR="00000000" w:rsidRDefault="0053651E">
            <w:pPr>
              <w:pStyle w:val="a3"/>
              <w:spacing w:before="0" w:beforeAutospacing="0" w:after="0" w:afterAutospacing="0"/>
              <w:jc w:val="center"/>
              <w:rPr>
                <w:sz w:val="20"/>
                <w:szCs w:val="20"/>
              </w:rPr>
            </w:pPr>
            <w:r>
              <w:rPr>
                <w:b/>
                <w:bCs/>
                <w:sz w:val="20"/>
                <w:szCs w:val="20"/>
              </w:rPr>
              <w:t>Year Ended December</w:t>
            </w:r>
            <w:r>
              <w:rPr>
                <w:b/>
                <w:bCs/>
                <w:sz w:val="20"/>
                <w:szCs w:val="20"/>
              </w:rPr>
              <w:t xml:space="preserve"> 31,</w:t>
            </w:r>
          </w:p>
        </w:tc>
        <w:tc>
          <w:tcPr>
            <w:tcW w:w="0" w:type="auto"/>
            <w:tcMar>
              <w:top w:w="0" w:type="dxa"/>
              <w:left w:w="0" w:type="dxa"/>
              <w:bottom w:w="15" w:type="dxa"/>
              <w:right w:w="0" w:type="dxa"/>
            </w:tcMar>
            <w:vAlign w:val="bottom"/>
            <w:hideMark/>
          </w:tcPr>
          <w:p w14:paraId="51A74AC2" w14:textId="77777777" w:rsidR="00000000" w:rsidRDefault="0053651E">
            <w:pPr>
              <w:rPr>
                <w:rFonts w:eastAsia="Times New Roman"/>
                <w:sz w:val="20"/>
                <w:szCs w:val="20"/>
              </w:rPr>
            </w:pPr>
            <w:r>
              <w:rPr>
                <w:rFonts w:eastAsia="Times New Roman"/>
                <w:sz w:val="20"/>
                <w:szCs w:val="20"/>
              </w:rPr>
              <w:t> </w:t>
            </w:r>
          </w:p>
        </w:tc>
      </w:tr>
      <w:tr w:rsidR="00000000" w14:paraId="7E9DCD74" w14:textId="77777777">
        <w:trPr>
          <w:tblCellSpacing w:w="0" w:type="dxa"/>
        </w:trPr>
        <w:tc>
          <w:tcPr>
            <w:tcW w:w="0" w:type="auto"/>
            <w:vAlign w:val="bottom"/>
            <w:hideMark/>
          </w:tcPr>
          <w:p w14:paraId="05CFB12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BCCE69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EB7D1A7"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CF2CB7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975296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EC1B6F8"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895398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FCD16E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9F4AFD3" w14:textId="77777777" w:rsidR="00000000" w:rsidRDefault="0053651E">
            <w:pPr>
              <w:pStyle w:val="a3"/>
              <w:spacing w:before="0" w:beforeAutospacing="0" w:after="0" w:afterAutospacing="0"/>
              <w:jc w:val="center"/>
              <w:rPr>
                <w:sz w:val="20"/>
                <w:szCs w:val="20"/>
              </w:rPr>
            </w:pPr>
            <w:r>
              <w:rPr>
                <w:b/>
                <w:bCs/>
                <w:sz w:val="20"/>
                <w:szCs w:val="20"/>
              </w:rPr>
              <w:t>$ Change</w:t>
            </w:r>
          </w:p>
        </w:tc>
        <w:tc>
          <w:tcPr>
            <w:tcW w:w="0" w:type="auto"/>
            <w:tcMar>
              <w:top w:w="0" w:type="dxa"/>
              <w:left w:w="0" w:type="dxa"/>
              <w:bottom w:w="15" w:type="dxa"/>
              <w:right w:w="0" w:type="dxa"/>
            </w:tcMar>
            <w:vAlign w:val="bottom"/>
            <w:hideMark/>
          </w:tcPr>
          <w:p w14:paraId="6B0A20EB" w14:textId="77777777" w:rsidR="00000000" w:rsidRDefault="0053651E">
            <w:pPr>
              <w:rPr>
                <w:rFonts w:eastAsia="Times New Roman"/>
                <w:sz w:val="20"/>
                <w:szCs w:val="20"/>
              </w:rPr>
            </w:pPr>
            <w:r>
              <w:rPr>
                <w:rFonts w:eastAsia="Times New Roman"/>
                <w:sz w:val="20"/>
                <w:szCs w:val="20"/>
              </w:rPr>
              <w:t> </w:t>
            </w:r>
          </w:p>
        </w:tc>
      </w:tr>
      <w:tr w:rsidR="00000000" w14:paraId="4F8FCE07" w14:textId="77777777">
        <w:trPr>
          <w:tblCellSpacing w:w="0" w:type="dxa"/>
        </w:trPr>
        <w:tc>
          <w:tcPr>
            <w:tcW w:w="0" w:type="auto"/>
            <w:shd w:val="clear" w:color="auto" w:fill="CCEEFF"/>
            <w:vAlign w:val="bottom"/>
            <w:hideMark/>
          </w:tcPr>
          <w:p w14:paraId="06DFE589" w14:textId="77777777" w:rsidR="00000000" w:rsidRDefault="0053651E">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56757F2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9ADD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249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584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5E8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5495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8AB6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D4DF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994F5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86E24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A488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DD422" w14:textId="77777777" w:rsidR="00000000" w:rsidRDefault="0053651E">
            <w:pPr>
              <w:rPr>
                <w:rFonts w:eastAsia="Times New Roman"/>
                <w:sz w:val="20"/>
                <w:szCs w:val="20"/>
              </w:rPr>
            </w:pPr>
            <w:r>
              <w:rPr>
                <w:rFonts w:eastAsia="Times New Roman"/>
                <w:sz w:val="20"/>
                <w:szCs w:val="20"/>
              </w:rPr>
              <w:t> </w:t>
            </w:r>
          </w:p>
        </w:tc>
      </w:tr>
      <w:tr w:rsidR="00000000" w14:paraId="3DE77231" w14:textId="77777777">
        <w:trPr>
          <w:tblCellSpacing w:w="0" w:type="dxa"/>
        </w:trPr>
        <w:tc>
          <w:tcPr>
            <w:tcW w:w="2225" w:type="pct"/>
            <w:shd w:val="clear" w:color="auto" w:fill="FFFFFF"/>
            <w:vAlign w:val="bottom"/>
            <w:hideMark/>
          </w:tcPr>
          <w:p w14:paraId="5ADFCCCA" w14:textId="77777777" w:rsidR="00000000" w:rsidRDefault="0053651E">
            <w:pPr>
              <w:pStyle w:val="a3"/>
              <w:spacing w:before="0" w:beforeAutospacing="0" w:after="0" w:afterAutospacing="0"/>
              <w:ind w:left="540"/>
              <w:rPr>
                <w:sz w:val="20"/>
                <w:szCs w:val="20"/>
              </w:rPr>
            </w:pPr>
            <w:r>
              <w:rPr>
                <w:sz w:val="20"/>
                <w:szCs w:val="20"/>
              </w:rPr>
              <w:t>Revenues from rental properties, net (1)</w:t>
            </w:r>
          </w:p>
        </w:tc>
        <w:tc>
          <w:tcPr>
            <w:tcW w:w="50" w:type="pct"/>
            <w:shd w:val="clear" w:color="auto" w:fill="FFFFFF"/>
            <w:vAlign w:val="bottom"/>
            <w:hideMark/>
          </w:tcPr>
          <w:p w14:paraId="56C050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EE65E0"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16C715EC" w14:textId="77777777" w:rsidR="00000000" w:rsidRDefault="0053651E">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14:paraId="6EA0C6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EC90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666FB8"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72D8AD79" w14:textId="77777777" w:rsidR="00000000" w:rsidRDefault="0053651E">
            <w:pPr>
              <w:jc w:val="right"/>
              <w:rPr>
                <w:rFonts w:eastAsia="Times New Roman"/>
                <w:sz w:val="20"/>
                <w:szCs w:val="20"/>
              </w:rPr>
            </w:pPr>
            <w:r>
              <w:rPr>
                <w:rFonts w:eastAsia="Times New Roman"/>
                <w:sz w:val="20"/>
                <w:szCs w:val="20"/>
              </w:rPr>
              <w:t>1,149,603</w:t>
            </w:r>
          </w:p>
        </w:tc>
        <w:tc>
          <w:tcPr>
            <w:tcW w:w="50" w:type="pct"/>
            <w:shd w:val="clear" w:color="auto" w:fill="FFFFFF"/>
            <w:vAlign w:val="bottom"/>
            <w:hideMark/>
          </w:tcPr>
          <w:p w14:paraId="7D83ED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41BC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F970B0"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716510A9" w14:textId="77777777" w:rsidR="00000000" w:rsidRDefault="0053651E">
            <w:pPr>
              <w:jc w:val="right"/>
              <w:rPr>
                <w:rFonts w:eastAsia="Times New Roman"/>
                <w:sz w:val="20"/>
                <w:szCs w:val="20"/>
              </w:rPr>
            </w:pPr>
            <w:r>
              <w:rPr>
                <w:rFonts w:eastAsia="Times New Roman"/>
                <w:sz w:val="20"/>
                <w:szCs w:val="20"/>
              </w:rPr>
              <w:t>(7,269</w:t>
            </w:r>
          </w:p>
        </w:tc>
        <w:tc>
          <w:tcPr>
            <w:tcW w:w="50" w:type="pct"/>
            <w:shd w:val="clear" w:color="auto" w:fill="FFFFFF"/>
            <w:vAlign w:val="bottom"/>
            <w:hideMark/>
          </w:tcPr>
          <w:p w14:paraId="4D3D25FE" w14:textId="77777777" w:rsidR="00000000" w:rsidRDefault="0053651E">
            <w:pPr>
              <w:rPr>
                <w:rFonts w:eastAsia="Times New Roman"/>
                <w:sz w:val="20"/>
                <w:szCs w:val="20"/>
              </w:rPr>
            </w:pPr>
            <w:r>
              <w:rPr>
                <w:rFonts w:eastAsia="Times New Roman"/>
                <w:sz w:val="20"/>
                <w:szCs w:val="20"/>
              </w:rPr>
              <w:t>)</w:t>
            </w:r>
          </w:p>
        </w:tc>
      </w:tr>
      <w:tr w:rsidR="00000000" w14:paraId="16A77A50" w14:textId="77777777">
        <w:trPr>
          <w:tblCellSpacing w:w="0" w:type="dxa"/>
        </w:trPr>
        <w:tc>
          <w:tcPr>
            <w:tcW w:w="0" w:type="auto"/>
            <w:shd w:val="clear" w:color="auto" w:fill="CCEEFF"/>
            <w:vAlign w:val="bottom"/>
            <w:hideMark/>
          </w:tcPr>
          <w:p w14:paraId="7314915F" w14:textId="77777777" w:rsidR="00000000" w:rsidRDefault="0053651E">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14:paraId="7719E5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9829B2"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38459F8" w14:textId="77777777" w:rsidR="00000000" w:rsidRDefault="0053651E">
            <w:pPr>
              <w:jc w:val="right"/>
              <w:rPr>
                <w:rFonts w:eastAsia="Times New Roman"/>
                <w:sz w:val="20"/>
                <w:szCs w:val="20"/>
              </w:rPr>
            </w:pPr>
            <w:r>
              <w:rPr>
                <w:rFonts w:eastAsia="Times New Roman"/>
                <w:sz w:val="20"/>
                <w:szCs w:val="20"/>
              </w:rPr>
              <w:t>16,550</w:t>
            </w:r>
          </w:p>
        </w:tc>
        <w:tc>
          <w:tcPr>
            <w:tcW w:w="50" w:type="pct"/>
            <w:shd w:val="clear" w:color="auto" w:fill="CCEEFF"/>
            <w:vAlign w:val="bottom"/>
            <w:hideMark/>
          </w:tcPr>
          <w:p w14:paraId="677C63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0D67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51CDA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04C1DAB" w14:textId="77777777" w:rsidR="00000000" w:rsidRDefault="0053651E">
            <w:pPr>
              <w:jc w:val="right"/>
              <w:rPr>
                <w:rFonts w:eastAsia="Times New Roman"/>
                <w:sz w:val="20"/>
                <w:szCs w:val="20"/>
              </w:rPr>
            </w:pPr>
            <w:r>
              <w:rPr>
                <w:rFonts w:eastAsia="Times New Roman"/>
                <w:sz w:val="20"/>
                <w:szCs w:val="20"/>
              </w:rPr>
              <w:t>15,159</w:t>
            </w:r>
          </w:p>
        </w:tc>
        <w:tc>
          <w:tcPr>
            <w:tcW w:w="50" w:type="pct"/>
            <w:shd w:val="clear" w:color="auto" w:fill="CCEEFF"/>
            <w:vAlign w:val="bottom"/>
            <w:hideMark/>
          </w:tcPr>
          <w:p w14:paraId="631B0F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27B3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25BDF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8F62BDC" w14:textId="77777777" w:rsidR="00000000" w:rsidRDefault="0053651E">
            <w:pPr>
              <w:jc w:val="right"/>
              <w:rPr>
                <w:rFonts w:eastAsia="Times New Roman"/>
                <w:sz w:val="20"/>
                <w:szCs w:val="20"/>
              </w:rPr>
            </w:pPr>
            <w:r>
              <w:rPr>
                <w:rFonts w:eastAsia="Times New Roman"/>
                <w:sz w:val="20"/>
                <w:szCs w:val="20"/>
              </w:rPr>
              <w:t>1,391</w:t>
            </w:r>
          </w:p>
        </w:tc>
        <w:tc>
          <w:tcPr>
            <w:tcW w:w="50" w:type="pct"/>
            <w:shd w:val="clear" w:color="auto" w:fill="CCEEFF"/>
            <w:vAlign w:val="bottom"/>
            <w:hideMark/>
          </w:tcPr>
          <w:p w14:paraId="16FD836C" w14:textId="77777777" w:rsidR="00000000" w:rsidRDefault="0053651E">
            <w:pPr>
              <w:rPr>
                <w:rFonts w:eastAsia="Times New Roman"/>
                <w:sz w:val="20"/>
                <w:szCs w:val="20"/>
              </w:rPr>
            </w:pPr>
            <w:r>
              <w:rPr>
                <w:rFonts w:eastAsia="Times New Roman"/>
                <w:sz w:val="20"/>
                <w:szCs w:val="20"/>
              </w:rPr>
              <w:t> </w:t>
            </w:r>
          </w:p>
        </w:tc>
      </w:tr>
      <w:tr w:rsidR="00000000" w14:paraId="777D3776" w14:textId="77777777">
        <w:trPr>
          <w:tblCellSpacing w:w="0" w:type="dxa"/>
        </w:trPr>
        <w:tc>
          <w:tcPr>
            <w:tcW w:w="0" w:type="auto"/>
            <w:shd w:val="clear" w:color="auto" w:fill="FFFFFF"/>
            <w:vAlign w:val="bottom"/>
            <w:hideMark/>
          </w:tcPr>
          <w:p w14:paraId="320C0BC1" w14:textId="77777777" w:rsidR="00000000" w:rsidRDefault="0053651E">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132BC9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D4D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CDA1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F61C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45CC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9BA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D0E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936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6C0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9517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7A1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49D8E" w14:textId="77777777" w:rsidR="00000000" w:rsidRDefault="0053651E">
            <w:pPr>
              <w:rPr>
                <w:rFonts w:eastAsia="Times New Roman"/>
                <w:sz w:val="20"/>
                <w:szCs w:val="20"/>
              </w:rPr>
            </w:pPr>
            <w:r>
              <w:rPr>
                <w:rFonts w:eastAsia="Times New Roman"/>
                <w:sz w:val="20"/>
                <w:szCs w:val="20"/>
              </w:rPr>
              <w:t> </w:t>
            </w:r>
          </w:p>
        </w:tc>
      </w:tr>
      <w:tr w:rsidR="00000000" w14:paraId="18FCF72F" w14:textId="77777777">
        <w:trPr>
          <w:tblCellSpacing w:w="0" w:type="dxa"/>
        </w:trPr>
        <w:tc>
          <w:tcPr>
            <w:tcW w:w="0" w:type="auto"/>
            <w:shd w:val="clear" w:color="auto" w:fill="CCEEFF"/>
            <w:vAlign w:val="bottom"/>
            <w:hideMark/>
          </w:tcPr>
          <w:p w14:paraId="19C592C5" w14:textId="77777777" w:rsidR="00000000" w:rsidRDefault="0053651E">
            <w:pPr>
              <w:pStyle w:val="a3"/>
              <w:spacing w:before="0" w:beforeAutospacing="0" w:after="0" w:afterAutospacing="0"/>
              <w:ind w:left="540"/>
              <w:rPr>
                <w:sz w:val="20"/>
                <w:szCs w:val="20"/>
              </w:rPr>
            </w:pPr>
            <w:r>
              <w:rPr>
                <w:sz w:val="20"/>
                <w:szCs w:val="20"/>
              </w:rPr>
              <w:t>Rent (2)</w:t>
            </w:r>
          </w:p>
        </w:tc>
        <w:tc>
          <w:tcPr>
            <w:tcW w:w="50" w:type="pct"/>
            <w:shd w:val="clear" w:color="auto" w:fill="CCEEFF"/>
            <w:vAlign w:val="bottom"/>
            <w:hideMark/>
          </w:tcPr>
          <w:p w14:paraId="4B9C4E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79BB0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7082EE4" w14:textId="77777777" w:rsidR="00000000" w:rsidRDefault="0053651E">
            <w:pPr>
              <w:jc w:val="right"/>
              <w:rPr>
                <w:rFonts w:eastAsia="Times New Roman"/>
                <w:sz w:val="20"/>
                <w:szCs w:val="20"/>
              </w:rPr>
            </w:pPr>
            <w:r>
              <w:rPr>
                <w:rFonts w:eastAsia="Times New Roman"/>
                <w:sz w:val="20"/>
                <w:szCs w:val="20"/>
              </w:rPr>
              <w:t>(11,311</w:t>
            </w:r>
          </w:p>
        </w:tc>
        <w:tc>
          <w:tcPr>
            <w:tcW w:w="50" w:type="pct"/>
            <w:shd w:val="clear" w:color="auto" w:fill="CCEEFF"/>
            <w:vAlign w:val="bottom"/>
            <w:hideMark/>
          </w:tcPr>
          <w:p w14:paraId="1FFBC1A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84057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73D3F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1979BCC" w14:textId="77777777" w:rsidR="00000000" w:rsidRDefault="0053651E">
            <w:pPr>
              <w:jc w:val="right"/>
              <w:rPr>
                <w:rFonts w:eastAsia="Times New Roman"/>
                <w:sz w:val="20"/>
                <w:szCs w:val="20"/>
              </w:rPr>
            </w:pPr>
            <w:r>
              <w:rPr>
                <w:rFonts w:eastAsia="Times New Roman"/>
                <w:sz w:val="20"/>
                <w:szCs w:val="20"/>
              </w:rPr>
              <w:t>(10,929</w:t>
            </w:r>
          </w:p>
        </w:tc>
        <w:tc>
          <w:tcPr>
            <w:tcW w:w="50" w:type="pct"/>
            <w:shd w:val="clear" w:color="auto" w:fill="CCEEFF"/>
            <w:vAlign w:val="bottom"/>
            <w:hideMark/>
          </w:tcPr>
          <w:p w14:paraId="2040BEB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EE087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BA6B3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8AF6490" w14:textId="77777777" w:rsidR="00000000" w:rsidRDefault="0053651E">
            <w:pPr>
              <w:jc w:val="right"/>
              <w:rPr>
                <w:rFonts w:eastAsia="Times New Roman"/>
                <w:sz w:val="20"/>
                <w:szCs w:val="20"/>
              </w:rPr>
            </w:pPr>
            <w:r>
              <w:rPr>
                <w:rFonts w:eastAsia="Times New Roman"/>
                <w:sz w:val="20"/>
                <w:szCs w:val="20"/>
              </w:rPr>
              <w:t>(382</w:t>
            </w:r>
          </w:p>
        </w:tc>
        <w:tc>
          <w:tcPr>
            <w:tcW w:w="50" w:type="pct"/>
            <w:shd w:val="clear" w:color="auto" w:fill="CCEEFF"/>
            <w:vAlign w:val="bottom"/>
            <w:hideMark/>
          </w:tcPr>
          <w:p w14:paraId="6BB1A467" w14:textId="77777777" w:rsidR="00000000" w:rsidRDefault="0053651E">
            <w:pPr>
              <w:rPr>
                <w:rFonts w:eastAsia="Times New Roman"/>
                <w:sz w:val="20"/>
                <w:szCs w:val="20"/>
              </w:rPr>
            </w:pPr>
            <w:r>
              <w:rPr>
                <w:rFonts w:eastAsia="Times New Roman"/>
                <w:sz w:val="20"/>
                <w:szCs w:val="20"/>
              </w:rPr>
              <w:t>)</w:t>
            </w:r>
          </w:p>
        </w:tc>
      </w:tr>
      <w:tr w:rsidR="00000000" w14:paraId="7CF4B768" w14:textId="77777777">
        <w:trPr>
          <w:tblCellSpacing w:w="0" w:type="dxa"/>
        </w:trPr>
        <w:tc>
          <w:tcPr>
            <w:tcW w:w="0" w:type="auto"/>
            <w:shd w:val="clear" w:color="auto" w:fill="FFFFFF"/>
            <w:vAlign w:val="bottom"/>
            <w:hideMark/>
          </w:tcPr>
          <w:p w14:paraId="3BA391FA" w14:textId="77777777" w:rsidR="00000000" w:rsidRDefault="0053651E">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14:paraId="0D23FD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C9EDF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5B9E575" w14:textId="77777777" w:rsidR="00000000" w:rsidRDefault="0053651E">
            <w:pPr>
              <w:jc w:val="right"/>
              <w:rPr>
                <w:rFonts w:eastAsia="Times New Roman"/>
                <w:sz w:val="20"/>
                <w:szCs w:val="20"/>
              </w:rPr>
            </w:pPr>
            <w:r>
              <w:rPr>
                <w:rFonts w:eastAsia="Times New Roman"/>
                <w:sz w:val="20"/>
                <w:szCs w:val="20"/>
              </w:rPr>
              <w:t>(153,659</w:t>
            </w:r>
          </w:p>
        </w:tc>
        <w:tc>
          <w:tcPr>
            <w:tcW w:w="50" w:type="pct"/>
            <w:shd w:val="clear" w:color="auto" w:fill="FFFFFF"/>
            <w:vAlign w:val="bottom"/>
            <w:hideMark/>
          </w:tcPr>
          <w:p w14:paraId="37A4881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E063C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3A295F"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251DDE8" w14:textId="77777777" w:rsidR="00000000" w:rsidRDefault="0053651E">
            <w:pPr>
              <w:jc w:val="right"/>
              <w:rPr>
                <w:rFonts w:eastAsia="Times New Roman"/>
                <w:sz w:val="20"/>
                <w:szCs w:val="20"/>
              </w:rPr>
            </w:pPr>
            <w:r>
              <w:rPr>
                <w:rFonts w:eastAsia="Times New Roman"/>
                <w:sz w:val="20"/>
                <w:szCs w:val="20"/>
              </w:rPr>
              <w:t>(153,336</w:t>
            </w:r>
          </w:p>
        </w:tc>
        <w:tc>
          <w:tcPr>
            <w:tcW w:w="50" w:type="pct"/>
            <w:shd w:val="clear" w:color="auto" w:fill="FFFFFF"/>
            <w:vAlign w:val="bottom"/>
            <w:hideMark/>
          </w:tcPr>
          <w:p w14:paraId="39BAD03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ED1C9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2C54A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CB91928" w14:textId="77777777" w:rsidR="00000000" w:rsidRDefault="0053651E">
            <w:pPr>
              <w:jc w:val="right"/>
              <w:rPr>
                <w:rFonts w:eastAsia="Times New Roman"/>
                <w:sz w:val="20"/>
                <w:szCs w:val="20"/>
              </w:rPr>
            </w:pPr>
            <w:r>
              <w:rPr>
                <w:rFonts w:eastAsia="Times New Roman"/>
                <w:sz w:val="20"/>
                <w:szCs w:val="20"/>
              </w:rPr>
              <w:t>(323</w:t>
            </w:r>
          </w:p>
        </w:tc>
        <w:tc>
          <w:tcPr>
            <w:tcW w:w="50" w:type="pct"/>
            <w:shd w:val="clear" w:color="auto" w:fill="FFFFFF"/>
            <w:vAlign w:val="bottom"/>
            <w:hideMark/>
          </w:tcPr>
          <w:p w14:paraId="64070918" w14:textId="77777777" w:rsidR="00000000" w:rsidRDefault="0053651E">
            <w:pPr>
              <w:rPr>
                <w:rFonts w:eastAsia="Times New Roman"/>
                <w:sz w:val="20"/>
                <w:szCs w:val="20"/>
              </w:rPr>
            </w:pPr>
            <w:r>
              <w:rPr>
                <w:rFonts w:eastAsia="Times New Roman"/>
                <w:sz w:val="20"/>
                <w:szCs w:val="20"/>
              </w:rPr>
              <w:t>)</w:t>
            </w:r>
          </w:p>
        </w:tc>
      </w:tr>
      <w:tr w:rsidR="00000000" w14:paraId="3C83E75D" w14:textId="77777777">
        <w:trPr>
          <w:tblCellSpacing w:w="0" w:type="dxa"/>
        </w:trPr>
        <w:tc>
          <w:tcPr>
            <w:tcW w:w="0" w:type="auto"/>
            <w:shd w:val="clear" w:color="auto" w:fill="CCEEFF"/>
            <w:vAlign w:val="bottom"/>
            <w:hideMark/>
          </w:tcPr>
          <w:p w14:paraId="532CFAE1" w14:textId="77777777" w:rsidR="00000000" w:rsidRDefault="0053651E">
            <w:pPr>
              <w:pStyle w:val="a3"/>
              <w:spacing w:before="0" w:beforeAutospacing="0" w:after="0" w:afterAutospacing="0"/>
              <w:ind w:left="540"/>
              <w:rPr>
                <w:sz w:val="20"/>
                <w:szCs w:val="20"/>
              </w:rPr>
            </w:pPr>
            <w:r>
              <w:rPr>
                <w:sz w:val="20"/>
                <w:szCs w:val="20"/>
              </w:rPr>
              <w:t>Operating and maintenance (3)</w:t>
            </w:r>
          </w:p>
        </w:tc>
        <w:tc>
          <w:tcPr>
            <w:tcW w:w="50" w:type="pct"/>
            <w:shd w:val="clear" w:color="auto" w:fill="CCEEFF"/>
            <w:vAlign w:val="bottom"/>
            <w:hideMark/>
          </w:tcPr>
          <w:p w14:paraId="7FA16B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A0E8F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E1704DB" w14:textId="77777777" w:rsidR="00000000" w:rsidRDefault="0053651E">
            <w:pPr>
              <w:jc w:val="right"/>
              <w:rPr>
                <w:rFonts w:eastAsia="Times New Roman"/>
                <w:sz w:val="20"/>
                <w:szCs w:val="20"/>
              </w:rPr>
            </w:pPr>
            <w:r>
              <w:rPr>
                <w:rFonts w:eastAsia="Times New Roman"/>
                <w:sz w:val="20"/>
                <w:szCs w:val="20"/>
              </w:rPr>
              <w:t>(171,981</w:t>
            </w:r>
          </w:p>
        </w:tc>
        <w:tc>
          <w:tcPr>
            <w:tcW w:w="50" w:type="pct"/>
            <w:shd w:val="clear" w:color="auto" w:fill="CCEEFF"/>
            <w:vAlign w:val="bottom"/>
            <w:hideMark/>
          </w:tcPr>
          <w:p w14:paraId="4422226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C8E58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E80D9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05E10C8" w14:textId="77777777" w:rsidR="00000000" w:rsidRDefault="0053651E">
            <w:pPr>
              <w:jc w:val="right"/>
              <w:rPr>
                <w:rFonts w:eastAsia="Times New Roman"/>
                <w:sz w:val="20"/>
                <w:szCs w:val="20"/>
              </w:rPr>
            </w:pPr>
            <w:r>
              <w:rPr>
                <w:rFonts w:eastAsia="Times New Roman"/>
                <w:sz w:val="20"/>
                <w:szCs w:val="20"/>
              </w:rPr>
              <w:t>(164,294</w:t>
            </w:r>
          </w:p>
        </w:tc>
        <w:tc>
          <w:tcPr>
            <w:tcW w:w="50" w:type="pct"/>
            <w:shd w:val="clear" w:color="auto" w:fill="CCEEFF"/>
            <w:vAlign w:val="bottom"/>
            <w:hideMark/>
          </w:tcPr>
          <w:p w14:paraId="33B6819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B96CC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335DF9"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4A8FE63" w14:textId="77777777" w:rsidR="00000000" w:rsidRDefault="0053651E">
            <w:pPr>
              <w:jc w:val="right"/>
              <w:rPr>
                <w:rFonts w:eastAsia="Times New Roman"/>
                <w:sz w:val="20"/>
                <w:szCs w:val="20"/>
              </w:rPr>
            </w:pPr>
            <w:r>
              <w:rPr>
                <w:rFonts w:eastAsia="Times New Roman"/>
                <w:sz w:val="20"/>
                <w:szCs w:val="20"/>
              </w:rPr>
              <w:t>(7,687</w:t>
            </w:r>
          </w:p>
        </w:tc>
        <w:tc>
          <w:tcPr>
            <w:tcW w:w="50" w:type="pct"/>
            <w:shd w:val="clear" w:color="auto" w:fill="CCEEFF"/>
            <w:vAlign w:val="bottom"/>
            <w:hideMark/>
          </w:tcPr>
          <w:p w14:paraId="2233E925" w14:textId="77777777" w:rsidR="00000000" w:rsidRDefault="0053651E">
            <w:pPr>
              <w:rPr>
                <w:rFonts w:eastAsia="Times New Roman"/>
                <w:sz w:val="20"/>
                <w:szCs w:val="20"/>
              </w:rPr>
            </w:pPr>
            <w:r>
              <w:rPr>
                <w:rFonts w:eastAsia="Times New Roman"/>
                <w:sz w:val="20"/>
                <w:szCs w:val="20"/>
              </w:rPr>
              <w:t>)</w:t>
            </w:r>
          </w:p>
        </w:tc>
      </w:tr>
      <w:tr w:rsidR="00000000" w14:paraId="145CCB64" w14:textId="77777777">
        <w:trPr>
          <w:tblCellSpacing w:w="0" w:type="dxa"/>
        </w:trPr>
        <w:tc>
          <w:tcPr>
            <w:tcW w:w="0" w:type="auto"/>
            <w:shd w:val="clear" w:color="auto" w:fill="FFFFFF"/>
            <w:vAlign w:val="bottom"/>
            <w:hideMark/>
          </w:tcPr>
          <w:p w14:paraId="2B4FBA18" w14:textId="77777777" w:rsidR="00000000" w:rsidRDefault="0053651E">
            <w:pPr>
              <w:pStyle w:val="a3"/>
              <w:spacing w:before="0" w:beforeAutospacing="0" w:after="0" w:afterAutospacing="0"/>
              <w:ind w:left="540"/>
              <w:rPr>
                <w:sz w:val="20"/>
                <w:szCs w:val="20"/>
              </w:rPr>
            </w:pPr>
            <w:r>
              <w:rPr>
                <w:sz w:val="20"/>
                <w:szCs w:val="20"/>
              </w:rPr>
              <w:t>General and administrative (4)</w:t>
            </w:r>
          </w:p>
        </w:tc>
        <w:tc>
          <w:tcPr>
            <w:tcW w:w="50" w:type="pct"/>
            <w:shd w:val="clear" w:color="auto" w:fill="FFFFFF"/>
            <w:vAlign w:val="bottom"/>
            <w:hideMark/>
          </w:tcPr>
          <w:p w14:paraId="2CA306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37B085"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47BA187" w14:textId="77777777" w:rsidR="00000000" w:rsidRDefault="0053651E">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14:paraId="55F08F4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8B4C1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68772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7AFADEB" w14:textId="77777777" w:rsidR="00000000" w:rsidRDefault="0053651E">
            <w:pPr>
              <w:jc w:val="right"/>
              <w:rPr>
                <w:rFonts w:eastAsia="Times New Roman"/>
                <w:sz w:val="20"/>
                <w:szCs w:val="20"/>
              </w:rPr>
            </w:pPr>
            <w:r>
              <w:rPr>
                <w:rFonts w:eastAsia="Times New Roman"/>
                <w:sz w:val="20"/>
                <w:szCs w:val="20"/>
              </w:rPr>
              <w:t>(87,797</w:t>
            </w:r>
          </w:p>
        </w:tc>
        <w:tc>
          <w:tcPr>
            <w:tcW w:w="50" w:type="pct"/>
            <w:shd w:val="clear" w:color="auto" w:fill="FFFFFF"/>
            <w:vAlign w:val="bottom"/>
            <w:hideMark/>
          </w:tcPr>
          <w:p w14:paraId="09AFE44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BD5D5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6CA1E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38C3EA4" w14:textId="77777777" w:rsidR="00000000" w:rsidRDefault="0053651E">
            <w:pPr>
              <w:jc w:val="right"/>
              <w:rPr>
                <w:rFonts w:eastAsia="Times New Roman"/>
                <w:sz w:val="20"/>
                <w:szCs w:val="20"/>
              </w:rPr>
            </w:pPr>
            <w:r>
              <w:rPr>
                <w:rFonts w:eastAsia="Times New Roman"/>
                <w:sz w:val="20"/>
                <w:szCs w:val="20"/>
              </w:rPr>
              <w:t>(9,145</w:t>
            </w:r>
          </w:p>
        </w:tc>
        <w:tc>
          <w:tcPr>
            <w:tcW w:w="50" w:type="pct"/>
            <w:shd w:val="clear" w:color="auto" w:fill="FFFFFF"/>
            <w:vAlign w:val="bottom"/>
            <w:hideMark/>
          </w:tcPr>
          <w:p w14:paraId="364BC8A2" w14:textId="77777777" w:rsidR="00000000" w:rsidRDefault="0053651E">
            <w:pPr>
              <w:rPr>
                <w:rFonts w:eastAsia="Times New Roman"/>
                <w:sz w:val="20"/>
                <w:szCs w:val="20"/>
              </w:rPr>
            </w:pPr>
            <w:r>
              <w:rPr>
                <w:rFonts w:eastAsia="Times New Roman"/>
                <w:sz w:val="20"/>
                <w:szCs w:val="20"/>
              </w:rPr>
              <w:t>)</w:t>
            </w:r>
          </w:p>
        </w:tc>
      </w:tr>
      <w:tr w:rsidR="00000000" w14:paraId="50268E34" w14:textId="77777777">
        <w:trPr>
          <w:tblCellSpacing w:w="0" w:type="dxa"/>
        </w:trPr>
        <w:tc>
          <w:tcPr>
            <w:tcW w:w="0" w:type="auto"/>
            <w:shd w:val="clear" w:color="auto" w:fill="CCEEFF"/>
            <w:vAlign w:val="bottom"/>
            <w:hideMark/>
          </w:tcPr>
          <w:p w14:paraId="46F37B51" w14:textId="77777777" w:rsidR="00000000" w:rsidRDefault="0053651E">
            <w:pPr>
              <w:pStyle w:val="a3"/>
              <w:spacing w:before="0" w:beforeAutospacing="0" w:after="0" w:afterAutospacing="0"/>
              <w:ind w:left="540"/>
              <w:rPr>
                <w:sz w:val="20"/>
                <w:szCs w:val="20"/>
              </w:rPr>
            </w:pPr>
            <w:r>
              <w:rPr>
                <w:sz w:val="20"/>
                <w:szCs w:val="20"/>
              </w:rPr>
              <w:t>Provision for doubtful accounts (5)</w:t>
            </w:r>
          </w:p>
        </w:tc>
        <w:tc>
          <w:tcPr>
            <w:tcW w:w="50" w:type="pct"/>
            <w:shd w:val="clear" w:color="auto" w:fill="CCEEFF"/>
            <w:vAlign w:val="bottom"/>
            <w:hideMark/>
          </w:tcPr>
          <w:p w14:paraId="05CEB0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65B65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A11A77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25325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D277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2F9428"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753A477" w14:textId="77777777" w:rsidR="00000000" w:rsidRDefault="0053651E">
            <w:pPr>
              <w:jc w:val="right"/>
              <w:rPr>
                <w:rFonts w:eastAsia="Times New Roman"/>
                <w:sz w:val="20"/>
                <w:szCs w:val="20"/>
              </w:rPr>
            </w:pPr>
            <w:r>
              <w:rPr>
                <w:rFonts w:eastAsia="Times New Roman"/>
                <w:sz w:val="20"/>
                <w:szCs w:val="20"/>
              </w:rPr>
              <w:t>(6,253</w:t>
            </w:r>
          </w:p>
        </w:tc>
        <w:tc>
          <w:tcPr>
            <w:tcW w:w="50" w:type="pct"/>
            <w:shd w:val="clear" w:color="auto" w:fill="CCEEFF"/>
            <w:vAlign w:val="bottom"/>
            <w:hideMark/>
          </w:tcPr>
          <w:p w14:paraId="4ED92C3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C8222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78575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EBC0D1B" w14:textId="77777777" w:rsidR="00000000" w:rsidRDefault="0053651E">
            <w:pPr>
              <w:jc w:val="right"/>
              <w:rPr>
                <w:rFonts w:eastAsia="Times New Roman"/>
                <w:sz w:val="20"/>
                <w:szCs w:val="20"/>
              </w:rPr>
            </w:pPr>
            <w:r>
              <w:rPr>
                <w:rFonts w:eastAsia="Times New Roman"/>
                <w:sz w:val="20"/>
                <w:szCs w:val="20"/>
              </w:rPr>
              <w:t>6,253</w:t>
            </w:r>
          </w:p>
        </w:tc>
        <w:tc>
          <w:tcPr>
            <w:tcW w:w="50" w:type="pct"/>
            <w:shd w:val="clear" w:color="auto" w:fill="CCEEFF"/>
            <w:vAlign w:val="bottom"/>
            <w:hideMark/>
          </w:tcPr>
          <w:p w14:paraId="1F4FB6DA" w14:textId="77777777" w:rsidR="00000000" w:rsidRDefault="0053651E">
            <w:pPr>
              <w:rPr>
                <w:rFonts w:eastAsia="Times New Roman"/>
                <w:sz w:val="20"/>
                <w:szCs w:val="20"/>
              </w:rPr>
            </w:pPr>
            <w:r>
              <w:rPr>
                <w:rFonts w:eastAsia="Times New Roman"/>
                <w:sz w:val="20"/>
                <w:szCs w:val="20"/>
              </w:rPr>
              <w:t> </w:t>
            </w:r>
          </w:p>
        </w:tc>
      </w:tr>
      <w:tr w:rsidR="00000000" w14:paraId="17A3B1DA" w14:textId="77777777">
        <w:trPr>
          <w:tblCellSpacing w:w="0" w:type="dxa"/>
        </w:trPr>
        <w:tc>
          <w:tcPr>
            <w:tcW w:w="0" w:type="auto"/>
            <w:shd w:val="clear" w:color="auto" w:fill="FFFFFF"/>
            <w:vAlign w:val="bottom"/>
            <w:hideMark/>
          </w:tcPr>
          <w:p w14:paraId="722A45E4" w14:textId="77777777" w:rsidR="00000000" w:rsidRDefault="0053651E">
            <w:pPr>
              <w:pStyle w:val="a3"/>
              <w:spacing w:before="0" w:beforeAutospacing="0" w:after="0" w:afterAutospacing="0"/>
              <w:ind w:left="540"/>
              <w:rPr>
                <w:sz w:val="20"/>
                <w:szCs w:val="20"/>
              </w:rPr>
            </w:pPr>
            <w:r>
              <w:rPr>
                <w:sz w:val="20"/>
                <w:szCs w:val="20"/>
              </w:rPr>
              <w:t>Impairment charges</w:t>
            </w:r>
          </w:p>
        </w:tc>
        <w:tc>
          <w:tcPr>
            <w:tcW w:w="50" w:type="pct"/>
            <w:shd w:val="clear" w:color="auto" w:fill="FFFFFF"/>
            <w:vAlign w:val="bottom"/>
            <w:hideMark/>
          </w:tcPr>
          <w:p w14:paraId="5AC836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D95A7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6710756" w14:textId="77777777" w:rsidR="00000000" w:rsidRDefault="0053651E">
            <w:pPr>
              <w:jc w:val="right"/>
              <w:rPr>
                <w:rFonts w:eastAsia="Times New Roman"/>
                <w:sz w:val="20"/>
                <w:szCs w:val="20"/>
              </w:rPr>
            </w:pPr>
            <w:r>
              <w:rPr>
                <w:rFonts w:eastAsia="Times New Roman"/>
                <w:sz w:val="20"/>
                <w:szCs w:val="20"/>
              </w:rPr>
              <w:t>(48,743</w:t>
            </w:r>
          </w:p>
        </w:tc>
        <w:tc>
          <w:tcPr>
            <w:tcW w:w="50" w:type="pct"/>
            <w:shd w:val="clear" w:color="auto" w:fill="FFFFFF"/>
            <w:vAlign w:val="bottom"/>
            <w:hideMark/>
          </w:tcPr>
          <w:p w14:paraId="5933423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E80E9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8662E4"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88C9C33" w14:textId="77777777" w:rsidR="00000000" w:rsidRDefault="0053651E">
            <w:pPr>
              <w:jc w:val="right"/>
              <w:rPr>
                <w:rFonts w:eastAsia="Times New Roman"/>
                <w:sz w:val="20"/>
                <w:szCs w:val="20"/>
              </w:rPr>
            </w:pPr>
            <w:r>
              <w:rPr>
                <w:rFonts w:eastAsia="Times New Roman"/>
                <w:sz w:val="20"/>
                <w:szCs w:val="20"/>
              </w:rPr>
              <w:t>(79,207</w:t>
            </w:r>
          </w:p>
        </w:tc>
        <w:tc>
          <w:tcPr>
            <w:tcW w:w="50" w:type="pct"/>
            <w:shd w:val="clear" w:color="auto" w:fill="FFFFFF"/>
            <w:vAlign w:val="bottom"/>
            <w:hideMark/>
          </w:tcPr>
          <w:p w14:paraId="1550FC1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EE2B9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FC964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71CE221" w14:textId="77777777" w:rsidR="00000000" w:rsidRDefault="0053651E">
            <w:pPr>
              <w:jc w:val="right"/>
              <w:rPr>
                <w:rFonts w:eastAsia="Times New Roman"/>
                <w:sz w:val="20"/>
                <w:szCs w:val="20"/>
              </w:rPr>
            </w:pPr>
            <w:r>
              <w:rPr>
                <w:rFonts w:eastAsia="Times New Roman"/>
                <w:sz w:val="20"/>
                <w:szCs w:val="20"/>
              </w:rPr>
              <w:t>30,464</w:t>
            </w:r>
          </w:p>
        </w:tc>
        <w:tc>
          <w:tcPr>
            <w:tcW w:w="50" w:type="pct"/>
            <w:shd w:val="clear" w:color="auto" w:fill="FFFFFF"/>
            <w:vAlign w:val="bottom"/>
            <w:hideMark/>
          </w:tcPr>
          <w:p w14:paraId="7A1BCD66" w14:textId="77777777" w:rsidR="00000000" w:rsidRDefault="0053651E">
            <w:pPr>
              <w:rPr>
                <w:rFonts w:eastAsia="Times New Roman"/>
                <w:sz w:val="20"/>
                <w:szCs w:val="20"/>
              </w:rPr>
            </w:pPr>
            <w:r>
              <w:rPr>
                <w:rFonts w:eastAsia="Times New Roman"/>
                <w:sz w:val="20"/>
                <w:szCs w:val="20"/>
              </w:rPr>
              <w:t> </w:t>
            </w:r>
          </w:p>
        </w:tc>
      </w:tr>
      <w:tr w:rsidR="00000000" w14:paraId="7290537C" w14:textId="77777777">
        <w:trPr>
          <w:tblCellSpacing w:w="0" w:type="dxa"/>
        </w:trPr>
        <w:tc>
          <w:tcPr>
            <w:tcW w:w="0" w:type="auto"/>
            <w:shd w:val="clear" w:color="auto" w:fill="CCEEFF"/>
            <w:vAlign w:val="bottom"/>
            <w:hideMark/>
          </w:tcPr>
          <w:p w14:paraId="7DEAABF8" w14:textId="77777777" w:rsidR="00000000" w:rsidRDefault="0053651E">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14:paraId="2ED436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40FAA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DDBF683" w14:textId="77777777" w:rsidR="00000000" w:rsidRDefault="0053651E">
            <w:pPr>
              <w:jc w:val="right"/>
              <w:rPr>
                <w:rFonts w:eastAsia="Times New Roman"/>
                <w:sz w:val="20"/>
                <w:szCs w:val="20"/>
              </w:rPr>
            </w:pPr>
            <w:r>
              <w:rPr>
                <w:rFonts w:eastAsia="Times New Roman"/>
                <w:sz w:val="20"/>
                <w:szCs w:val="20"/>
              </w:rPr>
              <w:t>(277,879</w:t>
            </w:r>
          </w:p>
        </w:tc>
        <w:tc>
          <w:tcPr>
            <w:tcW w:w="50" w:type="pct"/>
            <w:shd w:val="clear" w:color="auto" w:fill="CCEEFF"/>
            <w:vAlign w:val="bottom"/>
            <w:hideMark/>
          </w:tcPr>
          <w:p w14:paraId="3A8CDB6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8C8DF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2A3B6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8359005" w14:textId="77777777" w:rsidR="00000000" w:rsidRDefault="0053651E">
            <w:pPr>
              <w:jc w:val="right"/>
              <w:rPr>
                <w:rFonts w:eastAsia="Times New Roman"/>
                <w:sz w:val="20"/>
                <w:szCs w:val="20"/>
              </w:rPr>
            </w:pPr>
            <w:r>
              <w:rPr>
                <w:rFonts w:eastAsia="Times New Roman"/>
                <w:sz w:val="20"/>
                <w:szCs w:val="20"/>
              </w:rPr>
              <w:t>(310,380</w:t>
            </w:r>
          </w:p>
        </w:tc>
        <w:tc>
          <w:tcPr>
            <w:tcW w:w="50" w:type="pct"/>
            <w:shd w:val="clear" w:color="auto" w:fill="CCEEFF"/>
            <w:vAlign w:val="bottom"/>
            <w:hideMark/>
          </w:tcPr>
          <w:p w14:paraId="79E2F31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294D3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F280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32E856F" w14:textId="77777777" w:rsidR="00000000" w:rsidRDefault="0053651E">
            <w:pPr>
              <w:jc w:val="right"/>
              <w:rPr>
                <w:rFonts w:eastAsia="Times New Roman"/>
                <w:sz w:val="20"/>
                <w:szCs w:val="20"/>
              </w:rPr>
            </w:pPr>
            <w:r>
              <w:rPr>
                <w:rFonts w:eastAsia="Times New Roman"/>
                <w:sz w:val="20"/>
                <w:szCs w:val="20"/>
              </w:rPr>
              <w:t>32,501</w:t>
            </w:r>
          </w:p>
        </w:tc>
        <w:tc>
          <w:tcPr>
            <w:tcW w:w="50" w:type="pct"/>
            <w:shd w:val="clear" w:color="auto" w:fill="CCEEFF"/>
            <w:vAlign w:val="bottom"/>
            <w:hideMark/>
          </w:tcPr>
          <w:p w14:paraId="7AC1A97E" w14:textId="77777777" w:rsidR="00000000" w:rsidRDefault="0053651E">
            <w:pPr>
              <w:rPr>
                <w:rFonts w:eastAsia="Times New Roman"/>
                <w:sz w:val="20"/>
                <w:szCs w:val="20"/>
              </w:rPr>
            </w:pPr>
            <w:r>
              <w:rPr>
                <w:rFonts w:eastAsia="Times New Roman"/>
                <w:sz w:val="20"/>
                <w:szCs w:val="20"/>
              </w:rPr>
              <w:t> </w:t>
            </w:r>
          </w:p>
        </w:tc>
      </w:tr>
      <w:tr w:rsidR="00000000" w14:paraId="1CAA7ED6" w14:textId="77777777">
        <w:trPr>
          <w:tblCellSpacing w:w="0" w:type="dxa"/>
        </w:trPr>
        <w:tc>
          <w:tcPr>
            <w:tcW w:w="0" w:type="auto"/>
            <w:shd w:val="clear" w:color="auto" w:fill="FFFFFF"/>
            <w:vAlign w:val="bottom"/>
            <w:hideMark/>
          </w:tcPr>
          <w:p w14:paraId="25DFC10C" w14:textId="77777777" w:rsidR="00000000" w:rsidRDefault="0053651E">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13FDAC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D7F40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8B85FB8"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14:paraId="643CE6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6DCD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76B74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F6259E4" w14:textId="77777777" w:rsidR="00000000" w:rsidRDefault="0053651E">
            <w:pPr>
              <w:jc w:val="right"/>
              <w:rPr>
                <w:rFonts w:eastAsia="Times New Roman"/>
                <w:sz w:val="20"/>
                <w:szCs w:val="20"/>
              </w:rPr>
            </w:pPr>
            <w:r>
              <w:rPr>
                <w:rFonts w:eastAsia="Times New Roman"/>
                <w:sz w:val="20"/>
                <w:szCs w:val="20"/>
              </w:rPr>
              <w:t>229,840</w:t>
            </w:r>
          </w:p>
        </w:tc>
        <w:tc>
          <w:tcPr>
            <w:tcW w:w="50" w:type="pct"/>
            <w:shd w:val="clear" w:color="auto" w:fill="FFFFFF"/>
            <w:vAlign w:val="bottom"/>
            <w:hideMark/>
          </w:tcPr>
          <w:p w14:paraId="1B1F48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335B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3CC641"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98E7259" w14:textId="77777777" w:rsidR="00000000" w:rsidRDefault="0053651E">
            <w:pPr>
              <w:jc w:val="right"/>
              <w:rPr>
                <w:rFonts w:eastAsia="Times New Roman"/>
                <w:sz w:val="20"/>
                <w:szCs w:val="20"/>
              </w:rPr>
            </w:pPr>
            <w:r>
              <w:rPr>
                <w:rFonts w:eastAsia="Times New Roman"/>
                <w:sz w:val="20"/>
                <w:szCs w:val="20"/>
              </w:rPr>
              <w:t>(150,622</w:t>
            </w:r>
          </w:p>
        </w:tc>
        <w:tc>
          <w:tcPr>
            <w:tcW w:w="50" w:type="pct"/>
            <w:shd w:val="clear" w:color="auto" w:fill="FFFFFF"/>
            <w:vAlign w:val="bottom"/>
            <w:hideMark/>
          </w:tcPr>
          <w:p w14:paraId="08C585CB" w14:textId="77777777" w:rsidR="00000000" w:rsidRDefault="0053651E">
            <w:pPr>
              <w:rPr>
                <w:rFonts w:eastAsia="Times New Roman"/>
                <w:sz w:val="20"/>
                <w:szCs w:val="20"/>
              </w:rPr>
            </w:pPr>
            <w:r>
              <w:rPr>
                <w:rFonts w:eastAsia="Times New Roman"/>
                <w:sz w:val="20"/>
                <w:szCs w:val="20"/>
              </w:rPr>
              <w:t>)</w:t>
            </w:r>
          </w:p>
        </w:tc>
      </w:tr>
      <w:tr w:rsidR="00000000" w14:paraId="0BFC5FBB" w14:textId="77777777">
        <w:trPr>
          <w:tblCellSpacing w:w="0" w:type="dxa"/>
        </w:trPr>
        <w:tc>
          <w:tcPr>
            <w:tcW w:w="0" w:type="auto"/>
            <w:shd w:val="clear" w:color="auto" w:fill="CCEEFF"/>
            <w:vAlign w:val="bottom"/>
            <w:hideMark/>
          </w:tcPr>
          <w:p w14:paraId="53D09329" w14:textId="77777777" w:rsidR="00000000" w:rsidRDefault="0053651E">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14:paraId="03AA67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4A0C4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4E93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2AC8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1AB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DB11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F7A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B991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CA34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1B7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F9D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97EA18" w14:textId="77777777" w:rsidR="00000000" w:rsidRDefault="0053651E">
            <w:pPr>
              <w:rPr>
                <w:rFonts w:eastAsia="Times New Roman"/>
                <w:sz w:val="20"/>
                <w:szCs w:val="20"/>
              </w:rPr>
            </w:pPr>
            <w:r>
              <w:rPr>
                <w:rFonts w:eastAsia="Times New Roman"/>
                <w:sz w:val="20"/>
                <w:szCs w:val="20"/>
              </w:rPr>
              <w:t> </w:t>
            </w:r>
          </w:p>
        </w:tc>
      </w:tr>
      <w:tr w:rsidR="00000000" w14:paraId="0A15FEA3" w14:textId="77777777">
        <w:trPr>
          <w:tblCellSpacing w:w="0" w:type="dxa"/>
        </w:trPr>
        <w:tc>
          <w:tcPr>
            <w:tcW w:w="0" w:type="auto"/>
            <w:shd w:val="clear" w:color="auto" w:fill="FFFFFF"/>
            <w:vAlign w:val="bottom"/>
            <w:hideMark/>
          </w:tcPr>
          <w:p w14:paraId="6BF14792" w14:textId="77777777" w:rsidR="00000000" w:rsidRDefault="0053651E">
            <w:pPr>
              <w:pStyle w:val="a3"/>
              <w:spacing w:before="0" w:beforeAutospacing="0" w:after="0" w:afterAutospacing="0"/>
              <w:ind w:left="540"/>
              <w:rPr>
                <w:sz w:val="20"/>
                <w:szCs w:val="20"/>
              </w:rPr>
            </w:pPr>
            <w:r>
              <w:rPr>
                <w:sz w:val="20"/>
                <w:szCs w:val="20"/>
              </w:rPr>
              <w:t>Other income, net</w:t>
            </w:r>
          </w:p>
        </w:tc>
        <w:tc>
          <w:tcPr>
            <w:tcW w:w="50" w:type="pct"/>
            <w:shd w:val="clear" w:color="auto" w:fill="FFFFFF"/>
            <w:vAlign w:val="bottom"/>
            <w:hideMark/>
          </w:tcPr>
          <w:p w14:paraId="2253A6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292218"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B0DFFBD" w14:textId="77777777" w:rsidR="00000000" w:rsidRDefault="0053651E">
            <w:pPr>
              <w:jc w:val="right"/>
              <w:rPr>
                <w:rFonts w:eastAsia="Times New Roman"/>
                <w:sz w:val="20"/>
                <w:szCs w:val="20"/>
              </w:rPr>
            </w:pPr>
            <w:r>
              <w:rPr>
                <w:rFonts w:eastAsia="Times New Roman"/>
                <w:sz w:val="20"/>
                <w:szCs w:val="20"/>
              </w:rPr>
              <w:t>11,814</w:t>
            </w:r>
          </w:p>
        </w:tc>
        <w:tc>
          <w:tcPr>
            <w:tcW w:w="50" w:type="pct"/>
            <w:shd w:val="clear" w:color="auto" w:fill="FFFFFF"/>
            <w:vAlign w:val="bottom"/>
            <w:hideMark/>
          </w:tcPr>
          <w:p w14:paraId="3318A3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42FF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45C0A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AFD11E0" w14:textId="77777777" w:rsidR="00000000" w:rsidRDefault="0053651E">
            <w:pPr>
              <w:jc w:val="right"/>
              <w:rPr>
                <w:rFonts w:eastAsia="Times New Roman"/>
                <w:sz w:val="20"/>
                <w:szCs w:val="20"/>
              </w:rPr>
            </w:pPr>
            <w:r>
              <w:rPr>
                <w:rFonts w:eastAsia="Times New Roman"/>
                <w:sz w:val="20"/>
                <w:szCs w:val="20"/>
              </w:rPr>
              <w:t>13,041</w:t>
            </w:r>
          </w:p>
        </w:tc>
        <w:tc>
          <w:tcPr>
            <w:tcW w:w="50" w:type="pct"/>
            <w:shd w:val="clear" w:color="auto" w:fill="FFFFFF"/>
            <w:vAlign w:val="bottom"/>
            <w:hideMark/>
          </w:tcPr>
          <w:p w14:paraId="49A389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D461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ADF0E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B008420" w14:textId="77777777" w:rsidR="00000000" w:rsidRDefault="0053651E">
            <w:pPr>
              <w:jc w:val="right"/>
              <w:rPr>
                <w:rFonts w:eastAsia="Times New Roman"/>
                <w:sz w:val="20"/>
                <w:szCs w:val="20"/>
              </w:rPr>
            </w:pPr>
            <w:r>
              <w:rPr>
                <w:rFonts w:eastAsia="Times New Roman"/>
                <w:sz w:val="20"/>
                <w:szCs w:val="20"/>
              </w:rPr>
              <w:t>(1,227</w:t>
            </w:r>
          </w:p>
        </w:tc>
        <w:tc>
          <w:tcPr>
            <w:tcW w:w="50" w:type="pct"/>
            <w:shd w:val="clear" w:color="auto" w:fill="FFFFFF"/>
            <w:vAlign w:val="bottom"/>
            <w:hideMark/>
          </w:tcPr>
          <w:p w14:paraId="2DD972CD" w14:textId="77777777" w:rsidR="00000000" w:rsidRDefault="0053651E">
            <w:pPr>
              <w:rPr>
                <w:rFonts w:eastAsia="Times New Roman"/>
                <w:sz w:val="20"/>
                <w:szCs w:val="20"/>
              </w:rPr>
            </w:pPr>
            <w:r>
              <w:rPr>
                <w:rFonts w:eastAsia="Times New Roman"/>
                <w:sz w:val="20"/>
                <w:szCs w:val="20"/>
              </w:rPr>
              <w:t>)</w:t>
            </w:r>
          </w:p>
        </w:tc>
      </w:tr>
      <w:tr w:rsidR="00000000" w14:paraId="3BFFF7F9" w14:textId="77777777">
        <w:trPr>
          <w:tblCellSpacing w:w="0" w:type="dxa"/>
        </w:trPr>
        <w:tc>
          <w:tcPr>
            <w:tcW w:w="0" w:type="auto"/>
            <w:shd w:val="clear" w:color="auto" w:fill="CCEEFF"/>
            <w:vAlign w:val="bottom"/>
            <w:hideMark/>
          </w:tcPr>
          <w:p w14:paraId="08D676BB" w14:textId="77777777" w:rsidR="00000000" w:rsidRDefault="0053651E">
            <w:pPr>
              <w:pStyle w:val="a3"/>
              <w:spacing w:before="0" w:beforeAutospacing="0" w:after="0" w:afterAutospacing="0"/>
              <w:ind w:left="540"/>
              <w:rPr>
                <w:sz w:val="20"/>
                <w:szCs w:val="20"/>
              </w:rPr>
            </w:pPr>
            <w:r>
              <w:rPr>
                <w:sz w:val="20"/>
                <w:szCs w:val="20"/>
              </w:rPr>
              <w:t>Interest expense</w:t>
            </w:r>
          </w:p>
        </w:tc>
        <w:tc>
          <w:tcPr>
            <w:tcW w:w="50" w:type="pct"/>
            <w:shd w:val="clear" w:color="auto" w:fill="CCEEFF"/>
            <w:vAlign w:val="bottom"/>
            <w:hideMark/>
          </w:tcPr>
          <w:p w14:paraId="26958A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E75F7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4459073" w14:textId="77777777" w:rsidR="00000000" w:rsidRDefault="0053651E">
            <w:pPr>
              <w:jc w:val="right"/>
              <w:rPr>
                <w:rFonts w:eastAsia="Times New Roman"/>
                <w:sz w:val="20"/>
                <w:szCs w:val="20"/>
              </w:rPr>
            </w:pPr>
            <w:r>
              <w:rPr>
                <w:rFonts w:eastAsia="Times New Roman"/>
                <w:sz w:val="20"/>
                <w:szCs w:val="20"/>
              </w:rPr>
              <w:t>(177,395</w:t>
            </w:r>
          </w:p>
        </w:tc>
        <w:tc>
          <w:tcPr>
            <w:tcW w:w="50" w:type="pct"/>
            <w:shd w:val="clear" w:color="auto" w:fill="CCEEFF"/>
            <w:vAlign w:val="bottom"/>
            <w:hideMark/>
          </w:tcPr>
          <w:p w14:paraId="6BC3652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20CF0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80809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DD1C679" w14:textId="77777777" w:rsidR="00000000" w:rsidRDefault="0053651E">
            <w:pPr>
              <w:jc w:val="right"/>
              <w:rPr>
                <w:rFonts w:eastAsia="Times New Roman"/>
                <w:sz w:val="20"/>
                <w:szCs w:val="20"/>
              </w:rPr>
            </w:pPr>
            <w:r>
              <w:rPr>
                <w:rFonts w:eastAsia="Times New Roman"/>
                <w:sz w:val="20"/>
                <w:szCs w:val="20"/>
              </w:rPr>
              <w:t>(183,339</w:t>
            </w:r>
          </w:p>
        </w:tc>
        <w:tc>
          <w:tcPr>
            <w:tcW w:w="50" w:type="pct"/>
            <w:shd w:val="clear" w:color="auto" w:fill="CCEEFF"/>
            <w:vAlign w:val="bottom"/>
            <w:hideMark/>
          </w:tcPr>
          <w:p w14:paraId="63B7CA7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CDF7E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11D3C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7F537D4" w14:textId="77777777" w:rsidR="00000000" w:rsidRDefault="0053651E">
            <w:pPr>
              <w:jc w:val="right"/>
              <w:rPr>
                <w:rFonts w:eastAsia="Times New Roman"/>
                <w:sz w:val="20"/>
                <w:szCs w:val="20"/>
              </w:rPr>
            </w:pPr>
            <w:r>
              <w:rPr>
                <w:rFonts w:eastAsia="Times New Roman"/>
                <w:sz w:val="20"/>
                <w:szCs w:val="20"/>
              </w:rPr>
              <w:t>5,944</w:t>
            </w:r>
          </w:p>
        </w:tc>
        <w:tc>
          <w:tcPr>
            <w:tcW w:w="50" w:type="pct"/>
            <w:shd w:val="clear" w:color="auto" w:fill="CCEEFF"/>
            <w:vAlign w:val="bottom"/>
            <w:hideMark/>
          </w:tcPr>
          <w:p w14:paraId="756B9A00" w14:textId="77777777" w:rsidR="00000000" w:rsidRDefault="0053651E">
            <w:pPr>
              <w:rPr>
                <w:rFonts w:eastAsia="Times New Roman"/>
                <w:sz w:val="20"/>
                <w:szCs w:val="20"/>
              </w:rPr>
            </w:pPr>
            <w:r>
              <w:rPr>
                <w:rFonts w:eastAsia="Times New Roman"/>
                <w:sz w:val="20"/>
                <w:szCs w:val="20"/>
              </w:rPr>
              <w:t> </w:t>
            </w:r>
          </w:p>
        </w:tc>
      </w:tr>
      <w:tr w:rsidR="00000000" w14:paraId="65496964" w14:textId="77777777">
        <w:trPr>
          <w:tblCellSpacing w:w="0" w:type="dxa"/>
        </w:trPr>
        <w:tc>
          <w:tcPr>
            <w:tcW w:w="0" w:type="auto"/>
            <w:shd w:val="clear" w:color="auto" w:fill="FFFFFF"/>
            <w:vAlign w:val="bottom"/>
            <w:hideMark/>
          </w:tcPr>
          <w:p w14:paraId="65D8DC9A" w14:textId="77777777" w:rsidR="00000000" w:rsidRDefault="0053651E">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FFFFFF"/>
            <w:vAlign w:val="bottom"/>
            <w:hideMark/>
          </w:tcPr>
          <w:p w14:paraId="4B93F5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35B63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59CBE9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9477E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DDBB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641AE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268D54C"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14:paraId="3ACBCC7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76F64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60B4E8"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408F23C"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14:paraId="4641CC5A" w14:textId="77777777" w:rsidR="00000000" w:rsidRDefault="0053651E">
            <w:pPr>
              <w:rPr>
                <w:rFonts w:eastAsia="Times New Roman"/>
                <w:sz w:val="20"/>
                <w:szCs w:val="20"/>
              </w:rPr>
            </w:pPr>
            <w:r>
              <w:rPr>
                <w:rFonts w:eastAsia="Times New Roman"/>
                <w:sz w:val="20"/>
                <w:szCs w:val="20"/>
              </w:rPr>
              <w:t> </w:t>
            </w:r>
          </w:p>
        </w:tc>
      </w:tr>
      <w:tr w:rsidR="00000000" w14:paraId="1FF07038" w14:textId="77777777">
        <w:trPr>
          <w:tblCellSpacing w:w="0" w:type="dxa"/>
        </w:trPr>
        <w:tc>
          <w:tcPr>
            <w:tcW w:w="0" w:type="auto"/>
            <w:shd w:val="clear" w:color="auto" w:fill="CCEEFF"/>
            <w:vAlign w:val="bottom"/>
            <w:hideMark/>
          </w:tcPr>
          <w:p w14:paraId="4C5D1338" w14:textId="77777777" w:rsidR="00000000" w:rsidRDefault="0053651E">
            <w:pPr>
              <w:pStyle w:val="a3"/>
              <w:spacing w:before="0" w:beforeAutospacing="0" w:after="0" w:afterAutospacing="0"/>
              <w:ind w:left="540"/>
              <w:rPr>
                <w:sz w:val="20"/>
                <w:szCs w:val="20"/>
              </w:rPr>
            </w:pPr>
            <w:r>
              <w:rPr>
                <w:sz w:val="20"/>
                <w:szCs w:val="20"/>
              </w:rPr>
              <w:t>Benefit/(provision) for income taxes, net</w:t>
            </w:r>
          </w:p>
        </w:tc>
        <w:tc>
          <w:tcPr>
            <w:tcW w:w="50" w:type="pct"/>
            <w:shd w:val="clear" w:color="auto" w:fill="CCEEFF"/>
            <w:vAlign w:val="bottom"/>
            <w:hideMark/>
          </w:tcPr>
          <w:p w14:paraId="29B728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A44789"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3594C88" w14:textId="77777777" w:rsidR="00000000" w:rsidRDefault="0053651E">
            <w:pPr>
              <w:jc w:val="right"/>
              <w:rPr>
                <w:rFonts w:eastAsia="Times New Roman"/>
                <w:sz w:val="20"/>
                <w:szCs w:val="20"/>
              </w:rPr>
            </w:pPr>
            <w:r>
              <w:rPr>
                <w:rFonts w:eastAsia="Times New Roman"/>
                <w:sz w:val="20"/>
                <w:szCs w:val="20"/>
              </w:rPr>
              <w:t>3,317</w:t>
            </w:r>
          </w:p>
        </w:tc>
        <w:tc>
          <w:tcPr>
            <w:tcW w:w="50" w:type="pct"/>
            <w:shd w:val="clear" w:color="auto" w:fill="CCEEFF"/>
            <w:vAlign w:val="bottom"/>
            <w:hideMark/>
          </w:tcPr>
          <w:p w14:paraId="33D9B7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AD4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9CDAE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9873173" w14:textId="77777777" w:rsidR="00000000" w:rsidRDefault="0053651E">
            <w:pPr>
              <w:jc w:val="right"/>
              <w:rPr>
                <w:rFonts w:eastAsia="Times New Roman"/>
                <w:sz w:val="20"/>
                <w:szCs w:val="20"/>
              </w:rPr>
            </w:pPr>
            <w:r>
              <w:rPr>
                <w:rFonts w:eastAsia="Times New Roman"/>
                <w:sz w:val="20"/>
                <w:szCs w:val="20"/>
              </w:rPr>
              <w:t>(1,600</w:t>
            </w:r>
          </w:p>
        </w:tc>
        <w:tc>
          <w:tcPr>
            <w:tcW w:w="50" w:type="pct"/>
            <w:shd w:val="clear" w:color="auto" w:fill="CCEEFF"/>
            <w:vAlign w:val="bottom"/>
            <w:hideMark/>
          </w:tcPr>
          <w:p w14:paraId="0280FEF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9C128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2F7B99"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2A59C56" w14:textId="77777777" w:rsidR="00000000" w:rsidRDefault="0053651E">
            <w:pPr>
              <w:jc w:val="right"/>
              <w:rPr>
                <w:rFonts w:eastAsia="Times New Roman"/>
                <w:sz w:val="20"/>
                <w:szCs w:val="20"/>
              </w:rPr>
            </w:pPr>
            <w:r>
              <w:rPr>
                <w:rFonts w:eastAsia="Times New Roman"/>
                <w:sz w:val="20"/>
                <w:szCs w:val="20"/>
              </w:rPr>
              <w:t>4,917</w:t>
            </w:r>
          </w:p>
        </w:tc>
        <w:tc>
          <w:tcPr>
            <w:tcW w:w="50" w:type="pct"/>
            <w:shd w:val="clear" w:color="auto" w:fill="CCEEFF"/>
            <w:vAlign w:val="bottom"/>
            <w:hideMark/>
          </w:tcPr>
          <w:p w14:paraId="466B5D8B" w14:textId="77777777" w:rsidR="00000000" w:rsidRDefault="0053651E">
            <w:pPr>
              <w:rPr>
                <w:rFonts w:eastAsia="Times New Roman"/>
                <w:sz w:val="20"/>
                <w:szCs w:val="20"/>
              </w:rPr>
            </w:pPr>
            <w:r>
              <w:rPr>
                <w:rFonts w:eastAsia="Times New Roman"/>
                <w:sz w:val="20"/>
                <w:szCs w:val="20"/>
              </w:rPr>
              <w:t> </w:t>
            </w:r>
          </w:p>
        </w:tc>
      </w:tr>
      <w:tr w:rsidR="00000000" w14:paraId="18D310ED" w14:textId="77777777">
        <w:trPr>
          <w:tblCellSpacing w:w="0" w:type="dxa"/>
        </w:trPr>
        <w:tc>
          <w:tcPr>
            <w:tcW w:w="0" w:type="auto"/>
            <w:shd w:val="clear" w:color="auto" w:fill="FFFFFF"/>
            <w:vAlign w:val="bottom"/>
            <w:hideMark/>
          </w:tcPr>
          <w:p w14:paraId="660DDC33" w14:textId="77777777" w:rsidR="00000000" w:rsidRDefault="0053651E">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FFFFFF"/>
            <w:vAlign w:val="bottom"/>
            <w:hideMark/>
          </w:tcPr>
          <w:p w14:paraId="3CC571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AAFD0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3B969DB" w14:textId="77777777" w:rsidR="00000000" w:rsidRDefault="0053651E">
            <w:pPr>
              <w:jc w:val="right"/>
              <w:rPr>
                <w:rFonts w:eastAsia="Times New Roman"/>
                <w:sz w:val="20"/>
                <w:szCs w:val="20"/>
              </w:rPr>
            </w:pPr>
            <w:r>
              <w:rPr>
                <w:rFonts w:eastAsia="Times New Roman"/>
                <w:sz w:val="20"/>
                <w:szCs w:val="20"/>
              </w:rPr>
              <w:t>72,162</w:t>
            </w:r>
          </w:p>
        </w:tc>
        <w:tc>
          <w:tcPr>
            <w:tcW w:w="50" w:type="pct"/>
            <w:shd w:val="clear" w:color="auto" w:fill="FFFFFF"/>
            <w:vAlign w:val="bottom"/>
            <w:hideMark/>
          </w:tcPr>
          <w:p w14:paraId="1B1EC3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3F40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AC55C4"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5631AB7" w14:textId="77777777" w:rsidR="00000000" w:rsidRDefault="0053651E">
            <w:pPr>
              <w:jc w:val="right"/>
              <w:rPr>
                <w:rFonts w:eastAsia="Times New Roman"/>
                <w:sz w:val="20"/>
                <w:szCs w:val="20"/>
              </w:rPr>
            </w:pPr>
            <w:r>
              <w:rPr>
                <w:rFonts w:eastAsia="Times New Roman"/>
                <w:sz w:val="20"/>
                <w:szCs w:val="20"/>
              </w:rPr>
              <w:t>71,617</w:t>
            </w:r>
          </w:p>
        </w:tc>
        <w:tc>
          <w:tcPr>
            <w:tcW w:w="50" w:type="pct"/>
            <w:shd w:val="clear" w:color="auto" w:fill="FFFFFF"/>
            <w:vAlign w:val="bottom"/>
            <w:hideMark/>
          </w:tcPr>
          <w:p w14:paraId="0604C8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8CD7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3527A4"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03E9100" w14:textId="77777777" w:rsidR="00000000" w:rsidRDefault="0053651E">
            <w:pPr>
              <w:jc w:val="right"/>
              <w:rPr>
                <w:rFonts w:eastAsia="Times New Roman"/>
                <w:sz w:val="20"/>
                <w:szCs w:val="20"/>
              </w:rPr>
            </w:pPr>
            <w:r>
              <w:rPr>
                <w:rFonts w:eastAsia="Times New Roman"/>
                <w:sz w:val="20"/>
                <w:szCs w:val="20"/>
              </w:rPr>
              <w:t>545</w:t>
            </w:r>
          </w:p>
        </w:tc>
        <w:tc>
          <w:tcPr>
            <w:tcW w:w="50" w:type="pct"/>
            <w:shd w:val="clear" w:color="auto" w:fill="FFFFFF"/>
            <w:vAlign w:val="bottom"/>
            <w:hideMark/>
          </w:tcPr>
          <w:p w14:paraId="6B4D8ACF" w14:textId="77777777" w:rsidR="00000000" w:rsidRDefault="0053651E">
            <w:pPr>
              <w:rPr>
                <w:rFonts w:eastAsia="Times New Roman"/>
                <w:sz w:val="20"/>
                <w:szCs w:val="20"/>
              </w:rPr>
            </w:pPr>
            <w:r>
              <w:rPr>
                <w:rFonts w:eastAsia="Times New Roman"/>
                <w:sz w:val="20"/>
                <w:szCs w:val="20"/>
              </w:rPr>
              <w:t> </w:t>
            </w:r>
          </w:p>
        </w:tc>
      </w:tr>
      <w:tr w:rsidR="00000000" w14:paraId="1B7E6716" w14:textId="77777777">
        <w:trPr>
          <w:tblCellSpacing w:w="0" w:type="dxa"/>
        </w:trPr>
        <w:tc>
          <w:tcPr>
            <w:tcW w:w="0" w:type="auto"/>
            <w:shd w:val="clear" w:color="auto" w:fill="CCEEFF"/>
            <w:vAlign w:val="bottom"/>
            <w:hideMark/>
          </w:tcPr>
          <w:p w14:paraId="743D12F6" w14:textId="77777777" w:rsidR="00000000" w:rsidRDefault="0053651E">
            <w:pPr>
              <w:pStyle w:val="a3"/>
              <w:spacing w:before="0" w:beforeAutospacing="0" w:after="0" w:afterAutospacing="0"/>
              <w:ind w:left="540"/>
              <w:rPr>
                <w:sz w:val="20"/>
                <w:szCs w:val="20"/>
              </w:rPr>
            </w:pPr>
            <w:r>
              <w:rPr>
                <w:sz w:val="20"/>
                <w:szCs w:val="20"/>
              </w:rPr>
              <w:t>Equity in income of other real estate investments, net</w:t>
            </w:r>
          </w:p>
        </w:tc>
        <w:tc>
          <w:tcPr>
            <w:tcW w:w="50" w:type="pct"/>
            <w:shd w:val="clear" w:color="auto" w:fill="CCEEFF"/>
            <w:vAlign w:val="bottom"/>
            <w:hideMark/>
          </w:tcPr>
          <w:p w14:paraId="660D50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D2E5D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0C79808" w14:textId="77777777" w:rsidR="00000000" w:rsidRDefault="0053651E">
            <w:pPr>
              <w:jc w:val="right"/>
              <w:rPr>
                <w:rFonts w:eastAsia="Times New Roman"/>
                <w:sz w:val="20"/>
                <w:szCs w:val="20"/>
              </w:rPr>
            </w:pPr>
            <w:r>
              <w:rPr>
                <w:rFonts w:eastAsia="Times New Roman"/>
                <w:sz w:val="20"/>
                <w:szCs w:val="20"/>
              </w:rPr>
              <w:t>26,076</w:t>
            </w:r>
          </w:p>
        </w:tc>
        <w:tc>
          <w:tcPr>
            <w:tcW w:w="50" w:type="pct"/>
            <w:shd w:val="clear" w:color="auto" w:fill="CCEEFF"/>
            <w:vAlign w:val="bottom"/>
            <w:hideMark/>
          </w:tcPr>
          <w:p w14:paraId="642056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A6464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E2FBD1"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EE35B97" w14:textId="77777777" w:rsidR="00000000" w:rsidRDefault="0053651E">
            <w:pPr>
              <w:jc w:val="right"/>
              <w:rPr>
                <w:rFonts w:eastAsia="Times New Roman"/>
                <w:sz w:val="20"/>
                <w:szCs w:val="20"/>
              </w:rPr>
            </w:pPr>
            <w:r>
              <w:rPr>
                <w:rFonts w:eastAsia="Times New Roman"/>
                <w:sz w:val="20"/>
                <w:szCs w:val="20"/>
              </w:rPr>
              <w:t>29,100</w:t>
            </w:r>
          </w:p>
        </w:tc>
        <w:tc>
          <w:tcPr>
            <w:tcW w:w="50" w:type="pct"/>
            <w:shd w:val="clear" w:color="auto" w:fill="CCEEFF"/>
            <w:vAlign w:val="bottom"/>
            <w:hideMark/>
          </w:tcPr>
          <w:p w14:paraId="633D81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9C11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5A93A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4DF85C6" w14:textId="77777777" w:rsidR="00000000" w:rsidRDefault="0053651E">
            <w:pPr>
              <w:jc w:val="right"/>
              <w:rPr>
                <w:rFonts w:eastAsia="Times New Roman"/>
                <w:sz w:val="20"/>
                <w:szCs w:val="20"/>
              </w:rPr>
            </w:pPr>
            <w:r>
              <w:rPr>
                <w:rFonts w:eastAsia="Times New Roman"/>
                <w:sz w:val="20"/>
                <w:szCs w:val="20"/>
              </w:rPr>
              <w:t>(3,024</w:t>
            </w:r>
          </w:p>
        </w:tc>
        <w:tc>
          <w:tcPr>
            <w:tcW w:w="50" w:type="pct"/>
            <w:shd w:val="clear" w:color="auto" w:fill="CCEEFF"/>
            <w:vAlign w:val="bottom"/>
            <w:hideMark/>
          </w:tcPr>
          <w:p w14:paraId="4E1BCC6E" w14:textId="77777777" w:rsidR="00000000" w:rsidRDefault="0053651E">
            <w:pPr>
              <w:rPr>
                <w:rFonts w:eastAsia="Times New Roman"/>
                <w:sz w:val="20"/>
                <w:szCs w:val="20"/>
              </w:rPr>
            </w:pPr>
            <w:r>
              <w:rPr>
                <w:rFonts w:eastAsia="Times New Roman"/>
                <w:sz w:val="20"/>
                <w:szCs w:val="20"/>
              </w:rPr>
              <w:t>)</w:t>
            </w:r>
          </w:p>
        </w:tc>
      </w:tr>
      <w:tr w:rsidR="00000000" w14:paraId="417FCAD0" w14:textId="77777777">
        <w:trPr>
          <w:tblCellSpacing w:w="0" w:type="dxa"/>
        </w:trPr>
        <w:tc>
          <w:tcPr>
            <w:tcW w:w="0" w:type="auto"/>
            <w:shd w:val="clear" w:color="auto" w:fill="FFFFFF"/>
            <w:vAlign w:val="bottom"/>
            <w:hideMark/>
          </w:tcPr>
          <w:p w14:paraId="5B4589A3" w14:textId="77777777" w:rsidR="00000000" w:rsidRDefault="0053651E">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FFFFFF"/>
            <w:vAlign w:val="bottom"/>
            <w:hideMark/>
          </w:tcPr>
          <w:p w14:paraId="15BE19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E3CF9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6A0644C" w14:textId="77777777" w:rsidR="00000000" w:rsidRDefault="0053651E">
            <w:pPr>
              <w:jc w:val="right"/>
              <w:rPr>
                <w:rFonts w:eastAsia="Times New Roman"/>
                <w:sz w:val="20"/>
                <w:szCs w:val="20"/>
              </w:rPr>
            </w:pPr>
            <w:r>
              <w:rPr>
                <w:rFonts w:eastAsia="Times New Roman"/>
                <w:sz w:val="20"/>
                <w:szCs w:val="20"/>
              </w:rPr>
              <w:t>(2,956</w:t>
            </w:r>
          </w:p>
        </w:tc>
        <w:tc>
          <w:tcPr>
            <w:tcW w:w="50" w:type="pct"/>
            <w:shd w:val="clear" w:color="auto" w:fill="FFFFFF"/>
            <w:vAlign w:val="bottom"/>
            <w:hideMark/>
          </w:tcPr>
          <w:p w14:paraId="22347C2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28C5F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2C2E3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FF5F143" w14:textId="77777777" w:rsidR="00000000" w:rsidRDefault="0053651E">
            <w:pPr>
              <w:jc w:val="right"/>
              <w:rPr>
                <w:rFonts w:eastAsia="Times New Roman"/>
                <w:sz w:val="20"/>
                <w:szCs w:val="20"/>
              </w:rPr>
            </w:pPr>
            <w:r>
              <w:rPr>
                <w:rFonts w:eastAsia="Times New Roman"/>
                <w:sz w:val="20"/>
                <w:szCs w:val="20"/>
              </w:rPr>
              <w:t>(668</w:t>
            </w:r>
          </w:p>
        </w:tc>
        <w:tc>
          <w:tcPr>
            <w:tcW w:w="50" w:type="pct"/>
            <w:shd w:val="clear" w:color="auto" w:fill="FFFFFF"/>
            <w:vAlign w:val="bottom"/>
            <w:hideMark/>
          </w:tcPr>
          <w:p w14:paraId="093565C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08ED7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DC809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03EC2AE" w14:textId="77777777" w:rsidR="00000000" w:rsidRDefault="0053651E">
            <w:pPr>
              <w:jc w:val="right"/>
              <w:rPr>
                <w:rFonts w:eastAsia="Times New Roman"/>
                <w:sz w:val="20"/>
                <w:szCs w:val="20"/>
              </w:rPr>
            </w:pPr>
            <w:r>
              <w:rPr>
                <w:rFonts w:eastAsia="Times New Roman"/>
                <w:sz w:val="20"/>
                <w:szCs w:val="20"/>
              </w:rPr>
              <w:t>(2,288</w:t>
            </w:r>
          </w:p>
        </w:tc>
        <w:tc>
          <w:tcPr>
            <w:tcW w:w="50" w:type="pct"/>
            <w:shd w:val="clear" w:color="auto" w:fill="FFFFFF"/>
            <w:vAlign w:val="bottom"/>
            <w:hideMark/>
          </w:tcPr>
          <w:p w14:paraId="42BF572A" w14:textId="77777777" w:rsidR="00000000" w:rsidRDefault="0053651E">
            <w:pPr>
              <w:rPr>
                <w:rFonts w:eastAsia="Times New Roman"/>
                <w:sz w:val="20"/>
                <w:szCs w:val="20"/>
              </w:rPr>
            </w:pPr>
            <w:r>
              <w:rPr>
                <w:rFonts w:eastAsia="Times New Roman"/>
                <w:sz w:val="20"/>
                <w:szCs w:val="20"/>
              </w:rPr>
              <w:t>)</w:t>
            </w:r>
          </w:p>
        </w:tc>
      </w:tr>
      <w:tr w:rsidR="00000000" w14:paraId="045E15A8" w14:textId="77777777">
        <w:trPr>
          <w:tblCellSpacing w:w="0" w:type="dxa"/>
        </w:trPr>
        <w:tc>
          <w:tcPr>
            <w:tcW w:w="0" w:type="auto"/>
            <w:shd w:val="clear" w:color="auto" w:fill="CCEEFF"/>
            <w:vAlign w:val="bottom"/>
            <w:hideMark/>
          </w:tcPr>
          <w:p w14:paraId="5E945E42" w14:textId="77777777" w:rsidR="00000000" w:rsidRDefault="0053651E">
            <w:pPr>
              <w:pStyle w:val="a3"/>
              <w:spacing w:before="0" w:beforeAutospacing="0" w:after="0" w:afterAutospacing="0"/>
              <w:ind w:left="540"/>
              <w:rPr>
                <w:sz w:val="20"/>
                <w:szCs w:val="20"/>
              </w:rPr>
            </w:pPr>
            <w:r>
              <w:rPr>
                <w:sz w:val="20"/>
                <w:szCs w:val="20"/>
              </w:rPr>
              <w:t>Preferred stock redemption charges</w:t>
            </w:r>
          </w:p>
        </w:tc>
        <w:tc>
          <w:tcPr>
            <w:tcW w:w="50" w:type="pct"/>
            <w:shd w:val="clear" w:color="auto" w:fill="CCEEFF"/>
            <w:vAlign w:val="bottom"/>
            <w:hideMark/>
          </w:tcPr>
          <w:p w14:paraId="7CF0FB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FB511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B627FF4" w14:textId="77777777" w:rsidR="00000000" w:rsidRDefault="0053651E">
            <w:pPr>
              <w:jc w:val="right"/>
              <w:rPr>
                <w:rFonts w:eastAsia="Times New Roman"/>
                <w:sz w:val="20"/>
                <w:szCs w:val="20"/>
              </w:rPr>
            </w:pPr>
            <w:r>
              <w:rPr>
                <w:rFonts w:eastAsia="Times New Roman"/>
                <w:sz w:val="20"/>
                <w:szCs w:val="20"/>
              </w:rPr>
              <w:t>(18,528</w:t>
            </w:r>
          </w:p>
        </w:tc>
        <w:tc>
          <w:tcPr>
            <w:tcW w:w="50" w:type="pct"/>
            <w:shd w:val="clear" w:color="auto" w:fill="CCEEFF"/>
            <w:vAlign w:val="bottom"/>
            <w:hideMark/>
          </w:tcPr>
          <w:p w14:paraId="2CD367A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53BDA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408EA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BADE09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88E73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FC48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67BB42"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E879F54" w14:textId="77777777" w:rsidR="00000000" w:rsidRDefault="0053651E">
            <w:pPr>
              <w:jc w:val="right"/>
              <w:rPr>
                <w:rFonts w:eastAsia="Times New Roman"/>
                <w:sz w:val="20"/>
                <w:szCs w:val="20"/>
              </w:rPr>
            </w:pPr>
            <w:r>
              <w:rPr>
                <w:rFonts w:eastAsia="Times New Roman"/>
                <w:sz w:val="20"/>
                <w:szCs w:val="20"/>
              </w:rPr>
              <w:t>(18,528</w:t>
            </w:r>
          </w:p>
        </w:tc>
        <w:tc>
          <w:tcPr>
            <w:tcW w:w="50" w:type="pct"/>
            <w:shd w:val="clear" w:color="auto" w:fill="CCEEFF"/>
            <w:vAlign w:val="bottom"/>
            <w:hideMark/>
          </w:tcPr>
          <w:p w14:paraId="23F836E1" w14:textId="77777777" w:rsidR="00000000" w:rsidRDefault="0053651E">
            <w:pPr>
              <w:rPr>
                <w:rFonts w:eastAsia="Times New Roman"/>
                <w:sz w:val="20"/>
                <w:szCs w:val="20"/>
              </w:rPr>
            </w:pPr>
            <w:r>
              <w:rPr>
                <w:rFonts w:eastAsia="Times New Roman"/>
                <w:sz w:val="20"/>
                <w:szCs w:val="20"/>
              </w:rPr>
              <w:t>)</w:t>
            </w:r>
          </w:p>
        </w:tc>
      </w:tr>
      <w:tr w:rsidR="00000000" w14:paraId="6BED88F2" w14:textId="77777777">
        <w:trPr>
          <w:tblCellSpacing w:w="0" w:type="dxa"/>
        </w:trPr>
        <w:tc>
          <w:tcPr>
            <w:tcW w:w="0" w:type="auto"/>
            <w:shd w:val="clear" w:color="auto" w:fill="FFFFFF"/>
            <w:vAlign w:val="bottom"/>
            <w:hideMark/>
          </w:tcPr>
          <w:p w14:paraId="28717F30" w14:textId="77777777" w:rsidR="00000000" w:rsidRDefault="0053651E">
            <w:pPr>
              <w:pStyle w:val="a3"/>
              <w:spacing w:before="0" w:beforeAutospacing="0" w:after="0" w:afterAutospacing="0"/>
              <w:ind w:left="540"/>
              <w:rPr>
                <w:sz w:val="20"/>
                <w:szCs w:val="20"/>
              </w:rPr>
            </w:pPr>
            <w:r>
              <w:rPr>
                <w:sz w:val="20"/>
                <w:szCs w:val="20"/>
              </w:rPr>
              <w:t>Preferred dividends</w:t>
            </w:r>
          </w:p>
        </w:tc>
        <w:tc>
          <w:tcPr>
            <w:tcW w:w="50" w:type="pct"/>
            <w:shd w:val="clear" w:color="auto" w:fill="FFFFFF"/>
            <w:vAlign w:val="bottom"/>
            <w:hideMark/>
          </w:tcPr>
          <w:p w14:paraId="25290DE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076356"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3D7A9CDB" w14:textId="77777777" w:rsidR="00000000" w:rsidRDefault="0053651E">
            <w:pPr>
              <w:jc w:val="right"/>
              <w:rPr>
                <w:rFonts w:eastAsia="Times New Roman"/>
                <w:sz w:val="20"/>
                <w:szCs w:val="20"/>
              </w:rPr>
            </w:pPr>
            <w:r>
              <w:rPr>
                <w:rFonts w:eastAsia="Times New Roman"/>
                <w:sz w:val="20"/>
                <w:szCs w:val="20"/>
              </w:rPr>
              <w:t>(52,089</w:t>
            </w:r>
          </w:p>
        </w:tc>
        <w:tc>
          <w:tcPr>
            <w:tcW w:w="50" w:type="pct"/>
            <w:shd w:val="clear" w:color="auto" w:fill="FFFFFF"/>
            <w:tcMar>
              <w:top w:w="0" w:type="dxa"/>
              <w:left w:w="0" w:type="dxa"/>
              <w:bottom w:w="15" w:type="dxa"/>
              <w:right w:w="0" w:type="dxa"/>
            </w:tcMar>
            <w:vAlign w:val="bottom"/>
            <w:hideMark/>
          </w:tcPr>
          <w:p w14:paraId="23E0436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86384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290927"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2E50FA9B" w14:textId="77777777" w:rsidR="00000000" w:rsidRDefault="0053651E">
            <w:pPr>
              <w:jc w:val="right"/>
              <w:rPr>
                <w:rFonts w:eastAsia="Times New Roman"/>
                <w:sz w:val="20"/>
                <w:szCs w:val="20"/>
              </w:rPr>
            </w:pPr>
            <w:r>
              <w:rPr>
                <w:rFonts w:eastAsia="Times New Roman"/>
                <w:sz w:val="20"/>
                <w:szCs w:val="20"/>
              </w:rPr>
              <w:t>(58,191</w:t>
            </w:r>
          </w:p>
        </w:tc>
        <w:tc>
          <w:tcPr>
            <w:tcW w:w="50" w:type="pct"/>
            <w:shd w:val="clear" w:color="auto" w:fill="FFFFFF"/>
            <w:tcMar>
              <w:top w:w="0" w:type="dxa"/>
              <w:left w:w="0" w:type="dxa"/>
              <w:bottom w:w="15" w:type="dxa"/>
              <w:right w:w="0" w:type="dxa"/>
            </w:tcMar>
            <w:vAlign w:val="bottom"/>
            <w:hideMark/>
          </w:tcPr>
          <w:p w14:paraId="73AAD33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B74D23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BB0A87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33B06FD" w14:textId="77777777" w:rsidR="00000000" w:rsidRDefault="0053651E">
            <w:pPr>
              <w:jc w:val="right"/>
              <w:rPr>
                <w:rFonts w:eastAsia="Times New Roman"/>
                <w:sz w:val="20"/>
                <w:szCs w:val="20"/>
              </w:rPr>
            </w:pPr>
            <w:r>
              <w:rPr>
                <w:rFonts w:eastAsia="Times New Roman"/>
                <w:sz w:val="20"/>
                <w:szCs w:val="20"/>
              </w:rPr>
              <w:t>6,102</w:t>
            </w:r>
          </w:p>
        </w:tc>
        <w:tc>
          <w:tcPr>
            <w:tcW w:w="50" w:type="pct"/>
            <w:shd w:val="clear" w:color="auto" w:fill="FFFFFF"/>
            <w:tcMar>
              <w:top w:w="0" w:type="dxa"/>
              <w:left w:w="0" w:type="dxa"/>
              <w:bottom w:w="15" w:type="dxa"/>
              <w:right w:w="0" w:type="dxa"/>
            </w:tcMar>
            <w:vAlign w:val="bottom"/>
            <w:hideMark/>
          </w:tcPr>
          <w:p w14:paraId="1A87EF21" w14:textId="77777777" w:rsidR="00000000" w:rsidRDefault="0053651E">
            <w:pPr>
              <w:rPr>
                <w:rFonts w:eastAsia="Times New Roman"/>
                <w:sz w:val="20"/>
                <w:szCs w:val="20"/>
              </w:rPr>
            </w:pPr>
            <w:r>
              <w:rPr>
                <w:rFonts w:eastAsia="Times New Roman"/>
                <w:sz w:val="20"/>
                <w:szCs w:val="20"/>
              </w:rPr>
              <w:t> </w:t>
            </w:r>
          </w:p>
        </w:tc>
      </w:tr>
      <w:tr w:rsidR="00000000" w14:paraId="4D2C0941" w14:textId="77777777">
        <w:trPr>
          <w:tblCellSpacing w:w="0" w:type="dxa"/>
        </w:trPr>
        <w:tc>
          <w:tcPr>
            <w:tcW w:w="0" w:type="auto"/>
            <w:shd w:val="clear" w:color="auto" w:fill="CCEEFF"/>
            <w:vAlign w:val="bottom"/>
            <w:hideMark/>
          </w:tcPr>
          <w:p w14:paraId="12ABA274" w14:textId="77777777" w:rsidR="00000000" w:rsidRDefault="0053651E">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CCEEFF"/>
            <w:vAlign w:val="bottom"/>
            <w:hideMark/>
          </w:tcPr>
          <w:p w14:paraId="5D83FD6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B9D3A47"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49D171CF" w14:textId="77777777" w:rsidR="00000000" w:rsidRDefault="0053651E">
            <w:pPr>
              <w:jc w:val="right"/>
              <w:rPr>
                <w:rFonts w:eastAsia="Times New Roman"/>
                <w:sz w:val="20"/>
                <w:szCs w:val="20"/>
              </w:rPr>
            </w:pPr>
            <w:r>
              <w:rPr>
                <w:rFonts w:eastAsia="Times New Roman"/>
                <w:sz w:val="20"/>
                <w:szCs w:val="20"/>
              </w:rPr>
              <w:t>339,988</w:t>
            </w:r>
          </w:p>
        </w:tc>
        <w:tc>
          <w:tcPr>
            <w:tcW w:w="50" w:type="pct"/>
            <w:shd w:val="clear" w:color="auto" w:fill="CCEEFF"/>
            <w:tcMar>
              <w:top w:w="0" w:type="dxa"/>
              <w:left w:w="0" w:type="dxa"/>
              <w:bottom w:w="45" w:type="dxa"/>
              <w:right w:w="0" w:type="dxa"/>
            </w:tcMar>
            <w:vAlign w:val="bottom"/>
            <w:hideMark/>
          </w:tcPr>
          <w:p w14:paraId="0307FF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CE4C9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5CE910"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5C660219" w14:textId="77777777" w:rsidR="00000000" w:rsidRDefault="0053651E">
            <w:pPr>
              <w:jc w:val="right"/>
              <w:rPr>
                <w:rFonts w:eastAsia="Times New Roman"/>
                <w:sz w:val="20"/>
                <w:szCs w:val="20"/>
              </w:rPr>
            </w:pPr>
            <w:r>
              <w:rPr>
                <w:rFonts w:eastAsia="Times New Roman"/>
                <w:sz w:val="20"/>
                <w:szCs w:val="20"/>
              </w:rPr>
              <w:t>439,604</w:t>
            </w:r>
          </w:p>
        </w:tc>
        <w:tc>
          <w:tcPr>
            <w:tcW w:w="50" w:type="pct"/>
            <w:shd w:val="clear" w:color="auto" w:fill="CCEEFF"/>
            <w:tcMar>
              <w:top w:w="0" w:type="dxa"/>
              <w:left w:w="0" w:type="dxa"/>
              <w:bottom w:w="45" w:type="dxa"/>
              <w:right w:w="0" w:type="dxa"/>
            </w:tcMar>
            <w:vAlign w:val="bottom"/>
            <w:hideMark/>
          </w:tcPr>
          <w:p w14:paraId="506B59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55EE0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8994A8D"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4BCDCC0D" w14:textId="77777777" w:rsidR="00000000" w:rsidRDefault="0053651E">
            <w:pPr>
              <w:jc w:val="right"/>
              <w:rPr>
                <w:rFonts w:eastAsia="Times New Roman"/>
                <w:sz w:val="20"/>
                <w:szCs w:val="20"/>
              </w:rPr>
            </w:pPr>
            <w:r>
              <w:rPr>
                <w:rFonts w:eastAsia="Times New Roman"/>
                <w:sz w:val="20"/>
                <w:szCs w:val="20"/>
              </w:rPr>
              <w:t>(99,616</w:t>
            </w:r>
          </w:p>
        </w:tc>
        <w:tc>
          <w:tcPr>
            <w:tcW w:w="50" w:type="pct"/>
            <w:shd w:val="clear" w:color="auto" w:fill="CCEEFF"/>
            <w:tcMar>
              <w:top w:w="0" w:type="dxa"/>
              <w:left w:w="0" w:type="dxa"/>
              <w:bottom w:w="45" w:type="dxa"/>
              <w:right w:w="0" w:type="dxa"/>
            </w:tcMar>
            <w:vAlign w:val="bottom"/>
            <w:hideMark/>
          </w:tcPr>
          <w:p w14:paraId="3119FDD8" w14:textId="77777777" w:rsidR="00000000" w:rsidRDefault="0053651E">
            <w:pPr>
              <w:rPr>
                <w:rFonts w:eastAsia="Times New Roman"/>
                <w:sz w:val="20"/>
                <w:szCs w:val="20"/>
              </w:rPr>
            </w:pPr>
            <w:r>
              <w:rPr>
                <w:rFonts w:eastAsia="Times New Roman"/>
                <w:sz w:val="20"/>
                <w:szCs w:val="20"/>
              </w:rPr>
              <w:t>)</w:t>
            </w:r>
          </w:p>
        </w:tc>
      </w:tr>
      <w:tr w:rsidR="00000000" w14:paraId="2A185A4F" w14:textId="77777777">
        <w:trPr>
          <w:tblCellSpacing w:w="0" w:type="dxa"/>
        </w:trPr>
        <w:tc>
          <w:tcPr>
            <w:tcW w:w="0" w:type="auto"/>
            <w:shd w:val="clear" w:color="auto" w:fill="FFFFFF"/>
            <w:vAlign w:val="bottom"/>
            <w:hideMark/>
          </w:tcPr>
          <w:p w14:paraId="2D6BEEE3" w14:textId="77777777" w:rsidR="00000000" w:rsidRDefault="0053651E">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tcMar>
              <w:top w:w="0" w:type="dxa"/>
              <w:left w:w="0" w:type="dxa"/>
              <w:bottom w:w="15" w:type="dxa"/>
              <w:right w:w="0" w:type="dxa"/>
            </w:tcMar>
            <w:vAlign w:val="bottom"/>
            <w:hideMark/>
          </w:tcPr>
          <w:p w14:paraId="20B84000"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77C090E"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C743BB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2224EA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D388760"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CAE7591"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BE13A1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A7DFB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E29A007"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DED1405"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B25D7D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5D511CB" w14:textId="77777777" w:rsidR="00000000" w:rsidRDefault="0053651E">
            <w:pPr>
              <w:rPr>
                <w:rFonts w:eastAsia="Times New Roman"/>
                <w:sz w:val="20"/>
                <w:szCs w:val="20"/>
              </w:rPr>
            </w:pPr>
            <w:r>
              <w:rPr>
                <w:rFonts w:eastAsia="Times New Roman"/>
                <w:sz w:val="20"/>
                <w:szCs w:val="20"/>
              </w:rPr>
              <w:t> </w:t>
            </w:r>
          </w:p>
        </w:tc>
      </w:tr>
      <w:tr w:rsidR="00000000" w14:paraId="563F52DE" w14:textId="77777777">
        <w:trPr>
          <w:tblCellSpacing w:w="0" w:type="dxa"/>
        </w:trPr>
        <w:tc>
          <w:tcPr>
            <w:tcW w:w="0" w:type="auto"/>
            <w:shd w:val="clear" w:color="auto" w:fill="CCEEFF"/>
            <w:vAlign w:val="bottom"/>
            <w:hideMark/>
          </w:tcPr>
          <w:p w14:paraId="034D6012" w14:textId="77777777" w:rsidR="00000000" w:rsidRDefault="0053651E">
            <w:pPr>
              <w:pStyle w:val="a3"/>
              <w:spacing w:before="0" w:beforeAutospacing="0" w:after="0" w:afterAutospacing="0"/>
              <w:ind w:left="540"/>
              <w:rPr>
                <w:sz w:val="20"/>
                <w:szCs w:val="20"/>
              </w:rPr>
            </w:pPr>
            <w:r>
              <w:rPr>
                <w:sz w:val="20"/>
                <w:szCs w:val="20"/>
              </w:rPr>
              <w:t>Diluted per share</w:t>
            </w:r>
          </w:p>
        </w:tc>
        <w:tc>
          <w:tcPr>
            <w:tcW w:w="50" w:type="pct"/>
            <w:shd w:val="clear" w:color="auto" w:fill="CCEEFF"/>
            <w:vAlign w:val="bottom"/>
            <w:hideMark/>
          </w:tcPr>
          <w:p w14:paraId="4A6B3E1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F3926D7"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E93B89C"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14:paraId="241DFC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6BE34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EFB30E0"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258ED48C"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CCEEFF"/>
            <w:tcMar>
              <w:top w:w="0" w:type="dxa"/>
              <w:left w:w="0" w:type="dxa"/>
              <w:bottom w:w="45" w:type="dxa"/>
              <w:right w:w="0" w:type="dxa"/>
            </w:tcMar>
            <w:vAlign w:val="bottom"/>
            <w:hideMark/>
          </w:tcPr>
          <w:p w14:paraId="737CCA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6475C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0799A1"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209D87C3" w14:textId="77777777" w:rsidR="00000000" w:rsidRDefault="0053651E">
            <w:pPr>
              <w:jc w:val="right"/>
              <w:rPr>
                <w:rFonts w:eastAsia="Times New Roman"/>
                <w:sz w:val="20"/>
                <w:szCs w:val="20"/>
              </w:rPr>
            </w:pPr>
            <w:r>
              <w:rPr>
                <w:rFonts w:eastAsia="Times New Roman"/>
                <w:sz w:val="20"/>
                <w:szCs w:val="20"/>
              </w:rPr>
              <w:t>(0.22</w:t>
            </w:r>
          </w:p>
        </w:tc>
        <w:tc>
          <w:tcPr>
            <w:tcW w:w="50" w:type="pct"/>
            <w:shd w:val="clear" w:color="auto" w:fill="CCEEFF"/>
            <w:tcMar>
              <w:top w:w="0" w:type="dxa"/>
              <w:left w:w="0" w:type="dxa"/>
              <w:bottom w:w="45" w:type="dxa"/>
              <w:right w:w="0" w:type="dxa"/>
            </w:tcMar>
            <w:vAlign w:val="bottom"/>
            <w:hideMark/>
          </w:tcPr>
          <w:p w14:paraId="566E0840" w14:textId="77777777" w:rsidR="00000000" w:rsidRDefault="0053651E">
            <w:pPr>
              <w:rPr>
                <w:rFonts w:eastAsia="Times New Roman"/>
                <w:sz w:val="20"/>
                <w:szCs w:val="20"/>
              </w:rPr>
            </w:pPr>
            <w:r>
              <w:rPr>
                <w:rFonts w:eastAsia="Times New Roman"/>
                <w:sz w:val="20"/>
                <w:szCs w:val="20"/>
              </w:rPr>
              <w:t>)</w:t>
            </w:r>
          </w:p>
        </w:tc>
      </w:tr>
    </w:tbl>
    <w:p w14:paraId="565B03C3"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6EB8203" w14:textId="77777777">
        <w:trPr>
          <w:tblCellSpacing w:w="0" w:type="dxa"/>
        </w:trPr>
        <w:tc>
          <w:tcPr>
            <w:tcW w:w="360" w:type="dxa"/>
            <w:hideMark/>
          </w:tcPr>
          <w:p w14:paraId="7CAC2601" w14:textId="77777777" w:rsidR="00000000" w:rsidRDefault="0053651E">
            <w:pPr>
              <w:rPr>
                <w:rFonts w:eastAsia="Times New Roman"/>
              </w:rPr>
            </w:pPr>
            <w:r>
              <w:rPr>
                <w:rFonts w:eastAsia="Times New Roman"/>
              </w:rPr>
              <w:t> </w:t>
            </w:r>
          </w:p>
        </w:tc>
        <w:tc>
          <w:tcPr>
            <w:tcW w:w="360" w:type="dxa"/>
            <w:hideMark/>
          </w:tcPr>
          <w:p w14:paraId="733AF038" w14:textId="77777777" w:rsidR="00000000" w:rsidRDefault="0053651E">
            <w:pPr>
              <w:pStyle w:val="a3"/>
              <w:spacing w:before="0" w:beforeAutospacing="0" w:after="0" w:afterAutospacing="0"/>
              <w:jc w:val="both"/>
              <w:rPr>
                <w:sz w:val="20"/>
                <w:szCs w:val="20"/>
              </w:rPr>
            </w:pPr>
            <w:r>
              <w:rPr>
                <w:sz w:val="20"/>
                <w:szCs w:val="20"/>
              </w:rPr>
              <w:t>(1)</w:t>
            </w:r>
          </w:p>
        </w:tc>
        <w:tc>
          <w:tcPr>
            <w:tcW w:w="0" w:type="auto"/>
            <w:hideMark/>
          </w:tcPr>
          <w:p w14:paraId="371E77ED" w14:textId="77777777" w:rsidR="00000000" w:rsidRDefault="0053651E">
            <w:pPr>
              <w:pStyle w:val="a3"/>
              <w:spacing w:before="0" w:beforeAutospacing="0" w:after="0" w:afterAutospacing="0"/>
              <w:jc w:val="both"/>
              <w:rPr>
                <w:sz w:val="20"/>
                <w:szCs w:val="20"/>
              </w:rPr>
            </w:pPr>
            <w:r>
              <w:rPr>
                <w:sz w:val="20"/>
                <w:szCs w:val="20"/>
              </w:rPr>
              <w:t xml:space="preserve">Upon the adoption of Topic 842, the Company reclassified $246.4 million of Reimbursement income and $20.9 million of Other rental property income to Revenues from rental properties, net on the Company’s Consolidated Statements of Income for the year ended </w:t>
            </w:r>
            <w:r>
              <w:rPr>
                <w:sz w:val="20"/>
                <w:szCs w:val="20"/>
              </w:rPr>
              <w:t>December 31, 2018. See Footnote 1 of the Notes to the Consolidated Financial Statements included in this Form 10-K for additional disclosure.</w:t>
            </w:r>
          </w:p>
        </w:tc>
      </w:tr>
    </w:tbl>
    <w:p w14:paraId="33E7686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2ACD1D2" w14:textId="77777777">
        <w:trPr>
          <w:tblCellSpacing w:w="0" w:type="dxa"/>
        </w:trPr>
        <w:tc>
          <w:tcPr>
            <w:tcW w:w="360" w:type="dxa"/>
            <w:vAlign w:val="center"/>
            <w:hideMark/>
          </w:tcPr>
          <w:p w14:paraId="4F9E3EC5" w14:textId="77777777" w:rsidR="00000000" w:rsidRDefault="0053651E">
            <w:pPr>
              <w:rPr>
                <w:rFonts w:eastAsia="Times New Roman"/>
                <w:sz w:val="20"/>
                <w:szCs w:val="20"/>
              </w:rPr>
            </w:pPr>
            <w:r>
              <w:rPr>
                <w:rFonts w:eastAsia="Times New Roman"/>
                <w:sz w:val="20"/>
                <w:szCs w:val="20"/>
              </w:rPr>
              <w:t> </w:t>
            </w:r>
          </w:p>
        </w:tc>
        <w:tc>
          <w:tcPr>
            <w:tcW w:w="360" w:type="dxa"/>
            <w:hideMark/>
          </w:tcPr>
          <w:p w14:paraId="04DADA3F" w14:textId="77777777" w:rsidR="00000000" w:rsidRDefault="0053651E">
            <w:pPr>
              <w:pStyle w:val="a3"/>
              <w:spacing w:before="0" w:beforeAutospacing="0" w:after="0" w:afterAutospacing="0"/>
              <w:jc w:val="both"/>
              <w:rPr>
                <w:sz w:val="20"/>
                <w:szCs w:val="20"/>
              </w:rPr>
            </w:pPr>
            <w:r>
              <w:rPr>
                <w:sz w:val="20"/>
                <w:szCs w:val="20"/>
              </w:rPr>
              <w:t>(2)</w:t>
            </w:r>
          </w:p>
        </w:tc>
        <w:tc>
          <w:tcPr>
            <w:tcW w:w="0" w:type="auto"/>
            <w:hideMark/>
          </w:tcPr>
          <w:p w14:paraId="5AF34BB9" w14:textId="77777777" w:rsidR="00000000" w:rsidRDefault="0053651E">
            <w:pPr>
              <w:pStyle w:val="a3"/>
              <w:spacing w:before="0" w:beforeAutospacing="0" w:after="0" w:afterAutospacing="0"/>
              <w:jc w:val="both"/>
              <w:rPr>
                <w:sz w:val="20"/>
                <w:szCs w:val="20"/>
              </w:rPr>
            </w:pPr>
            <w:r>
              <w:rPr>
                <w:sz w:val="20"/>
                <w:szCs w:val="20"/>
              </w:rPr>
              <w:t>Rent expense relates to ground lease payments for which the Company is the lessee.</w:t>
            </w:r>
          </w:p>
        </w:tc>
      </w:tr>
    </w:tbl>
    <w:p w14:paraId="7AFA486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520250C" w14:textId="77777777">
        <w:trPr>
          <w:tblCellSpacing w:w="0" w:type="dxa"/>
        </w:trPr>
        <w:tc>
          <w:tcPr>
            <w:tcW w:w="360" w:type="dxa"/>
            <w:vAlign w:val="center"/>
            <w:hideMark/>
          </w:tcPr>
          <w:p w14:paraId="6EB9169F" w14:textId="77777777" w:rsidR="00000000" w:rsidRDefault="0053651E">
            <w:pPr>
              <w:rPr>
                <w:rFonts w:eastAsia="Times New Roman"/>
                <w:sz w:val="20"/>
                <w:szCs w:val="20"/>
              </w:rPr>
            </w:pPr>
            <w:r>
              <w:rPr>
                <w:rFonts w:eastAsia="Times New Roman"/>
                <w:sz w:val="20"/>
                <w:szCs w:val="20"/>
              </w:rPr>
              <w:t> </w:t>
            </w:r>
          </w:p>
        </w:tc>
        <w:tc>
          <w:tcPr>
            <w:tcW w:w="360" w:type="dxa"/>
            <w:hideMark/>
          </w:tcPr>
          <w:p w14:paraId="4DA5C560" w14:textId="77777777" w:rsidR="00000000" w:rsidRDefault="0053651E">
            <w:pPr>
              <w:pStyle w:val="a3"/>
              <w:spacing w:before="0" w:beforeAutospacing="0" w:after="0" w:afterAutospacing="0"/>
              <w:jc w:val="both"/>
              <w:rPr>
                <w:sz w:val="20"/>
                <w:szCs w:val="20"/>
              </w:rPr>
            </w:pPr>
            <w:r>
              <w:rPr>
                <w:sz w:val="20"/>
                <w:szCs w:val="20"/>
              </w:rPr>
              <w:t>(3)</w:t>
            </w:r>
          </w:p>
        </w:tc>
        <w:tc>
          <w:tcPr>
            <w:tcW w:w="0" w:type="auto"/>
            <w:hideMark/>
          </w:tcPr>
          <w:p w14:paraId="6B91D834" w14:textId="77777777" w:rsidR="00000000" w:rsidRDefault="0053651E">
            <w:pPr>
              <w:pStyle w:val="a3"/>
              <w:spacing w:before="0" w:beforeAutospacing="0" w:after="0" w:afterAutospacing="0"/>
              <w:jc w:val="both"/>
              <w:rPr>
                <w:sz w:val="20"/>
                <w:szCs w:val="20"/>
              </w:rPr>
            </w:pPr>
            <w:r>
              <w:rPr>
                <w:sz w:val="20"/>
                <w:szCs w:val="20"/>
              </w:rPr>
              <w:t>Operating and m</w:t>
            </w:r>
            <w:r>
              <w:rPr>
                <w:sz w:val="20"/>
                <w:szCs w:val="20"/>
              </w:rPr>
              <w:t>aintenance expense consists of property related costs including repairs and maintenance costs, roof repair, landscaping, parking lot repair, snow removal, utilities, property insurance costs, security and various other property related expenses.</w:t>
            </w:r>
          </w:p>
        </w:tc>
      </w:tr>
    </w:tbl>
    <w:p w14:paraId="4D3A156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4E2937B" w14:textId="77777777">
        <w:trPr>
          <w:tblCellSpacing w:w="0" w:type="dxa"/>
        </w:trPr>
        <w:tc>
          <w:tcPr>
            <w:tcW w:w="360" w:type="dxa"/>
            <w:vAlign w:val="center"/>
            <w:hideMark/>
          </w:tcPr>
          <w:p w14:paraId="4853D44E" w14:textId="77777777" w:rsidR="00000000" w:rsidRDefault="0053651E">
            <w:pPr>
              <w:rPr>
                <w:rFonts w:eastAsia="Times New Roman"/>
                <w:sz w:val="20"/>
                <w:szCs w:val="20"/>
              </w:rPr>
            </w:pPr>
            <w:r>
              <w:rPr>
                <w:rFonts w:eastAsia="Times New Roman"/>
                <w:sz w:val="20"/>
                <w:szCs w:val="20"/>
              </w:rPr>
              <w:t> </w:t>
            </w:r>
          </w:p>
        </w:tc>
        <w:tc>
          <w:tcPr>
            <w:tcW w:w="360" w:type="dxa"/>
            <w:hideMark/>
          </w:tcPr>
          <w:p w14:paraId="53047D8A" w14:textId="77777777" w:rsidR="00000000" w:rsidRDefault="0053651E">
            <w:pPr>
              <w:pStyle w:val="a3"/>
              <w:spacing w:before="0" w:beforeAutospacing="0" w:after="0" w:afterAutospacing="0"/>
              <w:jc w:val="both"/>
              <w:rPr>
                <w:sz w:val="20"/>
                <w:szCs w:val="20"/>
              </w:rPr>
            </w:pPr>
            <w:r>
              <w:rPr>
                <w:sz w:val="20"/>
                <w:szCs w:val="20"/>
              </w:rPr>
              <w:t>(4)</w:t>
            </w:r>
          </w:p>
        </w:tc>
        <w:tc>
          <w:tcPr>
            <w:tcW w:w="0" w:type="auto"/>
            <w:hideMark/>
          </w:tcPr>
          <w:p w14:paraId="6E5102BA" w14:textId="77777777" w:rsidR="00000000" w:rsidRDefault="0053651E">
            <w:pPr>
              <w:pStyle w:val="a3"/>
              <w:spacing w:before="0" w:beforeAutospacing="0" w:after="0" w:afterAutospacing="0"/>
              <w:jc w:val="both"/>
              <w:rPr>
                <w:sz w:val="20"/>
                <w:szCs w:val="20"/>
              </w:rPr>
            </w:pPr>
            <w:r>
              <w:rPr>
                <w:sz w:val="20"/>
                <w:szCs w:val="20"/>
              </w:rPr>
              <w:t>Ge</w:t>
            </w:r>
            <w:r>
              <w:rPr>
                <w:sz w:val="20"/>
                <w:szCs w:val="20"/>
              </w:rPr>
              <w:t>neral and administrative expense includes employee-related expenses (including salaries, bonuses, equity awards, benefits, severance costs and payroll taxes), professional fees, office rent, travel expense and other company-specific expenses.</w:t>
            </w:r>
          </w:p>
        </w:tc>
      </w:tr>
    </w:tbl>
    <w:p w14:paraId="73409D8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8457052" w14:textId="77777777">
        <w:trPr>
          <w:tblCellSpacing w:w="0" w:type="dxa"/>
        </w:trPr>
        <w:tc>
          <w:tcPr>
            <w:tcW w:w="360" w:type="dxa"/>
            <w:vAlign w:val="center"/>
            <w:hideMark/>
          </w:tcPr>
          <w:p w14:paraId="10E89865" w14:textId="77777777" w:rsidR="00000000" w:rsidRDefault="0053651E">
            <w:pPr>
              <w:rPr>
                <w:rFonts w:eastAsia="Times New Roman"/>
                <w:sz w:val="20"/>
                <w:szCs w:val="20"/>
              </w:rPr>
            </w:pPr>
            <w:r>
              <w:rPr>
                <w:rFonts w:eastAsia="Times New Roman"/>
                <w:sz w:val="20"/>
                <w:szCs w:val="20"/>
              </w:rPr>
              <w:t> </w:t>
            </w:r>
          </w:p>
        </w:tc>
        <w:tc>
          <w:tcPr>
            <w:tcW w:w="360" w:type="dxa"/>
            <w:hideMark/>
          </w:tcPr>
          <w:p w14:paraId="462B057A" w14:textId="77777777" w:rsidR="00000000" w:rsidRDefault="0053651E">
            <w:pPr>
              <w:pStyle w:val="a3"/>
              <w:spacing w:before="0" w:beforeAutospacing="0" w:after="0" w:afterAutospacing="0"/>
              <w:jc w:val="both"/>
              <w:rPr>
                <w:sz w:val="20"/>
                <w:szCs w:val="20"/>
              </w:rPr>
            </w:pPr>
            <w:r>
              <w:rPr>
                <w:sz w:val="20"/>
                <w:szCs w:val="20"/>
              </w:rPr>
              <w:t>(5)</w:t>
            </w:r>
          </w:p>
        </w:tc>
        <w:tc>
          <w:tcPr>
            <w:tcW w:w="0" w:type="auto"/>
            <w:hideMark/>
          </w:tcPr>
          <w:p w14:paraId="7B7DE84B" w14:textId="77777777" w:rsidR="00000000" w:rsidRDefault="0053651E">
            <w:pPr>
              <w:pStyle w:val="a3"/>
              <w:spacing w:before="0" w:beforeAutospacing="0" w:after="0" w:afterAutospacing="0"/>
              <w:jc w:val="both"/>
              <w:rPr>
                <w:sz w:val="20"/>
                <w:szCs w:val="20"/>
              </w:rPr>
            </w:pPr>
            <w:r>
              <w:rPr>
                <w:sz w:val="20"/>
                <w:szCs w:val="20"/>
              </w:rPr>
              <w:t>In ac</w:t>
            </w:r>
            <w:r>
              <w:rPr>
                <w:sz w:val="20"/>
                <w:szCs w:val="20"/>
              </w:rPr>
              <w:t>cordance with the adoption of Topic 842 the Company, effective January 1, 2019, includes Provision for doubtful accounts amounts in Revenues from rental properties, net.</w:t>
            </w:r>
          </w:p>
        </w:tc>
      </w:tr>
    </w:tbl>
    <w:p w14:paraId="0AF2C2FF" w14:textId="77777777" w:rsidR="00000000" w:rsidRDefault="0053651E">
      <w:pPr>
        <w:pStyle w:val="a3"/>
        <w:spacing w:before="0" w:beforeAutospacing="0" w:after="0" w:afterAutospacing="0"/>
        <w:ind w:right="720"/>
        <w:jc w:val="both"/>
        <w:rPr>
          <w:sz w:val="20"/>
          <w:szCs w:val="20"/>
        </w:rPr>
      </w:pPr>
      <w:r>
        <w:rPr>
          <w:sz w:val="20"/>
          <w:szCs w:val="20"/>
        </w:rPr>
        <w:t> </w:t>
      </w:r>
    </w:p>
    <w:p w14:paraId="1E2F75DF" w14:textId="77777777" w:rsidR="00000000" w:rsidRDefault="0053651E">
      <w:pPr>
        <w:pStyle w:val="a3"/>
        <w:spacing w:before="0" w:beforeAutospacing="0" w:after="0" w:afterAutospacing="0"/>
        <w:ind w:firstLine="360"/>
        <w:jc w:val="both"/>
        <w:rPr>
          <w:sz w:val="20"/>
          <w:szCs w:val="20"/>
        </w:rPr>
      </w:pPr>
      <w:r>
        <w:rPr>
          <w:sz w:val="20"/>
          <w:szCs w:val="20"/>
        </w:rPr>
        <w:t>Net income available to the Company’</w:t>
      </w:r>
      <w:r>
        <w:rPr>
          <w:sz w:val="20"/>
          <w:szCs w:val="20"/>
        </w:rPr>
        <w:t>s common shareholders was $340.0 million for the year ended December 31, 2019, as compared to $439.6 million for the comparable period in 2018. On a diluted per share basis, net income available to the Company's common shareholders for the year ended Decem</w:t>
      </w:r>
      <w:r>
        <w:rPr>
          <w:sz w:val="20"/>
          <w:szCs w:val="20"/>
        </w:rPr>
        <w:t>ber 31, 2019, was $0.80 as compared to $1.02 for the comparable period in 2018.  For additional disclosure, see Footnote 22 of the Notes to Consolidated Financial Statements included in this Form 10-K.</w:t>
      </w:r>
    </w:p>
    <w:p w14:paraId="1DC9BF8F" w14:textId="77777777" w:rsidR="00000000" w:rsidRDefault="0053651E">
      <w:pPr>
        <w:pStyle w:val="a3"/>
        <w:spacing w:before="0" w:beforeAutospacing="0" w:after="0" w:afterAutospacing="0"/>
        <w:ind w:right="720"/>
        <w:jc w:val="both"/>
        <w:rPr>
          <w:sz w:val="20"/>
          <w:szCs w:val="20"/>
        </w:rPr>
      </w:pPr>
      <w:r>
        <w:rPr>
          <w:sz w:val="20"/>
          <w:szCs w:val="20"/>
        </w:rPr>
        <w:t> </w:t>
      </w:r>
    </w:p>
    <w:p w14:paraId="5FC698BB" w14:textId="77777777" w:rsidR="00000000" w:rsidRDefault="0053651E">
      <w:pPr>
        <w:pStyle w:val="a3"/>
        <w:spacing w:before="0" w:beforeAutospacing="0" w:after="0" w:afterAutospacing="0"/>
        <w:ind w:firstLine="360"/>
        <w:jc w:val="both"/>
        <w:rPr>
          <w:sz w:val="20"/>
          <w:szCs w:val="20"/>
        </w:rPr>
      </w:pPr>
      <w:r>
        <w:rPr>
          <w:sz w:val="20"/>
          <w:szCs w:val="20"/>
        </w:rPr>
        <w:t xml:space="preserve">The following describes the changes of certain line </w:t>
      </w:r>
      <w:r>
        <w:rPr>
          <w:sz w:val="20"/>
          <w:szCs w:val="20"/>
        </w:rPr>
        <w:t>items included on the Company’s Consolidated Statements of Income, that the Company believes changed significantly and affected Net income available to the Company's common shareholders during the year ended December 31, 2019, as compared to the correspond</w:t>
      </w:r>
      <w:r>
        <w:rPr>
          <w:sz w:val="20"/>
          <w:szCs w:val="20"/>
        </w:rPr>
        <w:t>ing period in 2018:</w:t>
      </w:r>
    </w:p>
    <w:p w14:paraId="60DE1838" w14:textId="77777777" w:rsidR="00000000" w:rsidRDefault="0053651E">
      <w:pPr>
        <w:pStyle w:val="a3"/>
        <w:spacing w:before="0" w:beforeAutospacing="0" w:after="0" w:afterAutospacing="0"/>
        <w:ind w:firstLine="360"/>
        <w:jc w:val="both"/>
        <w:rPr>
          <w:sz w:val="20"/>
          <w:szCs w:val="20"/>
        </w:rPr>
      </w:pPr>
      <w:r>
        <w:rPr>
          <w:sz w:val="20"/>
          <w:szCs w:val="20"/>
        </w:rPr>
        <w:t> </w:t>
      </w:r>
    </w:p>
    <w:p w14:paraId="435417D3" w14:textId="77777777" w:rsidR="00000000" w:rsidRDefault="0053651E">
      <w:pPr>
        <w:pStyle w:val="a3"/>
        <w:spacing w:before="0" w:beforeAutospacing="0" w:after="0" w:afterAutospacing="0"/>
        <w:jc w:val="both"/>
        <w:rPr>
          <w:sz w:val="20"/>
          <w:szCs w:val="20"/>
        </w:rPr>
      </w:pPr>
      <w:r>
        <w:rPr>
          <w:i/>
          <w:iCs/>
          <w:sz w:val="20"/>
          <w:szCs w:val="20"/>
        </w:rPr>
        <w:t>Revenue from rental properties, net –</w:t>
      </w:r>
    </w:p>
    <w:p w14:paraId="0C22E0AF" w14:textId="77777777" w:rsidR="00000000" w:rsidRDefault="0053651E">
      <w:pPr>
        <w:pStyle w:val="a3"/>
        <w:spacing w:before="0" w:beforeAutospacing="0" w:after="0" w:afterAutospacing="0"/>
        <w:ind w:firstLine="360"/>
        <w:jc w:val="both"/>
        <w:rPr>
          <w:sz w:val="20"/>
          <w:szCs w:val="20"/>
        </w:rPr>
      </w:pPr>
      <w:r>
        <w:rPr>
          <w:sz w:val="20"/>
          <w:szCs w:val="20"/>
        </w:rPr>
        <w:t> </w:t>
      </w:r>
    </w:p>
    <w:p w14:paraId="311243AF" w14:textId="77777777" w:rsidR="00000000" w:rsidRDefault="0053651E">
      <w:pPr>
        <w:pStyle w:val="a3"/>
        <w:spacing w:before="0" w:beforeAutospacing="0" w:after="0" w:afterAutospacing="0"/>
        <w:ind w:firstLine="360"/>
        <w:jc w:val="both"/>
        <w:rPr>
          <w:sz w:val="20"/>
          <w:szCs w:val="20"/>
        </w:rPr>
      </w:pPr>
      <w:r>
        <w:rPr>
          <w:sz w:val="20"/>
          <w:szCs w:val="20"/>
        </w:rPr>
        <w:t>The decrease in Revenues from rental properties, net of $7.3 million is primarily from (i) an aggregate decrease in revenues of $62.3 million due to properties sold during 2019 and 2018 and (ii)</w:t>
      </w:r>
      <w:r>
        <w:rPr>
          <w:sz w:val="20"/>
          <w:szCs w:val="20"/>
        </w:rPr>
        <w:t xml:space="preserve"> the inclusion of credit losses of $4.6 million during the year ended December 31,2019 (amounts for credit losses for 2018 are included in Provision for doubtful accounts on the Company’s Consolidated Statements of Income), partially offset by (iii) the co</w:t>
      </w:r>
      <w:r>
        <w:rPr>
          <w:sz w:val="20"/>
          <w:szCs w:val="20"/>
        </w:rPr>
        <w:t>mpletion of certain redevelopment and development projects, acquisitions, tenant buyouts and net growth in the current portfolio, which provided incremental revenues for year ended December 31, 2019 of $59.6 million, as compared to the corresponding period</w:t>
      </w:r>
      <w:r>
        <w:rPr>
          <w:sz w:val="20"/>
          <w:szCs w:val="20"/>
        </w:rPr>
        <w:t xml:space="preserve"> in 2018.</w:t>
      </w:r>
    </w:p>
    <w:p w14:paraId="24BB6D90" w14:textId="77777777" w:rsidR="00000000" w:rsidRDefault="0053651E">
      <w:pPr>
        <w:pStyle w:val="a3"/>
        <w:spacing w:before="0" w:beforeAutospacing="0" w:after="0" w:afterAutospacing="0"/>
        <w:ind w:firstLine="360"/>
        <w:jc w:val="both"/>
        <w:rPr>
          <w:sz w:val="20"/>
          <w:szCs w:val="20"/>
        </w:rPr>
      </w:pPr>
      <w:r>
        <w:rPr>
          <w:sz w:val="20"/>
          <w:szCs w:val="20"/>
        </w:rPr>
        <w:t> </w:t>
      </w:r>
    </w:p>
    <w:p w14:paraId="4566F0BF" w14:textId="77777777" w:rsidR="00000000" w:rsidRDefault="0053651E">
      <w:pPr>
        <w:jc w:val="center"/>
        <w:divId w:val="2120758175"/>
        <w:rPr>
          <w:rFonts w:eastAsia="Times New Roman"/>
          <w:sz w:val="20"/>
          <w:szCs w:val="20"/>
        </w:rPr>
      </w:pPr>
      <w:r>
        <w:rPr>
          <w:rFonts w:eastAsia="Times New Roman"/>
          <w:sz w:val="20"/>
          <w:szCs w:val="20"/>
        </w:rPr>
        <w:t xml:space="preserve">24 </w:t>
      </w:r>
    </w:p>
    <w:p w14:paraId="192EBB83" w14:textId="77777777" w:rsidR="00000000" w:rsidRDefault="0053651E">
      <w:pPr>
        <w:divId w:val="2120758175"/>
        <w:rPr>
          <w:rFonts w:eastAsia="Times New Roman"/>
          <w:sz w:val="20"/>
          <w:szCs w:val="20"/>
        </w:rPr>
      </w:pPr>
      <w:r>
        <w:rPr>
          <w:rFonts w:eastAsia="Times New Roman"/>
          <w:sz w:val="20"/>
          <w:szCs w:val="20"/>
        </w:rPr>
        <w:pict w14:anchorId="388C49F6">
          <v:rect id="_x0000_i1055" style="width:0;height:1.5pt" o:hralign="center" o:hrstd="t" o:hr="t" fillcolor="#a0a0a0" stroked="f"/>
        </w:pict>
      </w:r>
    </w:p>
    <w:p w14:paraId="30DC4830" w14:textId="77777777" w:rsidR="00000000" w:rsidRDefault="0053651E">
      <w:pPr>
        <w:divId w:val="21207581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DCA2ABD" w14:textId="77777777" w:rsidR="00000000" w:rsidRDefault="0053651E">
      <w:pPr>
        <w:pStyle w:val="a3"/>
        <w:spacing w:before="0" w:beforeAutospacing="0" w:after="0" w:afterAutospacing="0"/>
        <w:rPr>
          <w:sz w:val="20"/>
          <w:szCs w:val="20"/>
        </w:rPr>
      </w:pPr>
      <w:r>
        <w:rPr>
          <w:sz w:val="20"/>
          <w:szCs w:val="20"/>
        </w:rPr>
        <w:t> </w:t>
      </w:r>
    </w:p>
    <w:p w14:paraId="1FD64B36" w14:textId="77777777" w:rsidR="00000000" w:rsidRDefault="0053651E">
      <w:pPr>
        <w:pStyle w:val="a3"/>
        <w:spacing w:before="0" w:beforeAutospacing="0" w:after="0" w:afterAutospacing="0"/>
        <w:jc w:val="both"/>
        <w:rPr>
          <w:sz w:val="20"/>
          <w:szCs w:val="20"/>
        </w:rPr>
      </w:pPr>
      <w:r>
        <w:rPr>
          <w:i/>
          <w:iCs/>
          <w:sz w:val="20"/>
          <w:szCs w:val="20"/>
        </w:rPr>
        <w:t>Operating and maintenance –</w:t>
      </w:r>
    </w:p>
    <w:p w14:paraId="7B101315" w14:textId="77777777" w:rsidR="00000000" w:rsidRDefault="0053651E">
      <w:pPr>
        <w:pStyle w:val="a3"/>
        <w:spacing w:before="0" w:beforeAutospacing="0" w:after="0" w:afterAutospacing="0"/>
        <w:jc w:val="both"/>
        <w:rPr>
          <w:sz w:val="20"/>
          <w:szCs w:val="20"/>
        </w:rPr>
      </w:pPr>
      <w:r>
        <w:rPr>
          <w:sz w:val="20"/>
          <w:szCs w:val="20"/>
        </w:rPr>
        <w:t> </w:t>
      </w:r>
    </w:p>
    <w:p w14:paraId="32B8FCDF" w14:textId="77777777" w:rsidR="00000000" w:rsidRDefault="0053651E">
      <w:pPr>
        <w:pStyle w:val="a3"/>
        <w:spacing w:before="0" w:beforeAutospacing="0" w:after="0" w:afterAutospacing="0"/>
        <w:ind w:firstLine="360"/>
        <w:jc w:val="both"/>
        <w:rPr>
          <w:sz w:val="20"/>
          <w:szCs w:val="20"/>
        </w:rPr>
      </w:pPr>
      <w:r>
        <w:rPr>
          <w:sz w:val="20"/>
          <w:szCs w:val="20"/>
        </w:rPr>
        <w:t>The increase in Operating and maintenance of $7.7 million is primarily from an increase in operating costs of $9.7 million rela</w:t>
      </w:r>
      <w:r>
        <w:rPr>
          <w:sz w:val="20"/>
          <w:szCs w:val="20"/>
        </w:rPr>
        <w:t>ted to the completion of certain redevelopment and development projects, partially offset by properties sold during 2019 and 2018.</w:t>
      </w:r>
    </w:p>
    <w:p w14:paraId="7DC9D4BE" w14:textId="77777777" w:rsidR="00000000" w:rsidRDefault="0053651E">
      <w:pPr>
        <w:pStyle w:val="a3"/>
        <w:spacing w:before="0" w:beforeAutospacing="0" w:after="0" w:afterAutospacing="0"/>
        <w:jc w:val="both"/>
        <w:rPr>
          <w:sz w:val="20"/>
          <w:szCs w:val="20"/>
        </w:rPr>
      </w:pPr>
      <w:r>
        <w:rPr>
          <w:sz w:val="20"/>
          <w:szCs w:val="20"/>
        </w:rPr>
        <w:t> </w:t>
      </w:r>
    </w:p>
    <w:p w14:paraId="42F38624" w14:textId="77777777" w:rsidR="00000000" w:rsidRDefault="0053651E">
      <w:pPr>
        <w:pStyle w:val="a3"/>
        <w:spacing w:before="0" w:beforeAutospacing="0" w:after="0" w:afterAutospacing="0"/>
        <w:jc w:val="both"/>
        <w:rPr>
          <w:sz w:val="20"/>
          <w:szCs w:val="20"/>
        </w:rPr>
      </w:pPr>
      <w:r>
        <w:rPr>
          <w:i/>
          <w:iCs/>
          <w:sz w:val="20"/>
          <w:szCs w:val="20"/>
        </w:rPr>
        <w:t>General and administrative –</w:t>
      </w:r>
    </w:p>
    <w:p w14:paraId="136DFC81" w14:textId="77777777" w:rsidR="00000000" w:rsidRDefault="0053651E">
      <w:pPr>
        <w:pStyle w:val="a3"/>
        <w:spacing w:before="0" w:beforeAutospacing="0" w:after="0" w:afterAutospacing="0"/>
        <w:jc w:val="both"/>
        <w:rPr>
          <w:sz w:val="20"/>
          <w:szCs w:val="20"/>
        </w:rPr>
      </w:pPr>
      <w:r>
        <w:rPr>
          <w:sz w:val="20"/>
          <w:szCs w:val="20"/>
        </w:rPr>
        <w:t> </w:t>
      </w:r>
    </w:p>
    <w:p w14:paraId="7D7CAA24" w14:textId="77777777" w:rsidR="00000000" w:rsidRDefault="0053651E">
      <w:pPr>
        <w:pStyle w:val="a3"/>
        <w:spacing w:before="0" w:beforeAutospacing="0" w:after="0" w:afterAutospacing="0"/>
        <w:ind w:firstLine="360"/>
        <w:jc w:val="both"/>
        <w:rPr>
          <w:sz w:val="20"/>
          <w:szCs w:val="20"/>
        </w:rPr>
      </w:pPr>
      <w:r>
        <w:rPr>
          <w:sz w:val="20"/>
          <w:szCs w:val="20"/>
        </w:rPr>
        <w:t>The increase in General and administrative expense of $9.1 million is primarily due to (i) a</w:t>
      </w:r>
      <w:r>
        <w:rPr>
          <w:sz w:val="20"/>
          <w:szCs w:val="20"/>
        </w:rPr>
        <w:t xml:space="preserve"> decrease in the capitalization of internal indirect leasing costs of $12.5 million, primarily due to the adoption of Topic 842, which allows only the initial direct cost of a lease to be capitalized (see Footnote 1 of the Notes to the Consolidated Financi</w:t>
      </w:r>
      <w:r>
        <w:rPr>
          <w:sz w:val="20"/>
          <w:szCs w:val="20"/>
        </w:rPr>
        <w:t>al Statements), partially offset by (ii) a reduction in salary and severance expense for the year ended December 31, 2019 of $2.4 million, primarily related to a reduction in personnel.</w:t>
      </w:r>
    </w:p>
    <w:p w14:paraId="329819A5" w14:textId="77777777" w:rsidR="00000000" w:rsidRDefault="0053651E">
      <w:pPr>
        <w:pStyle w:val="a3"/>
        <w:spacing w:before="0" w:beforeAutospacing="0" w:after="0" w:afterAutospacing="0"/>
        <w:ind w:firstLine="360"/>
        <w:jc w:val="both"/>
        <w:rPr>
          <w:sz w:val="20"/>
          <w:szCs w:val="20"/>
        </w:rPr>
      </w:pPr>
      <w:r>
        <w:rPr>
          <w:sz w:val="20"/>
          <w:szCs w:val="20"/>
        </w:rPr>
        <w:t> </w:t>
      </w:r>
    </w:p>
    <w:p w14:paraId="101C9E72" w14:textId="77777777" w:rsidR="00000000" w:rsidRDefault="0053651E">
      <w:pPr>
        <w:pStyle w:val="a3"/>
        <w:spacing w:before="0" w:beforeAutospacing="0" w:after="0" w:afterAutospacing="0"/>
        <w:jc w:val="both"/>
        <w:rPr>
          <w:sz w:val="20"/>
          <w:szCs w:val="20"/>
        </w:rPr>
      </w:pPr>
      <w:r>
        <w:rPr>
          <w:i/>
          <w:iCs/>
          <w:sz w:val="20"/>
          <w:szCs w:val="20"/>
        </w:rPr>
        <w:t xml:space="preserve">Impairment charges – </w:t>
      </w:r>
    </w:p>
    <w:p w14:paraId="34F7242D" w14:textId="77777777" w:rsidR="00000000" w:rsidRDefault="0053651E">
      <w:pPr>
        <w:pStyle w:val="a3"/>
        <w:spacing w:before="0" w:beforeAutospacing="0" w:after="0" w:afterAutospacing="0"/>
        <w:jc w:val="both"/>
        <w:rPr>
          <w:sz w:val="20"/>
          <w:szCs w:val="20"/>
        </w:rPr>
      </w:pPr>
      <w:r>
        <w:rPr>
          <w:i/>
          <w:iCs/>
          <w:sz w:val="20"/>
          <w:szCs w:val="20"/>
        </w:rPr>
        <w:t> </w:t>
      </w:r>
    </w:p>
    <w:p w14:paraId="0833A4FF" w14:textId="77777777" w:rsidR="00000000" w:rsidRDefault="0053651E">
      <w:pPr>
        <w:pStyle w:val="a3"/>
        <w:spacing w:before="0" w:beforeAutospacing="0" w:after="0" w:afterAutospacing="0"/>
        <w:ind w:firstLine="360"/>
        <w:jc w:val="both"/>
        <w:rPr>
          <w:sz w:val="20"/>
          <w:szCs w:val="20"/>
        </w:rPr>
      </w:pPr>
      <w:r>
        <w:rPr>
          <w:sz w:val="20"/>
          <w:szCs w:val="20"/>
        </w:rPr>
        <w:t>During the year ended December 31, 2019 and 2018, the Company recognized impairment charges related to adjustments to property carrying values of $48.7 million and $79.2 million, respectively, for which the Company’s estimated fair values were primarily ba</w:t>
      </w:r>
      <w:r>
        <w:rPr>
          <w:sz w:val="20"/>
          <w:szCs w:val="20"/>
        </w:rPr>
        <w:t>sed upon (i) signed contracts or letters of intent from third party offers or (ii) discounted cash flow models. These adjustments to property carrying values were recognized in connection with the Company’s efforts to market certain properties and manageme</w:t>
      </w:r>
      <w:r>
        <w:rPr>
          <w:sz w:val="20"/>
          <w:szCs w:val="20"/>
        </w:rPr>
        <w:t>nt’s assessment as to the likelihood and timing of such potential transactions. Certain of the calculations to determine fair value utilized unobservable inputs and, as such, were classified as Level 3 of the fair value hierarchy. For additional disclosure</w:t>
      </w:r>
      <w:r>
        <w:rPr>
          <w:sz w:val="20"/>
          <w:szCs w:val="20"/>
        </w:rPr>
        <w:t>, see Footnotes 6 and 15 of the Notes to Consolidated Financial Statements included in this Form 10-K.</w:t>
      </w:r>
    </w:p>
    <w:p w14:paraId="404D8B86" w14:textId="77777777" w:rsidR="00000000" w:rsidRDefault="0053651E">
      <w:pPr>
        <w:pStyle w:val="a3"/>
        <w:spacing w:before="0" w:beforeAutospacing="0" w:after="0" w:afterAutospacing="0"/>
        <w:jc w:val="both"/>
        <w:rPr>
          <w:sz w:val="20"/>
          <w:szCs w:val="20"/>
        </w:rPr>
      </w:pPr>
      <w:r>
        <w:rPr>
          <w:sz w:val="20"/>
          <w:szCs w:val="20"/>
        </w:rPr>
        <w:t> </w:t>
      </w:r>
    </w:p>
    <w:p w14:paraId="79EE790E" w14:textId="77777777" w:rsidR="00000000" w:rsidRDefault="0053651E">
      <w:pPr>
        <w:pStyle w:val="a3"/>
        <w:spacing w:before="0" w:beforeAutospacing="0" w:after="0" w:afterAutospacing="0"/>
        <w:jc w:val="both"/>
        <w:rPr>
          <w:sz w:val="20"/>
          <w:szCs w:val="20"/>
        </w:rPr>
      </w:pPr>
      <w:r>
        <w:rPr>
          <w:i/>
          <w:iCs/>
          <w:sz w:val="20"/>
          <w:szCs w:val="20"/>
        </w:rPr>
        <w:t xml:space="preserve">Depreciation and amortization – </w:t>
      </w:r>
    </w:p>
    <w:p w14:paraId="4CA70512" w14:textId="77777777" w:rsidR="00000000" w:rsidRDefault="0053651E">
      <w:pPr>
        <w:pStyle w:val="a3"/>
        <w:spacing w:before="0" w:beforeAutospacing="0" w:after="0" w:afterAutospacing="0"/>
        <w:jc w:val="both"/>
        <w:rPr>
          <w:sz w:val="20"/>
          <w:szCs w:val="20"/>
        </w:rPr>
      </w:pPr>
      <w:r>
        <w:rPr>
          <w:i/>
          <w:iCs/>
          <w:sz w:val="20"/>
          <w:szCs w:val="20"/>
        </w:rPr>
        <w:t> </w:t>
      </w:r>
    </w:p>
    <w:p w14:paraId="3E7A6E76" w14:textId="77777777" w:rsidR="00000000" w:rsidRDefault="0053651E">
      <w:pPr>
        <w:pStyle w:val="a3"/>
        <w:spacing w:before="0" w:beforeAutospacing="0" w:after="0" w:afterAutospacing="0"/>
        <w:ind w:firstLine="360"/>
        <w:jc w:val="both"/>
        <w:rPr>
          <w:sz w:val="20"/>
          <w:szCs w:val="20"/>
        </w:rPr>
      </w:pPr>
      <w:r>
        <w:rPr>
          <w:sz w:val="20"/>
          <w:szCs w:val="20"/>
        </w:rPr>
        <w:t>The decrease in Depreciation and amortization of $32.5 million is primarily due to (i) a decrease of $17.5 million r</w:t>
      </w:r>
      <w:r>
        <w:rPr>
          <w:sz w:val="20"/>
          <w:szCs w:val="20"/>
        </w:rPr>
        <w:t>esulting from property dispositions in 2019 and 2018, (ii) a decrease of $7.7 million related to the acceleration of depreciable lives of assets within the Company’s redevelopment projects during the year ended December 31, 2018 and (iii) a decrease of $10</w:t>
      </w:r>
      <w:r>
        <w:rPr>
          <w:sz w:val="20"/>
          <w:szCs w:val="20"/>
        </w:rPr>
        <w:t>.9 million related to fewer tenant vacates and write-offs of depreciable assets during the year ended December 31, 2019, as compared to the corresponding period in 2018.</w:t>
      </w:r>
    </w:p>
    <w:p w14:paraId="79EC866C" w14:textId="77777777" w:rsidR="00000000" w:rsidRDefault="0053651E">
      <w:pPr>
        <w:pStyle w:val="a3"/>
        <w:spacing w:before="0" w:beforeAutospacing="0" w:after="0" w:afterAutospacing="0"/>
        <w:ind w:firstLine="360"/>
        <w:jc w:val="both"/>
        <w:rPr>
          <w:sz w:val="20"/>
          <w:szCs w:val="20"/>
        </w:rPr>
      </w:pPr>
      <w:r>
        <w:rPr>
          <w:sz w:val="20"/>
          <w:szCs w:val="20"/>
        </w:rPr>
        <w:t> </w:t>
      </w:r>
    </w:p>
    <w:p w14:paraId="01EDCA1C" w14:textId="77777777" w:rsidR="00000000" w:rsidRDefault="0053651E">
      <w:pPr>
        <w:pStyle w:val="a3"/>
        <w:spacing w:before="0" w:beforeAutospacing="0" w:after="0" w:afterAutospacing="0"/>
        <w:jc w:val="both"/>
        <w:rPr>
          <w:sz w:val="20"/>
          <w:szCs w:val="20"/>
        </w:rPr>
      </w:pPr>
      <w:r>
        <w:rPr>
          <w:i/>
          <w:iCs/>
          <w:sz w:val="20"/>
          <w:szCs w:val="20"/>
        </w:rPr>
        <w:t>Gain on sale of properties/change in control of interests –</w:t>
      </w:r>
    </w:p>
    <w:p w14:paraId="1A6F44CE"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39AF41E5" w14:textId="77777777" w:rsidR="00000000" w:rsidRDefault="0053651E">
      <w:pPr>
        <w:pStyle w:val="a3"/>
        <w:spacing w:before="0" w:beforeAutospacing="0" w:after="0" w:afterAutospacing="0"/>
        <w:ind w:firstLine="360"/>
        <w:jc w:val="both"/>
        <w:rPr>
          <w:sz w:val="20"/>
          <w:szCs w:val="20"/>
        </w:rPr>
      </w:pPr>
      <w:r>
        <w:rPr>
          <w:sz w:val="20"/>
          <w:szCs w:val="20"/>
        </w:rPr>
        <w:t>During 2019, the Compa</w:t>
      </w:r>
      <w:r>
        <w:rPr>
          <w:sz w:val="20"/>
          <w:szCs w:val="20"/>
        </w:rPr>
        <w:t>ny disposed of 20 operating properties and nine out-parcels, in separate transactions, for an aggregate sales price of $344.7 million. Certain of these transactions resulted in aggregate gains of $79.2 million. During 2018, the Company disposed of 54 opera</w:t>
      </w:r>
      <w:r>
        <w:rPr>
          <w:sz w:val="20"/>
          <w:szCs w:val="20"/>
        </w:rPr>
        <w:t>ting properties (including the deconsolidation of one property) and seven parcels, in separate transactions, for an aggregate sales price of $1.2 billion. Certain of these transactions resulted in aggregate gains of $229.8 million.</w:t>
      </w:r>
    </w:p>
    <w:p w14:paraId="137FBB5F" w14:textId="77777777" w:rsidR="00000000" w:rsidRDefault="0053651E">
      <w:pPr>
        <w:pStyle w:val="a3"/>
        <w:spacing w:before="0" w:beforeAutospacing="0" w:after="0" w:afterAutospacing="0"/>
        <w:ind w:firstLine="360"/>
        <w:jc w:val="both"/>
        <w:rPr>
          <w:sz w:val="20"/>
          <w:szCs w:val="20"/>
        </w:rPr>
      </w:pPr>
      <w:r>
        <w:rPr>
          <w:sz w:val="20"/>
          <w:szCs w:val="20"/>
        </w:rPr>
        <w:t> </w:t>
      </w:r>
    </w:p>
    <w:p w14:paraId="2643E270" w14:textId="77777777" w:rsidR="00000000" w:rsidRDefault="0053651E">
      <w:pPr>
        <w:pStyle w:val="a3"/>
        <w:spacing w:before="0" w:beforeAutospacing="0" w:after="0" w:afterAutospacing="0"/>
        <w:jc w:val="both"/>
        <w:rPr>
          <w:sz w:val="20"/>
          <w:szCs w:val="20"/>
        </w:rPr>
      </w:pPr>
      <w:r>
        <w:rPr>
          <w:i/>
          <w:iCs/>
          <w:sz w:val="20"/>
          <w:szCs w:val="20"/>
        </w:rPr>
        <w:t xml:space="preserve">Interest expense – </w:t>
      </w:r>
    </w:p>
    <w:p w14:paraId="15529BA3" w14:textId="77777777" w:rsidR="00000000" w:rsidRDefault="0053651E">
      <w:pPr>
        <w:pStyle w:val="a3"/>
        <w:spacing w:before="0" w:beforeAutospacing="0" w:after="0" w:afterAutospacing="0"/>
        <w:jc w:val="both"/>
        <w:rPr>
          <w:sz w:val="20"/>
          <w:szCs w:val="20"/>
        </w:rPr>
      </w:pPr>
      <w:r>
        <w:rPr>
          <w:i/>
          <w:iCs/>
          <w:sz w:val="20"/>
          <w:szCs w:val="20"/>
        </w:rPr>
        <w:t> </w:t>
      </w:r>
    </w:p>
    <w:p w14:paraId="1D29717E" w14:textId="77777777" w:rsidR="00000000" w:rsidRDefault="0053651E">
      <w:pPr>
        <w:pStyle w:val="a3"/>
        <w:spacing w:before="0" w:beforeAutospacing="0" w:after="0" w:afterAutospacing="0"/>
        <w:ind w:firstLine="360"/>
        <w:jc w:val="both"/>
        <w:rPr>
          <w:sz w:val="20"/>
          <w:szCs w:val="20"/>
        </w:rPr>
      </w:pPr>
      <w:r>
        <w:rPr>
          <w:sz w:val="20"/>
          <w:szCs w:val="20"/>
        </w:rPr>
        <w:t>The decrease in Interest expense of $5.9 million is primarily the result of (i) the repayment of maturing debt during 2019 and 2018 and (ii) lower levels of borrowings during the year ended December 31, 2019, as compared to the corresponding period in 201</w:t>
      </w:r>
      <w:r>
        <w:rPr>
          <w:sz w:val="20"/>
          <w:szCs w:val="20"/>
        </w:rPr>
        <w:t>8.</w:t>
      </w:r>
    </w:p>
    <w:p w14:paraId="59F3A7DE" w14:textId="77777777" w:rsidR="00000000" w:rsidRDefault="0053651E">
      <w:pPr>
        <w:pStyle w:val="a3"/>
        <w:spacing w:before="0" w:beforeAutospacing="0" w:after="0" w:afterAutospacing="0"/>
        <w:ind w:firstLine="360"/>
        <w:jc w:val="both"/>
        <w:rPr>
          <w:sz w:val="20"/>
          <w:szCs w:val="20"/>
        </w:rPr>
      </w:pPr>
      <w:r>
        <w:rPr>
          <w:sz w:val="20"/>
          <w:szCs w:val="20"/>
        </w:rPr>
        <w:t> </w:t>
      </w:r>
    </w:p>
    <w:p w14:paraId="737BD938" w14:textId="77777777" w:rsidR="00000000" w:rsidRDefault="0053651E">
      <w:pPr>
        <w:pStyle w:val="a3"/>
        <w:spacing w:before="0" w:beforeAutospacing="0" w:after="0" w:afterAutospacing="0"/>
        <w:jc w:val="both"/>
        <w:rPr>
          <w:sz w:val="20"/>
          <w:szCs w:val="20"/>
        </w:rPr>
      </w:pPr>
      <w:r>
        <w:rPr>
          <w:i/>
          <w:iCs/>
          <w:sz w:val="20"/>
          <w:szCs w:val="20"/>
        </w:rPr>
        <w:t>Early extinguishment of debt charges –</w:t>
      </w:r>
    </w:p>
    <w:p w14:paraId="714936EC"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20CCE60F" w14:textId="77777777" w:rsidR="00000000" w:rsidRDefault="0053651E">
      <w:pPr>
        <w:pStyle w:val="a3"/>
        <w:spacing w:before="0" w:beforeAutospacing="0" w:after="0" w:afterAutospacing="0"/>
        <w:ind w:firstLine="360"/>
        <w:jc w:val="both"/>
        <w:rPr>
          <w:sz w:val="20"/>
          <w:szCs w:val="20"/>
        </w:rPr>
      </w:pPr>
      <w:r>
        <w:rPr>
          <w:sz w:val="20"/>
          <w:szCs w:val="20"/>
        </w:rPr>
        <w:t>During the year ended December 31, 2018, the Company incurred early extinguishment of debt charges of $12.8 million in connection with the optional make-whole provisions of unsecured notes that were repaid prio</w:t>
      </w:r>
      <w:r>
        <w:rPr>
          <w:sz w:val="20"/>
          <w:szCs w:val="20"/>
        </w:rPr>
        <w:t>r to maturity.</w:t>
      </w:r>
    </w:p>
    <w:p w14:paraId="6FA29DB2" w14:textId="77777777" w:rsidR="00000000" w:rsidRDefault="0053651E">
      <w:pPr>
        <w:pStyle w:val="a3"/>
        <w:spacing w:before="0" w:beforeAutospacing="0" w:after="0" w:afterAutospacing="0"/>
        <w:jc w:val="both"/>
        <w:rPr>
          <w:sz w:val="20"/>
          <w:szCs w:val="20"/>
        </w:rPr>
      </w:pPr>
      <w:r>
        <w:rPr>
          <w:sz w:val="20"/>
          <w:szCs w:val="20"/>
        </w:rPr>
        <w:t> </w:t>
      </w:r>
    </w:p>
    <w:p w14:paraId="4C88A41C" w14:textId="77777777" w:rsidR="00000000" w:rsidRDefault="0053651E">
      <w:pPr>
        <w:pStyle w:val="a3"/>
        <w:spacing w:before="0" w:beforeAutospacing="0" w:after="0" w:afterAutospacing="0"/>
        <w:jc w:val="both"/>
        <w:rPr>
          <w:sz w:val="20"/>
          <w:szCs w:val="20"/>
        </w:rPr>
      </w:pPr>
      <w:r>
        <w:rPr>
          <w:i/>
          <w:iCs/>
          <w:sz w:val="20"/>
          <w:szCs w:val="20"/>
        </w:rPr>
        <w:t>Benefit/(provision) for income taxes, net –</w:t>
      </w:r>
    </w:p>
    <w:p w14:paraId="310C961F" w14:textId="77777777" w:rsidR="00000000" w:rsidRDefault="0053651E">
      <w:pPr>
        <w:pStyle w:val="a3"/>
        <w:spacing w:before="0" w:beforeAutospacing="0" w:after="0" w:afterAutospacing="0"/>
        <w:jc w:val="both"/>
        <w:rPr>
          <w:sz w:val="20"/>
          <w:szCs w:val="20"/>
        </w:rPr>
      </w:pPr>
      <w:r>
        <w:rPr>
          <w:sz w:val="20"/>
          <w:szCs w:val="20"/>
        </w:rPr>
        <w:t> </w:t>
      </w:r>
    </w:p>
    <w:p w14:paraId="4AE7F5D5" w14:textId="77777777" w:rsidR="00000000" w:rsidRDefault="0053651E">
      <w:pPr>
        <w:pStyle w:val="a3"/>
        <w:spacing w:before="0" w:beforeAutospacing="0" w:after="0" w:afterAutospacing="0"/>
        <w:ind w:firstLine="360"/>
        <w:jc w:val="both"/>
        <w:rPr>
          <w:sz w:val="20"/>
          <w:szCs w:val="20"/>
        </w:rPr>
      </w:pPr>
      <w:r>
        <w:rPr>
          <w:sz w:val="20"/>
          <w:szCs w:val="20"/>
        </w:rPr>
        <w:t>The change in Benefit/(provision) for income taxes, net of $4.9 million is primarily due to the release of a deferred tax asset valuation allowance relating to Alternative Minimum Tax credits.</w:t>
      </w:r>
    </w:p>
    <w:p w14:paraId="3FCECCA9" w14:textId="77777777" w:rsidR="00000000" w:rsidRDefault="0053651E">
      <w:pPr>
        <w:pStyle w:val="a3"/>
        <w:spacing w:before="0" w:beforeAutospacing="0" w:after="0" w:afterAutospacing="0"/>
        <w:jc w:val="both"/>
        <w:rPr>
          <w:sz w:val="20"/>
          <w:szCs w:val="20"/>
        </w:rPr>
      </w:pPr>
      <w:r>
        <w:rPr>
          <w:sz w:val="20"/>
          <w:szCs w:val="20"/>
        </w:rPr>
        <w:t> </w:t>
      </w:r>
    </w:p>
    <w:p w14:paraId="7B8E58E4" w14:textId="77777777" w:rsidR="00000000" w:rsidRDefault="0053651E">
      <w:pPr>
        <w:jc w:val="center"/>
        <w:divId w:val="1632901272"/>
        <w:rPr>
          <w:rFonts w:eastAsia="Times New Roman"/>
          <w:sz w:val="20"/>
          <w:szCs w:val="20"/>
        </w:rPr>
      </w:pPr>
      <w:r>
        <w:rPr>
          <w:rFonts w:eastAsia="Times New Roman"/>
          <w:sz w:val="20"/>
          <w:szCs w:val="20"/>
        </w:rPr>
        <w:t xml:space="preserve">25 </w:t>
      </w:r>
    </w:p>
    <w:p w14:paraId="1EF51971" w14:textId="77777777" w:rsidR="00000000" w:rsidRDefault="0053651E">
      <w:pPr>
        <w:divId w:val="1632901272"/>
        <w:rPr>
          <w:rFonts w:eastAsia="Times New Roman"/>
          <w:sz w:val="20"/>
          <w:szCs w:val="20"/>
        </w:rPr>
      </w:pPr>
      <w:r>
        <w:rPr>
          <w:rFonts w:eastAsia="Times New Roman"/>
          <w:sz w:val="20"/>
          <w:szCs w:val="20"/>
        </w:rPr>
        <w:pict w14:anchorId="78FE31B7">
          <v:rect id="_x0000_i1056" style="width:0;height:1.5pt" o:hralign="center" o:hrstd="t" o:hr="t" fillcolor="#a0a0a0" stroked="f"/>
        </w:pict>
      </w:r>
    </w:p>
    <w:p w14:paraId="3BDDCC35" w14:textId="77777777" w:rsidR="00000000" w:rsidRDefault="0053651E">
      <w:pPr>
        <w:divId w:val="16329012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6EFE405" w14:textId="77777777" w:rsidR="00000000" w:rsidRDefault="0053651E">
      <w:pPr>
        <w:pStyle w:val="a3"/>
        <w:spacing w:before="0" w:beforeAutospacing="0" w:after="0" w:afterAutospacing="0"/>
        <w:rPr>
          <w:sz w:val="20"/>
          <w:szCs w:val="20"/>
        </w:rPr>
      </w:pPr>
      <w:r>
        <w:rPr>
          <w:sz w:val="20"/>
          <w:szCs w:val="20"/>
        </w:rPr>
        <w:t> </w:t>
      </w:r>
    </w:p>
    <w:p w14:paraId="7C0B7AB1" w14:textId="77777777" w:rsidR="00000000" w:rsidRDefault="0053651E">
      <w:pPr>
        <w:pStyle w:val="a3"/>
        <w:spacing w:before="0" w:beforeAutospacing="0" w:after="0" w:afterAutospacing="0"/>
        <w:jc w:val="both"/>
        <w:rPr>
          <w:sz w:val="20"/>
          <w:szCs w:val="20"/>
        </w:rPr>
      </w:pPr>
      <w:r>
        <w:rPr>
          <w:i/>
          <w:iCs/>
          <w:sz w:val="20"/>
          <w:szCs w:val="20"/>
        </w:rPr>
        <w:t xml:space="preserve">Equity in income from other real estate investments, net – </w:t>
      </w:r>
    </w:p>
    <w:p w14:paraId="5F6EC133"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36F6A6C2" w14:textId="77777777" w:rsidR="00000000" w:rsidRDefault="0053651E">
      <w:pPr>
        <w:pStyle w:val="a3"/>
        <w:spacing w:before="0" w:beforeAutospacing="0" w:after="0" w:afterAutospacing="0"/>
        <w:ind w:firstLine="360"/>
        <w:jc w:val="both"/>
        <w:rPr>
          <w:sz w:val="20"/>
          <w:szCs w:val="20"/>
        </w:rPr>
      </w:pPr>
      <w:r>
        <w:rPr>
          <w:sz w:val="20"/>
          <w:szCs w:val="20"/>
        </w:rPr>
        <w:t>The decrease in Equity in income of other real estate investments, net of $3.0 million is primarily due to an increase in impairment charges of $2.8 million primarily resulting from the sale of properties within various preferred equity program investments</w:t>
      </w:r>
      <w:r>
        <w:rPr>
          <w:sz w:val="20"/>
          <w:szCs w:val="20"/>
        </w:rPr>
        <w:t xml:space="preserve"> during 2019, as compared to the corresponding period in 2018,</w:t>
      </w:r>
    </w:p>
    <w:p w14:paraId="2F68232A" w14:textId="77777777" w:rsidR="00000000" w:rsidRDefault="0053651E">
      <w:pPr>
        <w:pStyle w:val="a3"/>
        <w:spacing w:before="0" w:beforeAutospacing="0" w:after="0" w:afterAutospacing="0"/>
        <w:ind w:firstLine="360"/>
        <w:jc w:val="both"/>
        <w:rPr>
          <w:sz w:val="20"/>
          <w:szCs w:val="20"/>
        </w:rPr>
      </w:pPr>
      <w:r>
        <w:rPr>
          <w:sz w:val="20"/>
          <w:szCs w:val="20"/>
        </w:rPr>
        <w:t> </w:t>
      </w:r>
    </w:p>
    <w:p w14:paraId="4919CF0F" w14:textId="77777777" w:rsidR="00000000" w:rsidRDefault="0053651E">
      <w:pPr>
        <w:pStyle w:val="a3"/>
        <w:spacing w:before="0" w:beforeAutospacing="0" w:after="0" w:afterAutospacing="0"/>
        <w:jc w:val="both"/>
        <w:rPr>
          <w:sz w:val="20"/>
          <w:szCs w:val="20"/>
        </w:rPr>
      </w:pPr>
      <w:r>
        <w:rPr>
          <w:i/>
          <w:iCs/>
          <w:sz w:val="20"/>
          <w:szCs w:val="20"/>
        </w:rPr>
        <w:t xml:space="preserve">Preferred stock redemption charges – </w:t>
      </w:r>
    </w:p>
    <w:p w14:paraId="7E295341"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126BD888" w14:textId="77777777" w:rsidR="00000000" w:rsidRDefault="0053651E">
      <w:pPr>
        <w:pStyle w:val="a3"/>
        <w:spacing w:before="0" w:beforeAutospacing="0" w:after="0" w:afterAutospacing="0"/>
        <w:ind w:firstLine="360"/>
        <w:jc w:val="both"/>
        <w:rPr>
          <w:sz w:val="20"/>
          <w:szCs w:val="20"/>
        </w:rPr>
      </w:pPr>
      <w:r>
        <w:rPr>
          <w:sz w:val="20"/>
          <w:szCs w:val="20"/>
        </w:rPr>
        <w:t>During 2019, the Company redeemed all its outstanding Class I Preferred Stock, Class J Preferred Stock and Class K Preferred Stock and, as a result, th</w:t>
      </w:r>
      <w:r>
        <w:rPr>
          <w:sz w:val="20"/>
          <w:szCs w:val="20"/>
        </w:rPr>
        <w:t>e Company recorded a redemption charge of $18.5 million. This charge was subtracted from net income attributable to the Company to arrive at net income available to the Company’s common shareholders and used in the calculation of earnings per share for the</w:t>
      </w:r>
      <w:r>
        <w:rPr>
          <w:sz w:val="20"/>
          <w:szCs w:val="20"/>
        </w:rPr>
        <w:t xml:space="preserve"> year ended December 31, 2019.</w:t>
      </w:r>
    </w:p>
    <w:p w14:paraId="4E5E8CE2" w14:textId="77777777" w:rsidR="00000000" w:rsidRDefault="0053651E">
      <w:pPr>
        <w:pStyle w:val="a3"/>
        <w:spacing w:before="0" w:beforeAutospacing="0" w:after="0" w:afterAutospacing="0"/>
        <w:ind w:firstLine="360"/>
        <w:jc w:val="both"/>
        <w:rPr>
          <w:sz w:val="20"/>
          <w:szCs w:val="20"/>
        </w:rPr>
      </w:pPr>
      <w:r>
        <w:rPr>
          <w:sz w:val="20"/>
          <w:szCs w:val="20"/>
        </w:rPr>
        <w:t> </w:t>
      </w:r>
    </w:p>
    <w:p w14:paraId="1C4F8BC7" w14:textId="77777777" w:rsidR="00000000" w:rsidRDefault="0053651E">
      <w:pPr>
        <w:pStyle w:val="a3"/>
        <w:spacing w:before="0" w:beforeAutospacing="0" w:after="0" w:afterAutospacing="0"/>
        <w:jc w:val="both"/>
        <w:rPr>
          <w:sz w:val="20"/>
          <w:szCs w:val="20"/>
        </w:rPr>
      </w:pPr>
      <w:r>
        <w:rPr>
          <w:i/>
          <w:iCs/>
          <w:sz w:val="20"/>
          <w:szCs w:val="20"/>
        </w:rPr>
        <w:t xml:space="preserve">Preferred dividends – </w:t>
      </w:r>
    </w:p>
    <w:p w14:paraId="32B20452"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725C8C03" w14:textId="77777777" w:rsidR="00000000" w:rsidRDefault="0053651E">
      <w:pPr>
        <w:pStyle w:val="a3"/>
        <w:spacing w:before="0" w:beforeAutospacing="0" w:after="0" w:afterAutospacing="0"/>
        <w:ind w:firstLine="360"/>
        <w:jc w:val="both"/>
        <w:rPr>
          <w:sz w:val="20"/>
          <w:szCs w:val="20"/>
        </w:rPr>
      </w:pPr>
      <w:r>
        <w:rPr>
          <w:sz w:val="20"/>
          <w:szCs w:val="20"/>
        </w:rPr>
        <w:t>The decrease in Preferred dividends of $6.1 million is primarily due to the redemptions of the Class I Preferred Stock and Class K Preferred Stock during 2019.</w:t>
      </w:r>
    </w:p>
    <w:p w14:paraId="63744134" w14:textId="77777777" w:rsidR="00000000" w:rsidRDefault="0053651E">
      <w:pPr>
        <w:pStyle w:val="a3"/>
        <w:spacing w:before="0" w:beforeAutospacing="0" w:after="0" w:afterAutospacing="0"/>
        <w:ind w:firstLine="360"/>
        <w:jc w:val="both"/>
        <w:rPr>
          <w:sz w:val="20"/>
          <w:szCs w:val="20"/>
        </w:rPr>
      </w:pPr>
      <w:r>
        <w:rPr>
          <w:sz w:val="20"/>
          <w:szCs w:val="20"/>
        </w:rPr>
        <w:t> </w:t>
      </w:r>
    </w:p>
    <w:p w14:paraId="7DF65A4D" w14:textId="77777777" w:rsidR="00000000" w:rsidRDefault="0053651E">
      <w:pPr>
        <w:pStyle w:val="a3"/>
        <w:spacing w:before="0" w:beforeAutospacing="0" w:after="0" w:afterAutospacing="0"/>
        <w:jc w:val="both"/>
        <w:rPr>
          <w:sz w:val="20"/>
          <w:szCs w:val="20"/>
        </w:rPr>
      </w:pPr>
      <w:r>
        <w:rPr>
          <w:b/>
          <w:bCs/>
          <w:sz w:val="20"/>
          <w:szCs w:val="20"/>
        </w:rPr>
        <w:t>Comparison of Years Ended December 3</w:t>
      </w:r>
      <w:r>
        <w:rPr>
          <w:b/>
          <w:bCs/>
          <w:sz w:val="20"/>
          <w:szCs w:val="20"/>
        </w:rPr>
        <w:t>1, 2018 to 2017</w:t>
      </w:r>
    </w:p>
    <w:p w14:paraId="6EF34A2F" w14:textId="77777777" w:rsidR="00000000" w:rsidRDefault="0053651E">
      <w:pPr>
        <w:pStyle w:val="a3"/>
        <w:spacing w:before="0" w:beforeAutospacing="0" w:after="0" w:afterAutospacing="0"/>
        <w:jc w:val="both"/>
        <w:rPr>
          <w:sz w:val="20"/>
          <w:szCs w:val="20"/>
        </w:rPr>
      </w:pPr>
      <w:r>
        <w:rPr>
          <w:b/>
          <w:bCs/>
          <w:sz w:val="20"/>
          <w:szCs w:val="20"/>
        </w:rPr>
        <w:t> </w:t>
      </w:r>
    </w:p>
    <w:p w14:paraId="0671E3FD" w14:textId="77777777" w:rsidR="00000000" w:rsidRDefault="0053651E">
      <w:pPr>
        <w:pStyle w:val="a3"/>
        <w:spacing w:before="0" w:beforeAutospacing="0" w:after="0" w:afterAutospacing="0"/>
        <w:ind w:firstLine="360"/>
        <w:jc w:val="both"/>
        <w:rPr>
          <w:sz w:val="20"/>
          <w:szCs w:val="20"/>
        </w:rPr>
      </w:pPr>
      <w:r>
        <w:rPr>
          <w:sz w:val="20"/>
          <w:szCs w:val="20"/>
        </w:rPr>
        <w:t>Information pertaining to fiscal year 2017 was included in the Company’s Annual Report on Form 10-K for the year ended December 31, 2018 under Part II, Item 7, “Management's Discussion and Analysis of Financial Condition and Results of Op</w:t>
      </w:r>
      <w:r>
        <w:rPr>
          <w:sz w:val="20"/>
          <w:szCs w:val="20"/>
        </w:rPr>
        <w:t>erations,” which was filed with the SEC on February 15, 2019.</w:t>
      </w:r>
    </w:p>
    <w:p w14:paraId="5A441E93" w14:textId="77777777" w:rsidR="00000000" w:rsidRDefault="0053651E">
      <w:pPr>
        <w:pStyle w:val="a3"/>
        <w:spacing w:before="0" w:beforeAutospacing="0" w:after="0" w:afterAutospacing="0"/>
        <w:ind w:firstLine="360"/>
        <w:jc w:val="both"/>
        <w:rPr>
          <w:sz w:val="20"/>
          <w:szCs w:val="20"/>
        </w:rPr>
      </w:pPr>
      <w:r>
        <w:rPr>
          <w:sz w:val="20"/>
          <w:szCs w:val="20"/>
        </w:rPr>
        <w:t> </w:t>
      </w:r>
    </w:p>
    <w:p w14:paraId="0255DA0D" w14:textId="77777777" w:rsidR="00000000" w:rsidRDefault="0053651E">
      <w:pPr>
        <w:pStyle w:val="a3"/>
        <w:spacing w:before="0" w:beforeAutospacing="0" w:after="0" w:afterAutospacing="0"/>
        <w:ind w:firstLine="360"/>
        <w:rPr>
          <w:sz w:val="20"/>
          <w:szCs w:val="20"/>
        </w:rPr>
      </w:pPr>
      <w:r>
        <w:rPr>
          <w:sz w:val="20"/>
          <w:szCs w:val="20"/>
          <w:u w:val="single"/>
        </w:rPr>
        <w:t>Liquidity and Capital Resources</w:t>
      </w:r>
    </w:p>
    <w:p w14:paraId="329AE6BC" w14:textId="77777777" w:rsidR="00000000" w:rsidRDefault="0053651E">
      <w:pPr>
        <w:pStyle w:val="a3"/>
        <w:spacing w:before="0" w:beforeAutospacing="0" w:after="0" w:afterAutospacing="0"/>
        <w:ind w:firstLine="360"/>
        <w:rPr>
          <w:sz w:val="20"/>
          <w:szCs w:val="20"/>
        </w:rPr>
      </w:pPr>
      <w:r>
        <w:rPr>
          <w:sz w:val="20"/>
          <w:szCs w:val="20"/>
        </w:rPr>
        <w:t> </w:t>
      </w:r>
    </w:p>
    <w:p w14:paraId="7B92951C" w14:textId="77777777" w:rsidR="00000000" w:rsidRDefault="0053651E">
      <w:pPr>
        <w:pStyle w:val="a3"/>
        <w:spacing w:before="0" w:beforeAutospacing="0" w:after="0" w:afterAutospacing="0"/>
        <w:ind w:firstLine="360"/>
        <w:jc w:val="both"/>
        <w:rPr>
          <w:sz w:val="20"/>
          <w:szCs w:val="20"/>
        </w:rPr>
      </w:pPr>
      <w:r>
        <w:rPr>
          <w:sz w:val="20"/>
          <w:szCs w:val="20"/>
        </w:rPr>
        <w:t>The Company’s capital resources include accessing the public debt and equity capital markets, mortgage and construction loan financing, and immediate access t</w:t>
      </w:r>
      <w:r>
        <w:rPr>
          <w:sz w:val="20"/>
          <w:szCs w:val="20"/>
        </w:rPr>
        <w:t>o an unsecured revolving credit facility (the “Credit Facility”) with bank commitments of $2.25 billion which can be increased to $2.75 billion through an accordion feature.</w:t>
      </w:r>
    </w:p>
    <w:p w14:paraId="416F49B5" w14:textId="77777777" w:rsidR="00000000" w:rsidRDefault="0053651E">
      <w:pPr>
        <w:pStyle w:val="a3"/>
        <w:spacing w:before="0" w:beforeAutospacing="0" w:after="0" w:afterAutospacing="0"/>
        <w:ind w:firstLine="360"/>
        <w:rPr>
          <w:sz w:val="20"/>
          <w:szCs w:val="20"/>
        </w:rPr>
      </w:pPr>
      <w:r>
        <w:rPr>
          <w:sz w:val="20"/>
          <w:szCs w:val="20"/>
        </w:rPr>
        <w:t> </w:t>
      </w:r>
    </w:p>
    <w:p w14:paraId="656B8C61" w14:textId="77777777" w:rsidR="00000000" w:rsidRDefault="0053651E">
      <w:pPr>
        <w:pStyle w:val="a3"/>
        <w:spacing w:before="0" w:beforeAutospacing="0" w:after="0" w:afterAutospacing="0"/>
        <w:ind w:firstLine="360"/>
        <w:jc w:val="both"/>
        <w:rPr>
          <w:sz w:val="20"/>
          <w:szCs w:val="20"/>
        </w:rPr>
      </w:pPr>
      <w:r>
        <w:rPr>
          <w:sz w:val="20"/>
          <w:szCs w:val="20"/>
        </w:rPr>
        <w:t>The Company’s cash flow activities are summarized as follows (in thousands):</w:t>
      </w:r>
    </w:p>
    <w:p w14:paraId="69F54718" w14:textId="77777777" w:rsidR="00000000" w:rsidRDefault="0053651E">
      <w:pPr>
        <w:pStyle w:val="a3"/>
        <w:spacing w:before="0" w:beforeAutospacing="0" w:after="0" w:afterAutospacing="0"/>
        <w:ind w:firstLine="36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498279CE" w14:textId="77777777">
        <w:trPr>
          <w:tblCellSpacing w:w="0" w:type="dxa"/>
        </w:trPr>
        <w:tc>
          <w:tcPr>
            <w:tcW w:w="0" w:type="auto"/>
            <w:vAlign w:val="bottom"/>
            <w:hideMark/>
          </w:tcPr>
          <w:p w14:paraId="01B5461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24F19E1"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FA09CB0"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5FA7F583" w14:textId="77777777" w:rsidR="00000000" w:rsidRDefault="0053651E">
            <w:pPr>
              <w:rPr>
                <w:rFonts w:eastAsia="Times New Roman"/>
                <w:sz w:val="20"/>
                <w:szCs w:val="20"/>
              </w:rPr>
            </w:pPr>
            <w:r>
              <w:rPr>
                <w:rFonts w:eastAsia="Times New Roman"/>
                <w:sz w:val="20"/>
                <w:szCs w:val="20"/>
              </w:rPr>
              <w:t> </w:t>
            </w:r>
          </w:p>
        </w:tc>
      </w:tr>
      <w:tr w:rsidR="00000000" w14:paraId="01A26AAF" w14:textId="77777777">
        <w:trPr>
          <w:tblCellSpacing w:w="0" w:type="dxa"/>
        </w:trPr>
        <w:tc>
          <w:tcPr>
            <w:tcW w:w="0" w:type="auto"/>
            <w:vAlign w:val="bottom"/>
            <w:hideMark/>
          </w:tcPr>
          <w:p w14:paraId="2D87BE2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B96FB1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A2AA2A6"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0AEB49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952C91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7FA499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7E5B01F" w14:textId="77777777" w:rsidR="00000000" w:rsidRDefault="0053651E">
            <w:pPr>
              <w:rPr>
                <w:rFonts w:eastAsia="Times New Roman"/>
                <w:sz w:val="20"/>
                <w:szCs w:val="20"/>
              </w:rPr>
            </w:pPr>
            <w:r>
              <w:rPr>
                <w:rFonts w:eastAsia="Times New Roman"/>
                <w:sz w:val="20"/>
                <w:szCs w:val="20"/>
              </w:rPr>
              <w:t> </w:t>
            </w:r>
          </w:p>
        </w:tc>
      </w:tr>
      <w:tr w:rsidR="00000000" w14:paraId="00CC6977" w14:textId="77777777">
        <w:trPr>
          <w:tblCellSpacing w:w="0" w:type="dxa"/>
        </w:trPr>
        <w:tc>
          <w:tcPr>
            <w:tcW w:w="3100" w:type="pct"/>
            <w:shd w:val="clear" w:color="auto" w:fill="CCEEFF"/>
            <w:vAlign w:val="bottom"/>
            <w:hideMark/>
          </w:tcPr>
          <w:p w14:paraId="4EE371BF" w14:textId="77777777" w:rsidR="00000000" w:rsidRDefault="0053651E">
            <w:pPr>
              <w:pStyle w:val="a3"/>
              <w:spacing w:before="0" w:beforeAutospacing="0" w:after="0" w:afterAutospacing="0"/>
              <w:rPr>
                <w:sz w:val="20"/>
                <w:szCs w:val="20"/>
              </w:rPr>
            </w:pPr>
            <w:r>
              <w:rPr>
                <w:sz w:val="20"/>
                <w:szCs w:val="20"/>
              </w:rPr>
              <w:t>Cash and cash equivalents, beginning of year</w:t>
            </w:r>
          </w:p>
        </w:tc>
        <w:tc>
          <w:tcPr>
            <w:tcW w:w="50" w:type="pct"/>
            <w:shd w:val="clear" w:color="auto" w:fill="CCEEFF"/>
            <w:vAlign w:val="bottom"/>
            <w:hideMark/>
          </w:tcPr>
          <w:p w14:paraId="068F92B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CFD469C" w14:textId="77777777" w:rsidR="00000000" w:rsidRDefault="0053651E">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2B8AA25E" w14:textId="77777777" w:rsidR="00000000" w:rsidRDefault="0053651E">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0083C5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AA7B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102D88" w14:textId="77777777" w:rsidR="00000000" w:rsidRDefault="0053651E">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70AFA5DA" w14:textId="77777777" w:rsidR="00000000" w:rsidRDefault="0053651E">
            <w:pPr>
              <w:jc w:val="right"/>
              <w:rPr>
                <w:rFonts w:eastAsia="Times New Roman"/>
                <w:sz w:val="20"/>
                <w:szCs w:val="20"/>
              </w:rPr>
            </w:pPr>
            <w:r>
              <w:rPr>
                <w:rFonts w:eastAsia="Times New Roman"/>
                <w:sz w:val="20"/>
                <w:szCs w:val="20"/>
              </w:rPr>
              <w:t>238,513</w:t>
            </w:r>
          </w:p>
        </w:tc>
        <w:tc>
          <w:tcPr>
            <w:tcW w:w="50" w:type="pct"/>
            <w:shd w:val="clear" w:color="auto" w:fill="CCEEFF"/>
            <w:tcMar>
              <w:top w:w="0" w:type="dxa"/>
              <w:left w:w="0" w:type="dxa"/>
              <w:bottom w:w="15" w:type="dxa"/>
              <w:right w:w="0" w:type="dxa"/>
            </w:tcMar>
            <w:vAlign w:val="bottom"/>
            <w:hideMark/>
          </w:tcPr>
          <w:p w14:paraId="1D7A8852" w14:textId="77777777" w:rsidR="00000000" w:rsidRDefault="0053651E">
            <w:pPr>
              <w:rPr>
                <w:rFonts w:eastAsia="Times New Roman"/>
                <w:sz w:val="20"/>
                <w:szCs w:val="20"/>
              </w:rPr>
            </w:pPr>
            <w:r>
              <w:rPr>
                <w:rFonts w:eastAsia="Times New Roman"/>
                <w:sz w:val="20"/>
                <w:szCs w:val="20"/>
              </w:rPr>
              <w:t> </w:t>
            </w:r>
          </w:p>
        </w:tc>
      </w:tr>
      <w:tr w:rsidR="00000000" w14:paraId="60923161" w14:textId="77777777">
        <w:trPr>
          <w:tblCellSpacing w:w="0" w:type="dxa"/>
        </w:trPr>
        <w:tc>
          <w:tcPr>
            <w:tcW w:w="0" w:type="auto"/>
            <w:shd w:val="clear" w:color="auto" w:fill="FFFFFF"/>
            <w:vAlign w:val="bottom"/>
            <w:hideMark/>
          </w:tcPr>
          <w:p w14:paraId="3CF6AC22" w14:textId="77777777" w:rsidR="00000000" w:rsidRDefault="0053651E">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14:paraId="5E366D2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905ECBF"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23584018" w14:textId="77777777" w:rsidR="00000000" w:rsidRDefault="0053651E">
            <w:pPr>
              <w:jc w:val="right"/>
              <w:rPr>
                <w:rFonts w:eastAsia="Times New Roman"/>
                <w:sz w:val="20"/>
                <w:szCs w:val="20"/>
              </w:rPr>
            </w:pPr>
            <w:r>
              <w:rPr>
                <w:rFonts w:eastAsia="Times New Roman"/>
                <w:sz w:val="20"/>
                <w:szCs w:val="20"/>
              </w:rPr>
              <w:t>583,628</w:t>
            </w:r>
          </w:p>
        </w:tc>
        <w:tc>
          <w:tcPr>
            <w:tcW w:w="50" w:type="pct"/>
            <w:tcBorders>
              <w:bottom w:val="nil"/>
            </w:tcBorders>
            <w:shd w:val="clear" w:color="auto" w:fill="FFFFFF"/>
            <w:vAlign w:val="bottom"/>
            <w:hideMark/>
          </w:tcPr>
          <w:p w14:paraId="0B9F90F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38A239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5830322"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6E1C158D" w14:textId="77777777" w:rsidR="00000000" w:rsidRDefault="0053651E">
            <w:pPr>
              <w:jc w:val="right"/>
              <w:rPr>
                <w:rFonts w:eastAsia="Times New Roman"/>
                <w:sz w:val="20"/>
                <w:szCs w:val="20"/>
              </w:rPr>
            </w:pPr>
            <w:r>
              <w:rPr>
                <w:rFonts w:eastAsia="Times New Roman"/>
                <w:sz w:val="20"/>
                <w:szCs w:val="20"/>
              </w:rPr>
              <w:t>637,936</w:t>
            </w:r>
          </w:p>
        </w:tc>
        <w:tc>
          <w:tcPr>
            <w:tcW w:w="50" w:type="pct"/>
            <w:tcBorders>
              <w:bottom w:val="nil"/>
            </w:tcBorders>
            <w:shd w:val="clear" w:color="auto" w:fill="FFFFFF"/>
            <w:vAlign w:val="bottom"/>
            <w:hideMark/>
          </w:tcPr>
          <w:p w14:paraId="4673B922" w14:textId="77777777" w:rsidR="00000000" w:rsidRDefault="0053651E">
            <w:pPr>
              <w:rPr>
                <w:rFonts w:eastAsia="Times New Roman"/>
                <w:sz w:val="20"/>
                <w:szCs w:val="20"/>
              </w:rPr>
            </w:pPr>
            <w:r>
              <w:rPr>
                <w:rFonts w:eastAsia="Times New Roman"/>
                <w:sz w:val="20"/>
                <w:szCs w:val="20"/>
              </w:rPr>
              <w:t> </w:t>
            </w:r>
          </w:p>
        </w:tc>
      </w:tr>
      <w:tr w:rsidR="00000000" w14:paraId="532829EB" w14:textId="77777777">
        <w:trPr>
          <w:tblCellSpacing w:w="0" w:type="dxa"/>
        </w:trPr>
        <w:tc>
          <w:tcPr>
            <w:tcW w:w="0" w:type="auto"/>
            <w:shd w:val="clear" w:color="auto" w:fill="CCEEFF"/>
            <w:vAlign w:val="bottom"/>
            <w:hideMark/>
          </w:tcPr>
          <w:p w14:paraId="637D42E2" w14:textId="77777777" w:rsidR="00000000" w:rsidRDefault="0053651E">
            <w:pPr>
              <w:pStyle w:val="a3"/>
              <w:spacing w:before="0" w:beforeAutospacing="0" w:after="0" w:afterAutospacing="0"/>
              <w:ind w:left="180"/>
              <w:rPr>
                <w:sz w:val="20"/>
                <w:szCs w:val="20"/>
              </w:rPr>
            </w:pPr>
            <w:r>
              <w:rPr>
                <w:sz w:val="20"/>
                <w:szCs w:val="20"/>
              </w:rPr>
              <w:t>Net cash flow (used for)/provided by investing activities</w:t>
            </w:r>
          </w:p>
        </w:tc>
        <w:tc>
          <w:tcPr>
            <w:tcW w:w="50" w:type="pct"/>
            <w:shd w:val="clear" w:color="auto" w:fill="CCEEFF"/>
            <w:vAlign w:val="bottom"/>
            <w:hideMark/>
          </w:tcPr>
          <w:p w14:paraId="577BC0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3E322"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17D6EE2" w14:textId="77777777" w:rsidR="00000000" w:rsidRDefault="0053651E">
            <w:pPr>
              <w:jc w:val="right"/>
              <w:rPr>
                <w:rFonts w:eastAsia="Times New Roman"/>
                <w:sz w:val="20"/>
                <w:szCs w:val="20"/>
              </w:rPr>
            </w:pPr>
            <w:r>
              <w:rPr>
                <w:rFonts w:eastAsia="Times New Roman"/>
                <w:sz w:val="20"/>
                <w:szCs w:val="20"/>
              </w:rPr>
              <w:t>(120,421</w:t>
            </w:r>
          </w:p>
        </w:tc>
        <w:tc>
          <w:tcPr>
            <w:tcW w:w="50" w:type="pct"/>
            <w:shd w:val="clear" w:color="auto" w:fill="CCEEFF"/>
            <w:vAlign w:val="bottom"/>
            <w:hideMark/>
          </w:tcPr>
          <w:p w14:paraId="2413C4A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56BC1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D960F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B69D6BE" w14:textId="77777777" w:rsidR="00000000" w:rsidRDefault="0053651E">
            <w:pPr>
              <w:jc w:val="right"/>
              <w:rPr>
                <w:rFonts w:eastAsia="Times New Roman"/>
                <w:sz w:val="20"/>
                <w:szCs w:val="20"/>
              </w:rPr>
            </w:pPr>
            <w:r>
              <w:rPr>
                <w:rFonts w:eastAsia="Times New Roman"/>
                <w:sz w:val="20"/>
                <w:szCs w:val="20"/>
              </w:rPr>
              <w:t>253,645</w:t>
            </w:r>
          </w:p>
        </w:tc>
        <w:tc>
          <w:tcPr>
            <w:tcW w:w="50" w:type="pct"/>
            <w:shd w:val="clear" w:color="auto" w:fill="CCEEFF"/>
            <w:vAlign w:val="bottom"/>
            <w:hideMark/>
          </w:tcPr>
          <w:p w14:paraId="26603042" w14:textId="77777777" w:rsidR="00000000" w:rsidRDefault="0053651E">
            <w:pPr>
              <w:rPr>
                <w:rFonts w:eastAsia="Times New Roman"/>
                <w:sz w:val="20"/>
                <w:szCs w:val="20"/>
              </w:rPr>
            </w:pPr>
            <w:r>
              <w:rPr>
                <w:rFonts w:eastAsia="Times New Roman"/>
                <w:sz w:val="20"/>
                <w:szCs w:val="20"/>
              </w:rPr>
              <w:t> </w:t>
            </w:r>
          </w:p>
        </w:tc>
      </w:tr>
      <w:tr w:rsidR="00000000" w14:paraId="4045643D" w14:textId="77777777">
        <w:trPr>
          <w:tblCellSpacing w:w="0" w:type="dxa"/>
        </w:trPr>
        <w:tc>
          <w:tcPr>
            <w:tcW w:w="0" w:type="auto"/>
            <w:shd w:val="clear" w:color="auto" w:fill="FFFFFF"/>
            <w:vAlign w:val="bottom"/>
            <w:hideMark/>
          </w:tcPr>
          <w:p w14:paraId="46DD0353" w14:textId="77777777" w:rsidR="00000000" w:rsidRDefault="0053651E">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14:paraId="27D550A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D841E24"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0850E24" w14:textId="77777777" w:rsidR="00000000" w:rsidRDefault="0053651E">
            <w:pPr>
              <w:jc w:val="right"/>
              <w:rPr>
                <w:rFonts w:eastAsia="Times New Roman"/>
                <w:sz w:val="20"/>
                <w:szCs w:val="20"/>
              </w:rPr>
            </w:pPr>
            <w:r>
              <w:rPr>
                <w:rFonts w:eastAsia="Times New Roman"/>
                <w:sz w:val="20"/>
                <w:szCs w:val="20"/>
              </w:rPr>
              <w:t>(482,841</w:t>
            </w:r>
          </w:p>
        </w:tc>
        <w:tc>
          <w:tcPr>
            <w:tcW w:w="50" w:type="pct"/>
            <w:shd w:val="clear" w:color="auto" w:fill="FFFFFF"/>
            <w:tcMar>
              <w:top w:w="0" w:type="dxa"/>
              <w:left w:w="0" w:type="dxa"/>
              <w:bottom w:w="15" w:type="dxa"/>
              <w:right w:w="0" w:type="dxa"/>
            </w:tcMar>
            <w:vAlign w:val="bottom"/>
            <w:hideMark/>
          </w:tcPr>
          <w:p w14:paraId="5B7C445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95749A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4B04E8D"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AC23F60" w14:textId="77777777" w:rsidR="00000000" w:rsidRDefault="0053651E">
            <w:pPr>
              <w:jc w:val="right"/>
              <w:rPr>
                <w:rFonts w:eastAsia="Times New Roman"/>
                <w:sz w:val="20"/>
                <w:szCs w:val="20"/>
              </w:rPr>
            </w:pPr>
            <w:r>
              <w:rPr>
                <w:rFonts w:eastAsia="Times New Roman"/>
                <w:sz w:val="20"/>
                <w:szCs w:val="20"/>
              </w:rPr>
              <w:t>(986,513</w:t>
            </w:r>
          </w:p>
        </w:tc>
        <w:tc>
          <w:tcPr>
            <w:tcW w:w="50" w:type="pct"/>
            <w:shd w:val="clear" w:color="auto" w:fill="FFFFFF"/>
            <w:tcMar>
              <w:top w:w="0" w:type="dxa"/>
              <w:left w:w="0" w:type="dxa"/>
              <w:bottom w:w="15" w:type="dxa"/>
              <w:right w:w="0" w:type="dxa"/>
            </w:tcMar>
            <w:vAlign w:val="bottom"/>
            <w:hideMark/>
          </w:tcPr>
          <w:p w14:paraId="39064302" w14:textId="77777777" w:rsidR="00000000" w:rsidRDefault="0053651E">
            <w:pPr>
              <w:rPr>
                <w:rFonts w:eastAsia="Times New Roman"/>
                <w:sz w:val="20"/>
                <w:szCs w:val="20"/>
              </w:rPr>
            </w:pPr>
            <w:r>
              <w:rPr>
                <w:rFonts w:eastAsia="Times New Roman"/>
                <w:sz w:val="20"/>
                <w:szCs w:val="20"/>
              </w:rPr>
              <w:t>)</w:t>
            </w:r>
          </w:p>
        </w:tc>
      </w:tr>
      <w:tr w:rsidR="00000000" w14:paraId="25F2FA2E" w14:textId="77777777">
        <w:trPr>
          <w:tblCellSpacing w:w="0" w:type="dxa"/>
        </w:trPr>
        <w:tc>
          <w:tcPr>
            <w:tcW w:w="0" w:type="auto"/>
            <w:shd w:val="clear" w:color="auto" w:fill="CCEEFF"/>
            <w:vAlign w:val="bottom"/>
            <w:hideMark/>
          </w:tcPr>
          <w:p w14:paraId="4123610F" w14:textId="77777777" w:rsidR="00000000" w:rsidRDefault="0053651E">
            <w:pPr>
              <w:pStyle w:val="a3"/>
              <w:spacing w:before="0" w:beforeAutospacing="0" w:after="0" w:afterAutospacing="0"/>
              <w:ind w:left="360"/>
              <w:rPr>
                <w:sz w:val="20"/>
                <w:szCs w:val="20"/>
              </w:rPr>
            </w:pPr>
            <w:r>
              <w:rPr>
                <w:sz w:val="20"/>
                <w:szCs w:val="20"/>
              </w:rPr>
              <w:t>Change in cash and cash equivalents</w:t>
            </w:r>
          </w:p>
        </w:tc>
        <w:tc>
          <w:tcPr>
            <w:tcW w:w="50" w:type="pct"/>
            <w:shd w:val="clear" w:color="auto" w:fill="CCEEFF"/>
            <w:tcMar>
              <w:top w:w="0" w:type="dxa"/>
              <w:left w:w="0" w:type="dxa"/>
              <w:bottom w:w="15" w:type="dxa"/>
              <w:right w:w="0" w:type="dxa"/>
            </w:tcMar>
            <w:vAlign w:val="bottom"/>
            <w:hideMark/>
          </w:tcPr>
          <w:p w14:paraId="054F61A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16312E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0D8CE5B" w14:textId="77777777" w:rsidR="00000000" w:rsidRDefault="0053651E">
            <w:pPr>
              <w:jc w:val="right"/>
              <w:rPr>
                <w:rFonts w:eastAsia="Times New Roman"/>
                <w:sz w:val="20"/>
                <w:szCs w:val="20"/>
              </w:rPr>
            </w:pPr>
            <w:r>
              <w:rPr>
                <w:rFonts w:eastAsia="Times New Roman"/>
                <w:sz w:val="20"/>
                <w:szCs w:val="20"/>
              </w:rPr>
              <w:t>(19,634</w:t>
            </w:r>
          </w:p>
        </w:tc>
        <w:tc>
          <w:tcPr>
            <w:tcW w:w="50" w:type="pct"/>
            <w:shd w:val="clear" w:color="auto" w:fill="CCEEFF"/>
            <w:tcMar>
              <w:top w:w="0" w:type="dxa"/>
              <w:left w:w="0" w:type="dxa"/>
              <w:bottom w:w="15" w:type="dxa"/>
              <w:right w:w="0" w:type="dxa"/>
            </w:tcMar>
            <w:vAlign w:val="bottom"/>
            <w:hideMark/>
          </w:tcPr>
          <w:p w14:paraId="787159D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F91673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830E95D"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7758CD3" w14:textId="77777777" w:rsidR="00000000" w:rsidRDefault="0053651E">
            <w:pPr>
              <w:jc w:val="right"/>
              <w:rPr>
                <w:rFonts w:eastAsia="Times New Roman"/>
                <w:sz w:val="20"/>
                <w:szCs w:val="20"/>
              </w:rPr>
            </w:pPr>
            <w:r>
              <w:rPr>
                <w:rFonts w:eastAsia="Times New Roman"/>
                <w:sz w:val="20"/>
                <w:szCs w:val="20"/>
              </w:rPr>
              <w:t>(94,932</w:t>
            </w:r>
          </w:p>
        </w:tc>
        <w:tc>
          <w:tcPr>
            <w:tcW w:w="50" w:type="pct"/>
            <w:shd w:val="clear" w:color="auto" w:fill="CCEEFF"/>
            <w:tcMar>
              <w:top w:w="0" w:type="dxa"/>
              <w:left w:w="0" w:type="dxa"/>
              <w:bottom w:w="15" w:type="dxa"/>
              <w:right w:w="0" w:type="dxa"/>
            </w:tcMar>
            <w:vAlign w:val="bottom"/>
            <w:hideMark/>
          </w:tcPr>
          <w:p w14:paraId="43A82DD4" w14:textId="77777777" w:rsidR="00000000" w:rsidRDefault="0053651E">
            <w:pPr>
              <w:rPr>
                <w:rFonts w:eastAsia="Times New Roman"/>
                <w:sz w:val="20"/>
                <w:szCs w:val="20"/>
              </w:rPr>
            </w:pPr>
            <w:r>
              <w:rPr>
                <w:rFonts w:eastAsia="Times New Roman"/>
                <w:sz w:val="20"/>
                <w:szCs w:val="20"/>
              </w:rPr>
              <w:t>)</w:t>
            </w:r>
          </w:p>
        </w:tc>
      </w:tr>
      <w:tr w:rsidR="00000000" w14:paraId="731605E4" w14:textId="77777777">
        <w:trPr>
          <w:tblCellSpacing w:w="0" w:type="dxa"/>
        </w:trPr>
        <w:tc>
          <w:tcPr>
            <w:tcW w:w="0" w:type="auto"/>
            <w:shd w:val="clear" w:color="auto" w:fill="FFFFFF"/>
            <w:vAlign w:val="bottom"/>
            <w:hideMark/>
          </w:tcPr>
          <w:p w14:paraId="75747A38" w14:textId="77777777" w:rsidR="00000000" w:rsidRDefault="0053651E">
            <w:pPr>
              <w:pStyle w:val="a3"/>
              <w:spacing w:before="0" w:beforeAutospacing="0" w:after="0" w:afterAutospacing="0"/>
              <w:rPr>
                <w:sz w:val="20"/>
                <w:szCs w:val="20"/>
              </w:rPr>
            </w:pPr>
            <w:r>
              <w:rPr>
                <w:sz w:val="20"/>
                <w:szCs w:val="20"/>
              </w:rPr>
              <w:t>Cash and cash equivalents, end of year</w:t>
            </w:r>
          </w:p>
        </w:tc>
        <w:tc>
          <w:tcPr>
            <w:tcW w:w="50" w:type="pct"/>
            <w:shd w:val="clear" w:color="auto" w:fill="FFFFFF"/>
            <w:vAlign w:val="bottom"/>
            <w:hideMark/>
          </w:tcPr>
          <w:p w14:paraId="1081A97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94DE129"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1BC3D9EF" w14:textId="77777777" w:rsidR="00000000" w:rsidRDefault="0053651E">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45" w:type="dxa"/>
              <w:right w:w="0" w:type="dxa"/>
            </w:tcMar>
            <w:vAlign w:val="bottom"/>
            <w:hideMark/>
          </w:tcPr>
          <w:p w14:paraId="438C58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39716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8C107FE"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705C40F6" w14:textId="77777777" w:rsidR="00000000" w:rsidRDefault="0053651E">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45" w:type="dxa"/>
              <w:right w:w="0" w:type="dxa"/>
            </w:tcMar>
            <w:vAlign w:val="bottom"/>
            <w:hideMark/>
          </w:tcPr>
          <w:p w14:paraId="1E350538" w14:textId="77777777" w:rsidR="00000000" w:rsidRDefault="0053651E">
            <w:pPr>
              <w:rPr>
                <w:rFonts w:eastAsia="Times New Roman"/>
                <w:sz w:val="20"/>
                <w:szCs w:val="20"/>
              </w:rPr>
            </w:pPr>
            <w:r>
              <w:rPr>
                <w:rFonts w:eastAsia="Times New Roman"/>
                <w:sz w:val="20"/>
                <w:szCs w:val="20"/>
              </w:rPr>
              <w:t> </w:t>
            </w:r>
          </w:p>
        </w:tc>
      </w:tr>
    </w:tbl>
    <w:p w14:paraId="2EECDFC9" w14:textId="77777777" w:rsidR="00000000" w:rsidRDefault="0053651E">
      <w:pPr>
        <w:pStyle w:val="a3"/>
        <w:spacing w:before="0" w:beforeAutospacing="0" w:after="0" w:afterAutospacing="0"/>
        <w:ind w:firstLine="360"/>
        <w:rPr>
          <w:sz w:val="20"/>
          <w:szCs w:val="20"/>
        </w:rPr>
      </w:pPr>
      <w:r>
        <w:rPr>
          <w:sz w:val="20"/>
          <w:szCs w:val="20"/>
        </w:rPr>
        <w:t> </w:t>
      </w:r>
    </w:p>
    <w:p w14:paraId="5051E17C" w14:textId="77777777" w:rsidR="00000000" w:rsidRDefault="0053651E">
      <w:pPr>
        <w:pStyle w:val="a3"/>
        <w:spacing w:before="0" w:beforeAutospacing="0" w:after="0" w:afterAutospacing="0"/>
        <w:ind w:firstLine="360"/>
        <w:rPr>
          <w:sz w:val="20"/>
          <w:szCs w:val="20"/>
        </w:rPr>
      </w:pPr>
      <w:r>
        <w:rPr>
          <w:sz w:val="20"/>
          <w:szCs w:val="20"/>
          <w:u w:val="single"/>
        </w:rPr>
        <w:t>Operating Activities</w:t>
      </w:r>
    </w:p>
    <w:p w14:paraId="7044261D" w14:textId="77777777" w:rsidR="00000000" w:rsidRDefault="0053651E">
      <w:pPr>
        <w:pStyle w:val="a3"/>
        <w:spacing w:before="0" w:beforeAutospacing="0" w:after="0" w:afterAutospacing="0"/>
        <w:ind w:firstLine="360"/>
        <w:jc w:val="both"/>
        <w:rPr>
          <w:sz w:val="20"/>
          <w:szCs w:val="20"/>
        </w:rPr>
      </w:pPr>
      <w:r>
        <w:rPr>
          <w:sz w:val="20"/>
          <w:szCs w:val="20"/>
        </w:rPr>
        <w:t> </w:t>
      </w:r>
    </w:p>
    <w:p w14:paraId="01771F19" w14:textId="77777777" w:rsidR="00000000" w:rsidRDefault="0053651E">
      <w:pPr>
        <w:pStyle w:val="a3"/>
        <w:spacing w:before="0" w:beforeAutospacing="0" w:after="0" w:afterAutospacing="0"/>
        <w:ind w:firstLine="360"/>
        <w:jc w:val="both"/>
        <w:rPr>
          <w:sz w:val="20"/>
          <w:szCs w:val="20"/>
        </w:rPr>
      </w:pPr>
      <w:r>
        <w:rPr>
          <w:sz w:val="20"/>
          <w:szCs w:val="20"/>
        </w:rPr>
        <w:t>The Company anticipates that cash on hand, cash flows from operations, borrowings under its Credit Facility, and the issuance of equity and public debt, as well as other debt and equity alternatives, will provide the necessary capital required by the Compa</w:t>
      </w:r>
      <w:r>
        <w:rPr>
          <w:sz w:val="20"/>
          <w:szCs w:val="20"/>
        </w:rPr>
        <w:t>ny.  </w:t>
      </w:r>
    </w:p>
    <w:p w14:paraId="51F0BF99" w14:textId="77777777" w:rsidR="00000000" w:rsidRDefault="0053651E">
      <w:pPr>
        <w:pStyle w:val="a3"/>
        <w:spacing w:before="0" w:beforeAutospacing="0" w:after="0" w:afterAutospacing="0"/>
        <w:ind w:firstLine="360"/>
        <w:jc w:val="both"/>
        <w:rPr>
          <w:sz w:val="20"/>
          <w:szCs w:val="20"/>
        </w:rPr>
      </w:pPr>
      <w:r>
        <w:rPr>
          <w:sz w:val="20"/>
          <w:szCs w:val="20"/>
        </w:rPr>
        <w:t> </w:t>
      </w:r>
    </w:p>
    <w:p w14:paraId="1BF32F4C" w14:textId="77777777" w:rsidR="00000000" w:rsidRDefault="0053651E">
      <w:pPr>
        <w:pStyle w:val="a3"/>
        <w:spacing w:before="0" w:beforeAutospacing="0" w:after="0" w:afterAutospacing="0"/>
        <w:ind w:firstLine="360"/>
        <w:jc w:val="both"/>
        <w:rPr>
          <w:sz w:val="20"/>
          <w:szCs w:val="20"/>
        </w:rPr>
      </w:pPr>
      <w:r>
        <w:rPr>
          <w:sz w:val="20"/>
          <w:szCs w:val="20"/>
        </w:rPr>
        <w:t>Cash flows provided by operating activities for the year ended December 31, 2019, were $583.6 million, as compared to $637.9 million for the comparable period in 2018. The decrease of $54.3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DE02E1" w14:textId="77777777">
        <w:trPr>
          <w:tblCellSpacing w:w="0" w:type="dxa"/>
        </w:trPr>
        <w:tc>
          <w:tcPr>
            <w:tcW w:w="720" w:type="dxa"/>
            <w:vAlign w:val="center"/>
            <w:hideMark/>
          </w:tcPr>
          <w:p w14:paraId="5B6A25F6" w14:textId="77777777" w:rsidR="00000000" w:rsidRDefault="0053651E">
            <w:pPr>
              <w:rPr>
                <w:rFonts w:eastAsia="Times New Roman"/>
                <w:sz w:val="20"/>
                <w:szCs w:val="20"/>
              </w:rPr>
            </w:pPr>
            <w:r>
              <w:rPr>
                <w:rFonts w:eastAsia="Times New Roman"/>
                <w:sz w:val="20"/>
                <w:szCs w:val="20"/>
              </w:rPr>
              <w:t> </w:t>
            </w:r>
          </w:p>
        </w:tc>
        <w:tc>
          <w:tcPr>
            <w:tcW w:w="360" w:type="dxa"/>
            <w:hideMark/>
          </w:tcPr>
          <w:p w14:paraId="123F46C8"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08B162A" w14:textId="77777777" w:rsidR="00000000" w:rsidRDefault="0053651E">
            <w:pPr>
              <w:pStyle w:val="a3"/>
              <w:spacing w:before="0" w:beforeAutospacing="0" w:after="0" w:afterAutospacing="0"/>
              <w:jc w:val="both"/>
              <w:rPr>
                <w:sz w:val="20"/>
                <w:szCs w:val="20"/>
              </w:rPr>
            </w:pPr>
            <w:r>
              <w:rPr>
                <w:sz w:val="20"/>
                <w:szCs w:val="20"/>
              </w:rPr>
              <w:t>changes in operating ass</w:t>
            </w:r>
            <w:r>
              <w:rPr>
                <w:sz w:val="20"/>
                <w:szCs w:val="20"/>
              </w:rPr>
              <w:t>ets and liabilities due to timing of receipts and payments;</w:t>
            </w:r>
          </w:p>
        </w:tc>
      </w:tr>
    </w:tbl>
    <w:p w14:paraId="6A213F5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F026D62" w14:textId="77777777">
        <w:trPr>
          <w:tblCellSpacing w:w="0" w:type="dxa"/>
        </w:trPr>
        <w:tc>
          <w:tcPr>
            <w:tcW w:w="720" w:type="dxa"/>
            <w:vAlign w:val="center"/>
            <w:hideMark/>
          </w:tcPr>
          <w:p w14:paraId="1888B385" w14:textId="77777777" w:rsidR="00000000" w:rsidRDefault="0053651E">
            <w:pPr>
              <w:rPr>
                <w:rFonts w:eastAsia="Times New Roman"/>
                <w:sz w:val="20"/>
                <w:szCs w:val="20"/>
              </w:rPr>
            </w:pPr>
            <w:r>
              <w:rPr>
                <w:rFonts w:eastAsia="Times New Roman"/>
                <w:sz w:val="20"/>
                <w:szCs w:val="20"/>
              </w:rPr>
              <w:t> </w:t>
            </w:r>
          </w:p>
        </w:tc>
        <w:tc>
          <w:tcPr>
            <w:tcW w:w="360" w:type="dxa"/>
            <w:hideMark/>
          </w:tcPr>
          <w:p w14:paraId="4F5BBBE6"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D444471" w14:textId="77777777" w:rsidR="00000000" w:rsidRDefault="0053651E">
            <w:pPr>
              <w:pStyle w:val="a3"/>
              <w:spacing w:before="0" w:beforeAutospacing="0" w:after="0" w:afterAutospacing="0"/>
              <w:jc w:val="both"/>
              <w:rPr>
                <w:sz w:val="20"/>
                <w:szCs w:val="20"/>
              </w:rPr>
            </w:pPr>
            <w:r>
              <w:rPr>
                <w:sz w:val="20"/>
                <w:szCs w:val="20"/>
              </w:rPr>
              <w:t>the disposition of operating properties in 2019 and 2018; and</w:t>
            </w:r>
          </w:p>
        </w:tc>
      </w:tr>
    </w:tbl>
    <w:p w14:paraId="6B2B034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389E1A" w14:textId="77777777">
        <w:trPr>
          <w:tblCellSpacing w:w="0" w:type="dxa"/>
        </w:trPr>
        <w:tc>
          <w:tcPr>
            <w:tcW w:w="720" w:type="dxa"/>
            <w:vAlign w:val="center"/>
            <w:hideMark/>
          </w:tcPr>
          <w:p w14:paraId="6C295085" w14:textId="77777777" w:rsidR="00000000" w:rsidRDefault="0053651E">
            <w:pPr>
              <w:rPr>
                <w:rFonts w:eastAsia="Times New Roman"/>
                <w:sz w:val="20"/>
                <w:szCs w:val="20"/>
              </w:rPr>
            </w:pPr>
            <w:r>
              <w:rPr>
                <w:rFonts w:eastAsia="Times New Roman"/>
                <w:sz w:val="20"/>
                <w:szCs w:val="20"/>
              </w:rPr>
              <w:t> </w:t>
            </w:r>
          </w:p>
        </w:tc>
        <w:tc>
          <w:tcPr>
            <w:tcW w:w="360" w:type="dxa"/>
            <w:hideMark/>
          </w:tcPr>
          <w:p w14:paraId="0802F23C"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4139B45" w14:textId="77777777" w:rsidR="00000000" w:rsidRDefault="0053651E">
            <w:pPr>
              <w:pStyle w:val="a3"/>
              <w:spacing w:before="0" w:beforeAutospacing="0" w:after="0" w:afterAutospacing="0"/>
              <w:jc w:val="both"/>
              <w:rPr>
                <w:sz w:val="20"/>
                <w:szCs w:val="20"/>
              </w:rPr>
            </w:pPr>
            <w:r>
              <w:rPr>
                <w:sz w:val="20"/>
                <w:szCs w:val="20"/>
              </w:rPr>
              <w:t>a decrease in distributions from the Company’s joint venture programs; partially offset by</w:t>
            </w:r>
          </w:p>
        </w:tc>
      </w:tr>
    </w:tbl>
    <w:p w14:paraId="2A1624FC"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085C0D1" w14:textId="77777777">
        <w:trPr>
          <w:tblCellSpacing w:w="0" w:type="dxa"/>
        </w:trPr>
        <w:tc>
          <w:tcPr>
            <w:tcW w:w="720" w:type="dxa"/>
            <w:vAlign w:val="center"/>
            <w:hideMark/>
          </w:tcPr>
          <w:p w14:paraId="2E95B3B6" w14:textId="77777777" w:rsidR="00000000" w:rsidRDefault="0053651E">
            <w:pPr>
              <w:rPr>
                <w:rFonts w:eastAsia="Times New Roman"/>
                <w:sz w:val="20"/>
                <w:szCs w:val="20"/>
              </w:rPr>
            </w:pPr>
            <w:r>
              <w:rPr>
                <w:rFonts w:eastAsia="Times New Roman"/>
                <w:sz w:val="20"/>
                <w:szCs w:val="20"/>
              </w:rPr>
              <w:t> </w:t>
            </w:r>
          </w:p>
        </w:tc>
        <w:tc>
          <w:tcPr>
            <w:tcW w:w="360" w:type="dxa"/>
            <w:hideMark/>
          </w:tcPr>
          <w:p w14:paraId="401C10A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FB6BD38" w14:textId="77777777" w:rsidR="00000000" w:rsidRDefault="0053651E">
            <w:pPr>
              <w:pStyle w:val="a3"/>
              <w:spacing w:before="0" w:beforeAutospacing="0" w:after="0" w:afterAutospacing="0"/>
              <w:jc w:val="both"/>
              <w:rPr>
                <w:sz w:val="20"/>
                <w:szCs w:val="20"/>
              </w:rPr>
            </w:pPr>
            <w:r>
              <w:rPr>
                <w:sz w:val="20"/>
                <w:szCs w:val="20"/>
              </w:rPr>
              <w:t>new leasing, expansion and re-tenanting of core portfolio properties; and</w:t>
            </w:r>
          </w:p>
        </w:tc>
      </w:tr>
    </w:tbl>
    <w:p w14:paraId="564309F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1E4FD3" w14:textId="77777777">
        <w:trPr>
          <w:tblCellSpacing w:w="0" w:type="dxa"/>
        </w:trPr>
        <w:tc>
          <w:tcPr>
            <w:tcW w:w="720" w:type="dxa"/>
            <w:vAlign w:val="center"/>
            <w:hideMark/>
          </w:tcPr>
          <w:p w14:paraId="64E1FBE8" w14:textId="77777777" w:rsidR="00000000" w:rsidRDefault="0053651E">
            <w:pPr>
              <w:rPr>
                <w:rFonts w:eastAsia="Times New Roman"/>
                <w:sz w:val="20"/>
                <w:szCs w:val="20"/>
              </w:rPr>
            </w:pPr>
            <w:r>
              <w:rPr>
                <w:rFonts w:eastAsia="Times New Roman"/>
                <w:sz w:val="20"/>
                <w:szCs w:val="20"/>
              </w:rPr>
              <w:t> </w:t>
            </w:r>
          </w:p>
        </w:tc>
        <w:tc>
          <w:tcPr>
            <w:tcW w:w="360" w:type="dxa"/>
            <w:hideMark/>
          </w:tcPr>
          <w:p w14:paraId="4C89CF7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DE80BEC" w14:textId="77777777" w:rsidR="00000000" w:rsidRDefault="0053651E">
            <w:pPr>
              <w:pStyle w:val="a3"/>
              <w:spacing w:before="0" w:beforeAutospacing="0" w:after="0" w:afterAutospacing="0"/>
              <w:jc w:val="both"/>
              <w:rPr>
                <w:sz w:val="20"/>
                <w:szCs w:val="20"/>
              </w:rPr>
            </w:pPr>
            <w:r>
              <w:rPr>
                <w:sz w:val="20"/>
                <w:szCs w:val="20"/>
              </w:rPr>
              <w:t>the acquisition of operating properties during 2019.</w:t>
            </w:r>
          </w:p>
        </w:tc>
      </w:tr>
    </w:tbl>
    <w:p w14:paraId="67E92B7D" w14:textId="77777777" w:rsidR="00000000" w:rsidRDefault="0053651E">
      <w:pPr>
        <w:pStyle w:val="a3"/>
        <w:spacing w:before="0" w:beforeAutospacing="0" w:after="0" w:afterAutospacing="0"/>
        <w:jc w:val="both"/>
        <w:rPr>
          <w:sz w:val="20"/>
          <w:szCs w:val="20"/>
        </w:rPr>
      </w:pPr>
      <w:r>
        <w:rPr>
          <w:sz w:val="20"/>
          <w:szCs w:val="20"/>
        </w:rPr>
        <w:t> </w:t>
      </w:r>
    </w:p>
    <w:p w14:paraId="77365271" w14:textId="77777777" w:rsidR="00000000" w:rsidRDefault="0053651E">
      <w:pPr>
        <w:pStyle w:val="a3"/>
        <w:spacing w:before="0" w:beforeAutospacing="0" w:after="0" w:afterAutospacing="0"/>
        <w:ind w:firstLine="360"/>
        <w:jc w:val="both"/>
        <w:rPr>
          <w:sz w:val="20"/>
          <w:szCs w:val="20"/>
        </w:rPr>
      </w:pPr>
      <w:r>
        <w:rPr>
          <w:sz w:val="20"/>
          <w:szCs w:val="20"/>
        </w:rPr>
        <w:t>During the years ended December 31, 2019 and 2018, the Company capitalized personnel costs of $2.3 million and $14.8 million, respectively, relating to deferred leasing costs.</w:t>
      </w:r>
    </w:p>
    <w:p w14:paraId="7A05B8CD" w14:textId="77777777" w:rsidR="00000000" w:rsidRDefault="0053651E">
      <w:pPr>
        <w:pStyle w:val="a3"/>
        <w:spacing w:before="0" w:beforeAutospacing="0" w:after="0" w:afterAutospacing="0"/>
        <w:jc w:val="both"/>
        <w:rPr>
          <w:sz w:val="20"/>
          <w:szCs w:val="20"/>
        </w:rPr>
      </w:pPr>
      <w:r>
        <w:rPr>
          <w:sz w:val="20"/>
          <w:szCs w:val="20"/>
        </w:rPr>
        <w:t> </w:t>
      </w:r>
    </w:p>
    <w:p w14:paraId="488F8523" w14:textId="77777777" w:rsidR="00000000" w:rsidRDefault="0053651E">
      <w:pPr>
        <w:pStyle w:val="a3"/>
        <w:spacing w:before="0" w:beforeAutospacing="0" w:after="0" w:afterAutospacing="0"/>
        <w:ind w:firstLine="360"/>
        <w:rPr>
          <w:sz w:val="20"/>
          <w:szCs w:val="20"/>
        </w:rPr>
      </w:pPr>
      <w:r>
        <w:rPr>
          <w:sz w:val="20"/>
          <w:szCs w:val="20"/>
          <w:u w:val="single"/>
        </w:rPr>
        <w:t>Investing Activities</w:t>
      </w:r>
    </w:p>
    <w:p w14:paraId="44F36283" w14:textId="77777777" w:rsidR="00000000" w:rsidRDefault="0053651E">
      <w:pPr>
        <w:pStyle w:val="a3"/>
        <w:spacing w:before="0" w:beforeAutospacing="0" w:after="0" w:afterAutospacing="0"/>
        <w:ind w:firstLine="360"/>
        <w:jc w:val="both"/>
        <w:rPr>
          <w:sz w:val="20"/>
          <w:szCs w:val="20"/>
        </w:rPr>
      </w:pPr>
      <w:r>
        <w:rPr>
          <w:sz w:val="20"/>
          <w:szCs w:val="20"/>
        </w:rPr>
        <w:t> </w:t>
      </w:r>
    </w:p>
    <w:p w14:paraId="48170A6A" w14:textId="77777777" w:rsidR="00000000" w:rsidRDefault="0053651E">
      <w:pPr>
        <w:pStyle w:val="a3"/>
        <w:spacing w:before="0" w:beforeAutospacing="0" w:after="0" w:afterAutospacing="0"/>
        <w:ind w:firstLine="360"/>
        <w:jc w:val="both"/>
        <w:rPr>
          <w:sz w:val="20"/>
          <w:szCs w:val="20"/>
        </w:rPr>
      </w:pPr>
      <w:r>
        <w:rPr>
          <w:sz w:val="20"/>
          <w:szCs w:val="20"/>
        </w:rPr>
        <w:t xml:space="preserve">Cash flows (used for)/provided by investing activities </w:t>
      </w:r>
      <w:r>
        <w:rPr>
          <w:sz w:val="20"/>
          <w:szCs w:val="20"/>
        </w:rPr>
        <w:t>were $120.4 million for 2019, as compared to cash flows provided by investing activities of $253.6 million for 2018.</w:t>
      </w:r>
    </w:p>
    <w:p w14:paraId="36F761A5" w14:textId="77777777" w:rsidR="00000000" w:rsidRDefault="0053651E">
      <w:pPr>
        <w:pStyle w:val="a3"/>
        <w:spacing w:before="0" w:beforeAutospacing="0" w:after="0" w:afterAutospacing="0"/>
        <w:ind w:firstLine="360"/>
        <w:jc w:val="both"/>
        <w:rPr>
          <w:sz w:val="20"/>
          <w:szCs w:val="20"/>
        </w:rPr>
      </w:pPr>
      <w:r>
        <w:rPr>
          <w:sz w:val="20"/>
          <w:szCs w:val="20"/>
        </w:rPr>
        <w:t> </w:t>
      </w:r>
    </w:p>
    <w:p w14:paraId="4B69C850" w14:textId="77777777" w:rsidR="00000000" w:rsidRDefault="0053651E">
      <w:pPr>
        <w:jc w:val="center"/>
        <w:divId w:val="121535751"/>
        <w:rPr>
          <w:rFonts w:eastAsia="Times New Roman"/>
          <w:sz w:val="20"/>
          <w:szCs w:val="20"/>
        </w:rPr>
      </w:pPr>
      <w:r>
        <w:rPr>
          <w:rFonts w:eastAsia="Times New Roman"/>
          <w:sz w:val="20"/>
          <w:szCs w:val="20"/>
        </w:rPr>
        <w:t xml:space="preserve">26 </w:t>
      </w:r>
    </w:p>
    <w:p w14:paraId="343688F1" w14:textId="77777777" w:rsidR="00000000" w:rsidRDefault="0053651E">
      <w:pPr>
        <w:divId w:val="121535751"/>
        <w:rPr>
          <w:rFonts w:eastAsia="Times New Roman"/>
          <w:sz w:val="20"/>
          <w:szCs w:val="20"/>
        </w:rPr>
      </w:pPr>
      <w:r>
        <w:rPr>
          <w:rFonts w:eastAsia="Times New Roman"/>
          <w:sz w:val="20"/>
          <w:szCs w:val="20"/>
        </w:rPr>
        <w:pict w14:anchorId="4AC62108">
          <v:rect id="_x0000_i1057" style="width:0;height:1.5pt" o:hralign="center" o:hrstd="t" o:hr="t" fillcolor="#a0a0a0" stroked="f"/>
        </w:pict>
      </w:r>
    </w:p>
    <w:p w14:paraId="2B306443" w14:textId="77777777" w:rsidR="00000000" w:rsidRDefault="0053651E">
      <w:pPr>
        <w:divId w:val="1215357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A832897" w14:textId="77777777" w:rsidR="00000000" w:rsidRDefault="0053651E">
      <w:pPr>
        <w:pStyle w:val="a3"/>
        <w:spacing w:before="0" w:beforeAutospacing="0" w:after="0" w:afterAutospacing="0"/>
        <w:rPr>
          <w:sz w:val="20"/>
          <w:szCs w:val="20"/>
        </w:rPr>
      </w:pPr>
      <w:r>
        <w:rPr>
          <w:sz w:val="20"/>
          <w:szCs w:val="20"/>
        </w:rPr>
        <w:t> </w:t>
      </w:r>
    </w:p>
    <w:p w14:paraId="14B92949" w14:textId="77777777" w:rsidR="00000000" w:rsidRDefault="0053651E">
      <w:pPr>
        <w:pStyle w:val="a3"/>
        <w:spacing w:before="0" w:beforeAutospacing="0" w:after="0" w:afterAutospacing="0"/>
        <w:ind w:firstLine="360"/>
        <w:jc w:val="both"/>
        <w:rPr>
          <w:sz w:val="20"/>
          <w:szCs w:val="20"/>
        </w:rPr>
      </w:pPr>
      <w:r>
        <w:rPr>
          <w:sz w:val="20"/>
          <w:szCs w:val="20"/>
        </w:rPr>
        <w:t>Investing activities during 2019 consisted primar</w:t>
      </w:r>
      <w:r>
        <w:rPr>
          <w:sz w:val="20"/>
          <w:szCs w:val="20"/>
        </w:rPr>
        <w:t>ily of:</w:t>
      </w:r>
    </w:p>
    <w:p w14:paraId="1E7195E3" w14:textId="77777777" w:rsidR="00000000" w:rsidRDefault="0053651E">
      <w:pPr>
        <w:pStyle w:val="a3"/>
        <w:spacing w:before="0" w:beforeAutospacing="0" w:after="0" w:afterAutospacing="0"/>
        <w:ind w:firstLine="360"/>
        <w:jc w:val="both"/>
        <w:rPr>
          <w:sz w:val="20"/>
          <w:szCs w:val="20"/>
        </w:rPr>
      </w:pPr>
      <w:r>
        <w:rPr>
          <w:sz w:val="20"/>
          <w:szCs w:val="20"/>
        </w:rPr>
        <w:t> </w:t>
      </w:r>
    </w:p>
    <w:p w14:paraId="068FDA11" w14:textId="77777777" w:rsidR="00000000" w:rsidRDefault="0053651E">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1A00FC" w14:textId="77777777">
        <w:trPr>
          <w:tblCellSpacing w:w="0" w:type="dxa"/>
        </w:trPr>
        <w:tc>
          <w:tcPr>
            <w:tcW w:w="720" w:type="dxa"/>
            <w:vAlign w:val="center"/>
            <w:hideMark/>
          </w:tcPr>
          <w:p w14:paraId="57AD8548" w14:textId="77777777" w:rsidR="00000000" w:rsidRDefault="0053651E">
            <w:pPr>
              <w:rPr>
                <w:rFonts w:eastAsia="Times New Roman"/>
                <w:sz w:val="20"/>
                <w:szCs w:val="20"/>
              </w:rPr>
            </w:pPr>
            <w:r>
              <w:rPr>
                <w:rFonts w:eastAsia="Times New Roman"/>
                <w:sz w:val="20"/>
                <w:szCs w:val="20"/>
              </w:rPr>
              <w:t> </w:t>
            </w:r>
          </w:p>
        </w:tc>
        <w:tc>
          <w:tcPr>
            <w:tcW w:w="360" w:type="dxa"/>
            <w:hideMark/>
          </w:tcPr>
          <w:p w14:paraId="36DF0375"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494735A" w14:textId="77777777" w:rsidR="00000000" w:rsidRDefault="0053651E">
            <w:pPr>
              <w:pStyle w:val="a3"/>
              <w:spacing w:before="0" w:beforeAutospacing="0" w:after="0" w:afterAutospacing="0"/>
              <w:jc w:val="both"/>
              <w:rPr>
                <w:sz w:val="20"/>
                <w:szCs w:val="20"/>
              </w:rPr>
            </w:pPr>
            <w:r>
              <w:rPr>
                <w:sz w:val="20"/>
                <w:szCs w:val="20"/>
              </w:rPr>
              <w:t>$324.3 million in proceeds from the sale of 20 consolidated operating properties and nine out-parcels;</w:t>
            </w:r>
          </w:p>
        </w:tc>
      </w:tr>
    </w:tbl>
    <w:p w14:paraId="76A4B3B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B90F94" w14:textId="77777777">
        <w:trPr>
          <w:tblCellSpacing w:w="0" w:type="dxa"/>
        </w:trPr>
        <w:tc>
          <w:tcPr>
            <w:tcW w:w="720" w:type="dxa"/>
            <w:vAlign w:val="center"/>
            <w:hideMark/>
          </w:tcPr>
          <w:p w14:paraId="278F4A2D" w14:textId="77777777" w:rsidR="00000000" w:rsidRDefault="0053651E">
            <w:pPr>
              <w:rPr>
                <w:rFonts w:eastAsia="Times New Roman"/>
                <w:sz w:val="20"/>
                <w:szCs w:val="20"/>
              </w:rPr>
            </w:pPr>
            <w:r>
              <w:rPr>
                <w:rFonts w:eastAsia="Times New Roman"/>
                <w:sz w:val="20"/>
                <w:szCs w:val="20"/>
              </w:rPr>
              <w:t> </w:t>
            </w:r>
          </w:p>
        </w:tc>
        <w:tc>
          <w:tcPr>
            <w:tcW w:w="360" w:type="dxa"/>
            <w:hideMark/>
          </w:tcPr>
          <w:p w14:paraId="3F1D59F8"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4114CB8" w14:textId="77777777" w:rsidR="00000000" w:rsidRDefault="0053651E">
            <w:pPr>
              <w:pStyle w:val="a3"/>
              <w:spacing w:before="0" w:beforeAutospacing="0" w:after="0" w:afterAutospacing="0"/>
              <w:jc w:val="both"/>
              <w:rPr>
                <w:sz w:val="20"/>
                <w:szCs w:val="20"/>
              </w:rPr>
            </w:pPr>
            <w:r>
              <w:rPr>
                <w:sz w:val="20"/>
                <w:szCs w:val="20"/>
              </w:rPr>
              <w:t xml:space="preserve">$27.7 million in reimbursements of investments in and advances to real estate joint ventures and reimbursements of investments in and advances to other real estate investments, primarily related to the sale of properties within the joint venture portfolio </w:t>
            </w:r>
            <w:r>
              <w:rPr>
                <w:sz w:val="20"/>
                <w:szCs w:val="20"/>
              </w:rPr>
              <w:t>and the Company's Preferred Equity Program;</w:t>
            </w:r>
          </w:p>
        </w:tc>
      </w:tr>
    </w:tbl>
    <w:p w14:paraId="0497675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BB8E68" w14:textId="77777777">
        <w:trPr>
          <w:tblCellSpacing w:w="0" w:type="dxa"/>
        </w:trPr>
        <w:tc>
          <w:tcPr>
            <w:tcW w:w="720" w:type="dxa"/>
            <w:vAlign w:val="center"/>
            <w:hideMark/>
          </w:tcPr>
          <w:p w14:paraId="3F649F38" w14:textId="77777777" w:rsidR="00000000" w:rsidRDefault="0053651E">
            <w:pPr>
              <w:rPr>
                <w:rFonts w:eastAsia="Times New Roman"/>
                <w:sz w:val="20"/>
                <w:szCs w:val="20"/>
              </w:rPr>
            </w:pPr>
            <w:r>
              <w:rPr>
                <w:rFonts w:eastAsia="Times New Roman"/>
                <w:sz w:val="20"/>
                <w:szCs w:val="20"/>
              </w:rPr>
              <w:t> </w:t>
            </w:r>
          </w:p>
        </w:tc>
        <w:tc>
          <w:tcPr>
            <w:tcW w:w="360" w:type="dxa"/>
            <w:hideMark/>
          </w:tcPr>
          <w:p w14:paraId="123CF1AD"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7103484" w14:textId="77777777" w:rsidR="00000000" w:rsidRDefault="0053651E">
            <w:pPr>
              <w:pStyle w:val="a3"/>
              <w:spacing w:before="0" w:beforeAutospacing="0" w:after="0" w:afterAutospacing="0"/>
              <w:jc w:val="both"/>
              <w:rPr>
                <w:sz w:val="20"/>
                <w:szCs w:val="20"/>
              </w:rPr>
            </w:pPr>
            <w:r>
              <w:rPr>
                <w:sz w:val="20"/>
                <w:szCs w:val="20"/>
              </w:rPr>
              <w:t>$10.4 million in collection of mortgage loans receivable;</w:t>
            </w:r>
          </w:p>
        </w:tc>
      </w:tr>
    </w:tbl>
    <w:p w14:paraId="5D531F8B"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21F42E" w14:textId="77777777">
        <w:trPr>
          <w:tblCellSpacing w:w="0" w:type="dxa"/>
        </w:trPr>
        <w:tc>
          <w:tcPr>
            <w:tcW w:w="720" w:type="dxa"/>
            <w:vAlign w:val="center"/>
            <w:hideMark/>
          </w:tcPr>
          <w:p w14:paraId="58EE09B0" w14:textId="77777777" w:rsidR="00000000" w:rsidRDefault="0053651E">
            <w:pPr>
              <w:rPr>
                <w:rFonts w:eastAsia="Times New Roman"/>
                <w:sz w:val="20"/>
                <w:szCs w:val="20"/>
              </w:rPr>
            </w:pPr>
            <w:r>
              <w:rPr>
                <w:rFonts w:eastAsia="Times New Roman"/>
                <w:sz w:val="20"/>
                <w:szCs w:val="20"/>
              </w:rPr>
              <w:t> </w:t>
            </w:r>
          </w:p>
        </w:tc>
        <w:tc>
          <w:tcPr>
            <w:tcW w:w="360" w:type="dxa"/>
            <w:hideMark/>
          </w:tcPr>
          <w:p w14:paraId="3EF677E2"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1061F5DE" w14:textId="77777777" w:rsidR="00000000" w:rsidRDefault="0053651E">
            <w:pPr>
              <w:pStyle w:val="a3"/>
              <w:spacing w:before="0" w:beforeAutospacing="0" w:after="0" w:afterAutospacing="0"/>
              <w:jc w:val="both"/>
              <w:rPr>
                <w:sz w:val="20"/>
                <w:szCs w:val="20"/>
              </w:rPr>
            </w:pPr>
            <w:r>
              <w:rPr>
                <w:sz w:val="20"/>
                <w:szCs w:val="20"/>
              </w:rPr>
              <w:t>$4.0 million in proceeds from insurance casualty claims; and</w:t>
            </w:r>
          </w:p>
        </w:tc>
      </w:tr>
    </w:tbl>
    <w:p w14:paraId="46A15AD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E25D7CE" w14:textId="77777777">
        <w:trPr>
          <w:tblCellSpacing w:w="0" w:type="dxa"/>
        </w:trPr>
        <w:tc>
          <w:tcPr>
            <w:tcW w:w="720" w:type="dxa"/>
            <w:vAlign w:val="center"/>
            <w:hideMark/>
          </w:tcPr>
          <w:p w14:paraId="37267A37" w14:textId="77777777" w:rsidR="00000000" w:rsidRDefault="0053651E">
            <w:pPr>
              <w:rPr>
                <w:rFonts w:eastAsia="Times New Roman"/>
                <w:sz w:val="20"/>
                <w:szCs w:val="20"/>
              </w:rPr>
            </w:pPr>
            <w:r>
              <w:rPr>
                <w:rFonts w:eastAsia="Times New Roman"/>
                <w:sz w:val="20"/>
                <w:szCs w:val="20"/>
              </w:rPr>
              <w:t> </w:t>
            </w:r>
          </w:p>
        </w:tc>
        <w:tc>
          <w:tcPr>
            <w:tcW w:w="360" w:type="dxa"/>
            <w:hideMark/>
          </w:tcPr>
          <w:p w14:paraId="5A2B6BD7"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ED50B78" w14:textId="77777777" w:rsidR="00000000" w:rsidRDefault="0053651E">
            <w:pPr>
              <w:pStyle w:val="a3"/>
              <w:spacing w:before="0" w:beforeAutospacing="0" w:after="0" w:afterAutospacing="0"/>
              <w:jc w:val="both"/>
              <w:rPr>
                <w:sz w:val="20"/>
                <w:szCs w:val="20"/>
              </w:rPr>
            </w:pPr>
            <w:r>
              <w:rPr>
                <w:sz w:val="20"/>
                <w:szCs w:val="20"/>
              </w:rPr>
              <w:t>$2.0 million in proceeds from sale/repayments of marketable securities.</w:t>
            </w:r>
          </w:p>
        </w:tc>
      </w:tr>
    </w:tbl>
    <w:p w14:paraId="6CD4D22D" w14:textId="77777777" w:rsidR="00000000" w:rsidRDefault="0053651E">
      <w:pPr>
        <w:pStyle w:val="a3"/>
        <w:spacing w:before="0" w:beforeAutospacing="0" w:after="0" w:afterAutospacing="0"/>
        <w:ind w:firstLine="540"/>
        <w:jc w:val="both"/>
        <w:rPr>
          <w:sz w:val="20"/>
          <w:szCs w:val="20"/>
        </w:rPr>
      </w:pPr>
      <w:r>
        <w:rPr>
          <w:i/>
          <w:iCs/>
          <w:sz w:val="20"/>
          <w:szCs w:val="20"/>
        </w:rPr>
        <w:t> </w:t>
      </w:r>
    </w:p>
    <w:p w14:paraId="3B8FE81B" w14:textId="77777777" w:rsidR="00000000" w:rsidRDefault="0053651E">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5085E72" w14:textId="77777777">
        <w:trPr>
          <w:tblCellSpacing w:w="0" w:type="dxa"/>
        </w:trPr>
        <w:tc>
          <w:tcPr>
            <w:tcW w:w="720" w:type="dxa"/>
            <w:vAlign w:val="center"/>
            <w:hideMark/>
          </w:tcPr>
          <w:p w14:paraId="1AC8330C" w14:textId="77777777" w:rsidR="00000000" w:rsidRDefault="0053651E">
            <w:pPr>
              <w:rPr>
                <w:rFonts w:eastAsia="Times New Roman"/>
                <w:sz w:val="20"/>
                <w:szCs w:val="20"/>
              </w:rPr>
            </w:pPr>
            <w:r>
              <w:rPr>
                <w:rFonts w:eastAsia="Times New Roman"/>
                <w:sz w:val="20"/>
                <w:szCs w:val="20"/>
              </w:rPr>
              <w:t> </w:t>
            </w:r>
          </w:p>
        </w:tc>
        <w:tc>
          <w:tcPr>
            <w:tcW w:w="360" w:type="dxa"/>
            <w:hideMark/>
          </w:tcPr>
          <w:p w14:paraId="0D5B01AB"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75BBA56" w14:textId="77777777" w:rsidR="00000000" w:rsidRDefault="0053651E">
            <w:pPr>
              <w:pStyle w:val="a3"/>
              <w:spacing w:before="0" w:beforeAutospacing="0" w:after="0" w:afterAutospacing="0"/>
              <w:jc w:val="both"/>
              <w:rPr>
                <w:sz w:val="20"/>
                <w:szCs w:val="20"/>
              </w:rPr>
            </w:pPr>
            <w:r>
              <w:rPr>
                <w:sz w:val="20"/>
                <w:szCs w:val="20"/>
              </w:rPr>
              <w:t>$443.7 million for improvements to operating real estate primarily related to the Company’s active redevelopment pipeline and improvements to real estate under de</w:t>
            </w:r>
            <w:r>
              <w:rPr>
                <w:sz w:val="20"/>
                <w:szCs w:val="20"/>
              </w:rPr>
              <w:t>velopment; and</w:t>
            </w:r>
          </w:p>
        </w:tc>
      </w:tr>
    </w:tbl>
    <w:p w14:paraId="7D1BEFC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BD6FF0C" w14:textId="77777777">
        <w:trPr>
          <w:tblCellSpacing w:w="0" w:type="dxa"/>
        </w:trPr>
        <w:tc>
          <w:tcPr>
            <w:tcW w:w="720" w:type="dxa"/>
            <w:vAlign w:val="center"/>
            <w:hideMark/>
          </w:tcPr>
          <w:p w14:paraId="33CAF0F3" w14:textId="77777777" w:rsidR="00000000" w:rsidRDefault="0053651E">
            <w:pPr>
              <w:rPr>
                <w:rFonts w:eastAsia="Times New Roman"/>
                <w:sz w:val="20"/>
                <w:szCs w:val="20"/>
              </w:rPr>
            </w:pPr>
            <w:r>
              <w:rPr>
                <w:rFonts w:eastAsia="Times New Roman"/>
                <w:sz w:val="20"/>
                <w:szCs w:val="20"/>
              </w:rPr>
              <w:t> </w:t>
            </w:r>
          </w:p>
        </w:tc>
        <w:tc>
          <w:tcPr>
            <w:tcW w:w="360" w:type="dxa"/>
            <w:hideMark/>
          </w:tcPr>
          <w:p w14:paraId="0B8A68BB"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7E0883A" w14:textId="77777777" w:rsidR="00000000" w:rsidRDefault="0053651E">
            <w:pPr>
              <w:pStyle w:val="a3"/>
              <w:spacing w:before="0" w:beforeAutospacing="0" w:after="0" w:afterAutospacing="0"/>
              <w:jc w:val="both"/>
              <w:rPr>
                <w:sz w:val="20"/>
                <w:szCs w:val="20"/>
              </w:rPr>
            </w:pPr>
            <w:r>
              <w:rPr>
                <w:sz w:val="20"/>
                <w:szCs w:val="20"/>
              </w:rPr>
              <w:t>$40.5 million for investments in and advances to real estate joint ventures, primarily related to a redevelopment project within the Company’s joint venture portfolio, and investments in other real estate investments, primarily related</w:t>
            </w:r>
            <w:r>
              <w:rPr>
                <w:sz w:val="20"/>
                <w:szCs w:val="20"/>
              </w:rPr>
              <w:t xml:space="preserve"> to repayment of a mortgage within the Company’s Preferred Equity Program.</w:t>
            </w:r>
          </w:p>
        </w:tc>
      </w:tr>
    </w:tbl>
    <w:p w14:paraId="6203515D" w14:textId="77777777" w:rsidR="00000000" w:rsidRDefault="0053651E">
      <w:pPr>
        <w:pStyle w:val="a3"/>
        <w:spacing w:before="0" w:beforeAutospacing="0" w:after="0" w:afterAutospacing="0"/>
        <w:ind w:left="720"/>
        <w:jc w:val="both"/>
        <w:rPr>
          <w:sz w:val="20"/>
          <w:szCs w:val="20"/>
        </w:rPr>
      </w:pPr>
      <w:r>
        <w:rPr>
          <w:sz w:val="20"/>
          <w:szCs w:val="20"/>
        </w:rPr>
        <w:t> </w:t>
      </w:r>
    </w:p>
    <w:p w14:paraId="34554D1B" w14:textId="77777777" w:rsidR="00000000" w:rsidRDefault="0053651E">
      <w:pPr>
        <w:pStyle w:val="a3"/>
        <w:spacing w:before="0" w:beforeAutospacing="0" w:after="0" w:afterAutospacing="0"/>
        <w:ind w:firstLine="360"/>
        <w:jc w:val="both"/>
        <w:rPr>
          <w:sz w:val="20"/>
          <w:szCs w:val="20"/>
        </w:rPr>
      </w:pPr>
      <w:r>
        <w:rPr>
          <w:sz w:val="20"/>
          <w:szCs w:val="20"/>
        </w:rPr>
        <w:t>Investing activities during 2018 consisted primarily of:</w:t>
      </w:r>
    </w:p>
    <w:p w14:paraId="477BC300" w14:textId="77777777" w:rsidR="00000000" w:rsidRDefault="0053651E">
      <w:pPr>
        <w:pStyle w:val="a3"/>
        <w:spacing w:before="0" w:beforeAutospacing="0" w:after="0" w:afterAutospacing="0"/>
        <w:ind w:firstLine="360"/>
        <w:jc w:val="both"/>
        <w:rPr>
          <w:sz w:val="20"/>
          <w:szCs w:val="20"/>
        </w:rPr>
      </w:pPr>
      <w:r>
        <w:rPr>
          <w:sz w:val="20"/>
          <w:szCs w:val="20"/>
        </w:rPr>
        <w:t> </w:t>
      </w:r>
    </w:p>
    <w:p w14:paraId="71F4A7B2" w14:textId="77777777" w:rsidR="00000000" w:rsidRDefault="0053651E">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F88C36" w14:textId="77777777">
        <w:trPr>
          <w:tblCellSpacing w:w="0" w:type="dxa"/>
        </w:trPr>
        <w:tc>
          <w:tcPr>
            <w:tcW w:w="720" w:type="dxa"/>
            <w:vAlign w:val="center"/>
            <w:hideMark/>
          </w:tcPr>
          <w:p w14:paraId="51D2498E" w14:textId="77777777" w:rsidR="00000000" w:rsidRDefault="0053651E">
            <w:pPr>
              <w:rPr>
                <w:rFonts w:eastAsia="Times New Roman"/>
                <w:sz w:val="20"/>
                <w:szCs w:val="20"/>
              </w:rPr>
            </w:pPr>
            <w:r>
              <w:rPr>
                <w:rFonts w:eastAsia="Times New Roman"/>
                <w:sz w:val="20"/>
                <w:szCs w:val="20"/>
              </w:rPr>
              <w:t> </w:t>
            </w:r>
          </w:p>
        </w:tc>
        <w:tc>
          <w:tcPr>
            <w:tcW w:w="360" w:type="dxa"/>
            <w:hideMark/>
          </w:tcPr>
          <w:p w14:paraId="0B5CAA06"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CF36F0F" w14:textId="77777777" w:rsidR="00000000" w:rsidRDefault="0053651E">
            <w:pPr>
              <w:pStyle w:val="a3"/>
              <w:spacing w:before="0" w:beforeAutospacing="0" w:after="0" w:afterAutospacing="0"/>
              <w:jc w:val="both"/>
              <w:rPr>
                <w:sz w:val="20"/>
                <w:szCs w:val="20"/>
              </w:rPr>
            </w:pPr>
            <w:r>
              <w:rPr>
                <w:sz w:val="20"/>
                <w:szCs w:val="20"/>
              </w:rPr>
              <w:t>$754.7 million in proceeds from the sale of 54 operating properties (including the deconsolidation of one property), seven out-parcels and 10 land parcels;</w:t>
            </w:r>
          </w:p>
        </w:tc>
      </w:tr>
    </w:tbl>
    <w:p w14:paraId="5727AD8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4F6BB07" w14:textId="77777777">
        <w:trPr>
          <w:tblCellSpacing w:w="0" w:type="dxa"/>
        </w:trPr>
        <w:tc>
          <w:tcPr>
            <w:tcW w:w="720" w:type="dxa"/>
            <w:vAlign w:val="center"/>
            <w:hideMark/>
          </w:tcPr>
          <w:p w14:paraId="28394A45" w14:textId="77777777" w:rsidR="00000000" w:rsidRDefault="0053651E">
            <w:pPr>
              <w:rPr>
                <w:rFonts w:eastAsia="Times New Roman"/>
                <w:sz w:val="20"/>
                <w:szCs w:val="20"/>
              </w:rPr>
            </w:pPr>
            <w:r>
              <w:rPr>
                <w:rFonts w:eastAsia="Times New Roman"/>
                <w:sz w:val="20"/>
                <w:szCs w:val="20"/>
              </w:rPr>
              <w:t> </w:t>
            </w:r>
          </w:p>
        </w:tc>
        <w:tc>
          <w:tcPr>
            <w:tcW w:w="360" w:type="dxa"/>
            <w:hideMark/>
          </w:tcPr>
          <w:p w14:paraId="38E3095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8E93081" w14:textId="77777777" w:rsidR="00000000" w:rsidRDefault="0053651E">
            <w:pPr>
              <w:pStyle w:val="a3"/>
              <w:spacing w:before="0" w:beforeAutospacing="0" w:after="0" w:afterAutospacing="0"/>
              <w:jc w:val="both"/>
              <w:rPr>
                <w:sz w:val="20"/>
                <w:szCs w:val="20"/>
              </w:rPr>
            </w:pPr>
            <w:r>
              <w:rPr>
                <w:sz w:val="20"/>
                <w:szCs w:val="20"/>
              </w:rPr>
              <w:t xml:space="preserve">$34.0 million in reimbursements of investments and advances to real estate joint ventures and </w:t>
            </w:r>
            <w:r>
              <w:rPr>
                <w:sz w:val="20"/>
                <w:szCs w:val="20"/>
              </w:rPr>
              <w:t>reimbursements of investments and advances to other real estate investments, primarily related to disposition of properties and loan refinancing within the joint venture portfolio and the Company’s Preferred Equity Program;</w:t>
            </w:r>
          </w:p>
        </w:tc>
      </w:tr>
    </w:tbl>
    <w:p w14:paraId="2871C04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230B3A6" w14:textId="77777777">
        <w:trPr>
          <w:tblCellSpacing w:w="0" w:type="dxa"/>
        </w:trPr>
        <w:tc>
          <w:tcPr>
            <w:tcW w:w="720" w:type="dxa"/>
            <w:vAlign w:val="center"/>
            <w:hideMark/>
          </w:tcPr>
          <w:p w14:paraId="2EE946BF" w14:textId="77777777" w:rsidR="00000000" w:rsidRDefault="0053651E">
            <w:pPr>
              <w:rPr>
                <w:rFonts w:eastAsia="Times New Roman"/>
                <w:sz w:val="20"/>
                <w:szCs w:val="20"/>
              </w:rPr>
            </w:pPr>
            <w:r>
              <w:rPr>
                <w:rFonts w:eastAsia="Times New Roman"/>
                <w:sz w:val="20"/>
                <w:szCs w:val="20"/>
              </w:rPr>
              <w:t> </w:t>
            </w:r>
          </w:p>
        </w:tc>
        <w:tc>
          <w:tcPr>
            <w:tcW w:w="360" w:type="dxa"/>
            <w:hideMark/>
          </w:tcPr>
          <w:p w14:paraId="464BCBA7"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4D09D55" w14:textId="77777777" w:rsidR="00000000" w:rsidRDefault="0053651E">
            <w:pPr>
              <w:pStyle w:val="a3"/>
              <w:spacing w:before="0" w:beforeAutospacing="0" w:after="0" w:afterAutospacing="0"/>
              <w:jc w:val="both"/>
              <w:rPr>
                <w:sz w:val="20"/>
                <w:szCs w:val="20"/>
              </w:rPr>
            </w:pPr>
            <w:r>
              <w:rPr>
                <w:sz w:val="20"/>
                <w:szCs w:val="20"/>
              </w:rPr>
              <w:t>$22.3 million in collectio</w:t>
            </w:r>
            <w:r>
              <w:rPr>
                <w:sz w:val="20"/>
                <w:szCs w:val="20"/>
              </w:rPr>
              <w:t>n of mortgage loans receivable; and</w:t>
            </w:r>
          </w:p>
        </w:tc>
      </w:tr>
    </w:tbl>
    <w:p w14:paraId="1168C51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B023748" w14:textId="77777777">
        <w:trPr>
          <w:tblCellSpacing w:w="0" w:type="dxa"/>
        </w:trPr>
        <w:tc>
          <w:tcPr>
            <w:tcW w:w="720" w:type="dxa"/>
            <w:vAlign w:val="center"/>
            <w:hideMark/>
          </w:tcPr>
          <w:p w14:paraId="7B5ED341" w14:textId="77777777" w:rsidR="00000000" w:rsidRDefault="0053651E">
            <w:pPr>
              <w:rPr>
                <w:rFonts w:eastAsia="Times New Roman"/>
                <w:sz w:val="20"/>
                <w:szCs w:val="20"/>
              </w:rPr>
            </w:pPr>
            <w:r>
              <w:rPr>
                <w:rFonts w:eastAsia="Times New Roman"/>
                <w:sz w:val="20"/>
                <w:szCs w:val="20"/>
              </w:rPr>
              <w:t> </w:t>
            </w:r>
          </w:p>
        </w:tc>
        <w:tc>
          <w:tcPr>
            <w:tcW w:w="360" w:type="dxa"/>
            <w:hideMark/>
          </w:tcPr>
          <w:p w14:paraId="7FDB702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0698439" w14:textId="77777777" w:rsidR="00000000" w:rsidRDefault="0053651E">
            <w:pPr>
              <w:pStyle w:val="a3"/>
              <w:spacing w:before="0" w:beforeAutospacing="0" w:after="0" w:afterAutospacing="0"/>
              <w:jc w:val="both"/>
              <w:rPr>
                <w:sz w:val="20"/>
                <w:szCs w:val="20"/>
              </w:rPr>
            </w:pPr>
            <w:r>
              <w:rPr>
                <w:sz w:val="20"/>
                <w:szCs w:val="20"/>
              </w:rPr>
              <w:t>$16.2 million in proceeds from insurance casualty claims in connection with Hurricane Maria which damaged several of the Company’s properties in Puerto Rico during 2017.</w:t>
            </w:r>
          </w:p>
        </w:tc>
      </w:tr>
    </w:tbl>
    <w:p w14:paraId="6F0F7DF3" w14:textId="77777777" w:rsidR="00000000" w:rsidRDefault="0053651E">
      <w:pPr>
        <w:pStyle w:val="a3"/>
        <w:spacing w:before="0" w:beforeAutospacing="0" w:after="0" w:afterAutospacing="0"/>
        <w:jc w:val="both"/>
        <w:rPr>
          <w:sz w:val="20"/>
          <w:szCs w:val="20"/>
        </w:rPr>
      </w:pPr>
      <w:r>
        <w:rPr>
          <w:sz w:val="20"/>
          <w:szCs w:val="20"/>
        </w:rPr>
        <w:t> </w:t>
      </w:r>
    </w:p>
    <w:p w14:paraId="405FC757" w14:textId="77777777" w:rsidR="00000000" w:rsidRDefault="0053651E">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30A798B" w14:textId="77777777">
        <w:trPr>
          <w:tblCellSpacing w:w="0" w:type="dxa"/>
        </w:trPr>
        <w:tc>
          <w:tcPr>
            <w:tcW w:w="720" w:type="dxa"/>
            <w:vAlign w:val="center"/>
            <w:hideMark/>
          </w:tcPr>
          <w:p w14:paraId="356F3C62" w14:textId="77777777" w:rsidR="00000000" w:rsidRDefault="0053651E">
            <w:pPr>
              <w:rPr>
                <w:rFonts w:eastAsia="Times New Roman"/>
                <w:sz w:val="20"/>
                <w:szCs w:val="20"/>
              </w:rPr>
            </w:pPr>
            <w:r>
              <w:rPr>
                <w:rFonts w:eastAsia="Times New Roman"/>
                <w:sz w:val="20"/>
                <w:szCs w:val="20"/>
              </w:rPr>
              <w:t> </w:t>
            </w:r>
          </w:p>
        </w:tc>
        <w:tc>
          <w:tcPr>
            <w:tcW w:w="360" w:type="dxa"/>
            <w:hideMark/>
          </w:tcPr>
          <w:p w14:paraId="076C450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FA11E0B" w14:textId="77777777" w:rsidR="00000000" w:rsidRDefault="0053651E">
            <w:pPr>
              <w:pStyle w:val="a3"/>
              <w:spacing w:before="0" w:beforeAutospacing="0" w:after="0" w:afterAutospacing="0"/>
              <w:jc w:val="both"/>
              <w:rPr>
                <w:sz w:val="20"/>
                <w:szCs w:val="20"/>
              </w:rPr>
            </w:pPr>
            <w:r>
              <w:rPr>
                <w:sz w:val="20"/>
                <w:szCs w:val="20"/>
              </w:rPr>
              <w:t>$526.9 million for improvements to operating real estate related to the Company’s active redevelopment pipeline and improvements to real estate under development;</w:t>
            </w:r>
          </w:p>
        </w:tc>
      </w:tr>
    </w:tbl>
    <w:p w14:paraId="03E59268"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F482083" w14:textId="77777777">
        <w:trPr>
          <w:tblCellSpacing w:w="0" w:type="dxa"/>
        </w:trPr>
        <w:tc>
          <w:tcPr>
            <w:tcW w:w="720" w:type="dxa"/>
            <w:vAlign w:val="center"/>
            <w:hideMark/>
          </w:tcPr>
          <w:p w14:paraId="192E4925" w14:textId="77777777" w:rsidR="00000000" w:rsidRDefault="0053651E">
            <w:pPr>
              <w:rPr>
                <w:rFonts w:eastAsia="Times New Roman"/>
                <w:sz w:val="20"/>
                <w:szCs w:val="20"/>
              </w:rPr>
            </w:pPr>
            <w:r>
              <w:rPr>
                <w:rFonts w:eastAsia="Times New Roman"/>
                <w:sz w:val="20"/>
                <w:szCs w:val="20"/>
              </w:rPr>
              <w:t> </w:t>
            </w:r>
          </w:p>
        </w:tc>
        <w:tc>
          <w:tcPr>
            <w:tcW w:w="360" w:type="dxa"/>
            <w:hideMark/>
          </w:tcPr>
          <w:p w14:paraId="1FB8CE1C"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FC7CE75" w14:textId="77777777" w:rsidR="00000000" w:rsidRDefault="0053651E">
            <w:pPr>
              <w:pStyle w:val="a3"/>
              <w:spacing w:before="0" w:beforeAutospacing="0" w:after="0" w:afterAutospacing="0"/>
              <w:jc w:val="both"/>
              <w:rPr>
                <w:sz w:val="20"/>
                <w:szCs w:val="20"/>
              </w:rPr>
            </w:pPr>
            <w:r>
              <w:rPr>
                <w:sz w:val="20"/>
                <w:szCs w:val="20"/>
              </w:rPr>
              <w:t xml:space="preserve">$36.1 million for investments in and advances to real estate joint ventures, primarily </w:t>
            </w:r>
            <w:r>
              <w:rPr>
                <w:sz w:val="20"/>
                <w:szCs w:val="20"/>
              </w:rPr>
              <w:t>related to a redevelopment project within the Company’s joint venture portfolio; and</w:t>
            </w:r>
          </w:p>
        </w:tc>
      </w:tr>
    </w:tbl>
    <w:p w14:paraId="0D1442C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161A239" w14:textId="77777777">
        <w:trPr>
          <w:tblCellSpacing w:w="0" w:type="dxa"/>
        </w:trPr>
        <w:tc>
          <w:tcPr>
            <w:tcW w:w="720" w:type="dxa"/>
            <w:vAlign w:val="center"/>
            <w:hideMark/>
          </w:tcPr>
          <w:p w14:paraId="5D5238BC" w14:textId="77777777" w:rsidR="00000000" w:rsidRDefault="0053651E">
            <w:pPr>
              <w:rPr>
                <w:rFonts w:eastAsia="Times New Roman"/>
                <w:sz w:val="20"/>
                <w:szCs w:val="20"/>
              </w:rPr>
            </w:pPr>
            <w:r>
              <w:rPr>
                <w:rFonts w:eastAsia="Times New Roman"/>
                <w:sz w:val="20"/>
                <w:szCs w:val="20"/>
              </w:rPr>
              <w:t> </w:t>
            </w:r>
          </w:p>
        </w:tc>
        <w:tc>
          <w:tcPr>
            <w:tcW w:w="360" w:type="dxa"/>
            <w:hideMark/>
          </w:tcPr>
          <w:p w14:paraId="365774D7"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42A2F33" w14:textId="77777777" w:rsidR="00000000" w:rsidRDefault="0053651E">
            <w:pPr>
              <w:pStyle w:val="a3"/>
              <w:spacing w:before="0" w:beforeAutospacing="0" w:after="0" w:afterAutospacing="0"/>
              <w:jc w:val="both"/>
              <w:rPr>
                <w:sz w:val="20"/>
                <w:szCs w:val="20"/>
              </w:rPr>
            </w:pPr>
            <w:r>
              <w:rPr>
                <w:sz w:val="20"/>
                <w:szCs w:val="20"/>
              </w:rPr>
              <w:t>$10.0 million for acquisition of operating real estate and other related net assets, including two land parcels, and the acquisition of a land parcel at one developm</w:t>
            </w:r>
            <w:r>
              <w:rPr>
                <w:sz w:val="20"/>
                <w:szCs w:val="20"/>
              </w:rPr>
              <w:t>ent project.</w:t>
            </w:r>
          </w:p>
        </w:tc>
      </w:tr>
    </w:tbl>
    <w:p w14:paraId="499957B9" w14:textId="77777777" w:rsidR="00000000" w:rsidRDefault="0053651E">
      <w:pPr>
        <w:pStyle w:val="a3"/>
        <w:spacing w:before="0" w:beforeAutospacing="0" w:after="0" w:afterAutospacing="0"/>
        <w:jc w:val="both"/>
        <w:rPr>
          <w:sz w:val="20"/>
          <w:szCs w:val="20"/>
        </w:rPr>
      </w:pPr>
      <w:r>
        <w:rPr>
          <w:i/>
          <w:iCs/>
          <w:sz w:val="20"/>
          <w:szCs w:val="20"/>
        </w:rPr>
        <w:t> </w:t>
      </w:r>
    </w:p>
    <w:p w14:paraId="1AC72728" w14:textId="77777777" w:rsidR="00000000" w:rsidRDefault="0053651E">
      <w:pPr>
        <w:pStyle w:val="a3"/>
        <w:spacing w:before="0" w:beforeAutospacing="0" w:after="0" w:afterAutospacing="0"/>
        <w:ind w:firstLine="360"/>
        <w:jc w:val="both"/>
        <w:rPr>
          <w:sz w:val="20"/>
          <w:szCs w:val="20"/>
        </w:rPr>
      </w:pPr>
      <w:r>
        <w:rPr>
          <w:i/>
          <w:iCs/>
          <w:sz w:val="20"/>
          <w:szCs w:val="20"/>
        </w:rPr>
        <w:t>Acquisitions of Operating Real Estate and Other Related Net Assets</w:t>
      </w:r>
    </w:p>
    <w:p w14:paraId="6535DFED" w14:textId="77777777" w:rsidR="00000000" w:rsidRDefault="0053651E">
      <w:pPr>
        <w:pStyle w:val="a3"/>
        <w:spacing w:before="0" w:beforeAutospacing="0" w:after="0" w:afterAutospacing="0"/>
        <w:jc w:val="both"/>
        <w:rPr>
          <w:sz w:val="20"/>
          <w:szCs w:val="20"/>
        </w:rPr>
      </w:pPr>
      <w:r>
        <w:rPr>
          <w:i/>
          <w:iCs/>
          <w:sz w:val="20"/>
          <w:szCs w:val="20"/>
        </w:rPr>
        <w:t> </w:t>
      </w:r>
    </w:p>
    <w:p w14:paraId="5EDC825A" w14:textId="77777777" w:rsidR="00000000" w:rsidRDefault="0053651E">
      <w:pPr>
        <w:pStyle w:val="a3"/>
        <w:spacing w:before="0" w:beforeAutospacing="0" w:after="0" w:afterAutospacing="0"/>
        <w:ind w:firstLine="360"/>
        <w:jc w:val="both"/>
        <w:rPr>
          <w:sz w:val="20"/>
          <w:szCs w:val="20"/>
        </w:rPr>
      </w:pPr>
      <w:r>
        <w:rPr>
          <w:sz w:val="20"/>
          <w:szCs w:val="20"/>
        </w:rPr>
        <w:t>During the years ended December 31, 2019 and 2018, the Company expended $2.0 million and $5.4 million, respectively, (net of Internal Revenue Code 26 U.S.C. §1031 proceeds) towards the acquisition of operating real estate properties. The Company anticipate</w:t>
      </w:r>
      <w:r>
        <w:rPr>
          <w:sz w:val="20"/>
          <w:szCs w:val="20"/>
        </w:rPr>
        <w:t>s spending approximately $100.0 million to $200.0 million towards the acquisition of operating properties during 2020. The Company intends to fund these acquisitions with cash flow from operating activities, proceeds from property dispositions and availabi</w:t>
      </w:r>
      <w:r>
        <w:rPr>
          <w:sz w:val="20"/>
          <w:szCs w:val="20"/>
        </w:rPr>
        <w:t>lity under its Credit Facility.</w:t>
      </w:r>
    </w:p>
    <w:p w14:paraId="4C81AF2E" w14:textId="77777777" w:rsidR="00000000" w:rsidRDefault="0053651E">
      <w:pPr>
        <w:pStyle w:val="a3"/>
        <w:spacing w:before="0" w:beforeAutospacing="0" w:after="0" w:afterAutospacing="0"/>
        <w:jc w:val="both"/>
        <w:rPr>
          <w:sz w:val="20"/>
          <w:szCs w:val="20"/>
        </w:rPr>
      </w:pPr>
      <w:r>
        <w:rPr>
          <w:i/>
          <w:iCs/>
          <w:sz w:val="20"/>
          <w:szCs w:val="20"/>
        </w:rPr>
        <w:t> </w:t>
      </w:r>
    </w:p>
    <w:p w14:paraId="262A548D" w14:textId="77777777" w:rsidR="00000000" w:rsidRDefault="0053651E">
      <w:pPr>
        <w:pStyle w:val="a3"/>
        <w:spacing w:before="0" w:beforeAutospacing="0" w:after="0" w:afterAutospacing="0"/>
        <w:ind w:firstLine="360"/>
        <w:jc w:val="both"/>
        <w:rPr>
          <w:sz w:val="20"/>
          <w:szCs w:val="20"/>
        </w:rPr>
      </w:pPr>
      <w:r>
        <w:rPr>
          <w:i/>
          <w:iCs/>
          <w:sz w:val="20"/>
          <w:szCs w:val="20"/>
        </w:rPr>
        <w:t>Improvements to Operating Real Estate</w:t>
      </w:r>
    </w:p>
    <w:p w14:paraId="40FA5AB9" w14:textId="77777777" w:rsidR="00000000" w:rsidRDefault="0053651E">
      <w:pPr>
        <w:pStyle w:val="a3"/>
        <w:spacing w:before="0" w:beforeAutospacing="0" w:after="0" w:afterAutospacing="0"/>
        <w:ind w:firstLine="360"/>
        <w:jc w:val="both"/>
        <w:rPr>
          <w:sz w:val="20"/>
          <w:szCs w:val="20"/>
        </w:rPr>
      </w:pPr>
      <w:r>
        <w:rPr>
          <w:sz w:val="20"/>
          <w:szCs w:val="20"/>
        </w:rPr>
        <w:t> </w:t>
      </w:r>
    </w:p>
    <w:p w14:paraId="5F773935" w14:textId="77777777" w:rsidR="00000000" w:rsidRDefault="0053651E">
      <w:pPr>
        <w:pStyle w:val="a3"/>
        <w:spacing w:before="0" w:beforeAutospacing="0" w:after="0" w:afterAutospacing="0"/>
        <w:ind w:firstLine="360"/>
        <w:jc w:val="both"/>
        <w:rPr>
          <w:sz w:val="20"/>
          <w:szCs w:val="20"/>
        </w:rPr>
      </w:pPr>
      <w:r>
        <w:rPr>
          <w:sz w:val="20"/>
          <w:szCs w:val="20"/>
        </w:rPr>
        <w:t xml:space="preserve">During the years ended December 31, 2019 and 2018, the Company expended $324.8 million and $290.9 million, respectively, towards improvements to operating real estate. These amounts </w:t>
      </w:r>
      <w:r>
        <w:rPr>
          <w:sz w:val="20"/>
          <w:szCs w:val="20"/>
        </w:rPr>
        <w:t>consist of the following (in thousands):</w:t>
      </w:r>
    </w:p>
    <w:p w14:paraId="7BDA8376"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624C3E37" w14:textId="77777777">
        <w:trPr>
          <w:tblCellSpacing w:w="0" w:type="dxa"/>
        </w:trPr>
        <w:tc>
          <w:tcPr>
            <w:tcW w:w="0" w:type="auto"/>
            <w:vAlign w:val="bottom"/>
            <w:hideMark/>
          </w:tcPr>
          <w:p w14:paraId="08F2449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13D74DF"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DB97511"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0ECCCFCA" w14:textId="77777777" w:rsidR="00000000" w:rsidRDefault="0053651E">
            <w:pPr>
              <w:rPr>
                <w:rFonts w:eastAsia="Times New Roman"/>
                <w:sz w:val="20"/>
                <w:szCs w:val="20"/>
              </w:rPr>
            </w:pPr>
            <w:r>
              <w:rPr>
                <w:rFonts w:eastAsia="Times New Roman"/>
                <w:sz w:val="20"/>
                <w:szCs w:val="20"/>
              </w:rPr>
              <w:t> </w:t>
            </w:r>
          </w:p>
        </w:tc>
      </w:tr>
      <w:tr w:rsidR="00000000" w14:paraId="3957E641" w14:textId="77777777">
        <w:trPr>
          <w:tblCellSpacing w:w="0" w:type="dxa"/>
        </w:trPr>
        <w:tc>
          <w:tcPr>
            <w:tcW w:w="0" w:type="auto"/>
            <w:vAlign w:val="bottom"/>
            <w:hideMark/>
          </w:tcPr>
          <w:p w14:paraId="21FBA8E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E8BBFD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24AB893"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797BEB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37C27C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D0DF693"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BB9289C" w14:textId="77777777" w:rsidR="00000000" w:rsidRDefault="0053651E">
            <w:pPr>
              <w:rPr>
                <w:rFonts w:eastAsia="Times New Roman"/>
                <w:sz w:val="20"/>
                <w:szCs w:val="20"/>
              </w:rPr>
            </w:pPr>
            <w:r>
              <w:rPr>
                <w:rFonts w:eastAsia="Times New Roman"/>
                <w:sz w:val="20"/>
                <w:szCs w:val="20"/>
              </w:rPr>
              <w:t> </w:t>
            </w:r>
          </w:p>
        </w:tc>
      </w:tr>
      <w:tr w:rsidR="00000000" w14:paraId="797974DC" w14:textId="77777777">
        <w:trPr>
          <w:tblCellSpacing w:w="0" w:type="dxa"/>
        </w:trPr>
        <w:tc>
          <w:tcPr>
            <w:tcW w:w="3100" w:type="pct"/>
            <w:shd w:val="clear" w:color="auto" w:fill="CCEEFF"/>
            <w:vAlign w:val="bottom"/>
            <w:hideMark/>
          </w:tcPr>
          <w:p w14:paraId="7C290F92" w14:textId="77777777" w:rsidR="00000000" w:rsidRDefault="0053651E">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14:paraId="4E474A9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004D108" w14:textId="77777777" w:rsidR="00000000" w:rsidRDefault="0053651E">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73D3DB65" w14:textId="77777777" w:rsidR="00000000" w:rsidRDefault="0053651E">
            <w:pPr>
              <w:jc w:val="right"/>
              <w:rPr>
                <w:rFonts w:eastAsia="Times New Roman"/>
                <w:sz w:val="20"/>
                <w:szCs w:val="20"/>
              </w:rPr>
            </w:pPr>
            <w:r>
              <w:rPr>
                <w:rFonts w:eastAsia="Times New Roman"/>
                <w:sz w:val="20"/>
                <w:szCs w:val="20"/>
              </w:rPr>
              <w:t>265,954</w:t>
            </w:r>
          </w:p>
        </w:tc>
        <w:tc>
          <w:tcPr>
            <w:tcW w:w="50" w:type="pct"/>
            <w:tcBorders>
              <w:bottom w:val="nil"/>
            </w:tcBorders>
            <w:shd w:val="clear" w:color="auto" w:fill="CCEEFF"/>
            <w:vAlign w:val="bottom"/>
            <w:hideMark/>
          </w:tcPr>
          <w:p w14:paraId="2194BA7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1C1213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9235215" w14:textId="77777777" w:rsidR="00000000" w:rsidRDefault="0053651E">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6B10BE14" w14:textId="77777777" w:rsidR="00000000" w:rsidRDefault="0053651E">
            <w:pPr>
              <w:jc w:val="right"/>
              <w:rPr>
                <w:rFonts w:eastAsia="Times New Roman"/>
                <w:sz w:val="20"/>
                <w:szCs w:val="20"/>
              </w:rPr>
            </w:pPr>
            <w:r>
              <w:rPr>
                <w:rFonts w:eastAsia="Times New Roman"/>
                <w:sz w:val="20"/>
                <w:szCs w:val="20"/>
              </w:rPr>
              <w:t>220,829</w:t>
            </w:r>
          </w:p>
        </w:tc>
        <w:tc>
          <w:tcPr>
            <w:tcW w:w="50" w:type="pct"/>
            <w:tcBorders>
              <w:bottom w:val="nil"/>
            </w:tcBorders>
            <w:shd w:val="clear" w:color="auto" w:fill="CCEEFF"/>
            <w:vAlign w:val="bottom"/>
            <w:hideMark/>
          </w:tcPr>
          <w:p w14:paraId="7C58E5EB" w14:textId="77777777" w:rsidR="00000000" w:rsidRDefault="0053651E">
            <w:pPr>
              <w:rPr>
                <w:rFonts w:eastAsia="Times New Roman"/>
                <w:sz w:val="20"/>
                <w:szCs w:val="20"/>
              </w:rPr>
            </w:pPr>
            <w:r>
              <w:rPr>
                <w:rFonts w:eastAsia="Times New Roman"/>
                <w:sz w:val="20"/>
                <w:szCs w:val="20"/>
              </w:rPr>
              <w:t> </w:t>
            </w:r>
          </w:p>
        </w:tc>
      </w:tr>
      <w:tr w:rsidR="00000000" w14:paraId="731B4F47" w14:textId="77777777">
        <w:trPr>
          <w:tblCellSpacing w:w="0" w:type="dxa"/>
        </w:trPr>
        <w:tc>
          <w:tcPr>
            <w:tcW w:w="0" w:type="auto"/>
            <w:shd w:val="clear" w:color="auto" w:fill="FFFFFF"/>
            <w:vAlign w:val="bottom"/>
            <w:hideMark/>
          </w:tcPr>
          <w:p w14:paraId="43850BF1" w14:textId="77777777" w:rsidR="00000000" w:rsidRDefault="0053651E">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14:paraId="6227E5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94C97D"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A028651" w14:textId="77777777" w:rsidR="00000000" w:rsidRDefault="0053651E">
            <w:pPr>
              <w:jc w:val="right"/>
              <w:rPr>
                <w:rFonts w:eastAsia="Times New Roman"/>
                <w:sz w:val="20"/>
                <w:szCs w:val="20"/>
              </w:rPr>
            </w:pPr>
            <w:r>
              <w:rPr>
                <w:rFonts w:eastAsia="Times New Roman"/>
                <w:sz w:val="20"/>
                <w:szCs w:val="20"/>
              </w:rPr>
              <w:t>58,867</w:t>
            </w:r>
          </w:p>
        </w:tc>
        <w:tc>
          <w:tcPr>
            <w:tcW w:w="50" w:type="pct"/>
            <w:shd w:val="clear" w:color="auto" w:fill="FFFFFF"/>
            <w:vAlign w:val="bottom"/>
            <w:hideMark/>
          </w:tcPr>
          <w:p w14:paraId="4DE7BD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56E2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30E8E9"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D6434CB" w14:textId="77777777" w:rsidR="00000000" w:rsidRDefault="0053651E">
            <w:pPr>
              <w:jc w:val="right"/>
              <w:rPr>
                <w:rFonts w:eastAsia="Times New Roman"/>
                <w:sz w:val="20"/>
                <w:szCs w:val="20"/>
              </w:rPr>
            </w:pPr>
            <w:r>
              <w:rPr>
                <w:rFonts w:eastAsia="Times New Roman"/>
                <w:sz w:val="20"/>
                <w:szCs w:val="20"/>
              </w:rPr>
              <w:t>67,624</w:t>
            </w:r>
          </w:p>
        </w:tc>
        <w:tc>
          <w:tcPr>
            <w:tcW w:w="50" w:type="pct"/>
            <w:shd w:val="clear" w:color="auto" w:fill="FFFFFF"/>
            <w:vAlign w:val="bottom"/>
            <w:hideMark/>
          </w:tcPr>
          <w:p w14:paraId="184A3D38" w14:textId="77777777" w:rsidR="00000000" w:rsidRDefault="0053651E">
            <w:pPr>
              <w:rPr>
                <w:rFonts w:eastAsia="Times New Roman"/>
                <w:sz w:val="20"/>
                <w:szCs w:val="20"/>
              </w:rPr>
            </w:pPr>
            <w:r>
              <w:rPr>
                <w:rFonts w:eastAsia="Times New Roman"/>
                <w:sz w:val="20"/>
                <w:szCs w:val="20"/>
              </w:rPr>
              <w:t> </w:t>
            </w:r>
          </w:p>
        </w:tc>
      </w:tr>
      <w:tr w:rsidR="00000000" w14:paraId="783FA42D" w14:textId="77777777">
        <w:trPr>
          <w:tblCellSpacing w:w="0" w:type="dxa"/>
        </w:trPr>
        <w:tc>
          <w:tcPr>
            <w:tcW w:w="0" w:type="auto"/>
            <w:shd w:val="clear" w:color="auto" w:fill="CCEEFF"/>
            <w:vAlign w:val="bottom"/>
            <w:hideMark/>
          </w:tcPr>
          <w:p w14:paraId="79BD50FF" w14:textId="77777777" w:rsidR="00000000" w:rsidRDefault="0053651E">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14:paraId="6ED950B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1FAE6C9"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174603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89B3A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196C0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52154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006D1E7" w14:textId="77777777" w:rsidR="00000000" w:rsidRDefault="0053651E">
            <w:pPr>
              <w:jc w:val="right"/>
              <w:rPr>
                <w:rFonts w:eastAsia="Times New Roman"/>
                <w:sz w:val="20"/>
                <w:szCs w:val="20"/>
              </w:rPr>
            </w:pPr>
            <w:r>
              <w:rPr>
                <w:rFonts w:eastAsia="Times New Roman"/>
                <w:sz w:val="20"/>
                <w:szCs w:val="20"/>
              </w:rPr>
              <w:t>2,421</w:t>
            </w:r>
          </w:p>
        </w:tc>
        <w:tc>
          <w:tcPr>
            <w:tcW w:w="50" w:type="pct"/>
            <w:shd w:val="clear" w:color="auto" w:fill="CCEEFF"/>
            <w:tcMar>
              <w:top w:w="0" w:type="dxa"/>
              <w:left w:w="0" w:type="dxa"/>
              <w:bottom w:w="15" w:type="dxa"/>
              <w:right w:w="0" w:type="dxa"/>
            </w:tcMar>
            <w:vAlign w:val="bottom"/>
            <w:hideMark/>
          </w:tcPr>
          <w:p w14:paraId="50AF82F4" w14:textId="77777777" w:rsidR="00000000" w:rsidRDefault="0053651E">
            <w:pPr>
              <w:rPr>
                <w:rFonts w:eastAsia="Times New Roman"/>
                <w:sz w:val="20"/>
                <w:szCs w:val="20"/>
              </w:rPr>
            </w:pPr>
            <w:r>
              <w:rPr>
                <w:rFonts w:eastAsia="Times New Roman"/>
                <w:sz w:val="20"/>
                <w:szCs w:val="20"/>
              </w:rPr>
              <w:t> </w:t>
            </w:r>
          </w:p>
        </w:tc>
      </w:tr>
      <w:tr w:rsidR="00000000" w14:paraId="41D2E9DB" w14:textId="77777777">
        <w:trPr>
          <w:tblCellSpacing w:w="0" w:type="dxa"/>
        </w:trPr>
        <w:tc>
          <w:tcPr>
            <w:tcW w:w="0" w:type="auto"/>
            <w:shd w:val="clear" w:color="auto" w:fill="FFFFFF"/>
            <w:vAlign w:val="bottom"/>
            <w:hideMark/>
          </w:tcPr>
          <w:p w14:paraId="3C8A54E0" w14:textId="77777777" w:rsidR="00000000" w:rsidRDefault="0053651E">
            <w:pPr>
              <w:pStyle w:val="a3"/>
              <w:spacing w:before="0" w:beforeAutospacing="0" w:after="0" w:afterAutospacing="0"/>
              <w:rPr>
                <w:sz w:val="20"/>
                <w:szCs w:val="20"/>
              </w:rPr>
            </w:pPr>
            <w:r>
              <w:rPr>
                <w:sz w:val="20"/>
                <w:szCs w:val="20"/>
              </w:rPr>
              <w:t>Total (1)</w:t>
            </w:r>
          </w:p>
        </w:tc>
        <w:tc>
          <w:tcPr>
            <w:tcW w:w="50" w:type="pct"/>
            <w:shd w:val="clear" w:color="auto" w:fill="FFFFFF"/>
            <w:vAlign w:val="bottom"/>
            <w:hideMark/>
          </w:tcPr>
          <w:p w14:paraId="21E6D90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02108EF"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7E608A6B" w14:textId="77777777" w:rsidR="00000000" w:rsidRDefault="0053651E">
            <w:pPr>
              <w:jc w:val="right"/>
              <w:rPr>
                <w:rFonts w:eastAsia="Times New Roman"/>
                <w:sz w:val="20"/>
                <w:szCs w:val="20"/>
              </w:rPr>
            </w:pPr>
            <w:r>
              <w:rPr>
                <w:rFonts w:eastAsia="Times New Roman"/>
                <w:sz w:val="20"/>
                <w:szCs w:val="20"/>
              </w:rPr>
              <w:t>324,821</w:t>
            </w:r>
          </w:p>
        </w:tc>
        <w:tc>
          <w:tcPr>
            <w:tcW w:w="50" w:type="pct"/>
            <w:shd w:val="clear" w:color="auto" w:fill="FFFFFF"/>
            <w:tcMar>
              <w:top w:w="0" w:type="dxa"/>
              <w:left w:w="0" w:type="dxa"/>
              <w:bottom w:w="45" w:type="dxa"/>
              <w:right w:w="0" w:type="dxa"/>
            </w:tcMar>
            <w:vAlign w:val="bottom"/>
            <w:hideMark/>
          </w:tcPr>
          <w:p w14:paraId="58AB23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83B66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FF8729E"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951E6E5" w14:textId="77777777" w:rsidR="00000000" w:rsidRDefault="0053651E">
            <w:pPr>
              <w:jc w:val="right"/>
              <w:rPr>
                <w:rFonts w:eastAsia="Times New Roman"/>
                <w:sz w:val="20"/>
                <w:szCs w:val="20"/>
              </w:rPr>
            </w:pPr>
            <w:r>
              <w:rPr>
                <w:rFonts w:eastAsia="Times New Roman"/>
                <w:sz w:val="20"/>
                <w:szCs w:val="20"/>
              </w:rPr>
              <w:t>290,874</w:t>
            </w:r>
          </w:p>
        </w:tc>
        <w:tc>
          <w:tcPr>
            <w:tcW w:w="50" w:type="pct"/>
            <w:shd w:val="clear" w:color="auto" w:fill="FFFFFF"/>
            <w:tcMar>
              <w:top w:w="0" w:type="dxa"/>
              <w:left w:w="0" w:type="dxa"/>
              <w:bottom w:w="45" w:type="dxa"/>
              <w:right w:w="0" w:type="dxa"/>
            </w:tcMar>
            <w:vAlign w:val="bottom"/>
            <w:hideMark/>
          </w:tcPr>
          <w:p w14:paraId="0613D4AF" w14:textId="77777777" w:rsidR="00000000" w:rsidRDefault="0053651E">
            <w:pPr>
              <w:rPr>
                <w:rFonts w:eastAsia="Times New Roman"/>
                <w:sz w:val="20"/>
                <w:szCs w:val="20"/>
              </w:rPr>
            </w:pPr>
            <w:r>
              <w:rPr>
                <w:rFonts w:eastAsia="Times New Roman"/>
                <w:sz w:val="20"/>
                <w:szCs w:val="20"/>
              </w:rPr>
              <w:t> </w:t>
            </w:r>
          </w:p>
        </w:tc>
      </w:tr>
    </w:tbl>
    <w:p w14:paraId="53625DCF"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4279319" w14:textId="77777777">
        <w:trPr>
          <w:tblCellSpacing w:w="0" w:type="dxa"/>
        </w:trPr>
        <w:tc>
          <w:tcPr>
            <w:tcW w:w="360" w:type="dxa"/>
            <w:vAlign w:val="center"/>
            <w:hideMark/>
          </w:tcPr>
          <w:p w14:paraId="7FB5B393" w14:textId="77777777" w:rsidR="00000000" w:rsidRDefault="0053651E">
            <w:pPr>
              <w:rPr>
                <w:rFonts w:eastAsia="Times New Roman"/>
                <w:sz w:val="20"/>
                <w:szCs w:val="20"/>
              </w:rPr>
            </w:pPr>
            <w:r>
              <w:rPr>
                <w:rFonts w:eastAsia="Times New Roman"/>
                <w:sz w:val="20"/>
                <w:szCs w:val="20"/>
              </w:rPr>
              <w:t> </w:t>
            </w:r>
          </w:p>
        </w:tc>
        <w:tc>
          <w:tcPr>
            <w:tcW w:w="360" w:type="dxa"/>
            <w:hideMark/>
          </w:tcPr>
          <w:p w14:paraId="78B70563" w14:textId="77777777" w:rsidR="00000000" w:rsidRDefault="0053651E">
            <w:pPr>
              <w:pStyle w:val="a3"/>
              <w:spacing w:before="0" w:beforeAutospacing="0" w:after="0" w:afterAutospacing="0"/>
              <w:jc w:val="both"/>
              <w:rPr>
                <w:sz w:val="20"/>
                <w:szCs w:val="20"/>
              </w:rPr>
            </w:pPr>
            <w:r>
              <w:rPr>
                <w:sz w:val="20"/>
                <w:szCs w:val="20"/>
              </w:rPr>
              <w:t>(1)</w:t>
            </w:r>
          </w:p>
        </w:tc>
        <w:tc>
          <w:tcPr>
            <w:tcW w:w="0" w:type="auto"/>
            <w:hideMark/>
          </w:tcPr>
          <w:p w14:paraId="205691E4" w14:textId="77777777" w:rsidR="00000000" w:rsidRDefault="0053651E">
            <w:pPr>
              <w:pStyle w:val="a3"/>
              <w:spacing w:before="0" w:beforeAutospacing="0" w:after="0" w:afterAutospacing="0"/>
              <w:jc w:val="both"/>
              <w:rPr>
                <w:sz w:val="20"/>
                <w:szCs w:val="20"/>
              </w:rPr>
            </w:pPr>
            <w:r>
              <w:rPr>
                <w:sz w:val="20"/>
                <w:szCs w:val="20"/>
              </w:rPr>
              <w:t>During the year ended December 31, 2019 and 2018, the Company capitalized payroll of $7.9 million and $7.1 million, respectively, and capitalized interest of $6.3 million and $3.6 million, respectively, in connection with the Company’s improvements to oper</w:t>
            </w:r>
            <w:r>
              <w:rPr>
                <w:sz w:val="20"/>
                <w:szCs w:val="20"/>
              </w:rPr>
              <w:t>ating real estate.</w:t>
            </w:r>
          </w:p>
        </w:tc>
      </w:tr>
    </w:tbl>
    <w:p w14:paraId="6D42F38E" w14:textId="77777777" w:rsidR="00000000" w:rsidRDefault="0053651E">
      <w:pPr>
        <w:pStyle w:val="a3"/>
        <w:spacing w:before="0" w:beforeAutospacing="0" w:after="0" w:afterAutospacing="0"/>
        <w:ind w:firstLine="360"/>
        <w:jc w:val="both"/>
        <w:rPr>
          <w:sz w:val="20"/>
          <w:szCs w:val="20"/>
        </w:rPr>
      </w:pPr>
      <w:r>
        <w:rPr>
          <w:sz w:val="20"/>
          <w:szCs w:val="20"/>
        </w:rPr>
        <w:t> </w:t>
      </w:r>
    </w:p>
    <w:p w14:paraId="3C8687BF" w14:textId="77777777" w:rsidR="00000000" w:rsidRDefault="0053651E">
      <w:pPr>
        <w:jc w:val="center"/>
        <w:divId w:val="1184324895"/>
        <w:rPr>
          <w:rFonts w:eastAsia="Times New Roman"/>
          <w:sz w:val="20"/>
          <w:szCs w:val="20"/>
        </w:rPr>
      </w:pPr>
      <w:r>
        <w:rPr>
          <w:rFonts w:eastAsia="Times New Roman"/>
          <w:sz w:val="20"/>
          <w:szCs w:val="20"/>
        </w:rPr>
        <w:t xml:space="preserve">27 </w:t>
      </w:r>
    </w:p>
    <w:p w14:paraId="1012794A" w14:textId="77777777" w:rsidR="00000000" w:rsidRDefault="0053651E">
      <w:pPr>
        <w:divId w:val="1184324895"/>
        <w:rPr>
          <w:rFonts w:eastAsia="Times New Roman"/>
          <w:sz w:val="20"/>
          <w:szCs w:val="20"/>
        </w:rPr>
      </w:pPr>
      <w:r>
        <w:rPr>
          <w:rFonts w:eastAsia="Times New Roman"/>
          <w:sz w:val="20"/>
          <w:szCs w:val="20"/>
        </w:rPr>
        <w:pict w14:anchorId="2DEE0AF2">
          <v:rect id="_x0000_i1058" style="width:0;height:1.5pt" o:hralign="center" o:hrstd="t" o:hr="t" fillcolor="#a0a0a0" stroked="f"/>
        </w:pict>
      </w:r>
    </w:p>
    <w:p w14:paraId="2FC3C9A0" w14:textId="77777777" w:rsidR="00000000" w:rsidRDefault="0053651E">
      <w:pPr>
        <w:divId w:val="11843248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51ACC61" w14:textId="77777777" w:rsidR="00000000" w:rsidRDefault="0053651E">
      <w:pPr>
        <w:pStyle w:val="a3"/>
        <w:spacing w:before="0" w:beforeAutospacing="0" w:after="0" w:afterAutospacing="0"/>
        <w:rPr>
          <w:sz w:val="20"/>
          <w:szCs w:val="20"/>
        </w:rPr>
      </w:pPr>
      <w:r>
        <w:rPr>
          <w:sz w:val="20"/>
          <w:szCs w:val="20"/>
        </w:rPr>
        <w:t> </w:t>
      </w:r>
    </w:p>
    <w:p w14:paraId="701F6320" w14:textId="77777777" w:rsidR="00000000" w:rsidRDefault="0053651E">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w:t>
      </w:r>
      <w:r>
        <w:rPr>
          <w:sz w:val="20"/>
          <w:szCs w:val="20"/>
        </w:rPr>
        <w:t>e Company is actively pursuing redevelopment opportunities within its operating portfolio which it believes will increase the overall value by bringing in new tenants and improving the assets’ value. The Company has identified three categories of redevelop</w:t>
      </w:r>
      <w:r>
        <w:rPr>
          <w:sz w:val="20"/>
          <w:szCs w:val="20"/>
        </w:rPr>
        <w:t>ment: (i) large scale redevelopment, which involves demolishing and building new square footage, (ii) value creation redevelopment, which includes the subdivision of large anchor spaces into multiple tenant layouts, and (iii) creation of out-parcels and pa</w:t>
      </w:r>
      <w:r>
        <w:rPr>
          <w:sz w:val="20"/>
          <w:szCs w:val="20"/>
        </w:rPr>
        <w:t>ds located in the front of the shopping center properties. The Company anticipates its capital commitment toward these redevelopment projects and re-tenanting efforts for 2020 will be approximately $150.0 million to $200.0 million. The funding of these cap</w:t>
      </w:r>
      <w:r>
        <w:rPr>
          <w:sz w:val="20"/>
          <w:szCs w:val="20"/>
        </w:rPr>
        <w:t>ital requirements will be provided by proceeds from property dispositions, net cash flow provided by operating activities and availability under the Company’s Credit Facility.</w:t>
      </w:r>
    </w:p>
    <w:p w14:paraId="7F2AC42C" w14:textId="77777777" w:rsidR="00000000" w:rsidRDefault="0053651E">
      <w:pPr>
        <w:pStyle w:val="a3"/>
        <w:spacing w:before="0" w:beforeAutospacing="0" w:after="0" w:afterAutospacing="0"/>
        <w:ind w:firstLine="360"/>
        <w:jc w:val="both"/>
        <w:rPr>
          <w:sz w:val="20"/>
          <w:szCs w:val="20"/>
        </w:rPr>
      </w:pPr>
      <w:r>
        <w:rPr>
          <w:sz w:val="20"/>
          <w:szCs w:val="20"/>
        </w:rPr>
        <w:t> </w:t>
      </w:r>
    </w:p>
    <w:p w14:paraId="26B4CE70" w14:textId="77777777" w:rsidR="00000000" w:rsidRDefault="0053651E">
      <w:pPr>
        <w:pStyle w:val="a3"/>
        <w:spacing w:before="0" w:beforeAutospacing="0" w:after="0" w:afterAutospacing="0"/>
        <w:ind w:firstLine="360"/>
        <w:jc w:val="both"/>
        <w:rPr>
          <w:sz w:val="20"/>
          <w:szCs w:val="20"/>
        </w:rPr>
      </w:pPr>
      <w:r>
        <w:rPr>
          <w:i/>
          <w:iCs/>
          <w:sz w:val="20"/>
          <w:szCs w:val="20"/>
        </w:rPr>
        <w:t>Improvements to Real Estate Under Development</w:t>
      </w:r>
    </w:p>
    <w:p w14:paraId="01605B4F"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689B9726" w14:textId="77777777" w:rsidR="00000000" w:rsidRDefault="0053651E">
      <w:pPr>
        <w:pStyle w:val="a3"/>
        <w:spacing w:before="0" w:beforeAutospacing="0" w:after="0" w:afterAutospacing="0"/>
        <w:ind w:firstLine="360"/>
        <w:jc w:val="both"/>
        <w:rPr>
          <w:sz w:val="20"/>
          <w:szCs w:val="20"/>
        </w:rPr>
      </w:pPr>
      <w:r>
        <w:rPr>
          <w:sz w:val="20"/>
          <w:szCs w:val="20"/>
        </w:rPr>
        <w:t>The Company is engaged in sele</w:t>
      </w:r>
      <w:r>
        <w:rPr>
          <w:sz w:val="20"/>
          <w:szCs w:val="20"/>
        </w:rPr>
        <w:t>ct real estate development projects, which are expected to be held as long-term investments. As of December 31, 2019, the Company had one active real estate development project. During the years ended December 31, 2019 and 2018, the Company expended $118.8</w:t>
      </w:r>
      <w:r>
        <w:rPr>
          <w:sz w:val="20"/>
          <w:szCs w:val="20"/>
        </w:rPr>
        <w:t xml:space="preserve"> million and $236.0 million, respectively, towards improvements to real estate under development. The Company capitalized (i) interest of $9.4 million and $13.9 million, (ii) real estate taxes, insurance and legal costs of $1.3 million and $2.6 million and</w:t>
      </w:r>
      <w:r>
        <w:rPr>
          <w:sz w:val="20"/>
          <w:szCs w:val="20"/>
        </w:rPr>
        <w:t xml:space="preserve"> (iii) payroll of $1.2 million and $1.9 million during the years ended December 31, 2019 and 2018, respectively, in connection with its real estate development projects. The Company anticipates the total remaining costs to complete these active projects to</w:t>
      </w:r>
      <w:r>
        <w:rPr>
          <w:sz w:val="20"/>
          <w:szCs w:val="20"/>
        </w:rPr>
        <w:t xml:space="preserve"> be approximately $40.0 million to $60.0 million. The funding of these capital requirements will be provided by proceeds from property dispositions, net cash flow provided by operating activities, construction financing, where applicable, and availability </w:t>
      </w:r>
      <w:r>
        <w:rPr>
          <w:sz w:val="20"/>
          <w:szCs w:val="20"/>
        </w:rPr>
        <w:t>under the Company’s Credit Facility.</w:t>
      </w:r>
    </w:p>
    <w:p w14:paraId="34028883" w14:textId="77777777" w:rsidR="00000000" w:rsidRDefault="0053651E">
      <w:pPr>
        <w:pStyle w:val="a3"/>
        <w:spacing w:before="0" w:beforeAutospacing="0" w:after="0" w:afterAutospacing="0"/>
        <w:ind w:firstLine="360"/>
        <w:jc w:val="both"/>
        <w:rPr>
          <w:sz w:val="20"/>
          <w:szCs w:val="20"/>
        </w:rPr>
      </w:pPr>
      <w:r>
        <w:rPr>
          <w:sz w:val="20"/>
          <w:szCs w:val="20"/>
        </w:rPr>
        <w:t> </w:t>
      </w:r>
    </w:p>
    <w:p w14:paraId="603BEA9F" w14:textId="77777777" w:rsidR="00000000" w:rsidRDefault="0053651E">
      <w:pPr>
        <w:pStyle w:val="a3"/>
        <w:spacing w:before="0" w:beforeAutospacing="0" w:after="0" w:afterAutospacing="0"/>
        <w:ind w:firstLine="360"/>
        <w:rPr>
          <w:sz w:val="20"/>
          <w:szCs w:val="20"/>
        </w:rPr>
      </w:pPr>
      <w:r>
        <w:rPr>
          <w:sz w:val="20"/>
          <w:szCs w:val="20"/>
          <w:u w:val="single"/>
        </w:rPr>
        <w:t>Financing Activities</w:t>
      </w:r>
    </w:p>
    <w:p w14:paraId="75A4B837" w14:textId="77777777" w:rsidR="00000000" w:rsidRDefault="0053651E">
      <w:pPr>
        <w:pStyle w:val="a3"/>
        <w:spacing w:before="0" w:beforeAutospacing="0" w:after="0" w:afterAutospacing="0"/>
        <w:ind w:firstLine="360"/>
        <w:jc w:val="both"/>
        <w:rPr>
          <w:sz w:val="20"/>
          <w:szCs w:val="20"/>
        </w:rPr>
      </w:pPr>
      <w:r>
        <w:rPr>
          <w:sz w:val="20"/>
          <w:szCs w:val="20"/>
        </w:rPr>
        <w:t> </w:t>
      </w:r>
    </w:p>
    <w:p w14:paraId="4B3C09BF" w14:textId="77777777" w:rsidR="00000000" w:rsidRDefault="0053651E">
      <w:pPr>
        <w:pStyle w:val="a3"/>
        <w:spacing w:before="0" w:beforeAutospacing="0" w:after="0" w:afterAutospacing="0"/>
        <w:ind w:firstLine="360"/>
        <w:jc w:val="both"/>
        <w:rPr>
          <w:sz w:val="20"/>
          <w:szCs w:val="20"/>
        </w:rPr>
      </w:pPr>
      <w:r>
        <w:rPr>
          <w:sz w:val="20"/>
          <w:szCs w:val="20"/>
        </w:rPr>
        <w:t>Cash flows used for financing activities were $482.8 million for 2019, as compared to $986.5 million for 2018.</w:t>
      </w:r>
    </w:p>
    <w:p w14:paraId="594EB04A" w14:textId="77777777" w:rsidR="00000000" w:rsidRDefault="0053651E">
      <w:pPr>
        <w:pStyle w:val="a3"/>
        <w:spacing w:before="0" w:beforeAutospacing="0" w:after="0" w:afterAutospacing="0"/>
        <w:ind w:firstLine="360"/>
        <w:jc w:val="both"/>
        <w:rPr>
          <w:sz w:val="20"/>
          <w:szCs w:val="20"/>
        </w:rPr>
      </w:pPr>
      <w:r>
        <w:rPr>
          <w:sz w:val="20"/>
          <w:szCs w:val="20"/>
        </w:rPr>
        <w:t> </w:t>
      </w:r>
    </w:p>
    <w:p w14:paraId="3ACDE0CC" w14:textId="77777777" w:rsidR="00000000" w:rsidRDefault="0053651E">
      <w:pPr>
        <w:pStyle w:val="a3"/>
        <w:spacing w:before="0" w:beforeAutospacing="0" w:after="0" w:afterAutospacing="0"/>
        <w:ind w:firstLine="360"/>
        <w:jc w:val="both"/>
        <w:rPr>
          <w:sz w:val="20"/>
          <w:szCs w:val="20"/>
        </w:rPr>
      </w:pPr>
      <w:r>
        <w:rPr>
          <w:sz w:val="20"/>
          <w:szCs w:val="20"/>
        </w:rPr>
        <w:t>Financing activities during 2019 primarily consisted of the following:</w:t>
      </w:r>
    </w:p>
    <w:p w14:paraId="0735CAC1" w14:textId="77777777" w:rsidR="00000000" w:rsidRDefault="0053651E">
      <w:pPr>
        <w:pStyle w:val="a3"/>
        <w:spacing w:before="0" w:beforeAutospacing="0" w:after="0" w:afterAutospacing="0"/>
        <w:ind w:firstLine="360"/>
        <w:jc w:val="both"/>
        <w:rPr>
          <w:sz w:val="20"/>
          <w:szCs w:val="20"/>
        </w:rPr>
      </w:pPr>
      <w:r>
        <w:rPr>
          <w:sz w:val="20"/>
          <w:szCs w:val="20"/>
        </w:rPr>
        <w:t> </w:t>
      </w:r>
    </w:p>
    <w:p w14:paraId="35AFFD05" w14:textId="77777777" w:rsidR="00000000" w:rsidRDefault="0053651E">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7B60A77" w14:textId="77777777">
        <w:trPr>
          <w:tblCellSpacing w:w="0" w:type="dxa"/>
        </w:trPr>
        <w:tc>
          <w:tcPr>
            <w:tcW w:w="720" w:type="dxa"/>
            <w:vAlign w:val="center"/>
            <w:hideMark/>
          </w:tcPr>
          <w:p w14:paraId="3B8A776B" w14:textId="77777777" w:rsidR="00000000" w:rsidRDefault="0053651E">
            <w:pPr>
              <w:rPr>
                <w:rFonts w:eastAsia="Times New Roman"/>
                <w:sz w:val="20"/>
                <w:szCs w:val="20"/>
              </w:rPr>
            </w:pPr>
            <w:r>
              <w:rPr>
                <w:rFonts w:eastAsia="Times New Roman"/>
                <w:sz w:val="20"/>
                <w:szCs w:val="20"/>
              </w:rPr>
              <w:t> </w:t>
            </w:r>
          </w:p>
        </w:tc>
        <w:tc>
          <w:tcPr>
            <w:tcW w:w="360" w:type="dxa"/>
            <w:hideMark/>
          </w:tcPr>
          <w:p w14:paraId="4A140C1A"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7E211F2D" w14:textId="77777777" w:rsidR="00000000" w:rsidRDefault="0053651E">
            <w:pPr>
              <w:pStyle w:val="a3"/>
              <w:spacing w:before="0" w:beforeAutospacing="0" w:after="0" w:afterAutospacing="0"/>
              <w:jc w:val="both"/>
              <w:rPr>
                <w:sz w:val="20"/>
                <w:szCs w:val="20"/>
              </w:rPr>
            </w:pPr>
            <w:r>
              <w:rPr>
                <w:sz w:val="20"/>
                <w:szCs w:val="20"/>
              </w:rPr>
              <w:t>$350.0 million in proceeds from the issuance of unsecured notes;</w:t>
            </w:r>
          </w:p>
        </w:tc>
      </w:tr>
    </w:tbl>
    <w:p w14:paraId="7DBC60A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62C8CED" w14:textId="77777777">
        <w:trPr>
          <w:tblCellSpacing w:w="0" w:type="dxa"/>
        </w:trPr>
        <w:tc>
          <w:tcPr>
            <w:tcW w:w="720" w:type="dxa"/>
            <w:vAlign w:val="center"/>
            <w:hideMark/>
          </w:tcPr>
          <w:p w14:paraId="3ED4D650" w14:textId="77777777" w:rsidR="00000000" w:rsidRDefault="0053651E">
            <w:pPr>
              <w:rPr>
                <w:rFonts w:eastAsia="Times New Roman"/>
                <w:sz w:val="20"/>
                <w:szCs w:val="20"/>
              </w:rPr>
            </w:pPr>
            <w:r>
              <w:rPr>
                <w:rFonts w:eastAsia="Times New Roman"/>
                <w:sz w:val="20"/>
                <w:szCs w:val="20"/>
              </w:rPr>
              <w:t> </w:t>
            </w:r>
          </w:p>
        </w:tc>
        <w:tc>
          <w:tcPr>
            <w:tcW w:w="360" w:type="dxa"/>
            <w:hideMark/>
          </w:tcPr>
          <w:p w14:paraId="062E876B"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20DCADE" w14:textId="77777777" w:rsidR="00000000" w:rsidRDefault="0053651E">
            <w:pPr>
              <w:pStyle w:val="a3"/>
              <w:spacing w:before="0" w:beforeAutospacing="0" w:after="0" w:afterAutospacing="0"/>
              <w:jc w:val="both"/>
              <w:rPr>
                <w:sz w:val="20"/>
                <w:szCs w:val="20"/>
              </w:rPr>
            </w:pPr>
            <w:r>
              <w:rPr>
                <w:sz w:val="20"/>
                <w:szCs w:val="20"/>
              </w:rPr>
              <w:t>$204.0 million in proceeds from the issuance of stock, net, primarily through the Company’s AT</w:t>
            </w:r>
            <w:r>
              <w:rPr>
                <w:sz w:val="20"/>
                <w:szCs w:val="20"/>
              </w:rPr>
              <w:t>M program;</w:t>
            </w:r>
          </w:p>
        </w:tc>
      </w:tr>
    </w:tbl>
    <w:p w14:paraId="1627379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735D6F0" w14:textId="77777777">
        <w:trPr>
          <w:tblCellSpacing w:w="0" w:type="dxa"/>
        </w:trPr>
        <w:tc>
          <w:tcPr>
            <w:tcW w:w="720" w:type="dxa"/>
            <w:vAlign w:val="center"/>
            <w:hideMark/>
          </w:tcPr>
          <w:p w14:paraId="798D61DE" w14:textId="77777777" w:rsidR="00000000" w:rsidRDefault="0053651E">
            <w:pPr>
              <w:rPr>
                <w:rFonts w:eastAsia="Times New Roman"/>
                <w:sz w:val="20"/>
                <w:szCs w:val="20"/>
              </w:rPr>
            </w:pPr>
            <w:r>
              <w:rPr>
                <w:rFonts w:eastAsia="Times New Roman"/>
                <w:sz w:val="20"/>
                <w:szCs w:val="20"/>
              </w:rPr>
              <w:t> </w:t>
            </w:r>
          </w:p>
        </w:tc>
        <w:tc>
          <w:tcPr>
            <w:tcW w:w="360" w:type="dxa"/>
            <w:hideMark/>
          </w:tcPr>
          <w:p w14:paraId="3FF067B3"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4C72728" w14:textId="77777777" w:rsidR="00000000" w:rsidRDefault="0053651E">
            <w:pPr>
              <w:pStyle w:val="a3"/>
              <w:spacing w:before="0" w:beforeAutospacing="0" w:after="0" w:afterAutospacing="0"/>
              <w:jc w:val="both"/>
              <w:rPr>
                <w:sz w:val="20"/>
                <w:szCs w:val="20"/>
              </w:rPr>
            </w:pPr>
            <w:r>
              <w:rPr>
                <w:sz w:val="20"/>
                <w:szCs w:val="20"/>
              </w:rPr>
              <w:t>$100.0 million in proceeds from the Company’s unsecured revolving credit facility, net; and</w:t>
            </w:r>
          </w:p>
        </w:tc>
      </w:tr>
    </w:tbl>
    <w:p w14:paraId="178391E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987DC6F" w14:textId="77777777">
        <w:trPr>
          <w:tblCellSpacing w:w="0" w:type="dxa"/>
        </w:trPr>
        <w:tc>
          <w:tcPr>
            <w:tcW w:w="720" w:type="dxa"/>
            <w:vAlign w:val="center"/>
            <w:hideMark/>
          </w:tcPr>
          <w:p w14:paraId="2D800C4D" w14:textId="77777777" w:rsidR="00000000" w:rsidRDefault="0053651E">
            <w:pPr>
              <w:rPr>
                <w:rFonts w:eastAsia="Times New Roman"/>
                <w:sz w:val="20"/>
                <w:szCs w:val="20"/>
              </w:rPr>
            </w:pPr>
            <w:r>
              <w:rPr>
                <w:rFonts w:eastAsia="Times New Roman"/>
                <w:sz w:val="20"/>
                <w:szCs w:val="20"/>
              </w:rPr>
              <w:t> </w:t>
            </w:r>
          </w:p>
        </w:tc>
        <w:tc>
          <w:tcPr>
            <w:tcW w:w="360" w:type="dxa"/>
            <w:hideMark/>
          </w:tcPr>
          <w:p w14:paraId="2464BC38"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7956671" w14:textId="77777777" w:rsidR="00000000" w:rsidRDefault="0053651E">
            <w:pPr>
              <w:pStyle w:val="a3"/>
              <w:spacing w:before="0" w:beforeAutospacing="0" w:after="0" w:afterAutospacing="0"/>
              <w:jc w:val="both"/>
              <w:rPr>
                <w:sz w:val="20"/>
                <w:szCs w:val="20"/>
              </w:rPr>
            </w:pPr>
            <w:r>
              <w:rPr>
                <w:sz w:val="20"/>
                <w:szCs w:val="20"/>
              </w:rPr>
              <w:t>$16.0 million in proceeds from construction loan financing for one development project.</w:t>
            </w:r>
          </w:p>
        </w:tc>
      </w:tr>
    </w:tbl>
    <w:p w14:paraId="7C2070ED" w14:textId="77777777" w:rsidR="00000000" w:rsidRDefault="0053651E">
      <w:pPr>
        <w:pStyle w:val="a3"/>
        <w:spacing w:before="0" w:beforeAutospacing="0" w:after="0" w:afterAutospacing="0"/>
        <w:jc w:val="both"/>
        <w:rPr>
          <w:sz w:val="20"/>
          <w:szCs w:val="20"/>
        </w:rPr>
      </w:pPr>
      <w:r>
        <w:rPr>
          <w:sz w:val="20"/>
          <w:szCs w:val="20"/>
        </w:rPr>
        <w:t> </w:t>
      </w:r>
    </w:p>
    <w:p w14:paraId="039935CD" w14:textId="77777777" w:rsidR="00000000" w:rsidRDefault="0053651E">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4702025" w14:textId="77777777">
        <w:trPr>
          <w:tblCellSpacing w:w="0" w:type="dxa"/>
        </w:trPr>
        <w:tc>
          <w:tcPr>
            <w:tcW w:w="720" w:type="dxa"/>
            <w:vAlign w:val="center"/>
            <w:hideMark/>
          </w:tcPr>
          <w:p w14:paraId="27B1BD22" w14:textId="77777777" w:rsidR="00000000" w:rsidRDefault="0053651E">
            <w:pPr>
              <w:rPr>
                <w:rFonts w:eastAsia="Times New Roman"/>
                <w:sz w:val="20"/>
                <w:szCs w:val="20"/>
              </w:rPr>
            </w:pPr>
            <w:r>
              <w:rPr>
                <w:rFonts w:eastAsia="Times New Roman"/>
                <w:sz w:val="20"/>
                <w:szCs w:val="20"/>
              </w:rPr>
              <w:t> </w:t>
            </w:r>
          </w:p>
        </w:tc>
        <w:tc>
          <w:tcPr>
            <w:tcW w:w="360" w:type="dxa"/>
            <w:hideMark/>
          </w:tcPr>
          <w:p w14:paraId="68B19C03"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0BB170E" w14:textId="77777777" w:rsidR="00000000" w:rsidRDefault="0053651E">
            <w:pPr>
              <w:pStyle w:val="a3"/>
              <w:spacing w:before="0" w:beforeAutospacing="0" w:after="0" w:afterAutospacing="0"/>
              <w:jc w:val="both"/>
              <w:rPr>
                <w:sz w:val="20"/>
                <w:szCs w:val="20"/>
              </w:rPr>
            </w:pPr>
            <w:r>
              <w:rPr>
                <w:sz w:val="20"/>
                <w:szCs w:val="20"/>
              </w:rPr>
              <w:t>$575.0 million for the redemption of the Company’s Class I, Class J and Class K Preferred Stock;</w:t>
            </w:r>
          </w:p>
        </w:tc>
      </w:tr>
    </w:tbl>
    <w:p w14:paraId="7C8DFDC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BFAA185" w14:textId="77777777">
        <w:trPr>
          <w:tblCellSpacing w:w="0" w:type="dxa"/>
        </w:trPr>
        <w:tc>
          <w:tcPr>
            <w:tcW w:w="720" w:type="dxa"/>
            <w:vAlign w:val="center"/>
            <w:hideMark/>
          </w:tcPr>
          <w:p w14:paraId="6E4E0542" w14:textId="77777777" w:rsidR="00000000" w:rsidRDefault="0053651E">
            <w:pPr>
              <w:rPr>
                <w:rFonts w:eastAsia="Times New Roman"/>
                <w:sz w:val="20"/>
                <w:szCs w:val="20"/>
              </w:rPr>
            </w:pPr>
            <w:r>
              <w:rPr>
                <w:rFonts w:eastAsia="Times New Roman"/>
                <w:sz w:val="20"/>
                <w:szCs w:val="20"/>
              </w:rPr>
              <w:t> </w:t>
            </w:r>
          </w:p>
        </w:tc>
        <w:tc>
          <w:tcPr>
            <w:tcW w:w="360" w:type="dxa"/>
            <w:hideMark/>
          </w:tcPr>
          <w:p w14:paraId="422CB986"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8D62FF5" w14:textId="77777777" w:rsidR="00000000" w:rsidRDefault="0053651E">
            <w:pPr>
              <w:pStyle w:val="a3"/>
              <w:spacing w:before="0" w:beforeAutospacing="0" w:after="0" w:afterAutospacing="0"/>
              <w:jc w:val="both"/>
              <w:rPr>
                <w:sz w:val="20"/>
                <w:szCs w:val="20"/>
              </w:rPr>
            </w:pPr>
            <w:r>
              <w:rPr>
                <w:sz w:val="20"/>
                <w:szCs w:val="20"/>
              </w:rPr>
              <w:t>$531.6 million of dividends paid;</w:t>
            </w:r>
          </w:p>
        </w:tc>
      </w:tr>
    </w:tbl>
    <w:p w14:paraId="39134B2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52629E1" w14:textId="77777777">
        <w:trPr>
          <w:tblCellSpacing w:w="0" w:type="dxa"/>
        </w:trPr>
        <w:tc>
          <w:tcPr>
            <w:tcW w:w="720" w:type="dxa"/>
            <w:vAlign w:val="center"/>
            <w:hideMark/>
          </w:tcPr>
          <w:p w14:paraId="3436D6DC" w14:textId="77777777" w:rsidR="00000000" w:rsidRDefault="0053651E">
            <w:pPr>
              <w:rPr>
                <w:rFonts w:eastAsia="Times New Roman"/>
                <w:sz w:val="20"/>
                <w:szCs w:val="20"/>
              </w:rPr>
            </w:pPr>
            <w:r>
              <w:rPr>
                <w:rFonts w:eastAsia="Times New Roman"/>
                <w:sz w:val="20"/>
                <w:szCs w:val="20"/>
              </w:rPr>
              <w:t> </w:t>
            </w:r>
          </w:p>
        </w:tc>
        <w:tc>
          <w:tcPr>
            <w:tcW w:w="360" w:type="dxa"/>
            <w:hideMark/>
          </w:tcPr>
          <w:p w14:paraId="36DD788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965E59A" w14:textId="77777777" w:rsidR="00000000" w:rsidRDefault="0053651E">
            <w:pPr>
              <w:pStyle w:val="a3"/>
              <w:spacing w:before="0" w:beforeAutospacing="0" w:after="0" w:afterAutospacing="0"/>
              <w:jc w:val="both"/>
              <w:rPr>
                <w:sz w:val="20"/>
                <w:szCs w:val="20"/>
              </w:rPr>
            </w:pPr>
            <w:r>
              <w:rPr>
                <w:sz w:val="20"/>
                <w:szCs w:val="20"/>
              </w:rPr>
              <w:t>$18</w:t>
            </w:r>
            <w:r>
              <w:rPr>
                <w:sz w:val="20"/>
                <w:szCs w:val="20"/>
              </w:rPr>
              <w:t>.8 million for principal payments on debt (related to the repayment of debt on two encumbered properties), including normal amortization on rental property debt;</w:t>
            </w:r>
          </w:p>
        </w:tc>
      </w:tr>
    </w:tbl>
    <w:p w14:paraId="2421438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0FEBF50" w14:textId="77777777">
        <w:trPr>
          <w:tblCellSpacing w:w="0" w:type="dxa"/>
        </w:trPr>
        <w:tc>
          <w:tcPr>
            <w:tcW w:w="720" w:type="dxa"/>
            <w:vAlign w:val="center"/>
            <w:hideMark/>
          </w:tcPr>
          <w:p w14:paraId="2B295583" w14:textId="77777777" w:rsidR="00000000" w:rsidRDefault="0053651E">
            <w:pPr>
              <w:rPr>
                <w:rFonts w:eastAsia="Times New Roman"/>
                <w:sz w:val="20"/>
                <w:szCs w:val="20"/>
              </w:rPr>
            </w:pPr>
            <w:r>
              <w:rPr>
                <w:rFonts w:eastAsia="Times New Roman"/>
                <w:sz w:val="20"/>
                <w:szCs w:val="20"/>
              </w:rPr>
              <w:t> </w:t>
            </w:r>
          </w:p>
        </w:tc>
        <w:tc>
          <w:tcPr>
            <w:tcW w:w="360" w:type="dxa"/>
            <w:hideMark/>
          </w:tcPr>
          <w:p w14:paraId="6BC23B88"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1572D269" w14:textId="77777777" w:rsidR="00000000" w:rsidRDefault="0053651E">
            <w:pPr>
              <w:pStyle w:val="a3"/>
              <w:spacing w:before="0" w:beforeAutospacing="0" w:after="0" w:afterAutospacing="0"/>
              <w:jc w:val="both"/>
              <w:rPr>
                <w:sz w:val="20"/>
                <w:szCs w:val="20"/>
              </w:rPr>
            </w:pPr>
            <w:r>
              <w:rPr>
                <w:sz w:val="20"/>
                <w:szCs w:val="20"/>
              </w:rPr>
              <w:t>$15.1 million for the redemption/distribution of noncontrolling interests, primarily related to the redemption of certain partnership interests by consolidated subsidiaries; and</w:t>
            </w:r>
          </w:p>
        </w:tc>
      </w:tr>
    </w:tbl>
    <w:p w14:paraId="77FE509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5CE5857" w14:textId="77777777">
        <w:trPr>
          <w:tblCellSpacing w:w="0" w:type="dxa"/>
        </w:trPr>
        <w:tc>
          <w:tcPr>
            <w:tcW w:w="720" w:type="dxa"/>
            <w:vAlign w:val="center"/>
            <w:hideMark/>
          </w:tcPr>
          <w:p w14:paraId="72671D8D" w14:textId="77777777" w:rsidR="00000000" w:rsidRDefault="0053651E">
            <w:pPr>
              <w:rPr>
                <w:rFonts w:eastAsia="Times New Roman"/>
                <w:sz w:val="20"/>
                <w:szCs w:val="20"/>
              </w:rPr>
            </w:pPr>
            <w:r>
              <w:rPr>
                <w:rFonts w:eastAsia="Times New Roman"/>
                <w:sz w:val="20"/>
                <w:szCs w:val="20"/>
              </w:rPr>
              <w:t> </w:t>
            </w:r>
          </w:p>
        </w:tc>
        <w:tc>
          <w:tcPr>
            <w:tcW w:w="360" w:type="dxa"/>
            <w:hideMark/>
          </w:tcPr>
          <w:p w14:paraId="78E5A2EE"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1CA87648" w14:textId="77777777" w:rsidR="00000000" w:rsidRDefault="0053651E">
            <w:pPr>
              <w:pStyle w:val="a3"/>
              <w:spacing w:before="0" w:beforeAutospacing="0" w:after="0" w:afterAutospacing="0"/>
              <w:jc w:val="both"/>
              <w:rPr>
                <w:sz w:val="20"/>
                <w:szCs w:val="20"/>
              </w:rPr>
            </w:pPr>
            <w:r>
              <w:rPr>
                <w:sz w:val="20"/>
                <w:szCs w:val="20"/>
              </w:rPr>
              <w:t>$7.7 million for financing origination cost, primarily related to the is</w:t>
            </w:r>
            <w:r>
              <w:rPr>
                <w:sz w:val="20"/>
                <w:szCs w:val="20"/>
              </w:rPr>
              <w:t>suance of unsecured notes.</w:t>
            </w:r>
          </w:p>
        </w:tc>
      </w:tr>
    </w:tbl>
    <w:p w14:paraId="581FAD36" w14:textId="77777777" w:rsidR="00000000" w:rsidRDefault="0053651E">
      <w:pPr>
        <w:pStyle w:val="a3"/>
        <w:spacing w:before="0" w:beforeAutospacing="0" w:after="0" w:afterAutospacing="0"/>
        <w:jc w:val="both"/>
        <w:rPr>
          <w:sz w:val="20"/>
          <w:szCs w:val="20"/>
        </w:rPr>
      </w:pPr>
      <w:r>
        <w:rPr>
          <w:sz w:val="20"/>
          <w:szCs w:val="20"/>
        </w:rPr>
        <w:t> </w:t>
      </w:r>
    </w:p>
    <w:p w14:paraId="5244E5E1" w14:textId="77777777" w:rsidR="00000000" w:rsidRDefault="0053651E">
      <w:pPr>
        <w:pStyle w:val="a3"/>
        <w:spacing w:before="0" w:beforeAutospacing="0" w:after="0" w:afterAutospacing="0"/>
        <w:ind w:firstLine="360"/>
        <w:jc w:val="both"/>
        <w:rPr>
          <w:sz w:val="20"/>
          <w:szCs w:val="20"/>
        </w:rPr>
      </w:pPr>
      <w:r>
        <w:rPr>
          <w:sz w:val="20"/>
          <w:szCs w:val="20"/>
        </w:rPr>
        <w:t>Financing activities during 2018 primarily consisted of the following:</w:t>
      </w:r>
    </w:p>
    <w:p w14:paraId="3833CCD8" w14:textId="77777777" w:rsidR="00000000" w:rsidRDefault="0053651E">
      <w:pPr>
        <w:pStyle w:val="a3"/>
        <w:spacing w:before="0" w:beforeAutospacing="0" w:after="0" w:afterAutospacing="0"/>
        <w:ind w:firstLine="360"/>
        <w:jc w:val="both"/>
        <w:rPr>
          <w:sz w:val="20"/>
          <w:szCs w:val="20"/>
        </w:rPr>
      </w:pPr>
      <w:r>
        <w:rPr>
          <w:sz w:val="20"/>
          <w:szCs w:val="20"/>
        </w:rPr>
        <w:t> </w:t>
      </w:r>
    </w:p>
    <w:p w14:paraId="364647B9" w14:textId="77777777" w:rsidR="00000000" w:rsidRDefault="0053651E">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B7D9633" w14:textId="77777777">
        <w:trPr>
          <w:tblCellSpacing w:w="0" w:type="dxa"/>
        </w:trPr>
        <w:tc>
          <w:tcPr>
            <w:tcW w:w="720" w:type="dxa"/>
            <w:vAlign w:val="center"/>
            <w:hideMark/>
          </w:tcPr>
          <w:p w14:paraId="413A4219" w14:textId="77777777" w:rsidR="00000000" w:rsidRDefault="0053651E">
            <w:pPr>
              <w:rPr>
                <w:rFonts w:eastAsia="Times New Roman"/>
                <w:sz w:val="20"/>
                <w:szCs w:val="20"/>
              </w:rPr>
            </w:pPr>
            <w:r>
              <w:rPr>
                <w:rFonts w:eastAsia="Times New Roman"/>
                <w:sz w:val="20"/>
                <w:szCs w:val="20"/>
              </w:rPr>
              <w:t> </w:t>
            </w:r>
          </w:p>
        </w:tc>
        <w:tc>
          <w:tcPr>
            <w:tcW w:w="360" w:type="dxa"/>
            <w:hideMark/>
          </w:tcPr>
          <w:p w14:paraId="73069444"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E72F714" w14:textId="77777777" w:rsidR="00000000" w:rsidRDefault="0053651E">
            <w:pPr>
              <w:pStyle w:val="a3"/>
              <w:spacing w:before="0" w:beforeAutospacing="0" w:after="0" w:afterAutospacing="0"/>
              <w:jc w:val="both"/>
              <w:rPr>
                <w:sz w:val="20"/>
                <w:szCs w:val="20"/>
              </w:rPr>
            </w:pPr>
            <w:r>
              <w:rPr>
                <w:sz w:val="20"/>
                <w:szCs w:val="20"/>
              </w:rPr>
              <w:t>$92.3 million in proceeds from the Company’s unsecured revolving credit facility, net;</w:t>
            </w:r>
          </w:p>
        </w:tc>
      </w:tr>
    </w:tbl>
    <w:p w14:paraId="1BF81DD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083D7C9" w14:textId="77777777">
        <w:trPr>
          <w:tblCellSpacing w:w="0" w:type="dxa"/>
        </w:trPr>
        <w:tc>
          <w:tcPr>
            <w:tcW w:w="720" w:type="dxa"/>
            <w:vAlign w:val="center"/>
            <w:hideMark/>
          </w:tcPr>
          <w:p w14:paraId="189E5A2A" w14:textId="77777777" w:rsidR="00000000" w:rsidRDefault="0053651E">
            <w:pPr>
              <w:rPr>
                <w:rFonts w:eastAsia="Times New Roman"/>
                <w:sz w:val="20"/>
                <w:szCs w:val="20"/>
              </w:rPr>
            </w:pPr>
            <w:r>
              <w:rPr>
                <w:rFonts w:eastAsia="Times New Roman"/>
                <w:sz w:val="20"/>
                <w:szCs w:val="20"/>
              </w:rPr>
              <w:t> </w:t>
            </w:r>
          </w:p>
        </w:tc>
        <w:tc>
          <w:tcPr>
            <w:tcW w:w="360" w:type="dxa"/>
            <w:hideMark/>
          </w:tcPr>
          <w:p w14:paraId="0DF5BD8D"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77577DB" w14:textId="77777777" w:rsidR="00000000" w:rsidRDefault="0053651E">
            <w:pPr>
              <w:pStyle w:val="a3"/>
              <w:spacing w:before="0" w:beforeAutospacing="0" w:after="0" w:afterAutospacing="0"/>
              <w:jc w:val="both"/>
              <w:rPr>
                <w:sz w:val="20"/>
                <w:szCs w:val="20"/>
              </w:rPr>
            </w:pPr>
            <w:r>
              <w:rPr>
                <w:sz w:val="20"/>
                <w:szCs w:val="20"/>
              </w:rPr>
              <w:t>$51.0 million in proceeds from construction loan financing at one of the Company’s development projects; and</w:t>
            </w:r>
          </w:p>
        </w:tc>
      </w:tr>
    </w:tbl>
    <w:p w14:paraId="3CFA21F2"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1A32AD" w14:textId="77777777">
        <w:trPr>
          <w:tblCellSpacing w:w="0" w:type="dxa"/>
        </w:trPr>
        <w:tc>
          <w:tcPr>
            <w:tcW w:w="720" w:type="dxa"/>
            <w:vAlign w:val="center"/>
            <w:hideMark/>
          </w:tcPr>
          <w:p w14:paraId="62F51847" w14:textId="77777777" w:rsidR="00000000" w:rsidRDefault="0053651E">
            <w:pPr>
              <w:rPr>
                <w:rFonts w:eastAsia="Times New Roman"/>
                <w:sz w:val="20"/>
                <w:szCs w:val="20"/>
              </w:rPr>
            </w:pPr>
            <w:r>
              <w:rPr>
                <w:rFonts w:eastAsia="Times New Roman"/>
                <w:sz w:val="20"/>
                <w:szCs w:val="20"/>
              </w:rPr>
              <w:t> </w:t>
            </w:r>
          </w:p>
        </w:tc>
        <w:tc>
          <w:tcPr>
            <w:tcW w:w="360" w:type="dxa"/>
            <w:hideMark/>
          </w:tcPr>
          <w:p w14:paraId="6FB1540D"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00F26505" w14:textId="77777777" w:rsidR="00000000" w:rsidRDefault="0053651E">
            <w:pPr>
              <w:pStyle w:val="a3"/>
              <w:spacing w:before="0" w:beforeAutospacing="0" w:after="0" w:afterAutospacing="0"/>
              <w:jc w:val="both"/>
              <w:rPr>
                <w:sz w:val="20"/>
                <w:szCs w:val="20"/>
              </w:rPr>
            </w:pPr>
            <w:r>
              <w:rPr>
                <w:sz w:val="20"/>
                <w:szCs w:val="20"/>
              </w:rPr>
              <w:t>$33.7 million in proceeds primarily from the exercise of the Class M Preferred Stock over-allotment option.</w:t>
            </w:r>
          </w:p>
        </w:tc>
      </w:tr>
    </w:tbl>
    <w:p w14:paraId="7E170A16" w14:textId="77777777" w:rsidR="00000000" w:rsidRDefault="0053651E">
      <w:pPr>
        <w:pStyle w:val="a3"/>
        <w:spacing w:before="0" w:beforeAutospacing="0" w:after="0" w:afterAutospacing="0"/>
        <w:jc w:val="both"/>
        <w:rPr>
          <w:sz w:val="20"/>
          <w:szCs w:val="20"/>
        </w:rPr>
      </w:pPr>
      <w:r>
        <w:rPr>
          <w:sz w:val="20"/>
          <w:szCs w:val="20"/>
        </w:rPr>
        <w:t> </w:t>
      </w:r>
    </w:p>
    <w:p w14:paraId="54EAE14E" w14:textId="77777777" w:rsidR="00000000" w:rsidRDefault="0053651E">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8728042" w14:textId="77777777">
        <w:trPr>
          <w:tblCellSpacing w:w="0" w:type="dxa"/>
        </w:trPr>
        <w:tc>
          <w:tcPr>
            <w:tcW w:w="720" w:type="dxa"/>
            <w:vAlign w:val="center"/>
            <w:hideMark/>
          </w:tcPr>
          <w:p w14:paraId="51D25C27" w14:textId="77777777" w:rsidR="00000000" w:rsidRDefault="0053651E">
            <w:pPr>
              <w:rPr>
                <w:rFonts w:eastAsia="Times New Roman"/>
                <w:sz w:val="20"/>
                <w:szCs w:val="20"/>
              </w:rPr>
            </w:pPr>
            <w:r>
              <w:rPr>
                <w:rFonts w:eastAsia="Times New Roman"/>
                <w:sz w:val="20"/>
                <w:szCs w:val="20"/>
              </w:rPr>
              <w:t> </w:t>
            </w:r>
          </w:p>
        </w:tc>
        <w:tc>
          <w:tcPr>
            <w:tcW w:w="360" w:type="dxa"/>
            <w:hideMark/>
          </w:tcPr>
          <w:p w14:paraId="0E2636D0"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B117997" w14:textId="77777777" w:rsidR="00000000" w:rsidRDefault="0053651E">
            <w:pPr>
              <w:pStyle w:val="a3"/>
              <w:spacing w:before="0" w:beforeAutospacing="0" w:after="0" w:afterAutospacing="0"/>
              <w:jc w:val="both"/>
              <w:rPr>
                <w:sz w:val="20"/>
                <w:szCs w:val="20"/>
              </w:rPr>
            </w:pPr>
            <w:r>
              <w:rPr>
                <w:sz w:val="20"/>
                <w:szCs w:val="20"/>
              </w:rPr>
              <w:t>$529.8 mill</w:t>
            </w:r>
            <w:r>
              <w:rPr>
                <w:sz w:val="20"/>
                <w:szCs w:val="20"/>
              </w:rPr>
              <w:t>ion of dividends paid;</w:t>
            </w:r>
          </w:p>
        </w:tc>
      </w:tr>
    </w:tbl>
    <w:p w14:paraId="7BAF14C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324AB0D" w14:textId="77777777">
        <w:trPr>
          <w:tblCellSpacing w:w="0" w:type="dxa"/>
        </w:trPr>
        <w:tc>
          <w:tcPr>
            <w:tcW w:w="720" w:type="dxa"/>
            <w:vAlign w:val="center"/>
            <w:hideMark/>
          </w:tcPr>
          <w:p w14:paraId="06BC1379" w14:textId="77777777" w:rsidR="00000000" w:rsidRDefault="0053651E">
            <w:pPr>
              <w:rPr>
                <w:rFonts w:eastAsia="Times New Roman"/>
                <w:sz w:val="20"/>
                <w:szCs w:val="20"/>
              </w:rPr>
            </w:pPr>
            <w:r>
              <w:rPr>
                <w:rFonts w:eastAsia="Times New Roman"/>
                <w:sz w:val="20"/>
                <w:szCs w:val="20"/>
              </w:rPr>
              <w:t> </w:t>
            </w:r>
          </w:p>
        </w:tc>
        <w:tc>
          <w:tcPr>
            <w:tcW w:w="360" w:type="dxa"/>
            <w:hideMark/>
          </w:tcPr>
          <w:p w14:paraId="7843B70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58D1C94E" w14:textId="77777777" w:rsidR="00000000" w:rsidRDefault="0053651E">
            <w:pPr>
              <w:pStyle w:val="a3"/>
              <w:spacing w:before="0" w:beforeAutospacing="0" w:after="0" w:afterAutospacing="0"/>
              <w:jc w:val="both"/>
              <w:rPr>
                <w:sz w:val="20"/>
                <w:szCs w:val="20"/>
              </w:rPr>
            </w:pPr>
            <w:r>
              <w:rPr>
                <w:sz w:val="20"/>
                <w:szCs w:val="20"/>
              </w:rPr>
              <w:t>$315.1 million for the repayment of unsecured notes;</w:t>
            </w:r>
          </w:p>
        </w:tc>
      </w:tr>
    </w:tbl>
    <w:p w14:paraId="30C2D2E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FF9C34B" w14:textId="77777777">
        <w:trPr>
          <w:tblCellSpacing w:w="0" w:type="dxa"/>
        </w:trPr>
        <w:tc>
          <w:tcPr>
            <w:tcW w:w="720" w:type="dxa"/>
            <w:vAlign w:val="center"/>
            <w:hideMark/>
          </w:tcPr>
          <w:p w14:paraId="3D220F89" w14:textId="77777777" w:rsidR="00000000" w:rsidRDefault="0053651E">
            <w:pPr>
              <w:rPr>
                <w:rFonts w:eastAsia="Times New Roman"/>
                <w:sz w:val="20"/>
                <w:szCs w:val="20"/>
              </w:rPr>
            </w:pPr>
            <w:r>
              <w:rPr>
                <w:rFonts w:eastAsia="Times New Roman"/>
                <w:sz w:val="20"/>
                <w:szCs w:val="20"/>
              </w:rPr>
              <w:t> </w:t>
            </w:r>
          </w:p>
        </w:tc>
        <w:tc>
          <w:tcPr>
            <w:tcW w:w="360" w:type="dxa"/>
            <w:hideMark/>
          </w:tcPr>
          <w:p w14:paraId="5EBAD1E9"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4013BB00" w14:textId="77777777" w:rsidR="00000000" w:rsidRDefault="0053651E">
            <w:pPr>
              <w:pStyle w:val="a3"/>
              <w:spacing w:before="0" w:beforeAutospacing="0" w:after="0" w:afterAutospacing="0"/>
              <w:jc w:val="both"/>
              <w:rPr>
                <w:sz w:val="20"/>
                <w:szCs w:val="20"/>
              </w:rPr>
            </w:pPr>
            <w:r>
              <w:rPr>
                <w:sz w:val="20"/>
                <w:szCs w:val="20"/>
              </w:rPr>
              <w:t>$217.9 million for principal payments on debt (related to the repayment of debt on six encumbered properties), including normal amortization on rental property debt;</w:t>
            </w:r>
          </w:p>
        </w:tc>
      </w:tr>
    </w:tbl>
    <w:p w14:paraId="3BC5FB5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2AB70FA" w14:textId="77777777">
        <w:trPr>
          <w:tblCellSpacing w:w="0" w:type="dxa"/>
        </w:trPr>
        <w:tc>
          <w:tcPr>
            <w:tcW w:w="720" w:type="dxa"/>
            <w:vAlign w:val="center"/>
            <w:hideMark/>
          </w:tcPr>
          <w:p w14:paraId="35485CC6" w14:textId="77777777" w:rsidR="00000000" w:rsidRDefault="0053651E">
            <w:pPr>
              <w:rPr>
                <w:rFonts w:eastAsia="Times New Roman"/>
                <w:sz w:val="20"/>
                <w:szCs w:val="20"/>
              </w:rPr>
            </w:pPr>
            <w:r>
              <w:rPr>
                <w:rFonts w:eastAsia="Times New Roman"/>
                <w:sz w:val="20"/>
                <w:szCs w:val="20"/>
              </w:rPr>
              <w:t> </w:t>
            </w:r>
          </w:p>
        </w:tc>
        <w:tc>
          <w:tcPr>
            <w:tcW w:w="360" w:type="dxa"/>
            <w:hideMark/>
          </w:tcPr>
          <w:p w14:paraId="341BF0CC"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2EF185EC" w14:textId="77777777" w:rsidR="00000000" w:rsidRDefault="0053651E">
            <w:pPr>
              <w:pStyle w:val="a3"/>
              <w:spacing w:before="0" w:beforeAutospacing="0" w:after="0" w:afterAutospacing="0"/>
              <w:jc w:val="both"/>
              <w:rPr>
                <w:sz w:val="20"/>
                <w:szCs w:val="20"/>
              </w:rPr>
            </w:pPr>
            <w:r>
              <w:rPr>
                <w:sz w:val="20"/>
                <w:szCs w:val="20"/>
              </w:rPr>
              <w:t>$75.1 million for the repurchase of common stock;</w:t>
            </w:r>
          </w:p>
        </w:tc>
      </w:tr>
    </w:tbl>
    <w:p w14:paraId="0619C9D1" w14:textId="77777777" w:rsidR="00000000" w:rsidRDefault="0053651E">
      <w:pPr>
        <w:pStyle w:val="a3"/>
        <w:spacing w:before="0" w:beforeAutospacing="0" w:after="0" w:afterAutospacing="0"/>
        <w:rPr>
          <w:sz w:val="20"/>
          <w:szCs w:val="20"/>
        </w:rPr>
      </w:pPr>
      <w:r>
        <w:rPr>
          <w:sz w:val="20"/>
          <w:szCs w:val="20"/>
        </w:rPr>
        <w:t> </w:t>
      </w:r>
    </w:p>
    <w:p w14:paraId="266003BD" w14:textId="77777777" w:rsidR="00000000" w:rsidRDefault="0053651E">
      <w:pPr>
        <w:jc w:val="center"/>
        <w:divId w:val="165168503"/>
        <w:rPr>
          <w:rFonts w:eastAsia="Times New Roman"/>
          <w:sz w:val="20"/>
          <w:szCs w:val="20"/>
        </w:rPr>
      </w:pPr>
      <w:r>
        <w:rPr>
          <w:rFonts w:eastAsia="Times New Roman"/>
          <w:sz w:val="20"/>
          <w:szCs w:val="20"/>
        </w:rPr>
        <w:t xml:space="preserve">28 </w:t>
      </w:r>
    </w:p>
    <w:p w14:paraId="4C7C2598" w14:textId="77777777" w:rsidR="00000000" w:rsidRDefault="0053651E">
      <w:pPr>
        <w:divId w:val="165168503"/>
        <w:rPr>
          <w:rFonts w:eastAsia="Times New Roman"/>
          <w:sz w:val="20"/>
          <w:szCs w:val="20"/>
        </w:rPr>
      </w:pPr>
      <w:r>
        <w:rPr>
          <w:rFonts w:eastAsia="Times New Roman"/>
          <w:sz w:val="20"/>
          <w:szCs w:val="20"/>
        </w:rPr>
        <w:pict w14:anchorId="2026B3FE">
          <v:rect id="_x0000_i1059" style="width:0;height:1.5pt" o:hralign="center" o:hrstd="t" o:hr="t" fillcolor="#a0a0a0" stroked="f"/>
        </w:pict>
      </w:r>
    </w:p>
    <w:p w14:paraId="51BB0ECC" w14:textId="77777777" w:rsidR="00000000" w:rsidRDefault="0053651E">
      <w:pPr>
        <w:divId w:val="1651685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03390B6"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D4FE6C7" w14:textId="77777777">
        <w:trPr>
          <w:tblCellSpacing w:w="0" w:type="dxa"/>
        </w:trPr>
        <w:tc>
          <w:tcPr>
            <w:tcW w:w="720" w:type="dxa"/>
            <w:vAlign w:val="center"/>
            <w:hideMark/>
          </w:tcPr>
          <w:p w14:paraId="25435F79" w14:textId="77777777" w:rsidR="00000000" w:rsidRDefault="0053651E">
            <w:pPr>
              <w:rPr>
                <w:rFonts w:eastAsia="Times New Roman"/>
                <w:sz w:val="20"/>
                <w:szCs w:val="20"/>
              </w:rPr>
            </w:pPr>
            <w:r>
              <w:rPr>
                <w:rFonts w:eastAsia="Times New Roman"/>
                <w:sz w:val="20"/>
                <w:szCs w:val="20"/>
              </w:rPr>
              <w:t> </w:t>
            </w:r>
          </w:p>
        </w:tc>
        <w:tc>
          <w:tcPr>
            <w:tcW w:w="360" w:type="dxa"/>
            <w:hideMark/>
          </w:tcPr>
          <w:p w14:paraId="24B27821"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DB7554A" w14:textId="77777777" w:rsidR="00000000" w:rsidRDefault="0053651E">
            <w:pPr>
              <w:pStyle w:val="a3"/>
              <w:spacing w:before="0" w:beforeAutospacing="0" w:after="0" w:afterAutospacing="0"/>
              <w:jc w:val="both"/>
              <w:rPr>
                <w:sz w:val="20"/>
                <w:szCs w:val="20"/>
              </w:rPr>
            </w:pPr>
            <w:r>
              <w:rPr>
                <w:sz w:val="20"/>
                <w:szCs w:val="20"/>
              </w:rPr>
              <w:t>$13.3 million for the payment of early extinguishment of debt charges; and</w:t>
            </w:r>
          </w:p>
        </w:tc>
      </w:tr>
    </w:tbl>
    <w:p w14:paraId="6D55338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7D21DA3" w14:textId="77777777">
        <w:trPr>
          <w:tblCellSpacing w:w="0" w:type="dxa"/>
        </w:trPr>
        <w:tc>
          <w:tcPr>
            <w:tcW w:w="720" w:type="dxa"/>
            <w:vAlign w:val="center"/>
            <w:hideMark/>
          </w:tcPr>
          <w:p w14:paraId="78A70767" w14:textId="77777777" w:rsidR="00000000" w:rsidRDefault="0053651E">
            <w:pPr>
              <w:rPr>
                <w:rFonts w:eastAsia="Times New Roman"/>
                <w:sz w:val="20"/>
                <w:szCs w:val="20"/>
              </w:rPr>
            </w:pPr>
            <w:r>
              <w:rPr>
                <w:rFonts w:eastAsia="Times New Roman"/>
                <w:sz w:val="20"/>
                <w:szCs w:val="20"/>
              </w:rPr>
              <w:t> </w:t>
            </w:r>
          </w:p>
        </w:tc>
        <w:tc>
          <w:tcPr>
            <w:tcW w:w="360" w:type="dxa"/>
            <w:hideMark/>
          </w:tcPr>
          <w:p w14:paraId="3AD3E557" w14:textId="77777777" w:rsidR="00000000" w:rsidRDefault="0053651E">
            <w:pPr>
              <w:pStyle w:val="a3"/>
              <w:spacing w:before="0" w:beforeAutospacing="0" w:after="0" w:afterAutospacing="0"/>
              <w:jc w:val="both"/>
              <w:rPr>
                <w:sz w:val="20"/>
                <w:szCs w:val="20"/>
              </w:rPr>
            </w:pPr>
            <w:r>
              <w:rPr>
                <w:sz w:val="20"/>
                <w:szCs w:val="20"/>
              </w:rPr>
              <w:t>●</w:t>
            </w:r>
          </w:p>
        </w:tc>
        <w:tc>
          <w:tcPr>
            <w:tcW w:w="0" w:type="auto"/>
            <w:hideMark/>
          </w:tcPr>
          <w:p w14:paraId="6E121C3C" w14:textId="77777777" w:rsidR="00000000" w:rsidRDefault="0053651E">
            <w:pPr>
              <w:pStyle w:val="a3"/>
              <w:spacing w:before="0" w:beforeAutospacing="0" w:after="0" w:afterAutospacing="0"/>
              <w:jc w:val="both"/>
              <w:rPr>
                <w:sz w:val="20"/>
                <w:szCs w:val="20"/>
              </w:rPr>
            </w:pPr>
            <w:r>
              <w:rPr>
                <w:sz w:val="20"/>
                <w:szCs w:val="20"/>
              </w:rPr>
              <w:t>$6.7 million for redemption/distribution of noncontrolling interests, primarily related to the redemption of certa</w:t>
            </w:r>
            <w:r>
              <w:rPr>
                <w:sz w:val="20"/>
                <w:szCs w:val="20"/>
              </w:rPr>
              <w:t>in partnership units by consolidated subsidiaries.</w:t>
            </w:r>
          </w:p>
        </w:tc>
      </w:tr>
    </w:tbl>
    <w:p w14:paraId="62C7C929" w14:textId="77777777" w:rsidR="00000000" w:rsidRDefault="0053651E">
      <w:pPr>
        <w:pStyle w:val="a3"/>
        <w:spacing w:before="0" w:beforeAutospacing="0" w:after="0" w:afterAutospacing="0"/>
        <w:ind w:left="720"/>
        <w:rPr>
          <w:sz w:val="20"/>
          <w:szCs w:val="20"/>
        </w:rPr>
      </w:pPr>
      <w:r>
        <w:rPr>
          <w:sz w:val="20"/>
          <w:szCs w:val="20"/>
        </w:rPr>
        <w:t> </w:t>
      </w:r>
    </w:p>
    <w:p w14:paraId="257D06A8" w14:textId="77777777" w:rsidR="00000000" w:rsidRDefault="0053651E">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current assessment, believes it has viable financing a</w:t>
      </w:r>
      <w:r>
        <w:rPr>
          <w:sz w:val="20"/>
          <w:szCs w:val="20"/>
        </w:rPr>
        <w:t xml:space="preserve">nd refinancing alternatives that will not materially adversely impact its expected financial results. The Company continues to pursue borrowing opportunities with large commercial U.S. and global banks, select life insurance companies and certain regional </w:t>
      </w:r>
      <w:r>
        <w:rPr>
          <w:sz w:val="20"/>
          <w:szCs w:val="20"/>
        </w:rPr>
        <w:t>and local banks. The Company has noticed a continuing trend that, although pricing remains dependent on specific deal terms, generally spreads for non-recourse mortgage financing have stabilized and the unsecured debt markets are functioning well and credi</w:t>
      </w:r>
      <w:r>
        <w:rPr>
          <w:sz w:val="20"/>
          <w:szCs w:val="20"/>
        </w:rPr>
        <w:t>t spreads are at manageable levels.</w:t>
      </w:r>
    </w:p>
    <w:p w14:paraId="48752FED" w14:textId="77777777" w:rsidR="00000000" w:rsidRDefault="0053651E">
      <w:pPr>
        <w:pStyle w:val="a3"/>
        <w:spacing w:before="0" w:beforeAutospacing="0" w:after="0" w:afterAutospacing="0"/>
        <w:ind w:firstLine="360"/>
        <w:jc w:val="both"/>
        <w:rPr>
          <w:sz w:val="20"/>
          <w:szCs w:val="20"/>
        </w:rPr>
      </w:pPr>
      <w:r>
        <w:rPr>
          <w:sz w:val="20"/>
          <w:szCs w:val="20"/>
        </w:rPr>
        <w:t> </w:t>
      </w:r>
    </w:p>
    <w:p w14:paraId="52BC6938" w14:textId="77777777" w:rsidR="00000000" w:rsidRDefault="0053651E">
      <w:pPr>
        <w:pStyle w:val="a3"/>
        <w:spacing w:before="0" w:beforeAutospacing="0" w:after="0" w:afterAutospacing="0"/>
        <w:ind w:firstLine="360"/>
        <w:jc w:val="both"/>
        <w:rPr>
          <w:sz w:val="20"/>
          <w:szCs w:val="20"/>
        </w:rPr>
      </w:pPr>
      <w:r>
        <w:rPr>
          <w:sz w:val="20"/>
          <w:szCs w:val="20"/>
        </w:rPr>
        <w:t>Debt maturities for 2020 consist of: $92.9 million of consolidated debt; $146.3 million of unconsolidated joint venture debt and $61.9 million of debt included in the Company’s Preferred Equity Program, assuming the ut</w:t>
      </w:r>
      <w:r>
        <w:rPr>
          <w:sz w:val="20"/>
          <w:szCs w:val="20"/>
        </w:rPr>
        <w:t>ilization of extension options where available.  The 2020 consolidated debt maturities are anticipated to be repaid with operating cash flows and borrowings from the Company's Credit Facility. The 2020 debt maturities on properties in the Company's unconso</w:t>
      </w:r>
      <w:r>
        <w:rPr>
          <w:sz w:val="20"/>
          <w:szCs w:val="20"/>
        </w:rPr>
        <w:t>lidated joint ventures and Preferred Equity Program are anticipated to be repaid through operating cash flows, debt refinancing, unsecured credit facilities, proceeds from sales and partner capital contributions, as deemed appropriate.</w:t>
      </w:r>
    </w:p>
    <w:p w14:paraId="211D662F" w14:textId="77777777" w:rsidR="00000000" w:rsidRDefault="0053651E">
      <w:pPr>
        <w:pStyle w:val="a3"/>
        <w:spacing w:before="0" w:beforeAutospacing="0" w:after="0" w:afterAutospacing="0"/>
        <w:ind w:firstLine="360"/>
        <w:jc w:val="both"/>
        <w:rPr>
          <w:sz w:val="20"/>
          <w:szCs w:val="20"/>
        </w:rPr>
      </w:pPr>
      <w:r>
        <w:rPr>
          <w:sz w:val="20"/>
          <w:szCs w:val="20"/>
        </w:rPr>
        <w:t> </w:t>
      </w:r>
    </w:p>
    <w:p w14:paraId="7FE5CE92" w14:textId="77777777" w:rsidR="00000000" w:rsidRDefault="0053651E">
      <w:pPr>
        <w:pStyle w:val="a3"/>
        <w:spacing w:before="0" w:beforeAutospacing="0" w:after="0" w:afterAutospacing="0"/>
        <w:ind w:firstLine="360"/>
        <w:jc w:val="both"/>
        <w:rPr>
          <w:sz w:val="20"/>
          <w:szCs w:val="20"/>
        </w:rPr>
      </w:pPr>
      <w:r>
        <w:rPr>
          <w:sz w:val="20"/>
          <w:szCs w:val="20"/>
        </w:rPr>
        <w:t>The Company intend</w:t>
      </w:r>
      <w:r>
        <w:rPr>
          <w:sz w:val="20"/>
          <w:szCs w:val="20"/>
        </w:rPr>
        <w:t>s to maintain strong debt service coverage and fixed charge coverage ratios as part of its commitment to maintain or obtain an upgrade on its investment-grade senior, unsecured debt ratings.  The Company may, from time to time, seek to obtain funds through</w:t>
      </w:r>
      <w:r>
        <w:rPr>
          <w:sz w:val="20"/>
          <w:szCs w:val="20"/>
        </w:rPr>
        <w:t xml:space="preserve"> additional common and preferred equity offerings, unsecured debt financings and/or mortgage/construction loan financings and other capital alternatives.</w:t>
      </w:r>
    </w:p>
    <w:p w14:paraId="2E32AB67" w14:textId="77777777" w:rsidR="00000000" w:rsidRDefault="0053651E">
      <w:pPr>
        <w:pStyle w:val="a3"/>
        <w:spacing w:before="0" w:beforeAutospacing="0" w:after="0" w:afterAutospacing="0"/>
        <w:ind w:firstLine="360"/>
        <w:jc w:val="both"/>
        <w:rPr>
          <w:sz w:val="20"/>
          <w:szCs w:val="20"/>
        </w:rPr>
      </w:pPr>
      <w:r>
        <w:rPr>
          <w:sz w:val="20"/>
          <w:szCs w:val="20"/>
        </w:rPr>
        <w:t> </w:t>
      </w:r>
    </w:p>
    <w:p w14:paraId="68E66BB4" w14:textId="77777777" w:rsidR="00000000" w:rsidRDefault="0053651E">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w:t>
      </w:r>
      <w:r>
        <w:rPr>
          <w:sz w:val="20"/>
          <w:szCs w:val="20"/>
        </w:rPr>
        <w:t xml:space="preserve">ty markets as its principal source of capital for its expansion needs. Since the IPO, the Company has completed additional offerings of its public unsecured debt and equity, raising in the aggregate over $14.1 billion.  Proceeds from public capital market </w:t>
      </w:r>
      <w:r>
        <w:rPr>
          <w:sz w:val="20"/>
          <w:szCs w:val="20"/>
        </w:rPr>
        <w:t>activities have been used for the purposes of, among other things, repaying indebtedness, acquiring interests in open-air shopping centers, funding real estate under development projects, expanding and improving properties in the portfolio and other invest</w:t>
      </w:r>
      <w:r>
        <w:rPr>
          <w:sz w:val="20"/>
          <w:szCs w:val="20"/>
        </w:rPr>
        <w:t>ments.</w:t>
      </w:r>
    </w:p>
    <w:p w14:paraId="6ABEB7B2" w14:textId="77777777" w:rsidR="00000000" w:rsidRDefault="0053651E">
      <w:pPr>
        <w:pStyle w:val="a3"/>
        <w:spacing w:before="0" w:beforeAutospacing="0" w:after="0" w:afterAutospacing="0"/>
        <w:ind w:firstLine="360"/>
        <w:jc w:val="both"/>
        <w:rPr>
          <w:sz w:val="20"/>
          <w:szCs w:val="20"/>
        </w:rPr>
      </w:pPr>
      <w:r>
        <w:rPr>
          <w:sz w:val="20"/>
          <w:szCs w:val="20"/>
        </w:rPr>
        <w:t> </w:t>
      </w:r>
    </w:p>
    <w:p w14:paraId="319A29AA" w14:textId="77777777" w:rsidR="00000000" w:rsidRDefault="0053651E">
      <w:pPr>
        <w:pStyle w:val="a3"/>
        <w:spacing w:before="0" w:beforeAutospacing="0" w:after="0" w:afterAutospacing="0"/>
        <w:ind w:firstLine="360"/>
        <w:jc w:val="both"/>
        <w:rPr>
          <w:sz w:val="20"/>
          <w:szCs w:val="20"/>
        </w:rPr>
      </w:pPr>
      <w:r>
        <w:rPr>
          <w:sz w:val="20"/>
          <w:szCs w:val="20"/>
        </w:rPr>
        <w:t>During February 2018, the Company filed a shelf registration statement on Form S-3, which is effective for a term of three years, for the future unlimited offerings, from time-to-time, of debt securities, preferred stock, depositary shares, common</w:t>
      </w:r>
      <w:r>
        <w:rPr>
          <w:sz w:val="20"/>
          <w:szCs w:val="20"/>
        </w:rPr>
        <w:t xml:space="preserve"> stock and common stock warrants. The Company, pursuant to this shelf registration statement may, from time to time, offer for sale its senior unsecured debt for any general corporate purposes, including (i) funding specific liquidity requirements in its b</w:t>
      </w:r>
      <w:r>
        <w:rPr>
          <w:sz w:val="20"/>
          <w:szCs w:val="20"/>
        </w:rPr>
        <w:t>usiness, including property acquisitions, development and redevelopment costs and (ii) managing the Company’s debt maturities (See Footnotes 12 and 13 of the Notes to Consolidated Financial Statements included in this Form 10-K).</w:t>
      </w:r>
    </w:p>
    <w:p w14:paraId="023D3E38" w14:textId="77777777" w:rsidR="00000000" w:rsidRDefault="0053651E">
      <w:pPr>
        <w:pStyle w:val="a3"/>
        <w:spacing w:before="0" w:beforeAutospacing="0" w:after="0" w:afterAutospacing="0"/>
        <w:ind w:firstLine="360"/>
        <w:jc w:val="both"/>
        <w:rPr>
          <w:sz w:val="20"/>
          <w:szCs w:val="20"/>
        </w:rPr>
      </w:pPr>
      <w:r>
        <w:rPr>
          <w:sz w:val="20"/>
          <w:szCs w:val="20"/>
        </w:rPr>
        <w:t> </w:t>
      </w:r>
    </w:p>
    <w:p w14:paraId="0288AD8F" w14:textId="77777777" w:rsidR="00000000" w:rsidRDefault="0053651E">
      <w:pPr>
        <w:pStyle w:val="a3"/>
        <w:spacing w:before="0" w:beforeAutospacing="0" w:after="0" w:afterAutospacing="0"/>
        <w:ind w:firstLine="360"/>
        <w:jc w:val="both"/>
        <w:rPr>
          <w:sz w:val="20"/>
          <w:szCs w:val="20"/>
        </w:rPr>
      </w:pPr>
      <w:r>
        <w:rPr>
          <w:i/>
          <w:iCs/>
          <w:sz w:val="20"/>
          <w:szCs w:val="20"/>
        </w:rPr>
        <w:t>Preferred Stock –</w:t>
      </w:r>
    </w:p>
    <w:p w14:paraId="5076F7CE"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7F0D74CA" w14:textId="77777777" w:rsidR="00000000" w:rsidRDefault="0053651E">
      <w:pPr>
        <w:pStyle w:val="a3"/>
        <w:spacing w:before="0" w:beforeAutospacing="0" w:after="0" w:afterAutospacing="0"/>
        <w:ind w:left="360"/>
        <w:jc w:val="both"/>
        <w:rPr>
          <w:sz w:val="20"/>
          <w:szCs w:val="20"/>
        </w:rPr>
      </w:pPr>
      <w:r>
        <w:rPr>
          <w:sz w:val="20"/>
          <w:szCs w:val="20"/>
        </w:rPr>
        <w:t>The following Preferred Stock classes were redeemed during the year ended December 31, 2019:</w:t>
      </w:r>
    </w:p>
    <w:p w14:paraId="42467593"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833"/>
        <w:gridCol w:w="50"/>
        <w:gridCol w:w="1045"/>
        <w:gridCol w:w="50"/>
        <w:gridCol w:w="60"/>
        <w:gridCol w:w="719"/>
        <w:gridCol w:w="50"/>
        <w:gridCol w:w="50"/>
        <w:gridCol w:w="72"/>
        <w:gridCol w:w="862"/>
        <w:gridCol w:w="50"/>
        <w:gridCol w:w="50"/>
        <w:gridCol w:w="101"/>
        <w:gridCol w:w="964"/>
        <w:gridCol w:w="50"/>
        <w:gridCol w:w="50"/>
        <w:gridCol w:w="101"/>
        <w:gridCol w:w="964"/>
        <w:gridCol w:w="50"/>
        <w:gridCol w:w="50"/>
        <w:gridCol w:w="101"/>
        <w:gridCol w:w="964"/>
        <w:gridCol w:w="50"/>
      </w:tblGrid>
      <w:tr w:rsidR="00000000" w14:paraId="71E2CEE5" w14:textId="77777777">
        <w:trPr>
          <w:tblCellSpacing w:w="0" w:type="dxa"/>
        </w:trPr>
        <w:tc>
          <w:tcPr>
            <w:tcW w:w="600" w:type="pct"/>
            <w:tcBorders>
              <w:bottom w:val="single" w:sz="6" w:space="0" w:color="000000"/>
            </w:tcBorders>
            <w:vAlign w:val="bottom"/>
            <w:hideMark/>
          </w:tcPr>
          <w:p w14:paraId="24195C8D" w14:textId="77777777" w:rsidR="00000000" w:rsidRDefault="0053651E">
            <w:pPr>
              <w:pStyle w:val="a3"/>
              <w:spacing w:before="0" w:beforeAutospacing="0" w:after="0" w:afterAutospacing="0"/>
              <w:jc w:val="center"/>
              <w:rPr>
                <w:sz w:val="20"/>
                <w:szCs w:val="20"/>
              </w:rPr>
            </w:pPr>
            <w:r>
              <w:rPr>
                <w:b/>
                <w:bCs/>
                <w:sz w:val="20"/>
                <w:szCs w:val="20"/>
              </w:rPr>
              <w:t>Class of</w:t>
            </w:r>
          </w:p>
          <w:p w14:paraId="7C004005" w14:textId="77777777" w:rsidR="00000000" w:rsidRDefault="0053651E">
            <w:pPr>
              <w:pStyle w:val="a3"/>
              <w:spacing w:before="0" w:beforeAutospacing="0" w:after="0" w:afterAutospacing="0"/>
              <w:jc w:val="center"/>
              <w:rPr>
                <w:sz w:val="20"/>
                <w:szCs w:val="20"/>
              </w:rPr>
            </w:pPr>
            <w:r>
              <w:rPr>
                <w:b/>
                <w:bCs/>
                <w:sz w:val="20"/>
                <w:szCs w:val="20"/>
              </w:rPr>
              <w:t xml:space="preserve">Preferred </w:t>
            </w:r>
          </w:p>
          <w:p w14:paraId="30A505DD" w14:textId="77777777" w:rsidR="00000000" w:rsidRDefault="0053651E">
            <w:pPr>
              <w:pStyle w:val="a3"/>
              <w:spacing w:before="0" w:beforeAutospacing="0" w:after="0" w:afterAutospacing="0"/>
              <w:jc w:val="center"/>
              <w:rPr>
                <w:sz w:val="20"/>
                <w:szCs w:val="20"/>
              </w:rPr>
            </w:pPr>
            <w:r>
              <w:rPr>
                <w:b/>
                <w:bCs/>
                <w:sz w:val="20"/>
                <w:szCs w:val="20"/>
              </w:rPr>
              <w:t>Stock</w:t>
            </w:r>
          </w:p>
        </w:tc>
        <w:tc>
          <w:tcPr>
            <w:tcW w:w="50" w:type="pct"/>
            <w:tcBorders>
              <w:bottom w:val="single" w:sz="6" w:space="0" w:color="000000"/>
            </w:tcBorders>
            <w:vAlign w:val="bottom"/>
            <w:hideMark/>
          </w:tcPr>
          <w:p w14:paraId="45DEC77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14:paraId="0E976525" w14:textId="77777777" w:rsidR="00000000" w:rsidRDefault="0053651E">
            <w:pPr>
              <w:pStyle w:val="a3"/>
              <w:spacing w:before="0" w:beforeAutospacing="0" w:after="0" w:afterAutospacing="0"/>
              <w:jc w:val="center"/>
              <w:rPr>
                <w:sz w:val="20"/>
                <w:szCs w:val="20"/>
              </w:rPr>
            </w:pPr>
            <w:r>
              <w:rPr>
                <w:b/>
                <w:bCs/>
                <w:sz w:val="20"/>
                <w:szCs w:val="20"/>
              </w:rPr>
              <w:t>Redemption</w:t>
            </w:r>
          </w:p>
          <w:p w14:paraId="610FFD67" w14:textId="77777777" w:rsidR="00000000" w:rsidRDefault="0053651E">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tcBorders>
            <w:tcMar>
              <w:top w:w="0" w:type="dxa"/>
              <w:left w:w="0" w:type="dxa"/>
              <w:bottom w:w="15" w:type="dxa"/>
              <w:right w:w="0" w:type="dxa"/>
            </w:tcMar>
            <w:vAlign w:val="bottom"/>
            <w:hideMark/>
          </w:tcPr>
          <w:p w14:paraId="3D7944C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04FDFB4" w14:textId="77777777" w:rsidR="00000000" w:rsidRDefault="0053651E">
            <w:pPr>
              <w:pStyle w:val="a3"/>
              <w:spacing w:before="0" w:beforeAutospacing="0" w:after="0" w:afterAutospacing="0"/>
              <w:jc w:val="center"/>
              <w:rPr>
                <w:sz w:val="20"/>
                <w:szCs w:val="20"/>
              </w:rPr>
            </w:pPr>
            <w:r>
              <w:rPr>
                <w:b/>
                <w:bCs/>
                <w:sz w:val="20"/>
                <w:szCs w:val="20"/>
              </w:rPr>
              <w:t>Dividend</w:t>
            </w:r>
          </w:p>
          <w:p w14:paraId="4345E7B0" w14:textId="77777777" w:rsidR="00000000" w:rsidRDefault="0053651E">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vAlign w:val="bottom"/>
            <w:hideMark/>
          </w:tcPr>
          <w:p w14:paraId="6BD628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11EEB0BA"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CFE8226" w14:textId="77777777" w:rsidR="00000000" w:rsidRDefault="0053651E">
            <w:pPr>
              <w:pStyle w:val="a3"/>
              <w:spacing w:before="0" w:beforeAutospacing="0" w:after="0" w:afterAutospacing="0"/>
              <w:jc w:val="center"/>
              <w:rPr>
                <w:sz w:val="20"/>
                <w:szCs w:val="20"/>
              </w:rPr>
            </w:pPr>
            <w:r>
              <w:rPr>
                <w:b/>
                <w:bCs/>
                <w:sz w:val="20"/>
                <w:szCs w:val="20"/>
              </w:rPr>
              <w:t>Depositary</w:t>
            </w:r>
          </w:p>
          <w:p w14:paraId="1AD3B696" w14:textId="77777777" w:rsidR="00000000" w:rsidRDefault="0053651E">
            <w:pPr>
              <w:pStyle w:val="a3"/>
              <w:spacing w:before="0" w:beforeAutospacing="0" w:after="0" w:afterAutospacing="0"/>
              <w:jc w:val="center"/>
              <w:rPr>
                <w:sz w:val="20"/>
                <w:szCs w:val="20"/>
              </w:rPr>
            </w:pPr>
            <w:r>
              <w:rPr>
                <w:b/>
                <w:bCs/>
                <w:sz w:val="20"/>
                <w:szCs w:val="20"/>
              </w:rPr>
              <w:t>Shares</w:t>
            </w:r>
          </w:p>
          <w:p w14:paraId="4710569C" w14:textId="77777777" w:rsidR="00000000" w:rsidRDefault="0053651E">
            <w:pPr>
              <w:pStyle w:val="a3"/>
              <w:spacing w:before="0" w:beforeAutospacing="0" w:after="0" w:afterAutospacing="0"/>
              <w:jc w:val="center"/>
              <w:rPr>
                <w:sz w:val="20"/>
                <w:szCs w:val="20"/>
              </w:rPr>
            </w:pPr>
            <w:r>
              <w:rPr>
                <w:b/>
                <w:bCs/>
                <w:sz w:val="20"/>
                <w:szCs w:val="20"/>
              </w:rPr>
              <w:t>Redeemed</w:t>
            </w:r>
          </w:p>
        </w:tc>
        <w:tc>
          <w:tcPr>
            <w:tcW w:w="50" w:type="pct"/>
            <w:tcBorders>
              <w:bottom w:val="single" w:sz="6" w:space="0" w:color="000000"/>
            </w:tcBorders>
            <w:vAlign w:val="bottom"/>
            <w:hideMark/>
          </w:tcPr>
          <w:p w14:paraId="58D7686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ACD071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694F43E" w14:textId="77777777" w:rsidR="00000000" w:rsidRDefault="0053651E">
            <w:pPr>
              <w:pStyle w:val="a3"/>
              <w:spacing w:before="0" w:beforeAutospacing="0" w:after="0" w:afterAutospacing="0"/>
              <w:jc w:val="center"/>
              <w:rPr>
                <w:sz w:val="20"/>
                <w:szCs w:val="20"/>
              </w:rPr>
            </w:pPr>
            <w:r>
              <w:rPr>
                <w:b/>
                <w:bCs/>
                <w:sz w:val="20"/>
                <w:szCs w:val="20"/>
              </w:rPr>
              <w:t>Redemption</w:t>
            </w:r>
          </w:p>
          <w:p w14:paraId="1B6A9291" w14:textId="77777777" w:rsidR="00000000" w:rsidRDefault="0053651E">
            <w:pPr>
              <w:pStyle w:val="a3"/>
              <w:spacing w:before="0" w:beforeAutospacing="0" w:after="0" w:afterAutospacing="0"/>
              <w:jc w:val="center"/>
              <w:rPr>
                <w:sz w:val="20"/>
                <w:szCs w:val="20"/>
              </w:rPr>
            </w:pPr>
            <w:r>
              <w:rPr>
                <w:b/>
                <w:bCs/>
                <w:sz w:val="20"/>
                <w:szCs w:val="20"/>
              </w:rPr>
              <w:t>Price per Depositary Share</w:t>
            </w:r>
          </w:p>
        </w:tc>
        <w:tc>
          <w:tcPr>
            <w:tcW w:w="50" w:type="pct"/>
            <w:tcBorders>
              <w:bottom w:val="single" w:sz="6" w:space="0" w:color="000000"/>
            </w:tcBorders>
            <w:vAlign w:val="bottom"/>
            <w:hideMark/>
          </w:tcPr>
          <w:p w14:paraId="6285865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77E8966"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C69DBD5" w14:textId="77777777" w:rsidR="00000000" w:rsidRDefault="0053651E">
            <w:pPr>
              <w:pStyle w:val="a3"/>
              <w:spacing w:before="0" w:beforeAutospacing="0" w:after="0" w:afterAutospacing="0"/>
              <w:jc w:val="center"/>
              <w:rPr>
                <w:sz w:val="20"/>
                <w:szCs w:val="20"/>
              </w:rPr>
            </w:pPr>
            <w:r>
              <w:rPr>
                <w:b/>
                <w:bCs/>
                <w:sz w:val="20"/>
                <w:szCs w:val="20"/>
              </w:rPr>
              <w:t>Redemption</w:t>
            </w:r>
          </w:p>
          <w:p w14:paraId="542342AF" w14:textId="77777777" w:rsidR="00000000" w:rsidRDefault="0053651E">
            <w:pPr>
              <w:pStyle w:val="a3"/>
              <w:spacing w:before="0" w:beforeAutospacing="0" w:after="0" w:afterAutospacing="0"/>
              <w:jc w:val="center"/>
              <w:rPr>
                <w:sz w:val="20"/>
                <w:szCs w:val="20"/>
              </w:rPr>
            </w:pPr>
            <w:r>
              <w:rPr>
                <w:b/>
                <w:bCs/>
                <w:sz w:val="20"/>
                <w:szCs w:val="20"/>
              </w:rPr>
              <w:t>Amount</w:t>
            </w:r>
          </w:p>
          <w:p w14:paraId="67C21847"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50" w:type="pct"/>
            <w:tcBorders>
              <w:bottom w:val="single" w:sz="6" w:space="0" w:color="000000"/>
            </w:tcBorders>
            <w:vAlign w:val="bottom"/>
            <w:hideMark/>
          </w:tcPr>
          <w:p w14:paraId="1C2A3A6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1B10514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C09BC12" w14:textId="77777777" w:rsidR="00000000" w:rsidRDefault="0053651E">
            <w:pPr>
              <w:pStyle w:val="a3"/>
              <w:spacing w:before="0" w:beforeAutospacing="0" w:after="0" w:afterAutospacing="0"/>
              <w:jc w:val="center"/>
              <w:rPr>
                <w:sz w:val="20"/>
                <w:szCs w:val="20"/>
              </w:rPr>
            </w:pPr>
            <w:r>
              <w:rPr>
                <w:b/>
                <w:bCs/>
                <w:sz w:val="20"/>
                <w:szCs w:val="20"/>
              </w:rPr>
              <w:t>Redemption</w:t>
            </w:r>
          </w:p>
          <w:p w14:paraId="7C80E4BD" w14:textId="77777777" w:rsidR="00000000" w:rsidRDefault="0053651E">
            <w:pPr>
              <w:pStyle w:val="a3"/>
              <w:spacing w:before="0" w:beforeAutospacing="0" w:after="0" w:afterAutospacing="0"/>
              <w:jc w:val="center"/>
              <w:rPr>
                <w:sz w:val="20"/>
                <w:szCs w:val="20"/>
              </w:rPr>
            </w:pPr>
            <w:r>
              <w:rPr>
                <w:b/>
                <w:bCs/>
                <w:sz w:val="20"/>
                <w:szCs w:val="20"/>
              </w:rPr>
              <w:t>Charges (1)</w:t>
            </w:r>
          </w:p>
          <w:p w14:paraId="77D41D91"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1F7F4E12" w14:textId="77777777" w:rsidR="00000000" w:rsidRDefault="0053651E">
            <w:pPr>
              <w:rPr>
                <w:rFonts w:eastAsia="Times New Roman"/>
                <w:sz w:val="20"/>
                <w:szCs w:val="20"/>
              </w:rPr>
            </w:pPr>
            <w:r>
              <w:rPr>
                <w:rFonts w:eastAsia="Times New Roman"/>
                <w:sz w:val="20"/>
                <w:szCs w:val="20"/>
              </w:rPr>
              <w:t> </w:t>
            </w:r>
          </w:p>
        </w:tc>
      </w:tr>
      <w:tr w:rsidR="00000000" w14:paraId="115244D7" w14:textId="77777777">
        <w:trPr>
          <w:tblCellSpacing w:w="0" w:type="dxa"/>
        </w:trPr>
        <w:tc>
          <w:tcPr>
            <w:tcW w:w="600" w:type="pct"/>
            <w:tcBorders>
              <w:bottom w:val="nil"/>
            </w:tcBorders>
            <w:shd w:val="clear" w:color="auto" w:fill="CCEEFF"/>
            <w:vAlign w:val="bottom"/>
            <w:hideMark/>
          </w:tcPr>
          <w:p w14:paraId="25281689" w14:textId="77777777" w:rsidR="00000000" w:rsidRDefault="0053651E">
            <w:pPr>
              <w:pStyle w:val="a3"/>
              <w:spacing w:before="0" w:beforeAutospacing="0" w:after="0" w:afterAutospacing="0"/>
              <w:jc w:val="center"/>
              <w:rPr>
                <w:sz w:val="20"/>
                <w:szCs w:val="20"/>
              </w:rPr>
            </w:pPr>
            <w:r>
              <w:rPr>
                <w:sz w:val="20"/>
                <w:szCs w:val="20"/>
              </w:rPr>
              <w:t>Class I</w:t>
            </w:r>
          </w:p>
        </w:tc>
        <w:tc>
          <w:tcPr>
            <w:tcW w:w="50" w:type="pct"/>
            <w:tcBorders>
              <w:bottom w:val="nil"/>
            </w:tcBorders>
            <w:shd w:val="clear" w:color="auto" w:fill="CCEEFF"/>
            <w:vAlign w:val="bottom"/>
            <w:hideMark/>
          </w:tcPr>
          <w:p w14:paraId="0DF55C9D"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18EEBA85" w14:textId="77777777" w:rsidR="00000000" w:rsidRDefault="0053651E">
            <w:pPr>
              <w:pStyle w:val="a3"/>
              <w:spacing w:before="0" w:beforeAutospacing="0" w:after="0" w:afterAutospacing="0"/>
              <w:jc w:val="center"/>
              <w:rPr>
                <w:sz w:val="20"/>
                <w:szCs w:val="20"/>
              </w:rPr>
            </w:pPr>
            <w:r>
              <w:rPr>
                <w:sz w:val="20"/>
                <w:szCs w:val="20"/>
              </w:rPr>
              <w:t>9/14/2019</w:t>
            </w:r>
          </w:p>
        </w:tc>
        <w:tc>
          <w:tcPr>
            <w:tcW w:w="50" w:type="pct"/>
            <w:tcBorders>
              <w:bottom w:val="nil"/>
            </w:tcBorders>
            <w:shd w:val="clear" w:color="auto" w:fill="CCEEFF"/>
            <w:vAlign w:val="bottom"/>
            <w:hideMark/>
          </w:tcPr>
          <w:p w14:paraId="19763EB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517189"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177D7A4D" w14:textId="77777777" w:rsidR="00000000" w:rsidRDefault="0053651E">
            <w:pPr>
              <w:jc w:val="center"/>
              <w:rPr>
                <w:rFonts w:eastAsia="Times New Roman"/>
                <w:sz w:val="20"/>
                <w:szCs w:val="20"/>
              </w:rPr>
            </w:pPr>
            <w:r>
              <w:rPr>
                <w:rFonts w:eastAsia="Times New Roman"/>
                <w:sz w:val="20"/>
                <w:szCs w:val="20"/>
              </w:rPr>
              <w:t>6.00%</w:t>
            </w:r>
          </w:p>
        </w:tc>
        <w:tc>
          <w:tcPr>
            <w:tcW w:w="50" w:type="pct"/>
            <w:tcBorders>
              <w:bottom w:val="nil"/>
            </w:tcBorders>
            <w:shd w:val="clear" w:color="auto" w:fill="CCEEFF"/>
            <w:vAlign w:val="bottom"/>
            <w:hideMark/>
          </w:tcPr>
          <w:p w14:paraId="43C9942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746184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1F2447"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10BF9DA0" w14:textId="77777777" w:rsidR="00000000" w:rsidRDefault="0053651E">
            <w:pPr>
              <w:jc w:val="right"/>
              <w:rPr>
                <w:rFonts w:eastAsia="Times New Roman"/>
                <w:sz w:val="20"/>
                <w:szCs w:val="20"/>
              </w:rPr>
            </w:pPr>
            <w:r>
              <w:rPr>
                <w:rFonts w:eastAsia="Times New Roman"/>
                <w:sz w:val="20"/>
                <w:szCs w:val="20"/>
              </w:rPr>
              <w:t>7,000,000</w:t>
            </w:r>
          </w:p>
        </w:tc>
        <w:tc>
          <w:tcPr>
            <w:tcW w:w="50" w:type="pct"/>
            <w:tcBorders>
              <w:bottom w:val="nil"/>
            </w:tcBorders>
            <w:shd w:val="clear" w:color="auto" w:fill="CCEEFF"/>
            <w:vAlign w:val="bottom"/>
            <w:hideMark/>
          </w:tcPr>
          <w:p w14:paraId="220EB0D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8A2AD9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E9C436" w14:textId="77777777" w:rsidR="00000000" w:rsidRDefault="0053651E">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3A18FCFF" w14:textId="77777777" w:rsidR="00000000" w:rsidRDefault="0053651E">
            <w:pPr>
              <w:jc w:val="right"/>
              <w:rPr>
                <w:rFonts w:eastAsia="Times New Roman"/>
                <w:sz w:val="20"/>
                <w:szCs w:val="20"/>
              </w:rPr>
            </w:pPr>
            <w:r>
              <w:rPr>
                <w:rFonts w:eastAsia="Times New Roman"/>
                <w:sz w:val="20"/>
                <w:szCs w:val="20"/>
              </w:rPr>
              <w:t>25</w:t>
            </w:r>
          </w:p>
        </w:tc>
        <w:tc>
          <w:tcPr>
            <w:tcW w:w="50" w:type="pct"/>
            <w:tcBorders>
              <w:bottom w:val="nil"/>
            </w:tcBorders>
            <w:shd w:val="clear" w:color="auto" w:fill="CCEEFF"/>
            <w:vAlign w:val="bottom"/>
            <w:hideMark/>
          </w:tcPr>
          <w:p w14:paraId="6BAE910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2FDF9C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4643178" w14:textId="77777777" w:rsidR="00000000" w:rsidRDefault="0053651E">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12CA8AD5" w14:textId="77777777" w:rsidR="00000000" w:rsidRDefault="0053651E">
            <w:pPr>
              <w:jc w:val="right"/>
              <w:rPr>
                <w:rFonts w:eastAsia="Times New Roman"/>
                <w:sz w:val="20"/>
                <w:szCs w:val="20"/>
              </w:rPr>
            </w:pPr>
            <w:r>
              <w:rPr>
                <w:rFonts w:eastAsia="Times New Roman"/>
                <w:sz w:val="20"/>
                <w:szCs w:val="20"/>
              </w:rPr>
              <w:t>175.0</w:t>
            </w:r>
          </w:p>
        </w:tc>
        <w:tc>
          <w:tcPr>
            <w:tcW w:w="50" w:type="pct"/>
            <w:tcBorders>
              <w:bottom w:val="nil"/>
            </w:tcBorders>
            <w:shd w:val="clear" w:color="auto" w:fill="CCEEFF"/>
            <w:vAlign w:val="bottom"/>
            <w:hideMark/>
          </w:tcPr>
          <w:p w14:paraId="7F3CD6B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06BD7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99F700D" w14:textId="77777777" w:rsidR="00000000" w:rsidRDefault="0053651E">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449A52D4" w14:textId="77777777" w:rsidR="00000000" w:rsidRDefault="0053651E">
            <w:pPr>
              <w:jc w:val="right"/>
              <w:rPr>
                <w:rFonts w:eastAsia="Times New Roman"/>
                <w:sz w:val="20"/>
                <w:szCs w:val="20"/>
              </w:rPr>
            </w:pPr>
            <w:r>
              <w:rPr>
                <w:rFonts w:eastAsia="Times New Roman"/>
                <w:sz w:val="20"/>
                <w:szCs w:val="20"/>
              </w:rPr>
              <w:t>5.5</w:t>
            </w:r>
          </w:p>
        </w:tc>
        <w:tc>
          <w:tcPr>
            <w:tcW w:w="50" w:type="pct"/>
            <w:tcBorders>
              <w:bottom w:val="nil"/>
            </w:tcBorders>
            <w:shd w:val="clear" w:color="auto" w:fill="CCEEFF"/>
            <w:vAlign w:val="bottom"/>
            <w:hideMark/>
          </w:tcPr>
          <w:p w14:paraId="6F685A04" w14:textId="77777777" w:rsidR="00000000" w:rsidRDefault="0053651E">
            <w:pPr>
              <w:rPr>
                <w:rFonts w:eastAsia="Times New Roman"/>
                <w:sz w:val="20"/>
                <w:szCs w:val="20"/>
              </w:rPr>
            </w:pPr>
            <w:r>
              <w:rPr>
                <w:rFonts w:eastAsia="Times New Roman"/>
                <w:sz w:val="20"/>
                <w:szCs w:val="20"/>
              </w:rPr>
              <w:t> </w:t>
            </w:r>
          </w:p>
        </w:tc>
      </w:tr>
      <w:tr w:rsidR="00000000" w14:paraId="03FC3DF5" w14:textId="77777777">
        <w:trPr>
          <w:tblCellSpacing w:w="0" w:type="dxa"/>
        </w:trPr>
        <w:tc>
          <w:tcPr>
            <w:tcW w:w="600" w:type="pct"/>
            <w:shd w:val="clear" w:color="auto" w:fill="FFFFFF"/>
            <w:vAlign w:val="bottom"/>
            <w:hideMark/>
          </w:tcPr>
          <w:p w14:paraId="1C27A979" w14:textId="77777777" w:rsidR="00000000" w:rsidRDefault="0053651E">
            <w:pPr>
              <w:pStyle w:val="a3"/>
              <w:spacing w:before="0" w:beforeAutospacing="0" w:after="0" w:afterAutospacing="0"/>
              <w:jc w:val="center"/>
              <w:rPr>
                <w:sz w:val="20"/>
                <w:szCs w:val="20"/>
              </w:rPr>
            </w:pPr>
            <w:r>
              <w:rPr>
                <w:sz w:val="20"/>
                <w:szCs w:val="20"/>
              </w:rPr>
              <w:t>Class K</w:t>
            </w:r>
          </w:p>
        </w:tc>
        <w:tc>
          <w:tcPr>
            <w:tcW w:w="50" w:type="pct"/>
            <w:shd w:val="clear" w:color="auto" w:fill="FFFFFF"/>
            <w:vAlign w:val="bottom"/>
            <w:hideMark/>
          </w:tcPr>
          <w:p w14:paraId="389D57B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73B736F" w14:textId="77777777" w:rsidR="00000000" w:rsidRDefault="0053651E">
            <w:pPr>
              <w:pStyle w:val="a3"/>
              <w:spacing w:before="0" w:beforeAutospacing="0" w:after="0" w:afterAutospacing="0"/>
              <w:jc w:val="center"/>
              <w:rPr>
                <w:sz w:val="20"/>
                <w:szCs w:val="20"/>
              </w:rPr>
            </w:pPr>
            <w:r>
              <w:rPr>
                <w:sz w:val="20"/>
                <w:szCs w:val="20"/>
              </w:rPr>
              <w:t>9/14/2019</w:t>
            </w:r>
          </w:p>
        </w:tc>
        <w:tc>
          <w:tcPr>
            <w:tcW w:w="50" w:type="pct"/>
            <w:shd w:val="clear" w:color="auto" w:fill="FFFFFF"/>
            <w:vAlign w:val="bottom"/>
            <w:hideMark/>
          </w:tcPr>
          <w:p w14:paraId="0EC81C4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F1970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83C9D99" w14:textId="77777777" w:rsidR="00000000" w:rsidRDefault="0053651E">
            <w:pPr>
              <w:jc w:val="center"/>
              <w:rPr>
                <w:rFonts w:eastAsia="Times New Roman"/>
                <w:sz w:val="20"/>
                <w:szCs w:val="20"/>
              </w:rPr>
            </w:pPr>
            <w:r>
              <w:rPr>
                <w:rFonts w:eastAsia="Times New Roman"/>
                <w:sz w:val="20"/>
                <w:szCs w:val="20"/>
              </w:rPr>
              <w:t>5.625%</w:t>
            </w:r>
          </w:p>
        </w:tc>
        <w:tc>
          <w:tcPr>
            <w:tcW w:w="50" w:type="pct"/>
            <w:shd w:val="clear" w:color="auto" w:fill="FFFFFF"/>
            <w:vAlign w:val="bottom"/>
            <w:hideMark/>
          </w:tcPr>
          <w:p w14:paraId="3876C2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469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4F567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9B42730" w14:textId="77777777" w:rsidR="00000000" w:rsidRDefault="0053651E">
            <w:pPr>
              <w:jc w:val="right"/>
              <w:rPr>
                <w:rFonts w:eastAsia="Times New Roman"/>
                <w:sz w:val="20"/>
                <w:szCs w:val="20"/>
              </w:rPr>
            </w:pPr>
            <w:r>
              <w:rPr>
                <w:rFonts w:eastAsia="Times New Roman"/>
                <w:sz w:val="20"/>
                <w:szCs w:val="20"/>
              </w:rPr>
              <w:t>7,000,000</w:t>
            </w:r>
          </w:p>
        </w:tc>
        <w:tc>
          <w:tcPr>
            <w:tcW w:w="50" w:type="pct"/>
            <w:shd w:val="clear" w:color="auto" w:fill="FFFFFF"/>
            <w:vAlign w:val="bottom"/>
            <w:hideMark/>
          </w:tcPr>
          <w:p w14:paraId="7F5012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EC90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7A8572"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725E42DF" w14:textId="77777777" w:rsidR="00000000" w:rsidRDefault="0053651E">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14:paraId="25386A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477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3C1BD7"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0204C693" w14:textId="77777777" w:rsidR="00000000" w:rsidRDefault="0053651E">
            <w:pPr>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14:paraId="0C42B1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A022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59EAF5"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639773AC" w14:textId="77777777" w:rsidR="00000000" w:rsidRDefault="0053651E">
            <w:pPr>
              <w:jc w:val="right"/>
              <w:rPr>
                <w:rFonts w:eastAsia="Times New Roman"/>
                <w:sz w:val="20"/>
                <w:szCs w:val="20"/>
              </w:rPr>
            </w:pPr>
            <w:r>
              <w:rPr>
                <w:rFonts w:eastAsia="Times New Roman"/>
                <w:sz w:val="20"/>
                <w:szCs w:val="20"/>
              </w:rPr>
              <w:t>5.9</w:t>
            </w:r>
          </w:p>
        </w:tc>
        <w:tc>
          <w:tcPr>
            <w:tcW w:w="50" w:type="pct"/>
            <w:shd w:val="clear" w:color="auto" w:fill="FFFFFF"/>
            <w:vAlign w:val="bottom"/>
            <w:hideMark/>
          </w:tcPr>
          <w:p w14:paraId="443D6FF1" w14:textId="77777777" w:rsidR="00000000" w:rsidRDefault="0053651E">
            <w:pPr>
              <w:rPr>
                <w:rFonts w:eastAsia="Times New Roman"/>
                <w:sz w:val="20"/>
                <w:szCs w:val="20"/>
              </w:rPr>
            </w:pPr>
            <w:r>
              <w:rPr>
                <w:rFonts w:eastAsia="Times New Roman"/>
                <w:sz w:val="20"/>
                <w:szCs w:val="20"/>
              </w:rPr>
              <w:t> </w:t>
            </w:r>
          </w:p>
        </w:tc>
      </w:tr>
      <w:tr w:rsidR="00000000" w14:paraId="272B1F0A" w14:textId="77777777">
        <w:trPr>
          <w:tblCellSpacing w:w="0" w:type="dxa"/>
        </w:trPr>
        <w:tc>
          <w:tcPr>
            <w:tcW w:w="600" w:type="pct"/>
            <w:shd w:val="clear" w:color="auto" w:fill="CCEEFF"/>
            <w:vAlign w:val="bottom"/>
            <w:hideMark/>
          </w:tcPr>
          <w:p w14:paraId="7EE18577" w14:textId="77777777" w:rsidR="00000000" w:rsidRDefault="0053651E">
            <w:pPr>
              <w:pStyle w:val="a3"/>
              <w:spacing w:before="0" w:beforeAutospacing="0" w:after="0" w:afterAutospacing="0"/>
              <w:jc w:val="center"/>
              <w:rPr>
                <w:sz w:val="20"/>
                <w:szCs w:val="20"/>
              </w:rPr>
            </w:pPr>
            <w:r>
              <w:rPr>
                <w:sz w:val="20"/>
                <w:szCs w:val="20"/>
              </w:rPr>
              <w:t>Class J</w:t>
            </w:r>
          </w:p>
        </w:tc>
        <w:tc>
          <w:tcPr>
            <w:tcW w:w="50" w:type="pct"/>
            <w:shd w:val="clear" w:color="auto" w:fill="CCEEFF"/>
            <w:vAlign w:val="bottom"/>
            <w:hideMark/>
          </w:tcPr>
          <w:p w14:paraId="2CCA1F8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28CDF8" w14:textId="77777777" w:rsidR="00000000" w:rsidRDefault="0053651E">
            <w:pPr>
              <w:pStyle w:val="a3"/>
              <w:spacing w:before="0" w:beforeAutospacing="0" w:after="0" w:afterAutospacing="0"/>
              <w:jc w:val="center"/>
              <w:rPr>
                <w:sz w:val="20"/>
                <w:szCs w:val="20"/>
              </w:rPr>
            </w:pPr>
            <w:r>
              <w:rPr>
                <w:sz w:val="20"/>
                <w:szCs w:val="20"/>
              </w:rPr>
              <w:t>12/31/2019</w:t>
            </w:r>
          </w:p>
        </w:tc>
        <w:tc>
          <w:tcPr>
            <w:tcW w:w="50" w:type="pct"/>
            <w:shd w:val="clear" w:color="auto" w:fill="CCEEFF"/>
            <w:vAlign w:val="bottom"/>
            <w:hideMark/>
          </w:tcPr>
          <w:p w14:paraId="75727E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7D4B0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5B342A7" w14:textId="77777777" w:rsidR="00000000" w:rsidRDefault="0053651E">
            <w:pPr>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1910B9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AD97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A080F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77F8721" w14:textId="77777777" w:rsidR="00000000" w:rsidRDefault="0053651E">
            <w:pPr>
              <w:jc w:val="right"/>
              <w:rPr>
                <w:rFonts w:eastAsia="Times New Roman"/>
                <w:sz w:val="20"/>
                <w:szCs w:val="20"/>
              </w:rPr>
            </w:pPr>
            <w:r>
              <w:rPr>
                <w:rFonts w:eastAsia="Times New Roman"/>
                <w:sz w:val="20"/>
                <w:szCs w:val="20"/>
              </w:rPr>
              <w:t>9,000,000</w:t>
            </w:r>
          </w:p>
        </w:tc>
        <w:tc>
          <w:tcPr>
            <w:tcW w:w="50" w:type="pct"/>
            <w:shd w:val="clear" w:color="auto" w:fill="CCEEFF"/>
            <w:vAlign w:val="bottom"/>
            <w:hideMark/>
          </w:tcPr>
          <w:p w14:paraId="426FAD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6FDB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3CE506"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7A2AFF07" w14:textId="77777777" w:rsidR="00000000" w:rsidRDefault="0053651E">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14:paraId="5E86A6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A6D4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304E7D"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053FD2AD" w14:textId="77777777" w:rsidR="00000000" w:rsidRDefault="0053651E">
            <w:pPr>
              <w:jc w:val="right"/>
              <w:rPr>
                <w:rFonts w:eastAsia="Times New Roman"/>
                <w:sz w:val="20"/>
                <w:szCs w:val="20"/>
              </w:rPr>
            </w:pPr>
            <w:r>
              <w:rPr>
                <w:rFonts w:eastAsia="Times New Roman"/>
                <w:sz w:val="20"/>
                <w:szCs w:val="20"/>
              </w:rPr>
              <w:t>225.0</w:t>
            </w:r>
          </w:p>
        </w:tc>
        <w:tc>
          <w:tcPr>
            <w:tcW w:w="50" w:type="pct"/>
            <w:shd w:val="clear" w:color="auto" w:fill="CCEEFF"/>
            <w:vAlign w:val="bottom"/>
            <w:hideMark/>
          </w:tcPr>
          <w:p w14:paraId="7C81F2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3AD5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30116C"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2B190CCA" w14:textId="77777777" w:rsidR="00000000" w:rsidRDefault="0053651E">
            <w:pPr>
              <w:jc w:val="right"/>
              <w:rPr>
                <w:rFonts w:eastAsia="Times New Roman"/>
                <w:sz w:val="20"/>
                <w:szCs w:val="20"/>
              </w:rPr>
            </w:pPr>
            <w:r>
              <w:rPr>
                <w:rFonts w:eastAsia="Times New Roman"/>
                <w:sz w:val="20"/>
                <w:szCs w:val="20"/>
              </w:rPr>
              <w:t>7.2</w:t>
            </w:r>
          </w:p>
        </w:tc>
        <w:tc>
          <w:tcPr>
            <w:tcW w:w="50" w:type="pct"/>
            <w:shd w:val="clear" w:color="auto" w:fill="CCEEFF"/>
            <w:vAlign w:val="bottom"/>
            <w:hideMark/>
          </w:tcPr>
          <w:p w14:paraId="7B0C6FD4" w14:textId="77777777" w:rsidR="00000000" w:rsidRDefault="0053651E">
            <w:pPr>
              <w:rPr>
                <w:rFonts w:eastAsia="Times New Roman"/>
                <w:sz w:val="20"/>
                <w:szCs w:val="20"/>
              </w:rPr>
            </w:pPr>
            <w:r>
              <w:rPr>
                <w:rFonts w:eastAsia="Times New Roman"/>
                <w:sz w:val="20"/>
                <w:szCs w:val="20"/>
              </w:rPr>
              <w:t> </w:t>
            </w:r>
          </w:p>
        </w:tc>
      </w:tr>
    </w:tbl>
    <w:p w14:paraId="3C528266"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606CB67" w14:textId="77777777">
        <w:trPr>
          <w:tblCellSpacing w:w="0" w:type="dxa"/>
        </w:trPr>
        <w:tc>
          <w:tcPr>
            <w:tcW w:w="360" w:type="dxa"/>
            <w:hideMark/>
          </w:tcPr>
          <w:p w14:paraId="44614CA2" w14:textId="77777777" w:rsidR="00000000" w:rsidRDefault="0053651E">
            <w:pPr>
              <w:pStyle w:val="a3"/>
              <w:spacing w:before="0" w:beforeAutospacing="0" w:after="0" w:afterAutospacing="0"/>
              <w:jc w:val="both"/>
              <w:rPr>
                <w:sz w:val="20"/>
                <w:szCs w:val="20"/>
              </w:rPr>
            </w:pPr>
            <w:r>
              <w:rPr>
                <w:sz w:val="20"/>
                <w:szCs w:val="20"/>
              </w:rPr>
              <w:t>(1)</w:t>
            </w:r>
          </w:p>
        </w:tc>
        <w:tc>
          <w:tcPr>
            <w:tcW w:w="0" w:type="auto"/>
            <w:hideMark/>
          </w:tcPr>
          <w:p w14:paraId="63C5CAED" w14:textId="77777777" w:rsidR="00000000" w:rsidRDefault="0053651E">
            <w:pPr>
              <w:pStyle w:val="a3"/>
              <w:spacing w:before="0" w:beforeAutospacing="0" w:after="0" w:afterAutospacing="0"/>
              <w:jc w:val="both"/>
              <w:rPr>
                <w:sz w:val="20"/>
                <w:szCs w:val="20"/>
              </w:rPr>
            </w:pPr>
            <w:r>
              <w:rPr>
                <w:sz w:val="20"/>
                <w:szCs w:val="20"/>
              </w:rPr>
              <w:t>Redemption charges resulting from the difference between the redemption amount and the carrying amount of the respective preferred stock class on the Company’s Consolidated Balance Sheets are accounted for in accordance with the FASB’s guidance on Distingu</w:t>
            </w:r>
            <w:r>
              <w:rPr>
                <w:sz w:val="20"/>
                <w:szCs w:val="20"/>
              </w:rPr>
              <w:t>ishing Liabilities from Equity. These charges were subtracted from net income attributable to the Company to arrive at net income available to the Company’s common shareholders and used in the calculation of earnings per share.</w:t>
            </w:r>
          </w:p>
        </w:tc>
      </w:tr>
    </w:tbl>
    <w:p w14:paraId="3DB5F813" w14:textId="77777777" w:rsidR="00000000" w:rsidRDefault="0053651E">
      <w:pPr>
        <w:pStyle w:val="a3"/>
        <w:spacing w:before="0" w:beforeAutospacing="0" w:after="0" w:afterAutospacing="0"/>
        <w:ind w:firstLine="360"/>
        <w:jc w:val="both"/>
        <w:rPr>
          <w:sz w:val="20"/>
          <w:szCs w:val="20"/>
        </w:rPr>
      </w:pPr>
      <w:r>
        <w:rPr>
          <w:sz w:val="20"/>
          <w:szCs w:val="20"/>
        </w:rPr>
        <w:t> </w:t>
      </w:r>
    </w:p>
    <w:p w14:paraId="08FAB996" w14:textId="77777777" w:rsidR="00000000" w:rsidRDefault="0053651E">
      <w:pPr>
        <w:pStyle w:val="a3"/>
        <w:spacing w:before="0" w:beforeAutospacing="0" w:after="0" w:afterAutospacing="0"/>
        <w:ind w:firstLine="360"/>
        <w:jc w:val="both"/>
        <w:rPr>
          <w:sz w:val="20"/>
          <w:szCs w:val="20"/>
        </w:rPr>
      </w:pPr>
      <w:r>
        <w:rPr>
          <w:i/>
          <w:iCs/>
          <w:sz w:val="20"/>
          <w:szCs w:val="20"/>
        </w:rPr>
        <w:t>At the Market Continuous Offering Program (“ATM program”)</w:t>
      </w:r>
    </w:p>
    <w:p w14:paraId="15AE6A50"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5F314917" w14:textId="77777777" w:rsidR="00000000" w:rsidRDefault="0053651E">
      <w:pPr>
        <w:pStyle w:val="a3"/>
        <w:spacing w:before="0" w:beforeAutospacing="0" w:after="0" w:afterAutospacing="0"/>
        <w:ind w:firstLine="360"/>
        <w:jc w:val="both"/>
        <w:rPr>
          <w:sz w:val="20"/>
          <w:szCs w:val="20"/>
        </w:rPr>
      </w:pPr>
      <w:r>
        <w:rPr>
          <w:sz w:val="20"/>
          <w:szCs w:val="20"/>
        </w:rPr>
        <w:t>During September 2019, the Company established an ATM program, pursuant to which the Company may offer and sell from time to time shares of its common stock, par value $0.01 per share, with an agg</w:t>
      </w:r>
      <w:r>
        <w:rPr>
          <w:sz w:val="20"/>
          <w:szCs w:val="20"/>
        </w:rPr>
        <w:t>regate gross sales price of up to $500.0 million through a consortium of banks acting as sales agents. Sales of the shares of common stock may be made, as needed, from time to time in “at the market” offerings as defined in Rule 415 of the Securities Act o</w:t>
      </w:r>
      <w:r>
        <w:rPr>
          <w:sz w:val="20"/>
          <w:szCs w:val="20"/>
        </w:rPr>
        <w:t>f 1933, including by means of ordinary brokers’ transactions on the New York Stock Exchange or otherwise (i) at market prices prevailing at the time of sale, (ii) at prices related to prevailing market prices or (iii) as otherwise agreed to with the applic</w:t>
      </w:r>
      <w:r>
        <w:rPr>
          <w:sz w:val="20"/>
          <w:szCs w:val="20"/>
        </w:rPr>
        <w:t>able sales agent. During the year ended December 31, 2019, the Company issued 9,514,544 shares and received proceeds of $200.1 million, net of commissions and fees of $1.8 million. As of December 31, 2019, the Company had $298.1 million available under thi</w:t>
      </w:r>
      <w:r>
        <w:rPr>
          <w:sz w:val="20"/>
          <w:szCs w:val="20"/>
        </w:rPr>
        <w:t>s ATM program.</w:t>
      </w:r>
    </w:p>
    <w:p w14:paraId="00CDE2E2" w14:textId="77777777" w:rsidR="00000000" w:rsidRDefault="0053651E">
      <w:pPr>
        <w:pStyle w:val="a3"/>
        <w:spacing w:before="0" w:beforeAutospacing="0" w:after="0" w:afterAutospacing="0"/>
        <w:ind w:firstLine="360"/>
        <w:jc w:val="both"/>
        <w:rPr>
          <w:sz w:val="20"/>
          <w:szCs w:val="20"/>
        </w:rPr>
      </w:pPr>
      <w:r>
        <w:rPr>
          <w:sz w:val="20"/>
          <w:szCs w:val="20"/>
        </w:rPr>
        <w:t> </w:t>
      </w:r>
    </w:p>
    <w:p w14:paraId="75859E50" w14:textId="77777777" w:rsidR="00000000" w:rsidRDefault="0053651E">
      <w:pPr>
        <w:jc w:val="center"/>
        <w:divId w:val="977224442"/>
        <w:rPr>
          <w:rFonts w:eastAsia="Times New Roman"/>
          <w:sz w:val="20"/>
          <w:szCs w:val="20"/>
        </w:rPr>
      </w:pPr>
      <w:r>
        <w:rPr>
          <w:rFonts w:eastAsia="Times New Roman"/>
          <w:sz w:val="20"/>
          <w:szCs w:val="20"/>
        </w:rPr>
        <w:t xml:space="preserve">29 </w:t>
      </w:r>
    </w:p>
    <w:p w14:paraId="22175555" w14:textId="77777777" w:rsidR="00000000" w:rsidRDefault="0053651E">
      <w:pPr>
        <w:divId w:val="977224442"/>
        <w:rPr>
          <w:rFonts w:eastAsia="Times New Roman"/>
          <w:sz w:val="20"/>
          <w:szCs w:val="20"/>
        </w:rPr>
      </w:pPr>
      <w:r>
        <w:rPr>
          <w:rFonts w:eastAsia="Times New Roman"/>
          <w:sz w:val="20"/>
          <w:szCs w:val="20"/>
        </w:rPr>
        <w:pict w14:anchorId="07D3D518">
          <v:rect id="_x0000_i1060" style="width:0;height:1.5pt" o:hralign="center" o:hrstd="t" o:hr="t" fillcolor="#a0a0a0" stroked="f"/>
        </w:pict>
      </w:r>
    </w:p>
    <w:p w14:paraId="74315D0A" w14:textId="77777777" w:rsidR="00000000" w:rsidRDefault="0053651E">
      <w:pPr>
        <w:divId w:val="9772244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4CB4D8F" w14:textId="77777777" w:rsidR="00000000" w:rsidRDefault="0053651E">
      <w:pPr>
        <w:pStyle w:val="a3"/>
        <w:spacing w:before="0" w:beforeAutospacing="0" w:after="0" w:afterAutospacing="0"/>
        <w:rPr>
          <w:sz w:val="20"/>
          <w:szCs w:val="20"/>
        </w:rPr>
      </w:pPr>
      <w:r>
        <w:rPr>
          <w:sz w:val="20"/>
          <w:szCs w:val="20"/>
        </w:rPr>
        <w:t> </w:t>
      </w:r>
    </w:p>
    <w:p w14:paraId="266B236B" w14:textId="77777777" w:rsidR="00000000" w:rsidRDefault="0053651E">
      <w:pPr>
        <w:pStyle w:val="a3"/>
        <w:spacing w:before="0" w:beforeAutospacing="0" w:after="0" w:afterAutospacing="0"/>
        <w:ind w:firstLine="360"/>
        <w:jc w:val="both"/>
        <w:rPr>
          <w:sz w:val="20"/>
          <w:szCs w:val="20"/>
        </w:rPr>
      </w:pPr>
      <w:r>
        <w:rPr>
          <w:i/>
          <w:iCs/>
          <w:sz w:val="20"/>
          <w:szCs w:val="20"/>
        </w:rPr>
        <w:t>Share Repurchase Program –</w:t>
      </w:r>
    </w:p>
    <w:p w14:paraId="773A89BF" w14:textId="77777777" w:rsidR="00000000" w:rsidRDefault="0053651E">
      <w:pPr>
        <w:pStyle w:val="a3"/>
        <w:spacing w:before="0" w:beforeAutospacing="0" w:after="0" w:afterAutospacing="0"/>
        <w:ind w:firstLine="360"/>
        <w:jc w:val="both"/>
        <w:rPr>
          <w:sz w:val="20"/>
          <w:szCs w:val="20"/>
        </w:rPr>
      </w:pPr>
      <w:r>
        <w:rPr>
          <w:i/>
          <w:iCs/>
          <w:sz w:val="20"/>
          <w:szCs w:val="20"/>
        </w:rPr>
        <w:t> </w:t>
      </w:r>
    </w:p>
    <w:p w14:paraId="1BC36857" w14:textId="77777777" w:rsidR="00000000" w:rsidRDefault="0053651E">
      <w:pPr>
        <w:pStyle w:val="a3"/>
        <w:spacing w:before="0" w:beforeAutospacing="0" w:after="0" w:afterAutospacing="0"/>
        <w:ind w:firstLine="360"/>
        <w:jc w:val="both"/>
        <w:rPr>
          <w:sz w:val="20"/>
          <w:szCs w:val="20"/>
        </w:rPr>
      </w:pPr>
      <w:r>
        <w:rPr>
          <w:sz w:val="20"/>
          <w:szCs w:val="20"/>
        </w:rPr>
        <w:t>During February 2018, the Company’s Board of Directors authorized a share repurchase program, which is effective for a ter</w:t>
      </w:r>
      <w:r>
        <w:rPr>
          <w:sz w:val="20"/>
          <w:szCs w:val="20"/>
        </w:rPr>
        <w:t>m of two years, pursuant to which the Company may repurchase shares of its common stock, par value $0.01 per share, with an aggregate gross purchase price of up to $300.0 million. The Company did not repurchase any shares under the share repurchase program</w:t>
      </w:r>
      <w:r>
        <w:rPr>
          <w:sz w:val="20"/>
          <w:szCs w:val="20"/>
        </w:rPr>
        <w:t xml:space="preserve"> during the year ended December 31, 2019. As of December 31, 2019, the Company had $224.9 million available under this common share repurchase program. During February 2020, the Company’s Board of Directors approved an extension of this existing share repu</w:t>
      </w:r>
      <w:r>
        <w:rPr>
          <w:sz w:val="20"/>
          <w:szCs w:val="20"/>
        </w:rPr>
        <w:t>rchase program for a term of two years, which is scheduled to expire February 28, 2022.</w:t>
      </w:r>
    </w:p>
    <w:p w14:paraId="32868023" w14:textId="77777777" w:rsidR="00000000" w:rsidRDefault="0053651E">
      <w:pPr>
        <w:pStyle w:val="a3"/>
        <w:spacing w:before="0" w:beforeAutospacing="0" w:after="0" w:afterAutospacing="0"/>
        <w:ind w:firstLine="360"/>
        <w:jc w:val="both"/>
        <w:rPr>
          <w:sz w:val="20"/>
          <w:szCs w:val="20"/>
        </w:rPr>
      </w:pPr>
      <w:r>
        <w:rPr>
          <w:sz w:val="20"/>
          <w:szCs w:val="20"/>
        </w:rPr>
        <w:t> </w:t>
      </w:r>
    </w:p>
    <w:p w14:paraId="6CEE90D5" w14:textId="77777777" w:rsidR="00000000" w:rsidRDefault="0053651E">
      <w:pPr>
        <w:pStyle w:val="a3"/>
        <w:spacing w:before="0" w:beforeAutospacing="0" w:after="0" w:afterAutospacing="0"/>
        <w:ind w:firstLine="360"/>
        <w:jc w:val="both"/>
        <w:rPr>
          <w:sz w:val="20"/>
          <w:szCs w:val="20"/>
        </w:rPr>
      </w:pPr>
      <w:r>
        <w:rPr>
          <w:i/>
          <w:iCs/>
          <w:sz w:val="20"/>
          <w:szCs w:val="20"/>
        </w:rPr>
        <w:t>Senior Notes –</w:t>
      </w:r>
    </w:p>
    <w:p w14:paraId="17373E95" w14:textId="77777777" w:rsidR="00000000" w:rsidRDefault="0053651E">
      <w:pPr>
        <w:pStyle w:val="a3"/>
        <w:spacing w:before="0" w:beforeAutospacing="0" w:after="0" w:afterAutospacing="0"/>
        <w:jc w:val="both"/>
        <w:rPr>
          <w:sz w:val="20"/>
          <w:szCs w:val="20"/>
        </w:rPr>
      </w:pPr>
      <w:r>
        <w:rPr>
          <w:i/>
          <w:iCs/>
          <w:sz w:val="20"/>
          <w:szCs w:val="20"/>
        </w:rPr>
        <w:t> </w:t>
      </w:r>
    </w:p>
    <w:p w14:paraId="3D688FB4" w14:textId="77777777" w:rsidR="00000000" w:rsidRDefault="0053651E">
      <w:pPr>
        <w:pStyle w:val="a3"/>
        <w:spacing w:before="0" w:beforeAutospacing="0" w:after="0" w:afterAutospacing="0"/>
        <w:ind w:firstLine="360"/>
        <w:jc w:val="both"/>
        <w:rPr>
          <w:sz w:val="20"/>
          <w:szCs w:val="20"/>
        </w:rPr>
      </w:pPr>
      <w:r>
        <w:rPr>
          <w:sz w:val="20"/>
          <w:szCs w:val="20"/>
        </w:rPr>
        <w:t>During the year ended December 31, 2019, the Company issued the following senior unsecured notes (dollars in millions):</w:t>
      </w:r>
    </w:p>
    <w:p w14:paraId="6F5DC15B" w14:textId="77777777" w:rsidR="00000000" w:rsidRDefault="0053651E">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524"/>
        <w:gridCol w:w="63"/>
        <w:gridCol w:w="1592"/>
        <w:gridCol w:w="63"/>
        <w:gridCol w:w="101"/>
        <w:gridCol w:w="1525"/>
        <w:gridCol w:w="63"/>
        <w:gridCol w:w="63"/>
        <w:gridCol w:w="63"/>
        <w:gridCol w:w="1525"/>
        <w:gridCol w:w="63"/>
      </w:tblGrid>
      <w:tr w:rsidR="00000000" w14:paraId="634F6ABA" w14:textId="77777777">
        <w:trPr>
          <w:tblCellSpacing w:w="0" w:type="dxa"/>
        </w:trPr>
        <w:tc>
          <w:tcPr>
            <w:tcW w:w="1150" w:type="pct"/>
            <w:tcBorders>
              <w:bottom w:val="single" w:sz="6" w:space="0" w:color="000000"/>
            </w:tcBorders>
            <w:vAlign w:val="bottom"/>
            <w:hideMark/>
          </w:tcPr>
          <w:p w14:paraId="7ACFBF82" w14:textId="77777777" w:rsidR="00000000" w:rsidRDefault="0053651E">
            <w:pPr>
              <w:pStyle w:val="a3"/>
              <w:spacing w:before="0" w:beforeAutospacing="0" w:after="0" w:afterAutospacing="0"/>
              <w:jc w:val="center"/>
              <w:rPr>
                <w:sz w:val="20"/>
                <w:szCs w:val="20"/>
              </w:rPr>
            </w:pPr>
            <w:r>
              <w:rPr>
                <w:b/>
                <w:bCs/>
                <w:sz w:val="20"/>
                <w:szCs w:val="20"/>
              </w:rPr>
              <w:t>Date Issued</w:t>
            </w:r>
          </w:p>
        </w:tc>
        <w:tc>
          <w:tcPr>
            <w:tcW w:w="50" w:type="pct"/>
            <w:tcBorders>
              <w:bottom w:val="single" w:sz="6" w:space="0" w:color="000000"/>
            </w:tcBorders>
            <w:vAlign w:val="bottom"/>
            <w:hideMark/>
          </w:tcPr>
          <w:p w14:paraId="0EF2DD62" w14:textId="77777777" w:rsidR="00000000" w:rsidRDefault="0053651E">
            <w:pPr>
              <w:rPr>
                <w:rFonts w:eastAsia="Times New Roman"/>
                <w:sz w:val="20"/>
                <w:szCs w:val="20"/>
              </w:rPr>
            </w:pPr>
            <w:r>
              <w:rPr>
                <w:rFonts w:eastAsia="Times New Roman"/>
                <w:sz w:val="20"/>
                <w:szCs w:val="20"/>
              </w:rPr>
              <w:t> </w:t>
            </w:r>
          </w:p>
        </w:tc>
        <w:tc>
          <w:tcPr>
            <w:tcW w:w="1200" w:type="pct"/>
            <w:tcBorders>
              <w:bottom w:val="single" w:sz="6" w:space="0" w:color="000000"/>
            </w:tcBorders>
            <w:vAlign w:val="bottom"/>
            <w:hideMark/>
          </w:tcPr>
          <w:p w14:paraId="1623B585" w14:textId="77777777" w:rsidR="00000000" w:rsidRDefault="0053651E">
            <w:pPr>
              <w:pStyle w:val="a3"/>
              <w:spacing w:before="0" w:beforeAutospacing="0" w:after="0" w:afterAutospacing="0"/>
              <w:jc w:val="center"/>
              <w:rPr>
                <w:sz w:val="20"/>
                <w:szCs w:val="20"/>
              </w:rPr>
            </w:pPr>
            <w:r>
              <w:rPr>
                <w:b/>
                <w:bCs/>
                <w:sz w:val="20"/>
                <w:szCs w:val="20"/>
              </w:rPr>
              <w:t>Maturity Date</w:t>
            </w:r>
          </w:p>
        </w:tc>
        <w:tc>
          <w:tcPr>
            <w:tcW w:w="50" w:type="pct"/>
            <w:tcBorders>
              <w:bottom w:val="single" w:sz="6" w:space="0" w:color="000000"/>
            </w:tcBorders>
            <w:vAlign w:val="bottom"/>
            <w:hideMark/>
          </w:tcPr>
          <w:p w14:paraId="72F77CA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B758ACE" w14:textId="77777777" w:rsidR="00000000" w:rsidRDefault="0053651E">
            <w:pPr>
              <w:pStyle w:val="a3"/>
              <w:spacing w:before="0" w:beforeAutospacing="0" w:after="0" w:afterAutospacing="0"/>
              <w:jc w:val="center"/>
              <w:rPr>
                <w:sz w:val="20"/>
                <w:szCs w:val="20"/>
              </w:rPr>
            </w:pPr>
            <w:r>
              <w:rPr>
                <w:b/>
                <w:bCs/>
                <w:sz w:val="20"/>
                <w:szCs w:val="20"/>
              </w:rPr>
              <w:t>Amount Issued</w:t>
            </w:r>
          </w:p>
        </w:tc>
        <w:tc>
          <w:tcPr>
            <w:tcW w:w="50" w:type="pct"/>
            <w:tcBorders>
              <w:bottom w:val="single" w:sz="6" w:space="0" w:color="000000"/>
            </w:tcBorders>
            <w:tcMar>
              <w:top w:w="0" w:type="dxa"/>
              <w:left w:w="0" w:type="dxa"/>
              <w:bottom w:w="15" w:type="dxa"/>
              <w:right w:w="0" w:type="dxa"/>
            </w:tcMar>
            <w:vAlign w:val="bottom"/>
            <w:hideMark/>
          </w:tcPr>
          <w:p w14:paraId="075AB19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D5CB76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8F44BA0" w14:textId="77777777" w:rsidR="00000000" w:rsidRDefault="0053651E">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14:paraId="3F05F9DD" w14:textId="77777777" w:rsidR="00000000" w:rsidRDefault="0053651E">
            <w:pPr>
              <w:rPr>
                <w:rFonts w:eastAsia="Times New Roman"/>
                <w:sz w:val="20"/>
                <w:szCs w:val="20"/>
              </w:rPr>
            </w:pPr>
            <w:r>
              <w:rPr>
                <w:rFonts w:eastAsia="Times New Roman"/>
                <w:sz w:val="20"/>
                <w:szCs w:val="20"/>
              </w:rPr>
              <w:t> </w:t>
            </w:r>
          </w:p>
        </w:tc>
      </w:tr>
      <w:tr w:rsidR="00000000" w14:paraId="2D9259A4" w14:textId="77777777">
        <w:trPr>
          <w:tblCellSpacing w:w="0" w:type="dxa"/>
        </w:trPr>
        <w:tc>
          <w:tcPr>
            <w:tcW w:w="1150" w:type="pct"/>
            <w:tcBorders>
              <w:bottom w:val="nil"/>
            </w:tcBorders>
            <w:shd w:val="clear" w:color="auto" w:fill="CCEEFF"/>
            <w:vAlign w:val="bottom"/>
            <w:hideMark/>
          </w:tcPr>
          <w:p w14:paraId="78BE3A6F" w14:textId="77777777" w:rsidR="00000000" w:rsidRDefault="0053651E">
            <w:pPr>
              <w:pStyle w:val="a3"/>
              <w:spacing w:before="0" w:beforeAutospacing="0" w:after="0" w:afterAutospacing="0"/>
              <w:jc w:val="center"/>
              <w:rPr>
                <w:sz w:val="20"/>
                <w:szCs w:val="20"/>
              </w:rPr>
            </w:pPr>
            <w:r>
              <w:rPr>
                <w:sz w:val="20"/>
                <w:szCs w:val="20"/>
              </w:rPr>
              <w:t>Aug-19</w:t>
            </w:r>
          </w:p>
        </w:tc>
        <w:tc>
          <w:tcPr>
            <w:tcW w:w="50" w:type="pct"/>
            <w:tcBorders>
              <w:bottom w:val="nil"/>
            </w:tcBorders>
            <w:shd w:val="clear" w:color="auto" w:fill="CCEEFF"/>
            <w:vAlign w:val="bottom"/>
            <w:hideMark/>
          </w:tcPr>
          <w:p w14:paraId="34D49E80" w14:textId="77777777" w:rsidR="00000000" w:rsidRDefault="0053651E">
            <w:pPr>
              <w:rPr>
                <w:rFonts w:eastAsia="Times New Roman"/>
                <w:sz w:val="20"/>
                <w:szCs w:val="20"/>
              </w:rPr>
            </w:pPr>
            <w:r>
              <w:rPr>
                <w:rFonts w:eastAsia="Times New Roman"/>
                <w:sz w:val="20"/>
                <w:szCs w:val="20"/>
              </w:rPr>
              <w:t> </w:t>
            </w:r>
          </w:p>
        </w:tc>
        <w:tc>
          <w:tcPr>
            <w:tcW w:w="1200" w:type="pct"/>
            <w:tcBorders>
              <w:bottom w:val="nil"/>
            </w:tcBorders>
            <w:shd w:val="clear" w:color="auto" w:fill="CCEEFF"/>
            <w:vAlign w:val="bottom"/>
            <w:hideMark/>
          </w:tcPr>
          <w:p w14:paraId="5BD156CF" w14:textId="77777777" w:rsidR="00000000" w:rsidRDefault="0053651E">
            <w:pPr>
              <w:pStyle w:val="a3"/>
              <w:spacing w:before="0" w:beforeAutospacing="0" w:after="0" w:afterAutospacing="0"/>
              <w:jc w:val="center"/>
              <w:rPr>
                <w:sz w:val="20"/>
                <w:szCs w:val="20"/>
              </w:rPr>
            </w:pPr>
            <w:r>
              <w:rPr>
                <w:sz w:val="20"/>
                <w:szCs w:val="20"/>
              </w:rPr>
              <w:t>Oct-49</w:t>
            </w:r>
          </w:p>
        </w:tc>
        <w:tc>
          <w:tcPr>
            <w:tcW w:w="50" w:type="pct"/>
            <w:tcBorders>
              <w:bottom w:val="nil"/>
            </w:tcBorders>
            <w:shd w:val="clear" w:color="auto" w:fill="CCEEFF"/>
            <w:vAlign w:val="bottom"/>
            <w:hideMark/>
          </w:tcPr>
          <w:p w14:paraId="08FC39E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F458883" w14:textId="77777777" w:rsidR="00000000" w:rsidRDefault="0053651E">
            <w:pPr>
              <w:rPr>
                <w:rFonts w:eastAsia="Times New Roman"/>
                <w:sz w:val="20"/>
                <w:szCs w:val="20"/>
              </w:rPr>
            </w:pPr>
            <w:r>
              <w:rPr>
                <w:rFonts w:eastAsia="Times New Roman"/>
                <w:sz w:val="20"/>
                <w:szCs w:val="20"/>
              </w:rPr>
              <w:t>$</w:t>
            </w:r>
          </w:p>
        </w:tc>
        <w:tc>
          <w:tcPr>
            <w:tcW w:w="1150" w:type="pct"/>
            <w:tcBorders>
              <w:bottom w:val="nil"/>
            </w:tcBorders>
            <w:shd w:val="clear" w:color="auto" w:fill="CCEEFF"/>
            <w:vAlign w:val="bottom"/>
            <w:hideMark/>
          </w:tcPr>
          <w:p w14:paraId="3992FBA2" w14:textId="77777777" w:rsidR="00000000" w:rsidRDefault="0053651E">
            <w:pPr>
              <w:jc w:val="center"/>
              <w:rPr>
                <w:rFonts w:eastAsia="Times New Roman"/>
                <w:sz w:val="20"/>
                <w:szCs w:val="20"/>
              </w:rPr>
            </w:pPr>
            <w:r>
              <w:rPr>
                <w:rFonts w:eastAsia="Times New Roman"/>
                <w:sz w:val="20"/>
                <w:szCs w:val="20"/>
              </w:rPr>
              <w:t>350.0</w:t>
            </w:r>
          </w:p>
        </w:tc>
        <w:tc>
          <w:tcPr>
            <w:tcW w:w="50" w:type="pct"/>
            <w:tcBorders>
              <w:bottom w:val="nil"/>
            </w:tcBorders>
            <w:shd w:val="clear" w:color="auto" w:fill="CCEEFF"/>
            <w:vAlign w:val="bottom"/>
            <w:hideMark/>
          </w:tcPr>
          <w:p w14:paraId="56CC3AD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3FAEEE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CACCE3D" w14:textId="77777777" w:rsidR="00000000" w:rsidRDefault="0053651E">
            <w:pPr>
              <w:rPr>
                <w:rFonts w:eastAsia="Times New Roman"/>
                <w:sz w:val="20"/>
                <w:szCs w:val="20"/>
              </w:rPr>
            </w:pPr>
            <w:r>
              <w:rPr>
                <w:rFonts w:eastAsia="Times New Roman"/>
                <w:sz w:val="20"/>
                <w:szCs w:val="20"/>
              </w:rPr>
              <w:t> </w:t>
            </w:r>
          </w:p>
        </w:tc>
        <w:tc>
          <w:tcPr>
            <w:tcW w:w="1150" w:type="pct"/>
            <w:tcBorders>
              <w:bottom w:val="nil"/>
            </w:tcBorders>
            <w:shd w:val="clear" w:color="auto" w:fill="CCEEFF"/>
            <w:vAlign w:val="bottom"/>
            <w:hideMark/>
          </w:tcPr>
          <w:p w14:paraId="0C70F9C4" w14:textId="77777777" w:rsidR="00000000" w:rsidRDefault="0053651E">
            <w:pPr>
              <w:jc w:val="center"/>
              <w:rPr>
                <w:rFonts w:eastAsia="Times New Roman"/>
                <w:sz w:val="20"/>
                <w:szCs w:val="20"/>
              </w:rPr>
            </w:pPr>
            <w:r>
              <w:rPr>
                <w:rFonts w:eastAsia="Times New Roman"/>
                <w:sz w:val="20"/>
                <w:szCs w:val="20"/>
              </w:rPr>
              <w:t>3.70%</w:t>
            </w:r>
          </w:p>
        </w:tc>
        <w:tc>
          <w:tcPr>
            <w:tcW w:w="50" w:type="pct"/>
            <w:tcBorders>
              <w:bottom w:val="nil"/>
            </w:tcBorders>
            <w:shd w:val="clear" w:color="auto" w:fill="CCEEFF"/>
            <w:vAlign w:val="bottom"/>
            <w:hideMark/>
          </w:tcPr>
          <w:p w14:paraId="652A9491" w14:textId="77777777" w:rsidR="00000000" w:rsidRDefault="0053651E">
            <w:pPr>
              <w:rPr>
                <w:rFonts w:eastAsia="Times New Roman"/>
                <w:sz w:val="20"/>
                <w:szCs w:val="20"/>
              </w:rPr>
            </w:pPr>
            <w:r>
              <w:rPr>
                <w:rFonts w:eastAsia="Times New Roman"/>
                <w:sz w:val="20"/>
                <w:szCs w:val="20"/>
              </w:rPr>
              <w:t> </w:t>
            </w:r>
          </w:p>
        </w:tc>
      </w:tr>
    </w:tbl>
    <w:p w14:paraId="6285AFAF" w14:textId="77777777" w:rsidR="00000000" w:rsidRDefault="0053651E">
      <w:pPr>
        <w:pStyle w:val="a3"/>
        <w:spacing w:before="0" w:beforeAutospacing="0" w:after="0" w:afterAutospacing="0"/>
        <w:jc w:val="both"/>
        <w:rPr>
          <w:sz w:val="20"/>
          <w:szCs w:val="20"/>
        </w:rPr>
      </w:pPr>
      <w:r>
        <w:rPr>
          <w:sz w:val="20"/>
          <w:szCs w:val="20"/>
        </w:rPr>
        <w:t> </w:t>
      </w:r>
    </w:p>
    <w:p w14:paraId="3DB1B4E0" w14:textId="77777777" w:rsidR="00000000" w:rsidRDefault="0053651E">
      <w:pPr>
        <w:pStyle w:val="a3"/>
        <w:spacing w:before="0" w:beforeAutospacing="0" w:after="0" w:afterAutospacing="0"/>
        <w:ind w:firstLine="360"/>
        <w:jc w:val="both"/>
        <w:rPr>
          <w:sz w:val="20"/>
          <w:szCs w:val="20"/>
        </w:rPr>
      </w:pPr>
      <w:r>
        <w:rPr>
          <w:sz w:val="20"/>
          <w:szCs w:val="20"/>
        </w:rPr>
        <w:t>The Company’</w:t>
      </w:r>
      <w:r>
        <w:rPr>
          <w:sz w:val="20"/>
          <w:szCs w:val="20"/>
        </w:rPr>
        <w:t>s supplemental indenture governing its senior notes contains the following covenants, all of which the Company is compliant with:</w:t>
      </w:r>
    </w:p>
    <w:p w14:paraId="6574C938"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181"/>
        <w:gridCol w:w="80"/>
        <w:gridCol w:w="1275"/>
        <w:gridCol w:w="80"/>
        <w:gridCol w:w="1275"/>
      </w:tblGrid>
      <w:tr w:rsidR="00000000" w14:paraId="616EAE30" w14:textId="77777777">
        <w:trPr>
          <w:tblCellSpacing w:w="0" w:type="dxa"/>
        </w:trPr>
        <w:tc>
          <w:tcPr>
            <w:tcW w:w="3250" w:type="pct"/>
            <w:tcBorders>
              <w:bottom w:val="single" w:sz="6" w:space="0" w:color="000000"/>
            </w:tcBorders>
            <w:vAlign w:val="bottom"/>
            <w:hideMark/>
          </w:tcPr>
          <w:p w14:paraId="4C584CFF" w14:textId="77777777" w:rsidR="00000000" w:rsidRDefault="0053651E">
            <w:pPr>
              <w:pStyle w:val="a3"/>
              <w:spacing w:before="0" w:beforeAutospacing="0" w:after="0" w:afterAutospacing="0"/>
              <w:rPr>
                <w:sz w:val="20"/>
                <w:szCs w:val="20"/>
              </w:rPr>
            </w:pPr>
            <w:r>
              <w:rPr>
                <w:sz w:val="20"/>
                <w:szCs w:val="20"/>
              </w:rPr>
              <w:t> </w:t>
            </w:r>
          </w:p>
          <w:p w14:paraId="728EC2CD" w14:textId="77777777" w:rsidR="00000000" w:rsidRDefault="0053651E">
            <w:pPr>
              <w:pStyle w:val="a3"/>
              <w:spacing w:before="0" w:beforeAutospacing="0" w:after="0" w:afterAutospacing="0"/>
              <w:jc w:val="center"/>
              <w:rPr>
                <w:sz w:val="20"/>
                <w:szCs w:val="20"/>
              </w:rPr>
            </w:pPr>
            <w:r>
              <w:rPr>
                <w:b/>
                <w:bCs/>
                <w:sz w:val="20"/>
                <w:szCs w:val="20"/>
              </w:rPr>
              <w:t>Covenant</w:t>
            </w:r>
          </w:p>
        </w:tc>
        <w:tc>
          <w:tcPr>
            <w:tcW w:w="50" w:type="pct"/>
            <w:vAlign w:val="bottom"/>
            <w:hideMark/>
          </w:tcPr>
          <w:p w14:paraId="69D42F73" w14:textId="77777777" w:rsidR="00000000" w:rsidRDefault="0053651E">
            <w:pPr>
              <w:jc w:val="cente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14:paraId="0C2D4E16" w14:textId="77777777" w:rsidR="00000000" w:rsidRDefault="0053651E">
            <w:pPr>
              <w:pStyle w:val="a3"/>
              <w:spacing w:before="0" w:beforeAutospacing="0" w:after="0" w:afterAutospacing="0"/>
              <w:jc w:val="center"/>
              <w:rPr>
                <w:sz w:val="20"/>
                <w:szCs w:val="20"/>
              </w:rPr>
            </w:pPr>
            <w:r>
              <w:rPr>
                <w:b/>
                <w:bCs/>
                <w:sz w:val="20"/>
                <w:szCs w:val="20"/>
              </w:rPr>
              <w:t>Must Be</w:t>
            </w:r>
          </w:p>
        </w:tc>
        <w:tc>
          <w:tcPr>
            <w:tcW w:w="50" w:type="pct"/>
            <w:vAlign w:val="bottom"/>
            <w:hideMark/>
          </w:tcPr>
          <w:p w14:paraId="41194668"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14:paraId="01AEE844" w14:textId="77777777" w:rsidR="00000000" w:rsidRDefault="0053651E">
            <w:pPr>
              <w:pStyle w:val="a3"/>
              <w:spacing w:before="0" w:beforeAutospacing="0" w:after="0" w:afterAutospacing="0"/>
              <w:jc w:val="center"/>
              <w:rPr>
                <w:sz w:val="20"/>
                <w:szCs w:val="20"/>
              </w:rPr>
            </w:pPr>
            <w:r>
              <w:rPr>
                <w:sz w:val="20"/>
                <w:szCs w:val="20"/>
              </w:rPr>
              <w:t> </w:t>
            </w:r>
          </w:p>
          <w:p w14:paraId="2E111C12" w14:textId="77777777" w:rsidR="00000000" w:rsidRDefault="0053651E">
            <w:pPr>
              <w:pStyle w:val="a3"/>
              <w:spacing w:before="0" w:beforeAutospacing="0" w:after="0" w:afterAutospacing="0"/>
              <w:jc w:val="center"/>
              <w:rPr>
                <w:sz w:val="20"/>
                <w:szCs w:val="20"/>
              </w:rPr>
            </w:pPr>
            <w:r>
              <w:rPr>
                <w:b/>
                <w:bCs/>
                <w:sz w:val="20"/>
                <w:szCs w:val="20"/>
              </w:rPr>
              <w:t>As of 12/31/19</w:t>
            </w:r>
          </w:p>
        </w:tc>
      </w:tr>
      <w:tr w:rsidR="00000000" w14:paraId="19B96B08" w14:textId="77777777">
        <w:trPr>
          <w:tblCellSpacing w:w="0" w:type="dxa"/>
        </w:trPr>
        <w:tc>
          <w:tcPr>
            <w:tcW w:w="3250" w:type="pct"/>
            <w:tcBorders>
              <w:bottom w:val="nil"/>
            </w:tcBorders>
            <w:shd w:val="clear" w:color="auto" w:fill="CCEEFF"/>
            <w:vAlign w:val="bottom"/>
            <w:hideMark/>
          </w:tcPr>
          <w:p w14:paraId="6E1D5B80" w14:textId="77777777" w:rsidR="00000000" w:rsidRDefault="0053651E">
            <w:pPr>
              <w:pStyle w:val="a3"/>
              <w:spacing w:before="0" w:beforeAutospacing="0" w:after="0" w:afterAutospacing="0"/>
              <w:rPr>
                <w:sz w:val="20"/>
                <w:szCs w:val="20"/>
              </w:rPr>
            </w:pPr>
            <w:r>
              <w:rPr>
                <w:sz w:val="20"/>
                <w:szCs w:val="20"/>
              </w:rPr>
              <w:t>Consolidated Indebtedness to Total Assets</w:t>
            </w:r>
          </w:p>
        </w:tc>
        <w:tc>
          <w:tcPr>
            <w:tcW w:w="50" w:type="pct"/>
            <w:tcBorders>
              <w:bottom w:val="nil"/>
            </w:tcBorders>
            <w:shd w:val="clear" w:color="auto" w:fill="CCEEFF"/>
            <w:vAlign w:val="bottom"/>
            <w:hideMark/>
          </w:tcPr>
          <w:p w14:paraId="774C2533" w14:textId="77777777" w:rsidR="00000000" w:rsidRDefault="0053651E">
            <w:pPr>
              <w:jc w:val="cente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3F3BFE5A" w14:textId="77777777" w:rsidR="00000000" w:rsidRDefault="0053651E">
            <w:pPr>
              <w:pStyle w:val="a3"/>
              <w:spacing w:before="0" w:beforeAutospacing="0" w:after="0" w:afterAutospacing="0"/>
              <w:jc w:val="center"/>
              <w:rPr>
                <w:sz w:val="20"/>
                <w:szCs w:val="20"/>
              </w:rPr>
            </w:pPr>
            <w:r>
              <w:rPr>
                <w:sz w:val="20"/>
                <w:szCs w:val="20"/>
              </w:rPr>
              <w:t>&lt;65%</w:t>
            </w:r>
          </w:p>
        </w:tc>
        <w:tc>
          <w:tcPr>
            <w:tcW w:w="50" w:type="pct"/>
            <w:tcBorders>
              <w:bottom w:val="nil"/>
            </w:tcBorders>
            <w:shd w:val="clear" w:color="auto" w:fill="CCEEFF"/>
            <w:vAlign w:val="bottom"/>
            <w:hideMark/>
          </w:tcPr>
          <w:p w14:paraId="7B99A107"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4FC37DAE" w14:textId="77777777" w:rsidR="00000000" w:rsidRDefault="0053651E">
            <w:pPr>
              <w:jc w:val="center"/>
              <w:rPr>
                <w:rFonts w:eastAsia="Times New Roman"/>
                <w:sz w:val="20"/>
                <w:szCs w:val="20"/>
              </w:rPr>
            </w:pPr>
            <w:r>
              <w:rPr>
                <w:rFonts w:eastAsia="Times New Roman"/>
                <w:sz w:val="20"/>
                <w:szCs w:val="20"/>
              </w:rPr>
              <w:t>41%</w:t>
            </w:r>
          </w:p>
        </w:tc>
      </w:tr>
      <w:tr w:rsidR="00000000" w14:paraId="65DCE4DB" w14:textId="77777777">
        <w:trPr>
          <w:tblCellSpacing w:w="0" w:type="dxa"/>
        </w:trPr>
        <w:tc>
          <w:tcPr>
            <w:tcW w:w="3250" w:type="pct"/>
            <w:shd w:val="clear" w:color="auto" w:fill="FFFFFF"/>
            <w:vAlign w:val="bottom"/>
            <w:hideMark/>
          </w:tcPr>
          <w:p w14:paraId="794BDE2E" w14:textId="77777777" w:rsidR="00000000" w:rsidRDefault="0053651E">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14:paraId="6E978777" w14:textId="77777777" w:rsidR="00000000" w:rsidRDefault="0053651E">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14:paraId="4634CAB4" w14:textId="77777777" w:rsidR="00000000" w:rsidRDefault="0053651E">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14:paraId="72513993"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11AA29B" w14:textId="77777777" w:rsidR="00000000" w:rsidRDefault="0053651E">
            <w:pPr>
              <w:jc w:val="center"/>
              <w:rPr>
                <w:rFonts w:eastAsia="Times New Roman"/>
                <w:sz w:val="20"/>
                <w:szCs w:val="20"/>
              </w:rPr>
            </w:pPr>
            <w:r>
              <w:rPr>
                <w:rFonts w:eastAsia="Times New Roman"/>
                <w:sz w:val="20"/>
                <w:szCs w:val="20"/>
              </w:rPr>
              <w:t> 4%</w:t>
            </w:r>
          </w:p>
        </w:tc>
      </w:tr>
      <w:tr w:rsidR="00000000" w14:paraId="039616CF" w14:textId="77777777">
        <w:trPr>
          <w:tblCellSpacing w:w="0" w:type="dxa"/>
        </w:trPr>
        <w:tc>
          <w:tcPr>
            <w:tcW w:w="3250" w:type="pct"/>
            <w:shd w:val="clear" w:color="auto" w:fill="CCEEFF"/>
            <w:vAlign w:val="bottom"/>
            <w:hideMark/>
          </w:tcPr>
          <w:p w14:paraId="66448983" w14:textId="77777777" w:rsidR="00000000" w:rsidRDefault="0053651E">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14:paraId="6E5C4C44" w14:textId="77777777" w:rsidR="00000000" w:rsidRDefault="0053651E">
            <w:pPr>
              <w:jc w:val="center"/>
              <w:rPr>
                <w:rFonts w:eastAsia="Times New Roman"/>
                <w:sz w:val="20"/>
                <w:szCs w:val="20"/>
              </w:rPr>
            </w:pPr>
            <w:r>
              <w:rPr>
                <w:rFonts w:eastAsia="Times New Roman"/>
                <w:sz w:val="20"/>
                <w:szCs w:val="20"/>
              </w:rPr>
              <w:t> </w:t>
            </w:r>
          </w:p>
        </w:tc>
        <w:tc>
          <w:tcPr>
            <w:tcW w:w="800" w:type="pct"/>
            <w:shd w:val="clear" w:color="auto" w:fill="CCEEFF"/>
            <w:vAlign w:val="bottom"/>
            <w:hideMark/>
          </w:tcPr>
          <w:p w14:paraId="65E6B933" w14:textId="77777777" w:rsidR="00000000" w:rsidRDefault="0053651E">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14:paraId="5F5BB3F7"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C13EDC9" w14:textId="77777777" w:rsidR="00000000" w:rsidRDefault="0053651E">
            <w:pPr>
              <w:pStyle w:val="a3"/>
              <w:spacing w:before="0" w:beforeAutospacing="0" w:after="0" w:afterAutospacing="0"/>
              <w:jc w:val="center"/>
              <w:rPr>
                <w:sz w:val="20"/>
                <w:szCs w:val="20"/>
              </w:rPr>
            </w:pPr>
            <w:r>
              <w:rPr>
                <w:sz w:val="20"/>
                <w:szCs w:val="20"/>
              </w:rPr>
              <w:t>4.8x</w:t>
            </w:r>
          </w:p>
        </w:tc>
      </w:tr>
      <w:tr w:rsidR="00000000" w14:paraId="232FE4DB" w14:textId="77777777">
        <w:trPr>
          <w:tblCellSpacing w:w="0" w:type="dxa"/>
        </w:trPr>
        <w:tc>
          <w:tcPr>
            <w:tcW w:w="3250" w:type="pct"/>
            <w:shd w:val="clear" w:color="auto" w:fill="FFFFFF"/>
            <w:vAlign w:val="bottom"/>
            <w:hideMark/>
          </w:tcPr>
          <w:p w14:paraId="2FF5AE0F" w14:textId="77777777" w:rsidR="00000000" w:rsidRDefault="0053651E">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14:paraId="7F234B63" w14:textId="77777777" w:rsidR="00000000" w:rsidRDefault="0053651E">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14:paraId="08102249" w14:textId="77777777" w:rsidR="00000000" w:rsidRDefault="0053651E">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6DFFEDCF"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E530D3F" w14:textId="77777777" w:rsidR="00000000" w:rsidRDefault="0053651E">
            <w:pPr>
              <w:pStyle w:val="a3"/>
              <w:spacing w:before="0" w:beforeAutospacing="0" w:after="0" w:afterAutospacing="0"/>
              <w:jc w:val="center"/>
              <w:rPr>
                <w:sz w:val="20"/>
                <w:szCs w:val="20"/>
              </w:rPr>
            </w:pPr>
            <w:r>
              <w:rPr>
                <w:sz w:val="20"/>
                <w:szCs w:val="20"/>
              </w:rPr>
              <w:t>2.4x</w:t>
            </w:r>
          </w:p>
        </w:tc>
      </w:tr>
    </w:tbl>
    <w:p w14:paraId="7F6B7D85" w14:textId="77777777" w:rsidR="00000000" w:rsidRDefault="0053651E">
      <w:pPr>
        <w:pStyle w:val="a3"/>
        <w:spacing w:before="0" w:beforeAutospacing="0" w:after="0" w:afterAutospacing="0"/>
        <w:jc w:val="both"/>
        <w:rPr>
          <w:sz w:val="20"/>
          <w:szCs w:val="20"/>
        </w:rPr>
      </w:pPr>
      <w:r>
        <w:rPr>
          <w:sz w:val="20"/>
          <w:szCs w:val="20"/>
        </w:rPr>
        <w:t> </w:t>
      </w:r>
    </w:p>
    <w:p w14:paraId="59BB60F5" w14:textId="77777777" w:rsidR="00000000" w:rsidRDefault="0053651E">
      <w:pPr>
        <w:pStyle w:val="a3"/>
        <w:spacing w:before="0" w:beforeAutospacing="0" w:after="0" w:afterAutospacing="0"/>
        <w:ind w:firstLine="360"/>
        <w:jc w:val="both"/>
        <w:rPr>
          <w:sz w:val="20"/>
          <w:szCs w:val="20"/>
        </w:rPr>
      </w:pPr>
      <w:r>
        <w:rPr>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sz w:val="20"/>
          <w:szCs w:val="20"/>
        </w:rPr>
        <w:t>une 2, 2006; the Fourth Supplemental Indenture dated April 26, 2007; the Fifth Supplemental Indenture dated as of September 24, 2009; the Sixth Supplemental Indenture dated as of May 23, 2013; and the Seventh Supplemental Indenture dated as of April 24, 20</w:t>
      </w:r>
      <w:r>
        <w:rPr>
          <w:sz w:val="20"/>
          <w:szCs w:val="20"/>
        </w:rPr>
        <w:t>14, each as filed with the SEC. See the Exhibits Index for specific filing information.</w:t>
      </w:r>
    </w:p>
    <w:p w14:paraId="04838AC6" w14:textId="77777777" w:rsidR="00000000" w:rsidRDefault="0053651E">
      <w:pPr>
        <w:pStyle w:val="a3"/>
        <w:spacing w:before="0" w:beforeAutospacing="0" w:after="0" w:afterAutospacing="0"/>
        <w:ind w:firstLine="360"/>
        <w:jc w:val="both"/>
        <w:rPr>
          <w:sz w:val="20"/>
          <w:szCs w:val="20"/>
        </w:rPr>
      </w:pPr>
      <w:r>
        <w:rPr>
          <w:sz w:val="20"/>
          <w:szCs w:val="20"/>
        </w:rPr>
        <w:t> </w:t>
      </w:r>
    </w:p>
    <w:p w14:paraId="456F7365" w14:textId="77777777" w:rsidR="00000000" w:rsidRDefault="0053651E">
      <w:pPr>
        <w:pStyle w:val="a3"/>
        <w:spacing w:before="0" w:beforeAutospacing="0" w:after="0" w:afterAutospacing="0"/>
        <w:ind w:firstLine="360"/>
        <w:jc w:val="both"/>
        <w:rPr>
          <w:sz w:val="20"/>
          <w:szCs w:val="20"/>
        </w:rPr>
      </w:pPr>
      <w:r>
        <w:rPr>
          <w:i/>
          <w:iCs/>
          <w:sz w:val="20"/>
          <w:szCs w:val="20"/>
        </w:rPr>
        <w:t>Credit Facility –</w:t>
      </w:r>
    </w:p>
    <w:p w14:paraId="5FAABCA3" w14:textId="77777777" w:rsidR="00000000" w:rsidRDefault="0053651E">
      <w:pPr>
        <w:pStyle w:val="a3"/>
        <w:spacing w:before="0" w:beforeAutospacing="0" w:after="0" w:afterAutospacing="0"/>
        <w:ind w:firstLine="360"/>
        <w:jc w:val="both"/>
        <w:rPr>
          <w:sz w:val="20"/>
          <w:szCs w:val="20"/>
        </w:rPr>
      </w:pPr>
      <w:r>
        <w:rPr>
          <w:sz w:val="20"/>
          <w:szCs w:val="20"/>
        </w:rPr>
        <w:t> </w:t>
      </w:r>
    </w:p>
    <w:p w14:paraId="341395FA" w14:textId="77777777" w:rsidR="00000000" w:rsidRDefault="0053651E">
      <w:pPr>
        <w:pStyle w:val="a3"/>
        <w:spacing w:before="0" w:beforeAutospacing="0" w:after="0" w:afterAutospacing="0"/>
        <w:ind w:firstLine="360"/>
        <w:jc w:val="both"/>
        <w:rPr>
          <w:sz w:val="20"/>
          <w:szCs w:val="20"/>
        </w:rPr>
      </w:pPr>
      <w:r>
        <w:rPr>
          <w:sz w:val="20"/>
          <w:szCs w:val="20"/>
        </w:rPr>
        <w:t>The Company has a $2.25 billion unsecured revolving Credit Facility with a group of banks, which is scheduled to expire in March 2021, with two additional six-month options to extend the maturity date, at the Company’s discretion, to March 2022. This Credi</w:t>
      </w:r>
      <w:r>
        <w:rPr>
          <w:sz w:val="20"/>
          <w:szCs w:val="20"/>
        </w:rPr>
        <w:t>t Facility, which accrues interest at a rate of LIBOR plus 87.5 basis points (2.64% as of December 31, 2019), can be increased to $2.75 billion through an accordion feature. In addition, the Credit Facility includes a $500.0 million sub-limit which provide</w:t>
      </w:r>
      <w:r>
        <w:rPr>
          <w:sz w:val="20"/>
          <w:szCs w:val="20"/>
        </w:rPr>
        <w:t>s the Company the opportunity to borrow in alternative currencies including Canadian Dollars, British Pounds Sterling, Japanese Yen or Euros. Pursuant to the terms of the Credit Facility, the Company, among other things, is subject to covenants requiring t</w:t>
      </w:r>
      <w:r>
        <w:rPr>
          <w:sz w:val="20"/>
          <w:szCs w:val="20"/>
        </w:rPr>
        <w:t>he maintenance of (i) maximum leverage ratios on both unsecured and secured debt and (ii) minimum interest and fixed coverage ratios. As of December 31, 2019, the Credit Facility had a balance of $200.0 million outstanding and $0.3 million appropriated for</w:t>
      </w:r>
      <w:r>
        <w:rPr>
          <w:sz w:val="20"/>
          <w:szCs w:val="20"/>
        </w:rPr>
        <w:t xml:space="preserve"> letters of credit.</w:t>
      </w:r>
    </w:p>
    <w:p w14:paraId="6E6D6CB6" w14:textId="77777777" w:rsidR="00000000" w:rsidRDefault="0053651E">
      <w:pPr>
        <w:pStyle w:val="a3"/>
        <w:spacing w:before="0" w:beforeAutospacing="0" w:after="0" w:afterAutospacing="0"/>
        <w:ind w:firstLine="360"/>
        <w:jc w:val="both"/>
        <w:rPr>
          <w:sz w:val="20"/>
          <w:szCs w:val="20"/>
        </w:rPr>
      </w:pPr>
      <w:r>
        <w:rPr>
          <w:sz w:val="20"/>
          <w:szCs w:val="20"/>
        </w:rPr>
        <w:t> </w:t>
      </w:r>
    </w:p>
    <w:p w14:paraId="76F07A99" w14:textId="77777777" w:rsidR="00000000" w:rsidRDefault="0053651E">
      <w:pPr>
        <w:pStyle w:val="a3"/>
        <w:spacing w:before="0" w:beforeAutospacing="0" w:after="0" w:afterAutospacing="0"/>
        <w:ind w:firstLine="360"/>
        <w:jc w:val="both"/>
        <w:rPr>
          <w:sz w:val="20"/>
          <w:szCs w:val="20"/>
        </w:rPr>
      </w:pPr>
      <w:r>
        <w:rPr>
          <w:sz w:val="20"/>
          <w:szCs w:val="20"/>
        </w:rPr>
        <w:t>Pursuant to the terms of the Credit Facility, the Company, is subject to maintenance of various covenants. The Company is currently in compliance with these covenants. The financial covenants for the Credit Facility are as follows:</w:t>
      </w:r>
    </w:p>
    <w:p w14:paraId="029C42C9"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82"/>
        <w:gridCol w:w="83"/>
        <w:gridCol w:w="1329"/>
        <w:gridCol w:w="83"/>
        <w:gridCol w:w="1329"/>
      </w:tblGrid>
      <w:tr w:rsidR="00000000" w14:paraId="287E0A36" w14:textId="77777777">
        <w:trPr>
          <w:tblCellSpacing w:w="0" w:type="dxa"/>
        </w:trPr>
        <w:tc>
          <w:tcPr>
            <w:tcW w:w="3300" w:type="pct"/>
            <w:tcBorders>
              <w:bottom w:val="single" w:sz="6" w:space="0" w:color="000000"/>
            </w:tcBorders>
            <w:hideMark/>
          </w:tcPr>
          <w:p w14:paraId="3FBACE98" w14:textId="77777777" w:rsidR="00000000" w:rsidRDefault="0053651E">
            <w:pPr>
              <w:pStyle w:val="a3"/>
              <w:spacing w:before="0" w:beforeAutospacing="0" w:after="0" w:afterAutospacing="0"/>
              <w:jc w:val="center"/>
              <w:rPr>
                <w:sz w:val="20"/>
                <w:szCs w:val="20"/>
              </w:rPr>
            </w:pPr>
            <w:r>
              <w:rPr>
                <w:b/>
                <w:bCs/>
                <w:sz w:val="20"/>
                <w:szCs w:val="20"/>
              </w:rPr>
              <w:t>Covenant</w:t>
            </w:r>
          </w:p>
        </w:tc>
        <w:tc>
          <w:tcPr>
            <w:tcW w:w="50" w:type="pct"/>
            <w:hideMark/>
          </w:tcPr>
          <w:p w14:paraId="7C947230"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hideMark/>
          </w:tcPr>
          <w:p w14:paraId="65ED8B87" w14:textId="77777777" w:rsidR="00000000" w:rsidRDefault="0053651E">
            <w:pPr>
              <w:pStyle w:val="a3"/>
              <w:spacing w:before="0" w:beforeAutospacing="0" w:after="0" w:afterAutospacing="0"/>
              <w:jc w:val="center"/>
              <w:rPr>
                <w:sz w:val="20"/>
                <w:szCs w:val="20"/>
              </w:rPr>
            </w:pPr>
            <w:r>
              <w:rPr>
                <w:b/>
                <w:bCs/>
                <w:sz w:val="20"/>
                <w:szCs w:val="20"/>
              </w:rPr>
              <w:t>Must Be</w:t>
            </w:r>
          </w:p>
        </w:tc>
        <w:tc>
          <w:tcPr>
            <w:tcW w:w="50" w:type="pct"/>
            <w:hideMark/>
          </w:tcPr>
          <w:p w14:paraId="650EB00E"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hideMark/>
          </w:tcPr>
          <w:p w14:paraId="7F84E625" w14:textId="77777777" w:rsidR="00000000" w:rsidRDefault="0053651E">
            <w:pPr>
              <w:pStyle w:val="a3"/>
              <w:spacing w:before="0" w:beforeAutospacing="0" w:after="0" w:afterAutospacing="0"/>
              <w:jc w:val="center"/>
              <w:rPr>
                <w:sz w:val="20"/>
                <w:szCs w:val="20"/>
              </w:rPr>
            </w:pPr>
            <w:r>
              <w:rPr>
                <w:b/>
                <w:bCs/>
                <w:sz w:val="20"/>
                <w:szCs w:val="20"/>
              </w:rPr>
              <w:t>As of 12/31/19</w:t>
            </w:r>
          </w:p>
        </w:tc>
      </w:tr>
      <w:tr w:rsidR="00000000" w14:paraId="21663C73" w14:textId="77777777">
        <w:trPr>
          <w:tblCellSpacing w:w="0" w:type="dxa"/>
        </w:trPr>
        <w:tc>
          <w:tcPr>
            <w:tcW w:w="3300" w:type="pct"/>
            <w:tcBorders>
              <w:bottom w:val="nil"/>
            </w:tcBorders>
            <w:shd w:val="clear" w:color="auto" w:fill="CCEEFF"/>
            <w:hideMark/>
          </w:tcPr>
          <w:p w14:paraId="065A7B55" w14:textId="77777777" w:rsidR="00000000" w:rsidRDefault="0053651E">
            <w:pPr>
              <w:pStyle w:val="a3"/>
              <w:spacing w:before="0" w:beforeAutospacing="0" w:after="0" w:afterAutospacing="0"/>
              <w:ind w:left="220" w:hanging="220"/>
              <w:rPr>
                <w:sz w:val="20"/>
                <w:szCs w:val="20"/>
              </w:rPr>
            </w:pPr>
            <w:r>
              <w:rPr>
                <w:sz w:val="20"/>
                <w:szCs w:val="20"/>
              </w:rPr>
              <w:t>Total Indebtedness to Gross Asset Value (“GAV”)</w:t>
            </w:r>
          </w:p>
        </w:tc>
        <w:tc>
          <w:tcPr>
            <w:tcW w:w="50" w:type="pct"/>
            <w:shd w:val="clear" w:color="auto" w:fill="CCEEFF"/>
            <w:vAlign w:val="bottom"/>
            <w:hideMark/>
          </w:tcPr>
          <w:p w14:paraId="583A2AD1"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4A8983F1" w14:textId="77777777" w:rsidR="00000000" w:rsidRDefault="0053651E">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14:paraId="1897A399"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0C6BDF67" w14:textId="77777777" w:rsidR="00000000" w:rsidRDefault="0053651E">
            <w:pPr>
              <w:pStyle w:val="a3"/>
              <w:spacing w:before="0" w:beforeAutospacing="0" w:after="0" w:afterAutospacing="0"/>
              <w:jc w:val="center"/>
              <w:rPr>
                <w:sz w:val="20"/>
                <w:szCs w:val="20"/>
              </w:rPr>
            </w:pPr>
            <w:r>
              <w:rPr>
                <w:sz w:val="20"/>
                <w:szCs w:val="20"/>
              </w:rPr>
              <w:t>42%</w:t>
            </w:r>
          </w:p>
        </w:tc>
      </w:tr>
      <w:tr w:rsidR="00000000" w14:paraId="50F5BA2D" w14:textId="77777777">
        <w:trPr>
          <w:tblCellSpacing w:w="0" w:type="dxa"/>
        </w:trPr>
        <w:tc>
          <w:tcPr>
            <w:tcW w:w="3300" w:type="pct"/>
            <w:shd w:val="clear" w:color="auto" w:fill="FFFFFF"/>
            <w:hideMark/>
          </w:tcPr>
          <w:p w14:paraId="6A29CCEF" w14:textId="77777777" w:rsidR="00000000" w:rsidRDefault="0053651E">
            <w:pPr>
              <w:pStyle w:val="a3"/>
              <w:spacing w:before="0" w:beforeAutospacing="0" w:after="0" w:afterAutospacing="0"/>
              <w:ind w:left="220" w:hanging="220"/>
              <w:rPr>
                <w:sz w:val="20"/>
                <w:szCs w:val="20"/>
              </w:rPr>
            </w:pPr>
            <w:r>
              <w:rPr>
                <w:sz w:val="20"/>
                <w:szCs w:val="20"/>
              </w:rPr>
              <w:t>Total Priority Indebtedness to GAV</w:t>
            </w:r>
          </w:p>
        </w:tc>
        <w:tc>
          <w:tcPr>
            <w:tcW w:w="50" w:type="pct"/>
            <w:shd w:val="clear" w:color="auto" w:fill="FFFFFF"/>
            <w:vAlign w:val="bottom"/>
            <w:hideMark/>
          </w:tcPr>
          <w:p w14:paraId="60A7DFC3"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3402E1C" w14:textId="77777777" w:rsidR="00000000" w:rsidRDefault="0053651E">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14:paraId="70359BB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3A3E0D9" w14:textId="77777777" w:rsidR="00000000" w:rsidRDefault="0053651E">
            <w:pPr>
              <w:pStyle w:val="a3"/>
              <w:spacing w:before="0" w:beforeAutospacing="0" w:after="0" w:afterAutospacing="0"/>
              <w:jc w:val="center"/>
              <w:rPr>
                <w:sz w:val="20"/>
                <w:szCs w:val="20"/>
              </w:rPr>
            </w:pPr>
            <w:r>
              <w:rPr>
                <w:sz w:val="20"/>
                <w:szCs w:val="20"/>
              </w:rPr>
              <w:t>3%</w:t>
            </w:r>
          </w:p>
        </w:tc>
      </w:tr>
      <w:tr w:rsidR="00000000" w14:paraId="0889ADFB" w14:textId="77777777">
        <w:trPr>
          <w:tblCellSpacing w:w="0" w:type="dxa"/>
        </w:trPr>
        <w:tc>
          <w:tcPr>
            <w:tcW w:w="3300" w:type="pct"/>
            <w:shd w:val="clear" w:color="auto" w:fill="CCEEFF"/>
            <w:hideMark/>
          </w:tcPr>
          <w:p w14:paraId="7DF425EA" w14:textId="77777777" w:rsidR="00000000" w:rsidRDefault="0053651E">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50" w:type="pct"/>
            <w:shd w:val="clear" w:color="auto" w:fill="CCEEFF"/>
            <w:vAlign w:val="bottom"/>
            <w:hideMark/>
          </w:tcPr>
          <w:p w14:paraId="1A5F6C7C"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9D188DE" w14:textId="77777777" w:rsidR="00000000" w:rsidRDefault="0053651E">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14:paraId="567C92D9"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41A85BF" w14:textId="77777777" w:rsidR="00000000" w:rsidRDefault="0053651E">
            <w:pPr>
              <w:pStyle w:val="a3"/>
              <w:spacing w:before="0" w:beforeAutospacing="0" w:after="0" w:afterAutospacing="0"/>
              <w:jc w:val="center"/>
              <w:rPr>
                <w:sz w:val="20"/>
                <w:szCs w:val="20"/>
              </w:rPr>
            </w:pPr>
            <w:r>
              <w:rPr>
                <w:sz w:val="20"/>
                <w:szCs w:val="20"/>
              </w:rPr>
              <w:t>4.0x</w:t>
            </w:r>
          </w:p>
        </w:tc>
      </w:tr>
      <w:tr w:rsidR="00000000" w14:paraId="7C29EDAD" w14:textId="77777777">
        <w:trPr>
          <w:tblCellSpacing w:w="0" w:type="dxa"/>
        </w:trPr>
        <w:tc>
          <w:tcPr>
            <w:tcW w:w="3300" w:type="pct"/>
            <w:shd w:val="clear" w:color="auto" w:fill="FFFFFF"/>
            <w:hideMark/>
          </w:tcPr>
          <w:p w14:paraId="24E43580" w14:textId="77777777" w:rsidR="00000000" w:rsidRDefault="0053651E">
            <w:pPr>
              <w:pStyle w:val="a3"/>
              <w:spacing w:before="0" w:beforeAutospacing="0" w:after="0" w:afterAutospacing="0"/>
              <w:ind w:left="220" w:hanging="220"/>
              <w:rPr>
                <w:sz w:val="20"/>
                <w:szCs w:val="20"/>
              </w:rPr>
            </w:pPr>
            <w:r>
              <w:rPr>
                <w:sz w:val="20"/>
                <w:szCs w:val="20"/>
              </w:rPr>
              <w:t>Fixed Charge Total Adjusted EBITDA to Total Debt Service</w:t>
            </w:r>
          </w:p>
        </w:tc>
        <w:tc>
          <w:tcPr>
            <w:tcW w:w="50" w:type="pct"/>
            <w:shd w:val="clear" w:color="auto" w:fill="FFFFFF"/>
            <w:vAlign w:val="bottom"/>
            <w:hideMark/>
          </w:tcPr>
          <w:p w14:paraId="61E535A2"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147624B" w14:textId="77777777" w:rsidR="00000000" w:rsidRDefault="0053651E">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1A9293F1"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4423CFA" w14:textId="77777777" w:rsidR="00000000" w:rsidRDefault="0053651E">
            <w:pPr>
              <w:pStyle w:val="a3"/>
              <w:spacing w:before="0" w:beforeAutospacing="0" w:after="0" w:afterAutospacing="0"/>
              <w:jc w:val="center"/>
              <w:rPr>
                <w:sz w:val="20"/>
                <w:szCs w:val="20"/>
              </w:rPr>
            </w:pPr>
            <w:r>
              <w:rPr>
                <w:sz w:val="20"/>
                <w:szCs w:val="20"/>
              </w:rPr>
              <w:t>3.2x</w:t>
            </w:r>
          </w:p>
        </w:tc>
      </w:tr>
    </w:tbl>
    <w:p w14:paraId="6F900227" w14:textId="77777777" w:rsidR="00000000" w:rsidRDefault="0053651E">
      <w:pPr>
        <w:pStyle w:val="a3"/>
        <w:spacing w:before="0" w:beforeAutospacing="0" w:after="0" w:afterAutospacing="0"/>
        <w:ind w:firstLine="360"/>
        <w:jc w:val="both"/>
        <w:rPr>
          <w:sz w:val="20"/>
          <w:szCs w:val="20"/>
        </w:rPr>
      </w:pPr>
      <w:r>
        <w:rPr>
          <w:sz w:val="20"/>
          <w:szCs w:val="20"/>
        </w:rPr>
        <w:t> </w:t>
      </w:r>
    </w:p>
    <w:p w14:paraId="02AF7933" w14:textId="77777777" w:rsidR="00000000" w:rsidRDefault="0053651E">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1, 2017, filed as Exhibit 10.1 to the Company’s Current Report on Form 8-K dated January 30, 2017.</w:t>
      </w:r>
    </w:p>
    <w:p w14:paraId="20C943B7" w14:textId="77777777" w:rsidR="00000000" w:rsidRDefault="0053651E">
      <w:pPr>
        <w:pStyle w:val="a3"/>
        <w:spacing w:before="0" w:beforeAutospacing="0" w:after="0" w:afterAutospacing="0"/>
        <w:jc w:val="both"/>
        <w:rPr>
          <w:sz w:val="20"/>
          <w:szCs w:val="20"/>
        </w:rPr>
      </w:pPr>
      <w:r>
        <w:rPr>
          <w:i/>
          <w:iCs/>
          <w:sz w:val="20"/>
          <w:szCs w:val="20"/>
        </w:rPr>
        <w:t> </w:t>
      </w:r>
    </w:p>
    <w:p w14:paraId="64378112" w14:textId="77777777" w:rsidR="00000000" w:rsidRDefault="0053651E">
      <w:pPr>
        <w:pStyle w:val="a3"/>
        <w:spacing w:before="0" w:beforeAutospacing="0" w:after="0" w:afterAutospacing="0"/>
        <w:ind w:firstLine="360"/>
        <w:jc w:val="both"/>
        <w:rPr>
          <w:sz w:val="20"/>
          <w:szCs w:val="20"/>
        </w:rPr>
      </w:pPr>
      <w:r>
        <w:rPr>
          <w:i/>
          <w:iCs/>
          <w:sz w:val="20"/>
          <w:szCs w:val="20"/>
        </w:rPr>
        <w:t>Mortgages and Constructio</w:t>
      </w:r>
      <w:r>
        <w:rPr>
          <w:i/>
          <w:iCs/>
          <w:sz w:val="20"/>
          <w:szCs w:val="20"/>
        </w:rPr>
        <w:t>n Loan Payable –</w:t>
      </w:r>
    </w:p>
    <w:p w14:paraId="405F8C38" w14:textId="77777777" w:rsidR="00000000" w:rsidRDefault="0053651E">
      <w:pPr>
        <w:pStyle w:val="a3"/>
        <w:spacing w:before="0" w:beforeAutospacing="0" w:after="0" w:afterAutospacing="0"/>
        <w:jc w:val="both"/>
        <w:rPr>
          <w:sz w:val="20"/>
          <w:szCs w:val="20"/>
        </w:rPr>
      </w:pPr>
      <w:r>
        <w:rPr>
          <w:sz w:val="20"/>
          <w:szCs w:val="20"/>
        </w:rPr>
        <w:t> </w:t>
      </w:r>
    </w:p>
    <w:p w14:paraId="2C9323C6" w14:textId="77777777" w:rsidR="00000000" w:rsidRDefault="0053651E">
      <w:pPr>
        <w:pStyle w:val="a3"/>
        <w:spacing w:before="0" w:beforeAutospacing="0" w:after="0" w:afterAutospacing="0"/>
        <w:ind w:firstLine="360"/>
        <w:rPr>
          <w:sz w:val="20"/>
          <w:szCs w:val="20"/>
        </w:rPr>
      </w:pPr>
      <w:r>
        <w:rPr>
          <w:sz w:val="20"/>
          <w:szCs w:val="20"/>
        </w:rPr>
        <w:t xml:space="preserve">During 2019, the Company repaid $6.6 million of mortgage debt that encumbered three operating properties.  </w:t>
      </w:r>
      <w:r>
        <w:rPr>
          <w:sz w:val="20"/>
          <w:szCs w:val="20"/>
        </w:rPr>
        <w:t>Additionally, during 2019, the Company disposed of an encumbered property through a deed in lieu transaction. This transaction resulted in a net decrease in mortgage debt of $7.0 million (including a fair market value adjustment of $0.1 million) and a gain</w:t>
      </w:r>
      <w:r>
        <w:rPr>
          <w:sz w:val="20"/>
          <w:szCs w:val="20"/>
        </w:rPr>
        <w:t xml:space="preserve"> on forgiveness of debt of $2.8 million, which is included in Other income, net in the Company’s Consolidated Statements of Income.</w:t>
      </w:r>
    </w:p>
    <w:p w14:paraId="23D03E32" w14:textId="77777777" w:rsidR="00000000" w:rsidRDefault="0053651E">
      <w:pPr>
        <w:pStyle w:val="a3"/>
        <w:spacing w:before="0" w:beforeAutospacing="0" w:after="0" w:afterAutospacing="0"/>
        <w:ind w:left="144" w:right="144"/>
        <w:rPr>
          <w:sz w:val="20"/>
          <w:szCs w:val="20"/>
        </w:rPr>
      </w:pPr>
      <w:r>
        <w:rPr>
          <w:sz w:val="20"/>
          <w:szCs w:val="20"/>
        </w:rPr>
        <w:t> </w:t>
      </w:r>
    </w:p>
    <w:p w14:paraId="06EEC0C9" w14:textId="77777777" w:rsidR="00000000" w:rsidRDefault="0053651E">
      <w:pPr>
        <w:pStyle w:val="a3"/>
        <w:spacing w:before="0" w:beforeAutospacing="0" w:after="0" w:afterAutospacing="0"/>
        <w:ind w:firstLine="360"/>
        <w:jc w:val="both"/>
        <w:rPr>
          <w:sz w:val="20"/>
          <w:szCs w:val="20"/>
        </w:rPr>
      </w:pPr>
      <w:r>
        <w:rPr>
          <w:sz w:val="20"/>
          <w:szCs w:val="20"/>
        </w:rPr>
        <w:t> </w:t>
      </w:r>
    </w:p>
    <w:p w14:paraId="1066907A" w14:textId="77777777" w:rsidR="00000000" w:rsidRDefault="0053651E">
      <w:pPr>
        <w:ind w:firstLine="360"/>
        <w:divId w:val="1434394193"/>
        <w:rPr>
          <w:rFonts w:eastAsia="Times New Roman"/>
          <w:sz w:val="20"/>
          <w:szCs w:val="20"/>
        </w:rPr>
      </w:pPr>
      <w:r>
        <w:rPr>
          <w:rFonts w:eastAsia="Times New Roman"/>
          <w:sz w:val="20"/>
          <w:szCs w:val="20"/>
        </w:rPr>
        <w:t>In August 2018, the Company closed on a construction loan commitment of $67.0 million relating to one development proper</w:t>
      </w:r>
      <w:r>
        <w:rPr>
          <w:rFonts w:eastAsia="Times New Roman"/>
          <w:sz w:val="20"/>
          <w:szCs w:val="20"/>
        </w:rPr>
        <w:t>ty.  This loan commitment was scheduled to mature in August 2020, with six additional six-month options to extend the maturity date to August 2023, bore interest at a rate of LIBOR plus 180 basis points (3.56% as of December 31, 2019), interest was paid mo</w:t>
      </w:r>
      <w:r>
        <w:rPr>
          <w:rFonts w:eastAsia="Times New Roman"/>
          <w:sz w:val="20"/>
          <w:szCs w:val="20"/>
        </w:rPr>
        <w:t xml:space="preserve">nthly with a principal payment due at maturity.  As of December 31, 2019, the construction loan had a balance of $67.0 million outstanding. Subsequent to December 31, 2019, this construction loan was fully repaid. </w:t>
      </w:r>
    </w:p>
    <w:p w14:paraId="49C1474D" w14:textId="77777777" w:rsidR="00000000" w:rsidRDefault="0053651E">
      <w:pPr>
        <w:pStyle w:val="a3"/>
        <w:rPr>
          <w:sz w:val="20"/>
          <w:szCs w:val="20"/>
        </w:rPr>
      </w:pPr>
      <w:r>
        <w:rPr>
          <w:sz w:val="20"/>
          <w:szCs w:val="20"/>
        </w:rPr>
        <w:t> </w:t>
      </w:r>
    </w:p>
    <w:p w14:paraId="16D92A8B" w14:textId="77777777" w:rsidR="00000000" w:rsidRDefault="0053651E">
      <w:pPr>
        <w:pStyle w:val="a3"/>
        <w:spacing w:before="0" w:beforeAutospacing="0" w:after="0" w:afterAutospacing="0"/>
        <w:ind w:firstLine="360"/>
        <w:jc w:val="both"/>
        <w:rPr>
          <w:sz w:val="20"/>
          <w:szCs w:val="20"/>
        </w:rPr>
      </w:pPr>
      <w:r>
        <w:rPr>
          <w:sz w:val="20"/>
          <w:szCs w:val="20"/>
        </w:rPr>
        <w:t> </w:t>
      </w:r>
    </w:p>
    <w:p w14:paraId="2441DA9C" w14:textId="77777777" w:rsidR="00000000" w:rsidRDefault="0053651E">
      <w:pPr>
        <w:pStyle w:val="a3"/>
        <w:spacing w:before="0" w:beforeAutospacing="0" w:after="0" w:afterAutospacing="0"/>
        <w:jc w:val="both"/>
        <w:rPr>
          <w:sz w:val="20"/>
          <w:szCs w:val="20"/>
        </w:rPr>
      </w:pPr>
      <w:r>
        <w:rPr>
          <w:sz w:val="20"/>
          <w:szCs w:val="20"/>
        </w:rPr>
        <w:t> </w:t>
      </w:r>
    </w:p>
    <w:p w14:paraId="0D6C4A6C" w14:textId="77777777" w:rsidR="00000000" w:rsidRDefault="0053651E">
      <w:pPr>
        <w:jc w:val="center"/>
        <w:divId w:val="460462786"/>
        <w:rPr>
          <w:rFonts w:eastAsia="Times New Roman"/>
          <w:sz w:val="20"/>
          <w:szCs w:val="20"/>
        </w:rPr>
      </w:pPr>
      <w:r>
        <w:rPr>
          <w:rFonts w:eastAsia="Times New Roman"/>
          <w:sz w:val="20"/>
          <w:szCs w:val="20"/>
        </w:rPr>
        <w:t xml:space="preserve">30 </w:t>
      </w:r>
    </w:p>
    <w:p w14:paraId="0E6FCA1C" w14:textId="77777777" w:rsidR="00000000" w:rsidRDefault="0053651E">
      <w:pPr>
        <w:divId w:val="460462786"/>
        <w:rPr>
          <w:rFonts w:eastAsia="Times New Roman"/>
          <w:sz w:val="20"/>
          <w:szCs w:val="20"/>
        </w:rPr>
      </w:pPr>
      <w:r>
        <w:rPr>
          <w:rFonts w:eastAsia="Times New Roman"/>
          <w:sz w:val="20"/>
          <w:szCs w:val="20"/>
        </w:rPr>
        <w:pict w14:anchorId="64A2A793">
          <v:rect id="_x0000_i1061" style="width:0;height:1.5pt" o:hralign="center" o:hrstd="t" o:hr="t" fillcolor="#a0a0a0" stroked="f"/>
        </w:pict>
      </w:r>
    </w:p>
    <w:p w14:paraId="71A9427A" w14:textId="77777777" w:rsidR="00000000" w:rsidRDefault="0053651E">
      <w:pPr>
        <w:divId w:val="46046278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56825E7" w14:textId="77777777" w:rsidR="00000000" w:rsidRDefault="0053651E">
      <w:pPr>
        <w:pStyle w:val="a3"/>
        <w:spacing w:before="0" w:beforeAutospacing="0" w:after="0" w:afterAutospacing="0"/>
        <w:rPr>
          <w:sz w:val="20"/>
          <w:szCs w:val="20"/>
        </w:rPr>
      </w:pPr>
      <w:r>
        <w:rPr>
          <w:sz w:val="20"/>
          <w:szCs w:val="20"/>
        </w:rPr>
        <w:t> </w:t>
      </w:r>
    </w:p>
    <w:p w14:paraId="0782D1D5" w14:textId="77777777" w:rsidR="00000000" w:rsidRDefault="0053651E">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mortgage financing on selected properties and construction loans to partially fund the cap</w:t>
      </w:r>
      <w:r>
        <w:rPr>
          <w:sz w:val="20"/>
          <w:szCs w:val="20"/>
        </w:rPr>
        <w:t>ital needs of its real estate under development projects. As of December 31, 2019, the Company had over 320 unencumbered property interests in its portfolio.</w:t>
      </w:r>
    </w:p>
    <w:p w14:paraId="40B893B9" w14:textId="77777777" w:rsidR="00000000" w:rsidRDefault="0053651E">
      <w:pPr>
        <w:pStyle w:val="a3"/>
        <w:spacing w:before="0" w:beforeAutospacing="0" w:after="0" w:afterAutospacing="0"/>
        <w:jc w:val="both"/>
        <w:rPr>
          <w:sz w:val="20"/>
          <w:szCs w:val="20"/>
        </w:rPr>
      </w:pPr>
      <w:r>
        <w:rPr>
          <w:i/>
          <w:iCs/>
          <w:sz w:val="20"/>
          <w:szCs w:val="20"/>
        </w:rPr>
        <w:t> </w:t>
      </w:r>
    </w:p>
    <w:p w14:paraId="0407F4A8" w14:textId="77777777" w:rsidR="00000000" w:rsidRDefault="0053651E">
      <w:pPr>
        <w:pStyle w:val="a3"/>
        <w:spacing w:before="0" w:beforeAutospacing="0" w:after="0" w:afterAutospacing="0"/>
        <w:ind w:firstLine="360"/>
        <w:jc w:val="both"/>
        <w:rPr>
          <w:sz w:val="20"/>
          <w:szCs w:val="20"/>
        </w:rPr>
      </w:pPr>
      <w:r>
        <w:rPr>
          <w:i/>
          <w:iCs/>
          <w:sz w:val="20"/>
          <w:szCs w:val="20"/>
        </w:rPr>
        <w:t>Dividends –</w:t>
      </w:r>
    </w:p>
    <w:p w14:paraId="40417958" w14:textId="77777777" w:rsidR="00000000" w:rsidRDefault="0053651E">
      <w:pPr>
        <w:pStyle w:val="a3"/>
        <w:spacing w:before="0" w:beforeAutospacing="0" w:after="0" w:afterAutospacing="0"/>
        <w:ind w:firstLine="360"/>
        <w:jc w:val="both"/>
        <w:rPr>
          <w:sz w:val="20"/>
          <w:szCs w:val="20"/>
        </w:rPr>
      </w:pPr>
      <w:r>
        <w:rPr>
          <w:sz w:val="20"/>
          <w:szCs w:val="20"/>
        </w:rPr>
        <w:t> </w:t>
      </w:r>
    </w:p>
    <w:p w14:paraId="2AD8F42B" w14:textId="77777777" w:rsidR="00000000" w:rsidRDefault="0053651E">
      <w:pPr>
        <w:pStyle w:val="a3"/>
        <w:spacing w:before="0" w:beforeAutospacing="0" w:after="0" w:afterAutospacing="0"/>
        <w:ind w:firstLine="360"/>
        <w:jc w:val="both"/>
        <w:rPr>
          <w:sz w:val="20"/>
          <w:szCs w:val="20"/>
        </w:rPr>
      </w:pPr>
      <w:r>
        <w:rPr>
          <w:sz w:val="20"/>
          <w:szCs w:val="20"/>
        </w:rPr>
        <w:t>In connection with its intention to continue to qualify as a REIT for federal inco</w:t>
      </w:r>
      <w:r>
        <w:rPr>
          <w:sz w:val="20"/>
          <w:szCs w:val="20"/>
        </w:rPr>
        <w:t>me tax purposes, the Company expects to continue paying regular dividends to its stockholders. These dividends will be paid from operating cash flows. The Company’s Board of Directors will continue to evaluate the Company’s dividend policy on a quarterly b</w:t>
      </w:r>
      <w:r>
        <w:rPr>
          <w:sz w:val="20"/>
          <w:szCs w:val="20"/>
        </w:rPr>
        <w:t>asis as the Board of Directors monitors sources of capital and evaluates the impact of the economy and capital markets availability on operating fundamentals.  Since cash used to pay dividends reduces amounts available for capital investment, the Company g</w:t>
      </w:r>
      <w:r>
        <w:rPr>
          <w:sz w:val="20"/>
          <w:szCs w:val="20"/>
        </w:rPr>
        <w:t>enerally intends to maintain a dividend payout ratio which reserves such amounts as it considers necessary for the expansion and renovation of shopping centers in its portfolio, debt reduction, the acquisition of interests in new properties and other inves</w:t>
      </w:r>
      <w:r>
        <w:rPr>
          <w:sz w:val="20"/>
          <w:szCs w:val="20"/>
        </w:rPr>
        <w:t>tments as suitable opportunities arise and such other factors as the Board of Directors considers appropriate.  Cash dividends paid were $531.6 million, $529.8 million and $506.2 million in 2019, 2018, and 2017 respectively.</w:t>
      </w:r>
    </w:p>
    <w:p w14:paraId="601BEF3C" w14:textId="77777777" w:rsidR="00000000" w:rsidRDefault="0053651E">
      <w:pPr>
        <w:pStyle w:val="a3"/>
        <w:spacing w:before="0" w:beforeAutospacing="0" w:after="0" w:afterAutospacing="0"/>
        <w:ind w:firstLine="360"/>
        <w:jc w:val="both"/>
        <w:rPr>
          <w:sz w:val="20"/>
          <w:szCs w:val="20"/>
        </w:rPr>
      </w:pPr>
      <w:r>
        <w:rPr>
          <w:sz w:val="20"/>
          <w:szCs w:val="20"/>
        </w:rPr>
        <w:t> </w:t>
      </w:r>
    </w:p>
    <w:p w14:paraId="2AB5B3EE" w14:textId="77777777" w:rsidR="00000000" w:rsidRDefault="0053651E">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dividends quarterly. Amounts accumulated in advance of each quarterly distribution will be invested by the Company in short-t</w:t>
      </w:r>
      <w:r>
        <w:rPr>
          <w:sz w:val="20"/>
          <w:szCs w:val="20"/>
        </w:rPr>
        <w:t>erm money market or other suitable instruments. On October 21, 2019, the Company’s Board of Directors declared a quarterly cash dividend of $0.28 per common share payable to shareholders of record on January 2, 2020, which was paid on January 15, 2020. Add</w:t>
      </w:r>
      <w:r>
        <w:rPr>
          <w:sz w:val="20"/>
          <w:szCs w:val="20"/>
        </w:rPr>
        <w:t>itionally, on January 28, 2020, the Company’s Board of Directors declared a quarterly cash dividend of $0.28 per common share payable to shareholders of record on April 2, 2020, which is scheduled to be paid on April 15, 2020.</w:t>
      </w:r>
    </w:p>
    <w:p w14:paraId="17C470DA" w14:textId="77777777" w:rsidR="00000000" w:rsidRDefault="0053651E">
      <w:pPr>
        <w:pStyle w:val="a3"/>
        <w:spacing w:before="0" w:beforeAutospacing="0" w:after="0" w:afterAutospacing="0"/>
        <w:ind w:firstLine="360"/>
        <w:jc w:val="both"/>
        <w:rPr>
          <w:sz w:val="20"/>
          <w:szCs w:val="20"/>
        </w:rPr>
      </w:pPr>
      <w:r>
        <w:rPr>
          <w:sz w:val="20"/>
          <w:szCs w:val="20"/>
        </w:rPr>
        <w:t> </w:t>
      </w:r>
    </w:p>
    <w:p w14:paraId="662A284B" w14:textId="77777777" w:rsidR="00000000" w:rsidRDefault="0053651E">
      <w:pPr>
        <w:pStyle w:val="a3"/>
        <w:spacing w:before="0" w:beforeAutospacing="0" w:after="0" w:afterAutospacing="0"/>
        <w:ind w:firstLine="360"/>
        <w:jc w:val="both"/>
        <w:rPr>
          <w:sz w:val="20"/>
          <w:szCs w:val="20"/>
        </w:rPr>
      </w:pPr>
      <w:r>
        <w:rPr>
          <w:sz w:val="20"/>
          <w:szCs w:val="20"/>
        </w:rPr>
        <w:t>The Company’s Board of Dire</w:t>
      </w:r>
      <w:r>
        <w:rPr>
          <w:sz w:val="20"/>
          <w:szCs w:val="20"/>
        </w:rPr>
        <w:t xml:space="preserve">ctors also declared quarterly dividends with respect to the Company’s classes of cumulative redeemable preferred shares (Classes L and M). All dividends on the preferred shares are scheduled to be paid on April 15, 2020, to shareholders of record on April </w:t>
      </w:r>
      <w:r>
        <w:rPr>
          <w:sz w:val="20"/>
          <w:szCs w:val="20"/>
        </w:rPr>
        <w:t>1, 2020.</w:t>
      </w:r>
    </w:p>
    <w:p w14:paraId="7A58C1EC" w14:textId="77777777" w:rsidR="00000000" w:rsidRDefault="0053651E">
      <w:pPr>
        <w:pStyle w:val="a3"/>
        <w:spacing w:before="0" w:beforeAutospacing="0" w:after="0" w:afterAutospacing="0"/>
        <w:jc w:val="both"/>
        <w:rPr>
          <w:sz w:val="20"/>
          <w:szCs w:val="20"/>
        </w:rPr>
      </w:pPr>
      <w:r>
        <w:rPr>
          <w:sz w:val="20"/>
          <w:szCs w:val="20"/>
        </w:rPr>
        <w:t> </w:t>
      </w:r>
    </w:p>
    <w:p w14:paraId="3A148487" w14:textId="77777777" w:rsidR="00000000" w:rsidRDefault="0053651E">
      <w:pPr>
        <w:pStyle w:val="a3"/>
        <w:spacing w:before="0" w:beforeAutospacing="0" w:after="0" w:afterAutospacing="0"/>
        <w:ind w:firstLine="360"/>
        <w:jc w:val="both"/>
        <w:rPr>
          <w:sz w:val="20"/>
          <w:szCs w:val="20"/>
        </w:rPr>
      </w:pPr>
      <w:r>
        <w:rPr>
          <w:i/>
          <w:iCs/>
          <w:sz w:val="20"/>
          <w:szCs w:val="20"/>
        </w:rPr>
        <w:t>Hurricane Impact –</w:t>
      </w:r>
    </w:p>
    <w:p w14:paraId="402D0A62" w14:textId="77777777" w:rsidR="00000000" w:rsidRDefault="0053651E">
      <w:pPr>
        <w:pStyle w:val="a3"/>
        <w:spacing w:before="0" w:beforeAutospacing="0" w:after="0" w:afterAutospacing="0"/>
        <w:ind w:firstLine="360"/>
        <w:jc w:val="both"/>
        <w:rPr>
          <w:sz w:val="20"/>
          <w:szCs w:val="20"/>
        </w:rPr>
      </w:pPr>
      <w:r>
        <w:rPr>
          <w:sz w:val="20"/>
          <w:szCs w:val="20"/>
        </w:rPr>
        <w:t> </w:t>
      </w:r>
    </w:p>
    <w:p w14:paraId="1AF41531" w14:textId="77777777" w:rsidR="00000000" w:rsidRDefault="0053651E">
      <w:pPr>
        <w:pStyle w:val="a3"/>
        <w:spacing w:before="0" w:beforeAutospacing="0" w:after="0" w:afterAutospacing="0"/>
        <w:ind w:firstLine="360"/>
        <w:jc w:val="both"/>
        <w:rPr>
          <w:sz w:val="20"/>
          <w:szCs w:val="20"/>
        </w:rPr>
      </w:pPr>
      <w:r>
        <w:rPr>
          <w:sz w:val="20"/>
          <w:szCs w:val="20"/>
        </w:rPr>
        <w:t>During September 2017, Hurricane Maria struck Puerto Rico and caused various amounts of damage to the Company’s seven operating properties located throughout the island. The Company expects to collect property insurance proc</w:t>
      </w:r>
      <w:r>
        <w:rPr>
          <w:sz w:val="20"/>
          <w:szCs w:val="20"/>
        </w:rPr>
        <w:t>eeds (net of a deductible of $1.2 million) equal to the replacement cost of its damaged property estimated to be approximately $30.3 million.  As of December 31, 2019, the Company has collected property insurance proceeds totaling $24.2 million to date, wh</w:t>
      </w:r>
      <w:r>
        <w:rPr>
          <w:sz w:val="20"/>
          <w:szCs w:val="20"/>
        </w:rPr>
        <w:t>ich exceeds the $16.0 million of net book value of the damaged property that was previously written off by $8.2 million.  The Company recognized this excess as income in the periods that insurance proceeds were received. As such, the Company recognized $4.</w:t>
      </w:r>
      <w:r>
        <w:rPr>
          <w:sz w:val="20"/>
          <w:szCs w:val="20"/>
        </w:rPr>
        <w:t>0 million and $4.2 million as income which is included in Other income, net on the Company’s Consolidated Statements of Income for the years ended December 31, 2019 and 2018, respectively.</w:t>
      </w:r>
    </w:p>
    <w:p w14:paraId="20DDA622" w14:textId="77777777" w:rsidR="00000000" w:rsidRDefault="0053651E">
      <w:pPr>
        <w:pStyle w:val="a3"/>
        <w:spacing w:before="0" w:beforeAutospacing="0" w:after="0" w:afterAutospacing="0"/>
        <w:jc w:val="both"/>
        <w:rPr>
          <w:sz w:val="20"/>
          <w:szCs w:val="20"/>
        </w:rPr>
      </w:pPr>
      <w:r>
        <w:rPr>
          <w:sz w:val="20"/>
          <w:szCs w:val="20"/>
        </w:rPr>
        <w:t> </w:t>
      </w:r>
    </w:p>
    <w:p w14:paraId="723B3C11" w14:textId="77777777" w:rsidR="00000000" w:rsidRDefault="0053651E">
      <w:pPr>
        <w:pStyle w:val="a3"/>
        <w:spacing w:before="0" w:beforeAutospacing="0" w:after="0" w:afterAutospacing="0"/>
        <w:ind w:firstLine="360"/>
        <w:jc w:val="both"/>
        <w:rPr>
          <w:sz w:val="20"/>
          <w:szCs w:val="20"/>
        </w:rPr>
      </w:pPr>
      <w:r>
        <w:rPr>
          <w:i/>
          <w:iCs/>
          <w:sz w:val="20"/>
          <w:szCs w:val="20"/>
        </w:rPr>
        <w:t>Other –</w:t>
      </w:r>
    </w:p>
    <w:p w14:paraId="657C5095" w14:textId="77777777" w:rsidR="00000000" w:rsidRDefault="0053651E">
      <w:pPr>
        <w:pStyle w:val="a3"/>
        <w:spacing w:before="0" w:beforeAutospacing="0" w:after="0" w:afterAutospacing="0"/>
        <w:jc w:val="both"/>
        <w:rPr>
          <w:sz w:val="20"/>
          <w:szCs w:val="20"/>
        </w:rPr>
      </w:pPr>
      <w:r>
        <w:rPr>
          <w:sz w:val="20"/>
          <w:szCs w:val="20"/>
        </w:rPr>
        <w:t> </w:t>
      </w:r>
    </w:p>
    <w:p w14:paraId="6D2C606F" w14:textId="77777777" w:rsidR="00000000" w:rsidRDefault="0053651E">
      <w:pPr>
        <w:pStyle w:val="a3"/>
        <w:spacing w:before="0" w:beforeAutospacing="0" w:after="0" w:afterAutospacing="0"/>
        <w:ind w:firstLine="360"/>
        <w:jc w:val="both"/>
        <w:rPr>
          <w:sz w:val="20"/>
          <w:szCs w:val="20"/>
        </w:rPr>
      </w:pPr>
      <w:r>
        <w:rPr>
          <w:sz w:val="20"/>
          <w:szCs w:val="20"/>
        </w:rPr>
        <w:t>The Company is subject to taxes on activities in Puerto</w:t>
      </w:r>
      <w:r>
        <w:rPr>
          <w:sz w:val="20"/>
          <w:szCs w:val="20"/>
        </w:rPr>
        <w:t xml:space="preserve"> Rico, Canada and Mexico.  In general, under local country law applicable to the structures the Company has in place and applicable treaties, the repatriation of cash to the Company from its subsidiaries and joint ventures in Puerto Rico, Canada and Mexico</w:t>
      </w:r>
      <w:r>
        <w:rPr>
          <w:sz w:val="20"/>
          <w:szCs w:val="20"/>
        </w:rPr>
        <w:t xml:space="preserve"> generally are not subject to withholding tax. The Company is subject to and also includes in its tax provision non-U.S. income taxes on certain investments located in jurisdictions outside the U.S. These investments are held by the Company at the REIT lev</w:t>
      </w:r>
      <w:r>
        <w:rPr>
          <w:sz w:val="20"/>
          <w:szCs w:val="20"/>
        </w:rPr>
        <w:t>el and not in the Company’s taxable REIT subsidiary. Accordingly, the Company does not expect a U.S. income tax impact associated with the repatriation of undistributed earnings from the Company’s foreign subsidiaries.</w:t>
      </w:r>
    </w:p>
    <w:p w14:paraId="5A7C6946" w14:textId="77777777" w:rsidR="00000000" w:rsidRDefault="0053651E">
      <w:pPr>
        <w:pStyle w:val="a3"/>
        <w:spacing w:before="0" w:beforeAutospacing="0" w:after="0" w:afterAutospacing="0"/>
        <w:ind w:firstLine="360"/>
        <w:jc w:val="both"/>
        <w:rPr>
          <w:sz w:val="20"/>
          <w:szCs w:val="20"/>
        </w:rPr>
      </w:pPr>
      <w:r>
        <w:rPr>
          <w:sz w:val="20"/>
          <w:szCs w:val="20"/>
        </w:rPr>
        <w:t> </w:t>
      </w:r>
    </w:p>
    <w:p w14:paraId="71DF9272" w14:textId="77777777" w:rsidR="00000000" w:rsidRDefault="0053651E">
      <w:pPr>
        <w:jc w:val="center"/>
        <w:divId w:val="455609167"/>
        <w:rPr>
          <w:rFonts w:eastAsia="Times New Roman"/>
          <w:sz w:val="20"/>
          <w:szCs w:val="20"/>
        </w:rPr>
      </w:pPr>
      <w:r>
        <w:rPr>
          <w:rFonts w:eastAsia="Times New Roman"/>
          <w:sz w:val="20"/>
          <w:szCs w:val="20"/>
        </w:rPr>
        <w:t xml:space="preserve">31 </w:t>
      </w:r>
    </w:p>
    <w:p w14:paraId="29020E76" w14:textId="77777777" w:rsidR="00000000" w:rsidRDefault="0053651E">
      <w:pPr>
        <w:divId w:val="455609167"/>
        <w:rPr>
          <w:rFonts w:eastAsia="Times New Roman"/>
          <w:sz w:val="20"/>
          <w:szCs w:val="20"/>
        </w:rPr>
      </w:pPr>
      <w:r>
        <w:rPr>
          <w:rFonts w:eastAsia="Times New Roman"/>
          <w:sz w:val="20"/>
          <w:szCs w:val="20"/>
        </w:rPr>
        <w:pict w14:anchorId="4F039289">
          <v:rect id="_x0000_i1062" style="width:0;height:1.5pt" o:hralign="center" o:hrstd="t" o:hr="t" fillcolor="#a0a0a0" stroked="f"/>
        </w:pict>
      </w:r>
    </w:p>
    <w:p w14:paraId="4EF17FD6" w14:textId="77777777" w:rsidR="00000000" w:rsidRDefault="0053651E">
      <w:pPr>
        <w:divId w:val="45560916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1C20CB6" w14:textId="77777777" w:rsidR="00000000" w:rsidRDefault="0053651E">
      <w:pPr>
        <w:pStyle w:val="a3"/>
        <w:spacing w:before="0" w:beforeAutospacing="0" w:after="0" w:afterAutospacing="0"/>
        <w:rPr>
          <w:sz w:val="20"/>
          <w:szCs w:val="20"/>
        </w:rPr>
      </w:pPr>
      <w:r>
        <w:rPr>
          <w:sz w:val="20"/>
          <w:szCs w:val="20"/>
        </w:rPr>
        <w:t> </w:t>
      </w:r>
    </w:p>
    <w:p w14:paraId="2C6E5F09" w14:textId="77777777" w:rsidR="00000000" w:rsidRDefault="0053651E">
      <w:pPr>
        <w:pStyle w:val="a3"/>
        <w:spacing w:before="0" w:beforeAutospacing="0" w:after="0" w:afterAutospacing="0"/>
        <w:ind w:firstLine="360"/>
        <w:rPr>
          <w:sz w:val="20"/>
          <w:szCs w:val="20"/>
        </w:rPr>
      </w:pPr>
      <w:r>
        <w:rPr>
          <w:sz w:val="20"/>
          <w:szCs w:val="20"/>
          <w:u w:val="single"/>
        </w:rPr>
        <w:t>Contractual Obligations and Other Commitments</w:t>
      </w:r>
    </w:p>
    <w:p w14:paraId="2140A999" w14:textId="77777777" w:rsidR="00000000" w:rsidRDefault="0053651E">
      <w:pPr>
        <w:pStyle w:val="a3"/>
        <w:spacing w:before="0" w:beforeAutospacing="0" w:after="0" w:afterAutospacing="0"/>
        <w:ind w:firstLine="360"/>
        <w:jc w:val="both"/>
        <w:rPr>
          <w:sz w:val="20"/>
          <w:szCs w:val="20"/>
        </w:rPr>
      </w:pPr>
      <w:r>
        <w:rPr>
          <w:sz w:val="20"/>
          <w:szCs w:val="20"/>
        </w:rPr>
        <w:t> </w:t>
      </w:r>
    </w:p>
    <w:p w14:paraId="48B71771" w14:textId="77777777" w:rsidR="00000000" w:rsidRDefault="0053651E">
      <w:pPr>
        <w:pStyle w:val="a3"/>
        <w:spacing w:before="0" w:beforeAutospacing="0" w:after="0" w:afterAutospacing="0"/>
        <w:ind w:firstLine="360"/>
        <w:jc w:val="both"/>
        <w:rPr>
          <w:sz w:val="20"/>
          <w:szCs w:val="20"/>
        </w:rPr>
      </w:pPr>
      <w:r>
        <w:rPr>
          <w:sz w:val="20"/>
          <w:szCs w:val="20"/>
        </w:rPr>
        <w:t>The Company has debt obligations relating to its Credit Facility, unsecured senior notes and mortgages with maturities ranging from five months to 29 years</w:t>
      </w:r>
      <w:r>
        <w:rPr>
          <w:sz w:val="20"/>
          <w:szCs w:val="20"/>
        </w:rPr>
        <w:t>. As of December 31, 2019, the Company’s total debt had a weighted average term to maturity of 10.6 years. In addition, the Company has non-cancelable operating leases pertaining to its shopping center portfolio. As of December 31, 2019, the Company had 34</w:t>
      </w:r>
      <w:r>
        <w:rPr>
          <w:sz w:val="20"/>
          <w:szCs w:val="20"/>
        </w:rPr>
        <w:t xml:space="preserve"> consolidated shopping center properties that are subject to long-term ground leases where a third party owns and has leased the underlying land to the Company to construct and/or operate a shopping center. The following table summarizes the Company’s debt</w:t>
      </w:r>
      <w:r>
        <w:rPr>
          <w:sz w:val="20"/>
          <w:szCs w:val="20"/>
        </w:rPr>
        <w:t xml:space="preserve"> maturities (excluding extension options, unamortized debt issuance costs of $54.6 million and fair market value of debt adjustments aggregating $7.9 million) and obligations under non-cancelable operating leases as of December 31, 2019:</w:t>
      </w:r>
    </w:p>
    <w:p w14:paraId="330B211E"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3"/>
        <w:gridCol w:w="64"/>
        <w:gridCol w:w="100"/>
        <w:gridCol w:w="562"/>
        <w:gridCol w:w="64"/>
        <w:gridCol w:w="64"/>
        <w:gridCol w:w="100"/>
        <w:gridCol w:w="562"/>
        <w:gridCol w:w="64"/>
        <w:gridCol w:w="64"/>
        <w:gridCol w:w="100"/>
        <w:gridCol w:w="562"/>
        <w:gridCol w:w="64"/>
        <w:gridCol w:w="64"/>
        <w:gridCol w:w="100"/>
        <w:gridCol w:w="562"/>
        <w:gridCol w:w="64"/>
        <w:gridCol w:w="64"/>
        <w:gridCol w:w="100"/>
        <w:gridCol w:w="562"/>
        <w:gridCol w:w="65"/>
        <w:gridCol w:w="65"/>
        <w:gridCol w:w="116"/>
        <w:gridCol w:w="806"/>
        <w:gridCol w:w="65"/>
        <w:gridCol w:w="65"/>
        <w:gridCol w:w="100"/>
        <w:gridCol w:w="600"/>
        <w:gridCol w:w="65"/>
      </w:tblGrid>
      <w:tr w:rsidR="00000000" w14:paraId="0B4BF053" w14:textId="77777777">
        <w:trPr>
          <w:tblCellSpacing w:w="0" w:type="dxa"/>
        </w:trPr>
        <w:tc>
          <w:tcPr>
            <w:tcW w:w="0" w:type="auto"/>
            <w:vAlign w:val="bottom"/>
            <w:hideMark/>
          </w:tcPr>
          <w:p w14:paraId="4D02584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E01C0EF" w14:textId="77777777" w:rsidR="00000000" w:rsidRDefault="0053651E">
            <w:pPr>
              <w:rPr>
                <w:rFonts w:eastAsia="Times New Roman"/>
                <w:sz w:val="20"/>
                <w:szCs w:val="20"/>
              </w:rPr>
            </w:pPr>
            <w:r>
              <w:rPr>
                <w:rFonts w:eastAsia="Times New Roman"/>
                <w:sz w:val="20"/>
                <w:szCs w:val="20"/>
              </w:rPr>
              <w:t> </w:t>
            </w:r>
          </w:p>
        </w:tc>
        <w:tc>
          <w:tcPr>
            <w:tcW w:w="0" w:type="auto"/>
            <w:gridSpan w:val="22"/>
            <w:tcBorders>
              <w:bottom w:val="single" w:sz="6" w:space="0" w:color="000000"/>
            </w:tcBorders>
            <w:vAlign w:val="bottom"/>
            <w:hideMark/>
          </w:tcPr>
          <w:p w14:paraId="5453778D" w14:textId="77777777" w:rsidR="00000000" w:rsidRDefault="0053651E">
            <w:pPr>
              <w:pStyle w:val="a3"/>
              <w:spacing w:before="0" w:beforeAutospacing="0" w:after="0" w:afterAutospacing="0"/>
              <w:jc w:val="center"/>
              <w:rPr>
                <w:sz w:val="20"/>
                <w:szCs w:val="20"/>
              </w:rPr>
            </w:pPr>
            <w:r>
              <w:rPr>
                <w:b/>
                <w:bCs/>
                <w:sz w:val="20"/>
                <w:szCs w:val="20"/>
              </w:rPr>
              <w:t>Payments due by period (in millions)</w:t>
            </w:r>
          </w:p>
        </w:tc>
        <w:tc>
          <w:tcPr>
            <w:tcW w:w="0" w:type="auto"/>
            <w:tcBorders>
              <w:bottom w:val="single" w:sz="6" w:space="0" w:color="000000"/>
            </w:tcBorders>
            <w:tcMar>
              <w:top w:w="0" w:type="dxa"/>
              <w:left w:w="0" w:type="dxa"/>
              <w:bottom w:w="15" w:type="dxa"/>
              <w:right w:w="0" w:type="dxa"/>
            </w:tcMar>
            <w:vAlign w:val="bottom"/>
            <w:hideMark/>
          </w:tcPr>
          <w:p w14:paraId="211E3743"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F3AD36B"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2ECD6DB0" w14:textId="77777777" w:rsidR="00000000" w:rsidRDefault="0053651E">
            <w:pPr>
              <w:rPr>
                <w:rFonts w:eastAsia="Times New Roman"/>
                <w:sz w:val="20"/>
                <w:szCs w:val="20"/>
              </w:rPr>
            </w:pPr>
            <w:r>
              <w:rPr>
                <w:rFonts w:eastAsia="Times New Roman"/>
                <w:b/>
                <w:bCs/>
                <w:sz w:val="20"/>
                <w:szCs w:val="20"/>
              </w:rPr>
              <w:t> </w:t>
            </w:r>
          </w:p>
        </w:tc>
        <w:tc>
          <w:tcPr>
            <w:tcW w:w="0" w:type="auto"/>
            <w:tcBorders>
              <w:bottom w:val="single" w:sz="6" w:space="0" w:color="000000"/>
            </w:tcBorders>
            <w:vAlign w:val="bottom"/>
            <w:hideMark/>
          </w:tcPr>
          <w:p w14:paraId="19F5CD29" w14:textId="77777777" w:rsidR="00000000" w:rsidRDefault="0053651E">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14:paraId="05CC57AB" w14:textId="77777777" w:rsidR="00000000" w:rsidRDefault="0053651E">
            <w:pPr>
              <w:rPr>
                <w:rFonts w:eastAsia="Times New Roman"/>
                <w:sz w:val="20"/>
                <w:szCs w:val="20"/>
              </w:rPr>
            </w:pPr>
            <w:r>
              <w:rPr>
                <w:rFonts w:eastAsia="Times New Roman"/>
                <w:b/>
                <w:bCs/>
                <w:sz w:val="20"/>
                <w:szCs w:val="20"/>
              </w:rPr>
              <w:t> </w:t>
            </w:r>
          </w:p>
        </w:tc>
      </w:tr>
      <w:tr w:rsidR="00000000" w14:paraId="6D3CAA73" w14:textId="77777777">
        <w:trPr>
          <w:tblCellSpacing w:w="0" w:type="dxa"/>
        </w:trPr>
        <w:tc>
          <w:tcPr>
            <w:tcW w:w="0" w:type="auto"/>
            <w:vAlign w:val="bottom"/>
            <w:hideMark/>
          </w:tcPr>
          <w:p w14:paraId="7B4F5247" w14:textId="77777777" w:rsidR="00000000" w:rsidRDefault="0053651E">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2D145B7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106A142" w14:textId="77777777" w:rsidR="00000000" w:rsidRDefault="0053651E">
            <w:pPr>
              <w:pStyle w:val="a3"/>
              <w:spacing w:before="0" w:beforeAutospacing="0" w:after="0" w:afterAutospacing="0"/>
              <w:jc w:val="center"/>
              <w:rPr>
                <w:sz w:val="20"/>
                <w:szCs w:val="20"/>
              </w:rPr>
            </w:pPr>
            <w:r>
              <w:rPr>
                <w:b/>
                <w:bCs/>
                <w:sz w:val="20"/>
                <w:szCs w:val="20"/>
              </w:rPr>
              <w:t>2020</w:t>
            </w:r>
          </w:p>
        </w:tc>
        <w:tc>
          <w:tcPr>
            <w:tcW w:w="0" w:type="auto"/>
            <w:tcBorders>
              <w:bottom w:val="single" w:sz="6" w:space="0" w:color="000000"/>
            </w:tcBorders>
            <w:vAlign w:val="bottom"/>
            <w:hideMark/>
          </w:tcPr>
          <w:p w14:paraId="76650218"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C0E378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873F45A" w14:textId="77777777" w:rsidR="00000000" w:rsidRDefault="0053651E">
            <w:pPr>
              <w:pStyle w:val="a3"/>
              <w:spacing w:before="0" w:beforeAutospacing="0" w:after="0" w:afterAutospacing="0"/>
              <w:jc w:val="center"/>
              <w:rPr>
                <w:sz w:val="20"/>
                <w:szCs w:val="20"/>
              </w:rPr>
            </w:pPr>
            <w:r>
              <w:rPr>
                <w:b/>
                <w:bCs/>
                <w:sz w:val="20"/>
                <w:szCs w:val="20"/>
              </w:rPr>
              <w:t>2021</w:t>
            </w:r>
          </w:p>
        </w:tc>
        <w:tc>
          <w:tcPr>
            <w:tcW w:w="0" w:type="auto"/>
            <w:tcBorders>
              <w:bottom w:val="single" w:sz="6" w:space="0" w:color="000000"/>
            </w:tcBorders>
            <w:vAlign w:val="bottom"/>
            <w:hideMark/>
          </w:tcPr>
          <w:p w14:paraId="43720C25"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948AD0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4239BBF" w14:textId="77777777" w:rsidR="00000000" w:rsidRDefault="0053651E">
            <w:pPr>
              <w:pStyle w:val="a3"/>
              <w:spacing w:before="0" w:beforeAutospacing="0" w:after="0" w:afterAutospacing="0"/>
              <w:jc w:val="center"/>
              <w:rPr>
                <w:sz w:val="20"/>
                <w:szCs w:val="20"/>
              </w:rPr>
            </w:pPr>
            <w:r>
              <w:rPr>
                <w:b/>
                <w:bCs/>
                <w:sz w:val="20"/>
                <w:szCs w:val="20"/>
              </w:rPr>
              <w:t>2022</w:t>
            </w:r>
          </w:p>
        </w:tc>
        <w:tc>
          <w:tcPr>
            <w:tcW w:w="0" w:type="auto"/>
            <w:tcBorders>
              <w:bottom w:val="single" w:sz="6" w:space="0" w:color="000000"/>
            </w:tcBorders>
            <w:vAlign w:val="bottom"/>
            <w:hideMark/>
          </w:tcPr>
          <w:p w14:paraId="251AC7EE"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F74AB4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9DAECDB" w14:textId="77777777" w:rsidR="00000000" w:rsidRDefault="0053651E">
            <w:pPr>
              <w:pStyle w:val="a3"/>
              <w:spacing w:before="0" w:beforeAutospacing="0" w:after="0" w:afterAutospacing="0"/>
              <w:jc w:val="center"/>
              <w:rPr>
                <w:sz w:val="20"/>
                <w:szCs w:val="20"/>
              </w:rPr>
            </w:pPr>
            <w:r>
              <w:rPr>
                <w:b/>
                <w:bCs/>
                <w:sz w:val="20"/>
                <w:szCs w:val="20"/>
              </w:rPr>
              <w:t>2023</w:t>
            </w:r>
          </w:p>
        </w:tc>
        <w:tc>
          <w:tcPr>
            <w:tcW w:w="0" w:type="auto"/>
            <w:tcBorders>
              <w:bottom w:val="single" w:sz="6" w:space="0" w:color="000000"/>
            </w:tcBorders>
            <w:vAlign w:val="bottom"/>
            <w:hideMark/>
          </w:tcPr>
          <w:p w14:paraId="2EBD33EC"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2B7DBE9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204DF14" w14:textId="77777777" w:rsidR="00000000" w:rsidRDefault="0053651E">
            <w:pPr>
              <w:pStyle w:val="a3"/>
              <w:spacing w:before="0" w:beforeAutospacing="0" w:after="0" w:afterAutospacing="0"/>
              <w:jc w:val="center"/>
              <w:rPr>
                <w:sz w:val="20"/>
                <w:szCs w:val="20"/>
              </w:rPr>
            </w:pPr>
            <w:r>
              <w:rPr>
                <w:b/>
                <w:bCs/>
                <w:sz w:val="20"/>
                <w:szCs w:val="20"/>
              </w:rPr>
              <w:t>2024</w:t>
            </w:r>
          </w:p>
        </w:tc>
        <w:tc>
          <w:tcPr>
            <w:tcW w:w="0" w:type="auto"/>
            <w:tcBorders>
              <w:bottom w:val="single" w:sz="6" w:space="0" w:color="000000"/>
            </w:tcBorders>
            <w:vAlign w:val="bottom"/>
            <w:hideMark/>
          </w:tcPr>
          <w:p w14:paraId="5FEEB54A"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3ADCC7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8A09B6" w14:textId="77777777" w:rsidR="00000000" w:rsidRDefault="0053651E">
            <w:pPr>
              <w:pStyle w:val="a3"/>
              <w:spacing w:before="0" w:beforeAutospacing="0" w:after="0" w:afterAutospacing="0"/>
              <w:jc w:val="center"/>
              <w:rPr>
                <w:sz w:val="20"/>
                <w:szCs w:val="20"/>
              </w:rPr>
            </w:pPr>
            <w:r>
              <w:rPr>
                <w:b/>
                <w:bCs/>
                <w:sz w:val="20"/>
                <w:szCs w:val="20"/>
              </w:rPr>
              <w:t>Thereafter</w:t>
            </w:r>
          </w:p>
        </w:tc>
        <w:tc>
          <w:tcPr>
            <w:tcW w:w="0" w:type="auto"/>
            <w:tcBorders>
              <w:bottom w:val="single" w:sz="6" w:space="0" w:color="000000"/>
            </w:tcBorders>
            <w:vAlign w:val="bottom"/>
            <w:hideMark/>
          </w:tcPr>
          <w:p w14:paraId="53A35718"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C51149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D902C78" w14:textId="77777777" w:rsidR="00000000" w:rsidRDefault="0053651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6F06A6DF" w14:textId="77777777" w:rsidR="00000000" w:rsidRDefault="0053651E">
            <w:pPr>
              <w:rPr>
                <w:rFonts w:eastAsia="Times New Roman"/>
                <w:sz w:val="20"/>
                <w:szCs w:val="20"/>
              </w:rPr>
            </w:pPr>
            <w:r>
              <w:rPr>
                <w:rFonts w:eastAsia="Times New Roman"/>
                <w:sz w:val="20"/>
                <w:szCs w:val="20"/>
              </w:rPr>
              <w:t> </w:t>
            </w:r>
          </w:p>
        </w:tc>
      </w:tr>
      <w:tr w:rsidR="0053651E" w14:paraId="7E16E3EC" w14:textId="77777777">
        <w:trPr>
          <w:tblCellSpacing w:w="0" w:type="dxa"/>
        </w:trPr>
        <w:tc>
          <w:tcPr>
            <w:tcW w:w="1500" w:type="pct"/>
            <w:shd w:val="clear" w:color="auto" w:fill="CCEEFF"/>
            <w:vAlign w:val="bottom"/>
            <w:hideMark/>
          </w:tcPr>
          <w:p w14:paraId="4B63FE47" w14:textId="77777777" w:rsidR="00000000" w:rsidRDefault="0053651E">
            <w:pPr>
              <w:pStyle w:val="a3"/>
              <w:spacing w:before="0" w:beforeAutospacing="0" w:after="0" w:afterAutospacing="0"/>
              <w:rPr>
                <w:sz w:val="20"/>
                <w:szCs w:val="20"/>
              </w:rPr>
            </w:pPr>
            <w:r>
              <w:rPr>
                <w:sz w:val="20"/>
                <w:szCs w:val="20"/>
              </w:rPr>
              <w:t>Long-Term Debt:</w:t>
            </w:r>
          </w:p>
        </w:tc>
        <w:tc>
          <w:tcPr>
            <w:tcW w:w="0" w:type="auto"/>
            <w:shd w:val="clear" w:color="auto" w:fill="CCEEFF"/>
            <w:vAlign w:val="bottom"/>
            <w:hideMark/>
          </w:tcPr>
          <w:p w14:paraId="561ED76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ACD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5F4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D653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92D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98A2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6B4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15F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DE9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3EE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CA01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930B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FAAE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B93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058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B710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C1A0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005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16E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A535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48A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31A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ABC8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EEE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AB4B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B480E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26B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92781E" w14:textId="77777777" w:rsidR="00000000" w:rsidRDefault="0053651E">
            <w:pPr>
              <w:rPr>
                <w:rFonts w:eastAsia="Times New Roman"/>
                <w:sz w:val="20"/>
                <w:szCs w:val="20"/>
              </w:rPr>
            </w:pPr>
            <w:r>
              <w:rPr>
                <w:rFonts w:eastAsia="Times New Roman"/>
                <w:sz w:val="20"/>
                <w:szCs w:val="20"/>
              </w:rPr>
              <w:t> </w:t>
            </w:r>
          </w:p>
        </w:tc>
      </w:tr>
      <w:tr w:rsidR="0053651E" w14:paraId="5ECC6950" w14:textId="77777777">
        <w:trPr>
          <w:tblCellSpacing w:w="0" w:type="dxa"/>
        </w:trPr>
        <w:tc>
          <w:tcPr>
            <w:tcW w:w="0" w:type="auto"/>
            <w:shd w:val="clear" w:color="auto" w:fill="FFFFFF"/>
            <w:vAlign w:val="bottom"/>
            <w:hideMark/>
          </w:tcPr>
          <w:p w14:paraId="4F32CA72" w14:textId="77777777" w:rsidR="00000000" w:rsidRDefault="0053651E">
            <w:pPr>
              <w:pStyle w:val="a3"/>
              <w:spacing w:before="0" w:beforeAutospacing="0" w:after="0" w:afterAutospacing="0"/>
              <w:ind w:left="180"/>
              <w:rPr>
                <w:sz w:val="20"/>
                <w:szCs w:val="20"/>
              </w:rPr>
            </w:pPr>
            <w:r>
              <w:rPr>
                <w:sz w:val="20"/>
                <w:szCs w:val="20"/>
              </w:rPr>
              <w:t>Principal (1)</w:t>
            </w:r>
          </w:p>
        </w:tc>
        <w:tc>
          <w:tcPr>
            <w:tcW w:w="50" w:type="pct"/>
            <w:shd w:val="clear" w:color="auto" w:fill="FFFFFF"/>
            <w:vAlign w:val="bottom"/>
            <w:hideMark/>
          </w:tcPr>
          <w:p w14:paraId="6A8D5F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83E47D"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7AE171CA" w14:textId="77777777" w:rsidR="00000000" w:rsidRDefault="0053651E">
            <w:pPr>
              <w:jc w:val="right"/>
              <w:rPr>
                <w:rFonts w:eastAsia="Times New Roman"/>
                <w:sz w:val="20"/>
                <w:szCs w:val="20"/>
              </w:rPr>
            </w:pPr>
            <w:r>
              <w:rPr>
                <w:rFonts w:eastAsia="Times New Roman"/>
                <w:sz w:val="20"/>
                <w:szCs w:val="20"/>
              </w:rPr>
              <w:t>169.3</w:t>
            </w:r>
          </w:p>
        </w:tc>
        <w:tc>
          <w:tcPr>
            <w:tcW w:w="50" w:type="pct"/>
            <w:shd w:val="clear" w:color="auto" w:fill="FFFFFF"/>
            <w:vAlign w:val="bottom"/>
            <w:hideMark/>
          </w:tcPr>
          <w:p w14:paraId="35D73F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9F97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8A00F8"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F53E403" w14:textId="77777777" w:rsidR="00000000" w:rsidRDefault="0053651E">
            <w:pPr>
              <w:jc w:val="right"/>
              <w:rPr>
                <w:rFonts w:eastAsia="Times New Roman"/>
                <w:sz w:val="20"/>
                <w:szCs w:val="20"/>
              </w:rPr>
            </w:pPr>
            <w:r>
              <w:rPr>
                <w:rFonts w:eastAsia="Times New Roman"/>
                <w:sz w:val="20"/>
                <w:szCs w:val="20"/>
              </w:rPr>
              <w:t>829.7</w:t>
            </w:r>
          </w:p>
        </w:tc>
        <w:tc>
          <w:tcPr>
            <w:tcW w:w="50" w:type="pct"/>
            <w:shd w:val="clear" w:color="auto" w:fill="FFFFFF"/>
            <w:vAlign w:val="bottom"/>
            <w:hideMark/>
          </w:tcPr>
          <w:p w14:paraId="305F30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D7E1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E390E4"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73A4AA1" w14:textId="77777777" w:rsidR="00000000" w:rsidRDefault="0053651E">
            <w:pPr>
              <w:jc w:val="right"/>
              <w:rPr>
                <w:rFonts w:eastAsia="Times New Roman"/>
                <w:sz w:val="20"/>
                <w:szCs w:val="20"/>
              </w:rPr>
            </w:pPr>
            <w:r>
              <w:rPr>
                <w:rFonts w:eastAsia="Times New Roman"/>
                <w:sz w:val="20"/>
                <w:szCs w:val="20"/>
              </w:rPr>
              <w:t>644.5</w:t>
            </w:r>
          </w:p>
        </w:tc>
        <w:tc>
          <w:tcPr>
            <w:tcW w:w="50" w:type="pct"/>
            <w:shd w:val="clear" w:color="auto" w:fill="FFFFFF"/>
            <w:vAlign w:val="bottom"/>
            <w:hideMark/>
          </w:tcPr>
          <w:p w14:paraId="324DC7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CD8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57FC4"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9B38003" w14:textId="77777777" w:rsidR="00000000" w:rsidRDefault="0053651E">
            <w:pPr>
              <w:jc w:val="right"/>
              <w:rPr>
                <w:rFonts w:eastAsia="Times New Roman"/>
                <w:sz w:val="20"/>
                <w:szCs w:val="20"/>
              </w:rPr>
            </w:pPr>
            <w:r>
              <w:rPr>
                <w:rFonts w:eastAsia="Times New Roman"/>
                <w:sz w:val="20"/>
                <w:szCs w:val="20"/>
              </w:rPr>
              <w:t>365.1</w:t>
            </w:r>
          </w:p>
        </w:tc>
        <w:tc>
          <w:tcPr>
            <w:tcW w:w="50" w:type="pct"/>
            <w:shd w:val="clear" w:color="auto" w:fill="FFFFFF"/>
            <w:vAlign w:val="bottom"/>
            <w:hideMark/>
          </w:tcPr>
          <w:p w14:paraId="4642A5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DA5B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046B09"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358B0200" w14:textId="77777777" w:rsidR="00000000" w:rsidRDefault="0053651E">
            <w:pPr>
              <w:jc w:val="right"/>
              <w:rPr>
                <w:rFonts w:eastAsia="Times New Roman"/>
                <w:sz w:val="20"/>
                <w:szCs w:val="20"/>
              </w:rPr>
            </w:pPr>
            <w:r>
              <w:rPr>
                <w:rFonts w:eastAsia="Times New Roman"/>
                <w:sz w:val="20"/>
                <w:szCs w:val="20"/>
              </w:rPr>
              <w:t>401.7</w:t>
            </w:r>
          </w:p>
        </w:tc>
        <w:tc>
          <w:tcPr>
            <w:tcW w:w="50" w:type="pct"/>
            <w:shd w:val="clear" w:color="auto" w:fill="FFFFFF"/>
            <w:vAlign w:val="bottom"/>
            <w:hideMark/>
          </w:tcPr>
          <w:p w14:paraId="30D889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2582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071A8E"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B927B4D" w14:textId="77777777" w:rsidR="00000000" w:rsidRDefault="0053651E">
            <w:pPr>
              <w:jc w:val="right"/>
              <w:rPr>
                <w:rFonts w:eastAsia="Times New Roman"/>
                <w:sz w:val="20"/>
                <w:szCs w:val="20"/>
              </w:rPr>
            </w:pPr>
            <w:r>
              <w:rPr>
                <w:rFonts w:eastAsia="Times New Roman"/>
                <w:sz w:val="20"/>
                <w:szCs w:val="20"/>
              </w:rPr>
              <w:t>2,952.2</w:t>
            </w:r>
          </w:p>
        </w:tc>
        <w:tc>
          <w:tcPr>
            <w:tcW w:w="50" w:type="pct"/>
            <w:shd w:val="clear" w:color="auto" w:fill="FFFFFF"/>
            <w:vAlign w:val="bottom"/>
            <w:hideMark/>
          </w:tcPr>
          <w:p w14:paraId="2D90F7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83A3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1C8BE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82FE8F9" w14:textId="77777777" w:rsidR="00000000" w:rsidRDefault="0053651E">
            <w:pPr>
              <w:jc w:val="right"/>
              <w:rPr>
                <w:rFonts w:eastAsia="Times New Roman"/>
                <w:sz w:val="20"/>
                <w:szCs w:val="20"/>
              </w:rPr>
            </w:pPr>
            <w:r>
              <w:rPr>
                <w:rFonts w:eastAsia="Times New Roman"/>
                <w:sz w:val="20"/>
                <w:szCs w:val="20"/>
              </w:rPr>
              <w:t>5,362.5</w:t>
            </w:r>
          </w:p>
        </w:tc>
        <w:tc>
          <w:tcPr>
            <w:tcW w:w="50" w:type="pct"/>
            <w:shd w:val="clear" w:color="auto" w:fill="FFFFFF"/>
            <w:vAlign w:val="bottom"/>
            <w:hideMark/>
          </w:tcPr>
          <w:p w14:paraId="010959F3" w14:textId="77777777" w:rsidR="00000000" w:rsidRDefault="0053651E">
            <w:pPr>
              <w:rPr>
                <w:rFonts w:eastAsia="Times New Roman"/>
                <w:sz w:val="20"/>
                <w:szCs w:val="20"/>
              </w:rPr>
            </w:pPr>
            <w:r>
              <w:rPr>
                <w:rFonts w:eastAsia="Times New Roman"/>
                <w:sz w:val="20"/>
                <w:szCs w:val="20"/>
              </w:rPr>
              <w:t> </w:t>
            </w:r>
          </w:p>
        </w:tc>
      </w:tr>
      <w:tr w:rsidR="0053651E" w14:paraId="2A390473" w14:textId="77777777">
        <w:trPr>
          <w:tblCellSpacing w:w="0" w:type="dxa"/>
        </w:trPr>
        <w:tc>
          <w:tcPr>
            <w:tcW w:w="0" w:type="auto"/>
            <w:shd w:val="clear" w:color="auto" w:fill="CCEEFF"/>
            <w:vAlign w:val="bottom"/>
            <w:hideMark/>
          </w:tcPr>
          <w:p w14:paraId="62F0F814" w14:textId="77777777" w:rsidR="00000000" w:rsidRDefault="0053651E">
            <w:pPr>
              <w:pStyle w:val="a3"/>
              <w:spacing w:before="0" w:beforeAutospacing="0" w:after="0" w:afterAutospacing="0"/>
              <w:ind w:left="180"/>
              <w:rPr>
                <w:sz w:val="20"/>
                <w:szCs w:val="20"/>
              </w:rPr>
            </w:pPr>
            <w:r>
              <w:rPr>
                <w:sz w:val="20"/>
                <w:szCs w:val="20"/>
              </w:rPr>
              <w:t>Interest (2)</w:t>
            </w:r>
          </w:p>
        </w:tc>
        <w:tc>
          <w:tcPr>
            <w:tcW w:w="50" w:type="pct"/>
            <w:shd w:val="clear" w:color="auto" w:fill="CCEEFF"/>
            <w:vAlign w:val="bottom"/>
            <w:hideMark/>
          </w:tcPr>
          <w:p w14:paraId="516A10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0D9408"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3CF4EE0B" w14:textId="77777777" w:rsidR="00000000" w:rsidRDefault="0053651E">
            <w:pPr>
              <w:jc w:val="right"/>
              <w:rPr>
                <w:rFonts w:eastAsia="Times New Roman"/>
                <w:sz w:val="20"/>
                <w:szCs w:val="20"/>
              </w:rPr>
            </w:pPr>
            <w:r>
              <w:rPr>
                <w:rFonts w:eastAsia="Times New Roman"/>
                <w:sz w:val="20"/>
                <w:szCs w:val="20"/>
              </w:rPr>
              <w:t>189.5</w:t>
            </w:r>
          </w:p>
        </w:tc>
        <w:tc>
          <w:tcPr>
            <w:tcW w:w="50" w:type="pct"/>
            <w:shd w:val="clear" w:color="auto" w:fill="CCEEFF"/>
            <w:vAlign w:val="bottom"/>
            <w:hideMark/>
          </w:tcPr>
          <w:p w14:paraId="1B5CEE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3BF0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92DA65"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69D12550" w14:textId="77777777" w:rsidR="00000000" w:rsidRDefault="0053651E">
            <w:pPr>
              <w:jc w:val="right"/>
              <w:rPr>
                <w:rFonts w:eastAsia="Times New Roman"/>
                <w:sz w:val="20"/>
                <w:szCs w:val="20"/>
              </w:rPr>
            </w:pPr>
            <w:r>
              <w:rPr>
                <w:rFonts w:eastAsia="Times New Roman"/>
                <w:sz w:val="20"/>
                <w:szCs w:val="20"/>
              </w:rPr>
              <w:t>168.1</w:t>
            </w:r>
          </w:p>
        </w:tc>
        <w:tc>
          <w:tcPr>
            <w:tcW w:w="50" w:type="pct"/>
            <w:shd w:val="clear" w:color="auto" w:fill="CCEEFF"/>
            <w:vAlign w:val="bottom"/>
            <w:hideMark/>
          </w:tcPr>
          <w:p w14:paraId="179158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0F9D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0ADB50"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538C8957" w14:textId="77777777" w:rsidR="00000000" w:rsidRDefault="0053651E">
            <w:pPr>
              <w:jc w:val="right"/>
              <w:rPr>
                <w:rFonts w:eastAsia="Times New Roman"/>
                <w:sz w:val="20"/>
                <w:szCs w:val="20"/>
              </w:rPr>
            </w:pPr>
            <w:r>
              <w:rPr>
                <w:rFonts w:eastAsia="Times New Roman"/>
                <w:sz w:val="20"/>
                <w:szCs w:val="20"/>
              </w:rPr>
              <w:t>149.3</w:t>
            </w:r>
          </w:p>
        </w:tc>
        <w:tc>
          <w:tcPr>
            <w:tcW w:w="50" w:type="pct"/>
            <w:shd w:val="clear" w:color="auto" w:fill="CCEEFF"/>
            <w:vAlign w:val="bottom"/>
            <w:hideMark/>
          </w:tcPr>
          <w:p w14:paraId="517DC36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BEC0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ECE106"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6A815ED2" w14:textId="77777777" w:rsidR="00000000" w:rsidRDefault="0053651E">
            <w:pPr>
              <w:jc w:val="right"/>
              <w:rPr>
                <w:rFonts w:eastAsia="Times New Roman"/>
                <w:sz w:val="20"/>
                <w:szCs w:val="20"/>
              </w:rPr>
            </w:pPr>
            <w:r>
              <w:rPr>
                <w:rFonts w:eastAsia="Times New Roman"/>
                <w:sz w:val="20"/>
                <w:szCs w:val="20"/>
              </w:rPr>
              <w:t>125.8</w:t>
            </w:r>
          </w:p>
        </w:tc>
        <w:tc>
          <w:tcPr>
            <w:tcW w:w="50" w:type="pct"/>
            <w:shd w:val="clear" w:color="auto" w:fill="CCEEFF"/>
            <w:vAlign w:val="bottom"/>
            <w:hideMark/>
          </w:tcPr>
          <w:p w14:paraId="001F8E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AEB4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5D52FC"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59456776" w14:textId="77777777" w:rsidR="00000000" w:rsidRDefault="0053651E">
            <w:pPr>
              <w:jc w:val="right"/>
              <w:rPr>
                <w:rFonts w:eastAsia="Times New Roman"/>
                <w:sz w:val="20"/>
                <w:szCs w:val="20"/>
              </w:rPr>
            </w:pPr>
            <w:r>
              <w:rPr>
                <w:rFonts w:eastAsia="Times New Roman"/>
                <w:sz w:val="20"/>
                <w:szCs w:val="20"/>
              </w:rPr>
              <w:t>111.9</w:t>
            </w:r>
          </w:p>
        </w:tc>
        <w:tc>
          <w:tcPr>
            <w:tcW w:w="50" w:type="pct"/>
            <w:shd w:val="clear" w:color="auto" w:fill="CCEEFF"/>
            <w:vAlign w:val="bottom"/>
            <w:hideMark/>
          </w:tcPr>
          <w:p w14:paraId="569EF2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CA3A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32E8BD"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5B1762E4" w14:textId="77777777" w:rsidR="00000000" w:rsidRDefault="0053651E">
            <w:pPr>
              <w:jc w:val="right"/>
              <w:rPr>
                <w:rFonts w:eastAsia="Times New Roman"/>
                <w:sz w:val="20"/>
                <w:szCs w:val="20"/>
              </w:rPr>
            </w:pPr>
            <w:r>
              <w:rPr>
                <w:rFonts w:eastAsia="Times New Roman"/>
                <w:sz w:val="20"/>
                <w:szCs w:val="20"/>
              </w:rPr>
              <w:t>1,480.6</w:t>
            </w:r>
          </w:p>
        </w:tc>
        <w:tc>
          <w:tcPr>
            <w:tcW w:w="50" w:type="pct"/>
            <w:shd w:val="clear" w:color="auto" w:fill="CCEEFF"/>
            <w:vAlign w:val="bottom"/>
            <w:hideMark/>
          </w:tcPr>
          <w:p w14:paraId="2B39A2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1E51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18E273"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28B4377C" w14:textId="77777777" w:rsidR="00000000" w:rsidRDefault="0053651E">
            <w:pPr>
              <w:jc w:val="right"/>
              <w:rPr>
                <w:rFonts w:eastAsia="Times New Roman"/>
                <w:sz w:val="20"/>
                <w:szCs w:val="20"/>
              </w:rPr>
            </w:pPr>
            <w:r>
              <w:rPr>
                <w:rFonts w:eastAsia="Times New Roman"/>
                <w:sz w:val="20"/>
                <w:szCs w:val="20"/>
              </w:rPr>
              <w:t>2,225.2</w:t>
            </w:r>
          </w:p>
        </w:tc>
        <w:tc>
          <w:tcPr>
            <w:tcW w:w="50" w:type="pct"/>
            <w:shd w:val="clear" w:color="auto" w:fill="CCEEFF"/>
            <w:vAlign w:val="bottom"/>
            <w:hideMark/>
          </w:tcPr>
          <w:p w14:paraId="24C1647E" w14:textId="77777777" w:rsidR="00000000" w:rsidRDefault="0053651E">
            <w:pPr>
              <w:rPr>
                <w:rFonts w:eastAsia="Times New Roman"/>
                <w:sz w:val="20"/>
                <w:szCs w:val="20"/>
              </w:rPr>
            </w:pPr>
            <w:r>
              <w:rPr>
                <w:rFonts w:eastAsia="Times New Roman"/>
                <w:sz w:val="20"/>
                <w:szCs w:val="20"/>
              </w:rPr>
              <w:t> </w:t>
            </w:r>
          </w:p>
        </w:tc>
      </w:tr>
      <w:tr w:rsidR="0053651E" w14:paraId="7CCD2EE9" w14:textId="77777777">
        <w:trPr>
          <w:tblCellSpacing w:w="0" w:type="dxa"/>
        </w:trPr>
        <w:tc>
          <w:tcPr>
            <w:tcW w:w="0" w:type="auto"/>
            <w:shd w:val="clear" w:color="auto" w:fill="FFFFFF"/>
            <w:vAlign w:val="bottom"/>
            <w:hideMark/>
          </w:tcPr>
          <w:p w14:paraId="686C7EF9" w14:textId="77777777" w:rsidR="00000000" w:rsidRDefault="0053651E">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14:paraId="255016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9837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4DEE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7C4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247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042B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D4E4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129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31EB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1D57C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BCF62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B60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FE5CD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C63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D30B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B91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8EAD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E5FC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05E5B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4A56A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B0ED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A56D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7707D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75C9A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C51A9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9A5C1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CCB1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33A37" w14:textId="77777777" w:rsidR="00000000" w:rsidRDefault="0053651E">
            <w:pPr>
              <w:rPr>
                <w:rFonts w:eastAsia="Times New Roman"/>
                <w:sz w:val="20"/>
                <w:szCs w:val="20"/>
              </w:rPr>
            </w:pPr>
            <w:r>
              <w:rPr>
                <w:rFonts w:eastAsia="Times New Roman"/>
                <w:sz w:val="20"/>
                <w:szCs w:val="20"/>
              </w:rPr>
              <w:t> </w:t>
            </w:r>
          </w:p>
        </w:tc>
      </w:tr>
      <w:tr w:rsidR="0053651E" w14:paraId="67FBF396" w14:textId="77777777">
        <w:trPr>
          <w:tblCellSpacing w:w="0" w:type="dxa"/>
        </w:trPr>
        <w:tc>
          <w:tcPr>
            <w:tcW w:w="0" w:type="auto"/>
            <w:shd w:val="clear" w:color="auto" w:fill="CCEEFF"/>
            <w:vAlign w:val="bottom"/>
            <w:hideMark/>
          </w:tcPr>
          <w:p w14:paraId="668DA62A" w14:textId="77777777" w:rsidR="00000000" w:rsidRDefault="0053651E">
            <w:pPr>
              <w:pStyle w:val="a3"/>
              <w:spacing w:before="0" w:beforeAutospacing="0" w:after="0" w:afterAutospacing="0"/>
              <w:ind w:left="180"/>
              <w:rPr>
                <w:sz w:val="20"/>
                <w:szCs w:val="20"/>
              </w:rPr>
            </w:pPr>
            <w:r>
              <w:rPr>
                <w:sz w:val="20"/>
                <w:szCs w:val="20"/>
              </w:rPr>
              <w:t>Non-cancelable operating (3)</w:t>
            </w:r>
          </w:p>
        </w:tc>
        <w:tc>
          <w:tcPr>
            <w:tcW w:w="50" w:type="pct"/>
            <w:shd w:val="clear" w:color="auto" w:fill="CCEEFF"/>
            <w:vAlign w:val="bottom"/>
            <w:hideMark/>
          </w:tcPr>
          <w:p w14:paraId="632C8D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3C2A3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022CFA05" w14:textId="77777777" w:rsidR="00000000" w:rsidRDefault="0053651E">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14:paraId="12804A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B576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A2F53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70A6445A" w14:textId="77777777" w:rsidR="00000000" w:rsidRDefault="0053651E">
            <w:pPr>
              <w:jc w:val="right"/>
              <w:rPr>
                <w:rFonts w:eastAsia="Times New Roman"/>
                <w:sz w:val="20"/>
                <w:szCs w:val="20"/>
              </w:rPr>
            </w:pPr>
            <w:r>
              <w:rPr>
                <w:rFonts w:eastAsia="Times New Roman"/>
                <w:sz w:val="20"/>
                <w:szCs w:val="20"/>
              </w:rPr>
              <w:t>10.5</w:t>
            </w:r>
          </w:p>
        </w:tc>
        <w:tc>
          <w:tcPr>
            <w:tcW w:w="50" w:type="pct"/>
            <w:shd w:val="clear" w:color="auto" w:fill="CCEEFF"/>
            <w:vAlign w:val="bottom"/>
            <w:hideMark/>
          </w:tcPr>
          <w:p w14:paraId="359916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0D66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1AAD62"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187A436C" w14:textId="77777777" w:rsidR="00000000" w:rsidRDefault="0053651E">
            <w:pPr>
              <w:jc w:val="right"/>
              <w:rPr>
                <w:rFonts w:eastAsia="Times New Roman"/>
                <w:sz w:val="20"/>
                <w:szCs w:val="20"/>
              </w:rPr>
            </w:pPr>
            <w:r>
              <w:rPr>
                <w:rFonts w:eastAsia="Times New Roman"/>
                <w:sz w:val="20"/>
                <w:szCs w:val="20"/>
              </w:rPr>
              <w:t>9.9</w:t>
            </w:r>
          </w:p>
        </w:tc>
        <w:tc>
          <w:tcPr>
            <w:tcW w:w="50" w:type="pct"/>
            <w:shd w:val="clear" w:color="auto" w:fill="CCEEFF"/>
            <w:vAlign w:val="bottom"/>
            <w:hideMark/>
          </w:tcPr>
          <w:p w14:paraId="257950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0905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32BBDE"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405DD930" w14:textId="77777777" w:rsidR="00000000" w:rsidRDefault="0053651E">
            <w:pPr>
              <w:jc w:val="right"/>
              <w:rPr>
                <w:rFonts w:eastAsia="Times New Roman"/>
                <w:sz w:val="20"/>
                <w:szCs w:val="20"/>
              </w:rPr>
            </w:pPr>
            <w:r>
              <w:rPr>
                <w:rFonts w:eastAsia="Times New Roman"/>
                <w:sz w:val="20"/>
                <w:szCs w:val="20"/>
              </w:rPr>
              <w:t>9.9</w:t>
            </w:r>
          </w:p>
        </w:tc>
        <w:tc>
          <w:tcPr>
            <w:tcW w:w="50" w:type="pct"/>
            <w:shd w:val="clear" w:color="auto" w:fill="CCEEFF"/>
            <w:vAlign w:val="bottom"/>
            <w:hideMark/>
          </w:tcPr>
          <w:p w14:paraId="6B61E0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8B5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81799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18224510" w14:textId="77777777" w:rsidR="00000000" w:rsidRDefault="0053651E">
            <w:pPr>
              <w:jc w:val="right"/>
              <w:rPr>
                <w:rFonts w:eastAsia="Times New Roman"/>
                <w:sz w:val="20"/>
                <w:szCs w:val="20"/>
              </w:rPr>
            </w:pPr>
            <w:r>
              <w:rPr>
                <w:rFonts w:eastAsia="Times New Roman"/>
                <w:sz w:val="20"/>
                <w:szCs w:val="20"/>
              </w:rPr>
              <w:t>9.0</w:t>
            </w:r>
          </w:p>
        </w:tc>
        <w:tc>
          <w:tcPr>
            <w:tcW w:w="50" w:type="pct"/>
            <w:shd w:val="clear" w:color="auto" w:fill="CCEEFF"/>
            <w:vAlign w:val="bottom"/>
            <w:hideMark/>
          </w:tcPr>
          <w:p w14:paraId="75C03A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A14D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3436B4"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73236C0F" w14:textId="77777777" w:rsidR="00000000" w:rsidRDefault="0053651E">
            <w:pPr>
              <w:jc w:val="right"/>
              <w:rPr>
                <w:rFonts w:eastAsia="Times New Roman"/>
                <w:sz w:val="20"/>
                <w:szCs w:val="20"/>
              </w:rPr>
            </w:pPr>
            <w:r>
              <w:rPr>
                <w:rFonts w:eastAsia="Times New Roman"/>
                <w:sz w:val="20"/>
                <w:szCs w:val="20"/>
              </w:rPr>
              <w:t>128.6</w:t>
            </w:r>
          </w:p>
        </w:tc>
        <w:tc>
          <w:tcPr>
            <w:tcW w:w="50" w:type="pct"/>
            <w:shd w:val="clear" w:color="auto" w:fill="CCEEFF"/>
            <w:vAlign w:val="bottom"/>
            <w:hideMark/>
          </w:tcPr>
          <w:p w14:paraId="30F55F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4B78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66CBA1" w14:textId="77777777" w:rsidR="00000000" w:rsidRDefault="0053651E">
            <w:pPr>
              <w:rPr>
                <w:rFonts w:eastAsia="Times New Roman"/>
                <w:sz w:val="20"/>
                <w:szCs w:val="20"/>
              </w:rPr>
            </w:pPr>
            <w:r>
              <w:rPr>
                <w:rFonts w:eastAsia="Times New Roman"/>
                <w:sz w:val="20"/>
                <w:szCs w:val="20"/>
              </w:rPr>
              <w:t>$</w:t>
            </w:r>
          </w:p>
        </w:tc>
        <w:tc>
          <w:tcPr>
            <w:tcW w:w="350" w:type="pct"/>
            <w:shd w:val="clear" w:color="auto" w:fill="CCEEFF"/>
            <w:vAlign w:val="bottom"/>
            <w:hideMark/>
          </w:tcPr>
          <w:p w14:paraId="549EDA4B" w14:textId="77777777" w:rsidR="00000000" w:rsidRDefault="0053651E">
            <w:pPr>
              <w:jc w:val="right"/>
              <w:rPr>
                <w:rFonts w:eastAsia="Times New Roman"/>
                <w:sz w:val="20"/>
                <w:szCs w:val="20"/>
              </w:rPr>
            </w:pPr>
            <w:r>
              <w:rPr>
                <w:rFonts w:eastAsia="Times New Roman"/>
                <w:sz w:val="20"/>
                <w:szCs w:val="20"/>
              </w:rPr>
              <w:t>178.6</w:t>
            </w:r>
          </w:p>
        </w:tc>
        <w:tc>
          <w:tcPr>
            <w:tcW w:w="50" w:type="pct"/>
            <w:shd w:val="clear" w:color="auto" w:fill="CCEEFF"/>
            <w:vAlign w:val="bottom"/>
            <w:hideMark/>
          </w:tcPr>
          <w:p w14:paraId="6D29645B" w14:textId="77777777" w:rsidR="00000000" w:rsidRDefault="0053651E">
            <w:pPr>
              <w:rPr>
                <w:rFonts w:eastAsia="Times New Roman"/>
                <w:sz w:val="20"/>
                <w:szCs w:val="20"/>
              </w:rPr>
            </w:pPr>
            <w:r>
              <w:rPr>
                <w:rFonts w:eastAsia="Times New Roman"/>
                <w:sz w:val="20"/>
                <w:szCs w:val="20"/>
              </w:rPr>
              <w:t> </w:t>
            </w:r>
          </w:p>
        </w:tc>
      </w:tr>
    </w:tbl>
    <w:p w14:paraId="47BCBD8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14:paraId="6F6DF25A" w14:textId="77777777">
        <w:trPr>
          <w:tblCellSpacing w:w="0" w:type="dxa"/>
        </w:trPr>
        <w:tc>
          <w:tcPr>
            <w:tcW w:w="180" w:type="dxa"/>
            <w:hideMark/>
          </w:tcPr>
          <w:p w14:paraId="2EBEA294" w14:textId="77777777" w:rsidR="00000000" w:rsidRDefault="0053651E">
            <w:pPr>
              <w:rPr>
                <w:rFonts w:eastAsia="Times New Roman"/>
              </w:rPr>
            </w:pPr>
            <w:r>
              <w:rPr>
                <w:rFonts w:eastAsia="Times New Roman"/>
              </w:rPr>
              <w:t> </w:t>
            </w:r>
          </w:p>
        </w:tc>
        <w:tc>
          <w:tcPr>
            <w:tcW w:w="360" w:type="dxa"/>
            <w:hideMark/>
          </w:tcPr>
          <w:p w14:paraId="626FE1C1" w14:textId="77777777" w:rsidR="00000000" w:rsidRDefault="0053651E">
            <w:pPr>
              <w:pStyle w:val="a3"/>
              <w:spacing w:before="0" w:beforeAutospacing="0" w:after="0" w:afterAutospacing="0"/>
              <w:rPr>
                <w:sz w:val="20"/>
                <w:szCs w:val="20"/>
              </w:rPr>
            </w:pPr>
            <w:r>
              <w:rPr>
                <w:sz w:val="20"/>
                <w:szCs w:val="20"/>
              </w:rPr>
              <w:t>(1)</w:t>
            </w:r>
          </w:p>
        </w:tc>
        <w:tc>
          <w:tcPr>
            <w:tcW w:w="0" w:type="auto"/>
            <w:hideMark/>
          </w:tcPr>
          <w:p w14:paraId="793488B8" w14:textId="77777777" w:rsidR="00000000" w:rsidRDefault="0053651E">
            <w:pPr>
              <w:pStyle w:val="a3"/>
              <w:spacing w:before="0" w:beforeAutospacing="0" w:after="0" w:afterAutospacing="0"/>
              <w:rPr>
                <w:sz w:val="20"/>
                <w:szCs w:val="20"/>
              </w:rPr>
            </w:pPr>
            <w:r>
              <w:rPr>
                <w:sz w:val="20"/>
                <w:szCs w:val="20"/>
              </w:rPr>
              <w:t>Maturities utilized do not reflect extension options, which range from six months to one year.</w:t>
            </w:r>
          </w:p>
        </w:tc>
      </w:tr>
    </w:tbl>
    <w:p w14:paraId="67F75C1B"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14:paraId="3449058A" w14:textId="77777777">
        <w:trPr>
          <w:tblCellSpacing w:w="0" w:type="dxa"/>
        </w:trPr>
        <w:tc>
          <w:tcPr>
            <w:tcW w:w="180" w:type="dxa"/>
            <w:hideMark/>
          </w:tcPr>
          <w:p w14:paraId="179569ED" w14:textId="77777777" w:rsidR="00000000" w:rsidRDefault="0053651E">
            <w:pPr>
              <w:rPr>
                <w:rFonts w:eastAsia="Times New Roman"/>
              </w:rPr>
            </w:pPr>
            <w:r>
              <w:rPr>
                <w:rFonts w:eastAsia="Times New Roman"/>
              </w:rPr>
              <w:t> </w:t>
            </w:r>
          </w:p>
        </w:tc>
        <w:tc>
          <w:tcPr>
            <w:tcW w:w="360" w:type="dxa"/>
            <w:hideMark/>
          </w:tcPr>
          <w:p w14:paraId="5A0D7513" w14:textId="77777777" w:rsidR="00000000" w:rsidRDefault="0053651E">
            <w:pPr>
              <w:pStyle w:val="a3"/>
              <w:spacing w:before="0" w:beforeAutospacing="0" w:after="0" w:afterAutospacing="0"/>
              <w:rPr>
                <w:sz w:val="20"/>
                <w:szCs w:val="20"/>
              </w:rPr>
            </w:pPr>
            <w:r>
              <w:rPr>
                <w:sz w:val="20"/>
                <w:szCs w:val="20"/>
              </w:rPr>
              <w:t>(2)</w:t>
            </w:r>
          </w:p>
        </w:tc>
        <w:tc>
          <w:tcPr>
            <w:tcW w:w="0" w:type="auto"/>
            <w:hideMark/>
          </w:tcPr>
          <w:p w14:paraId="51513AC9" w14:textId="77777777" w:rsidR="00000000" w:rsidRDefault="0053651E">
            <w:pPr>
              <w:pStyle w:val="a3"/>
              <w:spacing w:before="0" w:beforeAutospacing="0" w:after="0" w:afterAutospacing="0"/>
              <w:rPr>
                <w:sz w:val="20"/>
                <w:szCs w:val="20"/>
              </w:rPr>
            </w:pPr>
            <w:r>
              <w:rPr>
                <w:sz w:val="20"/>
                <w:szCs w:val="20"/>
              </w:rPr>
              <w:t>For loans which have interest at floating rates, future interest expense was calculated using the rate as of December 31, 2019.</w:t>
            </w:r>
          </w:p>
        </w:tc>
      </w:tr>
    </w:tbl>
    <w:p w14:paraId="706654C6"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14:paraId="6EACD819" w14:textId="77777777">
        <w:trPr>
          <w:tblCellSpacing w:w="0" w:type="dxa"/>
        </w:trPr>
        <w:tc>
          <w:tcPr>
            <w:tcW w:w="180" w:type="dxa"/>
            <w:hideMark/>
          </w:tcPr>
          <w:p w14:paraId="20CF2160" w14:textId="77777777" w:rsidR="00000000" w:rsidRDefault="0053651E">
            <w:pPr>
              <w:rPr>
                <w:rFonts w:eastAsia="Times New Roman"/>
              </w:rPr>
            </w:pPr>
            <w:r>
              <w:rPr>
                <w:rFonts w:eastAsia="Times New Roman"/>
              </w:rPr>
              <w:t> </w:t>
            </w:r>
          </w:p>
        </w:tc>
        <w:tc>
          <w:tcPr>
            <w:tcW w:w="360" w:type="dxa"/>
            <w:hideMark/>
          </w:tcPr>
          <w:p w14:paraId="454013A7" w14:textId="77777777" w:rsidR="00000000" w:rsidRDefault="0053651E">
            <w:pPr>
              <w:pStyle w:val="a3"/>
              <w:spacing w:before="0" w:beforeAutospacing="0" w:after="0" w:afterAutospacing="0"/>
              <w:rPr>
                <w:sz w:val="20"/>
                <w:szCs w:val="20"/>
              </w:rPr>
            </w:pPr>
            <w:r>
              <w:rPr>
                <w:sz w:val="20"/>
                <w:szCs w:val="20"/>
              </w:rPr>
              <w:t>(3)</w:t>
            </w:r>
          </w:p>
        </w:tc>
        <w:tc>
          <w:tcPr>
            <w:tcW w:w="0" w:type="auto"/>
            <w:hideMark/>
          </w:tcPr>
          <w:p w14:paraId="463EB4DA" w14:textId="77777777" w:rsidR="00000000" w:rsidRDefault="0053651E">
            <w:pPr>
              <w:pStyle w:val="a3"/>
              <w:spacing w:before="0" w:beforeAutospacing="0" w:after="0" w:afterAutospacing="0"/>
              <w:rPr>
                <w:sz w:val="20"/>
                <w:szCs w:val="20"/>
              </w:rPr>
            </w:pPr>
            <w:r>
              <w:rPr>
                <w:sz w:val="20"/>
                <w:szCs w:val="20"/>
              </w:rPr>
              <w:t xml:space="preserve">For leases which </w:t>
            </w:r>
            <w:r>
              <w:rPr>
                <w:sz w:val="20"/>
                <w:szCs w:val="20"/>
              </w:rPr>
              <w:t>have inflationary increases, future ground rent expense was calculated using the rent based upon initial lease payment.</w:t>
            </w:r>
          </w:p>
        </w:tc>
      </w:tr>
    </w:tbl>
    <w:p w14:paraId="77EB2D2A" w14:textId="77777777" w:rsidR="00000000" w:rsidRDefault="0053651E">
      <w:pPr>
        <w:pStyle w:val="a3"/>
        <w:spacing w:before="0" w:beforeAutospacing="0" w:after="0" w:afterAutospacing="0"/>
        <w:rPr>
          <w:sz w:val="20"/>
          <w:szCs w:val="20"/>
        </w:rPr>
      </w:pPr>
      <w:r>
        <w:rPr>
          <w:sz w:val="20"/>
          <w:szCs w:val="20"/>
        </w:rPr>
        <w:t> </w:t>
      </w:r>
    </w:p>
    <w:p w14:paraId="1430AEA7" w14:textId="77777777" w:rsidR="00000000" w:rsidRDefault="0053651E">
      <w:pPr>
        <w:pStyle w:val="a3"/>
        <w:spacing w:before="0" w:beforeAutospacing="0" w:after="0" w:afterAutospacing="0"/>
        <w:ind w:firstLine="360"/>
        <w:jc w:val="both"/>
        <w:rPr>
          <w:sz w:val="20"/>
          <w:szCs w:val="20"/>
        </w:rPr>
      </w:pPr>
      <w:r>
        <w:rPr>
          <w:sz w:val="20"/>
          <w:szCs w:val="20"/>
        </w:rPr>
        <w:t>The Company has $159.5 million of secured debt scheduled to mature in 2020. Subsequent to December 31, 2019, the Company repaid $66.6</w:t>
      </w:r>
      <w:r>
        <w:rPr>
          <w:sz w:val="20"/>
          <w:szCs w:val="20"/>
        </w:rPr>
        <w:t xml:space="preserve"> million of this secured debt.  The Company anticipates satisfying the remaining future maturities with a combination of operating cash flows and its Credit Facility.</w:t>
      </w:r>
    </w:p>
    <w:p w14:paraId="2AA90307" w14:textId="77777777" w:rsidR="00000000" w:rsidRDefault="0053651E">
      <w:pPr>
        <w:pStyle w:val="a3"/>
        <w:spacing w:before="0" w:beforeAutospacing="0" w:after="0" w:afterAutospacing="0"/>
        <w:ind w:firstLine="360"/>
        <w:jc w:val="both"/>
        <w:rPr>
          <w:sz w:val="20"/>
          <w:szCs w:val="20"/>
        </w:rPr>
      </w:pPr>
      <w:r>
        <w:rPr>
          <w:sz w:val="20"/>
          <w:szCs w:val="20"/>
        </w:rPr>
        <w:t> </w:t>
      </w:r>
    </w:p>
    <w:p w14:paraId="30E5EC86" w14:textId="77777777" w:rsidR="00000000" w:rsidRDefault="0053651E">
      <w:pPr>
        <w:pStyle w:val="a3"/>
        <w:spacing w:before="0" w:beforeAutospacing="0" w:after="0" w:afterAutospacing="0"/>
        <w:ind w:firstLine="360"/>
        <w:jc w:val="both"/>
        <w:rPr>
          <w:sz w:val="20"/>
          <w:szCs w:val="20"/>
        </w:rPr>
      </w:pPr>
      <w:r>
        <w:rPr>
          <w:sz w:val="20"/>
          <w:szCs w:val="20"/>
        </w:rPr>
        <w:t>The Company has issued letters of credit in connection with completion and repayment gu</w:t>
      </w:r>
      <w:r>
        <w:rPr>
          <w:sz w:val="20"/>
          <w:szCs w:val="20"/>
        </w:rPr>
        <w:t>arantees for loans encumbering certain of the Company’s development and redevelopment projects and guarantee of payment related to the Company’s insurance program. As of December 31, 2019, these letters of credit aggregated $40.8 million.</w:t>
      </w:r>
    </w:p>
    <w:p w14:paraId="7FAFA75E" w14:textId="77777777" w:rsidR="00000000" w:rsidRDefault="0053651E">
      <w:pPr>
        <w:pStyle w:val="a3"/>
        <w:spacing w:before="0" w:beforeAutospacing="0" w:after="0" w:afterAutospacing="0"/>
        <w:ind w:firstLine="360"/>
        <w:jc w:val="both"/>
        <w:rPr>
          <w:sz w:val="20"/>
          <w:szCs w:val="20"/>
        </w:rPr>
      </w:pPr>
      <w:r>
        <w:rPr>
          <w:sz w:val="20"/>
          <w:szCs w:val="20"/>
        </w:rPr>
        <w:t> </w:t>
      </w:r>
    </w:p>
    <w:p w14:paraId="10B4C76C" w14:textId="77777777" w:rsidR="00000000" w:rsidRDefault="0053651E">
      <w:pPr>
        <w:pStyle w:val="a3"/>
        <w:spacing w:before="0" w:beforeAutospacing="0" w:after="0" w:afterAutospacing="0"/>
        <w:ind w:firstLine="360"/>
        <w:jc w:val="both"/>
        <w:rPr>
          <w:sz w:val="20"/>
          <w:szCs w:val="20"/>
        </w:rPr>
      </w:pPr>
      <w:r>
        <w:rPr>
          <w:sz w:val="20"/>
          <w:szCs w:val="20"/>
        </w:rPr>
        <w:t>In connection w</w:t>
      </w:r>
      <w:r>
        <w:rPr>
          <w:sz w:val="20"/>
          <w:szCs w:val="20"/>
        </w:rPr>
        <w:t>ith the construction of its development/redevelopment projects and related infrastructure, certain public agencies require posting of performance and surety bonds to guarantee that the Company’s obligations are satisfied. These bonds expire upon the comple</w:t>
      </w:r>
      <w:r>
        <w:rPr>
          <w:sz w:val="20"/>
          <w:szCs w:val="20"/>
        </w:rPr>
        <w:t>tion of the improvements and infrastructure. As of December 31, 2019, the Company had $17.6 million in performance and surety bonds outstanding.</w:t>
      </w:r>
    </w:p>
    <w:p w14:paraId="025340E5" w14:textId="77777777" w:rsidR="00000000" w:rsidRDefault="0053651E">
      <w:pPr>
        <w:pStyle w:val="a3"/>
        <w:spacing w:before="0" w:beforeAutospacing="0" w:after="0" w:afterAutospacing="0"/>
        <w:ind w:firstLine="360"/>
        <w:jc w:val="both"/>
        <w:rPr>
          <w:sz w:val="20"/>
          <w:szCs w:val="20"/>
        </w:rPr>
      </w:pPr>
      <w:r>
        <w:rPr>
          <w:sz w:val="20"/>
          <w:szCs w:val="20"/>
        </w:rPr>
        <w:t> </w:t>
      </w:r>
    </w:p>
    <w:p w14:paraId="4EED4FAE" w14:textId="77777777" w:rsidR="00000000" w:rsidRDefault="0053651E">
      <w:pPr>
        <w:pStyle w:val="a3"/>
        <w:spacing w:before="0" w:beforeAutospacing="0" w:after="0" w:afterAutospacing="0"/>
        <w:ind w:firstLine="360"/>
        <w:jc w:val="both"/>
        <w:rPr>
          <w:sz w:val="20"/>
          <w:szCs w:val="20"/>
        </w:rPr>
      </w:pPr>
      <w:r>
        <w:rPr>
          <w:sz w:val="20"/>
          <w:szCs w:val="20"/>
        </w:rPr>
        <w:t>The Company has accrued $2.4 million of non-current uncertain tax positions and related interest under the pr</w:t>
      </w:r>
      <w:r>
        <w:rPr>
          <w:sz w:val="20"/>
          <w:szCs w:val="20"/>
        </w:rPr>
        <w:t>ovisions of the authoritative guidance that addresses accounting for income taxes, which are included in Other liabilities on the Company’s Consolidated Balance Sheets at December 31, 2019. These amounts are not included in the table above because a reason</w:t>
      </w:r>
      <w:r>
        <w:rPr>
          <w:sz w:val="20"/>
          <w:szCs w:val="20"/>
        </w:rPr>
        <w:t>ably reliable estimate regarding the timing of settlements with the relevant tax authorities, if any, cannot be made.</w:t>
      </w:r>
    </w:p>
    <w:p w14:paraId="0116B2CA" w14:textId="77777777" w:rsidR="00000000" w:rsidRDefault="0053651E">
      <w:pPr>
        <w:pStyle w:val="a3"/>
        <w:spacing w:before="0" w:beforeAutospacing="0" w:after="0" w:afterAutospacing="0"/>
        <w:ind w:firstLine="360"/>
        <w:jc w:val="both"/>
        <w:rPr>
          <w:sz w:val="20"/>
          <w:szCs w:val="20"/>
        </w:rPr>
      </w:pPr>
      <w:r>
        <w:rPr>
          <w:sz w:val="20"/>
          <w:szCs w:val="20"/>
        </w:rPr>
        <w:t> </w:t>
      </w:r>
    </w:p>
    <w:p w14:paraId="5ED59B11" w14:textId="77777777" w:rsidR="00000000" w:rsidRDefault="0053651E">
      <w:pPr>
        <w:pStyle w:val="a3"/>
        <w:spacing w:before="0" w:beforeAutospacing="0" w:after="0" w:afterAutospacing="0"/>
        <w:ind w:firstLine="360"/>
        <w:rPr>
          <w:sz w:val="20"/>
          <w:szCs w:val="20"/>
        </w:rPr>
      </w:pPr>
      <w:r>
        <w:rPr>
          <w:sz w:val="20"/>
          <w:szCs w:val="20"/>
          <w:u w:val="single"/>
        </w:rPr>
        <w:t>Off-Balance Sheet Arrangements</w:t>
      </w:r>
    </w:p>
    <w:p w14:paraId="43AAB10B" w14:textId="77777777" w:rsidR="00000000" w:rsidRDefault="0053651E">
      <w:pPr>
        <w:pStyle w:val="a3"/>
        <w:spacing w:before="0" w:beforeAutospacing="0" w:after="0" w:afterAutospacing="0"/>
        <w:ind w:firstLine="360"/>
        <w:jc w:val="both"/>
        <w:rPr>
          <w:sz w:val="20"/>
          <w:szCs w:val="20"/>
        </w:rPr>
      </w:pPr>
      <w:r>
        <w:rPr>
          <w:sz w:val="20"/>
          <w:szCs w:val="20"/>
        </w:rPr>
        <w:t> </w:t>
      </w:r>
    </w:p>
    <w:p w14:paraId="0656DE72" w14:textId="77777777" w:rsidR="00000000" w:rsidRDefault="0053651E">
      <w:pPr>
        <w:pStyle w:val="a3"/>
        <w:spacing w:before="0" w:beforeAutospacing="0" w:after="0" w:afterAutospacing="0"/>
        <w:ind w:firstLine="360"/>
        <w:rPr>
          <w:sz w:val="20"/>
          <w:szCs w:val="20"/>
        </w:rPr>
      </w:pPr>
      <w:r>
        <w:rPr>
          <w:i/>
          <w:iCs/>
          <w:sz w:val="20"/>
          <w:szCs w:val="20"/>
        </w:rPr>
        <w:t>Unconsolidated Real Estate Joint Ventures</w:t>
      </w:r>
    </w:p>
    <w:p w14:paraId="4DA08106" w14:textId="77777777" w:rsidR="00000000" w:rsidRDefault="0053651E">
      <w:pPr>
        <w:pStyle w:val="a3"/>
        <w:spacing w:before="0" w:beforeAutospacing="0" w:after="0" w:afterAutospacing="0"/>
        <w:ind w:firstLine="360"/>
        <w:jc w:val="both"/>
        <w:rPr>
          <w:sz w:val="20"/>
          <w:szCs w:val="20"/>
        </w:rPr>
      </w:pPr>
      <w:r>
        <w:rPr>
          <w:sz w:val="20"/>
          <w:szCs w:val="20"/>
        </w:rPr>
        <w:t> </w:t>
      </w:r>
    </w:p>
    <w:p w14:paraId="21829335" w14:textId="77777777" w:rsidR="00000000" w:rsidRDefault="0053651E">
      <w:pPr>
        <w:pStyle w:val="a3"/>
        <w:spacing w:before="0" w:beforeAutospacing="0" w:after="0" w:afterAutospacing="0"/>
        <w:ind w:firstLine="360"/>
        <w:jc w:val="both"/>
        <w:rPr>
          <w:sz w:val="20"/>
          <w:szCs w:val="20"/>
        </w:rPr>
      </w:pPr>
      <w:r>
        <w:rPr>
          <w:sz w:val="20"/>
          <w:szCs w:val="20"/>
        </w:rPr>
        <w:t>The Company has investments in various unconsolidated real estate joint ventures with varying structures. These joint ventures primarily operate shopping center properties. Such arrangements are generally with third-party institutional investors and indivi</w:t>
      </w:r>
      <w:r>
        <w:rPr>
          <w:sz w:val="20"/>
          <w:szCs w:val="20"/>
        </w:rPr>
        <w:t>duals. The properties owned by the joint ventures are primarily financed with individual non-recourse mortgage loans, however, the Company, on a selective basis, has obtained unsecured financing for certain joint ventures. As of December 31, 2019, the Comp</w:t>
      </w:r>
      <w:r>
        <w:rPr>
          <w:sz w:val="20"/>
          <w:szCs w:val="20"/>
        </w:rPr>
        <w:t>any did not guarantee any joint venture unsecured debt. Non-recourse mortgage debt is generally defined as debt whereby the lenders’ sole recourse with respect to borrower defaults is limited to the value of the property collateralized by the mortgage. The</w:t>
      </w:r>
      <w:r>
        <w:rPr>
          <w:sz w:val="20"/>
          <w:szCs w:val="20"/>
        </w:rPr>
        <w:t xml:space="preserve"> lender generally does not have recourse against any other assets owned by the borrower or any of the constituent members of the borrower, except for certain specified exceptions listed in the particular loan documents (see Footnote 7 of the Notes to Conso</w:t>
      </w:r>
      <w:r>
        <w:rPr>
          <w:sz w:val="20"/>
          <w:szCs w:val="20"/>
        </w:rPr>
        <w:t>lidated Financial Statements included in this Form 10-K). The table below presents debt balances within the Company’s unconsolidated joint venture investments for which the Company held noncontrolling ownership interests at December 31, 2019 (dollars in mi</w:t>
      </w:r>
      <w:r>
        <w:rPr>
          <w:sz w:val="20"/>
          <w:szCs w:val="20"/>
        </w:rPr>
        <w:t>llions):</w:t>
      </w:r>
    </w:p>
    <w:p w14:paraId="29560B6F"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78"/>
        <w:gridCol w:w="50"/>
        <w:gridCol w:w="95"/>
        <w:gridCol w:w="850"/>
        <w:gridCol w:w="50"/>
        <w:gridCol w:w="50"/>
        <w:gridCol w:w="89"/>
        <w:gridCol w:w="800"/>
        <w:gridCol w:w="50"/>
        <w:gridCol w:w="50"/>
        <w:gridCol w:w="101"/>
        <w:gridCol w:w="819"/>
        <w:gridCol w:w="50"/>
        <w:gridCol w:w="50"/>
        <w:gridCol w:w="110"/>
        <w:gridCol w:w="990"/>
        <w:gridCol w:w="50"/>
        <w:gridCol w:w="50"/>
        <w:gridCol w:w="83"/>
        <w:gridCol w:w="740"/>
        <w:gridCol w:w="167"/>
        <w:gridCol w:w="50"/>
        <w:gridCol w:w="94"/>
        <w:gridCol w:w="840"/>
        <w:gridCol w:w="50"/>
      </w:tblGrid>
      <w:tr w:rsidR="00000000" w14:paraId="1E3AF0EA" w14:textId="77777777">
        <w:trPr>
          <w:tblCellSpacing w:w="0" w:type="dxa"/>
        </w:trPr>
        <w:tc>
          <w:tcPr>
            <w:tcW w:w="1400" w:type="pct"/>
            <w:tcBorders>
              <w:bottom w:val="single" w:sz="6" w:space="0" w:color="000000"/>
            </w:tcBorders>
            <w:vAlign w:val="bottom"/>
            <w:hideMark/>
          </w:tcPr>
          <w:p w14:paraId="6501571F" w14:textId="77777777" w:rsidR="00000000" w:rsidRDefault="0053651E">
            <w:pPr>
              <w:pStyle w:val="a3"/>
              <w:spacing w:before="0" w:beforeAutospacing="0" w:after="0" w:afterAutospacing="0"/>
              <w:jc w:val="center"/>
              <w:rPr>
                <w:sz w:val="20"/>
                <w:szCs w:val="20"/>
              </w:rPr>
            </w:pPr>
            <w:r>
              <w:rPr>
                <w:b/>
                <w:bCs/>
                <w:sz w:val="20"/>
                <w:szCs w:val="20"/>
              </w:rPr>
              <w:t>Joint Venture</w:t>
            </w:r>
          </w:p>
        </w:tc>
        <w:tc>
          <w:tcPr>
            <w:tcW w:w="0" w:type="auto"/>
            <w:tcBorders>
              <w:bottom w:val="single" w:sz="6" w:space="0" w:color="000000"/>
            </w:tcBorders>
            <w:tcMar>
              <w:top w:w="0" w:type="dxa"/>
              <w:left w:w="0" w:type="dxa"/>
              <w:bottom w:w="15" w:type="dxa"/>
              <w:right w:w="0" w:type="dxa"/>
            </w:tcMar>
            <w:vAlign w:val="bottom"/>
            <w:hideMark/>
          </w:tcPr>
          <w:p w14:paraId="7F782A2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F54D71" w14:textId="77777777" w:rsidR="00000000" w:rsidRDefault="0053651E">
            <w:pPr>
              <w:pStyle w:val="a3"/>
              <w:spacing w:before="0" w:beforeAutospacing="0" w:after="0" w:afterAutospacing="0"/>
              <w:jc w:val="center"/>
              <w:rPr>
                <w:sz w:val="20"/>
                <w:szCs w:val="20"/>
              </w:rPr>
            </w:pPr>
            <w:r>
              <w:rPr>
                <w:b/>
                <w:bCs/>
                <w:sz w:val="20"/>
                <w:szCs w:val="20"/>
              </w:rPr>
              <w:t>Kimco</w:t>
            </w:r>
          </w:p>
          <w:p w14:paraId="40A8C1E4" w14:textId="77777777" w:rsidR="00000000" w:rsidRDefault="0053651E">
            <w:pPr>
              <w:pStyle w:val="a3"/>
              <w:spacing w:before="0" w:beforeAutospacing="0" w:after="0" w:afterAutospacing="0"/>
              <w:jc w:val="center"/>
              <w:rPr>
                <w:sz w:val="20"/>
                <w:szCs w:val="20"/>
              </w:rPr>
            </w:pPr>
            <w:r>
              <w:rPr>
                <w:b/>
                <w:bCs/>
                <w:sz w:val="20"/>
                <w:szCs w:val="20"/>
              </w:rPr>
              <w:t>Ownership</w:t>
            </w:r>
          </w:p>
          <w:p w14:paraId="25231980" w14:textId="77777777" w:rsidR="00000000" w:rsidRDefault="0053651E">
            <w:pPr>
              <w:pStyle w:val="a3"/>
              <w:spacing w:before="0" w:beforeAutospacing="0" w:after="0" w:afterAutospacing="0"/>
              <w:jc w:val="center"/>
              <w:rPr>
                <w:sz w:val="20"/>
                <w:szCs w:val="20"/>
              </w:rPr>
            </w:pPr>
            <w:r>
              <w:rPr>
                <w:b/>
                <w:bCs/>
                <w:sz w:val="20"/>
                <w:szCs w:val="20"/>
              </w:rPr>
              <w:t>Interest</w:t>
            </w:r>
          </w:p>
        </w:tc>
        <w:tc>
          <w:tcPr>
            <w:tcW w:w="0" w:type="auto"/>
            <w:tcBorders>
              <w:bottom w:val="single" w:sz="6" w:space="0" w:color="000000"/>
            </w:tcBorders>
            <w:vAlign w:val="bottom"/>
            <w:hideMark/>
          </w:tcPr>
          <w:p w14:paraId="4E961CE4"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FDF250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E9D55D6" w14:textId="77777777" w:rsidR="00000000" w:rsidRDefault="0053651E">
            <w:pPr>
              <w:pStyle w:val="a3"/>
              <w:spacing w:before="0" w:beforeAutospacing="0" w:after="0" w:afterAutospacing="0"/>
              <w:jc w:val="center"/>
              <w:rPr>
                <w:sz w:val="20"/>
                <w:szCs w:val="20"/>
              </w:rPr>
            </w:pPr>
            <w:r>
              <w:rPr>
                <w:b/>
                <w:bCs/>
                <w:sz w:val="20"/>
                <w:szCs w:val="20"/>
              </w:rPr>
              <w:t>Number of</w:t>
            </w:r>
          </w:p>
          <w:p w14:paraId="54F2E528" w14:textId="77777777" w:rsidR="00000000" w:rsidRDefault="0053651E">
            <w:pPr>
              <w:pStyle w:val="a3"/>
              <w:spacing w:before="0" w:beforeAutospacing="0" w:after="0" w:afterAutospacing="0"/>
              <w:jc w:val="center"/>
              <w:rPr>
                <w:sz w:val="20"/>
                <w:szCs w:val="20"/>
              </w:rPr>
            </w:pPr>
            <w:r>
              <w:rPr>
                <w:b/>
                <w:bCs/>
                <w:sz w:val="20"/>
                <w:szCs w:val="20"/>
              </w:rPr>
              <w:t>Properties</w:t>
            </w:r>
          </w:p>
        </w:tc>
        <w:tc>
          <w:tcPr>
            <w:tcW w:w="0" w:type="auto"/>
            <w:tcBorders>
              <w:bottom w:val="single" w:sz="6" w:space="0" w:color="000000"/>
            </w:tcBorders>
            <w:vAlign w:val="bottom"/>
            <w:hideMark/>
          </w:tcPr>
          <w:p w14:paraId="054E1763"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FE3DB0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556506" w14:textId="77777777" w:rsidR="00000000" w:rsidRDefault="0053651E">
            <w:pPr>
              <w:pStyle w:val="a3"/>
              <w:spacing w:before="0" w:beforeAutospacing="0" w:after="0" w:afterAutospacing="0"/>
              <w:jc w:val="center"/>
              <w:rPr>
                <w:sz w:val="20"/>
                <w:szCs w:val="20"/>
              </w:rPr>
            </w:pPr>
            <w:r>
              <w:rPr>
                <w:b/>
                <w:bCs/>
                <w:sz w:val="20"/>
                <w:szCs w:val="20"/>
              </w:rPr>
              <w:t>Mortgages</w:t>
            </w:r>
          </w:p>
          <w:p w14:paraId="7E11385F" w14:textId="77777777" w:rsidR="00000000" w:rsidRDefault="0053651E">
            <w:pPr>
              <w:pStyle w:val="a3"/>
              <w:spacing w:before="0" w:beforeAutospacing="0" w:after="0" w:afterAutospacing="0"/>
              <w:jc w:val="center"/>
              <w:rPr>
                <w:sz w:val="20"/>
                <w:szCs w:val="20"/>
              </w:rPr>
            </w:pPr>
            <w:r>
              <w:rPr>
                <w:b/>
                <w:bCs/>
                <w:sz w:val="20"/>
                <w:szCs w:val="20"/>
              </w:rPr>
              <w:t>and Notes</w:t>
            </w:r>
          </w:p>
          <w:p w14:paraId="75AC8042" w14:textId="77777777" w:rsidR="00000000" w:rsidRDefault="0053651E">
            <w:pPr>
              <w:pStyle w:val="a3"/>
              <w:spacing w:before="0" w:beforeAutospacing="0" w:after="0" w:afterAutospacing="0"/>
              <w:jc w:val="center"/>
              <w:rPr>
                <w:sz w:val="20"/>
                <w:szCs w:val="20"/>
              </w:rPr>
            </w:pPr>
            <w:r>
              <w:rPr>
                <w:b/>
                <w:bCs/>
                <w:sz w:val="20"/>
                <w:szCs w:val="20"/>
              </w:rPr>
              <w:t>Payable, Net</w:t>
            </w:r>
          </w:p>
          <w:p w14:paraId="75C15C89"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0" w:type="auto"/>
            <w:tcBorders>
              <w:bottom w:val="single" w:sz="6" w:space="0" w:color="000000"/>
            </w:tcBorders>
            <w:vAlign w:val="bottom"/>
            <w:hideMark/>
          </w:tcPr>
          <w:p w14:paraId="1607D7A7"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5E8DA1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1037595" w14:textId="77777777" w:rsidR="00000000" w:rsidRDefault="0053651E">
            <w:pPr>
              <w:pStyle w:val="a3"/>
              <w:spacing w:before="0" w:beforeAutospacing="0" w:after="0" w:afterAutospacing="0"/>
              <w:jc w:val="center"/>
              <w:rPr>
                <w:sz w:val="20"/>
                <w:szCs w:val="20"/>
              </w:rPr>
            </w:pPr>
            <w:r>
              <w:rPr>
                <w:b/>
                <w:bCs/>
                <w:sz w:val="20"/>
                <w:szCs w:val="20"/>
              </w:rPr>
              <w:t>Number of Encumbered</w:t>
            </w:r>
          </w:p>
          <w:p w14:paraId="4CC284B5" w14:textId="77777777" w:rsidR="00000000" w:rsidRDefault="0053651E">
            <w:pPr>
              <w:pStyle w:val="a3"/>
              <w:spacing w:before="0" w:beforeAutospacing="0" w:after="0" w:afterAutospacing="0"/>
              <w:jc w:val="center"/>
              <w:rPr>
                <w:sz w:val="20"/>
                <w:szCs w:val="20"/>
              </w:rPr>
            </w:pPr>
            <w:r>
              <w:rPr>
                <w:b/>
                <w:bCs/>
                <w:sz w:val="20"/>
                <w:szCs w:val="20"/>
              </w:rPr>
              <w:t>Properties</w:t>
            </w:r>
          </w:p>
        </w:tc>
        <w:tc>
          <w:tcPr>
            <w:tcW w:w="0" w:type="auto"/>
            <w:tcBorders>
              <w:bottom w:val="single" w:sz="6" w:space="0" w:color="000000"/>
            </w:tcBorders>
            <w:vAlign w:val="bottom"/>
            <w:hideMark/>
          </w:tcPr>
          <w:p w14:paraId="5D69FAB4"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5C3BB4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F3B416" w14:textId="77777777" w:rsidR="00000000" w:rsidRDefault="0053651E">
            <w:pPr>
              <w:pStyle w:val="a3"/>
              <w:spacing w:before="0" w:beforeAutospacing="0" w:after="0" w:afterAutospacing="0"/>
              <w:jc w:val="center"/>
              <w:rPr>
                <w:sz w:val="20"/>
                <w:szCs w:val="20"/>
              </w:rPr>
            </w:pPr>
            <w:r>
              <w:rPr>
                <w:b/>
                <w:bCs/>
                <w:sz w:val="20"/>
                <w:szCs w:val="20"/>
              </w:rPr>
              <w:t>Weighted</w:t>
            </w:r>
          </w:p>
          <w:p w14:paraId="2050730E" w14:textId="77777777" w:rsidR="00000000" w:rsidRDefault="0053651E">
            <w:pPr>
              <w:pStyle w:val="a3"/>
              <w:spacing w:before="0" w:beforeAutospacing="0" w:after="0" w:afterAutospacing="0"/>
              <w:jc w:val="center"/>
              <w:rPr>
                <w:sz w:val="20"/>
                <w:szCs w:val="20"/>
              </w:rPr>
            </w:pPr>
            <w:r>
              <w:rPr>
                <w:b/>
                <w:bCs/>
                <w:sz w:val="20"/>
                <w:szCs w:val="20"/>
              </w:rPr>
              <w:t>Average</w:t>
            </w:r>
          </w:p>
          <w:p w14:paraId="495AA95E" w14:textId="77777777" w:rsidR="00000000" w:rsidRDefault="0053651E">
            <w:pPr>
              <w:pStyle w:val="a3"/>
              <w:spacing w:before="0" w:beforeAutospacing="0" w:after="0" w:afterAutospacing="0"/>
              <w:jc w:val="center"/>
              <w:rPr>
                <w:sz w:val="20"/>
                <w:szCs w:val="20"/>
              </w:rPr>
            </w:pPr>
            <w:r>
              <w:rPr>
                <w:b/>
                <w:bCs/>
                <w:sz w:val="20"/>
                <w:szCs w:val="20"/>
              </w:rPr>
              <w:t>Interest</w:t>
            </w:r>
          </w:p>
          <w:p w14:paraId="362052DA" w14:textId="77777777" w:rsidR="00000000" w:rsidRDefault="0053651E">
            <w:pPr>
              <w:pStyle w:val="a3"/>
              <w:spacing w:before="0" w:beforeAutospacing="0" w:after="0" w:afterAutospacing="0"/>
              <w:jc w:val="center"/>
              <w:rPr>
                <w:sz w:val="20"/>
                <w:szCs w:val="20"/>
              </w:rPr>
            </w:pPr>
            <w:r>
              <w:rPr>
                <w:b/>
                <w:bCs/>
                <w:sz w:val="20"/>
                <w:szCs w:val="20"/>
              </w:rPr>
              <w:t>Rate</w:t>
            </w:r>
          </w:p>
        </w:tc>
        <w:tc>
          <w:tcPr>
            <w:tcW w:w="0" w:type="auto"/>
            <w:tcBorders>
              <w:bottom w:val="single" w:sz="6" w:space="0" w:color="000000"/>
            </w:tcBorders>
            <w:vAlign w:val="bottom"/>
            <w:hideMark/>
          </w:tcPr>
          <w:p w14:paraId="1117534F"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6E3B69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8DFD3B6" w14:textId="77777777" w:rsidR="00000000" w:rsidRDefault="0053651E">
            <w:pPr>
              <w:pStyle w:val="a3"/>
              <w:spacing w:before="0" w:beforeAutospacing="0" w:after="0" w:afterAutospacing="0"/>
              <w:jc w:val="center"/>
              <w:rPr>
                <w:sz w:val="20"/>
                <w:szCs w:val="20"/>
              </w:rPr>
            </w:pPr>
            <w:r>
              <w:rPr>
                <w:b/>
                <w:bCs/>
                <w:sz w:val="20"/>
                <w:szCs w:val="20"/>
              </w:rPr>
              <w:t>Weighted</w:t>
            </w:r>
          </w:p>
          <w:p w14:paraId="2DC9AA56" w14:textId="77777777" w:rsidR="00000000" w:rsidRDefault="0053651E">
            <w:pPr>
              <w:pStyle w:val="a3"/>
              <w:spacing w:before="0" w:beforeAutospacing="0" w:after="0" w:afterAutospacing="0"/>
              <w:jc w:val="center"/>
              <w:rPr>
                <w:sz w:val="20"/>
                <w:szCs w:val="20"/>
              </w:rPr>
            </w:pPr>
            <w:r>
              <w:rPr>
                <w:b/>
                <w:bCs/>
                <w:sz w:val="20"/>
                <w:szCs w:val="20"/>
              </w:rPr>
              <w:t>Average</w:t>
            </w:r>
          </w:p>
          <w:p w14:paraId="2C986814" w14:textId="77777777" w:rsidR="00000000" w:rsidRDefault="0053651E">
            <w:pPr>
              <w:pStyle w:val="a3"/>
              <w:spacing w:before="0" w:beforeAutospacing="0" w:after="0" w:afterAutospacing="0"/>
              <w:jc w:val="center"/>
              <w:rPr>
                <w:sz w:val="20"/>
                <w:szCs w:val="20"/>
              </w:rPr>
            </w:pPr>
            <w:r>
              <w:rPr>
                <w:b/>
                <w:bCs/>
                <w:sz w:val="20"/>
                <w:szCs w:val="20"/>
              </w:rPr>
              <w:t>Remaining</w:t>
            </w:r>
          </w:p>
          <w:p w14:paraId="6DDDA200" w14:textId="77777777" w:rsidR="00000000" w:rsidRDefault="0053651E">
            <w:pPr>
              <w:pStyle w:val="a3"/>
              <w:spacing w:before="0" w:beforeAutospacing="0" w:after="0" w:afterAutospacing="0"/>
              <w:jc w:val="center"/>
              <w:rPr>
                <w:sz w:val="20"/>
                <w:szCs w:val="20"/>
              </w:rPr>
            </w:pPr>
            <w:r>
              <w:rPr>
                <w:b/>
                <w:bCs/>
                <w:sz w:val="20"/>
                <w:szCs w:val="20"/>
              </w:rPr>
              <w:t>Term (months)*</w:t>
            </w:r>
          </w:p>
        </w:tc>
        <w:tc>
          <w:tcPr>
            <w:tcW w:w="0" w:type="auto"/>
            <w:tcMar>
              <w:top w:w="0" w:type="dxa"/>
              <w:left w:w="0" w:type="dxa"/>
              <w:bottom w:w="15" w:type="dxa"/>
              <w:right w:w="0" w:type="dxa"/>
            </w:tcMar>
            <w:vAlign w:val="bottom"/>
            <w:hideMark/>
          </w:tcPr>
          <w:p w14:paraId="6A9CD8ED" w14:textId="77777777" w:rsidR="00000000" w:rsidRDefault="0053651E">
            <w:pPr>
              <w:rPr>
                <w:rFonts w:eastAsia="Times New Roman"/>
                <w:sz w:val="20"/>
                <w:szCs w:val="20"/>
              </w:rPr>
            </w:pPr>
            <w:r>
              <w:rPr>
                <w:rFonts w:eastAsia="Times New Roman"/>
                <w:sz w:val="20"/>
                <w:szCs w:val="20"/>
              </w:rPr>
              <w:t> </w:t>
            </w:r>
          </w:p>
        </w:tc>
      </w:tr>
      <w:tr w:rsidR="00000000" w14:paraId="54515D5F" w14:textId="77777777">
        <w:trPr>
          <w:tblCellSpacing w:w="0" w:type="dxa"/>
        </w:trPr>
        <w:tc>
          <w:tcPr>
            <w:tcW w:w="0" w:type="auto"/>
            <w:tcBorders>
              <w:bottom w:val="nil"/>
            </w:tcBorders>
            <w:shd w:val="clear" w:color="auto" w:fill="CCEEFF"/>
            <w:vAlign w:val="bottom"/>
            <w:hideMark/>
          </w:tcPr>
          <w:p w14:paraId="5638FB4D" w14:textId="77777777" w:rsidR="00000000" w:rsidRDefault="0053651E">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14:paraId="630D9EF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C97B249"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029F647A" w14:textId="77777777" w:rsidR="00000000" w:rsidRDefault="0053651E">
            <w:pPr>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14:paraId="37DE5A8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43244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2D40D69"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4C136FE0" w14:textId="77777777" w:rsidR="00000000" w:rsidRDefault="0053651E">
            <w:pPr>
              <w:jc w:val="center"/>
              <w:rPr>
                <w:rFonts w:eastAsia="Times New Roman"/>
                <w:sz w:val="20"/>
                <w:szCs w:val="20"/>
              </w:rPr>
            </w:pPr>
            <w:r>
              <w:rPr>
                <w:rFonts w:eastAsia="Times New Roman"/>
                <w:sz w:val="20"/>
                <w:szCs w:val="20"/>
              </w:rPr>
              <w:t>40</w:t>
            </w:r>
          </w:p>
        </w:tc>
        <w:tc>
          <w:tcPr>
            <w:tcW w:w="50" w:type="pct"/>
            <w:tcBorders>
              <w:bottom w:val="nil"/>
            </w:tcBorders>
            <w:shd w:val="clear" w:color="auto" w:fill="CCEEFF"/>
            <w:vAlign w:val="bottom"/>
            <w:hideMark/>
          </w:tcPr>
          <w:p w14:paraId="20B7D29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16F27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610351"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62C921D3" w14:textId="77777777" w:rsidR="00000000" w:rsidRDefault="0053651E">
            <w:pPr>
              <w:jc w:val="right"/>
              <w:rPr>
                <w:rFonts w:eastAsia="Times New Roman"/>
                <w:sz w:val="20"/>
                <w:szCs w:val="20"/>
              </w:rPr>
            </w:pPr>
            <w:r>
              <w:rPr>
                <w:rFonts w:eastAsia="Times New Roman"/>
                <w:sz w:val="20"/>
                <w:szCs w:val="20"/>
              </w:rPr>
              <w:t>538.1</w:t>
            </w:r>
          </w:p>
        </w:tc>
        <w:tc>
          <w:tcPr>
            <w:tcW w:w="50" w:type="pct"/>
            <w:tcBorders>
              <w:bottom w:val="nil"/>
            </w:tcBorders>
            <w:shd w:val="clear" w:color="auto" w:fill="CCEEFF"/>
            <w:vAlign w:val="bottom"/>
            <w:hideMark/>
          </w:tcPr>
          <w:p w14:paraId="59238EF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430887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4F075A2"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67DD7C00" w14:textId="77777777" w:rsidR="00000000" w:rsidRDefault="0053651E">
            <w:pPr>
              <w:jc w:val="center"/>
              <w:rPr>
                <w:rFonts w:eastAsia="Times New Roman"/>
                <w:sz w:val="20"/>
                <w:szCs w:val="20"/>
              </w:rPr>
            </w:pPr>
            <w:r>
              <w:rPr>
                <w:rFonts w:eastAsia="Times New Roman"/>
                <w:sz w:val="20"/>
                <w:szCs w:val="20"/>
              </w:rPr>
              <w:t>12</w:t>
            </w:r>
          </w:p>
        </w:tc>
        <w:tc>
          <w:tcPr>
            <w:tcW w:w="50" w:type="pct"/>
            <w:tcBorders>
              <w:bottom w:val="nil"/>
            </w:tcBorders>
            <w:shd w:val="clear" w:color="auto" w:fill="CCEEFF"/>
            <w:vAlign w:val="bottom"/>
            <w:hideMark/>
          </w:tcPr>
          <w:p w14:paraId="36EAF60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EED1ED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9C51611"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38EC5CAC" w14:textId="77777777" w:rsidR="00000000" w:rsidRDefault="0053651E">
            <w:pPr>
              <w:jc w:val="right"/>
              <w:rPr>
                <w:rFonts w:eastAsia="Times New Roman"/>
                <w:sz w:val="20"/>
                <w:szCs w:val="20"/>
              </w:rPr>
            </w:pPr>
            <w:r>
              <w:rPr>
                <w:rFonts w:eastAsia="Times New Roman"/>
                <w:sz w:val="20"/>
                <w:szCs w:val="20"/>
              </w:rPr>
              <w:t>3.46</w:t>
            </w:r>
          </w:p>
        </w:tc>
        <w:tc>
          <w:tcPr>
            <w:tcW w:w="50" w:type="pct"/>
            <w:tcBorders>
              <w:bottom w:val="nil"/>
            </w:tcBorders>
            <w:shd w:val="clear" w:color="auto" w:fill="CCEEFF"/>
            <w:vAlign w:val="bottom"/>
            <w:hideMark/>
          </w:tcPr>
          <w:p w14:paraId="5EAC0BCC" w14:textId="77777777" w:rsidR="00000000" w:rsidRDefault="0053651E">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094D7EB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D039BCE"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0E7D1FCE" w14:textId="77777777" w:rsidR="00000000" w:rsidRDefault="0053651E">
            <w:pPr>
              <w:jc w:val="right"/>
              <w:rPr>
                <w:rFonts w:eastAsia="Times New Roman"/>
                <w:sz w:val="20"/>
                <w:szCs w:val="20"/>
              </w:rPr>
            </w:pPr>
            <w:r>
              <w:rPr>
                <w:rFonts w:eastAsia="Times New Roman"/>
                <w:sz w:val="20"/>
                <w:szCs w:val="20"/>
              </w:rPr>
              <w:t>46.8</w:t>
            </w:r>
          </w:p>
        </w:tc>
        <w:tc>
          <w:tcPr>
            <w:tcW w:w="50" w:type="pct"/>
            <w:tcBorders>
              <w:bottom w:val="nil"/>
            </w:tcBorders>
            <w:shd w:val="clear" w:color="auto" w:fill="CCEEFF"/>
            <w:vAlign w:val="bottom"/>
            <w:hideMark/>
          </w:tcPr>
          <w:p w14:paraId="7139DFF3" w14:textId="77777777" w:rsidR="00000000" w:rsidRDefault="0053651E">
            <w:pPr>
              <w:rPr>
                <w:rFonts w:eastAsia="Times New Roman"/>
                <w:sz w:val="20"/>
                <w:szCs w:val="20"/>
              </w:rPr>
            </w:pPr>
            <w:r>
              <w:rPr>
                <w:rFonts w:eastAsia="Times New Roman"/>
                <w:sz w:val="20"/>
                <w:szCs w:val="20"/>
              </w:rPr>
              <w:t> </w:t>
            </w:r>
          </w:p>
        </w:tc>
      </w:tr>
      <w:tr w:rsidR="00000000" w14:paraId="0C631565" w14:textId="77777777">
        <w:trPr>
          <w:tblCellSpacing w:w="0" w:type="dxa"/>
        </w:trPr>
        <w:tc>
          <w:tcPr>
            <w:tcW w:w="0" w:type="auto"/>
            <w:shd w:val="clear" w:color="auto" w:fill="FFFFFF"/>
            <w:vAlign w:val="bottom"/>
            <w:hideMark/>
          </w:tcPr>
          <w:p w14:paraId="5077D529" w14:textId="77777777" w:rsidR="00000000" w:rsidRDefault="0053651E">
            <w:pPr>
              <w:pStyle w:val="a3"/>
              <w:spacing w:before="0" w:beforeAutospacing="0" w:after="0" w:afterAutospacing="0"/>
              <w:rPr>
                <w:sz w:val="20"/>
                <w:szCs w:val="20"/>
              </w:rPr>
            </w:pPr>
            <w:r>
              <w:rPr>
                <w:sz w:val="20"/>
                <w:szCs w:val="20"/>
              </w:rPr>
              <w:t>Kimco Income Opportunity Portfolio (2)</w:t>
            </w:r>
          </w:p>
        </w:tc>
        <w:tc>
          <w:tcPr>
            <w:tcW w:w="50" w:type="pct"/>
            <w:shd w:val="clear" w:color="auto" w:fill="FFFFFF"/>
            <w:vAlign w:val="bottom"/>
            <w:hideMark/>
          </w:tcPr>
          <w:p w14:paraId="203962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961B6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DA64CC9" w14:textId="77777777" w:rsidR="00000000" w:rsidRDefault="0053651E">
            <w:pPr>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0FDC72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3448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CE30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85E6840" w14:textId="77777777" w:rsidR="00000000" w:rsidRDefault="0053651E">
            <w:pPr>
              <w:jc w:val="center"/>
              <w:rPr>
                <w:rFonts w:eastAsia="Times New Roman"/>
                <w:sz w:val="20"/>
                <w:szCs w:val="20"/>
              </w:rPr>
            </w:pPr>
            <w:r>
              <w:rPr>
                <w:rFonts w:eastAsia="Times New Roman"/>
                <w:sz w:val="20"/>
                <w:szCs w:val="20"/>
              </w:rPr>
              <w:t>37</w:t>
            </w:r>
          </w:p>
        </w:tc>
        <w:tc>
          <w:tcPr>
            <w:tcW w:w="50" w:type="pct"/>
            <w:shd w:val="clear" w:color="auto" w:fill="FFFFFF"/>
            <w:vAlign w:val="bottom"/>
            <w:hideMark/>
          </w:tcPr>
          <w:p w14:paraId="48D217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DD32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F90BE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B4AF635" w14:textId="77777777" w:rsidR="00000000" w:rsidRDefault="0053651E">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14:paraId="65D446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949D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60064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1DE57BF" w14:textId="77777777" w:rsidR="00000000" w:rsidRDefault="0053651E">
            <w:pPr>
              <w:jc w:val="center"/>
              <w:rPr>
                <w:rFonts w:eastAsia="Times New Roman"/>
                <w:sz w:val="20"/>
                <w:szCs w:val="20"/>
              </w:rPr>
            </w:pPr>
            <w:r>
              <w:rPr>
                <w:rFonts w:eastAsia="Times New Roman"/>
                <w:sz w:val="20"/>
                <w:szCs w:val="20"/>
              </w:rPr>
              <w:t>26</w:t>
            </w:r>
          </w:p>
        </w:tc>
        <w:tc>
          <w:tcPr>
            <w:tcW w:w="50" w:type="pct"/>
            <w:shd w:val="clear" w:color="auto" w:fill="FFFFFF"/>
            <w:vAlign w:val="bottom"/>
            <w:hideMark/>
          </w:tcPr>
          <w:p w14:paraId="19D8EE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4107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D9C78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C80A8A" w14:textId="77777777" w:rsidR="00000000" w:rsidRDefault="0053651E">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14:paraId="1949261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6468D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BCD40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6204AEC" w14:textId="77777777" w:rsidR="00000000" w:rsidRDefault="0053651E">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14:paraId="6FE702CB" w14:textId="77777777" w:rsidR="00000000" w:rsidRDefault="0053651E">
            <w:pPr>
              <w:rPr>
                <w:rFonts w:eastAsia="Times New Roman"/>
                <w:sz w:val="20"/>
                <w:szCs w:val="20"/>
              </w:rPr>
            </w:pPr>
            <w:r>
              <w:rPr>
                <w:rFonts w:eastAsia="Times New Roman"/>
                <w:sz w:val="20"/>
                <w:szCs w:val="20"/>
              </w:rPr>
              <w:t> </w:t>
            </w:r>
          </w:p>
        </w:tc>
      </w:tr>
      <w:tr w:rsidR="00000000" w14:paraId="4B399827" w14:textId="77777777">
        <w:trPr>
          <w:tblCellSpacing w:w="0" w:type="dxa"/>
        </w:trPr>
        <w:tc>
          <w:tcPr>
            <w:tcW w:w="0" w:type="auto"/>
            <w:shd w:val="clear" w:color="auto" w:fill="CCEEFF"/>
            <w:vAlign w:val="bottom"/>
            <w:hideMark/>
          </w:tcPr>
          <w:p w14:paraId="503869AE" w14:textId="77777777" w:rsidR="00000000" w:rsidRDefault="0053651E">
            <w:pPr>
              <w:pStyle w:val="a3"/>
              <w:spacing w:before="0" w:beforeAutospacing="0" w:after="0" w:afterAutospacing="0"/>
              <w:rPr>
                <w:sz w:val="20"/>
                <w:szCs w:val="20"/>
              </w:rPr>
            </w:pPr>
            <w:r>
              <w:rPr>
                <w:sz w:val="20"/>
                <w:szCs w:val="20"/>
              </w:rPr>
              <w:t>Canada Pension Plan Investment Board</w:t>
            </w:r>
          </w:p>
        </w:tc>
        <w:tc>
          <w:tcPr>
            <w:tcW w:w="50" w:type="pct"/>
            <w:shd w:val="clear" w:color="auto" w:fill="CCEEFF"/>
            <w:vAlign w:val="bottom"/>
            <w:hideMark/>
          </w:tcPr>
          <w:p w14:paraId="1F3B15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B7685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29C2F1" w14:textId="77777777" w:rsidR="00000000" w:rsidRDefault="0053651E">
            <w:pPr>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302877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78D0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EC5F8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190CA9" w14:textId="77777777" w:rsidR="00000000" w:rsidRDefault="0053651E">
            <w:pPr>
              <w:jc w:val="center"/>
              <w:rPr>
                <w:rFonts w:eastAsia="Times New Roman"/>
                <w:sz w:val="20"/>
                <w:szCs w:val="20"/>
              </w:rPr>
            </w:pPr>
            <w:r>
              <w:rPr>
                <w:rFonts w:eastAsia="Times New Roman"/>
                <w:sz w:val="20"/>
                <w:szCs w:val="20"/>
              </w:rPr>
              <w:t>4</w:t>
            </w:r>
          </w:p>
        </w:tc>
        <w:tc>
          <w:tcPr>
            <w:tcW w:w="50" w:type="pct"/>
            <w:shd w:val="clear" w:color="auto" w:fill="CCEEFF"/>
            <w:vAlign w:val="bottom"/>
            <w:hideMark/>
          </w:tcPr>
          <w:p w14:paraId="0B07BB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A01E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BDAA4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E3A209C" w14:textId="77777777" w:rsidR="00000000" w:rsidRDefault="0053651E">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14:paraId="4701F1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89DE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2355D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AA02531" w14:textId="77777777" w:rsidR="00000000" w:rsidRDefault="0053651E">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7CBFA2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D21F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00BD9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D76B8E1" w14:textId="77777777" w:rsidR="00000000" w:rsidRDefault="0053651E">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0E9F53D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16089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98C1C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24F10B0" w14:textId="77777777" w:rsidR="00000000" w:rsidRDefault="0053651E">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14:paraId="0E401385" w14:textId="77777777" w:rsidR="00000000" w:rsidRDefault="0053651E">
            <w:pPr>
              <w:rPr>
                <w:rFonts w:eastAsia="Times New Roman"/>
                <w:sz w:val="20"/>
                <w:szCs w:val="20"/>
              </w:rPr>
            </w:pPr>
            <w:r>
              <w:rPr>
                <w:rFonts w:eastAsia="Times New Roman"/>
                <w:sz w:val="20"/>
                <w:szCs w:val="20"/>
              </w:rPr>
              <w:t> </w:t>
            </w:r>
          </w:p>
        </w:tc>
      </w:tr>
      <w:tr w:rsidR="00000000" w14:paraId="074AA6B8" w14:textId="77777777">
        <w:trPr>
          <w:tblCellSpacing w:w="0" w:type="dxa"/>
        </w:trPr>
        <w:tc>
          <w:tcPr>
            <w:tcW w:w="0" w:type="auto"/>
            <w:shd w:val="clear" w:color="auto" w:fill="FFFFFF"/>
            <w:vAlign w:val="bottom"/>
            <w:hideMark/>
          </w:tcPr>
          <w:p w14:paraId="7B8EEAE7" w14:textId="77777777" w:rsidR="00000000" w:rsidRDefault="0053651E">
            <w:pPr>
              <w:pStyle w:val="a3"/>
              <w:spacing w:before="0" w:beforeAutospacing="0" w:after="0" w:afterAutospacing="0"/>
              <w:rPr>
                <w:sz w:val="20"/>
                <w:szCs w:val="20"/>
              </w:rPr>
            </w:pPr>
            <w:r>
              <w:rPr>
                <w:sz w:val="20"/>
                <w:szCs w:val="20"/>
              </w:rPr>
              <w:t>Other Joint Venture Programs</w:t>
            </w:r>
          </w:p>
        </w:tc>
        <w:tc>
          <w:tcPr>
            <w:tcW w:w="50" w:type="pct"/>
            <w:shd w:val="clear" w:color="auto" w:fill="FFFFFF"/>
            <w:vAlign w:val="bottom"/>
            <w:hideMark/>
          </w:tcPr>
          <w:p w14:paraId="34D69E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8B94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608DFD1" w14:textId="77777777" w:rsidR="00000000" w:rsidRDefault="0053651E">
            <w:pPr>
              <w:jc w:val="center"/>
              <w:rPr>
                <w:rFonts w:eastAsia="Times New Roman"/>
                <w:sz w:val="20"/>
                <w:szCs w:val="20"/>
              </w:rPr>
            </w:pPr>
            <w:r>
              <w:rPr>
                <w:rFonts w:eastAsia="Times New Roman"/>
                <w:sz w:val="20"/>
                <w:szCs w:val="20"/>
              </w:rPr>
              <w:t>Various</w:t>
            </w:r>
          </w:p>
        </w:tc>
        <w:tc>
          <w:tcPr>
            <w:tcW w:w="50" w:type="pct"/>
            <w:shd w:val="clear" w:color="auto" w:fill="FFFFFF"/>
            <w:vAlign w:val="bottom"/>
            <w:hideMark/>
          </w:tcPr>
          <w:p w14:paraId="1D7F14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43D4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2E330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F689E75" w14:textId="77777777" w:rsidR="00000000" w:rsidRDefault="0053651E">
            <w:pPr>
              <w:jc w:val="center"/>
              <w:rPr>
                <w:rFonts w:eastAsia="Times New Roman"/>
                <w:sz w:val="20"/>
                <w:szCs w:val="20"/>
              </w:rPr>
            </w:pPr>
            <w:r>
              <w:rPr>
                <w:rFonts w:eastAsia="Times New Roman"/>
                <w:sz w:val="20"/>
                <w:szCs w:val="20"/>
              </w:rPr>
              <w:t>17</w:t>
            </w:r>
          </w:p>
        </w:tc>
        <w:tc>
          <w:tcPr>
            <w:tcW w:w="50" w:type="pct"/>
            <w:shd w:val="clear" w:color="auto" w:fill="FFFFFF"/>
            <w:vAlign w:val="bottom"/>
            <w:hideMark/>
          </w:tcPr>
          <w:p w14:paraId="6B93E5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3DAB74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B6034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9A85E29" w14:textId="77777777" w:rsidR="00000000" w:rsidRDefault="0053651E">
            <w:pPr>
              <w:jc w:val="right"/>
              <w:rPr>
                <w:rFonts w:eastAsia="Times New Roman"/>
                <w:sz w:val="20"/>
                <w:szCs w:val="20"/>
              </w:rPr>
            </w:pPr>
            <w:r>
              <w:rPr>
                <w:rFonts w:eastAsia="Times New Roman"/>
                <w:sz w:val="20"/>
                <w:szCs w:val="20"/>
              </w:rPr>
              <w:t>415.2</w:t>
            </w:r>
          </w:p>
        </w:tc>
        <w:tc>
          <w:tcPr>
            <w:tcW w:w="50" w:type="pct"/>
            <w:shd w:val="clear" w:color="auto" w:fill="FFFFFF"/>
            <w:tcMar>
              <w:top w:w="0" w:type="dxa"/>
              <w:left w:w="0" w:type="dxa"/>
              <w:bottom w:w="15" w:type="dxa"/>
              <w:right w:w="0" w:type="dxa"/>
            </w:tcMar>
            <w:vAlign w:val="bottom"/>
            <w:hideMark/>
          </w:tcPr>
          <w:p w14:paraId="6B311A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D423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64EF8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944F770" w14:textId="77777777" w:rsidR="00000000" w:rsidRDefault="0053651E">
            <w:pPr>
              <w:jc w:val="center"/>
              <w:rPr>
                <w:rFonts w:eastAsia="Times New Roman"/>
                <w:sz w:val="20"/>
                <w:szCs w:val="20"/>
              </w:rPr>
            </w:pPr>
            <w:r>
              <w:rPr>
                <w:rFonts w:eastAsia="Times New Roman"/>
                <w:sz w:val="20"/>
                <w:szCs w:val="20"/>
              </w:rPr>
              <w:t>10</w:t>
            </w:r>
          </w:p>
        </w:tc>
        <w:tc>
          <w:tcPr>
            <w:tcW w:w="50" w:type="pct"/>
            <w:shd w:val="clear" w:color="auto" w:fill="FFFFFF"/>
            <w:vAlign w:val="bottom"/>
            <w:hideMark/>
          </w:tcPr>
          <w:p w14:paraId="55D559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E21C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5FF85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9C6DD2C" w14:textId="77777777" w:rsidR="00000000" w:rsidRDefault="0053651E">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5D1FCA5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7A207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0E62A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8EB6779" w14:textId="77777777" w:rsidR="00000000" w:rsidRDefault="0053651E">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14:paraId="59ED7FBF" w14:textId="77777777" w:rsidR="00000000" w:rsidRDefault="0053651E">
            <w:pPr>
              <w:rPr>
                <w:rFonts w:eastAsia="Times New Roman"/>
                <w:sz w:val="20"/>
                <w:szCs w:val="20"/>
              </w:rPr>
            </w:pPr>
            <w:r>
              <w:rPr>
                <w:rFonts w:eastAsia="Times New Roman"/>
                <w:sz w:val="20"/>
                <w:szCs w:val="20"/>
              </w:rPr>
              <w:t> </w:t>
            </w:r>
          </w:p>
        </w:tc>
      </w:tr>
      <w:tr w:rsidR="00000000" w14:paraId="1CAAE693" w14:textId="77777777">
        <w:trPr>
          <w:tblCellSpacing w:w="0" w:type="dxa"/>
        </w:trPr>
        <w:tc>
          <w:tcPr>
            <w:tcW w:w="0" w:type="auto"/>
            <w:shd w:val="clear" w:color="auto" w:fill="CCEEFF"/>
            <w:vAlign w:val="bottom"/>
            <w:hideMark/>
          </w:tcPr>
          <w:p w14:paraId="55EA9CA3" w14:textId="77777777" w:rsidR="00000000" w:rsidRDefault="0053651E">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2487F11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39752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D4EF7B5" w14:textId="77777777" w:rsidR="00000000" w:rsidRDefault="0053651E">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981C59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2867F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77565"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0BFA099" w14:textId="77777777" w:rsidR="00000000" w:rsidRDefault="0053651E">
            <w:pPr>
              <w:jc w:val="cente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280DFA0"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14:paraId="550FF95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0DDF831"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3E874B5D" w14:textId="77777777" w:rsidR="00000000" w:rsidRDefault="0053651E">
            <w:pPr>
              <w:jc w:val="right"/>
              <w:rPr>
                <w:rFonts w:eastAsia="Times New Roman"/>
                <w:sz w:val="20"/>
                <w:szCs w:val="20"/>
              </w:rPr>
            </w:pPr>
            <w:r>
              <w:rPr>
                <w:rFonts w:eastAsia="Times New Roman"/>
                <w:b/>
                <w:bCs/>
                <w:sz w:val="20"/>
                <w:szCs w:val="20"/>
              </w:rPr>
              <w:t>1,594.1</w:t>
            </w:r>
          </w:p>
        </w:tc>
        <w:tc>
          <w:tcPr>
            <w:tcW w:w="50" w:type="pct"/>
            <w:shd w:val="clear" w:color="auto" w:fill="CCEEFF"/>
            <w:tcMar>
              <w:top w:w="0" w:type="dxa"/>
              <w:left w:w="0" w:type="dxa"/>
              <w:bottom w:w="45" w:type="dxa"/>
              <w:right w:w="0" w:type="dxa"/>
            </w:tcMar>
            <w:vAlign w:val="bottom"/>
            <w:hideMark/>
          </w:tcPr>
          <w:p w14:paraId="676307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AF62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10077"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A5BC314" w14:textId="77777777" w:rsidR="00000000" w:rsidRDefault="0053651E">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D5794D5"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3F57C8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830DF"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437BA53" w14:textId="77777777" w:rsidR="00000000" w:rsidRDefault="0053651E">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8F3B76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8D0B0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EF2A8"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7B014AF" w14:textId="77777777" w:rsidR="00000000" w:rsidRDefault="0053651E">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9166EF0" w14:textId="77777777" w:rsidR="00000000" w:rsidRDefault="0053651E">
            <w:pPr>
              <w:rPr>
                <w:rFonts w:eastAsia="Times New Roman"/>
                <w:sz w:val="20"/>
                <w:szCs w:val="20"/>
              </w:rPr>
            </w:pPr>
            <w:r>
              <w:rPr>
                <w:rFonts w:eastAsia="Times New Roman"/>
                <w:b/>
                <w:bCs/>
                <w:sz w:val="20"/>
                <w:szCs w:val="20"/>
              </w:rPr>
              <w:t> </w:t>
            </w:r>
          </w:p>
        </w:tc>
      </w:tr>
    </w:tbl>
    <w:p w14:paraId="635C52C4" w14:textId="77777777" w:rsidR="00000000" w:rsidRDefault="0053651E">
      <w:pPr>
        <w:pStyle w:val="a3"/>
        <w:spacing w:before="0" w:beforeAutospacing="0" w:after="0" w:afterAutospacing="0"/>
        <w:ind w:left="360"/>
        <w:jc w:val="both"/>
        <w:rPr>
          <w:sz w:val="20"/>
          <w:szCs w:val="20"/>
        </w:rPr>
      </w:pPr>
      <w:r>
        <w:rPr>
          <w:sz w:val="20"/>
          <w:szCs w:val="20"/>
        </w:rPr>
        <w:t> </w:t>
      </w:r>
    </w:p>
    <w:p w14:paraId="67E02056" w14:textId="77777777" w:rsidR="00000000" w:rsidRDefault="0053651E">
      <w:pPr>
        <w:pStyle w:val="a3"/>
        <w:spacing w:before="0" w:beforeAutospacing="0" w:after="0" w:afterAutospacing="0"/>
        <w:ind w:left="360"/>
        <w:jc w:val="both"/>
        <w:rPr>
          <w:sz w:val="20"/>
          <w:szCs w:val="20"/>
        </w:rPr>
      </w:pPr>
      <w:r>
        <w:rPr>
          <w:sz w:val="20"/>
          <w:szCs w:val="20"/>
        </w:rPr>
        <w:t>* Average remaining term includes extensions</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8D6218" w14:textId="77777777">
        <w:trPr>
          <w:tblCellSpacing w:w="0" w:type="dxa"/>
        </w:trPr>
        <w:tc>
          <w:tcPr>
            <w:tcW w:w="360" w:type="dxa"/>
            <w:hideMark/>
          </w:tcPr>
          <w:p w14:paraId="1C457C1B" w14:textId="77777777" w:rsidR="00000000" w:rsidRDefault="0053651E">
            <w:pPr>
              <w:pStyle w:val="a3"/>
              <w:spacing w:before="0" w:beforeAutospacing="0" w:after="0" w:afterAutospacing="0"/>
              <w:jc w:val="both"/>
              <w:rPr>
                <w:sz w:val="20"/>
                <w:szCs w:val="20"/>
              </w:rPr>
            </w:pPr>
            <w:r>
              <w:rPr>
                <w:sz w:val="20"/>
                <w:szCs w:val="20"/>
              </w:rPr>
              <w:t>(1)</w:t>
            </w:r>
          </w:p>
        </w:tc>
        <w:tc>
          <w:tcPr>
            <w:tcW w:w="0" w:type="auto"/>
            <w:hideMark/>
          </w:tcPr>
          <w:p w14:paraId="30B6CAC3" w14:textId="77777777" w:rsidR="00000000" w:rsidRDefault="0053651E">
            <w:pPr>
              <w:pStyle w:val="a3"/>
              <w:spacing w:before="0" w:beforeAutospacing="0" w:after="0" w:afterAutospacing="0"/>
              <w:jc w:val="both"/>
              <w:rPr>
                <w:sz w:val="20"/>
                <w:szCs w:val="20"/>
              </w:rPr>
            </w:pPr>
            <w:r>
              <w:rPr>
                <w:sz w:val="20"/>
                <w:szCs w:val="20"/>
              </w:rPr>
              <w:t>Includes an unsecured term loan of $200.0 million (excluding deferred financing costs of $0.2 million), which is scheduled to mature in August 2020, with a one-year extension option at the joint venture’s discretion, and bears interest at a rate equal to L</w:t>
            </w:r>
            <w:r>
              <w:rPr>
                <w:sz w:val="20"/>
                <w:szCs w:val="20"/>
              </w:rPr>
              <w:t>IBOR plus 1.50% (3.26% at December 31, 2019).</w:t>
            </w:r>
          </w:p>
        </w:tc>
      </w:tr>
    </w:tbl>
    <w:p w14:paraId="1DF928F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A3EC32C" w14:textId="77777777">
        <w:trPr>
          <w:tblCellSpacing w:w="0" w:type="dxa"/>
        </w:trPr>
        <w:tc>
          <w:tcPr>
            <w:tcW w:w="360" w:type="dxa"/>
            <w:hideMark/>
          </w:tcPr>
          <w:p w14:paraId="7AA50AC1" w14:textId="77777777" w:rsidR="00000000" w:rsidRDefault="0053651E">
            <w:pPr>
              <w:pStyle w:val="a3"/>
              <w:spacing w:before="0" w:beforeAutospacing="0" w:after="0" w:afterAutospacing="0"/>
              <w:jc w:val="both"/>
              <w:rPr>
                <w:sz w:val="20"/>
                <w:szCs w:val="20"/>
              </w:rPr>
            </w:pPr>
            <w:r>
              <w:rPr>
                <w:sz w:val="20"/>
                <w:szCs w:val="20"/>
              </w:rPr>
              <w:t>(2)</w:t>
            </w:r>
          </w:p>
        </w:tc>
        <w:tc>
          <w:tcPr>
            <w:tcW w:w="0" w:type="auto"/>
            <w:hideMark/>
          </w:tcPr>
          <w:p w14:paraId="289A8075" w14:textId="77777777" w:rsidR="00000000" w:rsidRDefault="0053651E">
            <w:pPr>
              <w:pStyle w:val="a3"/>
              <w:spacing w:before="0" w:beforeAutospacing="0" w:after="0" w:afterAutospacing="0"/>
              <w:jc w:val="both"/>
              <w:rPr>
                <w:sz w:val="20"/>
                <w:szCs w:val="20"/>
              </w:rPr>
            </w:pPr>
            <w:r>
              <w:rPr>
                <w:sz w:val="20"/>
                <w:szCs w:val="20"/>
              </w:rPr>
              <w:t>Includes an unsecured revolving credit facility which had no outstanding balance at December 31, 2019, which is scheduled to mature in September 2020, with two one-year extension options at the joint vent</w:t>
            </w:r>
            <w:r>
              <w:rPr>
                <w:sz w:val="20"/>
                <w:szCs w:val="20"/>
              </w:rPr>
              <w:t>ure’s discretion, and bears interest at a rate equal to LIBOR plus 1.75% (3.51% at December 31, 2019).</w:t>
            </w:r>
          </w:p>
        </w:tc>
      </w:tr>
    </w:tbl>
    <w:p w14:paraId="64D25170" w14:textId="77777777" w:rsidR="00000000" w:rsidRDefault="0053651E">
      <w:pPr>
        <w:pStyle w:val="a3"/>
        <w:spacing w:before="0" w:beforeAutospacing="0" w:after="0" w:afterAutospacing="0"/>
        <w:ind w:left="720"/>
        <w:jc w:val="both"/>
        <w:rPr>
          <w:sz w:val="20"/>
          <w:szCs w:val="20"/>
        </w:rPr>
      </w:pPr>
      <w:r>
        <w:rPr>
          <w:sz w:val="20"/>
          <w:szCs w:val="20"/>
        </w:rPr>
        <w:t> </w:t>
      </w:r>
    </w:p>
    <w:p w14:paraId="738B2973" w14:textId="77777777" w:rsidR="00000000" w:rsidRDefault="0053651E">
      <w:pPr>
        <w:jc w:val="center"/>
        <w:divId w:val="1878851604"/>
        <w:rPr>
          <w:rFonts w:eastAsia="Times New Roman"/>
          <w:sz w:val="20"/>
          <w:szCs w:val="20"/>
        </w:rPr>
      </w:pPr>
      <w:r>
        <w:rPr>
          <w:rFonts w:eastAsia="Times New Roman"/>
          <w:sz w:val="20"/>
          <w:szCs w:val="20"/>
        </w:rPr>
        <w:t xml:space="preserve">32 </w:t>
      </w:r>
    </w:p>
    <w:p w14:paraId="3CC212F8" w14:textId="77777777" w:rsidR="00000000" w:rsidRDefault="0053651E">
      <w:pPr>
        <w:divId w:val="1878851604"/>
        <w:rPr>
          <w:rFonts w:eastAsia="Times New Roman"/>
          <w:sz w:val="20"/>
          <w:szCs w:val="20"/>
        </w:rPr>
      </w:pPr>
      <w:r>
        <w:rPr>
          <w:rFonts w:eastAsia="Times New Roman"/>
          <w:sz w:val="20"/>
          <w:szCs w:val="20"/>
        </w:rPr>
        <w:pict w14:anchorId="57196D55">
          <v:rect id="_x0000_i1063" style="width:0;height:1.5pt" o:hralign="center" o:hrstd="t" o:hr="t" fillcolor="#a0a0a0" stroked="f"/>
        </w:pict>
      </w:r>
    </w:p>
    <w:p w14:paraId="7C5E8709" w14:textId="77777777" w:rsidR="00000000" w:rsidRDefault="0053651E">
      <w:pPr>
        <w:divId w:val="18788516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16F6765" w14:textId="77777777" w:rsidR="00000000" w:rsidRDefault="0053651E">
      <w:pPr>
        <w:pStyle w:val="a3"/>
        <w:spacing w:before="0" w:beforeAutospacing="0" w:after="0" w:afterAutospacing="0"/>
        <w:rPr>
          <w:sz w:val="20"/>
          <w:szCs w:val="20"/>
        </w:rPr>
      </w:pPr>
      <w:r>
        <w:rPr>
          <w:sz w:val="20"/>
          <w:szCs w:val="20"/>
        </w:rPr>
        <w:t> </w:t>
      </w:r>
    </w:p>
    <w:p w14:paraId="39DE62BC" w14:textId="77777777" w:rsidR="00000000" w:rsidRDefault="0053651E">
      <w:pPr>
        <w:pStyle w:val="a3"/>
        <w:spacing w:before="0" w:beforeAutospacing="0" w:after="0" w:afterAutospacing="0"/>
        <w:ind w:firstLine="360"/>
        <w:jc w:val="both"/>
        <w:rPr>
          <w:sz w:val="20"/>
          <w:szCs w:val="20"/>
        </w:rPr>
      </w:pPr>
      <w:r>
        <w:rPr>
          <w:sz w:val="20"/>
          <w:szCs w:val="20"/>
        </w:rPr>
        <w:t>As of December 31, 2019, these loans had scheduled maturities ranging from two months to 12 years and bore interest at rates ranging from 2.91% to 6.55%. Approximately $146.</w:t>
      </w:r>
      <w:r>
        <w:rPr>
          <w:sz w:val="20"/>
          <w:szCs w:val="20"/>
        </w:rPr>
        <w:t>3 million of the aggregate outstanding loan balances matures in 2020. These maturing loans are anticipated to be repaid with operating cash flows, debt refinancing, unsecured credit facilities, proceeds from sales and partner capital contributions, as deem</w:t>
      </w:r>
      <w:r>
        <w:rPr>
          <w:sz w:val="20"/>
          <w:szCs w:val="20"/>
        </w:rPr>
        <w:t>ed appropriate (see Footnote 7 of the Notes to Consolidated Financial Statements included in this Form 10-K).</w:t>
      </w:r>
    </w:p>
    <w:p w14:paraId="237EA65B" w14:textId="77777777" w:rsidR="00000000" w:rsidRDefault="0053651E">
      <w:pPr>
        <w:pStyle w:val="a3"/>
        <w:spacing w:before="0" w:beforeAutospacing="0" w:after="0" w:afterAutospacing="0"/>
        <w:ind w:firstLine="360"/>
        <w:rPr>
          <w:sz w:val="20"/>
          <w:szCs w:val="20"/>
        </w:rPr>
      </w:pPr>
      <w:r>
        <w:rPr>
          <w:i/>
          <w:iCs/>
          <w:sz w:val="20"/>
          <w:szCs w:val="20"/>
        </w:rPr>
        <w:t> </w:t>
      </w:r>
    </w:p>
    <w:p w14:paraId="4CC0C5A7" w14:textId="77777777" w:rsidR="00000000" w:rsidRDefault="0053651E">
      <w:pPr>
        <w:pStyle w:val="a3"/>
        <w:spacing w:before="0" w:beforeAutospacing="0" w:after="0" w:afterAutospacing="0"/>
        <w:ind w:firstLine="360"/>
        <w:rPr>
          <w:sz w:val="20"/>
          <w:szCs w:val="20"/>
        </w:rPr>
      </w:pPr>
      <w:r>
        <w:rPr>
          <w:i/>
          <w:iCs/>
          <w:sz w:val="20"/>
          <w:szCs w:val="20"/>
        </w:rPr>
        <w:t>Other Real Estate Investments</w:t>
      </w:r>
    </w:p>
    <w:p w14:paraId="1A6B7448" w14:textId="77777777" w:rsidR="00000000" w:rsidRDefault="0053651E">
      <w:pPr>
        <w:pStyle w:val="a3"/>
        <w:spacing w:before="0" w:beforeAutospacing="0" w:after="0" w:afterAutospacing="0"/>
        <w:ind w:firstLine="360"/>
        <w:jc w:val="both"/>
        <w:rPr>
          <w:sz w:val="20"/>
          <w:szCs w:val="20"/>
        </w:rPr>
      </w:pPr>
      <w:r>
        <w:rPr>
          <w:sz w:val="20"/>
          <w:szCs w:val="20"/>
        </w:rPr>
        <w:t> </w:t>
      </w:r>
    </w:p>
    <w:p w14:paraId="2758B51D" w14:textId="77777777" w:rsidR="00000000" w:rsidRDefault="0053651E">
      <w:pPr>
        <w:pStyle w:val="a3"/>
        <w:spacing w:before="0" w:beforeAutospacing="0" w:after="0" w:afterAutospacing="0"/>
        <w:ind w:firstLine="360"/>
        <w:jc w:val="both"/>
        <w:rPr>
          <w:sz w:val="20"/>
          <w:szCs w:val="20"/>
        </w:rPr>
      </w:pPr>
      <w:r>
        <w:rPr>
          <w:sz w:val="20"/>
          <w:szCs w:val="20"/>
        </w:rPr>
        <w:t>The Company previously provided capital to owners and developers of real estate properties through its Preferred</w:t>
      </w:r>
      <w:r>
        <w:rPr>
          <w:sz w:val="20"/>
          <w:szCs w:val="20"/>
        </w:rPr>
        <w:t xml:space="preserve"> Equity Program. As of December 31, 2019, the Company’s net investment under the Preferred Equity Program was $175.3 million relating to 240 properties, including 230 net leased properties. As of December 31, 2019, these preferred equity investment propert</w:t>
      </w:r>
      <w:r>
        <w:rPr>
          <w:sz w:val="20"/>
          <w:szCs w:val="20"/>
        </w:rPr>
        <w:t>ies had individual non-recourse mortgage loans aggregating $226.8 million (excluding fair market value of debt adjustments aggregating $9.3 million). These loans have scheduled maturities ranging from seven months to five years and bear interest at rates r</w:t>
      </w:r>
      <w:r>
        <w:rPr>
          <w:sz w:val="20"/>
          <w:szCs w:val="20"/>
        </w:rPr>
        <w:t xml:space="preserve">anging from 4.19% to 10.47%. Due to the Company’s preferred position in these investments, the Company’s share of each investment is subject to fluctuation and is dependent upon property cash flows. The Company’s maximum exposure to losses associated with </w:t>
      </w:r>
      <w:r>
        <w:rPr>
          <w:sz w:val="20"/>
          <w:szCs w:val="20"/>
        </w:rPr>
        <w:t>its preferred equity investments is limited to its invested capital.</w:t>
      </w:r>
    </w:p>
    <w:p w14:paraId="1128F3E7" w14:textId="77777777" w:rsidR="00000000" w:rsidRDefault="0053651E">
      <w:pPr>
        <w:pStyle w:val="a3"/>
        <w:spacing w:before="0" w:beforeAutospacing="0" w:after="0" w:afterAutospacing="0"/>
        <w:ind w:firstLine="360"/>
        <w:jc w:val="both"/>
        <w:rPr>
          <w:sz w:val="20"/>
          <w:szCs w:val="20"/>
        </w:rPr>
      </w:pPr>
      <w:r>
        <w:rPr>
          <w:sz w:val="20"/>
          <w:szCs w:val="20"/>
        </w:rPr>
        <w:t> </w:t>
      </w:r>
    </w:p>
    <w:p w14:paraId="6B219AA4" w14:textId="77777777" w:rsidR="00000000" w:rsidRDefault="0053651E">
      <w:pPr>
        <w:pStyle w:val="a3"/>
        <w:spacing w:before="0" w:beforeAutospacing="0" w:after="0" w:afterAutospacing="0"/>
        <w:ind w:firstLine="360"/>
        <w:rPr>
          <w:sz w:val="20"/>
          <w:szCs w:val="20"/>
        </w:rPr>
      </w:pPr>
      <w:r>
        <w:rPr>
          <w:sz w:val="20"/>
          <w:szCs w:val="20"/>
          <w:u w:val="single"/>
        </w:rPr>
        <w:t>Funds From Operations</w:t>
      </w:r>
    </w:p>
    <w:p w14:paraId="0336687D" w14:textId="77777777" w:rsidR="00000000" w:rsidRDefault="0053651E">
      <w:pPr>
        <w:pStyle w:val="a3"/>
        <w:spacing w:before="0" w:beforeAutospacing="0" w:after="0" w:afterAutospacing="0"/>
        <w:jc w:val="both"/>
        <w:rPr>
          <w:sz w:val="20"/>
          <w:szCs w:val="20"/>
        </w:rPr>
      </w:pPr>
      <w:r>
        <w:rPr>
          <w:sz w:val="20"/>
          <w:szCs w:val="20"/>
        </w:rPr>
        <w:t> </w:t>
      </w:r>
    </w:p>
    <w:p w14:paraId="59532DE5" w14:textId="77777777" w:rsidR="00000000" w:rsidRDefault="0053651E">
      <w:pPr>
        <w:pStyle w:val="a3"/>
        <w:spacing w:before="0" w:beforeAutospacing="0" w:after="0" w:afterAutospacing="0"/>
        <w:ind w:firstLine="360"/>
        <w:jc w:val="both"/>
        <w:rPr>
          <w:sz w:val="20"/>
          <w:szCs w:val="20"/>
        </w:rPr>
      </w:pPr>
      <w:r>
        <w:rPr>
          <w:sz w:val="20"/>
          <w:szCs w:val="20"/>
        </w:rPr>
        <w:t>Funds From Operations (“FFO”) is a supplemental non-GAAP financial measure utilized to evaluate the operating performance of real estate companies. In December 2</w:t>
      </w:r>
      <w:r>
        <w:rPr>
          <w:sz w:val="20"/>
          <w:szCs w:val="20"/>
        </w:rPr>
        <w:t>018, the NAREIT issued “NAREIT Funds From Operations White Paper – 2018 Restatement” (the "FFO 2018 Restatement") which clarifies, where necessary, existing guidance and consolidates alerts and policy bulletins into a single document for ease of use.  NARE</w:t>
      </w:r>
      <w:r>
        <w:rPr>
          <w:sz w:val="20"/>
          <w:szCs w:val="20"/>
        </w:rPr>
        <w:t>IT defines FFO as net income/(loss) available to the Company’s common shareholders computed in accordance with GAAP, excluding (i) depreciation and amortization related to real estate, (ii) gains or losses from sales of certain real estate assets, (iii) ga</w:t>
      </w:r>
      <w:r>
        <w:rPr>
          <w:sz w:val="20"/>
          <w:szCs w:val="20"/>
        </w:rPr>
        <w:t xml:space="preserve">ins and losses from change in control, (iv) impairment write-downs of certain real estate assets and investments in entities when the impairment is directly attributable to decreases in the value of depreciable real estate held by the entity and (v) after </w:t>
      </w:r>
      <w:r>
        <w:rPr>
          <w:sz w:val="20"/>
          <w:szCs w:val="20"/>
        </w:rPr>
        <w:t>adjustments for unconsolidated partnerships and joint ventures calculated to reflect FFO on the same basis. Included in the FFO 2018 Restatement is an option for the Company to make an election to include or exclude gains and losses on the sale of assets a</w:t>
      </w:r>
      <w:r>
        <w:rPr>
          <w:sz w:val="20"/>
          <w:szCs w:val="20"/>
        </w:rPr>
        <w:t>nd impairments of assets incidental to its main business in the calculation of FFO. The main business of a REIT is acquiring, owning, operating, developing and redeveloping real estate in conjunction with its rental of real estate.  Incidental assets may i</w:t>
      </w:r>
      <w:r>
        <w:rPr>
          <w:sz w:val="20"/>
          <w:szCs w:val="20"/>
        </w:rPr>
        <w:t>nclude, but are not limited to, land peripheral to operating properties, property developed for sale, and securities. The FFO 2018 Restatement is effective for annual periods beginning after December 31, 2018 and interim periods reported within those perio</w:t>
      </w:r>
      <w:r>
        <w:rPr>
          <w:sz w:val="20"/>
          <w:szCs w:val="20"/>
        </w:rPr>
        <w:t>ds.</w:t>
      </w:r>
    </w:p>
    <w:p w14:paraId="671483A8" w14:textId="77777777" w:rsidR="00000000" w:rsidRDefault="0053651E">
      <w:pPr>
        <w:pStyle w:val="a3"/>
        <w:spacing w:before="0" w:beforeAutospacing="0" w:after="0" w:afterAutospacing="0"/>
        <w:ind w:firstLine="360"/>
        <w:jc w:val="both"/>
        <w:rPr>
          <w:sz w:val="20"/>
          <w:szCs w:val="20"/>
        </w:rPr>
      </w:pPr>
      <w:r>
        <w:rPr>
          <w:sz w:val="20"/>
          <w:szCs w:val="20"/>
        </w:rPr>
        <w:t> </w:t>
      </w:r>
    </w:p>
    <w:p w14:paraId="190BB03B" w14:textId="77777777" w:rsidR="00000000" w:rsidRDefault="0053651E">
      <w:pPr>
        <w:pStyle w:val="a3"/>
        <w:spacing w:before="0" w:beforeAutospacing="0" w:after="0" w:afterAutospacing="0"/>
        <w:ind w:firstLine="360"/>
        <w:jc w:val="both"/>
        <w:rPr>
          <w:sz w:val="20"/>
          <w:szCs w:val="20"/>
        </w:rPr>
      </w:pPr>
      <w:r>
        <w:rPr>
          <w:sz w:val="20"/>
          <w:szCs w:val="20"/>
        </w:rPr>
        <w:t>As a result of adopting the FFO 2018 Restatement, the Company has elected to exclude gains and losses on the sale of assets and impairments of assets incidental to its main business and to exclude mark-to-market changes in value of its equity securities in</w:t>
      </w:r>
      <w:r>
        <w:rPr>
          <w:sz w:val="20"/>
          <w:szCs w:val="20"/>
        </w:rPr>
        <w:t xml:space="preserve"> calculating FFO. As such, the Company will no longer include gains/impairments on land parcels, gains/losses (realized or unrealized) from marketable securities or gains/impairments on preferred equity participations in NAREIT defined FFO.</w:t>
      </w:r>
    </w:p>
    <w:p w14:paraId="707485FF" w14:textId="77777777" w:rsidR="00000000" w:rsidRDefault="0053651E">
      <w:pPr>
        <w:pStyle w:val="a3"/>
        <w:spacing w:before="0" w:beforeAutospacing="0" w:after="0" w:afterAutospacing="0"/>
        <w:ind w:firstLine="360"/>
        <w:jc w:val="both"/>
        <w:rPr>
          <w:sz w:val="20"/>
          <w:szCs w:val="20"/>
        </w:rPr>
      </w:pPr>
      <w:r>
        <w:rPr>
          <w:sz w:val="20"/>
          <w:szCs w:val="20"/>
        </w:rPr>
        <w:t> </w:t>
      </w:r>
    </w:p>
    <w:p w14:paraId="41457B2D" w14:textId="77777777" w:rsidR="00000000" w:rsidRDefault="0053651E">
      <w:pPr>
        <w:pStyle w:val="a3"/>
        <w:spacing w:before="0" w:beforeAutospacing="0" w:after="0" w:afterAutospacing="0"/>
        <w:ind w:firstLine="360"/>
        <w:jc w:val="both"/>
        <w:rPr>
          <w:sz w:val="20"/>
          <w:szCs w:val="20"/>
        </w:rPr>
      </w:pPr>
      <w:r>
        <w:rPr>
          <w:sz w:val="20"/>
          <w:szCs w:val="20"/>
        </w:rPr>
        <w:t>The Company p</w:t>
      </w:r>
      <w:r>
        <w:rPr>
          <w:sz w:val="20"/>
          <w:szCs w:val="20"/>
        </w:rPr>
        <w:t>resents FFO available to the Company’s common shareholders as it considers it an important supplemental measure of our operating performance and believes it is frequently used by securities analysts, investors and other interested parties in the evaluation</w:t>
      </w:r>
      <w:r>
        <w:rPr>
          <w:sz w:val="20"/>
          <w:szCs w:val="20"/>
        </w:rPr>
        <w:t xml:space="preserve"> of REITs, many of which present FFO available to the Company’s common shareholders when reporting results. Comparison of our presentation of FFO available to the Company’s common shareholders to similarly titled measures for other REITs may not necessaril</w:t>
      </w:r>
      <w:r>
        <w:rPr>
          <w:sz w:val="20"/>
          <w:szCs w:val="20"/>
        </w:rPr>
        <w:t>y be meaningful due to possible differences in the application of the NAREIT definition used by such REITs.</w:t>
      </w:r>
    </w:p>
    <w:p w14:paraId="21934AC9" w14:textId="77777777" w:rsidR="00000000" w:rsidRDefault="0053651E">
      <w:pPr>
        <w:pStyle w:val="a3"/>
        <w:spacing w:before="0" w:beforeAutospacing="0" w:after="0" w:afterAutospacing="0"/>
        <w:ind w:firstLine="360"/>
        <w:jc w:val="both"/>
        <w:rPr>
          <w:sz w:val="20"/>
          <w:szCs w:val="20"/>
        </w:rPr>
      </w:pPr>
      <w:r>
        <w:rPr>
          <w:sz w:val="20"/>
          <w:szCs w:val="20"/>
        </w:rPr>
        <w:t> </w:t>
      </w:r>
    </w:p>
    <w:p w14:paraId="2AA8C7E7" w14:textId="77777777" w:rsidR="00000000" w:rsidRDefault="0053651E">
      <w:pPr>
        <w:pStyle w:val="a3"/>
        <w:spacing w:before="0" w:beforeAutospacing="0" w:after="0" w:afterAutospacing="0"/>
        <w:ind w:firstLine="360"/>
        <w:jc w:val="both"/>
        <w:rPr>
          <w:sz w:val="20"/>
          <w:szCs w:val="20"/>
        </w:rPr>
      </w:pPr>
      <w:r>
        <w:rPr>
          <w:sz w:val="20"/>
          <w:szCs w:val="20"/>
        </w:rPr>
        <w:t xml:space="preserve">The Company also presents FFO available to the Company’s common shareholders as adjusted as an additional supplemental measure, as it believes it </w:t>
      </w:r>
      <w:r>
        <w:rPr>
          <w:sz w:val="20"/>
          <w:szCs w:val="20"/>
        </w:rPr>
        <w:t>is more reflective of its core operating performance and provides investors and analysts an additional measure to compare the Company’s performance across reporting periods on a consistent basis by excluding items that we do not believe are indicative of o</w:t>
      </w:r>
      <w:r>
        <w:rPr>
          <w:sz w:val="20"/>
          <w:szCs w:val="20"/>
        </w:rPr>
        <w:t>ur core operating performance. FFO available to the Company’s common shareholders as adjusted is generally calculated by the Company as FFO available to the Company’s common shareholders excluding certain transactional income and expenses and non-operating</w:t>
      </w:r>
      <w:r>
        <w:rPr>
          <w:sz w:val="20"/>
          <w:szCs w:val="20"/>
        </w:rPr>
        <w:t xml:space="preserve"> impairments, which management believes are not reflective of the results within the Company’s operating real estate portfolio.</w:t>
      </w:r>
    </w:p>
    <w:p w14:paraId="2809BC51" w14:textId="77777777" w:rsidR="00000000" w:rsidRDefault="0053651E">
      <w:pPr>
        <w:pStyle w:val="a3"/>
        <w:spacing w:before="0" w:beforeAutospacing="0" w:after="0" w:afterAutospacing="0"/>
        <w:ind w:firstLine="360"/>
        <w:jc w:val="both"/>
        <w:rPr>
          <w:sz w:val="20"/>
          <w:szCs w:val="20"/>
        </w:rPr>
      </w:pPr>
      <w:r>
        <w:rPr>
          <w:sz w:val="20"/>
          <w:szCs w:val="20"/>
        </w:rPr>
        <w:t> </w:t>
      </w:r>
    </w:p>
    <w:p w14:paraId="188A2946" w14:textId="77777777" w:rsidR="00000000" w:rsidRDefault="0053651E">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performance, which does not represent cas</w:t>
      </w:r>
      <w:r>
        <w:rPr>
          <w:sz w:val="20"/>
          <w:szCs w:val="20"/>
        </w:rPr>
        <w:t>h generated from operating activities in accordance with GAAP and therefore should not be considered an alternative for net income or cash flows from operations as a measure of liquidity.  Our method of calculating FFO available to the Company’s common sha</w:t>
      </w:r>
      <w:r>
        <w:rPr>
          <w:sz w:val="20"/>
          <w:szCs w:val="20"/>
        </w:rPr>
        <w:t>reholders and FFO available to the Company’s common shareholders as adjusted may be different from methods used by other REITs and, accordingly, may not be comparable to such other REITs.</w:t>
      </w:r>
    </w:p>
    <w:p w14:paraId="075E1E9A" w14:textId="77777777" w:rsidR="00000000" w:rsidRDefault="0053651E">
      <w:pPr>
        <w:pStyle w:val="a3"/>
        <w:spacing w:before="0" w:beforeAutospacing="0" w:after="0" w:afterAutospacing="0"/>
        <w:ind w:firstLine="360"/>
        <w:jc w:val="both"/>
        <w:rPr>
          <w:sz w:val="20"/>
          <w:szCs w:val="20"/>
        </w:rPr>
      </w:pPr>
      <w:r>
        <w:rPr>
          <w:sz w:val="20"/>
          <w:szCs w:val="20"/>
        </w:rPr>
        <w:t> </w:t>
      </w:r>
    </w:p>
    <w:p w14:paraId="40C8A7F4" w14:textId="77777777" w:rsidR="00000000" w:rsidRDefault="0053651E">
      <w:pPr>
        <w:jc w:val="center"/>
        <w:divId w:val="390078874"/>
        <w:rPr>
          <w:rFonts w:eastAsia="Times New Roman"/>
          <w:sz w:val="20"/>
          <w:szCs w:val="20"/>
        </w:rPr>
      </w:pPr>
      <w:r>
        <w:rPr>
          <w:rFonts w:eastAsia="Times New Roman"/>
          <w:sz w:val="20"/>
          <w:szCs w:val="20"/>
        </w:rPr>
        <w:t xml:space="preserve">33 </w:t>
      </w:r>
    </w:p>
    <w:p w14:paraId="6CE00358" w14:textId="77777777" w:rsidR="00000000" w:rsidRDefault="0053651E">
      <w:pPr>
        <w:divId w:val="390078874"/>
        <w:rPr>
          <w:rFonts w:eastAsia="Times New Roman"/>
          <w:sz w:val="20"/>
          <w:szCs w:val="20"/>
        </w:rPr>
      </w:pPr>
      <w:r>
        <w:rPr>
          <w:rFonts w:eastAsia="Times New Roman"/>
          <w:sz w:val="20"/>
          <w:szCs w:val="20"/>
        </w:rPr>
        <w:pict w14:anchorId="05842E60">
          <v:rect id="_x0000_i1064" style="width:0;height:1.5pt" o:hralign="center" o:hrstd="t" o:hr="t" fillcolor="#a0a0a0" stroked="f"/>
        </w:pict>
      </w:r>
    </w:p>
    <w:p w14:paraId="68ED40A6" w14:textId="77777777" w:rsidR="00000000" w:rsidRDefault="0053651E">
      <w:pPr>
        <w:divId w:val="3900788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0D61FE8" w14:textId="77777777" w:rsidR="00000000" w:rsidRDefault="0053651E">
      <w:pPr>
        <w:pStyle w:val="a3"/>
        <w:spacing w:before="0" w:beforeAutospacing="0" w:after="0" w:afterAutospacing="0"/>
        <w:rPr>
          <w:sz w:val="20"/>
          <w:szCs w:val="20"/>
        </w:rPr>
      </w:pPr>
      <w:r>
        <w:rPr>
          <w:sz w:val="20"/>
          <w:szCs w:val="20"/>
        </w:rPr>
        <w:t> </w:t>
      </w:r>
    </w:p>
    <w:p w14:paraId="6192EDEE" w14:textId="77777777" w:rsidR="00000000" w:rsidRDefault="0053651E">
      <w:pPr>
        <w:pStyle w:val="a3"/>
        <w:spacing w:before="0" w:beforeAutospacing="0" w:after="0" w:afterAutospacing="0"/>
        <w:ind w:firstLine="360"/>
        <w:jc w:val="both"/>
        <w:rPr>
          <w:sz w:val="20"/>
          <w:szCs w:val="20"/>
        </w:rPr>
      </w:pPr>
      <w:r>
        <w:rPr>
          <w:sz w:val="20"/>
          <w:szCs w:val="20"/>
        </w:rPr>
        <w:t>The Company’s reconciliation of net income available to the Company’s common shareholders to FFO available to the Company’s common shareholders and FFO available to the Company’s common shareholders as adjusted, is reflected in the tab</w:t>
      </w:r>
      <w:r>
        <w:rPr>
          <w:sz w:val="20"/>
          <w:szCs w:val="20"/>
        </w:rPr>
        <w:t>le below (in thousands, except per share data). In conjunction with the adoption of the FFO 2018 Restatement, the Company has reclassified $3.4 million from transactional expense and $10.9 million from transactional income into FFO available to the Company</w:t>
      </w:r>
      <w:r>
        <w:rPr>
          <w:sz w:val="20"/>
          <w:szCs w:val="20"/>
        </w:rPr>
        <w:t xml:space="preserve">’s common shareholders for the three months and year ended December 31, 2018, respectively, relating to incidental gains and losses on the sale of assets and mark-to-market changes in equity securities. This reclassification had no impact on FFO available </w:t>
      </w:r>
      <w:r>
        <w:rPr>
          <w:sz w:val="20"/>
          <w:szCs w:val="20"/>
        </w:rPr>
        <w:t>to the Company’s common shareholders as adjusted for the three months and year ended December 31, 2018.</w:t>
      </w:r>
    </w:p>
    <w:p w14:paraId="5CBEBDF8"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594C6068" w14:textId="77777777">
        <w:trPr>
          <w:tblCellSpacing w:w="0" w:type="dxa"/>
        </w:trPr>
        <w:tc>
          <w:tcPr>
            <w:tcW w:w="0" w:type="auto"/>
            <w:vAlign w:val="bottom"/>
            <w:hideMark/>
          </w:tcPr>
          <w:p w14:paraId="1C8AAC4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EFF3FAA"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13A0E82" w14:textId="77777777" w:rsidR="00000000" w:rsidRDefault="0053651E">
            <w:pPr>
              <w:pStyle w:val="a3"/>
              <w:spacing w:before="0" w:beforeAutospacing="0" w:after="0" w:afterAutospacing="0"/>
              <w:jc w:val="center"/>
              <w:rPr>
                <w:sz w:val="20"/>
                <w:szCs w:val="20"/>
              </w:rPr>
            </w:pPr>
            <w:r>
              <w:rPr>
                <w:b/>
                <w:bCs/>
                <w:sz w:val="20"/>
                <w:szCs w:val="20"/>
              </w:rPr>
              <w:t>Three Months Ended</w:t>
            </w:r>
          </w:p>
          <w:p w14:paraId="5B4B8271"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AD8149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E9A17FA"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896C43D" w14:textId="77777777" w:rsidR="00000000" w:rsidRDefault="0053651E">
            <w:pPr>
              <w:pStyle w:val="a3"/>
              <w:spacing w:before="0" w:beforeAutospacing="0" w:after="0" w:afterAutospacing="0"/>
              <w:jc w:val="center"/>
              <w:rPr>
                <w:sz w:val="20"/>
                <w:szCs w:val="20"/>
              </w:rPr>
            </w:pPr>
            <w:r>
              <w:rPr>
                <w:b/>
                <w:bCs/>
                <w:sz w:val="20"/>
                <w:szCs w:val="20"/>
              </w:rPr>
              <w:t>Year Ended</w:t>
            </w:r>
          </w:p>
          <w:p w14:paraId="1AF319A6"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B2BC5B3" w14:textId="77777777" w:rsidR="00000000" w:rsidRDefault="0053651E">
            <w:pPr>
              <w:rPr>
                <w:rFonts w:eastAsia="Times New Roman"/>
                <w:sz w:val="20"/>
                <w:szCs w:val="20"/>
              </w:rPr>
            </w:pPr>
            <w:r>
              <w:rPr>
                <w:rFonts w:eastAsia="Times New Roman"/>
                <w:sz w:val="20"/>
                <w:szCs w:val="20"/>
              </w:rPr>
              <w:t> </w:t>
            </w:r>
          </w:p>
        </w:tc>
      </w:tr>
      <w:tr w:rsidR="00000000" w14:paraId="3B594343" w14:textId="77777777">
        <w:trPr>
          <w:tblCellSpacing w:w="0" w:type="dxa"/>
        </w:trPr>
        <w:tc>
          <w:tcPr>
            <w:tcW w:w="0" w:type="auto"/>
            <w:vAlign w:val="bottom"/>
            <w:hideMark/>
          </w:tcPr>
          <w:p w14:paraId="621B63B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FCCB5C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664E68"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EDAF80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16ABF6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73D7A22"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C83282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EA8CDD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CED913E"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0E9ACB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F940DB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DDE535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530C745" w14:textId="77777777" w:rsidR="00000000" w:rsidRDefault="0053651E">
            <w:pPr>
              <w:rPr>
                <w:rFonts w:eastAsia="Times New Roman"/>
                <w:sz w:val="20"/>
                <w:szCs w:val="20"/>
              </w:rPr>
            </w:pPr>
            <w:r>
              <w:rPr>
                <w:rFonts w:eastAsia="Times New Roman"/>
                <w:sz w:val="20"/>
                <w:szCs w:val="20"/>
              </w:rPr>
              <w:t> </w:t>
            </w:r>
          </w:p>
        </w:tc>
      </w:tr>
      <w:tr w:rsidR="00000000" w14:paraId="08F27FF6" w14:textId="77777777">
        <w:trPr>
          <w:tblCellSpacing w:w="0" w:type="dxa"/>
        </w:trPr>
        <w:tc>
          <w:tcPr>
            <w:tcW w:w="2600" w:type="pct"/>
            <w:shd w:val="clear" w:color="auto" w:fill="CCEEFF"/>
            <w:vAlign w:val="bottom"/>
            <w:hideMark/>
          </w:tcPr>
          <w:p w14:paraId="6A7626B9" w14:textId="77777777" w:rsidR="00000000" w:rsidRDefault="0053651E">
            <w:pPr>
              <w:pStyle w:val="a3"/>
              <w:spacing w:before="0" w:beforeAutospacing="0" w:after="0" w:afterAutospacing="0"/>
              <w:rPr>
                <w:sz w:val="20"/>
                <w:szCs w:val="20"/>
              </w:rPr>
            </w:pPr>
            <w:r>
              <w:rPr>
                <w:b/>
                <w:bCs/>
                <w:sz w:val="20"/>
                <w:szCs w:val="20"/>
              </w:rPr>
              <w:t>Net income available to the Company’s common shareholders</w:t>
            </w:r>
          </w:p>
        </w:tc>
        <w:tc>
          <w:tcPr>
            <w:tcW w:w="50" w:type="pct"/>
            <w:shd w:val="clear" w:color="auto" w:fill="CCEEFF"/>
            <w:vAlign w:val="bottom"/>
            <w:hideMark/>
          </w:tcPr>
          <w:p w14:paraId="51B868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950DD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3340CC25" w14:textId="77777777" w:rsidR="00000000" w:rsidRDefault="0053651E">
            <w:pPr>
              <w:jc w:val="right"/>
              <w:rPr>
                <w:rFonts w:eastAsia="Times New Roman"/>
                <w:sz w:val="20"/>
                <w:szCs w:val="20"/>
              </w:rPr>
            </w:pPr>
            <w:r>
              <w:rPr>
                <w:rFonts w:eastAsia="Times New Roman"/>
                <w:sz w:val="20"/>
                <w:szCs w:val="20"/>
              </w:rPr>
              <w:t>92,812</w:t>
            </w:r>
          </w:p>
        </w:tc>
        <w:tc>
          <w:tcPr>
            <w:tcW w:w="50" w:type="pct"/>
            <w:shd w:val="clear" w:color="auto" w:fill="CCEEFF"/>
            <w:vAlign w:val="bottom"/>
            <w:hideMark/>
          </w:tcPr>
          <w:p w14:paraId="57E475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D2D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39459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B2ED22B" w14:textId="77777777" w:rsidR="00000000" w:rsidRDefault="0053651E">
            <w:pPr>
              <w:jc w:val="right"/>
              <w:rPr>
                <w:rFonts w:eastAsia="Times New Roman"/>
                <w:sz w:val="20"/>
                <w:szCs w:val="20"/>
              </w:rPr>
            </w:pPr>
            <w:r>
              <w:rPr>
                <w:rFonts w:eastAsia="Times New Roman"/>
                <w:sz w:val="20"/>
                <w:szCs w:val="20"/>
              </w:rPr>
              <w:t>73,627</w:t>
            </w:r>
          </w:p>
        </w:tc>
        <w:tc>
          <w:tcPr>
            <w:tcW w:w="50" w:type="pct"/>
            <w:shd w:val="clear" w:color="auto" w:fill="CCEEFF"/>
            <w:vAlign w:val="bottom"/>
            <w:hideMark/>
          </w:tcPr>
          <w:p w14:paraId="4E41BD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17C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E20FC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1383C72B" w14:textId="77777777" w:rsidR="00000000" w:rsidRDefault="0053651E">
            <w:pPr>
              <w:jc w:val="right"/>
              <w:rPr>
                <w:rFonts w:eastAsia="Times New Roman"/>
                <w:sz w:val="20"/>
                <w:szCs w:val="20"/>
              </w:rPr>
            </w:pPr>
            <w:r>
              <w:rPr>
                <w:rFonts w:eastAsia="Times New Roman"/>
                <w:sz w:val="20"/>
                <w:szCs w:val="20"/>
              </w:rPr>
              <w:t>339,988</w:t>
            </w:r>
          </w:p>
        </w:tc>
        <w:tc>
          <w:tcPr>
            <w:tcW w:w="50" w:type="pct"/>
            <w:shd w:val="clear" w:color="auto" w:fill="CCEEFF"/>
            <w:vAlign w:val="bottom"/>
            <w:hideMark/>
          </w:tcPr>
          <w:p w14:paraId="417C84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045C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69031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A90C74" w14:textId="77777777" w:rsidR="00000000" w:rsidRDefault="0053651E">
            <w:pPr>
              <w:jc w:val="right"/>
              <w:rPr>
                <w:rFonts w:eastAsia="Times New Roman"/>
                <w:sz w:val="20"/>
                <w:szCs w:val="20"/>
              </w:rPr>
            </w:pPr>
            <w:r>
              <w:rPr>
                <w:rFonts w:eastAsia="Times New Roman"/>
                <w:sz w:val="20"/>
                <w:szCs w:val="20"/>
              </w:rPr>
              <w:t>439,604</w:t>
            </w:r>
          </w:p>
        </w:tc>
        <w:tc>
          <w:tcPr>
            <w:tcW w:w="50" w:type="pct"/>
            <w:shd w:val="clear" w:color="auto" w:fill="CCEEFF"/>
            <w:vAlign w:val="bottom"/>
            <w:hideMark/>
          </w:tcPr>
          <w:p w14:paraId="424FC2D7" w14:textId="77777777" w:rsidR="00000000" w:rsidRDefault="0053651E">
            <w:pPr>
              <w:rPr>
                <w:rFonts w:eastAsia="Times New Roman"/>
                <w:sz w:val="20"/>
                <w:szCs w:val="20"/>
              </w:rPr>
            </w:pPr>
            <w:r>
              <w:rPr>
                <w:rFonts w:eastAsia="Times New Roman"/>
                <w:sz w:val="20"/>
                <w:szCs w:val="20"/>
              </w:rPr>
              <w:t> </w:t>
            </w:r>
          </w:p>
        </w:tc>
      </w:tr>
      <w:tr w:rsidR="00000000" w14:paraId="795391BB" w14:textId="77777777">
        <w:trPr>
          <w:tblCellSpacing w:w="0" w:type="dxa"/>
        </w:trPr>
        <w:tc>
          <w:tcPr>
            <w:tcW w:w="0" w:type="auto"/>
            <w:shd w:val="clear" w:color="auto" w:fill="FFFFFF"/>
            <w:vAlign w:val="bottom"/>
            <w:hideMark/>
          </w:tcPr>
          <w:p w14:paraId="5A23A947" w14:textId="77777777" w:rsidR="00000000" w:rsidRDefault="0053651E">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2521E9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02E6E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760523C" w14:textId="77777777" w:rsidR="00000000" w:rsidRDefault="0053651E">
            <w:pPr>
              <w:jc w:val="right"/>
              <w:rPr>
                <w:rFonts w:eastAsia="Times New Roman"/>
                <w:sz w:val="20"/>
                <w:szCs w:val="20"/>
              </w:rPr>
            </w:pPr>
            <w:r>
              <w:rPr>
                <w:rFonts w:eastAsia="Times New Roman"/>
                <w:sz w:val="20"/>
                <w:szCs w:val="20"/>
              </w:rPr>
              <w:t>(31,836</w:t>
            </w:r>
          </w:p>
        </w:tc>
        <w:tc>
          <w:tcPr>
            <w:tcW w:w="50" w:type="pct"/>
            <w:shd w:val="clear" w:color="auto" w:fill="FFFFFF"/>
            <w:vAlign w:val="bottom"/>
            <w:hideMark/>
          </w:tcPr>
          <w:p w14:paraId="153F6B0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CF93A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39429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BB57F7" w14:textId="77777777" w:rsidR="00000000" w:rsidRDefault="0053651E">
            <w:pPr>
              <w:jc w:val="right"/>
              <w:rPr>
                <w:rFonts w:eastAsia="Times New Roman"/>
                <w:sz w:val="20"/>
                <w:szCs w:val="20"/>
              </w:rPr>
            </w:pPr>
            <w:r>
              <w:rPr>
                <w:rFonts w:eastAsia="Times New Roman"/>
                <w:sz w:val="20"/>
                <w:szCs w:val="20"/>
              </w:rPr>
              <w:t>(49,369</w:t>
            </w:r>
          </w:p>
        </w:tc>
        <w:tc>
          <w:tcPr>
            <w:tcW w:w="50" w:type="pct"/>
            <w:shd w:val="clear" w:color="auto" w:fill="FFFFFF"/>
            <w:vAlign w:val="bottom"/>
            <w:hideMark/>
          </w:tcPr>
          <w:p w14:paraId="012A8DC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88DC6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FBD04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4732F14"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14:paraId="11E1FDF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5D7BA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24F0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F3F8063" w14:textId="77777777" w:rsidR="00000000" w:rsidRDefault="0053651E">
            <w:pPr>
              <w:jc w:val="right"/>
              <w:rPr>
                <w:rFonts w:eastAsia="Times New Roman"/>
                <w:sz w:val="20"/>
                <w:szCs w:val="20"/>
              </w:rPr>
            </w:pPr>
            <w:r>
              <w:rPr>
                <w:rFonts w:eastAsia="Times New Roman"/>
                <w:sz w:val="20"/>
                <w:szCs w:val="20"/>
              </w:rPr>
              <w:t>(236,058</w:t>
            </w:r>
          </w:p>
        </w:tc>
        <w:tc>
          <w:tcPr>
            <w:tcW w:w="50" w:type="pct"/>
            <w:shd w:val="clear" w:color="auto" w:fill="FFFFFF"/>
            <w:vAlign w:val="bottom"/>
            <w:hideMark/>
          </w:tcPr>
          <w:p w14:paraId="622D278F" w14:textId="77777777" w:rsidR="00000000" w:rsidRDefault="0053651E">
            <w:pPr>
              <w:rPr>
                <w:rFonts w:eastAsia="Times New Roman"/>
                <w:sz w:val="20"/>
                <w:szCs w:val="20"/>
              </w:rPr>
            </w:pPr>
            <w:r>
              <w:rPr>
                <w:rFonts w:eastAsia="Times New Roman"/>
                <w:sz w:val="20"/>
                <w:szCs w:val="20"/>
              </w:rPr>
              <w:t>)</w:t>
            </w:r>
          </w:p>
        </w:tc>
      </w:tr>
      <w:tr w:rsidR="00000000" w14:paraId="0A8D1D0C" w14:textId="77777777">
        <w:trPr>
          <w:tblCellSpacing w:w="0" w:type="dxa"/>
        </w:trPr>
        <w:tc>
          <w:tcPr>
            <w:tcW w:w="0" w:type="auto"/>
            <w:shd w:val="clear" w:color="auto" w:fill="CCEEFF"/>
            <w:vAlign w:val="bottom"/>
            <w:hideMark/>
          </w:tcPr>
          <w:p w14:paraId="160AABA5" w14:textId="77777777" w:rsidR="00000000" w:rsidRDefault="0053651E">
            <w:pPr>
              <w:pStyle w:val="a3"/>
              <w:spacing w:before="0" w:beforeAutospacing="0" w:after="0" w:afterAutospacing="0"/>
              <w:rPr>
                <w:sz w:val="20"/>
                <w:szCs w:val="20"/>
              </w:rPr>
            </w:pPr>
            <w:r>
              <w:rPr>
                <w:sz w:val="20"/>
                <w:szCs w:val="20"/>
              </w:rPr>
              <w:t>Gain on sale of joint venture operating properties/change in control of interests</w:t>
            </w:r>
          </w:p>
        </w:tc>
        <w:tc>
          <w:tcPr>
            <w:tcW w:w="50" w:type="pct"/>
            <w:shd w:val="clear" w:color="auto" w:fill="CCEEFF"/>
            <w:vAlign w:val="bottom"/>
            <w:hideMark/>
          </w:tcPr>
          <w:p w14:paraId="3267A4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1A8D2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A628E7" w14:textId="77777777" w:rsidR="00000000" w:rsidRDefault="0053651E">
            <w:pPr>
              <w:jc w:val="right"/>
              <w:rPr>
                <w:rFonts w:eastAsia="Times New Roman"/>
                <w:sz w:val="20"/>
                <w:szCs w:val="20"/>
              </w:rPr>
            </w:pPr>
            <w:r>
              <w:rPr>
                <w:rFonts w:eastAsia="Times New Roman"/>
                <w:sz w:val="20"/>
                <w:szCs w:val="20"/>
              </w:rPr>
              <w:t>(892</w:t>
            </w:r>
          </w:p>
        </w:tc>
        <w:tc>
          <w:tcPr>
            <w:tcW w:w="50" w:type="pct"/>
            <w:shd w:val="clear" w:color="auto" w:fill="CCEEFF"/>
            <w:vAlign w:val="bottom"/>
            <w:hideMark/>
          </w:tcPr>
          <w:p w14:paraId="177BD29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44A35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E52A2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B8DE01F" w14:textId="77777777" w:rsidR="00000000" w:rsidRDefault="0053651E">
            <w:pPr>
              <w:jc w:val="right"/>
              <w:rPr>
                <w:rFonts w:eastAsia="Times New Roman"/>
                <w:sz w:val="20"/>
                <w:szCs w:val="20"/>
              </w:rPr>
            </w:pPr>
            <w:r>
              <w:rPr>
                <w:rFonts w:eastAsia="Times New Roman"/>
                <w:sz w:val="20"/>
                <w:szCs w:val="20"/>
              </w:rPr>
              <w:t>(12,446</w:t>
            </w:r>
          </w:p>
        </w:tc>
        <w:tc>
          <w:tcPr>
            <w:tcW w:w="50" w:type="pct"/>
            <w:shd w:val="clear" w:color="auto" w:fill="CCEEFF"/>
            <w:vAlign w:val="bottom"/>
            <w:hideMark/>
          </w:tcPr>
          <w:p w14:paraId="1CDBDE9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9F69B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A6050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01CB5B1" w14:textId="77777777" w:rsidR="00000000" w:rsidRDefault="0053651E">
            <w:pPr>
              <w:jc w:val="right"/>
              <w:rPr>
                <w:rFonts w:eastAsia="Times New Roman"/>
                <w:sz w:val="20"/>
                <w:szCs w:val="20"/>
              </w:rPr>
            </w:pPr>
            <w:r>
              <w:rPr>
                <w:rFonts w:eastAsia="Times New Roman"/>
                <w:sz w:val="20"/>
                <w:szCs w:val="20"/>
              </w:rPr>
              <w:t>(16,066</w:t>
            </w:r>
          </w:p>
        </w:tc>
        <w:tc>
          <w:tcPr>
            <w:tcW w:w="50" w:type="pct"/>
            <w:shd w:val="clear" w:color="auto" w:fill="CCEEFF"/>
            <w:vAlign w:val="bottom"/>
            <w:hideMark/>
          </w:tcPr>
          <w:p w14:paraId="5873055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FA0C3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81B0B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64C614" w14:textId="77777777" w:rsidR="00000000" w:rsidRDefault="0053651E">
            <w:pPr>
              <w:jc w:val="right"/>
              <w:rPr>
                <w:rFonts w:eastAsia="Times New Roman"/>
                <w:sz w:val="20"/>
                <w:szCs w:val="20"/>
              </w:rPr>
            </w:pPr>
            <w:r>
              <w:rPr>
                <w:rFonts w:eastAsia="Times New Roman"/>
                <w:sz w:val="20"/>
                <w:szCs w:val="20"/>
              </w:rPr>
              <w:t>(18,549</w:t>
            </w:r>
          </w:p>
        </w:tc>
        <w:tc>
          <w:tcPr>
            <w:tcW w:w="50" w:type="pct"/>
            <w:shd w:val="clear" w:color="auto" w:fill="CCEEFF"/>
            <w:vAlign w:val="bottom"/>
            <w:hideMark/>
          </w:tcPr>
          <w:p w14:paraId="240FBB31" w14:textId="77777777" w:rsidR="00000000" w:rsidRDefault="0053651E">
            <w:pPr>
              <w:rPr>
                <w:rFonts w:eastAsia="Times New Roman"/>
                <w:sz w:val="20"/>
                <w:szCs w:val="20"/>
              </w:rPr>
            </w:pPr>
            <w:r>
              <w:rPr>
                <w:rFonts w:eastAsia="Times New Roman"/>
                <w:sz w:val="20"/>
                <w:szCs w:val="20"/>
              </w:rPr>
              <w:t>)</w:t>
            </w:r>
          </w:p>
        </w:tc>
      </w:tr>
      <w:tr w:rsidR="00000000" w14:paraId="14A4BDEA" w14:textId="77777777">
        <w:trPr>
          <w:tblCellSpacing w:w="0" w:type="dxa"/>
        </w:trPr>
        <w:tc>
          <w:tcPr>
            <w:tcW w:w="0" w:type="auto"/>
            <w:shd w:val="clear" w:color="auto" w:fill="FFFFFF"/>
            <w:vAlign w:val="bottom"/>
            <w:hideMark/>
          </w:tcPr>
          <w:p w14:paraId="62A00B75" w14:textId="77777777" w:rsidR="00000000" w:rsidRDefault="0053651E">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14:paraId="30E466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4BF51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058EE1" w14:textId="77777777" w:rsidR="00000000" w:rsidRDefault="0053651E">
            <w:pPr>
              <w:jc w:val="right"/>
              <w:rPr>
                <w:rFonts w:eastAsia="Times New Roman"/>
                <w:sz w:val="20"/>
                <w:szCs w:val="20"/>
              </w:rPr>
            </w:pPr>
            <w:r>
              <w:rPr>
                <w:rFonts w:eastAsia="Times New Roman"/>
                <w:sz w:val="20"/>
                <w:szCs w:val="20"/>
              </w:rPr>
              <w:t>67,864</w:t>
            </w:r>
          </w:p>
        </w:tc>
        <w:tc>
          <w:tcPr>
            <w:tcW w:w="50" w:type="pct"/>
            <w:shd w:val="clear" w:color="auto" w:fill="FFFFFF"/>
            <w:vAlign w:val="bottom"/>
            <w:hideMark/>
          </w:tcPr>
          <w:p w14:paraId="064711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070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A60A8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7EF9545" w14:textId="77777777" w:rsidR="00000000" w:rsidRDefault="0053651E">
            <w:pPr>
              <w:jc w:val="right"/>
              <w:rPr>
                <w:rFonts w:eastAsia="Times New Roman"/>
                <w:sz w:val="20"/>
                <w:szCs w:val="20"/>
              </w:rPr>
            </w:pPr>
            <w:r>
              <w:rPr>
                <w:rFonts w:eastAsia="Times New Roman"/>
                <w:sz w:val="20"/>
                <w:szCs w:val="20"/>
              </w:rPr>
              <w:t>74,086</w:t>
            </w:r>
          </w:p>
        </w:tc>
        <w:tc>
          <w:tcPr>
            <w:tcW w:w="50" w:type="pct"/>
            <w:shd w:val="clear" w:color="auto" w:fill="FFFFFF"/>
            <w:vAlign w:val="bottom"/>
            <w:hideMark/>
          </w:tcPr>
          <w:p w14:paraId="4D3E4D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40A9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BF37D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BCD7A63" w14:textId="77777777" w:rsidR="00000000" w:rsidRDefault="0053651E">
            <w:pPr>
              <w:jc w:val="right"/>
              <w:rPr>
                <w:rFonts w:eastAsia="Times New Roman"/>
                <w:sz w:val="20"/>
                <w:szCs w:val="20"/>
              </w:rPr>
            </w:pPr>
            <w:r>
              <w:rPr>
                <w:rFonts w:eastAsia="Times New Roman"/>
                <w:sz w:val="20"/>
                <w:szCs w:val="20"/>
              </w:rPr>
              <w:t>276,097</w:t>
            </w:r>
          </w:p>
        </w:tc>
        <w:tc>
          <w:tcPr>
            <w:tcW w:w="50" w:type="pct"/>
            <w:shd w:val="clear" w:color="auto" w:fill="FFFFFF"/>
            <w:vAlign w:val="bottom"/>
            <w:hideMark/>
          </w:tcPr>
          <w:p w14:paraId="54DCEE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B84E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1BFB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D14B082" w14:textId="77777777" w:rsidR="00000000" w:rsidRDefault="0053651E">
            <w:pPr>
              <w:jc w:val="right"/>
              <w:rPr>
                <w:rFonts w:eastAsia="Times New Roman"/>
                <w:sz w:val="20"/>
                <w:szCs w:val="20"/>
              </w:rPr>
            </w:pPr>
            <w:r>
              <w:rPr>
                <w:rFonts w:eastAsia="Times New Roman"/>
                <w:sz w:val="20"/>
                <w:szCs w:val="20"/>
              </w:rPr>
              <w:t>305,079</w:t>
            </w:r>
          </w:p>
        </w:tc>
        <w:tc>
          <w:tcPr>
            <w:tcW w:w="50" w:type="pct"/>
            <w:shd w:val="clear" w:color="auto" w:fill="FFFFFF"/>
            <w:vAlign w:val="bottom"/>
            <w:hideMark/>
          </w:tcPr>
          <w:p w14:paraId="1DC4740C" w14:textId="77777777" w:rsidR="00000000" w:rsidRDefault="0053651E">
            <w:pPr>
              <w:rPr>
                <w:rFonts w:eastAsia="Times New Roman"/>
                <w:sz w:val="20"/>
                <w:szCs w:val="20"/>
              </w:rPr>
            </w:pPr>
            <w:r>
              <w:rPr>
                <w:rFonts w:eastAsia="Times New Roman"/>
                <w:sz w:val="20"/>
                <w:szCs w:val="20"/>
              </w:rPr>
              <w:t> </w:t>
            </w:r>
          </w:p>
        </w:tc>
      </w:tr>
      <w:tr w:rsidR="00000000" w14:paraId="4777E598" w14:textId="77777777">
        <w:trPr>
          <w:tblCellSpacing w:w="0" w:type="dxa"/>
        </w:trPr>
        <w:tc>
          <w:tcPr>
            <w:tcW w:w="0" w:type="auto"/>
            <w:shd w:val="clear" w:color="auto" w:fill="CCEEFF"/>
            <w:vAlign w:val="bottom"/>
            <w:hideMark/>
          </w:tcPr>
          <w:p w14:paraId="0F166D69" w14:textId="77777777" w:rsidR="00000000" w:rsidRDefault="0053651E">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14:paraId="6A701F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82A55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10DEED2" w14:textId="77777777" w:rsidR="00000000" w:rsidRDefault="0053651E">
            <w:pPr>
              <w:jc w:val="right"/>
              <w:rPr>
                <w:rFonts w:eastAsia="Times New Roman"/>
                <w:sz w:val="20"/>
                <w:szCs w:val="20"/>
              </w:rPr>
            </w:pPr>
            <w:r>
              <w:rPr>
                <w:rFonts w:eastAsia="Times New Roman"/>
                <w:sz w:val="20"/>
                <w:szCs w:val="20"/>
              </w:rPr>
              <w:t>10,910</w:t>
            </w:r>
          </w:p>
        </w:tc>
        <w:tc>
          <w:tcPr>
            <w:tcW w:w="50" w:type="pct"/>
            <w:shd w:val="clear" w:color="auto" w:fill="CCEEFF"/>
            <w:vAlign w:val="bottom"/>
            <w:hideMark/>
          </w:tcPr>
          <w:p w14:paraId="7E8FBD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681D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4FB94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1839F99" w14:textId="77777777" w:rsidR="00000000" w:rsidRDefault="0053651E">
            <w:pPr>
              <w:jc w:val="right"/>
              <w:rPr>
                <w:rFonts w:eastAsia="Times New Roman"/>
                <w:sz w:val="20"/>
                <w:szCs w:val="20"/>
              </w:rPr>
            </w:pPr>
            <w:r>
              <w:rPr>
                <w:rFonts w:eastAsia="Times New Roman"/>
                <w:sz w:val="20"/>
                <w:szCs w:val="20"/>
              </w:rPr>
              <w:t>10,717</w:t>
            </w:r>
          </w:p>
        </w:tc>
        <w:tc>
          <w:tcPr>
            <w:tcW w:w="50" w:type="pct"/>
            <w:shd w:val="clear" w:color="auto" w:fill="CCEEFF"/>
            <w:vAlign w:val="bottom"/>
            <w:hideMark/>
          </w:tcPr>
          <w:p w14:paraId="418EA3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1E57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1CB54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B62A33A" w14:textId="77777777" w:rsidR="00000000" w:rsidRDefault="0053651E">
            <w:pPr>
              <w:jc w:val="right"/>
              <w:rPr>
                <w:rFonts w:eastAsia="Times New Roman"/>
                <w:sz w:val="20"/>
                <w:szCs w:val="20"/>
              </w:rPr>
            </w:pPr>
            <w:r>
              <w:rPr>
                <w:rFonts w:eastAsia="Times New Roman"/>
                <w:sz w:val="20"/>
                <w:szCs w:val="20"/>
              </w:rPr>
              <w:t>40,954</w:t>
            </w:r>
          </w:p>
        </w:tc>
        <w:tc>
          <w:tcPr>
            <w:tcW w:w="50" w:type="pct"/>
            <w:shd w:val="clear" w:color="auto" w:fill="CCEEFF"/>
            <w:vAlign w:val="bottom"/>
            <w:hideMark/>
          </w:tcPr>
          <w:p w14:paraId="421CEA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6672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50403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CBCCBA8" w14:textId="77777777" w:rsidR="00000000" w:rsidRDefault="0053651E">
            <w:pPr>
              <w:jc w:val="right"/>
              <w:rPr>
                <w:rFonts w:eastAsia="Times New Roman"/>
                <w:sz w:val="20"/>
                <w:szCs w:val="20"/>
              </w:rPr>
            </w:pPr>
            <w:r>
              <w:rPr>
                <w:rFonts w:eastAsia="Times New Roman"/>
                <w:sz w:val="20"/>
                <w:szCs w:val="20"/>
              </w:rPr>
              <w:t>43,483</w:t>
            </w:r>
          </w:p>
        </w:tc>
        <w:tc>
          <w:tcPr>
            <w:tcW w:w="50" w:type="pct"/>
            <w:shd w:val="clear" w:color="auto" w:fill="CCEEFF"/>
            <w:vAlign w:val="bottom"/>
            <w:hideMark/>
          </w:tcPr>
          <w:p w14:paraId="51DDDD19" w14:textId="77777777" w:rsidR="00000000" w:rsidRDefault="0053651E">
            <w:pPr>
              <w:rPr>
                <w:rFonts w:eastAsia="Times New Roman"/>
                <w:sz w:val="20"/>
                <w:szCs w:val="20"/>
              </w:rPr>
            </w:pPr>
            <w:r>
              <w:rPr>
                <w:rFonts w:eastAsia="Times New Roman"/>
                <w:sz w:val="20"/>
                <w:szCs w:val="20"/>
              </w:rPr>
              <w:t> </w:t>
            </w:r>
          </w:p>
        </w:tc>
      </w:tr>
      <w:tr w:rsidR="00000000" w14:paraId="4FADE0B5" w14:textId="77777777">
        <w:trPr>
          <w:tblCellSpacing w:w="0" w:type="dxa"/>
        </w:trPr>
        <w:tc>
          <w:tcPr>
            <w:tcW w:w="0" w:type="auto"/>
            <w:shd w:val="clear" w:color="auto" w:fill="FFFFFF"/>
            <w:vAlign w:val="bottom"/>
            <w:hideMark/>
          </w:tcPr>
          <w:p w14:paraId="5DAFC611" w14:textId="77777777" w:rsidR="00000000" w:rsidRDefault="0053651E">
            <w:pPr>
              <w:pStyle w:val="a3"/>
              <w:spacing w:before="0" w:beforeAutospacing="0" w:after="0" w:afterAutospacing="0"/>
              <w:rPr>
                <w:sz w:val="20"/>
                <w:szCs w:val="20"/>
              </w:rPr>
            </w:pPr>
            <w:r>
              <w:rPr>
                <w:sz w:val="20"/>
                <w:szCs w:val="20"/>
              </w:rPr>
              <w:t>Impairment of depreciable real estate properties</w:t>
            </w:r>
          </w:p>
        </w:tc>
        <w:tc>
          <w:tcPr>
            <w:tcW w:w="50" w:type="pct"/>
            <w:shd w:val="clear" w:color="auto" w:fill="FFFFFF"/>
            <w:vAlign w:val="bottom"/>
            <w:hideMark/>
          </w:tcPr>
          <w:p w14:paraId="3B4E6F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245F2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D62ED73" w14:textId="77777777" w:rsidR="00000000" w:rsidRDefault="0053651E">
            <w:pPr>
              <w:jc w:val="right"/>
              <w:rPr>
                <w:rFonts w:eastAsia="Times New Roman"/>
                <w:sz w:val="20"/>
                <w:szCs w:val="20"/>
              </w:rPr>
            </w:pPr>
            <w:r>
              <w:rPr>
                <w:rFonts w:eastAsia="Times New Roman"/>
                <w:sz w:val="20"/>
                <w:szCs w:val="20"/>
              </w:rPr>
              <w:t>11,504</w:t>
            </w:r>
          </w:p>
        </w:tc>
        <w:tc>
          <w:tcPr>
            <w:tcW w:w="50" w:type="pct"/>
            <w:shd w:val="clear" w:color="auto" w:fill="FFFFFF"/>
            <w:vAlign w:val="bottom"/>
            <w:hideMark/>
          </w:tcPr>
          <w:p w14:paraId="673C3A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AC9F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7DA2F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E2F5F0" w14:textId="77777777" w:rsidR="00000000" w:rsidRDefault="0053651E">
            <w:pPr>
              <w:jc w:val="right"/>
              <w:rPr>
                <w:rFonts w:eastAsia="Times New Roman"/>
                <w:sz w:val="20"/>
                <w:szCs w:val="20"/>
              </w:rPr>
            </w:pPr>
            <w:r>
              <w:rPr>
                <w:rFonts w:eastAsia="Times New Roman"/>
                <w:sz w:val="20"/>
                <w:szCs w:val="20"/>
              </w:rPr>
              <w:t>52,101</w:t>
            </w:r>
          </w:p>
        </w:tc>
        <w:tc>
          <w:tcPr>
            <w:tcW w:w="50" w:type="pct"/>
            <w:shd w:val="clear" w:color="auto" w:fill="FFFFFF"/>
            <w:vAlign w:val="bottom"/>
            <w:hideMark/>
          </w:tcPr>
          <w:p w14:paraId="5101E8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3601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F50F0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4D89C2" w14:textId="77777777" w:rsidR="00000000" w:rsidRDefault="0053651E">
            <w:pPr>
              <w:jc w:val="right"/>
              <w:rPr>
                <w:rFonts w:eastAsia="Times New Roman"/>
                <w:sz w:val="20"/>
                <w:szCs w:val="20"/>
              </w:rPr>
            </w:pPr>
            <w:r>
              <w:rPr>
                <w:rFonts w:eastAsia="Times New Roman"/>
                <w:sz w:val="20"/>
                <w:szCs w:val="20"/>
              </w:rPr>
              <w:t>55,945</w:t>
            </w:r>
          </w:p>
        </w:tc>
        <w:tc>
          <w:tcPr>
            <w:tcW w:w="50" w:type="pct"/>
            <w:shd w:val="clear" w:color="auto" w:fill="FFFFFF"/>
            <w:vAlign w:val="bottom"/>
            <w:hideMark/>
          </w:tcPr>
          <w:p w14:paraId="14AA9C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7E5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4768A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B86824A" w14:textId="77777777" w:rsidR="00000000" w:rsidRDefault="0053651E">
            <w:pPr>
              <w:jc w:val="right"/>
              <w:rPr>
                <w:rFonts w:eastAsia="Times New Roman"/>
                <w:sz w:val="20"/>
                <w:szCs w:val="20"/>
              </w:rPr>
            </w:pPr>
            <w:r>
              <w:rPr>
                <w:rFonts w:eastAsia="Times New Roman"/>
                <w:sz w:val="20"/>
                <w:szCs w:val="20"/>
              </w:rPr>
              <w:t>86,072</w:t>
            </w:r>
          </w:p>
        </w:tc>
        <w:tc>
          <w:tcPr>
            <w:tcW w:w="50" w:type="pct"/>
            <w:shd w:val="clear" w:color="auto" w:fill="FFFFFF"/>
            <w:vAlign w:val="bottom"/>
            <w:hideMark/>
          </w:tcPr>
          <w:p w14:paraId="724156DA" w14:textId="77777777" w:rsidR="00000000" w:rsidRDefault="0053651E">
            <w:pPr>
              <w:rPr>
                <w:rFonts w:eastAsia="Times New Roman"/>
                <w:sz w:val="20"/>
                <w:szCs w:val="20"/>
              </w:rPr>
            </w:pPr>
            <w:r>
              <w:rPr>
                <w:rFonts w:eastAsia="Times New Roman"/>
                <w:sz w:val="20"/>
                <w:szCs w:val="20"/>
              </w:rPr>
              <w:t> </w:t>
            </w:r>
          </w:p>
        </w:tc>
      </w:tr>
      <w:tr w:rsidR="00000000" w14:paraId="3ABED5C7" w14:textId="77777777">
        <w:trPr>
          <w:tblCellSpacing w:w="0" w:type="dxa"/>
        </w:trPr>
        <w:tc>
          <w:tcPr>
            <w:tcW w:w="0" w:type="auto"/>
            <w:shd w:val="clear" w:color="auto" w:fill="CCEEFF"/>
            <w:vAlign w:val="bottom"/>
            <w:hideMark/>
          </w:tcPr>
          <w:p w14:paraId="5C924ECD" w14:textId="77777777" w:rsidR="00000000" w:rsidRDefault="0053651E">
            <w:pPr>
              <w:pStyle w:val="a3"/>
              <w:spacing w:before="0" w:beforeAutospacing="0" w:after="0" w:afterAutospacing="0"/>
              <w:rPr>
                <w:sz w:val="20"/>
                <w:szCs w:val="20"/>
              </w:rPr>
            </w:pPr>
            <w:r>
              <w:rPr>
                <w:sz w:val="20"/>
                <w:szCs w:val="20"/>
              </w:rPr>
              <w:t>Profit participation from other real estate investments</w:t>
            </w:r>
          </w:p>
        </w:tc>
        <w:tc>
          <w:tcPr>
            <w:tcW w:w="50" w:type="pct"/>
            <w:shd w:val="clear" w:color="auto" w:fill="CCEEFF"/>
            <w:vAlign w:val="bottom"/>
            <w:hideMark/>
          </w:tcPr>
          <w:p w14:paraId="73E600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AE8CF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8629E73" w14:textId="77777777" w:rsidR="00000000" w:rsidRDefault="0053651E">
            <w:pPr>
              <w:jc w:val="right"/>
              <w:rPr>
                <w:rFonts w:eastAsia="Times New Roman"/>
                <w:sz w:val="20"/>
                <w:szCs w:val="20"/>
              </w:rPr>
            </w:pPr>
            <w:r>
              <w:rPr>
                <w:rFonts w:eastAsia="Times New Roman"/>
                <w:sz w:val="20"/>
                <w:szCs w:val="20"/>
              </w:rPr>
              <w:t>1,288</w:t>
            </w:r>
          </w:p>
        </w:tc>
        <w:tc>
          <w:tcPr>
            <w:tcW w:w="50" w:type="pct"/>
            <w:shd w:val="clear" w:color="auto" w:fill="CCEEFF"/>
            <w:vAlign w:val="bottom"/>
            <w:hideMark/>
          </w:tcPr>
          <w:p w14:paraId="1A6556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54E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1820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670152" w14:textId="77777777" w:rsidR="00000000" w:rsidRDefault="0053651E">
            <w:pPr>
              <w:jc w:val="right"/>
              <w:rPr>
                <w:rFonts w:eastAsia="Times New Roman"/>
                <w:sz w:val="20"/>
                <w:szCs w:val="20"/>
              </w:rPr>
            </w:pPr>
            <w:r>
              <w:rPr>
                <w:rFonts w:eastAsia="Times New Roman"/>
                <w:sz w:val="20"/>
                <w:szCs w:val="20"/>
              </w:rPr>
              <w:t>(129</w:t>
            </w:r>
          </w:p>
        </w:tc>
        <w:tc>
          <w:tcPr>
            <w:tcW w:w="50" w:type="pct"/>
            <w:shd w:val="clear" w:color="auto" w:fill="CCEEFF"/>
            <w:vAlign w:val="bottom"/>
            <w:hideMark/>
          </w:tcPr>
          <w:p w14:paraId="43AA5D0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9C00F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2EE3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F19B694" w14:textId="77777777" w:rsidR="00000000" w:rsidRDefault="0053651E">
            <w:pPr>
              <w:jc w:val="right"/>
              <w:rPr>
                <w:rFonts w:eastAsia="Times New Roman"/>
                <w:sz w:val="20"/>
                <w:szCs w:val="20"/>
              </w:rPr>
            </w:pPr>
            <w:r>
              <w:rPr>
                <w:rFonts w:eastAsia="Times New Roman"/>
                <w:sz w:val="20"/>
                <w:szCs w:val="20"/>
              </w:rPr>
              <w:t>(7,300</w:t>
            </w:r>
          </w:p>
        </w:tc>
        <w:tc>
          <w:tcPr>
            <w:tcW w:w="50" w:type="pct"/>
            <w:shd w:val="clear" w:color="auto" w:fill="CCEEFF"/>
            <w:vAlign w:val="bottom"/>
            <w:hideMark/>
          </w:tcPr>
          <w:p w14:paraId="287E3C9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DE7F5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B97F0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54A3DE0" w14:textId="77777777" w:rsidR="00000000" w:rsidRDefault="0053651E">
            <w:pPr>
              <w:jc w:val="right"/>
              <w:rPr>
                <w:rFonts w:eastAsia="Times New Roman"/>
                <w:sz w:val="20"/>
                <w:szCs w:val="20"/>
              </w:rPr>
            </w:pPr>
            <w:r>
              <w:rPr>
                <w:rFonts w:eastAsia="Times New Roman"/>
                <w:sz w:val="20"/>
                <w:szCs w:val="20"/>
              </w:rPr>
              <w:t>(10,595</w:t>
            </w:r>
          </w:p>
        </w:tc>
        <w:tc>
          <w:tcPr>
            <w:tcW w:w="50" w:type="pct"/>
            <w:shd w:val="clear" w:color="auto" w:fill="CCEEFF"/>
            <w:vAlign w:val="bottom"/>
            <w:hideMark/>
          </w:tcPr>
          <w:p w14:paraId="6C34A585" w14:textId="77777777" w:rsidR="00000000" w:rsidRDefault="0053651E">
            <w:pPr>
              <w:rPr>
                <w:rFonts w:eastAsia="Times New Roman"/>
                <w:sz w:val="20"/>
                <w:szCs w:val="20"/>
              </w:rPr>
            </w:pPr>
            <w:r>
              <w:rPr>
                <w:rFonts w:eastAsia="Times New Roman"/>
                <w:sz w:val="20"/>
                <w:szCs w:val="20"/>
              </w:rPr>
              <w:t>)</w:t>
            </w:r>
          </w:p>
        </w:tc>
      </w:tr>
      <w:tr w:rsidR="00000000" w14:paraId="441F42A4" w14:textId="77777777">
        <w:trPr>
          <w:tblCellSpacing w:w="0" w:type="dxa"/>
        </w:trPr>
        <w:tc>
          <w:tcPr>
            <w:tcW w:w="0" w:type="auto"/>
            <w:shd w:val="clear" w:color="auto" w:fill="FFFFFF"/>
            <w:vAlign w:val="bottom"/>
            <w:hideMark/>
          </w:tcPr>
          <w:p w14:paraId="461C13E0" w14:textId="77777777" w:rsidR="00000000" w:rsidRDefault="0053651E">
            <w:pPr>
              <w:pStyle w:val="a3"/>
              <w:spacing w:before="0" w:beforeAutospacing="0" w:after="0" w:afterAutospacing="0"/>
              <w:rPr>
                <w:sz w:val="20"/>
                <w:szCs w:val="20"/>
              </w:rPr>
            </w:pPr>
            <w:r>
              <w:rPr>
                <w:sz w:val="20"/>
                <w:szCs w:val="20"/>
              </w:rPr>
              <w:t>Loss/(gain) on of marketable securities</w:t>
            </w:r>
          </w:p>
        </w:tc>
        <w:tc>
          <w:tcPr>
            <w:tcW w:w="50" w:type="pct"/>
            <w:shd w:val="clear" w:color="auto" w:fill="FFFFFF"/>
            <w:vAlign w:val="bottom"/>
            <w:hideMark/>
          </w:tcPr>
          <w:p w14:paraId="3E3357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AC30B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2D63F84" w14:textId="77777777" w:rsidR="00000000" w:rsidRDefault="0053651E">
            <w:pPr>
              <w:jc w:val="right"/>
              <w:rPr>
                <w:rFonts w:eastAsia="Times New Roman"/>
                <w:sz w:val="20"/>
                <w:szCs w:val="20"/>
              </w:rPr>
            </w:pPr>
            <w:r>
              <w:rPr>
                <w:rFonts w:eastAsia="Times New Roman"/>
                <w:sz w:val="20"/>
                <w:szCs w:val="20"/>
              </w:rPr>
              <w:t>546</w:t>
            </w:r>
          </w:p>
        </w:tc>
        <w:tc>
          <w:tcPr>
            <w:tcW w:w="50" w:type="pct"/>
            <w:shd w:val="clear" w:color="auto" w:fill="FFFFFF"/>
            <w:vAlign w:val="bottom"/>
            <w:hideMark/>
          </w:tcPr>
          <w:p w14:paraId="604F6C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089B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317E7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8CD8A47" w14:textId="77777777" w:rsidR="00000000" w:rsidRDefault="0053651E">
            <w:pPr>
              <w:jc w:val="right"/>
              <w:rPr>
                <w:rFonts w:eastAsia="Times New Roman"/>
                <w:sz w:val="20"/>
                <w:szCs w:val="20"/>
              </w:rPr>
            </w:pPr>
            <w:r>
              <w:rPr>
                <w:rFonts w:eastAsia="Times New Roman"/>
                <w:sz w:val="20"/>
                <w:szCs w:val="20"/>
              </w:rPr>
              <w:t>1,444</w:t>
            </w:r>
          </w:p>
        </w:tc>
        <w:tc>
          <w:tcPr>
            <w:tcW w:w="50" w:type="pct"/>
            <w:shd w:val="clear" w:color="auto" w:fill="FFFFFF"/>
            <w:vAlign w:val="bottom"/>
            <w:hideMark/>
          </w:tcPr>
          <w:p w14:paraId="703E80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E90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66124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D795F7" w14:textId="77777777" w:rsidR="00000000" w:rsidRDefault="0053651E">
            <w:pPr>
              <w:jc w:val="right"/>
              <w:rPr>
                <w:rFonts w:eastAsia="Times New Roman"/>
                <w:sz w:val="20"/>
                <w:szCs w:val="20"/>
              </w:rPr>
            </w:pPr>
            <w:r>
              <w:rPr>
                <w:rFonts w:eastAsia="Times New Roman"/>
                <w:sz w:val="20"/>
                <w:szCs w:val="20"/>
              </w:rPr>
              <w:t>(829</w:t>
            </w:r>
          </w:p>
        </w:tc>
        <w:tc>
          <w:tcPr>
            <w:tcW w:w="50" w:type="pct"/>
            <w:shd w:val="clear" w:color="auto" w:fill="FFFFFF"/>
            <w:vAlign w:val="bottom"/>
            <w:hideMark/>
          </w:tcPr>
          <w:p w14:paraId="1CA107D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8B768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3781F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811D98" w14:textId="77777777" w:rsidR="00000000" w:rsidRDefault="0053651E">
            <w:pPr>
              <w:jc w:val="right"/>
              <w:rPr>
                <w:rFonts w:eastAsia="Times New Roman"/>
                <w:sz w:val="20"/>
                <w:szCs w:val="20"/>
              </w:rPr>
            </w:pPr>
            <w:r>
              <w:rPr>
                <w:rFonts w:eastAsia="Times New Roman"/>
                <w:sz w:val="20"/>
                <w:szCs w:val="20"/>
              </w:rPr>
              <w:t>3,487</w:t>
            </w:r>
          </w:p>
        </w:tc>
        <w:tc>
          <w:tcPr>
            <w:tcW w:w="50" w:type="pct"/>
            <w:shd w:val="clear" w:color="auto" w:fill="FFFFFF"/>
            <w:vAlign w:val="bottom"/>
            <w:hideMark/>
          </w:tcPr>
          <w:p w14:paraId="475933A6" w14:textId="77777777" w:rsidR="00000000" w:rsidRDefault="0053651E">
            <w:pPr>
              <w:rPr>
                <w:rFonts w:eastAsia="Times New Roman"/>
                <w:sz w:val="20"/>
                <w:szCs w:val="20"/>
              </w:rPr>
            </w:pPr>
            <w:r>
              <w:rPr>
                <w:rFonts w:eastAsia="Times New Roman"/>
                <w:sz w:val="20"/>
                <w:szCs w:val="20"/>
              </w:rPr>
              <w:t> </w:t>
            </w:r>
          </w:p>
        </w:tc>
      </w:tr>
      <w:tr w:rsidR="00000000" w14:paraId="1D280D1F" w14:textId="77777777">
        <w:trPr>
          <w:tblCellSpacing w:w="0" w:type="dxa"/>
        </w:trPr>
        <w:tc>
          <w:tcPr>
            <w:tcW w:w="0" w:type="auto"/>
            <w:shd w:val="clear" w:color="auto" w:fill="CCEEFF"/>
            <w:vAlign w:val="bottom"/>
            <w:hideMark/>
          </w:tcPr>
          <w:p w14:paraId="7E4C7786" w14:textId="77777777" w:rsidR="00000000" w:rsidRDefault="0053651E">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14:paraId="569249B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523AD7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4C21429" w14:textId="77777777" w:rsidR="00000000" w:rsidRDefault="0053651E">
            <w:pPr>
              <w:jc w:val="right"/>
              <w:rPr>
                <w:rFonts w:eastAsia="Times New Roman"/>
                <w:sz w:val="20"/>
                <w:szCs w:val="20"/>
              </w:rPr>
            </w:pPr>
            <w:r>
              <w:rPr>
                <w:rFonts w:eastAsia="Times New Roman"/>
                <w:sz w:val="20"/>
                <w:szCs w:val="20"/>
              </w:rPr>
              <w:t>(303</w:t>
            </w:r>
          </w:p>
        </w:tc>
        <w:tc>
          <w:tcPr>
            <w:tcW w:w="50" w:type="pct"/>
            <w:shd w:val="clear" w:color="auto" w:fill="CCEEFF"/>
            <w:tcMar>
              <w:top w:w="0" w:type="dxa"/>
              <w:left w:w="0" w:type="dxa"/>
              <w:bottom w:w="15" w:type="dxa"/>
              <w:right w:w="0" w:type="dxa"/>
            </w:tcMar>
            <w:vAlign w:val="bottom"/>
            <w:hideMark/>
          </w:tcPr>
          <w:p w14:paraId="248C144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CF2C82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8F54A45"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52F2B8E" w14:textId="77777777" w:rsidR="00000000" w:rsidRDefault="0053651E">
            <w:pPr>
              <w:jc w:val="right"/>
              <w:rPr>
                <w:rFonts w:eastAsia="Times New Roman"/>
                <w:sz w:val="20"/>
                <w:szCs w:val="20"/>
              </w:rPr>
            </w:pPr>
            <w:r>
              <w:rPr>
                <w:rFonts w:eastAsia="Times New Roman"/>
                <w:sz w:val="20"/>
                <w:szCs w:val="20"/>
              </w:rPr>
              <w:t>(421</w:t>
            </w:r>
          </w:p>
        </w:tc>
        <w:tc>
          <w:tcPr>
            <w:tcW w:w="50" w:type="pct"/>
            <w:shd w:val="clear" w:color="auto" w:fill="CCEEFF"/>
            <w:tcMar>
              <w:top w:w="0" w:type="dxa"/>
              <w:left w:w="0" w:type="dxa"/>
              <w:bottom w:w="15" w:type="dxa"/>
              <w:right w:w="0" w:type="dxa"/>
            </w:tcMar>
            <w:vAlign w:val="bottom"/>
            <w:hideMark/>
          </w:tcPr>
          <w:p w14:paraId="2DA6D56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455C32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2BCCB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059488B" w14:textId="77777777" w:rsidR="00000000" w:rsidRDefault="0053651E">
            <w:pPr>
              <w:jc w:val="right"/>
              <w:rPr>
                <w:rFonts w:eastAsia="Times New Roman"/>
                <w:sz w:val="20"/>
                <w:szCs w:val="20"/>
              </w:rPr>
            </w:pPr>
            <w:r>
              <w:rPr>
                <w:rFonts w:eastAsia="Times New Roman"/>
                <w:sz w:val="20"/>
                <w:szCs w:val="20"/>
              </w:rPr>
              <w:t>(1,193</w:t>
            </w:r>
          </w:p>
        </w:tc>
        <w:tc>
          <w:tcPr>
            <w:tcW w:w="50" w:type="pct"/>
            <w:shd w:val="clear" w:color="auto" w:fill="CCEEFF"/>
            <w:tcMar>
              <w:top w:w="0" w:type="dxa"/>
              <w:left w:w="0" w:type="dxa"/>
              <w:bottom w:w="15" w:type="dxa"/>
              <w:right w:w="0" w:type="dxa"/>
            </w:tcMar>
            <w:vAlign w:val="bottom"/>
            <w:hideMark/>
          </w:tcPr>
          <w:p w14:paraId="3C40E1F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028FED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FC67173"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AFB2AB5" w14:textId="77777777" w:rsidR="00000000" w:rsidRDefault="0053651E">
            <w:pPr>
              <w:jc w:val="right"/>
              <w:rPr>
                <w:rFonts w:eastAsia="Times New Roman"/>
                <w:sz w:val="20"/>
                <w:szCs w:val="20"/>
              </w:rPr>
            </w:pPr>
            <w:r>
              <w:rPr>
                <w:rFonts w:eastAsia="Times New Roman"/>
                <w:sz w:val="20"/>
                <w:szCs w:val="20"/>
              </w:rPr>
              <w:t>(2,755</w:t>
            </w:r>
          </w:p>
        </w:tc>
        <w:tc>
          <w:tcPr>
            <w:tcW w:w="50" w:type="pct"/>
            <w:shd w:val="clear" w:color="auto" w:fill="CCEEFF"/>
            <w:tcMar>
              <w:top w:w="0" w:type="dxa"/>
              <w:left w:w="0" w:type="dxa"/>
              <w:bottom w:w="15" w:type="dxa"/>
              <w:right w:w="0" w:type="dxa"/>
            </w:tcMar>
            <w:vAlign w:val="bottom"/>
            <w:hideMark/>
          </w:tcPr>
          <w:p w14:paraId="70A24B1A" w14:textId="77777777" w:rsidR="00000000" w:rsidRDefault="0053651E">
            <w:pPr>
              <w:rPr>
                <w:rFonts w:eastAsia="Times New Roman"/>
                <w:sz w:val="20"/>
                <w:szCs w:val="20"/>
              </w:rPr>
            </w:pPr>
            <w:r>
              <w:rPr>
                <w:rFonts w:eastAsia="Times New Roman"/>
                <w:sz w:val="20"/>
                <w:szCs w:val="20"/>
              </w:rPr>
              <w:t>)</w:t>
            </w:r>
          </w:p>
        </w:tc>
      </w:tr>
      <w:tr w:rsidR="00000000" w14:paraId="23A608C8" w14:textId="77777777">
        <w:trPr>
          <w:tblCellSpacing w:w="0" w:type="dxa"/>
        </w:trPr>
        <w:tc>
          <w:tcPr>
            <w:tcW w:w="0" w:type="auto"/>
            <w:shd w:val="clear" w:color="auto" w:fill="FFFFFF"/>
            <w:vAlign w:val="bottom"/>
            <w:hideMark/>
          </w:tcPr>
          <w:p w14:paraId="248C2EA9" w14:textId="77777777" w:rsidR="00000000" w:rsidRDefault="0053651E">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FFFFFF"/>
            <w:vAlign w:val="bottom"/>
            <w:hideMark/>
          </w:tcPr>
          <w:p w14:paraId="30E6DF6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15AD11" w14:textId="77777777" w:rsidR="00000000" w:rsidRDefault="0053651E">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6E9D2A8F" w14:textId="77777777" w:rsidR="00000000" w:rsidRDefault="0053651E">
            <w:pPr>
              <w:jc w:val="right"/>
              <w:rPr>
                <w:rFonts w:eastAsia="Times New Roman"/>
                <w:sz w:val="20"/>
                <w:szCs w:val="20"/>
              </w:rPr>
            </w:pPr>
            <w:r>
              <w:rPr>
                <w:rFonts w:eastAsia="Times New Roman"/>
                <w:b/>
                <w:bCs/>
                <w:sz w:val="20"/>
                <w:szCs w:val="20"/>
              </w:rPr>
              <w:t>151,893</w:t>
            </w:r>
          </w:p>
        </w:tc>
        <w:tc>
          <w:tcPr>
            <w:tcW w:w="50" w:type="pct"/>
            <w:shd w:val="clear" w:color="auto" w:fill="FFFFFF"/>
            <w:tcMar>
              <w:top w:w="0" w:type="dxa"/>
              <w:left w:w="0" w:type="dxa"/>
              <w:bottom w:w="15" w:type="dxa"/>
              <w:right w:w="0" w:type="dxa"/>
            </w:tcMar>
            <w:vAlign w:val="bottom"/>
            <w:hideMark/>
          </w:tcPr>
          <w:p w14:paraId="1E7691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B60EF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67EF31" w14:textId="77777777" w:rsidR="00000000" w:rsidRDefault="0053651E">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52501B1E" w14:textId="77777777" w:rsidR="00000000" w:rsidRDefault="0053651E">
            <w:pPr>
              <w:jc w:val="right"/>
              <w:rPr>
                <w:rFonts w:eastAsia="Times New Roman"/>
                <w:sz w:val="20"/>
                <w:szCs w:val="20"/>
              </w:rPr>
            </w:pPr>
            <w:r>
              <w:rPr>
                <w:rFonts w:eastAsia="Times New Roman"/>
                <w:b/>
                <w:bCs/>
                <w:sz w:val="20"/>
                <w:szCs w:val="20"/>
              </w:rPr>
              <w:t>149,610</w:t>
            </w:r>
          </w:p>
        </w:tc>
        <w:tc>
          <w:tcPr>
            <w:tcW w:w="50" w:type="pct"/>
            <w:shd w:val="clear" w:color="auto" w:fill="FFFFFF"/>
            <w:tcMar>
              <w:top w:w="0" w:type="dxa"/>
              <w:left w:w="0" w:type="dxa"/>
              <w:bottom w:w="15" w:type="dxa"/>
              <w:right w:w="0" w:type="dxa"/>
            </w:tcMar>
            <w:vAlign w:val="bottom"/>
            <w:hideMark/>
          </w:tcPr>
          <w:p w14:paraId="662D32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F83CB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43DD986" w14:textId="77777777" w:rsidR="00000000" w:rsidRDefault="0053651E">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13CEC791" w14:textId="77777777" w:rsidR="00000000" w:rsidRDefault="0053651E">
            <w:pPr>
              <w:jc w:val="right"/>
              <w:rPr>
                <w:rFonts w:eastAsia="Times New Roman"/>
                <w:sz w:val="20"/>
                <w:szCs w:val="20"/>
              </w:rPr>
            </w:pPr>
            <w:r>
              <w:rPr>
                <w:rFonts w:eastAsia="Times New Roman"/>
                <w:b/>
                <w:bCs/>
                <w:sz w:val="20"/>
                <w:szCs w:val="20"/>
              </w:rPr>
              <w:t>608,378</w:t>
            </w:r>
          </w:p>
        </w:tc>
        <w:tc>
          <w:tcPr>
            <w:tcW w:w="50" w:type="pct"/>
            <w:shd w:val="clear" w:color="auto" w:fill="FFFFFF"/>
            <w:tcMar>
              <w:top w:w="0" w:type="dxa"/>
              <w:left w:w="0" w:type="dxa"/>
              <w:bottom w:w="15" w:type="dxa"/>
              <w:right w:w="0" w:type="dxa"/>
            </w:tcMar>
            <w:vAlign w:val="bottom"/>
            <w:hideMark/>
          </w:tcPr>
          <w:p w14:paraId="7ECAD0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9A976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6AEE039" w14:textId="77777777" w:rsidR="00000000" w:rsidRDefault="0053651E">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0DDCBF14" w14:textId="77777777" w:rsidR="00000000" w:rsidRDefault="0053651E">
            <w:pPr>
              <w:jc w:val="right"/>
              <w:rPr>
                <w:rFonts w:eastAsia="Times New Roman"/>
                <w:sz w:val="20"/>
                <w:szCs w:val="20"/>
              </w:rPr>
            </w:pPr>
            <w:r>
              <w:rPr>
                <w:rFonts w:eastAsia="Times New Roman"/>
                <w:b/>
                <w:bCs/>
                <w:sz w:val="20"/>
                <w:szCs w:val="20"/>
              </w:rPr>
              <w:t>609,768</w:t>
            </w:r>
          </w:p>
        </w:tc>
        <w:tc>
          <w:tcPr>
            <w:tcW w:w="50" w:type="pct"/>
            <w:shd w:val="clear" w:color="auto" w:fill="FFFFFF"/>
            <w:tcMar>
              <w:top w:w="0" w:type="dxa"/>
              <w:left w:w="0" w:type="dxa"/>
              <w:bottom w:w="15" w:type="dxa"/>
              <w:right w:w="0" w:type="dxa"/>
            </w:tcMar>
            <w:vAlign w:val="bottom"/>
            <w:hideMark/>
          </w:tcPr>
          <w:p w14:paraId="689B29F8" w14:textId="77777777" w:rsidR="00000000" w:rsidRDefault="0053651E">
            <w:pPr>
              <w:rPr>
                <w:rFonts w:eastAsia="Times New Roman"/>
                <w:sz w:val="20"/>
                <w:szCs w:val="20"/>
              </w:rPr>
            </w:pPr>
            <w:r>
              <w:rPr>
                <w:rFonts w:eastAsia="Times New Roman"/>
                <w:sz w:val="20"/>
                <w:szCs w:val="20"/>
              </w:rPr>
              <w:t> </w:t>
            </w:r>
          </w:p>
        </w:tc>
      </w:tr>
      <w:tr w:rsidR="00000000" w14:paraId="5034DABB" w14:textId="77777777">
        <w:trPr>
          <w:tblCellSpacing w:w="0" w:type="dxa"/>
        </w:trPr>
        <w:tc>
          <w:tcPr>
            <w:tcW w:w="0" w:type="auto"/>
            <w:shd w:val="clear" w:color="auto" w:fill="CCEEFF"/>
            <w:vAlign w:val="bottom"/>
            <w:hideMark/>
          </w:tcPr>
          <w:p w14:paraId="33AB9389" w14:textId="77777777" w:rsidR="00000000" w:rsidRDefault="0053651E">
            <w:pPr>
              <w:pStyle w:val="a3"/>
              <w:spacing w:before="0" w:beforeAutospacing="0" w:after="0" w:afterAutospacing="0"/>
              <w:rPr>
                <w:sz w:val="20"/>
                <w:szCs w:val="20"/>
              </w:rPr>
            </w:pPr>
            <w:r>
              <w:rPr>
                <w:sz w:val="20"/>
                <w:szCs w:val="20"/>
              </w:rPr>
              <w:t>Transactional (income)/expense:</w:t>
            </w:r>
          </w:p>
        </w:tc>
        <w:tc>
          <w:tcPr>
            <w:tcW w:w="0" w:type="auto"/>
            <w:shd w:val="clear" w:color="auto" w:fill="CCEEFF"/>
            <w:vAlign w:val="bottom"/>
            <w:hideMark/>
          </w:tcPr>
          <w:p w14:paraId="5847AF0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13A6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52E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B31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6F94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6FE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2D4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6BF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24CD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ACD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FD7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9C1A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A637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C8C5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143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62636" w14:textId="77777777" w:rsidR="00000000" w:rsidRDefault="0053651E">
            <w:pPr>
              <w:rPr>
                <w:rFonts w:eastAsia="Times New Roman"/>
                <w:sz w:val="20"/>
                <w:szCs w:val="20"/>
              </w:rPr>
            </w:pPr>
            <w:r>
              <w:rPr>
                <w:rFonts w:eastAsia="Times New Roman"/>
                <w:sz w:val="20"/>
                <w:szCs w:val="20"/>
              </w:rPr>
              <w:t> </w:t>
            </w:r>
          </w:p>
        </w:tc>
      </w:tr>
      <w:tr w:rsidR="00000000" w14:paraId="3948C79D" w14:textId="77777777">
        <w:trPr>
          <w:tblCellSpacing w:w="0" w:type="dxa"/>
        </w:trPr>
        <w:tc>
          <w:tcPr>
            <w:tcW w:w="0" w:type="auto"/>
            <w:shd w:val="clear" w:color="auto" w:fill="FFFFFF"/>
            <w:vAlign w:val="bottom"/>
            <w:hideMark/>
          </w:tcPr>
          <w:p w14:paraId="16B80E1B" w14:textId="77777777" w:rsidR="00000000" w:rsidRDefault="0053651E">
            <w:pPr>
              <w:pStyle w:val="a3"/>
              <w:spacing w:before="0" w:beforeAutospacing="0" w:after="0" w:afterAutospacing="0"/>
              <w:ind w:left="180"/>
              <w:rPr>
                <w:sz w:val="20"/>
                <w:szCs w:val="20"/>
              </w:rPr>
            </w:pPr>
            <w:r>
              <w:rPr>
                <w:sz w:val="20"/>
                <w:szCs w:val="20"/>
              </w:rPr>
              <w:t>Distribution in excess of basis</w:t>
            </w:r>
          </w:p>
        </w:tc>
        <w:tc>
          <w:tcPr>
            <w:tcW w:w="50" w:type="pct"/>
            <w:shd w:val="clear" w:color="auto" w:fill="FFFFFF"/>
            <w:vAlign w:val="bottom"/>
            <w:hideMark/>
          </w:tcPr>
          <w:p w14:paraId="2E01D0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B96AB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23EEA8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2B842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D302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22DD0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F85A36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4DB05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7C6F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BD7DB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98DE66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3CD95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008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75EBF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DEAC2EB" w14:textId="77777777" w:rsidR="00000000" w:rsidRDefault="0053651E">
            <w:pPr>
              <w:jc w:val="right"/>
              <w:rPr>
                <w:rFonts w:eastAsia="Times New Roman"/>
                <w:sz w:val="20"/>
                <w:szCs w:val="20"/>
              </w:rPr>
            </w:pPr>
            <w:r>
              <w:rPr>
                <w:rFonts w:eastAsia="Times New Roman"/>
                <w:sz w:val="20"/>
                <w:szCs w:val="20"/>
              </w:rPr>
              <w:t>(3,550</w:t>
            </w:r>
          </w:p>
        </w:tc>
        <w:tc>
          <w:tcPr>
            <w:tcW w:w="50" w:type="pct"/>
            <w:shd w:val="clear" w:color="auto" w:fill="FFFFFF"/>
            <w:vAlign w:val="bottom"/>
            <w:hideMark/>
          </w:tcPr>
          <w:p w14:paraId="22448255" w14:textId="77777777" w:rsidR="00000000" w:rsidRDefault="0053651E">
            <w:pPr>
              <w:rPr>
                <w:rFonts w:eastAsia="Times New Roman"/>
                <w:sz w:val="20"/>
                <w:szCs w:val="20"/>
              </w:rPr>
            </w:pPr>
            <w:r>
              <w:rPr>
                <w:rFonts w:eastAsia="Times New Roman"/>
                <w:sz w:val="20"/>
                <w:szCs w:val="20"/>
              </w:rPr>
              <w:t>)</w:t>
            </w:r>
          </w:p>
        </w:tc>
      </w:tr>
      <w:tr w:rsidR="00000000" w14:paraId="37611D86" w14:textId="77777777">
        <w:trPr>
          <w:tblCellSpacing w:w="0" w:type="dxa"/>
        </w:trPr>
        <w:tc>
          <w:tcPr>
            <w:tcW w:w="0" w:type="auto"/>
            <w:shd w:val="clear" w:color="auto" w:fill="CCEEFF"/>
            <w:vAlign w:val="bottom"/>
            <w:hideMark/>
          </w:tcPr>
          <w:p w14:paraId="381EB43B" w14:textId="77777777" w:rsidR="00000000" w:rsidRDefault="0053651E">
            <w:pPr>
              <w:pStyle w:val="a3"/>
              <w:spacing w:before="0" w:beforeAutospacing="0" w:after="0" w:afterAutospacing="0"/>
              <w:ind w:left="180"/>
              <w:rPr>
                <w:sz w:val="20"/>
                <w:szCs w:val="20"/>
              </w:rPr>
            </w:pPr>
            <w:r>
              <w:rPr>
                <w:sz w:val="20"/>
                <w:szCs w:val="20"/>
              </w:rPr>
              <w:t>Gain on forgiveness of debt</w:t>
            </w:r>
          </w:p>
        </w:tc>
        <w:tc>
          <w:tcPr>
            <w:tcW w:w="50" w:type="pct"/>
            <w:shd w:val="clear" w:color="auto" w:fill="CCEEFF"/>
            <w:vAlign w:val="bottom"/>
            <w:hideMark/>
          </w:tcPr>
          <w:p w14:paraId="0CF503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9A6E7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8DBA87" w14:textId="77777777" w:rsidR="00000000" w:rsidRDefault="0053651E">
            <w:pPr>
              <w:jc w:val="right"/>
              <w:rPr>
                <w:rFonts w:eastAsia="Times New Roman"/>
                <w:sz w:val="20"/>
                <w:szCs w:val="20"/>
              </w:rPr>
            </w:pPr>
            <w:r>
              <w:rPr>
                <w:rFonts w:eastAsia="Times New Roman"/>
                <w:sz w:val="20"/>
                <w:szCs w:val="20"/>
              </w:rPr>
              <w:t>(2,790</w:t>
            </w:r>
          </w:p>
        </w:tc>
        <w:tc>
          <w:tcPr>
            <w:tcW w:w="50" w:type="pct"/>
            <w:shd w:val="clear" w:color="auto" w:fill="CCEEFF"/>
            <w:vAlign w:val="bottom"/>
            <w:hideMark/>
          </w:tcPr>
          <w:p w14:paraId="5939B65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61423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9783A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8A301A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08419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D01A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ED70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DC8DB8" w14:textId="77777777" w:rsidR="00000000" w:rsidRDefault="0053651E">
            <w:pPr>
              <w:jc w:val="right"/>
              <w:rPr>
                <w:rFonts w:eastAsia="Times New Roman"/>
                <w:sz w:val="20"/>
                <w:szCs w:val="20"/>
              </w:rPr>
            </w:pPr>
            <w:r>
              <w:rPr>
                <w:rFonts w:eastAsia="Times New Roman"/>
                <w:sz w:val="20"/>
                <w:szCs w:val="20"/>
              </w:rPr>
              <w:t>(2,790</w:t>
            </w:r>
          </w:p>
        </w:tc>
        <w:tc>
          <w:tcPr>
            <w:tcW w:w="50" w:type="pct"/>
            <w:shd w:val="clear" w:color="auto" w:fill="CCEEFF"/>
            <w:vAlign w:val="bottom"/>
            <w:hideMark/>
          </w:tcPr>
          <w:p w14:paraId="7A35CC0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CE1BA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AD7E3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CD0E1AB" w14:textId="77777777" w:rsidR="00000000" w:rsidRDefault="0053651E">
            <w:pPr>
              <w:jc w:val="right"/>
              <w:rPr>
                <w:rFonts w:eastAsia="Times New Roman"/>
                <w:sz w:val="20"/>
                <w:szCs w:val="20"/>
              </w:rPr>
            </w:pPr>
            <w:r>
              <w:rPr>
                <w:rFonts w:eastAsia="Times New Roman"/>
                <w:sz w:val="20"/>
                <w:szCs w:val="20"/>
              </w:rPr>
              <w:t>(4,274</w:t>
            </w:r>
          </w:p>
        </w:tc>
        <w:tc>
          <w:tcPr>
            <w:tcW w:w="50" w:type="pct"/>
            <w:shd w:val="clear" w:color="auto" w:fill="CCEEFF"/>
            <w:vAlign w:val="bottom"/>
            <w:hideMark/>
          </w:tcPr>
          <w:p w14:paraId="246E5289" w14:textId="77777777" w:rsidR="00000000" w:rsidRDefault="0053651E">
            <w:pPr>
              <w:rPr>
                <w:rFonts w:eastAsia="Times New Roman"/>
                <w:sz w:val="20"/>
                <w:szCs w:val="20"/>
              </w:rPr>
            </w:pPr>
            <w:r>
              <w:rPr>
                <w:rFonts w:eastAsia="Times New Roman"/>
                <w:sz w:val="20"/>
                <w:szCs w:val="20"/>
              </w:rPr>
              <w:t>)</w:t>
            </w:r>
          </w:p>
        </w:tc>
      </w:tr>
      <w:tr w:rsidR="00000000" w14:paraId="6C9A3C80" w14:textId="77777777">
        <w:trPr>
          <w:tblCellSpacing w:w="0" w:type="dxa"/>
        </w:trPr>
        <w:tc>
          <w:tcPr>
            <w:tcW w:w="0" w:type="auto"/>
            <w:shd w:val="clear" w:color="auto" w:fill="FFFFFF"/>
            <w:vAlign w:val="bottom"/>
            <w:hideMark/>
          </w:tcPr>
          <w:p w14:paraId="23B669A9" w14:textId="77777777" w:rsidR="00000000" w:rsidRDefault="0053651E">
            <w:pPr>
              <w:pStyle w:val="a3"/>
              <w:spacing w:before="0" w:beforeAutospacing="0" w:after="0" w:afterAutospacing="0"/>
              <w:ind w:left="180"/>
              <w:rPr>
                <w:sz w:val="20"/>
                <w:szCs w:val="20"/>
              </w:rPr>
            </w:pPr>
            <w:r>
              <w:rPr>
                <w:sz w:val="20"/>
                <w:szCs w:val="20"/>
              </w:rPr>
              <w:t>Prepayment penalties</w:t>
            </w:r>
          </w:p>
        </w:tc>
        <w:tc>
          <w:tcPr>
            <w:tcW w:w="50" w:type="pct"/>
            <w:shd w:val="clear" w:color="auto" w:fill="FFFFFF"/>
            <w:vAlign w:val="bottom"/>
            <w:hideMark/>
          </w:tcPr>
          <w:p w14:paraId="280032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E0F8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29683AF"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346C2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8DED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E0A76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482E35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C57B6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0F93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96C32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EC9052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0D6C7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A079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6B7DA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BC09E1A"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14:paraId="677E1FE3" w14:textId="77777777" w:rsidR="00000000" w:rsidRDefault="0053651E">
            <w:pPr>
              <w:rPr>
                <w:rFonts w:eastAsia="Times New Roman"/>
                <w:sz w:val="20"/>
                <w:szCs w:val="20"/>
              </w:rPr>
            </w:pPr>
            <w:r>
              <w:rPr>
                <w:rFonts w:eastAsia="Times New Roman"/>
                <w:sz w:val="20"/>
                <w:szCs w:val="20"/>
              </w:rPr>
              <w:t> </w:t>
            </w:r>
          </w:p>
        </w:tc>
      </w:tr>
      <w:tr w:rsidR="00000000" w14:paraId="6A34D608" w14:textId="77777777">
        <w:trPr>
          <w:tblCellSpacing w:w="0" w:type="dxa"/>
        </w:trPr>
        <w:tc>
          <w:tcPr>
            <w:tcW w:w="0" w:type="auto"/>
            <w:shd w:val="clear" w:color="auto" w:fill="CCEEFF"/>
            <w:vAlign w:val="bottom"/>
            <w:hideMark/>
          </w:tcPr>
          <w:p w14:paraId="740FF00F" w14:textId="77777777" w:rsidR="00000000" w:rsidRDefault="0053651E">
            <w:pPr>
              <w:pStyle w:val="a3"/>
              <w:spacing w:before="0" w:beforeAutospacing="0" w:after="0" w:afterAutospacing="0"/>
              <w:ind w:left="180"/>
              <w:rPr>
                <w:sz w:val="20"/>
                <w:szCs w:val="20"/>
              </w:rPr>
            </w:pPr>
            <w:r>
              <w:rPr>
                <w:sz w:val="20"/>
                <w:szCs w:val="20"/>
              </w:rPr>
              <w:t>Severance costs</w:t>
            </w:r>
          </w:p>
        </w:tc>
        <w:tc>
          <w:tcPr>
            <w:tcW w:w="50" w:type="pct"/>
            <w:shd w:val="clear" w:color="auto" w:fill="CCEEFF"/>
            <w:vAlign w:val="bottom"/>
            <w:hideMark/>
          </w:tcPr>
          <w:p w14:paraId="22796F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B76BA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2AA8E1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419AB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CF48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1D482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66622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ED045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03C5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C74E1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70AB5C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0ED21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38CB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D406D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17A1D7" w14:textId="77777777" w:rsidR="00000000" w:rsidRDefault="0053651E">
            <w:pPr>
              <w:jc w:val="right"/>
              <w:rPr>
                <w:rFonts w:eastAsia="Times New Roman"/>
                <w:sz w:val="20"/>
                <w:szCs w:val="20"/>
              </w:rPr>
            </w:pPr>
            <w:r>
              <w:rPr>
                <w:rFonts w:eastAsia="Times New Roman"/>
                <w:sz w:val="20"/>
                <w:szCs w:val="20"/>
              </w:rPr>
              <w:t>1,185</w:t>
            </w:r>
          </w:p>
        </w:tc>
        <w:tc>
          <w:tcPr>
            <w:tcW w:w="50" w:type="pct"/>
            <w:shd w:val="clear" w:color="auto" w:fill="CCEEFF"/>
            <w:vAlign w:val="bottom"/>
            <w:hideMark/>
          </w:tcPr>
          <w:p w14:paraId="5BA87F9F" w14:textId="77777777" w:rsidR="00000000" w:rsidRDefault="0053651E">
            <w:pPr>
              <w:rPr>
                <w:rFonts w:eastAsia="Times New Roman"/>
                <w:sz w:val="20"/>
                <w:szCs w:val="20"/>
              </w:rPr>
            </w:pPr>
            <w:r>
              <w:rPr>
                <w:rFonts w:eastAsia="Times New Roman"/>
                <w:sz w:val="20"/>
                <w:szCs w:val="20"/>
              </w:rPr>
              <w:t> </w:t>
            </w:r>
          </w:p>
        </w:tc>
      </w:tr>
      <w:tr w:rsidR="00000000" w14:paraId="071F1D7F" w14:textId="77777777">
        <w:trPr>
          <w:tblCellSpacing w:w="0" w:type="dxa"/>
        </w:trPr>
        <w:tc>
          <w:tcPr>
            <w:tcW w:w="0" w:type="auto"/>
            <w:shd w:val="clear" w:color="auto" w:fill="FFFFFF"/>
            <w:vAlign w:val="bottom"/>
            <w:hideMark/>
          </w:tcPr>
          <w:p w14:paraId="0803DC35" w14:textId="77777777" w:rsidR="00000000" w:rsidRDefault="0053651E">
            <w:pPr>
              <w:pStyle w:val="a3"/>
              <w:spacing w:before="0" w:beforeAutospacing="0" w:after="0" w:afterAutospacing="0"/>
              <w:ind w:left="180"/>
              <w:rPr>
                <w:sz w:val="20"/>
                <w:szCs w:val="20"/>
              </w:rPr>
            </w:pPr>
            <w:r>
              <w:rPr>
                <w:sz w:val="20"/>
                <w:szCs w:val="20"/>
              </w:rPr>
              <w:t>Preferred stock redemption charges</w:t>
            </w:r>
          </w:p>
        </w:tc>
        <w:tc>
          <w:tcPr>
            <w:tcW w:w="50" w:type="pct"/>
            <w:shd w:val="clear" w:color="auto" w:fill="FFFFFF"/>
            <w:vAlign w:val="bottom"/>
            <w:hideMark/>
          </w:tcPr>
          <w:p w14:paraId="172394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15205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4876894" w14:textId="77777777" w:rsidR="00000000" w:rsidRDefault="0053651E">
            <w:pPr>
              <w:jc w:val="right"/>
              <w:rPr>
                <w:rFonts w:eastAsia="Times New Roman"/>
                <w:sz w:val="20"/>
                <w:szCs w:val="20"/>
              </w:rPr>
            </w:pPr>
            <w:r>
              <w:rPr>
                <w:rFonts w:eastAsia="Times New Roman"/>
                <w:sz w:val="20"/>
                <w:szCs w:val="20"/>
              </w:rPr>
              <w:t>7,159</w:t>
            </w:r>
          </w:p>
        </w:tc>
        <w:tc>
          <w:tcPr>
            <w:tcW w:w="50" w:type="pct"/>
            <w:shd w:val="clear" w:color="auto" w:fill="FFFFFF"/>
            <w:vAlign w:val="bottom"/>
            <w:hideMark/>
          </w:tcPr>
          <w:p w14:paraId="59C3B2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A7D1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0AE8E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595232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57295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DBD6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C8C2A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BE180C0" w14:textId="77777777" w:rsidR="00000000" w:rsidRDefault="0053651E">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14:paraId="251523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EDEF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0CDC6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5703AE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D8F8CF2" w14:textId="77777777" w:rsidR="00000000" w:rsidRDefault="0053651E">
            <w:pPr>
              <w:rPr>
                <w:rFonts w:eastAsia="Times New Roman"/>
                <w:sz w:val="20"/>
                <w:szCs w:val="20"/>
              </w:rPr>
            </w:pPr>
            <w:r>
              <w:rPr>
                <w:rFonts w:eastAsia="Times New Roman"/>
                <w:sz w:val="20"/>
                <w:szCs w:val="20"/>
              </w:rPr>
              <w:t> </w:t>
            </w:r>
          </w:p>
        </w:tc>
      </w:tr>
      <w:tr w:rsidR="00000000" w14:paraId="4249433B" w14:textId="77777777">
        <w:trPr>
          <w:tblCellSpacing w:w="0" w:type="dxa"/>
        </w:trPr>
        <w:tc>
          <w:tcPr>
            <w:tcW w:w="0" w:type="auto"/>
            <w:shd w:val="clear" w:color="auto" w:fill="CCEEFF"/>
            <w:vAlign w:val="bottom"/>
            <w:hideMark/>
          </w:tcPr>
          <w:p w14:paraId="4FBB5519" w14:textId="77777777" w:rsidR="00000000" w:rsidRDefault="0053651E">
            <w:pPr>
              <w:pStyle w:val="a3"/>
              <w:spacing w:before="0" w:beforeAutospacing="0" w:after="0" w:afterAutospacing="0"/>
              <w:ind w:left="180"/>
              <w:rPr>
                <w:sz w:val="20"/>
                <w:szCs w:val="20"/>
              </w:rPr>
            </w:pPr>
            <w:r>
              <w:rPr>
                <w:sz w:val="20"/>
                <w:szCs w:val="20"/>
              </w:rPr>
              <w:t>Other income, net</w:t>
            </w:r>
          </w:p>
        </w:tc>
        <w:tc>
          <w:tcPr>
            <w:tcW w:w="50" w:type="pct"/>
            <w:shd w:val="clear" w:color="auto" w:fill="CCEEFF"/>
            <w:vAlign w:val="bottom"/>
            <w:hideMark/>
          </w:tcPr>
          <w:p w14:paraId="60BC704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2B551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16C2746" w14:textId="77777777" w:rsidR="00000000" w:rsidRDefault="0053651E">
            <w:pPr>
              <w:jc w:val="right"/>
              <w:rPr>
                <w:rFonts w:eastAsia="Times New Roman"/>
                <w:sz w:val="20"/>
                <w:szCs w:val="20"/>
              </w:rPr>
            </w:pPr>
            <w:r>
              <w:rPr>
                <w:rFonts w:eastAsia="Times New Roman"/>
                <w:sz w:val="20"/>
                <w:szCs w:val="20"/>
              </w:rPr>
              <w:t>(1,000</w:t>
            </w:r>
          </w:p>
        </w:tc>
        <w:tc>
          <w:tcPr>
            <w:tcW w:w="50" w:type="pct"/>
            <w:shd w:val="clear" w:color="auto" w:fill="CCEEFF"/>
            <w:tcMar>
              <w:top w:w="0" w:type="dxa"/>
              <w:left w:w="0" w:type="dxa"/>
              <w:bottom w:w="15" w:type="dxa"/>
              <w:right w:w="0" w:type="dxa"/>
            </w:tcMar>
            <w:vAlign w:val="bottom"/>
            <w:hideMark/>
          </w:tcPr>
          <w:p w14:paraId="5D2B930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BB545D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4454D6E"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1B84669" w14:textId="77777777" w:rsidR="00000000" w:rsidRDefault="0053651E">
            <w:pPr>
              <w:jc w:val="right"/>
              <w:rPr>
                <w:rFonts w:eastAsia="Times New Roman"/>
                <w:sz w:val="20"/>
                <w:szCs w:val="20"/>
              </w:rPr>
            </w:pPr>
            <w:r>
              <w:rPr>
                <w:rFonts w:eastAsia="Times New Roman"/>
                <w:sz w:val="20"/>
                <w:szCs w:val="20"/>
              </w:rPr>
              <w:t>(2,195</w:t>
            </w:r>
          </w:p>
        </w:tc>
        <w:tc>
          <w:tcPr>
            <w:tcW w:w="50" w:type="pct"/>
            <w:shd w:val="clear" w:color="auto" w:fill="CCEEFF"/>
            <w:tcMar>
              <w:top w:w="0" w:type="dxa"/>
              <w:left w:w="0" w:type="dxa"/>
              <w:bottom w:w="15" w:type="dxa"/>
              <w:right w:w="0" w:type="dxa"/>
            </w:tcMar>
            <w:vAlign w:val="bottom"/>
            <w:hideMark/>
          </w:tcPr>
          <w:p w14:paraId="6571EEA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EDC711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EAD6E5"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142E5BC" w14:textId="77777777" w:rsidR="00000000" w:rsidRDefault="0053651E">
            <w:pPr>
              <w:jc w:val="right"/>
              <w:rPr>
                <w:rFonts w:eastAsia="Times New Roman"/>
                <w:sz w:val="20"/>
                <w:szCs w:val="20"/>
              </w:rPr>
            </w:pPr>
            <w:r>
              <w:rPr>
                <w:rFonts w:eastAsia="Times New Roman"/>
                <w:sz w:val="20"/>
                <w:szCs w:val="20"/>
              </w:rPr>
              <w:t>(4,000</w:t>
            </w:r>
          </w:p>
        </w:tc>
        <w:tc>
          <w:tcPr>
            <w:tcW w:w="50" w:type="pct"/>
            <w:shd w:val="clear" w:color="auto" w:fill="CCEEFF"/>
            <w:tcMar>
              <w:top w:w="0" w:type="dxa"/>
              <w:left w:w="0" w:type="dxa"/>
              <w:bottom w:w="15" w:type="dxa"/>
              <w:right w:w="0" w:type="dxa"/>
            </w:tcMar>
            <w:vAlign w:val="bottom"/>
            <w:hideMark/>
          </w:tcPr>
          <w:p w14:paraId="0E742F4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A4638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3043FD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511C1FF" w14:textId="77777777" w:rsidR="00000000" w:rsidRDefault="0053651E">
            <w:pPr>
              <w:jc w:val="right"/>
              <w:rPr>
                <w:rFonts w:eastAsia="Times New Roman"/>
                <w:sz w:val="20"/>
                <w:szCs w:val="20"/>
              </w:rPr>
            </w:pPr>
            <w:r>
              <w:rPr>
                <w:rFonts w:eastAsia="Times New Roman"/>
                <w:sz w:val="20"/>
                <w:szCs w:val="20"/>
              </w:rPr>
              <w:t>(2,848</w:t>
            </w:r>
          </w:p>
        </w:tc>
        <w:tc>
          <w:tcPr>
            <w:tcW w:w="50" w:type="pct"/>
            <w:shd w:val="clear" w:color="auto" w:fill="CCEEFF"/>
            <w:tcMar>
              <w:top w:w="0" w:type="dxa"/>
              <w:left w:w="0" w:type="dxa"/>
              <w:bottom w:w="15" w:type="dxa"/>
              <w:right w:w="0" w:type="dxa"/>
            </w:tcMar>
            <w:vAlign w:val="bottom"/>
            <w:hideMark/>
          </w:tcPr>
          <w:p w14:paraId="354C1187" w14:textId="77777777" w:rsidR="00000000" w:rsidRDefault="0053651E">
            <w:pPr>
              <w:rPr>
                <w:rFonts w:eastAsia="Times New Roman"/>
                <w:sz w:val="20"/>
                <w:szCs w:val="20"/>
              </w:rPr>
            </w:pPr>
            <w:r>
              <w:rPr>
                <w:rFonts w:eastAsia="Times New Roman"/>
                <w:sz w:val="20"/>
                <w:szCs w:val="20"/>
              </w:rPr>
              <w:t>)</w:t>
            </w:r>
          </w:p>
        </w:tc>
      </w:tr>
      <w:tr w:rsidR="00000000" w14:paraId="7B7C3A67" w14:textId="77777777">
        <w:trPr>
          <w:tblCellSpacing w:w="0" w:type="dxa"/>
        </w:trPr>
        <w:tc>
          <w:tcPr>
            <w:tcW w:w="0" w:type="auto"/>
            <w:shd w:val="clear" w:color="auto" w:fill="FFFFFF"/>
            <w:vAlign w:val="bottom"/>
            <w:hideMark/>
          </w:tcPr>
          <w:p w14:paraId="0FA50A73" w14:textId="77777777" w:rsidR="00000000" w:rsidRDefault="0053651E">
            <w:pPr>
              <w:pStyle w:val="a3"/>
              <w:spacing w:before="0" w:beforeAutospacing="0" w:after="0" w:afterAutospacing="0"/>
              <w:rPr>
                <w:sz w:val="20"/>
                <w:szCs w:val="20"/>
              </w:rPr>
            </w:pPr>
            <w:r>
              <w:rPr>
                <w:sz w:val="20"/>
                <w:szCs w:val="20"/>
              </w:rPr>
              <w:t>Total transactional expense/(income), net</w:t>
            </w:r>
          </w:p>
        </w:tc>
        <w:tc>
          <w:tcPr>
            <w:tcW w:w="50" w:type="pct"/>
            <w:shd w:val="clear" w:color="auto" w:fill="FFFFFF"/>
            <w:vAlign w:val="bottom"/>
            <w:hideMark/>
          </w:tcPr>
          <w:p w14:paraId="498E935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DB7B8A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C342ADA" w14:textId="77777777" w:rsidR="00000000" w:rsidRDefault="0053651E">
            <w:pPr>
              <w:jc w:val="right"/>
              <w:rPr>
                <w:rFonts w:eastAsia="Times New Roman"/>
                <w:sz w:val="20"/>
                <w:szCs w:val="20"/>
              </w:rPr>
            </w:pPr>
            <w:r>
              <w:rPr>
                <w:rFonts w:eastAsia="Times New Roman"/>
                <w:sz w:val="20"/>
                <w:szCs w:val="20"/>
              </w:rPr>
              <w:t>3,369</w:t>
            </w:r>
          </w:p>
        </w:tc>
        <w:tc>
          <w:tcPr>
            <w:tcW w:w="50" w:type="pct"/>
            <w:shd w:val="clear" w:color="auto" w:fill="FFFFFF"/>
            <w:tcMar>
              <w:top w:w="0" w:type="dxa"/>
              <w:left w:w="0" w:type="dxa"/>
              <w:bottom w:w="15" w:type="dxa"/>
              <w:right w:w="0" w:type="dxa"/>
            </w:tcMar>
            <w:vAlign w:val="bottom"/>
            <w:hideMark/>
          </w:tcPr>
          <w:p w14:paraId="485C9F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6479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DA7E57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D1A5C1E" w14:textId="77777777" w:rsidR="00000000" w:rsidRDefault="0053651E">
            <w:pPr>
              <w:jc w:val="right"/>
              <w:rPr>
                <w:rFonts w:eastAsia="Times New Roman"/>
                <w:sz w:val="20"/>
                <w:szCs w:val="20"/>
              </w:rPr>
            </w:pPr>
            <w:r>
              <w:rPr>
                <w:rFonts w:eastAsia="Times New Roman"/>
                <w:sz w:val="20"/>
                <w:szCs w:val="20"/>
              </w:rPr>
              <w:t>(2,195</w:t>
            </w:r>
          </w:p>
        </w:tc>
        <w:tc>
          <w:tcPr>
            <w:tcW w:w="50" w:type="pct"/>
            <w:shd w:val="clear" w:color="auto" w:fill="FFFFFF"/>
            <w:tcMar>
              <w:top w:w="0" w:type="dxa"/>
              <w:left w:w="0" w:type="dxa"/>
              <w:bottom w:w="15" w:type="dxa"/>
              <w:right w:w="0" w:type="dxa"/>
            </w:tcMar>
            <w:vAlign w:val="bottom"/>
            <w:hideMark/>
          </w:tcPr>
          <w:p w14:paraId="274CE7F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C6B5BA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DA6D6C0"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489647C" w14:textId="77777777" w:rsidR="00000000" w:rsidRDefault="0053651E">
            <w:pPr>
              <w:jc w:val="right"/>
              <w:rPr>
                <w:rFonts w:eastAsia="Times New Roman"/>
                <w:sz w:val="20"/>
                <w:szCs w:val="20"/>
              </w:rPr>
            </w:pPr>
            <w:r>
              <w:rPr>
                <w:rFonts w:eastAsia="Times New Roman"/>
                <w:sz w:val="20"/>
                <w:szCs w:val="20"/>
              </w:rPr>
              <w:t>11,738</w:t>
            </w:r>
          </w:p>
        </w:tc>
        <w:tc>
          <w:tcPr>
            <w:tcW w:w="50" w:type="pct"/>
            <w:shd w:val="clear" w:color="auto" w:fill="FFFFFF"/>
            <w:tcMar>
              <w:top w:w="0" w:type="dxa"/>
              <w:left w:w="0" w:type="dxa"/>
              <w:bottom w:w="15" w:type="dxa"/>
              <w:right w:w="0" w:type="dxa"/>
            </w:tcMar>
            <w:vAlign w:val="bottom"/>
            <w:hideMark/>
          </w:tcPr>
          <w:p w14:paraId="75E0AF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BE916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DBDA4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151BDCB" w14:textId="77777777" w:rsidR="00000000" w:rsidRDefault="0053651E">
            <w:pPr>
              <w:jc w:val="right"/>
              <w:rPr>
                <w:rFonts w:eastAsia="Times New Roman"/>
                <w:sz w:val="20"/>
                <w:szCs w:val="20"/>
              </w:rPr>
            </w:pPr>
            <w:r>
              <w:rPr>
                <w:rFonts w:eastAsia="Times New Roman"/>
                <w:sz w:val="20"/>
                <w:szCs w:val="20"/>
              </w:rPr>
              <w:t>3,275</w:t>
            </w:r>
          </w:p>
        </w:tc>
        <w:tc>
          <w:tcPr>
            <w:tcW w:w="50" w:type="pct"/>
            <w:shd w:val="clear" w:color="auto" w:fill="FFFFFF"/>
            <w:tcMar>
              <w:top w:w="0" w:type="dxa"/>
              <w:left w:w="0" w:type="dxa"/>
              <w:bottom w:w="15" w:type="dxa"/>
              <w:right w:w="0" w:type="dxa"/>
            </w:tcMar>
            <w:vAlign w:val="bottom"/>
            <w:hideMark/>
          </w:tcPr>
          <w:p w14:paraId="27EAF315" w14:textId="77777777" w:rsidR="00000000" w:rsidRDefault="0053651E">
            <w:pPr>
              <w:rPr>
                <w:rFonts w:eastAsia="Times New Roman"/>
                <w:sz w:val="20"/>
                <w:szCs w:val="20"/>
              </w:rPr>
            </w:pPr>
            <w:r>
              <w:rPr>
                <w:rFonts w:eastAsia="Times New Roman"/>
                <w:sz w:val="20"/>
                <w:szCs w:val="20"/>
              </w:rPr>
              <w:t> </w:t>
            </w:r>
          </w:p>
        </w:tc>
      </w:tr>
      <w:tr w:rsidR="00000000" w14:paraId="350943E2" w14:textId="77777777">
        <w:trPr>
          <w:tblCellSpacing w:w="0" w:type="dxa"/>
        </w:trPr>
        <w:tc>
          <w:tcPr>
            <w:tcW w:w="0" w:type="auto"/>
            <w:shd w:val="clear" w:color="auto" w:fill="CCEEFF"/>
            <w:vAlign w:val="bottom"/>
            <w:hideMark/>
          </w:tcPr>
          <w:p w14:paraId="67D97016" w14:textId="77777777" w:rsidR="00000000" w:rsidRDefault="0053651E">
            <w:pPr>
              <w:pStyle w:val="a3"/>
              <w:spacing w:before="0" w:beforeAutospacing="0" w:after="0" w:afterAutospacing="0"/>
              <w:rPr>
                <w:sz w:val="20"/>
                <w:szCs w:val="20"/>
              </w:rPr>
            </w:pPr>
            <w:r>
              <w:rPr>
                <w:b/>
                <w:bCs/>
                <w:sz w:val="20"/>
                <w:szCs w:val="20"/>
              </w:rPr>
              <w:t>FFO available to the Company’s common shareholders as adjusted</w:t>
            </w:r>
          </w:p>
        </w:tc>
        <w:tc>
          <w:tcPr>
            <w:tcW w:w="50" w:type="pct"/>
            <w:shd w:val="clear" w:color="auto" w:fill="CCEEFF"/>
            <w:vAlign w:val="bottom"/>
            <w:hideMark/>
          </w:tcPr>
          <w:p w14:paraId="1BADE0C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894CB2B"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F431625" w14:textId="77777777" w:rsidR="00000000" w:rsidRDefault="0053651E">
            <w:pPr>
              <w:jc w:val="right"/>
              <w:rPr>
                <w:rFonts w:eastAsia="Times New Roman"/>
                <w:sz w:val="20"/>
                <w:szCs w:val="20"/>
              </w:rPr>
            </w:pPr>
            <w:r>
              <w:rPr>
                <w:rFonts w:eastAsia="Times New Roman"/>
                <w:b/>
                <w:bCs/>
                <w:sz w:val="20"/>
                <w:szCs w:val="20"/>
              </w:rPr>
              <w:t>155,262</w:t>
            </w:r>
          </w:p>
        </w:tc>
        <w:tc>
          <w:tcPr>
            <w:tcW w:w="50" w:type="pct"/>
            <w:shd w:val="clear" w:color="auto" w:fill="CCEEFF"/>
            <w:tcMar>
              <w:top w:w="0" w:type="dxa"/>
              <w:left w:w="0" w:type="dxa"/>
              <w:bottom w:w="45" w:type="dxa"/>
              <w:right w:w="0" w:type="dxa"/>
            </w:tcMar>
            <w:vAlign w:val="bottom"/>
            <w:hideMark/>
          </w:tcPr>
          <w:p w14:paraId="4BB58E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26486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B4C94C"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149B4AB2" w14:textId="77777777" w:rsidR="00000000" w:rsidRDefault="0053651E">
            <w:pPr>
              <w:jc w:val="right"/>
              <w:rPr>
                <w:rFonts w:eastAsia="Times New Roman"/>
                <w:sz w:val="20"/>
                <w:szCs w:val="20"/>
              </w:rPr>
            </w:pPr>
            <w:r>
              <w:rPr>
                <w:rFonts w:eastAsia="Times New Roman"/>
                <w:b/>
                <w:bCs/>
                <w:sz w:val="20"/>
                <w:szCs w:val="20"/>
              </w:rPr>
              <w:t>147,415</w:t>
            </w:r>
          </w:p>
        </w:tc>
        <w:tc>
          <w:tcPr>
            <w:tcW w:w="50" w:type="pct"/>
            <w:shd w:val="clear" w:color="auto" w:fill="CCEEFF"/>
            <w:tcMar>
              <w:top w:w="0" w:type="dxa"/>
              <w:left w:w="0" w:type="dxa"/>
              <w:bottom w:w="45" w:type="dxa"/>
              <w:right w:w="0" w:type="dxa"/>
            </w:tcMar>
            <w:vAlign w:val="bottom"/>
            <w:hideMark/>
          </w:tcPr>
          <w:p w14:paraId="248D39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D9202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CB2D627"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13CE5E2D" w14:textId="77777777" w:rsidR="00000000" w:rsidRDefault="0053651E">
            <w:pPr>
              <w:jc w:val="right"/>
              <w:rPr>
                <w:rFonts w:eastAsia="Times New Roman"/>
                <w:sz w:val="20"/>
                <w:szCs w:val="20"/>
              </w:rPr>
            </w:pPr>
            <w:r>
              <w:rPr>
                <w:rFonts w:eastAsia="Times New Roman"/>
                <w:b/>
                <w:bCs/>
                <w:sz w:val="20"/>
                <w:szCs w:val="20"/>
              </w:rPr>
              <w:t>620,116</w:t>
            </w:r>
          </w:p>
        </w:tc>
        <w:tc>
          <w:tcPr>
            <w:tcW w:w="50" w:type="pct"/>
            <w:shd w:val="clear" w:color="auto" w:fill="CCEEFF"/>
            <w:tcMar>
              <w:top w:w="0" w:type="dxa"/>
              <w:left w:w="0" w:type="dxa"/>
              <w:bottom w:w="45" w:type="dxa"/>
              <w:right w:w="0" w:type="dxa"/>
            </w:tcMar>
            <w:vAlign w:val="bottom"/>
            <w:hideMark/>
          </w:tcPr>
          <w:p w14:paraId="6EFFAD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A3867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6A6B74"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62A93461" w14:textId="77777777" w:rsidR="00000000" w:rsidRDefault="0053651E">
            <w:pPr>
              <w:jc w:val="right"/>
              <w:rPr>
                <w:rFonts w:eastAsia="Times New Roman"/>
                <w:sz w:val="20"/>
                <w:szCs w:val="20"/>
              </w:rPr>
            </w:pPr>
            <w:r>
              <w:rPr>
                <w:rFonts w:eastAsia="Times New Roman"/>
                <w:b/>
                <w:bCs/>
                <w:sz w:val="20"/>
                <w:szCs w:val="20"/>
              </w:rPr>
              <w:t>613,043</w:t>
            </w:r>
          </w:p>
        </w:tc>
        <w:tc>
          <w:tcPr>
            <w:tcW w:w="50" w:type="pct"/>
            <w:shd w:val="clear" w:color="auto" w:fill="CCEEFF"/>
            <w:tcMar>
              <w:top w:w="0" w:type="dxa"/>
              <w:left w:w="0" w:type="dxa"/>
              <w:bottom w:w="45" w:type="dxa"/>
              <w:right w:w="0" w:type="dxa"/>
            </w:tcMar>
            <w:vAlign w:val="bottom"/>
            <w:hideMark/>
          </w:tcPr>
          <w:p w14:paraId="104B5504" w14:textId="77777777" w:rsidR="00000000" w:rsidRDefault="0053651E">
            <w:pPr>
              <w:rPr>
                <w:rFonts w:eastAsia="Times New Roman"/>
                <w:sz w:val="20"/>
                <w:szCs w:val="20"/>
              </w:rPr>
            </w:pPr>
            <w:r>
              <w:rPr>
                <w:rFonts w:eastAsia="Times New Roman"/>
                <w:sz w:val="20"/>
                <w:szCs w:val="20"/>
              </w:rPr>
              <w:t> </w:t>
            </w:r>
          </w:p>
        </w:tc>
      </w:tr>
      <w:tr w:rsidR="00000000" w14:paraId="51BB1EB0" w14:textId="77777777">
        <w:trPr>
          <w:tblCellSpacing w:w="0" w:type="dxa"/>
        </w:trPr>
        <w:tc>
          <w:tcPr>
            <w:tcW w:w="0" w:type="auto"/>
            <w:shd w:val="clear" w:color="auto" w:fill="FFFFFF"/>
            <w:vAlign w:val="bottom"/>
            <w:hideMark/>
          </w:tcPr>
          <w:p w14:paraId="3F7E0F3E" w14:textId="77777777" w:rsidR="00000000" w:rsidRDefault="0053651E">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14:paraId="621B84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BEDC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240F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64D5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6FD1B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CE4E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279D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A19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14EA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B92D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EDD4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F246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A49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039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B35A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536FA" w14:textId="77777777" w:rsidR="00000000" w:rsidRDefault="0053651E">
            <w:pPr>
              <w:rPr>
                <w:rFonts w:eastAsia="Times New Roman"/>
                <w:sz w:val="20"/>
                <w:szCs w:val="20"/>
              </w:rPr>
            </w:pPr>
            <w:r>
              <w:rPr>
                <w:rFonts w:eastAsia="Times New Roman"/>
                <w:sz w:val="20"/>
                <w:szCs w:val="20"/>
              </w:rPr>
              <w:t> </w:t>
            </w:r>
          </w:p>
        </w:tc>
      </w:tr>
      <w:tr w:rsidR="00000000" w14:paraId="45944966" w14:textId="77777777">
        <w:trPr>
          <w:tblCellSpacing w:w="0" w:type="dxa"/>
        </w:trPr>
        <w:tc>
          <w:tcPr>
            <w:tcW w:w="0" w:type="auto"/>
            <w:shd w:val="clear" w:color="auto" w:fill="CCEEFF"/>
            <w:vAlign w:val="bottom"/>
            <w:hideMark/>
          </w:tcPr>
          <w:p w14:paraId="1295282C" w14:textId="77777777" w:rsidR="00000000" w:rsidRDefault="0053651E">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14:paraId="7F32D87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CA7BED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A526946" w14:textId="77777777" w:rsidR="00000000" w:rsidRDefault="0053651E">
            <w:pPr>
              <w:jc w:val="right"/>
              <w:rPr>
                <w:rFonts w:eastAsia="Times New Roman"/>
                <w:sz w:val="20"/>
                <w:szCs w:val="20"/>
              </w:rPr>
            </w:pPr>
            <w:r>
              <w:rPr>
                <w:rFonts w:eastAsia="Times New Roman"/>
                <w:sz w:val="20"/>
                <w:szCs w:val="20"/>
              </w:rPr>
              <w:t>422,467</w:t>
            </w:r>
          </w:p>
        </w:tc>
        <w:tc>
          <w:tcPr>
            <w:tcW w:w="50" w:type="pct"/>
            <w:shd w:val="clear" w:color="auto" w:fill="CCEEFF"/>
            <w:tcMar>
              <w:top w:w="0" w:type="dxa"/>
              <w:left w:w="0" w:type="dxa"/>
              <w:bottom w:w="15" w:type="dxa"/>
              <w:right w:w="0" w:type="dxa"/>
            </w:tcMar>
            <w:vAlign w:val="bottom"/>
            <w:hideMark/>
          </w:tcPr>
          <w:p w14:paraId="369D6A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0633A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F8342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4F6B07E" w14:textId="77777777" w:rsidR="00000000" w:rsidRDefault="0053651E">
            <w:pPr>
              <w:jc w:val="right"/>
              <w:rPr>
                <w:rFonts w:eastAsia="Times New Roman"/>
                <w:sz w:val="20"/>
                <w:szCs w:val="20"/>
              </w:rPr>
            </w:pPr>
            <w:r>
              <w:rPr>
                <w:rFonts w:eastAsia="Times New Roman"/>
                <w:sz w:val="20"/>
                <w:szCs w:val="20"/>
              </w:rPr>
              <w:t>419,258</w:t>
            </w:r>
          </w:p>
        </w:tc>
        <w:tc>
          <w:tcPr>
            <w:tcW w:w="50" w:type="pct"/>
            <w:shd w:val="clear" w:color="auto" w:fill="CCEEFF"/>
            <w:tcMar>
              <w:top w:w="0" w:type="dxa"/>
              <w:left w:w="0" w:type="dxa"/>
              <w:bottom w:w="15" w:type="dxa"/>
              <w:right w:w="0" w:type="dxa"/>
            </w:tcMar>
            <w:vAlign w:val="bottom"/>
            <w:hideMark/>
          </w:tcPr>
          <w:p w14:paraId="06DD74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D8363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A5D61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A123999" w14:textId="77777777" w:rsidR="00000000" w:rsidRDefault="0053651E">
            <w:pPr>
              <w:jc w:val="right"/>
              <w:rPr>
                <w:rFonts w:eastAsia="Times New Roman"/>
                <w:sz w:val="20"/>
                <w:szCs w:val="20"/>
              </w:rPr>
            </w:pPr>
            <w:r>
              <w:rPr>
                <w:rFonts w:eastAsia="Times New Roman"/>
                <w:sz w:val="20"/>
                <w:szCs w:val="20"/>
              </w:rPr>
              <w:t>420,370</w:t>
            </w:r>
          </w:p>
        </w:tc>
        <w:tc>
          <w:tcPr>
            <w:tcW w:w="50" w:type="pct"/>
            <w:shd w:val="clear" w:color="auto" w:fill="CCEEFF"/>
            <w:tcMar>
              <w:top w:w="0" w:type="dxa"/>
              <w:left w:w="0" w:type="dxa"/>
              <w:bottom w:w="15" w:type="dxa"/>
              <w:right w:w="0" w:type="dxa"/>
            </w:tcMar>
            <w:vAlign w:val="bottom"/>
            <w:hideMark/>
          </w:tcPr>
          <w:p w14:paraId="783859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DCE88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D14A2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D167C1A" w14:textId="77777777" w:rsidR="00000000" w:rsidRDefault="0053651E">
            <w:pPr>
              <w:jc w:val="right"/>
              <w:rPr>
                <w:rFonts w:eastAsia="Times New Roman"/>
                <w:sz w:val="20"/>
                <w:szCs w:val="20"/>
              </w:rPr>
            </w:pPr>
            <w:r>
              <w:rPr>
                <w:rFonts w:eastAsia="Times New Roman"/>
                <w:sz w:val="20"/>
                <w:szCs w:val="20"/>
              </w:rPr>
              <w:t>420,641</w:t>
            </w:r>
          </w:p>
        </w:tc>
        <w:tc>
          <w:tcPr>
            <w:tcW w:w="50" w:type="pct"/>
            <w:shd w:val="clear" w:color="auto" w:fill="CCEEFF"/>
            <w:tcMar>
              <w:top w:w="0" w:type="dxa"/>
              <w:left w:w="0" w:type="dxa"/>
              <w:bottom w:w="15" w:type="dxa"/>
              <w:right w:w="0" w:type="dxa"/>
            </w:tcMar>
            <w:vAlign w:val="bottom"/>
            <w:hideMark/>
          </w:tcPr>
          <w:p w14:paraId="62A3EBA7" w14:textId="77777777" w:rsidR="00000000" w:rsidRDefault="0053651E">
            <w:pPr>
              <w:rPr>
                <w:rFonts w:eastAsia="Times New Roman"/>
                <w:sz w:val="20"/>
                <w:szCs w:val="20"/>
              </w:rPr>
            </w:pPr>
            <w:r>
              <w:rPr>
                <w:rFonts w:eastAsia="Times New Roman"/>
                <w:sz w:val="20"/>
                <w:szCs w:val="20"/>
              </w:rPr>
              <w:t> </w:t>
            </w:r>
          </w:p>
        </w:tc>
      </w:tr>
      <w:tr w:rsidR="00000000" w14:paraId="29A98851" w14:textId="77777777">
        <w:trPr>
          <w:tblCellSpacing w:w="0" w:type="dxa"/>
        </w:trPr>
        <w:tc>
          <w:tcPr>
            <w:tcW w:w="0" w:type="auto"/>
            <w:shd w:val="clear" w:color="auto" w:fill="FFFFFF"/>
            <w:vAlign w:val="bottom"/>
            <w:hideMark/>
          </w:tcPr>
          <w:p w14:paraId="64D09ED3" w14:textId="77777777" w:rsidR="00000000" w:rsidRDefault="0053651E">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14:paraId="3269FD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2F63E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0188289" w14:textId="77777777" w:rsidR="00000000" w:rsidRDefault="0053651E">
            <w:pPr>
              <w:jc w:val="right"/>
              <w:rPr>
                <w:rFonts w:eastAsia="Times New Roman"/>
                <w:sz w:val="20"/>
                <w:szCs w:val="20"/>
              </w:rPr>
            </w:pPr>
            <w:r>
              <w:rPr>
                <w:rFonts w:eastAsia="Times New Roman"/>
                <w:sz w:val="20"/>
                <w:szCs w:val="20"/>
              </w:rPr>
              <w:t>777</w:t>
            </w:r>
          </w:p>
        </w:tc>
        <w:tc>
          <w:tcPr>
            <w:tcW w:w="50" w:type="pct"/>
            <w:shd w:val="clear" w:color="auto" w:fill="FFFFFF"/>
            <w:vAlign w:val="bottom"/>
            <w:hideMark/>
          </w:tcPr>
          <w:p w14:paraId="2754B8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23F0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C7AAE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7F4E27F" w14:textId="77777777" w:rsidR="00000000" w:rsidRDefault="0053651E">
            <w:pPr>
              <w:jc w:val="right"/>
              <w:rPr>
                <w:rFonts w:eastAsia="Times New Roman"/>
                <w:sz w:val="20"/>
                <w:szCs w:val="20"/>
              </w:rPr>
            </w:pPr>
            <w:r>
              <w:rPr>
                <w:rFonts w:eastAsia="Times New Roman"/>
                <w:sz w:val="20"/>
                <w:szCs w:val="20"/>
              </w:rPr>
              <w:t>837</w:t>
            </w:r>
          </w:p>
        </w:tc>
        <w:tc>
          <w:tcPr>
            <w:tcW w:w="50" w:type="pct"/>
            <w:shd w:val="clear" w:color="auto" w:fill="FFFFFF"/>
            <w:vAlign w:val="bottom"/>
            <w:hideMark/>
          </w:tcPr>
          <w:p w14:paraId="78A1F5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63A1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49751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A1DF702" w14:textId="77777777" w:rsidR="00000000" w:rsidRDefault="0053651E">
            <w:pPr>
              <w:jc w:val="right"/>
              <w:rPr>
                <w:rFonts w:eastAsia="Times New Roman"/>
                <w:sz w:val="20"/>
                <w:szCs w:val="20"/>
              </w:rPr>
            </w:pPr>
            <w:r>
              <w:rPr>
                <w:rFonts w:eastAsia="Times New Roman"/>
                <w:sz w:val="20"/>
                <w:szCs w:val="20"/>
              </w:rPr>
              <w:t>826</w:t>
            </w:r>
          </w:p>
        </w:tc>
        <w:tc>
          <w:tcPr>
            <w:tcW w:w="50" w:type="pct"/>
            <w:shd w:val="clear" w:color="auto" w:fill="FFFFFF"/>
            <w:vAlign w:val="bottom"/>
            <w:hideMark/>
          </w:tcPr>
          <w:p w14:paraId="0A99C0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8162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9E1EB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0D626B" w14:textId="77777777" w:rsidR="00000000" w:rsidRDefault="0053651E">
            <w:pPr>
              <w:jc w:val="right"/>
              <w:rPr>
                <w:rFonts w:eastAsia="Times New Roman"/>
                <w:sz w:val="20"/>
                <w:szCs w:val="20"/>
              </w:rPr>
            </w:pPr>
            <w:r>
              <w:rPr>
                <w:rFonts w:eastAsia="Times New Roman"/>
                <w:sz w:val="20"/>
                <w:szCs w:val="20"/>
              </w:rPr>
              <w:t>835</w:t>
            </w:r>
          </w:p>
        </w:tc>
        <w:tc>
          <w:tcPr>
            <w:tcW w:w="50" w:type="pct"/>
            <w:shd w:val="clear" w:color="auto" w:fill="FFFFFF"/>
            <w:vAlign w:val="bottom"/>
            <w:hideMark/>
          </w:tcPr>
          <w:p w14:paraId="66857A16" w14:textId="77777777" w:rsidR="00000000" w:rsidRDefault="0053651E">
            <w:pPr>
              <w:rPr>
                <w:rFonts w:eastAsia="Times New Roman"/>
                <w:sz w:val="20"/>
                <w:szCs w:val="20"/>
              </w:rPr>
            </w:pPr>
            <w:r>
              <w:rPr>
                <w:rFonts w:eastAsia="Times New Roman"/>
                <w:sz w:val="20"/>
                <w:szCs w:val="20"/>
              </w:rPr>
              <w:t> </w:t>
            </w:r>
          </w:p>
        </w:tc>
      </w:tr>
      <w:tr w:rsidR="00000000" w14:paraId="7CC224E4" w14:textId="77777777">
        <w:trPr>
          <w:tblCellSpacing w:w="0" w:type="dxa"/>
        </w:trPr>
        <w:tc>
          <w:tcPr>
            <w:tcW w:w="0" w:type="auto"/>
            <w:shd w:val="clear" w:color="auto" w:fill="CCEEFF"/>
            <w:vAlign w:val="bottom"/>
            <w:hideMark/>
          </w:tcPr>
          <w:p w14:paraId="67DF5B99" w14:textId="77777777" w:rsidR="00000000" w:rsidRDefault="0053651E">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14:paraId="7EC9E40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23EE75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23EEBC5" w14:textId="77777777" w:rsidR="00000000" w:rsidRDefault="0053651E">
            <w:pPr>
              <w:jc w:val="right"/>
              <w:rPr>
                <w:rFonts w:eastAsia="Times New Roman"/>
                <w:sz w:val="20"/>
                <w:szCs w:val="20"/>
              </w:rPr>
            </w:pPr>
            <w:r>
              <w:rPr>
                <w:rFonts w:eastAsia="Times New Roman"/>
                <w:sz w:val="20"/>
                <w:szCs w:val="20"/>
              </w:rPr>
              <w:t>1,336</w:t>
            </w:r>
          </w:p>
        </w:tc>
        <w:tc>
          <w:tcPr>
            <w:tcW w:w="50" w:type="pct"/>
            <w:shd w:val="clear" w:color="auto" w:fill="CCEEFF"/>
            <w:tcMar>
              <w:top w:w="0" w:type="dxa"/>
              <w:left w:w="0" w:type="dxa"/>
              <w:bottom w:w="15" w:type="dxa"/>
              <w:right w:w="0" w:type="dxa"/>
            </w:tcMar>
            <w:vAlign w:val="bottom"/>
            <w:hideMark/>
          </w:tcPr>
          <w:p w14:paraId="22E7D0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AEE0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CA57F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29D54E8" w14:textId="77777777" w:rsidR="00000000" w:rsidRDefault="0053651E">
            <w:pPr>
              <w:jc w:val="right"/>
              <w:rPr>
                <w:rFonts w:eastAsia="Times New Roman"/>
                <w:sz w:val="20"/>
                <w:szCs w:val="20"/>
              </w:rPr>
            </w:pPr>
            <w:r>
              <w:rPr>
                <w:rFonts w:eastAsia="Times New Roman"/>
                <w:sz w:val="20"/>
                <w:szCs w:val="20"/>
              </w:rPr>
              <w:t>628</w:t>
            </w:r>
          </w:p>
        </w:tc>
        <w:tc>
          <w:tcPr>
            <w:tcW w:w="50" w:type="pct"/>
            <w:shd w:val="clear" w:color="auto" w:fill="CCEEFF"/>
            <w:tcMar>
              <w:top w:w="0" w:type="dxa"/>
              <w:left w:w="0" w:type="dxa"/>
              <w:bottom w:w="15" w:type="dxa"/>
              <w:right w:w="0" w:type="dxa"/>
            </w:tcMar>
            <w:vAlign w:val="bottom"/>
            <w:hideMark/>
          </w:tcPr>
          <w:p w14:paraId="68CF08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7D1D8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FE39CE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A08808C" w14:textId="77777777" w:rsidR="00000000" w:rsidRDefault="0053651E">
            <w:pPr>
              <w:jc w:val="right"/>
              <w:rPr>
                <w:rFonts w:eastAsia="Times New Roman"/>
                <w:sz w:val="20"/>
                <w:szCs w:val="20"/>
              </w:rPr>
            </w:pPr>
            <w:r>
              <w:rPr>
                <w:rFonts w:eastAsia="Times New Roman"/>
                <w:sz w:val="20"/>
                <w:szCs w:val="20"/>
              </w:rPr>
              <w:t>1,365</w:t>
            </w:r>
          </w:p>
        </w:tc>
        <w:tc>
          <w:tcPr>
            <w:tcW w:w="50" w:type="pct"/>
            <w:shd w:val="clear" w:color="auto" w:fill="CCEEFF"/>
            <w:tcMar>
              <w:top w:w="0" w:type="dxa"/>
              <w:left w:w="0" w:type="dxa"/>
              <w:bottom w:w="15" w:type="dxa"/>
              <w:right w:w="0" w:type="dxa"/>
            </w:tcMar>
            <w:vAlign w:val="bottom"/>
            <w:hideMark/>
          </w:tcPr>
          <w:p w14:paraId="133861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F912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259B20D"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6105D3D" w14:textId="77777777" w:rsidR="00000000" w:rsidRDefault="0053651E">
            <w:pPr>
              <w:jc w:val="right"/>
              <w:rPr>
                <w:rFonts w:eastAsia="Times New Roman"/>
                <w:sz w:val="20"/>
                <w:szCs w:val="20"/>
              </w:rPr>
            </w:pPr>
            <w:r>
              <w:rPr>
                <w:rFonts w:eastAsia="Times New Roman"/>
                <w:sz w:val="20"/>
                <w:szCs w:val="20"/>
              </w:rPr>
              <w:t>629</w:t>
            </w:r>
          </w:p>
        </w:tc>
        <w:tc>
          <w:tcPr>
            <w:tcW w:w="50" w:type="pct"/>
            <w:shd w:val="clear" w:color="auto" w:fill="CCEEFF"/>
            <w:tcMar>
              <w:top w:w="0" w:type="dxa"/>
              <w:left w:w="0" w:type="dxa"/>
              <w:bottom w:w="15" w:type="dxa"/>
              <w:right w:w="0" w:type="dxa"/>
            </w:tcMar>
            <w:vAlign w:val="bottom"/>
            <w:hideMark/>
          </w:tcPr>
          <w:p w14:paraId="0CD5AFB3" w14:textId="77777777" w:rsidR="00000000" w:rsidRDefault="0053651E">
            <w:pPr>
              <w:rPr>
                <w:rFonts w:eastAsia="Times New Roman"/>
                <w:sz w:val="20"/>
                <w:szCs w:val="20"/>
              </w:rPr>
            </w:pPr>
            <w:r>
              <w:rPr>
                <w:rFonts w:eastAsia="Times New Roman"/>
                <w:sz w:val="20"/>
                <w:szCs w:val="20"/>
              </w:rPr>
              <w:t> </w:t>
            </w:r>
          </w:p>
        </w:tc>
      </w:tr>
      <w:tr w:rsidR="00000000" w14:paraId="5F1F33E1" w14:textId="77777777">
        <w:trPr>
          <w:tblCellSpacing w:w="0" w:type="dxa"/>
        </w:trPr>
        <w:tc>
          <w:tcPr>
            <w:tcW w:w="0" w:type="auto"/>
            <w:shd w:val="clear" w:color="auto" w:fill="FFFFFF"/>
            <w:vAlign w:val="bottom"/>
            <w:hideMark/>
          </w:tcPr>
          <w:p w14:paraId="3F0E27E1" w14:textId="77777777" w:rsidR="00000000" w:rsidRDefault="0053651E">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14:paraId="1D1CAFB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08CE1AE"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67BABBE1" w14:textId="77777777" w:rsidR="00000000" w:rsidRDefault="0053651E">
            <w:pPr>
              <w:jc w:val="right"/>
              <w:rPr>
                <w:rFonts w:eastAsia="Times New Roman"/>
                <w:sz w:val="20"/>
                <w:szCs w:val="20"/>
              </w:rPr>
            </w:pPr>
            <w:r>
              <w:rPr>
                <w:rFonts w:eastAsia="Times New Roman"/>
                <w:sz w:val="20"/>
                <w:szCs w:val="20"/>
              </w:rPr>
              <w:t>424,580</w:t>
            </w:r>
          </w:p>
        </w:tc>
        <w:tc>
          <w:tcPr>
            <w:tcW w:w="50" w:type="pct"/>
            <w:shd w:val="clear" w:color="auto" w:fill="FFFFFF"/>
            <w:tcMar>
              <w:top w:w="0" w:type="dxa"/>
              <w:left w:w="0" w:type="dxa"/>
              <w:bottom w:w="45" w:type="dxa"/>
              <w:right w:w="0" w:type="dxa"/>
            </w:tcMar>
            <w:vAlign w:val="bottom"/>
            <w:hideMark/>
          </w:tcPr>
          <w:p w14:paraId="01C6A7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1BFBE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59CB001"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1718FF57" w14:textId="77777777" w:rsidR="00000000" w:rsidRDefault="0053651E">
            <w:pPr>
              <w:jc w:val="right"/>
              <w:rPr>
                <w:rFonts w:eastAsia="Times New Roman"/>
                <w:sz w:val="20"/>
                <w:szCs w:val="20"/>
              </w:rPr>
            </w:pPr>
            <w:r>
              <w:rPr>
                <w:rFonts w:eastAsia="Times New Roman"/>
                <w:sz w:val="20"/>
                <w:szCs w:val="20"/>
              </w:rPr>
              <w:t>420,723</w:t>
            </w:r>
          </w:p>
        </w:tc>
        <w:tc>
          <w:tcPr>
            <w:tcW w:w="50" w:type="pct"/>
            <w:shd w:val="clear" w:color="auto" w:fill="FFFFFF"/>
            <w:tcMar>
              <w:top w:w="0" w:type="dxa"/>
              <w:left w:w="0" w:type="dxa"/>
              <w:bottom w:w="45" w:type="dxa"/>
              <w:right w:w="0" w:type="dxa"/>
            </w:tcMar>
            <w:vAlign w:val="bottom"/>
            <w:hideMark/>
          </w:tcPr>
          <w:p w14:paraId="350872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1DF77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8AC3F77"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30B95E4" w14:textId="77777777" w:rsidR="00000000" w:rsidRDefault="0053651E">
            <w:pPr>
              <w:jc w:val="right"/>
              <w:rPr>
                <w:rFonts w:eastAsia="Times New Roman"/>
                <w:sz w:val="20"/>
                <w:szCs w:val="20"/>
              </w:rPr>
            </w:pPr>
            <w:r>
              <w:rPr>
                <w:rFonts w:eastAsia="Times New Roman"/>
                <w:sz w:val="20"/>
                <w:szCs w:val="20"/>
              </w:rPr>
              <w:t>422,561</w:t>
            </w:r>
          </w:p>
        </w:tc>
        <w:tc>
          <w:tcPr>
            <w:tcW w:w="50" w:type="pct"/>
            <w:shd w:val="clear" w:color="auto" w:fill="FFFFFF"/>
            <w:tcMar>
              <w:top w:w="0" w:type="dxa"/>
              <w:left w:w="0" w:type="dxa"/>
              <w:bottom w:w="45" w:type="dxa"/>
              <w:right w:w="0" w:type="dxa"/>
            </w:tcMar>
            <w:vAlign w:val="bottom"/>
            <w:hideMark/>
          </w:tcPr>
          <w:p w14:paraId="2E8227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369F6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48F204C"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51D6B536" w14:textId="77777777" w:rsidR="00000000" w:rsidRDefault="0053651E">
            <w:pPr>
              <w:jc w:val="right"/>
              <w:rPr>
                <w:rFonts w:eastAsia="Times New Roman"/>
                <w:sz w:val="20"/>
                <w:szCs w:val="20"/>
              </w:rPr>
            </w:pPr>
            <w:r>
              <w:rPr>
                <w:rFonts w:eastAsia="Times New Roman"/>
                <w:sz w:val="20"/>
                <w:szCs w:val="20"/>
              </w:rPr>
              <w:t>422,105</w:t>
            </w:r>
          </w:p>
        </w:tc>
        <w:tc>
          <w:tcPr>
            <w:tcW w:w="50" w:type="pct"/>
            <w:shd w:val="clear" w:color="auto" w:fill="FFFFFF"/>
            <w:tcMar>
              <w:top w:w="0" w:type="dxa"/>
              <w:left w:w="0" w:type="dxa"/>
              <w:bottom w:w="45" w:type="dxa"/>
              <w:right w:w="0" w:type="dxa"/>
            </w:tcMar>
            <w:vAlign w:val="bottom"/>
            <w:hideMark/>
          </w:tcPr>
          <w:p w14:paraId="34F2BBE6" w14:textId="77777777" w:rsidR="00000000" w:rsidRDefault="0053651E">
            <w:pPr>
              <w:rPr>
                <w:rFonts w:eastAsia="Times New Roman"/>
                <w:sz w:val="20"/>
                <w:szCs w:val="20"/>
              </w:rPr>
            </w:pPr>
            <w:r>
              <w:rPr>
                <w:rFonts w:eastAsia="Times New Roman"/>
                <w:sz w:val="20"/>
                <w:szCs w:val="20"/>
              </w:rPr>
              <w:t> </w:t>
            </w:r>
          </w:p>
        </w:tc>
      </w:tr>
      <w:tr w:rsidR="00000000" w14:paraId="42E63424" w14:textId="77777777">
        <w:trPr>
          <w:tblCellSpacing w:w="0" w:type="dxa"/>
        </w:trPr>
        <w:tc>
          <w:tcPr>
            <w:tcW w:w="0" w:type="auto"/>
            <w:shd w:val="clear" w:color="auto" w:fill="CCEEFF"/>
            <w:vAlign w:val="bottom"/>
            <w:hideMark/>
          </w:tcPr>
          <w:p w14:paraId="4B1629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5499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F13B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F4058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519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208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5D2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A93B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168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56A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FEFF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5F54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F8C1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F473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D086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7A94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354D60" w14:textId="77777777" w:rsidR="00000000" w:rsidRDefault="0053651E">
            <w:pPr>
              <w:rPr>
                <w:rFonts w:eastAsia="Times New Roman"/>
                <w:sz w:val="20"/>
                <w:szCs w:val="20"/>
              </w:rPr>
            </w:pPr>
            <w:r>
              <w:rPr>
                <w:rFonts w:eastAsia="Times New Roman"/>
                <w:sz w:val="20"/>
                <w:szCs w:val="20"/>
              </w:rPr>
              <w:t> </w:t>
            </w:r>
          </w:p>
        </w:tc>
      </w:tr>
      <w:tr w:rsidR="00000000" w14:paraId="5B60054E" w14:textId="77777777">
        <w:trPr>
          <w:tblCellSpacing w:w="0" w:type="dxa"/>
        </w:trPr>
        <w:tc>
          <w:tcPr>
            <w:tcW w:w="0" w:type="auto"/>
            <w:shd w:val="clear" w:color="auto" w:fill="FFFFFF"/>
            <w:vAlign w:val="bottom"/>
            <w:hideMark/>
          </w:tcPr>
          <w:p w14:paraId="146B21DF" w14:textId="77777777" w:rsidR="00000000" w:rsidRDefault="0053651E">
            <w:pPr>
              <w:pStyle w:val="a3"/>
              <w:spacing w:before="0" w:beforeAutospacing="0" w:after="0" w:afterAutospacing="0"/>
              <w:rPr>
                <w:sz w:val="20"/>
                <w:szCs w:val="20"/>
              </w:rPr>
            </w:pPr>
            <w:r>
              <w:rPr>
                <w:b/>
                <w:bCs/>
                <w:sz w:val="20"/>
                <w:szCs w:val="20"/>
              </w:rPr>
              <w:t>FFO per common share – basic</w:t>
            </w:r>
          </w:p>
        </w:tc>
        <w:tc>
          <w:tcPr>
            <w:tcW w:w="50" w:type="pct"/>
            <w:shd w:val="clear" w:color="auto" w:fill="FFFFFF"/>
            <w:vAlign w:val="bottom"/>
            <w:hideMark/>
          </w:tcPr>
          <w:p w14:paraId="6CFF24D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335ABEB"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0D111F6E" w14:textId="77777777" w:rsidR="00000000" w:rsidRDefault="0053651E">
            <w:pPr>
              <w:jc w:val="right"/>
              <w:rPr>
                <w:rFonts w:eastAsia="Times New Roman"/>
                <w:sz w:val="20"/>
                <w:szCs w:val="20"/>
              </w:rPr>
            </w:pPr>
            <w:r>
              <w:rPr>
                <w:rFonts w:eastAsia="Times New Roman"/>
                <w:b/>
                <w:bCs/>
                <w:sz w:val="20"/>
                <w:szCs w:val="20"/>
              </w:rPr>
              <w:t>0.36</w:t>
            </w:r>
          </w:p>
        </w:tc>
        <w:tc>
          <w:tcPr>
            <w:tcW w:w="50" w:type="pct"/>
            <w:shd w:val="clear" w:color="auto" w:fill="FFFFFF"/>
            <w:tcMar>
              <w:top w:w="0" w:type="dxa"/>
              <w:left w:w="0" w:type="dxa"/>
              <w:bottom w:w="45" w:type="dxa"/>
              <w:right w:w="0" w:type="dxa"/>
            </w:tcMar>
            <w:vAlign w:val="bottom"/>
            <w:hideMark/>
          </w:tcPr>
          <w:p w14:paraId="64EF76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989DC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6E92F3C"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1AC5F222" w14:textId="77777777" w:rsidR="00000000" w:rsidRDefault="0053651E">
            <w:pPr>
              <w:jc w:val="right"/>
              <w:rPr>
                <w:rFonts w:eastAsia="Times New Roman"/>
                <w:sz w:val="20"/>
                <w:szCs w:val="20"/>
              </w:rPr>
            </w:pPr>
            <w:r>
              <w:rPr>
                <w:rFonts w:eastAsia="Times New Roman"/>
                <w:b/>
                <w:bCs/>
                <w:sz w:val="20"/>
                <w:szCs w:val="20"/>
              </w:rPr>
              <w:t>0.36</w:t>
            </w:r>
          </w:p>
        </w:tc>
        <w:tc>
          <w:tcPr>
            <w:tcW w:w="50" w:type="pct"/>
            <w:shd w:val="clear" w:color="auto" w:fill="FFFFFF"/>
            <w:tcMar>
              <w:top w:w="0" w:type="dxa"/>
              <w:left w:w="0" w:type="dxa"/>
              <w:bottom w:w="45" w:type="dxa"/>
              <w:right w:w="0" w:type="dxa"/>
            </w:tcMar>
            <w:vAlign w:val="bottom"/>
            <w:hideMark/>
          </w:tcPr>
          <w:p w14:paraId="36E6B3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27AE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D827D0F"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220493AC" w14:textId="77777777" w:rsidR="00000000" w:rsidRDefault="0053651E">
            <w:pPr>
              <w:jc w:val="right"/>
              <w:rPr>
                <w:rFonts w:eastAsia="Times New Roman"/>
                <w:sz w:val="20"/>
                <w:szCs w:val="20"/>
              </w:rPr>
            </w:pPr>
            <w:r>
              <w:rPr>
                <w:rFonts w:eastAsia="Times New Roman"/>
                <w:b/>
                <w:bCs/>
                <w:sz w:val="20"/>
                <w:szCs w:val="20"/>
              </w:rPr>
              <w:t>1.45</w:t>
            </w:r>
          </w:p>
        </w:tc>
        <w:tc>
          <w:tcPr>
            <w:tcW w:w="50" w:type="pct"/>
            <w:shd w:val="clear" w:color="auto" w:fill="FFFFFF"/>
            <w:tcMar>
              <w:top w:w="0" w:type="dxa"/>
              <w:left w:w="0" w:type="dxa"/>
              <w:bottom w:w="45" w:type="dxa"/>
              <w:right w:w="0" w:type="dxa"/>
            </w:tcMar>
            <w:vAlign w:val="bottom"/>
            <w:hideMark/>
          </w:tcPr>
          <w:p w14:paraId="24A204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95719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E344616"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1671A0B9" w14:textId="77777777" w:rsidR="00000000" w:rsidRDefault="0053651E">
            <w:pPr>
              <w:jc w:val="right"/>
              <w:rPr>
                <w:rFonts w:eastAsia="Times New Roman"/>
                <w:sz w:val="20"/>
                <w:szCs w:val="20"/>
              </w:rPr>
            </w:pPr>
            <w:r>
              <w:rPr>
                <w:rFonts w:eastAsia="Times New Roman"/>
                <w:b/>
                <w:bCs/>
                <w:sz w:val="20"/>
                <w:szCs w:val="20"/>
              </w:rPr>
              <w:t>1.45</w:t>
            </w:r>
          </w:p>
        </w:tc>
        <w:tc>
          <w:tcPr>
            <w:tcW w:w="50" w:type="pct"/>
            <w:shd w:val="clear" w:color="auto" w:fill="FFFFFF"/>
            <w:tcMar>
              <w:top w:w="0" w:type="dxa"/>
              <w:left w:w="0" w:type="dxa"/>
              <w:bottom w:w="45" w:type="dxa"/>
              <w:right w:w="0" w:type="dxa"/>
            </w:tcMar>
            <w:vAlign w:val="bottom"/>
            <w:hideMark/>
          </w:tcPr>
          <w:p w14:paraId="202F8DCF" w14:textId="77777777" w:rsidR="00000000" w:rsidRDefault="0053651E">
            <w:pPr>
              <w:rPr>
                <w:rFonts w:eastAsia="Times New Roman"/>
                <w:sz w:val="20"/>
                <w:szCs w:val="20"/>
              </w:rPr>
            </w:pPr>
            <w:r>
              <w:rPr>
                <w:rFonts w:eastAsia="Times New Roman"/>
                <w:sz w:val="20"/>
                <w:szCs w:val="20"/>
              </w:rPr>
              <w:t> </w:t>
            </w:r>
          </w:p>
        </w:tc>
      </w:tr>
      <w:tr w:rsidR="00000000" w14:paraId="7720EDDF" w14:textId="77777777">
        <w:trPr>
          <w:tblCellSpacing w:w="0" w:type="dxa"/>
        </w:trPr>
        <w:tc>
          <w:tcPr>
            <w:tcW w:w="0" w:type="auto"/>
            <w:shd w:val="clear" w:color="auto" w:fill="CCEEFF"/>
            <w:vAlign w:val="bottom"/>
            <w:hideMark/>
          </w:tcPr>
          <w:p w14:paraId="0DB869A4" w14:textId="77777777" w:rsidR="00000000" w:rsidRDefault="0053651E">
            <w:pPr>
              <w:pStyle w:val="a3"/>
              <w:spacing w:before="0" w:beforeAutospacing="0" w:after="0" w:afterAutospacing="0"/>
              <w:rPr>
                <w:sz w:val="20"/>
                <w:szCs w:val="20"/>
              </w:rPr>
            </w:pPr>
            <w:r>
              <w:rPr>
                <w:b/>
                <w:bCs/>
                <w:sz w:val="20"/>
                <w:szCs w:val="20"/>
              </w:rPr>
              <w:t>FFO per common share – diluted (2)</w:t>
            </w:r>
          </w:p>
        </w:tc>
        <w:tc>
          <w:tcPr>
            <w:tcW w:w="50" w:type="pct"/>
            <w:shd w:val="clear" w:color="auto" w:fill="CCEEFF"/>
            <w:vAlign w:val="bottom"/>
            <w:hideMark/>
          </w:tcPr>
          <w:p w14:paraId="76B9660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18D311B"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60A1A2C3" w14:textId="77777777" w:rsidR="00000000" w:rsidRDefault="0053651E">
            <w:pPr>
              <w:jc w:val="right"/>
              <w:rPr>
                <w:rFonts w:eastAsia="Times New Roman"/>
                <w:sz w:val="20"/>
                <w:szCs w:val="20"/>
              </w:rPr>
            </w:pPr>
            <w:r>
              <w:rPr>
                <w:rFonts w:eastAsia="Times New Roman"/>
                <w:b/>
                <w:bCs/>
                <w:sz w:val="20"/>
                <w:szCs w:val="20"/>
              </w:rPr>
              <w:t>0.36</w:t>
            </w:r>
          </w:p>
        </w:tc>
        <w:tc>
          <w:tcPr>
            <w:tcW w:w="50" w:type="pct"/>
            <w:shd w:val="clear" w:color="auto" w:fill="CCEEFF"/>
            <w:tcMar>
              <w:top w:w="0" w:type="dxa"/>
              <w:left w:w="0" w:type="dxa"/>
              <w:bottom w:w="45" w:type="dxa"/>
              <w:right w:w="0" w:type="dxa"/>
            </w:tcMar>
            <w:vAlign w:val="bottom"/>
            <w:hideMark/>
          </w:tcPr>
          <w:p w14:paraId="33EDF7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38AE6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886FDDB"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DC597FE" w14:textId="77777777" w:rsidR="00000000" w:rsidRDefault="0053651E">
            <w:pPr>
              <w:jc w:val="right"/>
              <w:rPr>
                <w:rFonts w:eastAsia="Times New Roman"/>
                <w:sz w:val="20"/>
                <w:szCs w:val="20"/>
              </w:rPr>
            </w:pPr>
            <w:r>
              <w:rPr>
                <w:rFonts w:eastAsia="Times New Roman"/>
                <w:b/>
                <w:bCs/>
                <w:sz w:val="20"/>
                <w:szCs w:val="20"/>
              </w:rPr>
              <w:t>0.36</w:t>
            </w:r>
          </w:p>
        </w:tc>
        <w:tc>
          <w:tcPr>
            <w:tcW w:w="50" w:type="pct"/>
            <w:shd w:val="clear" w:color="auto" w:fill="CCEEFF"/>
            <w:tcMar>
              <w:top w:w="0" w:type="dxa"/>
              <w:left w:w="0" w:type="dxa"/>
              <w:bottom w:w="45" w:type="dxa"/>
              <w:right w:w="0" w:type="dxa"/>
            </w:tcMar>
            <w:vAlign w:val="bottom"/>
            <w:hideMark/>
          </w:tcPr>
          <w:p w14:paraId="3064D8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D339B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59DB53"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2B3FE1AF" w14:textId="77777777" w:rsidR="00000000" w:rsidRDefault="0053651E">
            <w:pPr>
              <w:jc w:val="right"/>
              <w:rPr>
                <w:rFonts w:eastAsia="Times New Roman"/>
                <w:sz w:val="20"/>
                <w:szCs w:val="20"/>
              </w:rPr>
            </w:pPr>
            <w:r>
              <w:rPr>
                <w:rFonts w:eastAsia="Times New Roman"/>
                <w:b/>
                <w:bCs/>
                <w:sz w:val="20"/>
                <w:szCs w:val="20"/>
              </w:rPr>
              <w:t>1.44</w:t>
            </w:r>
          </w:p>
        </w:tc>
        <w:tc>
          <w:tcPr>
            <w:tcW w:w="50" w:type="pct"/>
            <w:shd w:val="clear" w:color="auto" w:fill="CCEEFF"/>
            <w:tcMar>
              <w:top w:w="0" w:type="dxa"/>
              <w:left w:w="0" w:type="dxa"/>
              <w:bottom w:w="45" w:type="dxa"/>
              <w:right w:w="0" w:type="dxa"/>
            </w:tcMar>
            <w:vAlign w:val="bottom"/>
            <w:hideMark/>
          </w:tcPr>
          <w:p w14:paraId="4CC1CB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64D7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27A9F9"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12B08F13" w14:textId="77777777" w:rsidR="00000000" w:rsidRDefault="0053651E">
            <w:pPr>
              <w:jc w:val="right"/>
              <w:rPr>
                <w:rFonts w:eastAsia="Times New Roman"/>
                <w:sz w:val="20"/>
                <w:szCs w:val="20"/>
              </w:rPr>
            </w:pPr>
            <w:r>
              <w:rPr>
                <w:rFonts w:eastAsia="Times New Roman"/>
                <w:b/>
                <w:bCs/>
                <w:sz w:val="20"/>
                <w:szCs w:val="20"/>
              </w:rPr>
              <w:t>1.45</w:t>
            </w:r>
          </w:p>
        </w:tc>
        <w:tc>
          <w:tcPr>
            <w:tcW w:w="50" w:type="pct"/>
            <w:shd w:val="clear" w:color="auto" w:fill="CCEEFF"/>
            <w:tcMar>
              <w:top w:w="0" w:type="dxa"/>
              <w:left w:w="0" w:type="dxa"/>
              <w:bottom w:w="45" w:type="dxa"/>
              <w:right w:w="0" w:type="dxa"/>
            </w:tcMar>
            <w:vAlign w:val="bottom"/>
            <w:hideMark/>
          </w:tcPr>
          <w:p w14:paraId="1A6D88AC" w14:textId="77777777" w:rsidR="00000000" w:rsidRDefault="0053651E">
            <w:pPr>
              <w:rPr>
                <w:rFonts w:eastAsia="Times New Roman"/>
                <w:sz w:val="20"/>
                <w:szCs w:val="20"/>
              </w:rPr>
            </w:pPr>
            <w:r>
              <w:rPr>
                <w:rFonts w:eastAsia="Times New Roman"/>
                <w:sz w:val="20"/>
                <w:szCs w:val="20"/>
              </w:rPr>
              <w:t> </w:t>
            </w:r>
          </w:p>
        </w:tc>
      </w:tr>
      <w:tr w:rsidR="00000000" w14:paraId="0B70D4A8" w14:textId="77777777">
        <w:trPr>
          <w:tblCellSpacing w:w="0" w:type="dxa"/>
        </w:trPr>
        <w:tc>
          <w:tcPr>
            <w:tcW w:w="0" w:type="auto"/>
            <w:shd w:val="clear" w:color="auto" w:fill="FFFFFF"/>
            <w:vAlign w:val="bottom"/>
            <w:hideMark/>
          </w:tcPr>
          <w:p w14:paraId="4552777A" w14:textId="77777777" w:rsidR="00000000" w:rsidRDefault="0053651E">
            <w:pPr>
              <w:pStyle w:val="a3"/>
              <w:spacing w:before="0" w:beforeAutospacing="0" w:after="0" w:afterAutospacing="0"/>
              <w:rPr>
                <w:sz w:val="20"/>
                <w:szCs w:val="20"/>
              </w:rPr>
            </w:pPr>
            <w:r>
              <w:rPr>
                <w:b/>
                <w:bCs/>
                <w:sz w:val="20"/>
                <w:szCs w:val="20"/>
              </w:rPr>
              <w:t xml:space="preserve">FFO as adjusted per common share – basic </w:t>
            </w:r>
          </w:p>
        </w:tc>
        <w:tc>
          <w:tcPr>
            <w:tcW w:w="50" w:type="pct"/>
            <w:shd w:val="clear" w:color="auto" w:fill="FFFFFF"/>
            <w:vAlign w:val="bottom"/>
            <w:hideMark/>
          </w:tcPr>
          <w:p w14:paraId="07BE59B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848584"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7302F018" w14:textId="77777777" w:rsidR="00000000" w:rsidRDefault="0053651E">
            <w:pPr>
              <w:jc w:val="right"/>
              <w:rPr>
                <w:rFonts w:eastAsia="Times New Roman"/>
                <w:sz w:val="20"/>
                <w:szCs w:val="20"/>
              </w:rPr>
            </w:pPr>
            <w:r>
              <w:rPr>
                <w:rFonts w:eastAsia="Times New Roman"/>
                <w:b/>
                <w:bCs/>
                <w:sz w:val="20"/>
                <w:szCs w:val="20"/>
              </w:rPr>
              <w:t>0.37</w:t>
            </w:r>
          </w:p>
        </w:tc>
        <w:tc>
          <w:tcPr>
            <w:tcW w:w="50" w:type="pct"/>
            <w:shd w:val="clear" w:color="auto" w:fill="FFFFFF"/>
            <w:tcMar>
              <w:top w:w="0" w:type="dxa"/>
              <w:left w:w="0" w:type="dxa"/>
              <w:bottom w:w="45" w:type="dxa"/>
              <w:right w:w="0" w:type="dxa"/>
            </w:tcMar>
            <w:vAlign w:val="bottom"/>
            <w:hideMark/>
          </w:tcPr>
          <w:p w14:paraId="52C1AC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F3295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D860A03"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6A3ABE13" w14:textId="77777777" w:rsidR="00000000" w:rsidRDefault="0053651E">
            <w:pPr>
              <w:jc w:val="right"/>
              <w:rPr>
                <w:rFonts w:eastAsia="Times New Roman"/>
                <w:sz w:val="20"/>
                <w:szCs w:val="20"/>
              </w:rPr>
            </w:pPr>
            <w:r>
              <w:rPr>
                <w:rFonts w:eastAsia="Times New Roman"/>
                <w:b/>
                <w:bCs/>
                <w:sz w:val="20"/>
                <w:szCs w:val="20"/>
              </w:rPr>
              <w:t>0.35</w:t>
            </w:r>
          </w:p>
        </w:tc>
        <w:tc>
          <w:tcPr>
            <w:tcW w:w="50" w:type="pct"/>
            <w:shd w:val="clear" w:color="auto" w:fill="FFFFFF"/>
            <w:tcMar>
              <w:top w:w="0" w:type="dxa"/>
              <w:left w:w="0" w:type="dxa"/>
              <w:bottom w:w="45" w:type="dxa"/>
              <w:right w:w="0" w:type="dxa"/>
            </w:tcMar>
            <w:vAlign w:val="bottom"/>
            <w:hideMark/>
          </w:tcPr>
          <w:p w14:paraId="6A9AC6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BC2B0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3CB920C"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53AE9C6B" w14:textId="77777777" w:rsidR="00000000" w:rsidRDefault="0053651E">
            <w:pPr>
              <w:jc w:val="right"/>
              <w:rPr>
                <w:rFonts w:eastAsia="Times New Roman"/>
                <w:sz w:val="20"/>
                <w:szCs w:val="20"/>
              </w:rPr>
            </w:pPr>
            <w:r>
              <w:rPr>
                <w:rFonts w:eastAsia="Times New Roman"/>
                <w:b/>
                <w:bCs/>
                <w:sz w:val="20"/>
                <w:szCs w:val="20"/>
              </w:rPr>
              <w:t>1.48</w:t>
            </w:r>
          </w:p>
        </w:tc>
        <w:tc>
          <w:tcPr>
            <w:tcW w:w="50" w:type="pct"/>
            <w:shd w:val="clear" w:color="auto" w:fill="FFFFFF"/>
            <w:tcMar>
              <w:top w:w="0" w:type="dxa"/>
              <w:left w:w="0" w:type="dxa"/>
              <w:bottom w:w="45" w:type="dxa"/>
              <w:right w:w="0" w:type="dxa"/>
            </w:tcMar>
            <w:vAlign w:val="bottom"/>
            <w:hideMark/>
          </w:tcPr>
          <w:p w14:paraId="6CB388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8258C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94CF24"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4CDB73CA" w14:textId="77777777" w:rsidR="00000000" w:rsidRDefault="0053651E">
            <w:pPr>
              <w:jc w:val="right"/>
              <w:rPr>
                <w:rFonts w:eastAsia="Times New Roman"/>
                <w:sz w:val="20"/>
                <w:szCs w:val="20"/>
              </w:rPr>
            </w:pPr>
            <w:r>
              <w:rPr>
                <w:rFonts w:eastAsia="Times New Roman"/>
                <w:b/>
                <w:bCs/>
                <w:sz w:val="20"/>
                <w:szCs w:val="20"/>
              </w:rPr>
              <w:t>1.46</w:t>
            </w:r>
          </w:p>
        </w:tc>
        <w:tc>
          <w:tcPr>
            <w:tcW w:w="50" w:type="pct"/>
            <w:shd w:val="clear" w:color="auto" w:fill="FFFFFF"/>
            <w:tcMar>
              <w:top w:w="0" w:type="dxa"/>
              <w:left w:w="0" w:type="dxa"/>
              <w:bottom w:w="45" w:type="dxa"/>
              <w:right w:w="0" w:type="dxa"/>
            </w:tcMar>
            <w:vAlign w:val="bottom"/>
            <w:hideMark/>
          </w:tcPr>
          <w:p w14:paraId="19F5F2D0" w14:textId="77777777" w:rsidR="00000000" w:rsidRDefault="0053651E">
            <w:pPr>
              <w:rPr>
                <w:rFonts w:eastAsia="Times New Roman"/>
                <w:sz w:val="20"/>
                <w:szCs w:val="20"/>
              </w:rPr>
            </w:pPr>
            <w:r>
              <w:rPr>
                <w:rFonts w:eastAsia="Times New Roman"/>
                <w:sz w:val="20"/>
                <w:szCs w:val="20"/>
              </w:rPr>
              <w:t> </w:t>
            </w:r>
          </w:p>
        </w:tc>
      </w:tr>
      <w:tr w:rsidR="00000000" w14:paraId="720796FC" w14:textId="77777777">
        <w:trPr>
          <w:tblCellSpacing w:w="0" w:type="dxa"/>
        </w:trPr>
        <w:tc>
          <w:tcPr>
            <w:tcW w:w="0" w:type="auto"/>
            <w:shd w:val="clear" w:color="auto" w:fill="CCEEFF"/>
            <w:vAlign w:val="bottom"/>
            <w:hideMark/>
          </w:tcPr>
          <w:p w14:paraId="029AE243" w14:textId="77777777" w:rsidR="00000000" w:rsidRDefault="0053651E">
            <w:pPr>
              <w:pStyle w:val="a3"/>
              <w:spacing w:before="0" w:beforeAutospacing="0" w:after="0" w:afterAutospacing="0"/>
              <w:rPr>
                <w:sz w:val="20"/>
                <w:szCs w:val="20"/>
              </w:rPr>
            </w:pPr>
            <w:r>
              <w:rPr>
                <w:b/>
                <w:bCs/>
                <w:sz w:val="20"/>
                <w:szCs w:val="20"/>
              </w:rPr>
              <w:t>FFO as adjusted per common share – diluted (2)</w:t>
            </w:r>
          </w:p>
        </w:tc>
        <w:tc>
          <w:tcPr>
            <w:tcW w:w="50" w:type="pct"/>
            <w:shd w:val="clear" w:color="auto" w:fill="CCEEFF"/>
            <w:vAlign w:val="bottom"/>
            <w:hideMark/>
          </w:tcPr>
          <w:p w14:paraId="0AE6E4C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E3883A"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1EDF30C" w14:textId="77777777" w:rsidR="00000000" w:rsidRDefault="0053651E">
            <w:pPr>
              <w:jc w:val="right"/>
              <w:rPr>
                <w:rFonts w:eastAsia="Times New Roman"/>
                <w:sz w:val="20"/>
                <w:szCs w:val="20"/>
              </w:rPr>
            </w:pPr>
            <w:r>
              <w:rPr>
                <w:rFonts w:eastAsia="Times New Roman"/>
                <w:b/>
                <w:bCs/>
                <w:sz w:val="20"/>
                <w:szCs w:val="20"/>
              </w:rPr>
              <w:t>0.37</w:t>
            </w:r>
          </w:p>
        </w:tc>
        <w:tc>
          <w:tcPr>
            <w:tcW w:w="50" w:type="pct"/>
            <w:shd w:val="clear" w:color="auto" w:fill="CCEEFF"/>
            <w:tcMar>
              <w:top w:w="0" w:type="dxa"/>
              <w:left w:w="0" w:type="dxa"/>
              <w:bottom w:w="45" w:type="dxa"/>
              <w:right w:w="0" w:type="dxa"/>
            </w:tcMar>
            <w:vAlign w:val="bottom"/>
            <w:hideMark/>
          </w:tcPr>
          <w:p w14:paraId="50920A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983D6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478B0D3"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52453A9" w14:textId="77777777" w:rsidR="00000000" w:rsidRDefault="0053651E">
            <w:pPr>
              <w:jc w:val="right"/>
              <w:rPr>
                <w:rFonts w:eastAsia="Times New Roman"/>
                <w:sz w:val="20"/>
                <w:szCs w:val="20"/>
              </w:rPr>
            </w:pPr>
            <w:r>
              <w:rPr>
                <w:rFonts w:eastAsia="Times New Roman"/>
                <w:b/>
                <w:bCs/>
                <w:sz w:val="20"/>
                <w:szCs w:val="20"/>
              </w:rPr>
              <w:t>0.35</w:t>
            </w:r>
          </w:p>
        </w:tc>
        <w:tc>
          <w:tcPr>
            <w:tcW w:w="50" w:type="pct"/>
            <w:shd w:val="clear" w:color="auto" w:fill="CCEEFF"/>
            <w:tcMar>
              <w:top w:w="0" w:type="dxa"/>
              <w:left w:w="0" w:type="dxa"/>
              <w:bottom w:w="45" w:type="dxa"/>
              <w:right w:w="0" w:type="dxa"/>
            </w:tcMar>
            <w:vAlign w:val="bottom"/>
            <w:hideMark/>
          </w:tcPr>
          <w:p w14:paraId="1DAA5F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1AA03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4809DB2"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252E6EFC" w14:textId="77777777" w:rsidR="00000000" w:rsidRDefault="0053651E">
            <w:pPr>
              <w:jc w:val="right"/>
              <w:rPr>
                <w:rFonts w:eastAsia="Times New Roman"/>
                <w:sz w:val="20"/>
                <w:szCs w:val="20"/>
              </w:rPr>
            </w:pPr>
            <w:r>
              <w:rPr>
                <w:rFonts w:eastAsia="Times New Roman"/>
                <w:b/>
                <w:bCs/>
                <w:sz w:val="20"/>
                <w:szCs w:val="20"/>
              </w:rPr>
              <w:t>1.47</w:t>
            </w:r>
          </w:p>
        </w:tc>
        <w:tc>
          <w:tcPr>
            <w:tcW w:w="50" w:type="pct"/>
            <w:shd w:val="clear" w:color="auto" w:fill="CCEEFF"/>
            <w:tcMar>
              <w:top w:w="0" w:type="dxa"/>
              <w:left w:w="0" w:type="dxa"/>
              <w:bottom w:w="45" w:type="dxa"/>
              <w:right w:w="0" w:type="dxa"/>
            </w:tcMar>
            <w:vAlign w:val="bottom"/>
            <w:hideMark/>
          </w:tcPr>
          <w:p w14:paraId="016491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34F19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C25D91F"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3074B5F" w14:textId="77777777" w:rsidR="00000000" w:rsidRDefault="0053651E">
            <w:pPr>
              <w:jc w:val="right"/>
              <w:rPr>
                <w:rFonts w:eastAsia="Times New Roman"/>
                <w:sz w:val="20"/>
                <w:szCs w:val="20"/>
              </w:rPr>
            </w:pPr>
            <w:r>
              <w:rPr>
                <w:rFonts w:eastAsia="Times New Roman"/>
                <w:b/>
                <w:bCs/>
                <w:sz w:val="20"/>
                <w:szCs w:val="20"/>
              </w:rPr>
              <w:t>1.45</w:t>
            </w:r>
          </w:p>
        </w:tc>
        <w:tc>
          <w:tcPr>
            <w:tcW w:w="50" w:type="pct"/>
            <w:shd w:val="clear" w:color="auto" w:fill="CCEEFF"/>
            <w:tcMar>
              <w:top w:w="0" w:type="dxa"/>
              <w:left w:w="0" w:type="dxa"/>
              <w:bottom w:w="45" w:type="dxa"/>
              <w:right w:w="0" w:type="dxa"/>
            </w:tcMar>
            <w:vAlign w:val="bottom"/>
            <w:hideMark/>
          </w:tcPr>
          <w:p w14:paraId="09E35A30" w14:textId="77777777" w:rsidR="00000000" w:rsidRDefault="0053651E">
            <w:pPr>
              <w:rPr>
                <w:rFonts w:eastAsia="Times New Roman"/>
                <w:sz w:val="20"/>
                <w:szCs w:val="20"/>
              </w:rPr>
            </w:pPr>
            <w:r>
              <w:rPr>
                <w:rFonts w:eastAsia="Times New Roman"/>
                <w:sz w:val="20"/>
                <w:szCs w:val="20"/>
              </w:rPr>
              <w:t> </w:t>
            </w:r>
          </w:p>
        </w:tc>
      </w:tr>
    </w:tbl>
    <w:p w14:paraId="2838408D"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14:paraId="49F516BF" w14:textId="77777777">
        <w:trPr>
          <w:tblCellSpacing w:w="0" w:type="dxa"/>
        </w:trPr>
        <w:tc>
          <w:tcPr>
            <w:tcW w:w="180" w:type="dxa"/>
            <w:hideMark/>
          </w:tcPr>
          <w:p w14:paraId="11113692" w14:textId="77777777" w:rsidR="00000000" w:rsidRDefault="0053651E">
            <w:pPr>
              <w:rPr>
                <w:rFonts w:eastAsia="Times New Roman"/>
              </w:rPr>
            </w:pPr>
            <w:r>
              <w:rPr>
                <w:rFonts w:eastAsia="Times New Roman"/>
              </w:rPr>
              <w:t> </w:t>
            </w:r>
          </w:p>
        </w:tc>
        <w:tc>
          <w:tcPr>
            <w:tcW w:w="360" w:type="dxa"/>
            <w:hideMark/>
          </w:tcPr>
          <w:p w14:paraId="5C672E3E" w14:textId="77777777" w:rsidR="00000000" w:rsidRDefault="0053651E">
            <w:pPr>
              <w:pStyle w:val="a3"/>
              <w:spacing w:before="0" w:beforeAutospacing="0" w:after="0" w:afterAutospacing="0"/>
              <w:jc w:val="both"/>
              <w:rPr>
                <w:sz w:val="20"/>
                <w:szCs w:val="20"/>
              </w:rPr>
            </w:pPr>
            <w:r>
              <w:rPr>
                <w:sz w:val="20"/>
                <w:szCs w:val="20"/>
              </w:rPr>
              <w:t>(1)  </w:t>
            </w:r>
          </w:p>
        </w:tc>
        <w:tc>
          <w:tcPr>
            <w:tcW w:w="0" w:type="auto"/>
            <w:hideMark/>
          </w:tcPr>
          <w:p w14:paraId="7D65EAFE" w14:textId="77777777" w:rsidR="00000000" w:rsidRDefault="0053651E">
            <w:pPr>
              <w:pStyle w:val="a3"/>
              <w:spacing w:before="0" w:beforeAutospacing="0" w:after="0" w:afterAutospacing="0"/>
              <w:jc w:val="both"/>
              <w:rPr>
                <w:sz w:val="20"/>
                <w:szCs w:val="20"/>
              </w:rPr>
            </w:pPr>
            <w:r>
              <w:rPr>
                <w:sz w:val="20"/>
                <w:szCs w:val="20"/>
              </w:rPr>
              <w:t>Related to gains, impairment and depreciation on properties, where applicable.</w:t>
            </w:r>
          </w:p>
        </w:tc>
      </w:tr>
    </w:tbl>
    <w:p w14:paraId="5A767C9F"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14:paraId="76808D9D" w14:textId="77777777">
        <w:trPr>
          <w:tblCellSpacing w:w="0" w:type="dxa"/>
        </w:trPr>
        <w:tc>
          <w:tcPr>
            <w:tcW w:w="180" w:type="dxa"/>
            <w:hideMark/>
          </w:tcPr>
          <w:p w14:paraId="0E97B46F" w14:textId="77777777" w:rsidR="00000000" w:rsidRDefault="0053651E">
            <w:pPr>
              <w:rPr>
                <w:rFonts w:eastAsia="Times New Roman"/>
              </w:rPr>
            </w:pPr>
            <w:r>
              <w:rPr>
                <w:rFonts w:eastAsia="Times New Roman"/>
              </w:rPr>
              <w:t> </w:t>
            </w:r>
          </w:p>
        </w:tc>
        <w:tc>
          <w:tcPr>
            <w:tcW w:w="360" w:type="dxa"/>
            <w:hideMark/>
          </w:tcPr>
          <w:p w14:paraId="6CF1C38A" w14:textId="77777777" w:rsidR="00000000" w:rsidRDefault="0053651E">
            <w:pPr>
              <w:pStyle w:val="a3"/>
              <w:spacing w:before="0" w:beforeAutospacing="0" w:after="0" w:afterAutospacing="0"/>
              <w:jc w:val="both"/>
              <w:rPr>
                <w:sz w:val="20"/>
                <w:szCs w:val="20"/>
              </w:rPr>
            </w:pPr>
            <w:r>
              <w:rPr>
                <w:sz w:val="20"/>
                <w:szCs w:val="20"/>
              </w:rPr>
              <w:t>(2)</w:t>
            </w:r>
          </w:p>
        </w:tc>
        <w:tc>
          <w:tcPr>
            <w:tcW w:w="0" w:type="auto"/>
            <w:hideMark/>
          </w:tcPr>
          <w:p w14:paraId="11E76E56" w14:textId="77777777" w:rsidR="00000000" w:rsidRDefault="0053651E">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$199 and $228 for the three months ended December 31, 2019 and 2018, respectively, and $868 and $916 for the years ended December 31, 2019 and 2018, respectively. The effect of other certain convertible units would have an anti-dilutive ef</w:t>
            </w:r>
            <w:r>
              <w:rPr>
                <w:sz w:val="20"/>
                <w:szCs w:val="20"/>
              </w:rPr>
              <w:t>fect upon the calculation of Net income available to the Company’s common shareholders per share. Accordingly, the impact of such conversion has not been included in the determination of diluted earnings per share calculations.</w:t>
            </w:r>
          </w:p>
        </w:tc>
      </w:tr>
    </w:tbl>
    <w:p w14:paraId="3CC5BEF7" w14:textId="77777777" w:rsidR="00000000" w:rsidRDefault="0053651E">
      <w:pPr>
        <w:pStyle w:val="a3"/>
        <w:spacing w:before="0" w:beforeAutospacing="0" w:after="0" w:afterAutospacing="0"/>
        <w:ind w:firstLine="360"/>
        <w:rPr>
          <w:sz w:val="20"/>
          <w:szCs w:val="20"/>
        </w:rPr>
      </w:pPr>
      <w:r>
        <w:rPr>
          <w:sz w:val="20"/>
          <w:szCs w:val="20"/>
        </w:rPr>
        <w:t> </w:t>
      </w:r>
    </w:p>
    <w:p w14:paraId="093BD82F" w14:textId="77777777" w:rsidR="00000000" w:rsidRDefault="0053651E">
      <w:pPr>
        <w:pStyle w:val="a3"/>
        <w:spacing w:before="0" w:beforeAutospacing="0" w:after="0" w:afterAutospacing="0"/>
        <w:ind w:firstLine="360"/>
        <w:rPr>
          <w:sz w:val="20"/>
          <w:szCs w:val="20"/>
        </w:rPr>
      </w:pPr>
      <w:r>
        <w:rPr>
          <w:sz w:val="20"/>
          <w:szCs w:val="20"/>
          <w:u w:val="single"/>
        </w:rPr>
        <w:t>Same Property Net Operati</w:t>
      </w:r>
      <w:r>
        <w:rPr>
          <w:sz w:val="20"/>
          <w:szCs w:val="20"/>
          <w:u w:val="single"/>
        </w:rPr>
        <w:t>ng Income (“Same property NOI”)</w:t>
      </w:r>
    </w:p>
    <w:p w14:paraId="57E13D5E" w14:textId="77777777" w:rsidR="00000000" w:rsidRDefault="0053651E">
      <w:pPr>
        <w:pStyle w:val="a3"/>
        <w:spacing w:before="0" w:beforeAutospacing="0" w:after="0" w:afterAutospacing="0"/>
        <w:jc w:val="both"/>
        <w:rPr>
          <w:sz w:val="20"/>
          <w:szCs w:val="20"/>
        </w:rPr>
      </w:pPr>
      <w:r>
        <w:rPr>
          <w:sz w:val="20"/>
          <w:szCs w:val="20"/>
        </w:rPr>
        <w:t> </w:t>
      </w:r>
    </w:p>
    <w:p w14:paraId="76FC251F" w14:textId="77777777" w:rsidR="00000000" w:rsidRDefault="0053651E">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or cash flows from operations</w:t>
      </w:r>
      <w:r>
        <w:rPr>
          <w:sz w:val="20"/>
          <w:szCs w:val="20"/>
        </w:rPr>
        <w:t xml:space="preserve"> as a measure of liquidity. The Company considers Same property NOI as an important operating performance measure because it is frequently used by securities analysts and investors to measure only the net operating income of properties that have been owned</w:t>
      </w:r>
      <w:r>
        <w:rPr>
          <w:sz w:val="20"/>
          <w:szCs w:val="20"/>
        </w:rPr>
        <w:t xml:space="preserve"> by the Company for the entire current and prior year reporting periods. It excludes properties under redevelopment, development and pending stabilization; properties are deemed stabilized at the earlier of (i) reaching 90% leased or (ii) one year followin</w:t>
      </w:r>
      <w:r>
        <w:rPr>
          <w:sz w:val="20"/>
          <w:szCs w:val="20"/>
        </w:rPr>
        <w:t>g a project’s inclusion in operating real estate. Same property NOI assists in eliminating disparities in net income due to the development, acquisition or disposition of properties during the particular period presented, and thus provides a more consisten</w:t>
      </w:r>
      <w:r>
        <w:rPr>
          <w:sz w:val="20"/>
          <w:szCs w:val="20"/>
        </w:rPr>
        <w:t>t performance measure for the comparison of the Company's properties.</w:t>
      </w:r>
    </w:p>
    <w:p w14:paraId="42291EA2" w14:textId="77777777" w:rsidR="00000000" w:rsidRDefault="0053651E">
      <w:pPr>
        <w:pStyle w:val="a3"/>
        <w:spacing w:before="0" w:beforeAutospacing="0" w:after="0" w:afterAutospacing="0"/>
        <w:jc w:val="both"/>
        <w:rPr>
          <w:sz w:val="20"/>
          <w:szCs w:val="20"/>
        </w:rPr>
      </w:pPr>
      <w:r>
        <w:rPr>
          <w:sz w:val="20"/>
          <w:szCs w:val="20"/>
        </w:rPr>
        <w:t> </w:t>
      </w:r>
    </w:p>
    <w:p w14:paraId="3E88F6CE" w14:textId="77777777" w:rsidR="00000000" w:rsidRDefault="0053651E">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lease termination fees, TIFs and amortization of above/below market ren</w:t>
      </w:r>
      <w:r>
        <w:rPr>
          <w:sz w:val="20"/>
          <w:szCs w:val="20"/>
        </w:rPr>
        <w:t>ts) less charges for bad debt, operating and maintenance expense, real estate taxes and rent expense plus the Company’s proportionate share of Same property NOI from unconsolidated real estate joint ventures, calculated on the same basis. The Company’s met</w:t>
      </w:r>
      <w:r>
        <w:rPr>
          <w:sz w:val="20"/>
          <w:szCs w:val="20"/>
        </w:rPr>
        <w:t>hod of calculating Same property NOI available to the Company’s common shareholders may differ from methods used by other REITs and, accordingly, may not be comparable to such other REITs.</w:t>
      </w:r>
    </w:p>
    <w:p w14:paraId="27712164" w14:textId="77777777" w:rsidR="00000000" w:rsidRDefault="0053651E">
      <w:pPr>
        <w:pStyle w:val="a3"/>
        <w:spacing w:before="0" w:beforeAutospacing="0" w:after="0" w:afterAutospacing="0"/>
        <w:ind w:firstLine="720"/>
        <w:jc w:val="both"/>
        <w:rPr>
          <w:sz w:val="20"/>
          <w:szCs w:val="20"/>
        </w:rPr>
      </w:pPr>
      <w:r>
        <w:rPr>
          <w:sz w:val="20"/>
          <w:szCs w:val="20"/>
        </w:rPr>
        <w:t> </w:t>
      </w:r>
    </w:p>
    <w:p w14:paraId="3A1ACA07" w14:textId="77777777" w:rsidR="00000000" w:rsidRDefault="0053651E">
      <w:pPr>
        <w:jc w:val="center"/>
        <w:divId w:val="1155872269"/>
        <w:rPr>
          <w:rFonts w:eastAsia="Times New Roman"/>
          <w:sz w:val="20"/>
          <w:szCs w:val="20"/>
        </w:rPr>
      </w:pPr>
      <w:r>
        <w:rPr>
          <w:rFonts w:eastAsia="Times New Roman"/>
          <w:sz w:val="20"/>
          <w:szCs w:val="20"/>
        </w:rPr>
        <w:t xml:space="preserve">34 </w:t>
      </w:r>
    </w:p>
    <w:p w14:paraId="30C53A12" w14:textId="77777777" w:rsidR="00000000" w:rsidRDefault="0053651E">
      <w:pPr>
        <w:divId w:val="1155872269"/>
        <w:rPr>
          <w:rFonts w:eastAsia="Times New Roman"/>
          <w:sz w:val="20"/>
          <w:szCs w:val="20"/>
        </w:rPr>
      </w:pPr>
      <w:r>
        <w:rPr>
          <w:rFonts w:eastAsia="Times New Roman"/>
          <w:sz w:val="20"/>
          <w:szCs w:val="20"/>
        </w:rPr>
        <w:pict w14:anchorId="3AF3B9D8">
          <v:rect id="_x0000_i1065" style="width:0;height:1.5pt" o:hralign="center" o:hrstd="t" o:hr="t" fillcolor="#a0a0a0" stroked="f"/>
        </w:pict>
      </w:r>
    </w:p>
    <w:p w14:paraId="1951A1FA" w14:textId="77777777" w:rsidR="00000000" w:rsidRDefault="0053651E">
      <w:pPr>
        <w:divId w:val="11558722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BBFBAB3" w14:textId="77777777" w:rsidR="00000000" w:rsidRDefault="0053651E">
      <w:pPr>
        <w:pStyle w:val="a3"/>
        <w:spacing w:before="0" w:beforeAutospacing="0" w:after="0" w:afterAutospacing="0"/>
        <w:rPr>
          <w:sz w:val="20"/>
          <w:szCs w:val="20"/>
        </w:rPr>
      </w:pPr>
      <w:r>
        <w:rPr>
          <w:sz w:val="20"/>
          <w:szCs w:val="20"/>
        </w:rPr>
        <w:t> </w:t>
      </w:r>
    </w:p>
    <w:p w14:paraId="356A5EC9" w14:textId="77777777" w:rsidR="00000000" w:rsidRDefault="0053651E">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14:paraId="4CC3254D"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14:paraId="0262C758" w14:textId="77777777">
        <w:trPr>
          <w:tblCellSpacing w:w="0" w:type="dxa"/>
        </w:trPr>
        <w:tc>
          <w:tcPr>
            <w:tcW w:w="0" w:type="auto"/>
            <w:vAlign w:val="bottom"/>
            <w:hideMark/>
          </w:tcPr>
          <w:p w14:paraId="757AE47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69BC636"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10FA769" w14:textId="77777777" w:rsidR="00000000" w:rsidRDefault="0053651E">
            <w:pPr>
              <w:pStyle w:val="a3"/>
              <w:spacing w:before="0" w:beforeAutospacing="0" w:after="0" w:afterAutospacing="0"/>
              <w:jc w:val="center"/>
              <w:rPr>
                <w:sz w:val="20"/>
                <w:szCs w:val="20"/>
              </w:rPr>
            </w:pPr>
            <w:r>
              <w:rPr>
                <w:b/>
                <w:bCs/>
                <w:sz w:val="20"/>
                <w:szCs w:val="20"/>
              </w:rPr>
              <w:t>Three Months Ended</w:t>
            </w:r>
          </w:p>
          <w:p w14:paraId="70963DE9"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4ED1FA8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884A94A"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45F6814" w14:textId="77777777" w:rsidR="00000000" w:rsidRDefault="0053651E">
            <w:pPr>
              <w:pStyle w:val="a3"/>
              <w:spacing w:before="0" w:beforeAutospacing="0" w:after="0" w:afterAutospacing="0"/>
              <w:jc w:val="center"/>
              <w:rPr>
                <w:sz w:val="20"/>
                <w:szCs w:val="20"/>
              </w:rPr>
            </w:pPr>
            <w:r>
              <w:rPr>
                <w:b/>
                <w:bCs/>
                <w:sz w:val="20"/>
                <w:szCs w:val="20"/>
              </w:rPr>
              <w:t>Year Ended</w:t>
            </w:r>
            <w:r>
              <w:rPr>
                <w:b/>
                <w:bCs/>
                <w:sz w:val="20"/>
                <w:szCs w:val="20"/>
              </w:rPr>
              <w:br/>
              <w:t>December 31,</w:t>
            </w:r>
          </w:p>
        </w:tc>
        <w:tc>
          <w:tcPr>
            <w:tcW w:w="0" w:type="auto"/>
            <w:tcMar>
              <w:top w:w="0" w:type="dxa"/>
              <w:left w:w="0" w:type="dxa"/>
              <w:bottom w:w="15" w:type="dxa"/>
              <w:right w:w="0" w:type="dxa"/>
            </w:tcMar>
            <w:vAlign w:val="bottom"/>
            <w:hideMark/>
          </w:tcPr>
          <w:p w14:paraId="1B28AC32" w14:textId="77777777" w:rsidR="00000000" w:rsidRDefault="0053651E">
            <w:pPr>
              <w:rPr>
                <w:rFonts w:eastAsia="Times New Roman"/>
                <w:sz w:val="20"/>
                <w:szCs w:val="20"/>
              </w:rPr>
            </w:pPr>
            <w:r>
              <w:rPr>
                <w:rFonts w:eastAsia="Times New Roman"/>
                <w:sz w:val="20"/>
                <w:szCs w:val="20"/>
              </w:rPr>
              <w:t> </w:t>
            </w:r>
          </w:p>
        </w:tc>
      </w:tr>
      <w:tr w:rsidR="00000000" w14:paraId="3A0981D0" w14:textId="77777777">
        <w:trPr>
          <w:tblCellSpacing w:w="0" w:type="dxa"/>
        </w:trPr>
        <w:tc>
          <w:tcPr>
            <w:tcW w:w="0" w:type="auto"/>
            <w:vAlign w:val="bottom"/>
            <w:hideMark/>
          </w:tcPr>
          <w:p w14:paraId="228631E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134D72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32E4C5B"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234157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327C72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810E07D"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A80FED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1BD595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81A4E21"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4341FC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EB4F72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7B7548"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E4F0F43" w14:textId="77777777" w:rsidR="00000000" w:rsidRDefault="0053651E">
            <w:pPr>
              <w:rPr>
                <w:rFonts w:eastAsia="Times New Roman"/>
                <w:sz w:val="20"/>
                <w:szCs w:val="20"/>
              </w:rPr>
            </w:pPr>
            <w:r>
              <w:rPr>
                <w:rFonts w:eastAsia="Times New Roman"/>
                <w:sz w:val="20"/>
                <w:szCs w:val="20"/>
              </w:rPr>
              <w:t> </w:t>
            </w:r>
          </w:p>
        </w:tc>
      </w:tr>
      <w:tr w:rsidR="00000000" w14:paraId="097F9C33" w14:textId="77777777">
        <w:trPr>
          <w:tblCellSpacing w:w="0" w:type="dxa"/>
        </w:trPr>
        <w:tc>
          <w:tcPr>
            <w:tcW w:w="2400" w:type="pct"/>
            <w:shd w:val="clear" w:color="auto" w:fill="CCEEFF"/>
            <w:vAlign w:val="bottom"/>
            <w:hideMark/>
          </w:tcPr>
          <w:p w14:paraId="19C5E7CD" w14:textId="77777777" w:rsidR="00000000" w:rsidRDefault="0053651E">
            <w:pPr>
              <w:pStyle w:val="a3"/>
              <w:spacing w:before="0" w:beforeAutospacing="0" w:after="0" w:afterAutospacing="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14:paraId="585A51C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C0022E0"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4C46AE36" w14:textId="77777777" w:rsidR="00000000" w:rsidRDefault="0053651E">
            <w:pPr>
              <w:jc w:val="right"/>
              <w:rPr>
                <w:rFonts w:eastAsia="Times New Roman"/>
                <w:sz w:val="20"/>
                <w:szCs w:val="20"/>
              </w:rPr>
            </w:pPr>
            <w:r>
              <w:rPr>
                <w:rFonts w:eastAsia="Times New Roman"/>
                <w:sz w:val="20"/>
                <w:szCs w:val="20"/>
              </w:rPr>
              <w:t>92,812</w:t>
            </w:r>
          </w:p>
        </w:tc>
        <w:tc>
          <w:tcPr>
            <w:tcW w:w="50" w:type="pct"/>
            <w:tcBorders>
              <w:bottom w:val="nil"/>
            </w:tcBorders>
            <w:shd w:val="clear" w:color="auto" w:fill="CCEEFF"/>
            <w:vAlign w:val="bottom"/>
            <w:hideMark/>
          </w:tcPr>
          <w:p w14:paraId="4E96285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197039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972DF6D"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56F22B64" w14:textId="77777777" w:rsidR="00000000" w:rsidRDefault="0053651E">
            <w:pPr>
              <w:jc w:val="right"/>
              <w:rPr>
                <w:rFonts w:eastAsia="Times New Roman"/>
                <w:sz w:val="20"/>
                <w:szCs w:val="20"/>
              </w:rPr>
            </w:pPr>
            <w:r>
              <w:rPr>
                <w:rFonts w:eastAsia="Times New Roman"/>
                <w:sz w:val="20"/>
                <w:szCs w:val="20"/>
              </w:rPr>
              <w:t>73,627</w:t>
            </w:r>
          </w:p>
        </w:tc>
        <w:tc>
          <w:tcPr>
            <w:tcW w:w="50" w:type="pct"/>
            <w:tcBorders>
              <w:bottom w:val="nil"/>
            </w:tcBorders>
            <w:shd w:val="clear" w:color="auto" w:fill="CCEEFF"/>
            <w:vAlign w:val="bottom"/>
            <w:hideMark/>
          </w:tcPr>
          <w:p w14:paraId="2377908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CEFF51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9A44BA"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254B7774" w14:textId="77777777" w:rsidR="00000000" w:rsidRDefault="0053651E">
            <w:pPr>
              <w:jc w:val="right"/>
              <w:rPr>
                <w:rFonts w:eastAsia="Times New Roman"/>
                <w:sz w:val="20"/>
                <w:szCs w:val="20"/>
              </w:rPr>
            </w:pPr>
            <w:r>
              <w:rPr>
                <w:rFonts w:eastAsia="Times New Roman"/>
                <w:sz w:val="20"/>
                <w:szCs w:val="20"/>
              </w:rPr>
              <w:t>339,988</w:t>
            </w:r>
          </w:p>
        </w:tc>
        <w:tc>
          <w:tcPr>
            <w:tcW w:w="50" w:type="pct"/>
            <w:tcBorders>
              <w:bottom w:val="nil"/>
            </w:tcBorders>
            <w:shd w:val="clear" w:color="auto" w:fill="CCEEFF"/>
            <w:vAlign w:val="bottom"/>
            <w:hideMark/>
          </w:tcPr>
          <w:p w14:paraId="5B32557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50666A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19D61D2"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1DBE9BDE" w14:textId="77777777" w:rsidR="00000000" w:rsidRDefault="0053651E">
            <w:pPr>
              <w:jc w:val="right"/>
              <w:rPr>
                <w:rFonts w:eastAsia="Times New Roman"/>
                <w:sz w:val="20"/>
                <w:szCs w:val="20"/>
              </w:rPr>
            </w:pPr>
            <w:r>
              <w:rPr>
                <w:rFonts w:eastAsia="Times New Roman"/>
                <w:sz w:val="20"/>
                <w:szCs w:val="20"/>
              </w:rPr>
              <w:t>439,604</w:t>
            </w:r>
          </w:p>
        </w:tc>
        <w:tc>
          <w:tcPr>
            <w:tcW w:w="50" w:type="pct"/>
            <w:tcBorders>
              <w:bottom w:val="nil"/>
            </w:tcBorders>
            <w:shd w:val="clear" w:color="auto" w:fill="CCEEFF"/>
            <w:vAlign w:val="bottom"/>
            <w:hideMark/>
          </w:tcPr>
          <w:p w14:paraId="346E60AD" w14:textId="77777777" w:rsidR="00000000" w:rsidRDefault="0053651E">
            <w:pPr>
              <w:rPr>
                <w:rFonts w:eastAsia="Times New Roman"/>
                <w:sz w:val="20"/>
                <w:szCs w:val="20"/>
              </w:rPr>
            </w:pPr>
            <w:r>
              <w:rPr>
                <w:rFonts w:eastAsia="Times New Roman"/>
                <w:sz w:val="20"/>
                <w:szCs w:val="20"/>
              </w:rPr>
              <w:t> </w:t>
            </w:r>
          </w:p>
        </w:tc>
      </w:tr>
      <w:tr w:rsidR="00000000" w14:paraId="1F44DA92" w14:textId="77777777">
        <w:trPr>
          <w:tblCellSpacing w:w="0" w:type="dxa"/>
        </w:trPr>
        <w:tc>
          <w:tcPr>
            <w:tcW w:w="0" w:type="auto"/>
            <w:shd w:val="clear" w:color="auto" w:fill="FFFFFF"/>
            <w:vAlign w:val="bottom"/>
            <w:hideMark/>
          </w:tcPr>
          <w:p w14:paraId="7F9811B6" w14:textId="77777777" w:rsidR="00000000" w:rsidRDefault="0053651E">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14:paraId="07EC745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920B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A94C9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C58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C8A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E76FF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BFB0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DC26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B2B9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368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018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56BF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032D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5C9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275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6EC9E9" w14:textId="77777777" w:rsidR="00000000" w:rsidRDefault="0053651E">
            <w:pPr>
              <w:rPr>
                <w:rFonts w:eastAsia="Times New Roman"/>
                <w:sz w:val="20"/>
                <w:szCs w:val="20"/>
              </w:rPr>
            </w:pPr>
            <w:r>
              <w:rPr>
                <w:rFonts w:eastAsia="Times New Roman"/>
                <w:sz w:val="20"/>
                <w:szCs w:val="20"/>
              </w:rPr>
              <w:t> </w:t>
            </w:r>
          </w:p>
        </w:tc>
      </w:tr>
      <w:tr w:rsidR="00000000" w14:paraId="67192C28" w14:textId="77777777">
        <w:trPr>
          <w:tblCellSpacing w:w="0" w:type="dxa"/>
        </w:trPr>
        <w:tc>
          <w:tcPr>
            <w:tcW w:w="0" w:type="auto"/>
            <w:shd w:val="clear" w:color="auto" w:fill="CCEEFF"/>
            <w:vAlign w:val="bottom"/>
            <w:hideMark/>
          </w:tcPr>
          <w:p w14:paraId="2F81CE4F" w14:textId="77777777" w:rsidR="00000000" w:rsidRDefault="0053651E">
            <w:pPr>
              <w:pStyle w:val="a3"/>
              <w:spacing w:before="0" w:beforeAutospacing="0" w:after="0" w:afterAutospacing="0"/>
              <w:ind w:left="180"/>
              <w:rPr>
                <w:sz w:val="20"/>
                <w:szCs w:val="20"/>
              </w:rPr>
            </w:pPr>
            <w:r>
              <w:rPr>
                <w:sz w:val="20"/>
                <w:szCs w:val="20"/>
              </w:rPr>
              <w:t>Management and other fee income</w:t>
            </w:r>
          </w:p>
        </w:tc>
        <w:tc>
          <w:tcPr>
            <w:tcW w:w="50" w:type="pct"/>
            <w:shd w:val="clear" w:color="auto" w:fill="CCEEFF"/>
            <w:vAlign w:val="bottom"/>
            <w:hideMark/>
          </w:tcPr>
          <w:p w14:paraId="21D47A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5FE32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C99D144" w14:textId="77777777" w:rsidR="00000000" w:rsidRDefault="0053651E">
            <w:pPr>
              <w:jc w:val="right"/>
              <w:rPr>
                <w:rFonts w:eastAsia="Times New Roman"/>
                <w:sz w:val="20"/>
                <w:szCs w:val="20"/>
              </w:rPr>
            </w:pPr>
            <w:r>
              <w:rPr>
                <w:rFonts w:eastAsia="Times New Roman"/>
                <w:sz w:val="20"/>
                <w:szCs w:val="20"/>
              </w:rPr>
              <w:t>(4,321</w:t>
            </w:r>
          </w:p>
        </w:tc>
        <w:tc>
          <w:tcPr>
            <w:tcW w:w="50" w:type="pct"/>
            <w:shd w:val="clear" w:color="auto" w:fill="CCEEFF"/>
            <w:vAlign w:val="bottom"/>
            <w:hideMark/>
          </w:tcPr>
          <w:p w14:paraId="43FDFAD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18CDB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CCBB3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036723D" w14:textId="77777777" w:rsidR="00000000" w:rsidRDefault="0053651E">
            <w:pPr>
              <w:jc w:val="right"/>
              <w:rPr>
                <w:rFonts w:eastAsia="Times New Roman"/>
                <w:sz w:val="20"/>
                <w:szCs w:val="20"/>
              </w:rPr>
            </w:pPr>
            <w:r>
              <w:rPr>
                <w:rFonts w:eastAsia="Times New Roman"/>
                <w:sz w:val="20"/>
                <w:szCs w:val="20"/>
              </w:rPr>
              <w:t>(2,397</w:t>
            </w:r>
          </w:p>
        </w:tc>
        <w:tc>
          <w:tcPr>
            <w:tcW w:w="50" w:type="pct"/>
            <w:shd w:val="clear" w:color="auto" w:fill="CCEEFF"/>
            <w:vAlign w:val="bottom"/>
            <w:hideMark/>
          </w:tcPr>
          <w:p w14:paraId="33C963E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00AF0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C1A9D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69D3095" w14:textId="77777777" w:rsidR="00000000" w:rsidRDefault="0053651E">
            <w:pPr>
              <w:jc w:val="right"/>
              <w:rPr>
                <w:rFonts w:eastAsia="Times New Roman"/>
                <w:sz w:val="20"/>
                <w:szCs w:val="20"/>
              </w:rPr>
            </w:pPr>
            <w:r>
              <w:rPr>
                <w:rFonts w:eastAsia="Times New Roman"/>
                <w:sz w:val="20"/>
                <w:szCs w:val="20"/>
              </w:rPr>
              <w:t>(16,550</w:t>
            </w:r>
          </w:p>
        </w:tc>
        <w:tc>
          <w:tcPr>
            <w:tcW w:w="50" w:type="pct"/>
            <w:shd w:val="clear" w:color="auto" w:fill="CCEEFF"/>
            <w:vAlign w:val="bottom"/>
            <w:hideMark/>
          </w:tcPr>
          <w:p w14:paraId="075DCD0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48F33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BC4FCC"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74E3AAB" w14:textId="77777777" w:rsidR="00000000" w:rsidRDefault="0053651E">
            <w:pPr>
              <w:jc w:val="right"/>
              <w:rPr>
                <w:rFonts w:eastAsia="Times New Roman"/>
                <w:sz w:val="20"/>
                <w:szCs w:val="20"/>
              </w:rPr>
            </w:pPr>
            <w:r>
              <w:rPr>
                <w:rFonts w:eastAsia="Times New Roman"/>
                <w:sz w:val="20"/>
                <w:szCs w:val="20"/>
              </w:rPr>
              <w:t>(15,159</w:t>
            </w:r>
          </w:p>
        </w:tc>
        <w:tc>
          <w:tcPr>
            <w:tcW w:w="50" w:type="pct"/>
            <w:shd w:val="clear" w:color="auto" w:fill="CCEEFF"/>
            <w:vAlign w:val="bottom"/>
            <w:hideMark/>
          </w:tcPr>
          <w:p w14:paraId="0F2DB22D" w14:textId="77777777" w:rsidR="00000000" w:rsidRDefault="0053651E">
            <w:pPr>
              <w:rPr>
                <w:rFonts w:eastAsia="Times New Roman"/>
                <w:sz w:val="20"/>
                <w:szCs w:val="20"/>
              </w:rPr>
            </w:pPr>
            <w:r>
              <w:rPr>
                <w:rFonts w:eastAsia="Times New Roman"/>
                <w:sz w:val="20"/>
                <w:szCs w:val="20"/>
              </w:rPr>
              <w:t>)</w:t>
            </w:r>
          </w:p>
        </w:tc>
      </w:tr>
      <w:tr w:rsidR="00000000" w14:paraId="190536F3" w14:textId="77777777">
        <w:trPr>
          <w:tblCellSpacing w:w="0" w:type="dxa"/>
        </w:trPr>
        <w:tc>
          <w:tcPr>
            <w:tcW w:w="0" w:type="auto"/>
            <w:shd w:val="clear" w:color="auto" w:fill="FFFFFF"/>
            <w:vAlign w:val="bottom"/>
            <w:hideMark/>
          </w:tcPr>
          <w:p w14:paraId="4BBFE321" w14:textId="77777777" w:rsidR="00000000" w:rsidRDefault="0053651E">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14:paraId="1B7958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4CEAED"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6DD5167" w14:textId="77777777" w:rsidR="00000000" w:rsidRDefault="0053651E">
            <w:pPr>
              <w:jc w:val="right"/>
              <w:rPr>
                <w:rFonts w:eastAsia="Times New Roman"/>
                <w:sz w:val="20"/>
                <w:szCs w:val="20"/>
              </w:rPr>
            </w:pPr>
            <w:r>
              <w:rPr>
                <w:rFonts w:eastAsia="Times New Roman"/>
                <w:sz w:val="20"/>
                <w:szCs w:val="20"/>
              </w:rPr>
              <w:t>24,646</w:t>
            </w:r>
          </w:p>
        </w:tc>
        <w:tc>
          <w:tcPr>
            <w:tcW w:w="50" w:type="pct"/>
            <w:shd w:val="clear" w:color="auto" w:fill="FFFFFF"/>
            <w:vAlign w:val="bottom"/>
            <w:hideMark/>
          </w:tcPr>
          <w:p w14:paraId="6388A4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2CD1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6ED3F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CC5FC0C" w14:textId="77777777" w:rsidR="00000000" w:rsidRDefault="0053651E">
            <w:pPr>
              <w:jc w:val="right"/>
              <w:rPr>
                <w:rFonts w:eastAsia="Times New Roman"/>
                <w:sz w:val="20"/>
                <w:szCs w:val="20"/>
              </w:rPr>
            </w:pPr>
            <w:r>
              <w:rPr>
                <w:rFonts w:eastAsia="Times New Roman"/>
                <w:sz w:val="20"/>
                <w:szCs w:val="20"/>
              </w:rPr>
              <w:t>20,022</w:t>
            </w:r>
          </w:p>
        </w:tc>
        <w:tc>
          <w:tcPr>
            <w:tcW w:w="50" w:type="pct"/>
            <w:shd w:val="clear" w:color="auto" w:fill="FFFFFF"/>
            <w:vAlign w:val="bottom"/>
            <w:hideMark/>
          </w:tcPr>
          <w:p w14:paraId="026352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5AC8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D3110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C408C96" w14:textId="77777777" w:rsidR="00000000" w:rsidRDefault="0053651E">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14:paraId="435E30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87FD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58FBC"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93816E2" w14:textId="77777777" w:rsidR="00000000" w:rsidRDefault="0053651E">
            <w:pPr>
              <w:jc w:val="right"/>
              <w:rPr>
                <w:rFonts w:eastAsia="Times New Roman"/>
                <w:sz w:val="20"/>
                <w:szCs w:val="20"/>
              </w:rPr>
            </w:pPr>
            <w:r>
              <w:rPr>
                <w:rFonts w:eastAsia="Times New Roman"/>
                <w:sz w:val="20"/>
                <w:szCs w:val="20"/>
              </w:rPr>
              <w:t>87,797</w:t>
            </w:r>
          </w:p>
        </w:tc>
        <w:tc>
          <w:tcPr>
            <w:tcW w:w="50" w:type="pct"/>
            <w:shd w:val="clear" w:color="auto" w:fill="FFFFFF"/>
            <w:vAlign w:val="bottom"/>
            <w:hideMark/>
          </w:tcPr>
          <w:p w14:paraId="67D2B20B" w14:textId="77777777" w:rsidR="00000000" w:rsidRDefault="0053651E">
            <w:pPr>
              <w:rPr>
                <w:rFonts w:eastAsia="Times New Roman"/>
                <w:sz w:val="20"/>
                <w:szCs w:val="20"/>
              </w:rPr>
            </w:pPr>
            <w:r>
              <w:rPr>
                <w:rFonts w:eastAsia="Times New Roman"/>
                <w:sz w:val="20"/>
                <w:szCs w:val="20"/>
              </w:rPr>
              <w:t> </w:t>
            </w:r>
          </w:p>
        </w:tc>
      </w:tr>
      <w:tr w:rsidR="00000000" w14:paraId="2CA64D5D" w14:textId="77777777">
        <w:trPr>
          <w:tblCellSpacing w:w="0" w:type="dxa"/>
        </w:trPr>
        <w:tc>
          <w:tcPr>
            <w:tcW w:w="0" w:type="auto"/>
            <w:shd w:val="clear" w:color="auto" w:fill="CCEEFF"/>
            <w:vAlign w:val="bottom"/>
            <w:hideMark/>
          </w:tcPr>
          <w:p w14:paraId="7819D1C7" w14:textId="77777777" w:rsidR="00000000" w:rsidRDefault="0053651E">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14:paraId="1191C6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83104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F13C9FB" w14:textId="77777777" w:rsidR="00000000" w:rsidRDefault="0053651E">
            <w:pPr>
              <w:jc w:val="right"/>
              <w:rPr>
                <w:rFonts w:eastAsia="Times New Roman"/>
                <w:sz w:val="20"/>
                <w:szCs w:val="20"/>
              </w:rPr>
            </w:pPr>
            <w:r>
              <w:rPr>
                <w:rFonts w:eastAsia="Times New Roman"/>
                <w:sz w:val="20"/>
                <w:szCs w:val="20"/>
              </w:rPr>
              <w:t>7,508</w:t>
            </w:r>
          </w:p>
        </w:tc>
        <w:tc>
          <w:tcPr>
            <w:tcW w:w="50" w:type="pct"/>
            <w:shd w:val="clear" w:color="auto" w:fill="CCEEFF"/>
            <w:vAlign w:val="bottom"/>
            <w:hideMark/>
          </w:tcPr>
          <w:p w14:paraId="153894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AF59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FCDB80"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27DBAA2" w14:textId="77777777" w:rsidR="00000000" w:rsidRDefault="0053651E">
            <w:pPr>
              <w:jc w:val="right"/>
              <w:rPr>
                <w:rFonts w:eastAsia="Times New Roman"/>
                <w:sz w:val="20"/>
                <w:szCs w:val="20"/>
              </w:rPr>
            </w:pPr>
            <w:r>
              <w:rPr>
                <w:rFonts w:eastAsia="Times New Roman"/>
                <w:sz w:val="20"/>
                <w:szCs w:val="20"/>
              </w:rPr>
              <w:t>45,352</w:t>
            </w:r>
          </w:p>
        </w:tc>
        <w:tc>
          <w:tcPr>
            <w:tcW w:w="50" w:type="pct"/>
            <w:shd w:val="clear" w:color="auto" w:fill="CCEEFF"/>
            <w:vAlign w:val="bottom"/>
            <w:hideMark/>
          </w:tcPr>
          <w:p w14:paraId="4C6D99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A72D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868B9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7A5BCED" w14:textId="77777777" w:rsidR="00000000" w:rsidRDefault="0053651E">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14:paraId="3C4DBC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3A8E4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7217A3"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6017EC4" w14:textId="77777777" w:rsidR="00000000" w:rsidRDefault="0053651E">
            <w:pPr>
              <w:jc w:val="right"/>
              <w:rPr>
                <w:rFonts w:eastAsia="Times New Roman"/>
                <w:sz w:val="20"/>
                <w:szCs w:val="20"/>
              </w:rPr>
            </w:pPr>
            <w:r>
              <w:rPr>
                <w:rFonts w:eastAsia="Times New Roman"/>
                <w:sz w:val="20"/>
                <w:szCs w:val="20"/>
              </w:rPr>
              <w:t>79,207</w:t>
            </w:r>
          </w:p>
        </w:tc>
        <w:tc>
          <w:tcPr>
            <w:tcW w:w="50" w:type="pct"/>
            <w:shd w:val="clear" w:color="auto" w:fill="CCEEFF"/>
            <w:vAlign w:val="bottom"/>
            <w:hideMark/>
          </w:tcPr>
          <w:p w14:paraId="2268E1AC" w14:textId="77777777" w:rsidR="00000000" w:rsidRDefault="0053651E">
            <w:pPr>
              <w:rPr>
                <w:rFonts w:eastAsia="Times New Roman"/>
                <w:sz w:val="20"/>
                <w:szCs w:val="20"/>
              </w:rPr>
            </w:pPr>
            <w:r>
              <w:rPr>
                <w:rFonts w:eastAsia="Times New Roman"/>
                <w:sz w:val="20"/>
                <w:szCs w:val="20"/>
              </w:rPr>
              <w:t> </w:t>
            </w:r>
          </w:p>
        </w:tc>
      </w:tr>
      <w:tr w:rsidR="00000000" w14:paraId="0E5C0065" w14:textId="77777777">
        <w:trPr>
          <w:tblCellSpacing w:w="0" w:type="dxa"/>
        </w:trPr>
        <w:tc>
          <w:tcPr>
            <w:tcW w:w="0" w:type="auto"/>
            <w:shd w:val="clear" w:color="auto" w:fill="FFFFFF"/>
            <w:vAlign w:val="bottom"/>
            <w:hideMark/>
          </w:tcPr>
          <w:p w14:paraId="02F2C660" w14:textId="77777777" w:rsidR="00000000" w:rsidRDefault="0053651E">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14:paraId="36B0FF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402B09"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BBFC9DE" w14:textId="77777777" w:rsidR="00000000" w:rsidRDefault="0053651E">
            <w:pPr>
              <w:jc w:val="right"/>
              <w:rPr>
                <w:rFonts w:eastAsia="Times New Roman"/>
                <w:sz w:val="20"/>
                <w:szCs w:val="20"/>
              </w:rPr>
            </w:pPr>
            <w:r>
              <w:rPr>
                <w:rFonts w:eastAsia="Times New Roman"/>
                <w:sz w:val="20"/>
                <w:szCs w:val="20"/>
              </w:rPr>
              <w:t>68,439</w:t>
            </w:r>
          </w:p>
        </w:tc>
        <w:tc>
          <w:tcPr>
            <w:tcW w:w="50" w:type="pct"/>
            <w:shd w:val="clear" w:color="auto" w:fill="FFFFFF"/>
            <w:vAlign w:val="bottom"/>
            <w:hideMark/>
          </w:tcPr>
          <w:p w14:paraId="27B01C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31B0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5BBFD8"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DDB90F9" w14:textId="77777777" w:rsidR="00000000" w:rsidRDefault="0053651E">
            <w:pPr>
              <w:jc w:val="right"/>
              <w:rPr>
                <w:rFonts w:eastAsia="Times New Roman"/>
                <w:sz w:val="20"/>
                <w:szCs w:val="20"/>
              </w:rPr>
            </w:pPr>
            <w:r>
              <w:rPr>
                <w:rFonts w:eastAsia="Times New Roman"/>
                <w:sz w:val="20"/>
                <w:szCs w:val="20"/>
              </w:rPr>
              <w:t>74,266</w:t>
            </w:r>
          </w:p>
        </w:tc>
        <w:tc>
          <w:tcPr>
            <w:tcW w:w="50" w:type="pct"/>
            <w:shd w:val="clear" w:color="auto" w:fill="FFFFFF"/>
            <w:vAlign w:val="bottom"/>
            <w:hideMark/>
          </w:tcPr>
          <w:p w14:paraId="3B5549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E6BB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C6C02A"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2C6CA46" w14:textId="77777777" w:rsidR="00000000" w:rsidRDefault="0053651E">
            <w:pPr>
              <w:jc w:val="right"/>
              <w:rPr>
                <w:rFonts w:eastAsia="Times New Roman"/>
                <w:sz w:val="20"/>
                <w:szCs w:val="20"/>
              </w:rPr>
            </w:pPr>
            <w:r>
              <w:rPr>
                <w:rFonts w:eastAsia="Times New Roman"/>
                <w:sz w:val="20"/>
                <w:szCs w:val="20"/>
              </w:rPr>
              <w:t>277,879</w:t>
            </w:r>
          </w:p>
        </w:tc>
        <w:tc>
          <w:tcPr>
            <w:tcW w:w="50" w:type="pct"/>
            <w:shd w:val="clear" w:color="auto" w:fill="FFFFFF"/>
            <w:vAlign w:val="bottom"/>
            <w:hideMark/>
          </w:tcPr>
          <w:p w14:paraId="0F4AB0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50CD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EE1480"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D953902" w14:textId="77777777" w:rsidR="00000000" w:rsidRDefault="0053651E">
            <w:pPr>
              <w:jc w:val="right"/>
              <w:rPr>
                <w:rFonts w:eastAsia="Times New Roman"/>
                <w:sz w:val="20"/>
                <w:szCs w:val="20"/>
              </w:rPr>
            </w:pPr>
            <w:r>
              <w:rPr>
                <w:rFonts w:eastAsia="Times New Roman"/>
                <w:sz w:val="20"/>
                <w:szCs w:val="20"/>
              </w:rPr>
              <w:t>310,380</w:t>
            </w:r>
          </w:p>
        </w:tc>
        <w:tc>
          <w:tcPr>
            <w:tcW w:w="50" w:type="pct"/>
            <w:shd w:val="clear" w:color="auto" w:fill="FFFFFF"/>
            <w:vAlign w:val="bottom"/>
            <w:hideMark/>
          </w:tcPr>
          <w:p w14:paraId="40B8D8A5" w14:textId="77777777" w:rsidR="00000000" w:rsidRDefault="0053651E">
            <w:pPr>
              <w:rPr>
                <w:rFonts w:eastAsia="Times New Roman"/>
                <w:sz w:val="20"/>
                <w:szCs w:val="20"/>
              </w:rPr>
            </w:pPr>
            <w:r>
              <w:rPr>
                <w:rFonts w:eastAsia="Times New Roman"/>
                <w:sz w:val="20"/>
                <w:szCs w:val="20"/>
              </w:rPr>
              <w:t> </w:t>
            </w:r>
          </w:p>
        </w:tc>
      </w:tr>
      <w:tr w:rsidR="00000000" w14:paraId="712BAF7D" w14:textId="77777777">
        <w:trPr>
          <w:tblCellSpacing w:w="0" w:type="dxa"/>
        </w:trPr>
        <w:tc>
          <w:tcPr>
            <w:tcW w:w="0" w:type="auto"/>
            <w:shd w:val="clear" w:color="auto" w:fill="CCEEFF"/>
            <w:vAlign w:val="bottom"/>
            <w:hideMark/>
          </w:tcPr>
          <w:p w14:paraId="7A87DCFB" w14:textId="77777777" w:rsidR="00000000" w:rsidRDefault="0053651E">
            <w:pPr>
              <w:pStyle w:val="a3"/>
              <w:spacing w:before="0" w:beforeAutospacing="0" w:after="0" w:afterAutospacing="0"/>
              <w:ind w:left="180"/>
              <w:rPr>
                <w:sz w:val="20"/>
                <w:szCs w:val="20"/>
              </w:rPr>
            </w:pPr>
            <w:r>
              <w:rPr>
                <w:sz w:val="20"/>
                <w:szCs w:val="20"/>
              </w:rPr>
              <w:t>Gain on sale of properties/change in control of interests</w:t>
            </w:r>
          </w:p>
        </w:tc>
        <w:tc>
          <w:tcPr>
            <w:tcW w:w="50" w:type="pct"/>
            <w:shd w:val="clear" w:color="auto" w:fill="CCEEFF"/>
            <w:vAlign w:val="bottom"/>
            <w:hideMark/>
          </w:tcPr>
          <w:p w14:paraId="493595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B617C3"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FBA64C4" w14:textId="77777777" w:rsidR="00000000" w:rsidRDefault="0053651E">
            <w:pPr>
              <w:jc w:val="right"/>
              <w:rPr>
                <w:rFonts w:eastAsia="Times New Roman"/>
                <w:sz w:val="20"/>
                <w:szCs w:val="20"/>
              </w:rPr>
            </w:pPr>
            <w:r>
              <w:rPr>
                <w:rFonts w:eastAsia="Times New Roman"/>
                <w:sz w:val="20"/>
                <w:szCs w:val="20"/>
              </w:rPr>
              <w:t>(31,836</w:t>
            </w:r>
          </w:p>
        </w:tc>
        <w:tc>
          <w:tcPr>
            <w:tcW w:w="50" w:type="pct"/>
            <w:shd w:val="clear" w:color="auto" w:fill="CCEEFF"/>
            <w:vAlign w:val="bottom"/>
            <w:hideMark/>
          </w:tcPr>
          <w:p w14:paraId="7CB86D4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A44E7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72080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1AA7E95" w14:textId="77777777" w:rsidR="00000000" w:rsidRDefault="0053651E">
            <w:pPr>
              <w:jc w:val="right"/>
              <w:rPr>
                <w:rFonts w:eastAsia="Times New Roman"/>
                <w:sz w:val="20"/>
                <w:szCs w:val="20"/>
              </w:rPr>
            </w:pPr>
            <w:r>
              <w:rPr>
                <w:rFonts w:eastAsia="Times New Roman"/>
                <w:sz w:val="20"/>
                <w:szCs w:val="20"/>
              </w:rPr>
              <w:t>(49,379</w:t>
            </w:r>
          </w:p>
        </w:tc>
        <w:tc>
          <w:tcPr>
            <w:tcW w:w="50" w:type="pct"/>
            <w:shd w:val="clear" w:color="auto" w:fill="CCEEFF"/>
            <w:vAlign w:val="bottom"/>
            <w:hideMark/>
          </w:tcPr>
          <w:p w14:paraId="44C7010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17E6C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0C2B92"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FF042BA"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CCEEFF"/>
            <w:vAlign w:val="bottom"/>
            <w:hideMark/>
          </w:tcPr>
          <w:p w14:paraId="0F3CA66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4C76B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6CF658"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C33415F" w14:textId="77777777" w:rsidR="00000000" w:rsidRDefault="0053651E">
            <w:pPr>
              <w:jc w:val="right"/>
              <w:rPr>
                <w:rFonts w:eastAsia="Times New Roman"/>
                <w:sz w:val="20"/>
                <w:szCs w:val="20"/>
              </w:rPr>
            </w:pPr>
            <w:r>
              <w:rPr>
                <w:rFonts w:eastAsia="Times New Roman"/>
                <w:sz w:val="20"/>
                <w:szCs w:val="20"/>
              </w:rPr>
              <w:t>(229,840</w:t>
            </w:r>
          </w:p>
        </w:tc>
        <w:tc>
          <w:tcPr>
            <w:tcW w:w="50" w:type="pct"/>
            <w:shd w:val="clear" w:color="auto" w:fill="CCEEFF"/>
            <w:vAlign w:val="bottom"/>
            <w:hideMark/>
          </w:tcPr>
          <w:p w14:paraId="755FA436" w14:textId="77777777" w:rsidR="00000000" w:rsidRDefault="0053651E">
            <w:pPr>
              <w:rPr>
                <w:rFonts w:eastAsia="Times New Roman"/>
                <w:sz w:val="20"/>
                <w:szCs w:val="20"/>
              </w:rPr>
            </w:pPr>
            <w:r>
              <w:rPr>
                <w:rFonts w:eastAsia="Times New Roman"/>
                <w:sz w:val="20"/>
                <w:szCs w:val="20"/>
              </w:rPr>
              <w:t>)</w:t>
            </w:r>
          </w:p>
        </w:tc>
      </w:tr>
      <w:tr w:rsidR="00000000" w14:paraId="7DC9D5DF" w14:textId="77777777">
        <w:trPr>
          <w:tblCellSpacing w:w="0" w:type="dxa"/>
        </w:trPr>
        <w:tc>
          <w:tcPr>
            <w:tcW w:w="0" w:type="auto"/>
            <w:shd w:val="clear" w:color="auto" w:fill="FFFFFF"/>
            <w:vAlign w:val="bottom"/>
            <w:hideMark/>
          </w:tcPr>
          <w:p w14:paraId="33F842A0" w14:textId="77777777" w:rsidR="00000000" w:rsidRDefault="0053651E">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FFFFFF"/>
            <w:vAlign w:val="bottom"/>
            <w:hideMark/>
          </w:tcPr>
          <w:p w14:paraId="5620C3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F7E082"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D6CB61D" w14:textId="77777777" w:rsidR="00000000" w:rsidRDefault="0053651E">
            <w:pPr>
              <w:jc w:val="right"/>
              <w:rPr>
                <w:rFonts w:eastAsia="Times New Roman"/>
                <w:sz w:val="20"/>
                <w:szCs w:val="20"/>
              </w:rPr>
            </w:pPr>
            <w:r>
              <w:rPr>
                <w:rFonts w:eastAsia="Times New Roman"/>
                <w:sz w:val="20"/>
                <w:szCs w:val="20"/>
              </w:rPr>
              <w:t>42,830</w:t>
            </w:r>
          </w:p>
        </w:tc>
        <w:tc>
          <w:tcPr>
            <w:tcW w:w="50" w:type="pct"/>
            <w:shd w:val="clear" w:color="auto" w:fill="FFFFFF"/>
            <w:vAlign w:val="bottom"/>
            <w:hideMark/>
          </w:tcPr>
          <w:p w14:paraId="2E935D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650E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F16FC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259BFBE" w14:textId="77777777" w:rsidR="00000000" w:rsidRDefault="0053651E">
            <w:pPr>
              <w:jc w:val="right"/>
              <w:rPr>
                <w:rFonts w:eastAsia="Times New Roman"/>
                <w:sz w:val="20"/>
                <w:szCs w:val="20"/>
              </w:rPr>
            </w:pPr>
            <w:r>
              <w:rPr>
                <w:rFonts w:eastAsia="Times New Roman"/>
                <w:sz w:val="20"/>
                <w:szCs w:val="20"/>
              </w:rPr>
              <w:t>44,515</w:t>
            </w:r>
          </w:p>
        </w:tc>
        <w:tc>
          <w:tcPr>
            <w:tcW w:w="50" w:type="pct"/>
            <w:shd w:val="clear" w:color="auto" w:fill="FFFFFF"/>
            <w:vAlign w:val="bottom"/>
            <w:hideMark/>
          </w:tcPr>
          <w:p w14:paraId="081DBA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8609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16BBB9"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F2C8D6F" w14:textId="77777777" w:rsidR="00000000" w:rsidRDefault="0053651E">
            <w:pPr>
              <w:jc w:val="right"/>
              <w:rPr>
                <w:rFonts w:eastAsia="Times New Roman"/>
                <w:sz w:val="20"/>
                <w:szCs w:val="20"/>
              </w:rPr>
            </w:pPr>
            <w:r>
              <w:rPr>
                <w:rFonts w:eastAsia="Times New Roman"/>
                <w:sz w:val="20"/>
                <w:szCs w:val="20"/>
              </w:rPr>
              <w:t>165,581</w:t>
            </w:r>
          </w:p>
        </w:tc>
        <w:tc>
          <w:tcPr>
            <w:tcW w:w="50" w:type="pct"/>
            <w:shd w:val="clear" w:color="auto" w:fill="FFFFFF"/>
            <w:vAlign w:val="bottom"/>
            <w:hideMark/>
          </w:tcPr>
          <w:p w14:paraId="2B3AC4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8F43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1F2E8B"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6497EC8" w14:textId="77777777" w:rsidR="00000000" w:rsidRDefault="0053651E">
            <w:pPr>
              <w:jc w:val="right"/>
              <w:rPr>
                <w:rFonts w:eastAsia="Times New Roman"/>
                <w:sz w:val="20"/>
                <w:szCs w:val="20"/>
              </w:rPr>
            </w:pPr>
            <w:r>
              <w:rPr>
                <w:rFonts w:eastAsia="Times New Roman"/>
                <w:sz w:val="20"/>
                <w:szCs w:val="20"/>
              </w:rPr>
              <w:t>183,060</w:t>
            </w:r>
          </w:p>
        </w:tc>
        <w:tc>
          <w:tcPr>
            <w:tcW w:w="50" w:type="pct"/>
            <w:shd w:val="clear" w:color="auto" w:fill="FFFFFF"/>
            <w:vAlign w:val="bottom"/>
            <w:hideMark/>
          </w:tcPr>
          <w:p w14:paraId="7C91BB42" w14:textId="77777777" w:rsidR="00000000" w:rsidRDefault="0053651E">
            <w:pPr>
              <w:rPr>
                <w:rFonts w:eastAsia="Times New Roman"/>
                <w:sz w:val="20"/>
                <w:szCs w:val="20"/>
              </w:rPr>
            </w:pPr>
            <w:r>
              <w:rPr>
                <w:rFonts w:eastAsia="Times New Roman"/>
                <w:sz w:val="20"/>
                <w:szCs w:val="20"/>
              </w:rPr>
              <w:t> </w:t>
            </w:r>
          </w:p>
        </w:tc>
      </w:tr>
      <w:tr w:rsidR="00000000" w14:paraId="0C2AF449" w14:textId="77777777">
        <w:trPr>
          <w:tblCellSpacing w:w="0" w:type="dxa"/>
        </w:trPr>
        <w:tc>
          <w:tcPr>
            <w:tcW w:w="0" w:type="auto"/>
            <w:shd w:val="clear" w:color="auto" w:fill="CCEEFF"/>
            <w:vAlign w:val="bottom"/>
            <w:hideMark/>
          </w:tcPr>
          <w:p w14:paraId="431ED8CD" w14:textId="77777777" w:rsidR="00000000" w:rsidRDefault="0053651E">
            <w:pPr>
              <w:pStyle w:val="a3"/>
              <w:spacing w:before="0" w:beforeAutospacing="0" w:after="0" w:afterAutospacing="0"/>
              <w:ind w:left="180"/>
              <w:rPr>
                <w:sz w:val="20"/>
                <w:szCs w:val="20"/>
              </w:rPr>
            </w:pPr>
            <w:r>
              <w:rPr>
                <w:sz w:val="20"/>
                <w:szCs w:val="20"/>
              </w:rPr>
              <w:t>Provision/(benefit) for income taxes, net</w:t>
            </w:r>
          </w:p>
        </w:tc>
        <w:tc>
          <w:tcPr>
            <w:tcW w:w="50" w:type="pct"/>
            <w:shd w:val="clear" w:color="auto" w:fill="CCEEFF"/>
            <w:vAlign w:val="bottom"/>
            <w:hideMark/>
          </w:tcPr>
          <w:p w14:paraId="117016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08DC90"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3023CA2" w14:textId="77777777" w:rsidR="00000000" w:rsidRDefault="0053651E">
            <w:pPr>
              <w:jc w:val="right"/>
              <w:rPr>
                <w:rFonts w:eastAsia="Times New Roman"/>
                <w:sz w:val="20"/>
                <w:szCs w:val="20"/>
              </w:rPr>
            </w:pPr>
            <w:r>
              <w:rPr>
                <w:rFonts w:eastAsia="Times New Roman"/>
                <w:sz w:val="20"/>
                <w:szCs w:val="20"/>
              </w:rPr>
              <w:t>263</w:t>
            </w:r>
          </w:p>
        </w:tc>
        <w:tc>
          <w:tcPr>
            <w:tcW w:w="50" w:type="pct"/>
            <w:shd w:val="clear" w:color="auto" w:fill="CCEEFF"/>
            <w:vAlign w:val="bottom"/>
            <w:hideMark/>
          </w:tcPr>
          <w:p w14:paraId="77DCCE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F627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59068C"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45D021A" w14:textId="77777777" w:rsidR="00000000" w:rsidRDefault="0053651E">
            <w:pPr>
              <w:jc w:val="right"/>
              <w:rPr>
                <w:rFonts w:eastAsia="Times New Roman"/>
                <w:sz w:val="20"/>
                <w:szCs w:val="20"/>
              </w:rPr>
            </w:pPr>
            <w:r>
              <w:rPr>
                <w:rFonts w:eastAsia="Times New Roman"/>
                <w:sz w:val="20"/>
                <w:szCs w:val="20"/>
              </w:rPr>
              <w:t>2,583</w:t>
            </w:r>
          </w:p>
        </w:tc>
        <w:tc>
          <w:tcPr>
            <w:tcW w:w="50" w:type="pct"/>
            <w:shd w:val="clear" w:color="auto" w:fill="CCEEFF"/>
            <w:vAlign w:val="bottom"/>
            <w:hideMark/>
          </w:tcPr>
          <w:p w14:paraId="7F265F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3383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09F8D"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F35ACD4" w14:textId="77777777" w:rsidR="00000000" w:rsidRDefault="0053651E">
            <w:pPr>
              <w:jc w:val="right"/>
              <w:rPr>
                <w:rFonts w:eastAsia="Times New Roman"/>
                <w:sz w:val="20"/>
                <w:szCs w:val="20"/>
              </w:rPr>
            </w:pPr>
            <w:r>
              <w:rPr>
                <w:rFonts w:eastAsia="Times New Roman"/>
                <w:sz w:val="20"/>
                <w:szCs w:val="20"/>
              </w:rPr>
              <w:t>(3,317</w:t>
            </w:r>
          </w:p>
        </w:tc>
        <w:tc>
          <w:tcPr>
            <w:tcW w:w="50" w:type="pct"/>
            <w:shd w:val="clear" w:color="auto" w:fill="CCEEFF"/>
            <w:vAlign w:val="bottom"/>
            <w:hideMark/>
          </w:tcPr>
          <w:p w14:paraId="29341B3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F0574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566347"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02B6AE4" w14:textId="77777777" w:rsidR="00000000" w:rsidRDefault="0053651E">
            <w:pPr>
              <w:jc w:val="right"/>
              <w:rPr>
                <w:rFonts w:eastAsia="Times New Roman"/>
                <w:sz w:val="20"/>
                <w:szCs w:val="20"/>
              </w:rPr>
            </w:pPr>
            <w:r>
              <w:rPr>
                <w:rFonts w:eastAsia="Times New Roman"/>
                <w:sz w:val="20"/>
                <w:szCs w:val="20"/>
              </w:rPr>
              <w:t>1,600</w:t>
            </w:r>
          </w:p>
        </w:tc>
        <w:tc>
          <w:tcPr>
            <w:tcW w:w="50" w:type="pct"/>
            <w:shd w:val="clear" w:color="auto" w:fill="CCEEFF"/>
            <w:vAlign w:val="bottom"/>
            <w:hideMark/>
          </w:tcPr>
          <w:p w14:paraId="2CB08D56" w14:textId="77777777" w:rsidR="00000000" w:rsidRDefault="0053651E">
            <w:pPr>
              <w:rPr>
                <w:rFonts w:eastAsia="Times New Roman"/>
                <w:sz w:val="20"/>
                <w:szCs w:val="20"/>
              </w:rPr>
            </w:pPr>
            <w:r>
              <w:rPr>
                <w:rFonts w:eastAsia="Times New Roman"/>
                <w:sz w:val="20"/>
                <w:szCs w:val="20"/>
              </w:rPr>
              <w:t> </w:t>
            </w:r>
          </w:p>
        </w:tc>
      </w:tr>
      <w:tr w:rsidR="00000000" w14:paraId="231942AA" w14:textId="77777777">
        <w:trPr>
          <w:tblCellSpacing w:w="0" w:type="dxa"/>
        </w:trPr>
        <w:tc>
          <w:tcPr>
            <w:tcW w:w="0" w:type="auto"/>
            <w:shd w:val="clear" w:color="auto" w:fill="FFFFFF"/>
            <w:vAlign w:val="bottom"/>
            <w:hideMark/>
          </w:tcPr>
          <w:p w14:paraId="66EA5867" w14:textId="77777777" w:rsidR="00000000" w:rsidRDefault="0053651E">
            <w:pPr>
              <w:pStyle w:val="a3"/>
              <w:spacing w:before="0" w:beforeAutospacing="0" w:after="0" w:afterAutospacing="0"/>
              <w:ind w:left="180"/>
              <w:rPr>
                <w:sz w:val="20"/>
                <w:szCs w:val="20"/>
              </w:rPr>
            </w:pPr>
            <w:r>
              <w:rPr>
                <w:sz w:val="20"/>
                <w:szCs w:val="20"/>
              </w:rPr>
              <w:t>Equity in income of other real estate investments, net</w:t>
            </w:r>
          </w:p>
        </w:tc>
        <w:tc>
          <w:tcPr>
            <w:tcW w:w="50" w:type="pct"/>
            <w:shd w:val="clear" w:color="auto" w:fill="FFFFFF"/>
            <w:vAlign w:val="bottom"/>
            <w:hideMark/>
          </w:tcPr>
          <w:p w14:paraId="474E56F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6BED2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E7577FC" w14:textId="77777777" w:rsidR="00000000" w:rsidRDefault="0053651E">
            <w:pPr>
              <w:jc w:val="right"/>
              <w:rPr>
                <w:rFonts w:eastAsia="Times New Roman"/>
                <w:sz w:val="20"/>
                <w:szCs w:val="20"/>
              </w:rPr>
            </w:pPr>
            <w:r>
              <w:rPr>
                <w:rFonts w:eastAsia="Times New Roman"/>
                <w:sz w:val="20"/>
                <w:szCs w:val="20"/>
              </w:rPr>
              <w:t>(3,318</w:t>
            </w:r>
          </w:p>
        </w:tc>
        <w:tc>
          <w:tcPr>
            <w:tcW w:w="50" w:type="pct"/>
            <w:shd w:val="clear" w:color="auto" w:fill="FFFFFF"/>
            <w:vAlign w:val="bottom"/>
            <w:hideMark/>
          </w:tcPr>
          <w:p w14:paraId="7B88ECB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EED1C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7461C9"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0D86824" w14:textId="77777777" w:rsidR="00000000" w:rsidRDefault="0053651E">
            <w:pPr>
              <w:jc w:val="right"/>
              <w:rPr>
                <w:rFonts w:eastAsia="Times New Roman"/>
                <w:sz w:val="20"/>
                <w:szCs w:val="20"/>
              </w:rPr>
            </w:pPr>
            <w:r>
              <w:rPr>
                <w:rFonts w:eastAsia="Times New Roman"/>
                <w:sz w:val="20"/>
                <w:szCs w:val="20"/>
              </w:rPr>
              <w:t>(4,462</w:t>
            </w:r>
          </w:p>
        </w:tc>
        <w:tc>
          <w:tcPr>
            <w:tcW w:w="50" w:type="pct"/>
            <w:shd w:val="clear" w:color="auto" w:fill="FFFFFF"/>
            <w:vAlign w:val="bottom"/>
            <w:hideMark/>
          </w:tcPr>
          <w:p w14:paraId="091FD3F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5138E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61403C"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FEA2874" w14:textId="77777777" w:rsidR="00000000" w:rsidRDefault="0053651E">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14:paraId="551EECE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E72BF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22741F"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BCDA01A" w14:textId="77777777" w:rsidR="00000000" w:rsidRDefault="0053651E">
            <w:pPr>
              <w:jc w:val="right"/>
              <w:rPr>
                <w:rFonts w:eastAsia="Times New Roman"/>
                <w:sz w:val="20"/>
                <w:szCs w:val="20"/>
              </w:rPr>
            </w:pPr>
            <w:r>
              <w:rPr>
                <w:rFonts w:eastAsia="Times New Roman"/>
                <w:sz w:val="20"/>
                <w:szCs w:val="20"/>
              </w:rPr>
              <w:t>(29,100</w:t>
            </w:r>
          </w:p>
        </w:tc>
        <w:tc>
          <w:tcPr>
            <w:tcW w:w="50" w:type="pct"/>
            <w:shd w:val="clear" w:color="auto" w:fill="FFFFFF"/>
            <w:vAlign w:val="bottom"/>
            <w:hideMark/>
          </w:tcPr>
          <w:p w14:paraId="2A83F34B" w14:textId="77777777" w:rsidR="00000000" w:rsidRDefault="0053651E">
            <w:pPr>
              <w:rPr>
                <w:rFonts w:eastAsia="Times New Roman"/>
                <w:sz w:val="20"/>
                <w:szCs w:val="20"/>
              </w:rPr>
            </w:pPr>
            <w:r>
              <w:rPr>
                <w:rFonts w:eastAsia="Times New Roman"/>
                <w:sz w:val="20"/>
                <w:szCs w:val="20"/>
              </w:rPr>
              <w:t>)</w:t>
            </w:r>
          </w:p>
        </w:tc>
      </w:tr>
      <w:tr w:rsidR="00000000" w14:paraId="5D4D498B" w14:textId="77777777">
        <w:trPr>
          <w:tblCellSpacing w:w="0" w:type="dxa"/>
        </w:trPr>
        <w:tc>
          <w:tcPr>
            <w:tcW w:w="0" w:type="auto"/>
            <w:shd w:val="clear" w:color="auto" w:fill="CCEEFF"/>
            <w:vAlign w:val="bottom"/>
            <w:hideMark/>
          </w:tcPr>
          <w:p w14:paraId="1B1F3300" w14:textId="77777777" w:rsidR="00000000" w:rsidRDefault="0053651E">
            <w:pPr>
              <w:pStyle w:val="a3"/>
              <w:spacing w:before="0" w:beforeAutospacing="0" w:after="0" w:afterAutospacing="0"/>
              <w:ind w:left="180"/>
              <w:rPr>
                <w:sz w:val="20"/>
                <w:szCs w:val="20"/>
              </w:rPr>
            </w:pPr>
            <w:r>
              <w:rPr>
                <w:sz w:val="20"/>
                <w:szCs w:val="20"/>
              </w:rPr>
              <w:t>Net income/(loss) attributable to noncontrolling interests</w:t>
            </w:r>
          </w:p>
        </w:tc>
        <w:tc>
          <w:tcPr>
            <w:tcW w:w="50" w:type="pct"/>
            <w:shd w:val="clear" w:color="auto" w:fill="CCEEFF"/>
            <w:vAlign w:val="bottom"/>
            <w:hideMark/>
          </w:tcPr>
          <w:p w14:paraId="16F446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497D2"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0B10F9B" w14:textId="77777777" w:rsidR="00000000" w:rsidRDefault="0053651E">
            <w:pPr>
              <w:jc w:val="right"/>
              <w:rPr>
                <w:rFonts w:eastAsia="Times New Roman"/>
                <w:sz w:val="20"/>
                <w:szCs w:val="20"/>
              </w:rPr>
            </w:pPr>
            <w:r>
              <w:rPr>
                <w:rFonts w:eastAsia="Times New Roman"/>
                <w:sz w:val="20"/>
                <w:szCs w:val="20"/>
              </w:rPr>
              <w:t>624</w:t>
            </w:r>
          </w:p>
        </w:tc>
        <w:tc>
          <w:tcPr>
            <w:tcW w:w="50" w:type="pct"/>
            <w:shd w:val="clear" w:color="auto" w:fill="CCEEFF"/>
            <w:vAlign w:val="bottom"/>
            <w:hideMark/>
          </w:tcPr>
          <w:p w14:paraId="03B08F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25F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A4755B"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336F641" w14:textId="77777777" w:rsidR="00000000" w:rsidRDefault="0053651E">
            <w:pPr>
              <w:jc w:val="right"/>
              <w:rPr>
                <w:rFonts w:eastAsia="Times New Roman"/>
                <w:sz w:val="20"/>
                <w:szCs w:val="20"/>
              </w:rPr>
            </w:pPr>
            <w:r>
              <w:rPr>
                <w:rFonts w:eastAsia="Times New Roman"/>
                <w:sz w:val="20"/>
                <w:szCs w:val="20"/>
              </w:rPr>
              <w:t>(214</w:t>
            </w:r>
          </w:p>
        </w:tc>
        <w:tc>
          <w:tcPr>
            <w:tcW w:w="50" w:type="pct"/>
            <w:shd w:val="clear" w:color="auto" w:fill="CCEEFF"/>
            <w:vAlign w:val="bottom"/>
            <w:hideMark/>
          </w:tcPr>
          <w:p w14:paraId="1E91FF6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20083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C5EC69"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C0B51D5" w14:textId="77777777" w:rsidR="00000000" w:rsidRDefault="0053651E">
            <w:pPr>
              <w:jc w:val="right"/>
              <w:rPr>
                <w:rFonts w:eastAsia="Times New Roman"/>
                <w:sz w:val="20"/>
                <w:szCs w:val="20"/>
              </w:rPr>
            </w:pPr>
            <w:r>
              <w:rPr>
                <w:rFonts w:eastAsia="Times New Roman"/>
                <w:sz w:val="20"/>
                <w:szCs w:val="20"/>
              </w:rPr>
              <w:t>2,956</w:t>
            </w:r>
          </w:p>
        </w:tc>
        <w:tc>
          <w:tcPr>
            <w:tcW w:w="50" w:type="pct"/>
            <w:shd w:val="clear" w:color="auto" w:fill="CCEEFF"/>
            <w:vAlign w:val="bottom"/>
            <w:hideMark/>
          </w:tcPr>
          <w:p w14:paraId="094F42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B623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E151E"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3CCF2B2" w14:textId="77777777" w:rsidR="00000000" w:rsidRDefault="0053651E">
            <w:pPr>
              <w:jc w:val="right"/>
              <w:rPr>
                <w:rFonts w:eastAsia="Times New Roman"/>
                <w:sz w:val="20"/>
                <w:szCs w:val="20"/>
              </w:rPr>
            </w:pPr>
            <w:r>
              <w:rPr>
                <w:rFonts w:eastAsia="Times New Roman"/>
                <w:sz w:val="20"/>
                <w:szCs w:val="20"/>
              </w:rPr>
              <w:t>668</w:t>
            </w:r>
          </w:p>
        </w:tc>
        <w:tc>
          <w:tcPr>
            <w:tcW w:w="50" w:type="pct"/>
            <w:shd w:val="clear" w:color="auto" w:fill="CCEEFF"/>
            <w:vAlign w:val="bottom"/>
            <w:hideMark/>
          </w:tcPr>
          <w:p w14:paraId="5887657D" w14:textId="77777777" w:rsidR="00000000" w:rsidRDefault="0053651E">
            <w:pPr>
              <w:rPr>
                <w:rFonts w:eastAsia="Times New Roman"/>
                <w:sz w:val="20"/>
                <w:szCs w:val="20"/>
              </w:rPr>
            </w:pPr>
            <w:r>
              <w:rPr>
                <w:rFonts w:eastAsia="Times New Roman"/>
                <w:sz w:val="20"/>
                <w:szCs w:val="20"/>
              </w:rPr>
              <w:t> </w:t>
            </w:r>
          </w:p>
        </w:tc>
      </w:tr>
      <w:tr w:rsidR="00000000" w14:paraId="7B5DBE41" w14:textId="77777777">
        <w:trPr>
          <w:tblCellSpacing w:w="0" w:type="dxa"/>
        </w:trPr>
        <w:tc>
          <w:tcPr>
            <w:tcW w:w="0" w:type="auto"/>
            <w:shd w:val="clear" w:color="auto" w:fill="FFFFFF"/>
            <w:vAlign w:val="bottom"/>
            <w:hideMark/>
          </w:tcPr>
          <w:p w14:paraId="790B513A" w14:textId="77777777" w:rsidR="00000000" w:rsidRDefault="0053651E">
            <w:pPr>
              <w:pStyle w:val="a3"/>
              <w:spacing w:before="0" w:beforeAutospacing="0" w:after="0" w:afterAutospacing="0"/>
              <w:ind w:left="180"/>
              <w:rPr>
                <w:sz w:val="20"/>
                <w:szCs w:val="20"/>
              </w:rPr>
            </w:pPr>
            <w:r>
              <w:rPr>
                <w:sz w:val="20"/>
                <w:szCs w:val="20"/>
              </w:rPr>
              <w:t>Preferred stock redemption charges</w:t>
            </w:r>
          </w:p>
        </w:tc>
        <w:tc>
          <w:tcPr>
            <w:tcW w:w="50" w:type="pct"/>
            <w:shd w:val="clear" w:color="auto" w:fill="FFFFFF"/>
            <w:vAlign w:val="bottom"/>
            <w:hideMark/>
          </w:tcPr>
          <w:p w14:paraId="423828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6F63D8"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F564D0D" w14:textId="77777777" w:rsidR="00000000" w:rsidRDefault="0053651E">
            <w:pPr>
              <w:jc w:val="right"/>
              <w:rPr>
                <w:rFonts w:eastAsia="Times New Roman"/>
                <w:sz w:val="20"/>
                <w:szCs w:val="20"/>
              </w:rPr>
            </w:pPr>
            <w:r>
              <w:rPr>
                <w:rFonts w:eastAsia="Times New Roman"/>
                <w:sz w:val="20"/>
                <w:szCs w:val="20"/>
              </w:rPr>
              <w:t>7,159</w:t>
            </w:r>
          </w:p>
        </w:tc>
        <w:tc>
          <w:tcPr>
            <w:tcW w:w="50" w:type="pct"/>
            <w:shd w:val="clear" w:color="auto" w:fill="FFFFFF"/>
            <w:vAlign w:val="bottom"/>
            <w:hideMark/>
          </w:tcPr>
          <w:p w14:paraId="5CD6E8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903B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4A208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1CE1E9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B77D7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87AB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D0DD45"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1C54B26" w14:textId="77777777" w:rsidR="00000000" w:rsidRDefault="0053651E">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14:paraId="38E0DB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5770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801E59"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C190AA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7B9BB93" w14:textId="77777777" w:rsidR="00000000" w:rsidRDefault="0053651E">
            <w:pPr>
              <w:rPr>
                <w:rFonts w:eastAsia="Times New Roman"/>
                <w:sz w:val="20"/>
                <w:szCs w:val="20"/>
              </w:rPr>
            </w:pPr>
            <w:r>
              <w:rPr>
                <w:rFonts w:eastAsia="Times New Roman"/>
                <w:sz w:val="20"/>
                <w:szCs w:val="20"/>
              </w:rPr>
              <w:t> </w:t>
            </w:r>
          </w:p>
        </w:tc>
      </w:tr>
      <w:tr w:rsidR="00000000" w14:paraId="5389A10B" w14:textId="77777777">
        <w:trPr>
          <w:tblCellSpacing w:w="0" w:type="dxa"/>
        </w:trPr>
        <w:tc>
          <w:tcPr>
            <w:tcW w:w="0" w:type="auto"/>
            <w:shd w:val="clear" w:color="auto" w:fill="CCEEFF"/>
            <w:vAlign w:val="bottom"/>
            <w:hideMark/>
          </w:tcPr>
          <w:p w14:paraId="5658CB3C" w14:textId="77777777" w:rsidR="00000000" w:rsidRDefault="0053651E">
            <w:pPr>
              <w:pStyle w:val="a3"/>
              <w:spacing w:before="0" w:beforeAutospacing="0" w:after="0" w:afterAutospacing="0"/>
              <w:ind w:left="180"/>
              <w:rPr>
                <w:sz w:val="20"/>
                <w:szCs w:val="20"/>
              </w:rPr>
            </w:pPr>
            <w:r>
              <w:rPr>
                <w:sz w:val="20"/>
                <w:szCs w:val="20"/>
              </w:rPr>
              <w:t>Preferred dividends</w:t>
            </w:r>
          </w:p>
        </w:tc>
        <w:tc>
          <w:tcPr>
            <w:tcW w:w="50" w:type="pct"/>
            <w:shd w:val="clear" w:color="auto" w:fill="CCEEFF"/>
            <w:vAlign w:val="bottom"/>
            <w:hideMark/>
          </w:tcPr>
          <w:p w14:paraId="27798D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474BE3"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3372E8A" w14:textId="77777777" w:rsidR="00000000" w:rsidRDefault="0053651E">
            <w:pPr>
              <w:jc w:val="right"/>
              <w:rPr>
                <w:rFonts w:eastAsia="Times New Roman"/>
                <w:sz w:val="20"/>
                <w:szCs w:val="20"/>
              </w:rPr>
            </w:pPr>
            <w:r>
              <w:rPr>
                <w:rFonts w:eastAsia="Times New Roman"/>
                <w:sz w:val="20"/>
                <w:szCs w:val="20"/>
              </w:rPr>
              <w:t>9,448</w:t>
            </w:r>
          </w:p>
        </w:tc>
        <w:tc>
          <w:tcPr>
            <w:tcW w:w="50" w:type="pct"/>
            <w:shd w:val="clear" w:color="auto" w:fill="CCEEFF"/>
            <w:vAlign w:val="bottom"/>
            <w:hideMark/>
          </w:tcPr>
          <w:p w14:paraId="67012D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3527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636A7"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5AB6C73" w14:textId="77777777" w:rsidR="00000000" w:rsidRDefault="0053651E">
            <w:pPr>
              <w:jc w:val="right"/>
              <w:rPr>
                <w:rFonts w:eastAsia="Times New Roman"/>
                <w:sz w:val="20"/>
                <w:szCs w:val="20"/>
              </w:rPr>
            </w:pPr>
            <w:r>
              <w:rPr>
                <w:rFonts w:eastAsia="Times New Roman"/>
                <w:sz w:val="20"/>
                <w:szCs w:val="20"/>
              </w:rPr>
              <w:t>14,534</w:t>
            </w:r>
          </w:p>
        </w:tc>
        <w:tc>
          <w:tcPr>
            <w:tcW w:w="50" w:type="pct"/>
            <w:shd w:val="clear" w:color="auto" w:fill="CCEEFF"/>
            <w:vAlign w:val="bottom"/>
            <w:hideMark/>
          </w:tcPr>
          <w:p w14:paraId="0C6C52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952B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AAC346"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51224E6" w14:textId="77777777" w:rsidR="00000000" w:rsidRDefault="0053651E">
            <w:pPr>
              <w:jc w:val="right"/>
              <w:rPr>
                <w:rFonts w:eastAsia="Times New Roman"/>
                <w:sz w:val="20"/>
                <w:szCs w:val="20"/>
              </w:rPr>
            </w:pPr>
            <w:r>
              <w:rPr>
                <w:rFonts w:eastAsia="Times New Roman"/>
                <w:sz w:val="20"/>
                <w:szCs w:val="20"/>
              </w:rPr>
              <w:t>52,089</w:t>
            </w:r>
          </w:p>
        </w:tc>
        <w:tc>
          <w:tcPr>
            <w:tcW w:w="50" w:type="pct"/>
            <w:shd w:val="clear" w:color="auto" w:fill="CCEEFF"/>
            <w:vAlign w:val="bottom"/>
            <w:hideMark/>
          </w:tcPr>
          <w:p w14:paraId="541E8E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5D1D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4CC17A"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9A718CC" w14:textId="77777777" w:rsidR="00000000" w:rsidRDefault="0053651E">
            <w:pPr>
              <w:jc w:val="right"/>
              <w:rPr>
                <w:rFonts w:eastAsia="Times New Roman"/>
                <w:sz w:val="20"/>
                <w:szCs w:val="20"/>
              </w:rPr>
            </w:pPr>
            <w:r>
              <w:rPr>
                <w:rFonts w:eastAsia="Times New Roman"/>
                <w:sz w:val="20"/>
                <w:szCs w:val="20"/>
              </w:rPr>
              <w:t>58,191</w:t>
            </w:r>
          </w:p>
        </w:tc>
        <w:tc>
          <w:tcPr>
            <w:tcW w:w="50" w:type="pct"/>
            <w:shd w:val="clear" w:color="auto" w:fill="CCEEFF"/>
            <w:vAlign w:val="bottom"/>
            <w:hideMark/>
          </w:tcPr>
          <w:p w14:paraId="3A6F1BC8" w14:textId="77777777" w:rsidR="00000000" w:rsidRDefault="0053651E">
            <w:pPr>
              <w:rPr>
                <w:rFonts w:eastAsia="Times New Roman"/>
                <w:sz w:val="20"/>
                <w:szCs w:val="20"/>
              </w:rPr>
            </w:pPr>
            <w:r>
              <w:rPr>
                <w:rFonts w:eastAsia="Times New Roman"/>
                <w:sz w:val="20"/>
                <w:szCs w:val="20"/>
              </w:rPr>
              <w:t> </w:t>
            </w:r>
          </w:p>
        </w:tc>
      </w:tr>
      <w:tr w:rsidR="00000000" w14:paraId="7CD99004" w14:textId="77777777">
        <w:trPr>
          <w:tblCellSpacing w:w="0" w:type="dxa"/>
        </w:trPr>
        <w:tc>
          <w:tcPr>
            <w:tcW w:w="0" w:type="auto"/>
            <w:shd w:val="clear" w:color="auto" w:fill="FFFFFF"/>
            <w:vAlign w:val="bottom"/>
            <w:hideMark/>
          </w:tcPr>
          <w:p w14:paraId="61F41795" w14:textId="77777777" w:rsidR="00000000" w:rsidRDefault="0053651E">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FFFFFF"/>
            <w:vAlign w:val="bottom"/>
            <w:hideMark/>
          </w:tcPr>
          <w:p w14:paraId="6C39A1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EBB9DC"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3463451" w14:textId="77777777" w:rsidR="00000000" w:rsidRDefault="0053651E">
            <w:pPr>
              <w:jc w:val="right"/>
              <w:rPr>
                <w:rFonts w:eastAsia="Times New Roman"/>
                <w:sz w:val="20"/>
                <w:szCs w:val="20"/>
              </w:rPr>
            </w:pPr>
            <w:r>
              <w:rPr>
                <w:rFonts w:eastAsia="Times New Roman"/>
                <w:sz w:val="20"/>
                <w:szCs w:val="20"/>
              </w:rPr>
              <w:t>(21,396</w:t>
            </w:r>
          </w:p>
        </w:tc>
        <w:tc>
          <w:tcPr>
            <w:tcW w:w="50" w:type="pct"/>
            <w:shd w:val="clear" w:color="auto" w:fill="FFFFFF"/>
            <w:vAlign w:val="bottom"/>
            <w:hideMark/>
          </w:tcPr>
          <w:p w14:paraId="1751E9F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C8930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119A94"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C641974" w14:textId="77777777" w:rsidR="00000000" w:rsidRDefault="0053651E">
            <w:pPr>
              <w:jc w:val="right"/>
              <w:rPr>
                <w:rFonts w:eastAsia="Times New Roman"/>
                <w:sz w:val="20"/>
                <w:szCs w:val="20"/>
              </w:rPr>
            </w:pPr>
            <w:r>
              <w:rPr>
                <w:rFonts w:eastAsia="Times New Roman"/>
                <w:sz w:val="20"/>
                <w:szCs w:val="20"/>
              </w:rPr>
              <w:t>(23,989</w:t>
            </w:r>
          </w:p>
        </w:tc>
        <w:tc>
          <w:tcPr>
            <w:tcW w:w="50" w:type="pct"/>
            <w:shd w:val="clear" w:color="auto" w:fill="FFFFFF"/>
            <w:vAlign w:val="bottom"/>
            <w:hideMark/>
          </w:tcPr>
          <w:p w14:paraId="47312A0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425C2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9459CD"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145FF11" w14:textId="77777777" w:rsidR="00000000" w:rsidRDefault="0053651E">
            <w:pPr>
              <w:jc w:val="right"/>
              <w:rPr>
                <w:rFonts w:eastAsia="Times New Roman"/>
                <w:sz w:val="20"/>
                <w:szCs w:val="20"/>
              </w:rPr>
            </w:pPr>
            <w:r>
              <w:rPr>
                <w:rFonts w:eastAsia="Times New Roman"/>
                <w:sz w:val="20"/>
                <w:szCs w:val="20"/>
              </w:rPr>
              <w:t>(103,464</w:t>
            </w:r>
          </w:p>
        </w:tc>
        <w:tc>
          <w:tcPr>
            <w:tcW w:w="50" w:type="pct"/>
            <w:shd w:val="clear" w:color="auto" w:fill="FFFFFF"/>
            <w:vAlign w:val="bottom"/>
            <w:hideMark/>
          </w:tcPr>
          <w:p w14:paraId="4556F0B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35E5A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B09071"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1A206FC" w14:textId="77777777" w:rsidR="00000000" w:rsidRDefault="0053651E">
            <w:pPr>
              <w:jc w:val="right"/>
              <w:rPr>
                <w:rFonts w:eastAsia="Times New Roman"/>
                <w:sz w:val="20"/>
                <w:szCs w:val="20"/>
              </w:rPr>
            </w:pPr>
            <w:r>
              <w:rPr>
                <w:rFonts w:eastAsia="Times New Roman"/>
                <w:sz w:val="20"/>
                <w:szCs w:val="20"/>
              </w:rPr>
              <w:t>(137,134</w:t>
            </w:r>
          </w:p>
        </w:tc>
        <w:tc>
          <w:tcPr>
            <w:tcW w:w="50" w:type="pct"/>
            <w:shd w:val="clear" w:color="auto" w:fill="FFFFFF"/>
            <w:vAlign w:val="bottom"/>
            <w:hideMark/>
          </w:tcPr>
          <w:p w14:paraId="5FF2B368" w14:textId="77777777" w:rsidR="00000000" w:rsidRDefault="0053651E">
            <w:pPr>
              <w:rPr>
                <w:rFonts w:eastAsia="Times New Roman"/>
                <w:sz w:val="20"/>
                <w:szCs w:val="20"/>
              </w:rPr>
            </w:pPr>
            <w:r>
              <w:rPr>
                <w:rFonts w:eastAsia="Times New Roman"/>
                <w:sz w:val="20"/>
                <w:szCs w:val="20"/>
              </w:rPr>
              <w:t>)</w:t>
            </w:r>
          </w:p>
        </w:tc>
      </w:tr>
      <w:tr w:rsidR="00000000" w14:paraId="103C9D4B" w14:textId="77777777">
        <w:trPr>
          <w:tblCellSpacing w:w="0" w:type="dxa"/>
        </w:trPr>
        <w:tc>
          <w:tcPr>
            <w:tcW w:w="0" w:type="auto"/>
            <w:shd w:val="clear" w:color="auto" w:fill="CCEEFF"/>
            <w:vAlign w:val="bottom"/>
            <w:hideMark/>
          </w:tcPr>
          <w:p w14:paraId="4176F798" w14:textId="77777777" w:rsidR="00000000" w:rsidRDefault="0053651E">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CCEEFF"/>
            <w:vAlign w:val="bottom"/>
            <w:hideMark/>
          </w:tcPr>
          <w:p w14:paraId="0C054BB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236D950" w14:textId="77777777" w:rsidR="00000000" w:rsidRDefault="0053651E">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4D3BBB7C" w14:textId="77777777" w:rsidR="00000000" w:rsidRDefault="0053651E">
            <w:pPr>
              <w:jc w:val="right"/>
              <w:rPr>
                <w:rFonts w:eastAsia="Times New Roman"/>
                <w:sz w:val="20"/>
                <w:szCs w:val="20"/>
              </w:rPr>
            </w:pPr>
            <w:r>
              <w:rPr>
                <w:rFonts w:eastAsia="Times New Roman"/>
                <w:sz w:val="20"/>
                <w:szCs w:val="20"/>
              </w:rPr>
              <w:t>20,464</w:t>
            </w:r>
          </w:p>
        </w:tc>
        <w:tc>
          <w:tcPr>
            <w:tcW w:w="50" w:type="pct"/>
            <w:shd w:val="clear" w:color="auto" w:fill="CCEEFF"/>
            <w:tcMar>
              <w:top w:w="0" w:type="dxa"/>
              <w:left w:w="0" w:type="dxa"/>
              <w:bottom w:w="15" w:type="dxa"/>
              <w:right w:w="0" w:type="dxa"/>
            </w:tcMar>
            <w:vAlign w:val="bottom"/>
            <w:hideMark/>
          </w:tcPr>
          <w:p w14:paraId="079473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27198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0A394A" w14:textId="77777777" w:rsidR="00000000" w:rsidRDefault="0053651E">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2B44940A" w14:textId="77777777" w:rsidR="00000000" w:rsidRDefault="0053651E">
            <w:pPr>
              <w:jc w:val="right"/>
              <w:rPr>
                <w:rFonts w:eastAsia="Times New Roman"/>
                <w:sz w:val="20"/>
                <w:szCs w:val="20"/>
              </w:rPr>
            </w:pPr>
            <w:r>
              <w:rPr>
                <w:rFonts w:eastAsia="Times New Roman"/>
                <w:sz w:val="20"/>
                <w:szCs w:val="20"/>
              </w:rPr>
              <w:t>13,219</w:t>
            </w:r>
          </w:p>
        </w:tc>
        <w:tc>
          <w:tcPr>
            <w:tcW w:w="50" w:type="pct"/>
            <w:shd w:val="clear" w:color="auto" w:fill="CCEEFF"/>
            <w:tcMar>
              <w:top w:w="0" w:type="dxa"/>
              <w:left w:w="0" w:type="dxa"/>
              <w:bottom w:w="15" w:type="dxa"/>
              <w:right w:w="0" w:type="dxa"/>
            </w:tcMar>
            <w:vAlign w:val="bottom"/>
            <w:hideMark/>
          </w:tcPr>
          <w:p w14:paraId="00F01A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31A1E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91E105E" w14:textId="77777777" w:rsidR="00000000" w:rsidRDefault="0053651E">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1668A26" w14:textId="77777777" w:rsidR="00000000" w:rsidRDefault="0053651E">
            <w:pPr>
              <w:jc w:val="right"/>
              <w:rPr>
                <w:rFonts w:eastAsia="Times New Roman"/>
                <w:sz w:val="20"/>
                <w:szCs w:val="20"/>
              </w:rPr>
            </w:pPr>
            <w:r>
              <w:rPr>
                <w:rFonts w:eastAsia="Times New Roman"/>
                <w:sz w:val="20"/>
                <w:szCs w:val="20"/>
              </w:rPr>
              <w:t>59,992</w:t>
            </w:r>
          </w:p>
        </w:tc>
        <w:tc>
          <w:tcPr>
            <w:tcW w:w="50" w:type="pct"/>
            <w:shd w:val="clear" w:color="auto" w:fill="CCEEFF"/>
            <w:tcMar>
              <w:top w:w="0" w:type="dxa"/>
              <w:left w:w="0" w:type="dxa"/>
              <w:bottom w:w="15" w:type="dxa"/>
              <w:right w:w="0" w:type="dxa"/>
            </w:tcMar>
            <w:vAlign w:val="bottom"/>
            <w:hideMark/>
          </w:tcPr>
          <w:p w14:paraId="35CECB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61E10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B0319EC" w14:textId="77777777" w:rsidR="00000000" w:rsidRDefault="0053651E">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1062BAE" w14:textId="77777777" w:rsidR="00000000" w:rsidRDefault="0053651E">
            <w:pPr>
              <w:jc w:val="right"/>
              <w:rPr>
                <w:rFonts w:eastAsia="Times New Roman"/>
                <w:sz w:val="20"/>
                <w:szCs w:val="20"/>
              </w:rPr>
            </w:pPr>
            <w:r>
              <w:rPr>
                <w:rFonts w:eastAsia="Times New Roman"/>
                <w:sz w:val="20"/>
                <w:szCs w:val="20"/>
              </w:rPr>
              <w:t>60,417</w:t>
            </w:r>
          </w:p>
        </w:tc>
        <w:tc>
          <w:tcPr>
            <w:tcW w:w="50" w:type="pct"/>
            <w:shd w:val="clear" w:color="auto" w:fill="CCEEFF"/>
            <w:tcMar>
              <w:top w:w="0" w:type="dxa"/>
              <w:left w:w="0" w:type="dxa"/>
              <w:bottom w:w="15" w:type="dxa"/>
              <w:right w:w="0" w:type="dxa"/>
            </w:tcMar>
            <w:vAlign w:val="bottom"/>
            <w:hideMark/>
          </w:tcPr>
          <w:p w14:paraId="44C68DD9" w14:textId="77777777" w:rsidR="00000000" w:rsidRDefault="0053651E">
            <w:pPr>
              <w:rPr>
                <w:rFonts w:eastAsia="Times New Roman"/>
                <w:sz w:val="20"/>
                <w:szCs w:val="20"/>
              </w:rPr>
            </w:pPr>
            <w:r>
              <w:rPr>
                <w:rFonts w:eastAsia="Times New Roman"/>
                <w:sz w:val="20"/>
                <w:szCs w:val="20"/>
              </w:rPr>
              <w:t> </w:t>
            </w:r>
          </w:p>
        </w:tc>
      </w:tr>
      <w:tr w:rsidR="00000000" w14:paraId="25739A90" w14:textId="77777777">
        <w:trPr>
          <w:tblCellSpacing w:w="0" w:type="dxa"/>
        </w:trPr>
        <w:tc>
          <w:tcPr>
            <w:tcW w:w="0" w:type="auto"/>
            <w:shd w:val="clear" w:color="auto" w:fill="FFFFFF"/>
            <w:vAlign w:val="bottom"/>
            <w:hideMark/>
          </w:tcPr>
          <w:p w14:paraId="006B0976" w14:textId="77777777" w:rsidR="00000000" w:rsidRDefault="0053651E">
            <w:pPr>
              <w:pStyle w:val="a3"/>
              <w:spacing w:before="0" w:beforeAutospacing="0" w:after="0" w:afterAutospacing="0"/>
              <w:rPr>
                <w:sz w:val="20"/>
                <w:szCs w:val="20"/>
              </w:rPr>
            </w:pPr>
            <w:r>
              <w:rPr>
                <w:b/>
                <w:bCs/>
                <w:sz w:val="20"/>
                <w:szCs w:val="20"/>
              </w:rPr>
              <w:t xml:space="preserve">Same property NOI </w:t>
            </w:r>
          </w:p>
        </w:tc>
        <w:tc>
          <w:tcPr>
            <w:tcW w:w="50" w:type="pct"/>
            <w:shd w:val="clear" w:color="auto" w:fill="FFFFFF"/>
            <w:vAlign w:val="bottom"/>
            <w:hideMark/>
          </w:tcPr>
          <w:p w14:paraId="2556A4B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7FA112C" w14:textId="77777777" w:rsidR="00000000" w:rsidRDefault="0053651E">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F717A4C" w14:textId="77777777" w:rsidR="00000000" w:rsidRDefault="0053651E">
            <w:pPr>
              <w:jc w:val="right"/>
              <w:rPr>
                <w:rFonts w:eastAsia="Times New Roman"/>
                <w:sz w:val="20"/>
                <w:szCs w:val="20"/>
              </w:rPr>
            </w:pPr>
            <w:r>
              <w:rPr>
                <w:rFonts w:eastAsia="Times New Roman"/>
                <w:sz w:val="20"/>
                <w:szCs w:val="20"/>
              </w:rPr>
              <w:t>213,322</w:t>
            </w:r>
          </w:p>
        </w:tc>
        <w:tc>
          <w:tcPr>
            <w:tcW w:w="50" w:type="pct"/>
            <w:shd w:val="clear" w:color="auto" w:fill="FFFFFF"/>
            <w:tcMar>
              <w:top w:w="0" w:type="dxa"/>
              <w:left w:w="0" w:type="dxa"/>
              <w:bottom w:w="45" w:type="dxa"/>
              <w:right w:w="0" w:type="dxa"/>
            </w:tcMar>
            <w:vAlign w:val="bottom"/>
            <w:hideMark/>
          </w:tcPr>
          <w:p w14:paraId="5F6D85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A261D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B9072D5" w14:textId="77777777" w:rsidR="00000000" w:rsidRDefault="0053651E">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F924DA3" w14:textId="77777777" w:rsidR="00000000" w:rsidRDefault="0053651E">
            <w:pPr>
              <w:jc w:val="right"/>
              <w:rPr>
                <w:rFonts w:eastAsia="Times New Roman"/>
                <w:sz w:val="20"/>
                <w:szCs w:val="20"/>
              </w:rPr>
            </w:pPr>
            <w:r>
              <w:rPr>
                <w:rFonts w:eastAsia="Times New Roman"/>
                <w:sz w:val="20"/>
                <w:szCs w:val="20"/>
              </w:rPr>
              <w:t>207,677</w:t>
            </w:r>
          </w:p>
        </w:tc>
        <w:tc>
          <w:tcPr>
            <w:tcW w:w="50" w:type="pct"/>
            <w:shd w:val="clear" w:color="auto" w:fill="FFFFFF"/>
            <w:tcMar>
              <w:top w:w="0" w:type="dxa"/>
              <w:left w:w="0" w:type="dxa"/>
              <w:bottom w:w="45" w:type="dxa"/>
              <w:right w:w="0" w:type="dxa"/>
            </w:tcMar>
            <w:vAlign w:val="bottom"/>
            <w:hideMark/>
          </w:tcPr>
          <w:p w14:paraId="5AB954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EEC76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D6463C7" w14:textId="77777777" w:rsidR="00000000" w:rsidRDefault="0053651E">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3F54AD53" w14:textId="77777777" w:rsidR="00000000" w:rsidRDefault="0053651E">
            <w:pPr>
              <w:jc w:val="right"/>
              <w:rPr>
                <w:rFonts w:eastAsia="Times New Roman"/>
                <w:sz w:val="20"/>
                <w:szCs w:val="20"/>
              </w:rPr>
            </w:pPr>
            <w:r>
              <w:rPr>
                <w:rFonts w:eastAsia="Times New Roman"/>
                <w:sz w:val="20"/>
                <w:szCs w:val="20"/>
              </w:rPr>
              <w:t>834,073</w:t>
            </w:r>
          </w:p>
        </w:tc>
        <w:tc>
          <w:tcPr>
            <w:tcW w:w="50" w:type="pct"/>
            <w:shd w:val="clear" w:color="auto" w:fill="FFFFFF"/>
            <w:tcMar>
              <w:top w:w="0" w:type="dxa"/>
              <w:left w:w="0" w:type="dxa"/>
              <w:bottom w:w="45" w:type="dxa"/>
              <w:right w:w="0" w:type="dxa"/>
            </w:tcMar>
            <w:vAlign w:val="bottom"/>
            <w:hideMark/>
          </w:tcPr>
          <w:p w14:paraId="2E8A0F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81DD9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1E00BB" w14:textId="77777777" w:rsidR="00000000" w:rsidRDefault="0053651E">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00EE5D9" w14:textId="77777777" w:rsidR="00000000" w:rsidRDefault="0053651E">
            <w:pPr>
              <w:jc w:val="right"/>
              <w:rPr>
                <w:rFonts w:eastAsia="Times New Roman"/>
                <w:sz w:val="20"/>
                <w:szCs w:val="20"/>
              </w:rPr>
            </w:pPr>
            <w:r>
              <w:rPr>
                <w:rFonts w:eastAsia="Times New Roman"/>
                <w:sz w:val="20"/>
                <w:szCs w:val="20"/>
              </w:rPr>
              <w:t>809,691</w:t>
            </w:r>
          </w:p>
        </w:tc>
        <w:tc>
          <w:tcPr>
            <w:tcW w:w="50" w:type="pct"/>
            <w:shd w:val="clear" w:color="auto" w:fill="FFFFFF"/>
            <w:tcMar>
              <w:top w:w="0" w:type="dxa"/>
              <w:left w:w="0" w:type="dxa"/>
              <w:bottom w:w="45" w:type="dxa"/>
              <w:right w:w="0" w:type="dxa"/>
            </w:tcMar>
            <w:vAlign w:val="bottom"/>
            <w:hideMark/>
          </w:tcPr>
          <w:p w14:paraId="269461AB" w14:textId="77777777" w:rsidR="00000000" w:rsidRDefault="0053651E">
            <w:pPr>
              <w:rPr>
                <w:rFonts w:eastAsia="Times New Roman"/>
                <w:sz w:val="20"/>
                <w:szCs w:val="20"/>
              </w:rPr>
            </w:pPr>
            <w:r>
              <w:rPr>
                <w:rFonts w:eastAsia="Times New Roman"/>
                <w:sz w:val="20"/>
                <w:szCs w:val="20"/>
              </w:rPr>
              <w:t> </w:t>
            </w:r>
          </w:p>
        </w:tc>
      </w:tr>
    </w:tbl>
    <w:p w14:paraId="5EFD5E0D" w14:textId="77777777" w:rsidR="00000000" w:rsidRDefault="0053651E">
      <w:pPr>
        <w:pStyle w:val="a3"/>
        <w:spacing w:before="0" w:beforeAutospacing="0" w:after="0" w:afterAutospacing="0"/>
        <w:jc w:val="both"/>
        <w:rPr>
          <w:sz w:val="20"/>
          <w:szCs w:val="20"/>
        </w:rPr>
      </w:pPr>
      <w:r>
        <w:rPr>
          <w:sz w:val="20"/>
          <w:szCs w:val="20"/>
        </w:rPr>
        <w:t> </w:t>
      </w:r>
    </w:p>
    <w:p w14:paraId="390E0D76" w14:textId="77777777" w:rsidR="00000000" w:rsidRDefault="0053651E">
      <w:pPr>
        <w:pStyle w:val="a3"/>
        <w:spacing w:before="0" w:beforeAutospacing="0" w:after="0" w:afterAutospacing="0"/>
        <w:ind w:firstLine="360"/>
        <w:jc w:val="both"/>
        <w:rPr>
          <w:sz w:val="20"/>
          <w:szCs w:val="20"/>
        </w:rPr>
      </w:pPr>
      <w:r>
        <w:rPr>
          <w:sz w:val="20"/>
          <w:szCs w:val="20"/>
        </w:rPr>
        <w:t>Same property NOI increased by $5.6 million, or 2.7%, for the three months ended December 31, 2019, as compared to the corresponding period in 2018. This increase is primarily the result of (i) an increase of $6.4 million related to lease-up and rent comme</w:t>
      </w:r>
      <w:r>
        <w:rPr>
          <w:sz w:val="20"/>
          <w:szCs w:val="20"/>
        </w:rPr>
        <w:t>ncements in the portfolio, partially offset by (ii) a decrease in other property income of $0.8 million.</w:t>
      </w:r>
    </w:p>
    <w:p w14:paraId="6B27418E" w14:textId="77777777" w:rsidR="00000000" w:rsidRDefault="0053651E">
      <w:pPr>
        <w:pStyle w:val="a3"/>
        <w:spacing w:before="0" w:beforeAutospacing="0" w:after="0" w:afterAutospacing="0"/>
        <w:jc w:val="both"/>
        <w:rPr>
          <w:sz w:val="20"/>
          <w:szCs w:val="20"/>
        </w:rPr>
      </w:pPr>
      <w:r>
        <w:rPr>
          <w:sz w:val="20"/>
          <w:szCs w:val="20"/>
        </w:rPr>
        <w:t> </w:t>
      </w:r>
    </w:p>
    <w:p w14:paraId="5C0ACEAF" w14:textId="77777777" w:rsidR="00000000" w:rsidRDefault="0053651E">
      <w:pPr>
        <w:pStyle w:val="a3"/>
        <w:spacing w:before="0" w:beforeAutospacing="0" w:after="0" w:afterAutospacing="0"/>
        <w:ind w:firstLine="360"/>
        <w:jc w:val="both"/>
        <w:rPr>
          <w:sz w:val="20"/>
          <w:szCs w:val="20"/>
        </w:rPr>
      </w:pPr>
      <w:r>
        <w:rPr>
          <w:sz w:val="20"/>
          <w:szCs w:val="20"/>
        </w:rPr>
        <w:t>Same property NOI increased by $24.4 million, or 3.0%, for the year ended December 31, 2019, as compared to the corresponding period in 2018. This in</w:t>
      </w:r>
      <w:r>
        <w:rPr>
          <w:sz w:val="20"/>
          <w:szCs w:val="20"/>
        </w:rPr>
        <w:t>crease is primarily the result of (i) an increase of $25.1 million related to lease-up and rent commencements in the portfolio, partially offset by (ii) a decrease in other property income of $0.7 million.</w:t>
      </w:r>
    </w:p>
    <w:p w14:paraId="25A7F135" w14:textId="77777777" w:rsidR="00000000" w:rsidRDefault="0053651E">
      <w:pPr>
        <w:pStyle w:val="a3"/>
        <w:spacing w:before="0" w:beforeAutospacing="0" w:after="0" w:afterAutospacing="0"/>
        <w:ind w:firstLine="720"/>
        <w:jc w:val="both"/>
        <w:rPr>
          <w:sz w:val="20"/>
          <w:szCs w:val="20"/>
        </w:rPr>
      </w:pPr>
      <w:r>
        <w:rPr>
          <w:sz w:val="20"/>
          <w:szCs w:val="20"/>
        </w:rPr>
        <w:t> </w:t>
      </w:r>
    </w:p>
    <w:p w14:paraId="36DD4BBB" w14:textId="77777777" w:rsidR="00000000" w:rsidRDefault="0053651E">
      <w:pPr>
        <w:pStyle w:val="a3"/>
        <w:spacing w:before="0" w:beforeAutospacing="0" w:after="0" w:afterAutospacing="0"/>
        <w:ind w:firstLine="720"/>
        <w:jc w:val="both"/>
        <w:rPr>
          <w:sz w:val="20"/>
          <w:szCs w:val="20"/>
        </w:rPr>
      </w:pPr>
      <w:r>
        <w:rPr>
          <w:sz w:val="20"/>
          <w:szCs w:val="20"/>
        </w:rPr>
        <w:t> </w:t>
      </w:r>
    </w:p>
    <w:p w14:paraId="62AF17BA" w14:textId="77777777" w:rsidR="00000000" w:rsidRDefault="0053651E">
      <w:pPr>
        <w:pStyle w:val="a3"/>
        <w:spacing w:before="0" w:beforeAutospacing="0" w:after="0" w:afterAutospacing="0"/>
        <w:ind w:firstLine="360"/>
        <w:rPr>
          <w:sz w:val="20"/>
          <w:szCs w:val="20"/>
        </w:rPr>
      </w:pPr>
      <w:r>
        <w:rPr>
          <w:sz w:val="20"/>
          <w:szCs w:val="20"/>
          <w:u w:val="single"/>
        </w:rPr>
        <w:t>Effects of Inflation</w:t>
      </w:r>
    </w:p>
    <w:p w14:paraId="722E2FC1" w14:textId="77777777" w:rsidR="00000000" w:rsidRDefault="0053651E">
      <w:pPr>
        <w:pStyle w:val="a3"/>
        <w:spacing w:before="0" w:beforeAutospacing="0" w:after="0" w:afterAutospacing="0"/>
        <w:ind w:firstLine="360"/>
        <w:jc w:val="both"/>
        <w:rPr>
          <w:sz w:val="20"/>
          <w:szCs w:val="20"/>
        </w:rPr>
      </w:pPr>
      <w:r>
        <w:rPr>
          <w:sz w:val="20"/>
          <w:szCs w:val="20"/>
        </w:rPr>
        <w:t> </w:t>
      </w:r>
    </w:p>
    <w:p w14:paraId="70EB029C" w14:textId="77777777" w:rsidR="00000000" w:rsidRDefault="0053651E">
      <w:pPr>
        <w:pStyle w:val="a3"/>
        <w:spacing w:before="0" w:beforeAutospacing="0" w:after="0" w:afterAutospacing="0"/>
        <w:ind w:firstLine="360"/>
        <w:jc w:val="both"/>
        <w:rPr>
          <w:sz w:val="20"/>
          <w:szCs w:val="20"/>
        </w:rPr>
      </w:pPr>
      <w:r>
        <w:rPr>
          <w:sz w:val="20"/>
          <w:szCs w:val="20"/>
        </w:rPr>
        <w:t>Many of the Company's long-term leases contain provisions designed to mitigate the adverse impact of inflation.  Such provisions include clauses enabling the Company to receive payment of additional rent calculated as a percentage of tenants' gross sales a</w:t>
      </w:r>
      <w:r>
        <w:rPr>
          <w:sz w:val="20"/>
          <w:szCs w:val="20"/>
        </w:rPr>
        <w:t>bove pre-determined thresholds, which generally increase as prices rise, and/or as a result of escalation clauses, which generally increase rental rates during the terms of the leases. Such escalation clauses often include increases based upon changes in t</w:t>
      </w:r>
      <w:r>
        <w:rPr>
          <w:sz w:val="20"/>
          <w:szCs w:val="20"/>
        </w:rPr>
        <w:t>he consumer price index or similar inflation indices.  In addition, many of the Company's leases are for terms of less than 10 years, which permits the Company to seek to increase rents to market rates upon renewal. Most of the Company's leases include esc</w:t>
      </w:r>
      <w:r>
        <w:rPr>
          <w:sz w:val="20"/>
          <w:szCs w:val="20"/>
        </w:rPr>
        <w:t xml:space="preserve">alation clauses or require the tenant to pay an allocable share of operating expenses, including common area maintenance costs, real estate taxes and insurance, thereby reducing the Company's exposure to increases in costs and operating expenses resulting </w:t>
      </w:r>
      <w:r>
        <w:rPr>
          <w:sz w:val="20"/>
          <w:szCs w:val="20"/>
        </w:rPr>
        <w:t>from inflation.  </w:t>
      </w:r>
    </w:p>
    <w:p w14:paraId="02D0127C" w14:textId="77777777" w:rsidR="00000000" w:rsidRDefault="0053651E">
      <w:pPr>
        <w:pStyle w:val="a3"/>
        <w:spacing w:before="0" w:beforeAutospacing="0" w:after="0" w:afterAutospacing="0"/>
        <w:ind w:firstLine="360"/>
        <w:jc w:val="both"/>
        <w:rPr>
          <w:sz w:val="20"/>
          <w:szCs w:val="20"/>
        </w:rPr>
      </w:pPr>
      <w:r>
        <w:rPr>
          <w:sz w:val="20"/>
          <w:szCs w:val="20"/>
        </w:rPr>
        <w:t> </w:t>
      </w:r>
    </w:p>
    <w:p w14:paraId="0361E39C" w14:textId="77777777" w:rsidR="00000000" w:rsidRDefault="0053651E">
      <w:pPr>
        <w:pStyle w:val="a3"/>
        <w:spacing w:before="0" w:beforeAutospacing="0" w:after="0" w:afterAutospacing="0"/>
        <w:ind w:firstLine="360"/>
        <w:rPr>
          <w:sz w:val="20"/>
          <w:szCs w:val="20"/>
        </w:rPr>
      </w:pPr>
      <w:r>
        <w:rPr>
          <w:sz w:val="20"/>
          <w:szCs w:val="20"/>
          <w:u w:val="single"/>
        </w:rPr>
        <w:t>New Accounting Pronouncements</w:t>
      </w:r>
    </w:p>
    <w:p w14:paraId="5D6592DE" w14:textId="77777777" w:rsidR="00000000" w:rsidRDefault="0053651E">
      <w:pPr>
        <w:pStyle w:val="a3"/>
        <w:spacing w:before="0" w:beforeAutospacing="0" w:after="0" w:afterAutospacing="0"/>
        <w:ind w:firstLine="360"/>
        <w:jc w:val="both"/>
        <w:rPr>
          <w:sz w:val="20"/>
          <w:szCs w:val="20"/>
        </w:rPr>
      </w:pPr>
      <w:r>
        <w:rPr>
          <w:sz w:val="20"/>
          <w:szCs w:val="20"/>
        </w:rPr>
        <w:t> </w:t>
      </w:r>
    </w:p>
    <w:p w14:paraId="1CC02C27" w14:textId="77777777" w:rsidR="00000000" w:rsidRDefault="0053651E">
      <w:pPr>
        <w:pStyle w:val="a3"/>
        <w:spacing w:before="0" w:beforeAutospacing="0" w:after="0" w:afterAutospacing="0"/>
        <w:ind w:firstLine="360"/>
        <w:jc w:val="both"/>
        <w:rPr>
          <w:sz w:val="20"/>
          <w:szCs w:val="20"/>
        </w:rPr>
      </w:pPr>
      <w:r>
        <w:rPr>
          <w:sz w:val="20"/>
          <w:szCs w:val="20"/>
        </w:rPr>
        <w:t>See Footnote 1 of the Notes to Consolidated Financial Statements included in this Form 10-K.</w:t>
      </w:r>
    </w:p>
    <w:p w14:paraId="136A92BC" w14:textId="77777777" w:rsidR="00000000" w:rsidRDefault="0053651E">
      <w:pPr>
        <w:pStyle w:val="a3"/>
        <w:spacing w:before="0" w:beforeAutospacing="0" w:after="0" w:afterAutospacing="0"/>
        <w:ind w:firstLine="360"/>
        <w:jc w:val="both"/>
        <w:rPr>
          <w:sz w:val="20"/>
          <w:szCs w:val="20"/>
        </w:rPr>
      </w:pPr>
      <w:r>
        <w:rPr>
          <w:sz w:val="20"/>
          <w:szCs w:val="20"/>
        </w:rPr>
        <w:t> </w:t>
      </w:r>
    </w:p>
    <w:p w14:paraId="7A8C0378" w14:textId="77777777" w:rsidR="00000000" w:rsidRDefault="0053651E">
      <w:pPr>
        <w:jc w:val="center"/>
        <w:divId w:val="920262850"/>
        <w:rPr>
          <w:rFonts w:eastAsia="Times New Roman"/>
          <w:sz w:val="20"/>
          <w:szCs w:val="20"/>
        </w:rPr>
      </w:pPr>
      <w:r>
        <w:rPr>
          <w:rFonts w:eastAsia="Times New Roman"/>
          <w:sz w:val="20"/>
          <w:szCs w:val="20"/>
        </w:rPr>
        <w:t xml:space="preserve">35 </w:t>
      </w:r>
    </w:p>
    <w:p w14:paraId="686E163E" w14:textId="77777777" w:rsidR="00000000" w:rsidRDefault="0053651E">
      <w:pPr>
        <w:divId w:val="920262850"/>
        <w:rPr>
          <w:rFonts w:eastAsia="Times New Roman"/>
          <w:sz w:val="20"/>
          <w:szCs w:val="20"/>
        </w:rPr>
      </w:pPr>
      <w:r>
        <w:rPr>
          <w:rFonts w:eastAsia="Times New Roman"/>
          <w:sz w:val="20"/>
          <w:szCs w:val="20"/>
        </w:rPr>
        <w:pict w14:anchorId="332D6A50">
          <v:rect id="_x0000_i1066" style="width:0;height:1.5pt" o:hralign="center" o:hrstd="t" o:hr="t" fillcolor="#a0a0a0" stroked="f"/>
        </w:pict>
      </w:r>
    </w:p>
    <w:p w14:paraId="625827E8" w14:textId="77777777" w:rsidR="00000000" w:rsidRDefault="0053651E">
      <w:pPr>
        <w:divId w:val="9202628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AFFD1E2" w14:textId="77777777" w:rsidR="00000000" w:rsidRDefault="0053651E">
      <w:pPr>
        <w:pStyle w:val="a3"/>
        <w:spacing w:before="0" w:beforeAutospacing="0" w:after="0" w:afterAutospacing="0"/>
        <w:rPr>
          <w:sz w:val="20"/>
          <w:szCs w:val="20"/>
        </w:rPr>
      </w:pPr>
      <w:r>
        <w:rPr>
          <w:sz w:val="20"/>
          <w:szCs w:val="20"/>
        </w:rPr>
        <w:t> </w:t>
      </w:r>
    </w:p>
    <w:p w14:paraId="7323CCCD" w14:textId="77777777" w:rsidR="00000000" w:rsidRDefault="0053651E">
      <w:pPr>
        <w:pStyle w:val="a3"/>
        <w:spacing w:before="0" w:beforeAutospacing="0" w:after="0" w:afterAutospacing="0"/>
        <w:rPr>
          <w:sz w:val="20"/>
          <w:szCs w:val="20"/>
        </w:rPr>
      </w:pPr>
      <w:r>
        <w:rPr>
          <w:sz w:val="20"/>
          <w:szCs w:val="20"/>
          <w:u w:val="single"/>
        </w:rPr>
        <w:t>Item</w:t>
      </w:r>
      <w:r>
        <w:rPr>
          <w:sz w:val="20"/>
          <w:szCs w:val="20"/>
          <w:u w:val="single"/>
        </w:rPr>
        <w:t xml:space="preserve"> 7A. Quantitative and Qualitative Disclosures About Market Risk</w:t>
      </w:r>
    </w:p>
    <w:p w14:paraId="3F74BE7F" w14:textId="77777777" w:rsidR="00000000" w:rsidRDefault="0053651E">
      <w:pPr>
        <w:pStyle w:val="a3"/>
        <w:spacing w:before="0" w:beforeAutospacing="0" w:after="0" w:afterAutospacing="0"/>
        <w:ind w:firstLine="360"/>
        <w:jc w:val="both"/>
        <w:rPr>
          <w:sz w:val="20"/>
          <w:szCs w:val="20"/>
        </w:rPr>
      </w:pPr>
      <w:r>
        <w:rPr>
          <w:sz w:val="20"/>
          <w:szCs w:val="20"/>
        </w:rPr>
        <w:t> </w:t>
      </w:r>
    </w:p>
    <w:p w14:paraId="7CBCE8DF" w14:textId="77777777" w:rsidR="00000000" w:rsidRDefault="0053651E">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periodically evaluates its exposure to short-term interest rates and will, from time-to-time, enter into interes</w:t>
      </w:r>
      <w:r>
        <w:rPr>
          <w:sz w:val="20"/>
          <w:szCs w:val="20"/>
        </w:rPr>
        <w:t>t rate protection agreements which mitigate, but do not eliminate, the effect of changes in interest rates on its floating-rate debt. The Company has not entered, and does not plan to enter, into any derivative financial instruments for trading or speculat</w:t>
      </w:r>
      <w:r>
        <w:rPr>
          <w:sz w:val="20"/>
          <w:szCs w:val="20"/>
        </w:rPr>
        <w:t>ive purposes. The following table presents the Company’s aggregate fixed rate and variable rate debt obligations outstanding, including fair market value adjustments and unamortized deferred financing costs, as of December 31, 2019, with corresponding weig</w:t>
      </w:r>
      <w:r>
        <w:rPr>
          <w:sz w:val="20"/>
          <w:szCs w:val="20"/>
        </w:rPr>
        <w:t>hted-average interest rates sorted by maturity date. The table does not include extension options where available (amounts in millions).</w:t>
      </w:r>
    </w:p>
    <w:p w14:paraId="763EB1F0"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14:paraId="3311C652" w14:textId="77777777">
        <w:trPr>
          <w:tblCellSpacing w:w="0" w:type="dxa"/>
        </w:trPr>
        <w:tc>
          <w:tcPr>
            <w:tcW w:w="0" w:type="auto"/>
            <w:vAlign w:val="bottom"/>
            <w:hideMark/>
          </w:tcPr>
          <w:p w14:paraId="5E3D390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DC095B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03D13E2" w14:textId="77777777" w:rsidR="00000000" w:rsidRDefault="0053651E">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2307CC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92F903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0BBA6F4" w14:textId="77777777" w:rsidR="00000000" w:rsidRDefault="0053651E">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A00C1D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A19683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BEE8C8" w14:textId="77777777" w:rsidR="00000000" w:rsidRDefault="0053651E">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5F5175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68D913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009BE2E" w14:textId="77777777" w:rsidR="00000000" w:rsidRDefault="0053651E">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40D1CF9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C14B40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14B8640" w14:textId="77777777" w:rsidR="00000000" w:rsidRDefault="0053651E">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14:paraId="596A1BF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6BECC7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0B69186" w14:textId="77777777" w:rsidR="00000000" w:rsidRDefault="0053651E">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26F9A68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2769C2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5066F8" w14:textId="77777777" w:rsidR="00000000" w:rsidRDefault="0053651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468B0EC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FC314E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06B51E" w14:textId="77777777" w:rsidR="00000000" w:rsidRDefault="0053651E">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4E5F24C0" w14:textId="77777777" w:rsidR="00000000" w:rsidRDefault="0053651E">
            <w:pPr>
              <w:rPr>
                <w:rFonts w:eastAsia="Times New Roman"/>
                <w:sz w:val="20"/>
                <w:szCs w:val="20"/>
              </w:rPr>
            </w:pPr>
            <w:r>
              <w:rPr>
                <w:rFonts w:eastAsia="Times New Roman"/>
                <w:sz w:val="20"/>
                <w:szCs w:val="20"/>
              </w:rPr>
              <w:t> </w:t>
            </w:r>
          </w:p>
        </w:tc>
      </w:tr>
      <w:tr w:rsidR="0053651E" w14:paraId="544C1295" w14:textId="77777777">
        <w:trPr>
          <w:tblCellSpacing w:w="0" w:type="dxa"/>
        </w:trPr>
        <w:tc>
          <w:tcPr>
            <w:tcW w:w="1000" w:type="pct"/>
            <w:shd w:val="clear" w:color="auto" w:fill="CCEEFF"/>
            <w:vAlign w:val="bottom"/>
            <w:hideMark/>
          </w:tcPr>
          <w:p w14:paraId="4BF21932" w14:textId="77777777" w:rsidR="00000000" w:rsidRDefault="0053651E">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14:paraId="21BD72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F083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07C003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021727C"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E31C87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4CA76"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237D80E"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36833A1"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F9177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74DA6"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98ABCE3"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A7D134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B5A4BB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75DB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571D0E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A66F41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AAF2A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0F1A72"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776589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2305B4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42AEA9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6925A"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8D944F5"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2376908"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2C545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EDBBB"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61085A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2E32C28"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021DC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7A34F"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1B0FFF7"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E5880A4" w14:textId="77777777" w:rsidR="00000000" w:rsidRDefault="0053651E">
            <w:pPr>
              <w:rPr>
                <w:rFonts w:eastAsia="Times New Roman"/>
                <w:sz w:val="20"/>
                <w:szCs w:val="20"/>
              </w:rPr>
            </w:pPr>
            <w:r>
              <w:rPr>
                <w:rFonts w:eastAsia="Times New Roman"/>
                <w:b/>
                <w:bCs/>
                <w:sz w:val="20"/>
                <w:szCs w:val="20"/>
              </w:rPr>
              <w:t> </w:t>
            </w:r>
          </w:p>
        </w:tc>
      </w:tr>
      <w:tr w:rsidR="0053651E" w14:paraId="4666F8C7" w14:textId="77777777">
        <w:trPr>
          <w:tblCellSpacing w:w="0" w:type="dxa"/>
        </w:trPr>
        <w:tc>
          <w:tcPr>
            <w:tcW w:w="0" w:type="auto"/>
            <w:shd w:val="clear" w:color="auto" w:fill="FFFFFF"/>
            <w:vAlign w:val="bottom"/>
            <w:hideMark/>
          </w:tcPr>
          <w:p w14:paraId="0571B37A" w14:textId="77777777" w:rsidR="00000000" w:rsidRDefault="0053651E">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75FEFE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77452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44A4C75A" w14:textId="77777777" w:rsidR="00000000" w:rsidRDefault="0053651E">
            <w:pPr>
              <w:jc w:val="right"/>
              <w:rPr>
                <w:rFonts w:eastAsia="Times New Roman"/>
                <w:sz w:val="20"/>
                <w:szCs w:val="20"/>
              </w:rPr>
            </w:pPr>
            <w:r>
              <w:rPr>
                <w:rFonts w:eastAsia="Times New Roman"/>
                <w:sz w:val="20"/>
                <w:szCs w:val="20"/>
              </w:rPr>
              <w:t>92.9</w:t>
            </w:r>
          </w:p>
        </w:tc>
        <w:tc>
          <w:tcPr>
            <w:tcW w:w="50" w:type="pct"/>
            <w:shd w:val="clear" w:color="auto" w:fill="FFFFFF"/>
            <w:vAlign w:val="bottom"/>
            <w:hideMark/>
          </w:tcPr>
          <w:p w14:paraId="0080AD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9C21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AEC666"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6FE2833" w14:textId="77777777" w:rsidR="00000000" w:rsidRDefault="0053651E">
            <w:pPr>
              <w:jc w:val="right"/>
              <w:rPr>
                <w:rFonts w:eastAsia="Times New Roman"/>
                <w:sz w:val="20"/>
                <w:szCs w:val="20"/>
              </w:rPr>
            </w:pPr>
            <w:r>
              <w:rPr>
                <w:rFonts w:eastAsia="Times New Roman"/>
                <w:sz w:val="20"/>
                <w:szCs w:val="20"/>
              </w:rPr>
              <w:t>145.1</w:t>
            </w:r>
          </w:p>
        </w:tc>
        <w:tc>
          <w:tcPr>
            <w:tcW w:w="50" w:type="pct"/>
            <w:shd w:val="clear" w:color="auto" w:fill="FFFFFF"/>
            <w:vAlign w:val="bottom"/>
            <w:hideMark/>
          </w:tcPr>
          <w:p w14:paraId="5F58EA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3445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57BAE9"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9AA80E5" w14:textId="77777777" w:rsidR="00000000" w:rsidRDefault="0053651E">
            <w:pPr>
              <w:jc w:val="right"/>
              <w:rPr>
                <w:rFonts w:eastAsia="Times New Roman"/>
                <w:sz w:val="20"/>
                <w:szCs w:val="20"/>
              </w:rPr>
            </w:pPr>
            <w:r>
              <w:rPr>
                <w:rFonts w:eastAsia="Times New Roman"/>
                <w:sz w:val="20"/>
                <w:szCs w:val="20"/>
              </w:rPr>
              <w:t>152.0</w:t>
            </w:r>
          </w:p>
        </w:tc>
        <w:tc>
          <w:tcPr>
            <w:tcW w:w="50" w:type="pct"/>
            <w:shd w:val="clear" w:color="auto" w:fill="FFFFFF"/>
            <w:vAlign w:val="bottom"/>
            <w:hideMark/>
          </w:tcPr>
          <w:p w14:paraId="0D1F9B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A0FE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4588AF"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59948FE" w14:textId="77777777" w:rsidR="00000000" w:rsidRDefault="0053651E">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14:paraId="6491DA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6D54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569C35"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8B386E8" w14:textId="77777777" w:rsidR="00000000" w:rsidRDefault="0053651E">
            <w:pPr>
              <w:jc w:val="right"/>
              <w:rPr>
                <w:rFonts w:eastAsia="Times New Roman"/>
                <w:sz w:val="20"/>
                <w:szCs w:val="20"/>
              </w:rPr>
            </w:pPr>
            <w:r>
              <w:rPr>
                <w:rFonts w:eastAsia="Times New Roman"/>
                <w:sz w:val="20"/>
                <w:szCs w:val="20"/>
              </w:rPr>
              <w:t>10.4</w:t>
            </w:r>
          </w:p>
        </w:tc>
        <w:tc>
          <w:tcPr>
            <w:tcW w:w="50" w:type="pct"/>
            <w:shd w:val="clear" w:color="auto" w:fill="FFFFFF"/>
            <w:vAlign w:val="bottom"/>
            <w:hideMark/>
          </w:tcPr>
          <w:p w14:paraId="3A4B2A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B0D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6769D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554B43A" w14:textId="77777777" w:rsidR="00000000" w:rsidRDefault="0053651E">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3D92DB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F5F4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A1315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4DEF293A" w14:textId="77777777" w:rsidR="00000000" w:rsidRDefault="0053651E">
            <w:pPr>
              <w:jc w:val="right"/>
              <w:rPr>
                <w:rFonts w:eastAsia="Times New Roman"/>
                <w:sz w:val="20"/>
                <w:szCs w:val="20"/>
              </w:rPr>
            </w:pPr>
            <w:r>
              <w:rPr>
                <w:rFonts w:eastAsia="Times New Roman"/>
                <w:sz w:val="20"/>
                <w:szCs w:val="20"/>
              </w:rPr>
              <w:t>417.4</w:t>
            </w:r>
          </w:p>
        </w:tc>
        <w:tc>
          <w:tcPr>
            <w:tcW w:w="50" w:type="pct"/>
            <w:shd w:val="clear" w:color="auto" w:fill="FFFFFF"/>
            <w:vAlign w:val="bottom"/>
            <w:hideMark/>
          </w:tcPr>
          <w:p w14:paraId="6B0D86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208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EC4C2"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7D3F4075" w14:textId="77777777" w:rsidR="00000000" w:rsidRDefault="0053651E">
            <w:pPr>
              <w:jc w:val="right"/>
              <w:rPr>
                <w:rFonts w:eastAsia="Times New Roman"/>
                <w:sz w:val="20"/>
                <w:szCs w:val="20"/>
              </w:rPr>
            </w:pPr>
            <w:r>
              <w:rPr>
                <w:rFonts w:eastAsia="Times New Roman"/>
                <w:sz w:val="20"/>
                <w:szCs w:val="20"/>
              </w:rPr>
              <w:t>419.5</w:t>
            </w:r>
          </w:p>
        </w:tc>
        <w:tc>
          <w:tcPr>
            <w:tcW w:w="50" w:type="pct"/>
            <w:shd w:val="clear" w:color="auto" w:fill="FFFFFF"/>
            <w:vAlign w:val="bottom"/>
            <w:hideMark/>
          </w:tcPr>
          <w:p w14:paraId="7E98C914" w14:textId="77777777" w:rsidR="00000000" w:rsidRDefault="0053651E">
            <w:pPr>
              <w:rPr>
                <w:rFonts w:eastAsia="Times New Roman"/>
                <w:sz w:val="20"/>
                <w:szCs w:val="20"/>
              </w:rPr>
            </w:pPr>
            <w:r>
              <w:rPr>
                <w:rFonts w:eastAsia="Times New Roman"/>
                <w:sz w:val="20"/>
                <w:szCs w:val="20"/>
              </w:rPr>
              <w:t> </w:t>
            </w:r>
          </w:p>
        </w:tc>
      </w:tr>
      <w:tr w:rsidR="0053651E" w14:paraId="3AA30443" w14:textId="77777777">
        <w:trPr>
          <w:tblCellSpacing w:w="0" w:type="dxa"/>
        </w:trPr>
        <w:tc>
          <w:tcPr>
            <w:tcW w:w="0" w:type="auto"/>
            <w:shd w:val="clear" w:color="auto" w:fill="CCEEFF"/>
            <w:vAlign w:val="bottom"/>
            <w:hideMark/>
          </w:tcPr>
          <w:p w14:paraId="7762D583" w14:textId="77777777" w:rsidR="00000000" w:rsidRDefault="0053651E">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25A600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5B9C5A"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18A0F0D" w14:textId="77777777" w:rsidR="00000000" w:rsidRDefault="0053651E">
            <w:pPr>
              <w:jc w:val="right"/>
              <w:rPr>
                <w:rFonts w:eastAsia="Times New Roman"/>
                <w:sz w:val="20"/>
                <w:szCs w:val="20"/>
              </w:rPr>
            </w:pPr>
            <w:r>
              <w:rPr>
                <w:rFonts w:eastAsia="Times New Roman"/>
                <w:sz w:val="20"/>
                <w:szCs w:val="20"/>
              </w:rPr>
              <w:t>5.32</w:t>
            </w:r>
          </w:p>
        </w:tc>
        <w:tc>
          <w:tcPr>
            <w:tcW w:w="50" w:type="pct"/>
            <w:shd w:val="clear" w:color="auto" w:fill="CCEEFF"/>
            <w:vAlign w:val="bottom"/>
            <w:hideMark/>
          </w:tcPr>
          <w:p w14:paraId="78701DF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03B82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A7613"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0305E51" w14:textId="77777777" w:rsidR="00000000" w:rsidRDefault="0053651E">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14:paraId="1A9F201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59F74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31FF2"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CFD62B3" w14:textId="77777777" w:rsidR="00000000" w:rsidRDefault="0053651E">
            <w:pPr>
              <w:jc w:val="right"/>
              <w:rPr>
                <w:rFonts w:eastAsia="Times New Roman"/>
                <w:sz w:val="20"/>
                <w:szCs w:val="20"/>
              </w:rPr>
            </w:pPr>
            <w:r>
              <w:rPr>
                <w:rFonts w:eastAsia="Times New Roman"/>
                <w:sz w:val="20"/>
                <w:szCs w:val="20"/>
              </w:rPr>
              <w:t>4.06</w:t>
            </w:r>
          </w:p>
        </w:tc>
        <w:tc>
          <w:tcPr>
            <w:tcW w:w="50" w:type="pct"/>
            <w:shd w:val="clear" w:color="auto" w:fill="CCEEFF"/>
            <w:vAlign w:val="bottom"/>
            <w:hideMark/>
          </w:tcPr>
          <w:p w14:paraId="7FC05A6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159C2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8A0CB8"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A16B2BB" w14:textId="77777777" w:rsidR="00000000" w:rsidRDefault="0053651E">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13D3792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2DB1F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4D139C"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6F60F73" w14:textId="77777777" w:rsidR="00000000" w:rsidRDefault="0053651E">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14:paraId="58BBAF6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345E4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4E9A2A"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17D099C" w14:textId="77777777" w:rsidR="00000000" w:rsidRDefault="0053651E">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14:paraId="24E6830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A3DB0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9CD297"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A47CAAF" w14:textId="77777777" w:rsidR="00000000" w:rsidRDefault="0053651E">
            <w:pPr>
              <w:jc w:val="right"/>
              <w:rPr>
                <w:rFonts w:eastAsia="Times New Roman"/>
                <w:sz w:val="20"/>
                <w:szCs w:val="20"/>
              </w:rPr>
            </w:pPr>
            <w:r>
              <w:rPr>
                <w:rFonts w:eastAsia="Times New Roman"/>
                <w:sz w:val="20"/>
                <w:szCs w:val="20"/>
              </w:rPr>
              <w:t>4.88</w:t>
            </w:r>
          </w:p>
        </w:tc>
        <w:tc>
          <w:tcPr>
            <w:tcW w:w="50" w:type="pct"/>
            <w:shd w:val="clear" w:color="auto" w:fill="CCEEFF"/>
            <w:vAlign w:val="bottom"/>
            <w:hideMark/>
          </w:tcPr>
          <w:p w14:paraId="2F37A811"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bottom"/>
            <w:hideMark/>
          </w:tcPr>
          <w:p w14:paraId="05375DD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77D0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2589A1" w14:textId="77777777" w:rsidR="00000000" w:rsidRDefault="0053651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1DD5E1" w14:textId="77777777" w:rsidR="00000000" w:rsidRDefault="0053651E">
            <w:pPr>
              <w:rPr>
                <w:rFonts w:eastAsia="Times New Roman"/>
                <w:sz w:val="20"/>
                <w:szCs w:val="20"/>
              </w:rPr>
            </w:pPr>
            <w:r>
              <w:rPr>
                <w:rFonts w:eastAsia="Times New Roman"/>
                <w:sz w:val="20"/>
                <w:szCs w:val="20"/>
              </w:rPr>
              <w:t> </w:t>
            </w:r>
          </w:p>
        </w:tc>
      </w:tr>
      <w:tr w:rsidR="0053651E" w14:paraId="7E3F055A" w14:textId="77777777">
        <w:trPr>
          <w:tblCellSpacing w:w="0" w:type="dxa"/>
        </w:trPr>
        <w:tc>
          <w:tcPr>
            <w:tcW w:w="0" w:type="auto"/>
            <w:shd w:val="clear" w:color="auto" w:fill="FFFFFF"/>
            <w:vAlign w:val="bottom"/>
            <w:hideMark/>
          </w:tcPr>
          <w:p w14:paraId="1AE74AEB" w14:textId="77777777" w:rsidR="00000000" w:rsidRDefault="0053651E">
            <w:pPr>
              <w:pStyle w:val="a3"/>
              <w:spacing w:before="0" w:beforeAutospacing="0" w:after="0" w:afterAutospacing="0"/>
              <w:rPr>
                <w:sz w:val="20"/>
                <w:szCs w:val="20"/>
              </w:rPr>
            </w:pPr>
            <w:r>
              <w:rPr>
                <w:sz w:val="20"/>
                <w:szCs w:val="20"/>
              </w:rPr>
              <w:t>Variable Rate</w:t>
            </w:r>
          </w:p>
        </w:tc>
        <w:tc>
          <w:tcPr>
            <w:tcW w:w="50" w:type="pct"/>
            <w:shd w:val="clear" w:color="auto" w:fill="FFFFFF"/>
            <w:vAlign w:val="bottom"/>
            <w:hideMark/>
          </w:tcPr>
          <w:p w14:paraId="3631E5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358858"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7BC709C" w14:textId="77777777" w:rsidR="00000000" w:rsidRDefault="0053651E">
            <w:pPr>
              <w:jc w:val="right"/>
              <w:rPr>
                <w:rFonts w:eastAsia="Times New Roman"/>
                <w:sz w:val="20"/>
                <w:szCs w:val="20"/>
              </w:rPr>
            </w:pPr>
            <w:r>
              <w:rPr>
                <w:rFonts w:eastAsia="Times New Roman"/>
                <w:sz w:val="20"/>
                <w:szCs w:val="20"/>
              </w:rPr>
              <w:t>66.6</w:t>
            </w:r>
          </w:p>
        </w:tc>
        <w:tc>
          <w:tcPr>
            <w:tcW w:w="50" w:type="pct"/>
            <w:shd w:val="clear" w:color="auto" w:fill="FFFFFF"/>
            <w:vAlign w:val="bottom"/>
            <w:hideMark/>
          </w:tcPr>
          <w:p w14:paraId="0338E5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DA1D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9D296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24A22C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1259F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624F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8DDAF2"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7E15414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076A9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5AD3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73FB1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2751DF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20A65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F59B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6142FD"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6E53BE4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B75F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D82D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6701A3"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8B6C5E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6D3C4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1EA8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30FB86"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62E22EA" w14:textId="77777777" w:rsidR="00000000" w:rsidRDefault="0053651E">
            <w:pPr>
              <w:jc w:val="right"/>
              <w:rPr>
                <w:rFonts w:eastAsia="Times New Roman"/>
                <w:sz w:val="20"/>
                <w:szCs w:val="20"/>
              </w:rPr>
            </w:pPr>
            <w:r>
              <w:rPr>
                <w:rFonts w:eastAsia="Times New Roman"/>
                <w:sz w:val="20"/>
                <w:szCs w:val="20"/>
              </w:rPr>
              <w:t>66.6</w:t>
            </w:r>
          </w:p>
        </w:tc>
        <w:tc>
          <w:tcPr>
            <w:tcW w:w="50" w:type="pct"/>
            <w:shd w:val="clear" w:color="auto" w:fill="FFFFFF"/>
            <w:vAlign w:val="bottom"/>
            <w:hideMark/>
          </w:tcPr>
          <w:p w14:paraId="42FE3F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DDB3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3945CD"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2377DD9" w14:textId="77777777" w:rsidR="00000000" w:rsidRDefault="0053651E">
            <w:pPr>
              <w:jc w:val="right"/>
              <w:rPr>
                <w:rFonts w:eastAsia="Times New Roman"/>
                <w:sz w:val="20"/>
                <w:szCs w:val="20"/>
              </w:rPr>
            </w:pPr>
            <w:r>
              <w:rPr>
                <w:rFonts w:eastAsia="Times New Roman"/>
                <w:sz w:val="20"/>
                <w:szCs w:val="20"/>
              </w:rPr>
              <w:t>66.5</w:t>
            </w:r>
          </w:p>
        </w:tc>
        <w:tc>
          <w:tcPr>
            <w:tcW w:w="50" w:type="pct"/>
            <w:shd w:val="clear" w:color="auto" w:fill="FFFFFF"/>
            <w:vAlign w:val="bottom"/>
            <w:hideMark/>
          </w:tcPr>
          <w:p w14:paraId="35E3C666" w14:textId="77777777" w:rsidR="00000000" w:rsidRDefault="0053651E">
            <w:pPr>
              <w:rPr>
                <w:rFonts w:eastAsia="Times New Roman"/>
                <w:sz w:val="20"/>
                <w:szCs w:val="20"/>
              </w:rPr>
            </w:pPr>
            <w:r>
              <w:rPr>
                <w:rFonts w:eastAsia="Times New Roman"/>
                <w:sz w:val="20"/>
                <w:szCs w:val="20"/>
              </w:rPr>
              <w:t> </w:t>
            </w:r>
          </w:p>
        </w:tc>
      </w:tr>
      <w:tr w:rsidR="0053651E" w14:paraId="7BC05AB1" w14:textId="77777777">
        <w:trPr>
          <w:tblCellSpacing w:w="0" w:type="dxa"/>
        </w:trPr>
        <w:tc>
          <w:tcPr>
            <w:tcW w:w="0" w:type="auto"/>
            <w:shd w:val="clear" w:color="auto" w:fill="CCEEFF"/>
            <w:vAlign w:val="bottom"/>
            <w:hideMark/>
          </w:tcPr>
          <w:p w14:paraId="52BD46C7" w14:textId="77777777" w:rsidR="00000000" w:rsidRDefault="0053651E">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42512E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7238D9"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BFBADD5" w14:textId="77777777" w:rsidR="00000000" w:rsidRDefault="0053651E">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14:paraId="2148856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63326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653509"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CB05FB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5554B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2BE0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59E8BD"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E425CF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F58C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26A3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63226F"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02CD85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37437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75B4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A1504E"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99272AF"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246A6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61D6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7B4B9F"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C10ECF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6000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1215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C5BBC7"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AC16302" w14:textId="77777777" w:rsidR="00000000" w:rsidRDefault="0053651E">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14:paraId="180039E4"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bottom"/>
            <w:hideMark/>
          </w:tcPr>
          <w:p w14:paraId="5BB9A47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E72B6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788413" w14:textId="77777777" w:rsidR="00000000" w:rsidRDefault="0053651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6FCAB6" w14:textId="77777777" w:rsidR="00000000" w:rsidRDefault="0053651E">
            <w:pPr>
              <w:rPr>
                <w:rFonts w:eastAsia="Times New Roman"/>
                <w:sz w:val="20"/>
                <w:szCs w:val="20"/>
              </w:rPr>
            </w:pPr>
            <w:r>
              <w:rPr>
                <w:rFonts w:eastAsia="Times New Roman"/>
                <w:sz w:val="20"/>
                <w:szCs w:val="20"/>
              </w:rPr>
              <w:t> </w:t>
            </w:r>
          </w:p>
        </w:tc>
      </w:tr>
      <w:tr w:rsidR="0053651E" w14:paraId="314A98CA" w14:textId="77777777">
        <w:trPr>
          <w:tblCellSpacing w:w="0" w:type="dxa"/>
        </w:trPr>
        <w:tc>
          <w:tcPr>
            <w:tcW w:w="0" w:type="auto"/>
            <w:shd w:val="clear" w:color="auto" w:fill="FFFFFF"/>
            <w:vAlign w:val="bottom"/>
            <w:hideMark/>
          </w:tcPr>
          <w:p w14:paraId="1D6429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96B8A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7C2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BF92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1DE5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4B06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526D7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3FA9F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67E98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7C65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135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A679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3F38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2515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6712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4FF8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C3E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EB419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FD22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E515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3B71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405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38E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2139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769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F34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8D6F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C5D6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853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A04F6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2A5C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F16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0E0BD" w14:textId="77777777" w:rsidR="00000000" w:rsidRDefault="0053651E">
            <w:pPr>
              <w:rPr>
                <w:rFonts w:eastAsia="Times New Roman"/>
                <w:sz w:val="20"/>
                <w:szCs w:val="20"/>
              </w:rPr>
            </w:pPr>
            <w:r>
              <w:rPr>
                <w:rFonts w:eastAsia="Times New Roman"/>
                <w:sz w:val="20"/>
                <w:szCs w:val="20"/>
              </w:rPr>
              <w:t> </w:t>
            </w:r>
          </w:p>
        </w:tc>
      </w:tr>
      <w:tr w:rsidR="0053651E" w14:paraId="3487500D" w14:textId="77777777">
        <w:trPr>
          <w:tblCellSpacing w:w="0" w:type="dxa"/>
        </w:trPr>
        <w:tc>
          <w:tcPr>
            <w:tcW w:w="0" w:type="auto"/>
            <w:shd w:val="clear" w:color="auto" w:fill="CCEEFF"/>
            <w:vAlign w:val="bottom"/>
            <w:hideMark/>
          </w:tcPr>
          <w:p w14:paraId="15D446F7" w14:textId="77777777" w:rsidR="00000000" w:rsidRDefault="0053651E">
            <w:pPr>
              <w:pStyle w:val="a3"/>
              <w:spacing w:before="0" w:beforeAutospacing="0" w:after="0" w:afterAutospacing="0"/>
              <w:rPr>
                <w:sz w:val="20"/>
                <w:szCs w:val="20"/>
              </w:rPr>
            </w:pPr>
            <w:r>
              <w:rPr>
                <w:b/>
                <w:bCs/>
                <w:sz w:val="20"/>
                <w:szCs w:val="20"/>
                <w:u w:val="single"/>
              </w:rPr>
              <w:t>Unsecured Debt</w:t>
            </w:r>
          </w:p>
        </w:tc>
        <w:tc>
          <w:tcPr>
            <w:tcW w:w="0" w:type="auto"/>
            <w:shd w:val="clear" w:color="auto" w:fill="CCEEFF"/>
            <w:vAlign w:val="bottom"/>
            <w:hideMark/>
          </w:tcPr>
          <w:p w14:paraId="0BB333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95B5A"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BC27BB6"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F10E43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610BA0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D450F"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A0F11D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F2D14B6"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F808A9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2BD04"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E2A38B1"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4CDAA0F"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101A71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2F1B3"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FAF0E2F"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9BFF6B7"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468BB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E26B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12066D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3153114"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F0874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B8052"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6F6A5CD"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F43856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C61E21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C4BA0"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85E11D7"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BDF4158"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EDA977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0DF63"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DB68CD1"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F44FC14" w14:textId="77777777" w:rsidR="00000000" w:rsidRDefault="0053651E">
            <w:pPr>
              <w:rPr>
                <w:rFonts w:eastAsia="Times New Roman"/>
                <w:sz w:val="20"/>
                <w:szCs w:val="20"/>
              </w:rPr>
            </w:pPr>
            <w:r>
              <w:rPr>
                <w:rFonts w:eastAsia="Times New Roman"/>
                <w:b/>
                <w:bCs/>
                <w:sz w:val="20"/>
                <w:szCs w:val="20"/>
              </w:rPr>
              <w:t> </w:t>
            </w:r>
          </w:p>
        </w:tc>
      </w:tr>
      <w:tr w:rsidR="0053651E" w14:paraId="0AFAE05A" w14:textId="77777777">
        <w:trPr>
          <w:tblCellSpacing w:w="0" w:type="dxa"/>
        </w:trPr>
        <w:tc>
          <w:tcPr>
            <w:tcW w:w="0" w:type="auto"/>
            <w:shd w:val="clear" w:color="auto" w:fill="FFFFFF"/>
            <w:vAlign w:val="bottom"/>
            <w:hideMark/>
          </w:tcPr>
          <w:p w14:paraId="4616D2D2" w14:textId="77777777" w:rsidR="00000000" w:rsidRDefault="0053651E">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74A2A2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4C4427"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6EDF502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811D2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B856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DC0E2C"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4518905E" w14:textId="77777777" w:rsidR="00000000" w:rsidRDefault="0053651E">
            <w:pPr>
              <w:jc w:val="right"/>
              <w:rPr>
                <w:rFonts w:eastAsia="Times New Roman"/>
                <w:sz w:val="20"/>
                <w:szCs w:val="20"/>
              </w:rPr>
            </w:pPr>
            <w:r>
              <w:rPr>
                <w:rFonts w:eastAsia="Times New Roman"/>
                <w:sz w:val="20"/>
                <w:szCs w:val="20"/>
              </w:rPr>
              <w:t>483.9</w:t>
            </w:r>
          </w:p>
        </w:tc>
        <w:tc>
          <w:tcPr>
            <w:tcW w:w="50" w:type="pct"/>
            <w:shd w:val="clear" w:color="auto" w:fill="FFFFFF"/>
            <w:vAlign w:val="bottom"/>
            <w:hideMark/>
          </w:tcPr>
          <w:p w14:paraId="5A672C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28FF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EFDBB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0ACD4F3B" w14:textId="77777777" w:rsidR="00000000" w:rsidRDefault="0053651E">
            <w:pPr>
              <w:jc w:val="right"/>
              <w:rPr>
                <w:rFonts w:eastAsia="Times New Roman"/>
                <w:sz w:val="20"/>
                <w:szCs w:val="20"/>
              </w:rPr>
            </w:pPr>
            <w:r>
              <w:rPr>
                <w:rFonts w:eastAsia="Times New Roman"/>
                <w:sz w:val="20"/>
                <w:szCs w:val="20"/>
              </w:rPr>
              <w:t>497.0</w:t>
            </w:r>
          </w:p>
        </w:tc>
        <w:tc>
          <w:tcPr>
            <w:tcW w:w="50" w:type="pct"/>
            <w:shd w:val="clear" w:color="auto" w:fill="FFFFFF"/>
            <w:vAlign w:val="bottom"/>
            <w:hideMark/>
          </w:tcPr>
          <w:p w14:paraId="01654A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D690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6D301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7EDB457F" w14:textId="77777777" w:rsidR="00000000" w:rsidRDefault="0053651E">
            <w:pPr>
              <w:jc w:val="right"/>
              <w:rPr>
                <w:rFonts w:eastAsia="Times New Roman"/>
                <w:sz w:val="20"/>
                <w:szCs w:val="20"/>
              </w:rPr>
            </w:pPr>
            <w:r>
              <w:rPr>
                <w:rFonts w:eastAsia="Times New Roman"/>
                <w:sz w:val="20"/>
                <w:szCs w:val="20"/>
              </w:rPr>
              <w:t>348.2</w:t>
            </w:r>
          </w:p>
        </w:tc>
        <w:tc>
          <w:tcPr>
            <w:tcW w:w="50" w:type="pct"/>
            <w:shd w:val="clear" w:color="auto" w:fill="FFFFFF"/>
            <w:vAlign w:val="bottom"/>
            <w:hideMark/>
          </w:tcPr>
          <w:p w14:paraId="3D061E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DA36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7863F5"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99F580B" w14:textId="77777777" w:rsidR="00000000" w:rsidRDefault="0053651E">
            <w:pPr>
              <w:jc w:val="right"/>
              <w:rPr>
                <w:rFonts w:eastAsia="Times New Roman"/>
                <w:sz w:val="20"/>
                <w:szCs w:val="20"/>
              </w:rPr>
            </w:pPr>
            <w:r>
              <w:rPr>
                <w:rFonts w:eastAsia="Times New Roman"/>
                <w:sz w:val="20"/>
                <w:szCs w:val="20"/>
              </w:rPr>
              <w:t>397.1</w:t>
            </w:r>
          </w:p>
        </w:tc>
        <w:tc>
          <w:tcPr>
            <w:tcW w:w="50" w:type="pct"/>
            <w:shd w:val="clear" w:color="auto" w:fill="FFFFFF"/>
            <w:vAlign w:val="bottom"/>
            <w:hideMark/>
          </w:tcPr>
          <w:p w14:paraId="11014D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0CC7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43C174"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D6160C5" w14:textId="77777777" w:rsidR="00000000" w:rsidRDefault="0053651E">
            <w:pPr>
              <w:jc w:val="right"/>
              <w:rPr>
                <w:rFonts w:eastAsia="Times New Roman"/>
                <w:sz w:val="20"/>
                <w:szCs w:val="20"/>
              </w:rPr>
            </w:pPr>
            <w:r>
              <w:rPr>
                <w:rFonts w:eastAsia="Times New Roman"/>
                <w:sz w:val="20"/>
                <w:szCs w:val="20"/>
              </w:rPr>
              <w:t>2,907.8</w:t>
            </w:r>
          </w:p>
        </w:tc>
        <w:tc>
          <w:tcPr>
            <w:tcW w:w="50" w:type="pct"/>
            <w:shd w:val="clear" w:color="auto" w:fill="FFFFFF"/>
            <w:vAlign w:val="bottom"/>
            <w:hideMark/>
          </w:tcPr>
          <w:p w14:paraId="7BCA59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D4BD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79A5A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DD54EDC" w14:textId="77777777" w:rsidR="00000000" w:rsidRDefault="0053651E">
            <w:pPr>
              <w:jc w:val="right"/>
              <w:rPr>
                <w:rFonts w:eastAsia="Times New Roman"/>
                <w:sz w:val="20"/>
                <w:szCs w:val="20"/>
              </w:rPr>
            </w:pPr>
            <w:r>
              <w:rPr>
                <w:rFonts w:eastAsia="Times New Roman"/>
                <w:sz w:val="20"/>
                <w:szCs w:val="20"/>
              </w:rPr>
              <w:t>4,634.0</w:t>
            </w:r>
          </w:p>
        </w:tc>
        <w:tc>
          <w:tcPr>
            <w:tcW w:w="50" w:type="pct"/>
            <w:shd w:val="clear" w:color="auto" w:fill="FFFFFF"/>
            <w:vAlign w:val="bottom"/>
            <w:hideMark/>
          </w:tcPr>
          <w:p w14:paraId="5B3F41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209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E1065E"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4DBE2029" w14:textId="77777777" w:rsidR="00000000" w:rsidRDefault="0053651E">
            <w:pPr>
              <w:jc w:val="right"/>
              <w:rPr>
                <w:rFonts w:eastAsia="Times New Roman"/>
                <w:sz w:val="20"/>
                <w:szCs w:val="20"/>
              </w:rPr>
            </w:pPr>
            <w:r>
              <w:rPr>
                <w:rFonts w:eastAsia="Times New Roman"/>
                <w:sz w:val="20"/>
                <w:szCs w:val="20"/>
              </w:rPr>
              <w:t>4,783.9</w:t>
            </w:r>
          </w:p>
        </w:tc>
        <w:tc>
          <w:tcPr>
            <w:tcW w:w="50" w:type="pct"/>
            <w:shd w:val="clear" w:color="auto" w:fill="FFFFFF"/>
            <w:vAlign w:val="bottom"/>
            <w:hideMark/>
          </w:tcPr>
          <w:p w14:paraId="11E4A0D6" w14:textId="77777777" w:rsidR="00000000" w:rsidRDefault="0053651E">
            <w:pPr>
              <w:rPr>
                <w:rFonts w:eastAsia="Times New Roman"/>
                <w:sz w:val="20"/>
                <w:szCs w:val="20"/>
              </w:rPr>
            </w:pPr>
            <w:r>
              <w:rPr>
                <w:rFonts w:eastAsia="Times New Roman"/>
                <w:sz w:val="20"/>
                <w:szCs w:val="20"/>
              </w:rPr>
              <w:t> </w:t>
            </w:r>
          </w:p>
        </w:tc>
      </w:tr>
      <w:tr w:rsidR="0053651E" w14:paraId="5E2B9338" w14:textId="77777777">
        <w:trPr>
          <w:tblCellSpacing w:w="0" w:type="dxa"/>
        </w:trPr>
        <w:tc>
          <w:tcPr>
            <w:tcW w:w="0" w:type="auto"/>
            <w:shd w:val="clear" w:color="auto" w:fill="CCEEFF"/>
            <w:vAlign w:val="bottom"/>
            <w:hideMark/>
          </w:tcPr>
          <w:p w14:paraId="557D8F6C" w14:textId="77777777" w:rsidR="00000000" w:rsidRDefault="0053651E">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4CF3FA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EF1884"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D8C4A6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A104C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6420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465B00"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01DD3C9" w14:textId="77777777" w:rsidR="00000000" w:rsidRDefault="0053651E">
            <w:pPr>
              <w:jc w:val="right"/>
              <w:rPr>
                <w:rFonts w:eastAsia="Times New Roman"/>
                <w:sz w:val="20"/>
                <w:szCs w:val="20"/>
              </w:rPr>
            </w:pPr>
            <w:r>
              <w:rPr>
                <w:rFonts w:eastAsia="Times New Roman"/>
                <w:sz w:val="20"/>
                <w:szCs w:val="20"/>
              </w:rPr>
              <w:t>3.20</w:t>
            </w:r>
          </w:p>
        </w:tc>
        <w:tc>
          <w:tcPr>
            <w:tcW w:w="50" w:type="pct"/>
            <w:shd w:val="clear" w:color="auto" w:fill="CCEEFF"/>
            <w:vAlign w:val="bottom"/>
            <w:hideMark/>
          </w:tcPr>
          <w:p w14:paraId="2352961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255DD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1BB6D3"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9418089" w14:textId="77777777" w:rsidR="00000000" w:rsidRDefault="0053651E">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14:paraId="60ECF75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DD989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8CB086"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95CC857" w14:textId="77777777" w:rsidR="00000000" w:rsidRDefault="0053651E">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14:paraId="377E8C4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CD804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37C02E"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D4770F" w14:textId="77777777" w:rsidR="00000000" w:rsidRDefault="0053651E">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78E845D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1CBA5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998826"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90919C9" w14:textId="77777777" w:rsidR="00000000" w:rsidRDefault="0053651E">
            <w:pPr>
              <w:jc w:val="right"/>
              <w:rPr>
                <w:rFonts w:eastAsia="Times New Roman"/>
                <w:sz w:val="20"/>
                <w:szCs w:val="20"/>
              </w:rPr>
            </w:pPr>
            <w:r>
              <w:rPr>
                <w:rFonts w:eastAsia="Times New Roman"/>
                <w:sz w:val="20"/>
                <w:szCs w:val="20"/>
              </w:rPr>
              <w:t>3.73</w:t>
            </w:r>
          </w:p>
        </w:tc>
        <w:tc>
          <w:tcPr>
            <w:tcW w:w="50" w:type="pct"/>
            <w:shd w:val="clear" w:color="auto" w:fill="CCEEFF"/>
            <w:vAlign w:val="bottom"/>
            <w:hideMark/>
          </w:tcPr>
          <w:p w14:paraId="5D2F07D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04D8C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24C35A"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F6750C1" w14:textId="77777777" w:rsidR="00000000" w:rsidRDefault="0053651E">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14:paraId="5991B5A8"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bottom"/>
            <w:hideMark/>
          </w:tcPr>
          <w:p w14:paraId="45F2DB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A669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E01F9" w14:textId="77777777" w:rsidR="00000000" w:rsidRDefault="0053651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2E8EDD" w14:textId="77777777" w:rsidR="00000000" w:rsidRDefault="0053651E">
            <w:pPr>
              <w:rPr>
                <w:rFonts w:eastAsia="Times New Roman"/>
                <w:sz w:val="20"/>
                <w:szCs w:val="20"/>
              </w:rPr>
            </w:pPr>
            <w:r>
              <w:rPr>
                <w:rFonts w:eastAsia="Times New Roman"/>
                <w:sz w:val="20"/>
                <w:szCs w:val="20"/>
              </w:rPr>
              <w:t> </w:t>
            </w:r>
          </w:p>
        </w:tc>
      </w:tr>
      <w:tr w:rsidR="0053651E" w14:paraId="63684519" w14:textId="77777777">
        <w:trPr>
          <w:tblCellSpacing w:w="0" w:type="dxa"/>
        </w:trPr>
        <w:tc>
          <w:tcPr>
            <w:tcW w:w="0" w:type="auto"/>
            <w:shd w:val="clear" w:color="auto" w:fill="FFFFFF"/>
            <w:vAlign w:val="bottom"/>
            <w:hideMark/>
          </w:tcPr>
          <w:p w14:paraId="48BBAA81" w14:textId="77777777" w:rsidR="00000000" w:rsidRDefault="0053651E">
            <w:pPr>
              <w:pStyle w:val="a3"/>
              <w:spacing w:before="0" w:beforeAutospacing="0" w:after="0" w:afterAutospacing="0"/>
              <w:rPr>
                <w:sz w:val="20"/>
                <w:szCs w:val="20"/>
              </w:rPr>
            </w:pPr>
            <w:r>
              <w:rPr>
                <w:sz w:val="20"/>
                <w:szCs w:val="20"/>
              </w:rPr>
              <w:t>Variable Rate</w:t>
            </w:r>
          </w:p>
        </w:tc>
        <w:tc>
          <w:tcPr>
            <w:tcW w:w="50" w:type="pct"/>
            <w:shd w:val="clear" w:color="auto" w:fill="FFFFFF"/>
            <w:vAlign w:val="bottom"/>
            <w:hideMark/>
          </w:tcPr>
          <w:p w14:paraId="6288E4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B55004"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1ECB6BE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CF7CE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B0F3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88A4E1"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92A10AD" w14:textId="77777777" w:rsidR="00000000" w:rsidRDefault="0053651E">
            <w:pPr>
              <w:jc w:val="right"/>
              <w:rPr>
                <w:rFonts w:eastAsia="Times New Roman"/>
                <w:sz w:val="20"/>
                <w:szCs w:val="20"/>
              </w:rPr>
            </w:pPr>
            <w:r>
              <w:rPr>
                <w:rFonts w:eastAsia="Times New Roman"/>
                <w:sz w:val="20"/>
                <w:szCs w:val="20"/>
              </w:rPr>
              <w:t>197.8</w:t>
            </w:r>
          </w:p>
        </w:tc>
        <w:tc>
          <w:tcPr>
            <w:tcW w:w="50" w:type="pct"/>
            <w:shd w:val="clear" w:color="auto" w:fill="FFFFFF"/>
            <w:vAlign w:val="bottom"/>
            <w:hideMark/>
          </w:tcPr>
          <w:p w14:paraId="4DCE74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58EA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2C2EEB"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410D09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41E84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BF88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E87900"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5076D4E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9D2B5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822F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719E5F"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5D591D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D4955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5858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3AE38D"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7F387D1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5232E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BAB9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68E398"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39EFF2E5" w14:textId="77777777" w:rsidR="00000000" w:rsidRDefault="0053651E">
            <w:pPr>
              <w:jc w:val="right"/>
              <w:rPr>
                <w:rFonts w:eastAsia="Times New Roman"/>
                <w:sz w:val="20"/>
                <w:szCs w:val="20"/>
              </w:rPr>
            </w:pPr>
            <w:r>
              <w:rPr>
                <w:rFonts w:eastAsia="Times New Roman"/>
                <w:sz w:val="20"/>
                <w:szCs w:val="20"/>
              </w:rPr>
              <w:t>197.8</w:t>
            </w:r>
          </w:p>
        </w:tc>
        <w:tc>
          <w:tcPr>
            <w:tcW w:w="50" w:type="pct"/>
            <w:shd w:val="clear" w:color="auto" w:fill="FFFFFF"/>
            <w:vAlign w:val="bottom"/>
            <w:hideMark/>
          </w:tcPr>
          <w:p w14:paraId="454609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E59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2B0753" w14:textId="77777777" w:rsidR="00000000" w:rsidRDefault="0053651E">
            <w:pPr>
              <w:rPr>
                <w:rFonts w:eastAsia="Times New Roman"/>
                <w:sz w:val="20"/>
                <w:szCs w:val="20"/>
              </w:rPr>
            </w:pPr>
            <w:r>
              <w:rPr>
                <w:rFonts w:eastAsia="Times New Roman"/>
                <w:sz w:val="20"/>
                <w:szCs w:val="20"/>
              </w:rPr>
              <w:t>$</w:t>
            </w:r>
          </w:p>
        </w:tc>
        <w:tc>
          <w:tcPr>
            <w:tcW w:w="350" w:type="pct"/>
            <w:shd w:val="clear" w:color="auto" w:fill="FFFFFF"/>
            <w:vAlign w:val="bottom"/>
            <w:hideMark/>
          </w:tcPr>
          <w:p w14:paraId="20C4B4ED" w14:textId="77777777" w:rsidR="00000000" w:rsidRDefault="0053651E">
            <w:pPr>
              <w:jc w:val="right"/>
              <w:rPr>
                <w:rFonts w:eastAsia="Times New Roman"/>
                <w:sz w:val="20"/>
                <w:szCs w:val="20"/>
              </w:rPr>
            </w:pPr>
            <w:r>
              <w:rPr>
                <w:rFonts w:eastAsia="Times New Roman"/>
                <w:sz w:val="20"/>
                <w:szCs w:val="20"/>
              </w:rPr>
              <w:t>199.9</w:t>
            </w:r>
          </w:p>
        </w:tc>
        <w:tc>
          <w:tcPr>
            <w:tcW w:w="50" w:type="pct"/>
            <w:shd w:val="clear" w:color="auto" w:fill="FFFFFF"/>
            <w:vAlign w:val="bottom"/>
            <w:hideMark/>
          </w:tcPr>
          <w:p w14:paraId="355D9D4C" w14:textId="77777777" w:rsidR="00000000" w:rsidRDefault="0053651E">
            <w:pPr>
              <w:rPr>
                <w:rFonts w:eastAsia="Times New Roman"/>
                <w:sz w:val="20"/>
                <w:szCs w:val="20"/>
              </w:rPr>
            </w:pPr>
            <w:r>
              <w:rPr>
                <w:rFonts w:eastAsia="Times New Roman"/>
                <w:sz w:val="20"/>
                <w:szCs w:val="20"/>
              </w:rPr>
              <w:t> </w:t>
            </w:r>
          </w:p>
        </w:tc>
      </w:tr>
      <w:tr w:rsidR="0053651E" w14:paraId="055002C3" w14:textId="77777777">
        <w:trPr>
          <w:tblCellSpacing w:w="0" w:type="dxa"/>
        </w:trPr>
        <w:tc>
          <w:tcPr>
            <w:tcW w:w="0" w:type="auto"/>
            <w:shd w:val="clear" w:color="auto" w:fill="CCEEFF"/>
            <w:vAlign w:val="bottom"/>
            <w:hideMark/>
          </w:tcPr>
          <w:p w14:paraId="322FBDC7" w14:textId="77777777" w:rsidR="00000000" w:rsidRDefault="0053651E">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6C9052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ABD032"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55EF31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6A0AC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188A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053AC"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16B112" w14:textId="77777777" w:rsidR="00000000" w:rsidRDefault="0053651E">
            <w:pPr>
              <w:jc w:val="right"/>
              <w:rPr>
                <w:rFonts w:eastAsia="Times New Roman"/>
                <w:sz w:val="20"/>
                <w:szCs w:val="20"/>
              </w:rPr>
            </w:pPr>
            <w:r>
              <w:rPr>
                <w:rFonts w:eastAsia="Times New Roman"/>
                <w:sz w:val="20"/>
                <w:szCs w:val="20"/>
              </w:rPr>
              <w:t>2.64</w:t>
            </w:r>
          </w:p>
        </w:tc>
        <w:tc>
          <w:tcPr>
            <w:tcW w:w="50" w:type="pct"/>
            <w:shd w:val="clear" w:color="auto" w:fill="CCEEFF"/>
            <w:vAlign w:val="bottom"/>
            <w:hideMark/>
          </w:tcPr>
          <w:p w14:paraId="0893D33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A1B86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F12825"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A9E101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CDBE8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7E94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15D924"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B37ED7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9E52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CB7D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9C5F0B"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9F6F42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20136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9EB2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2C121C"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7BFB4F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08DED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D761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B3E567"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4746F9D" w14:textId="77777777" w:rsidR="00000000" w:rsidRDefault="0053651E">
            <w:pPr>
              <w:jc w:val="right"/>
              <w:rPr>
                <w:rFonts w:eastAsia="Times New Roman"/>
                <w:sz w:val="20"/>
                <w:szCs w:val="20"/>
              </w:rPr>
            </w:pPr>
            <w:r>
              <w:rPr>
                <w:rFonts w:eastAsia="Times New Roman"/>
                <w:sz w:val="20"/>
                <w:szCs w:val="20"/>
              </w:rPr>
              <w:t>2.64</w:t>
            </w:r>
          </w:p>
        </w:tc>
        <w:tc>
          <w:tcPr>
            <w:tcW w:w="50" w:type="pct"/>
            <w:shd w:val="clear" w:color="auto" w:fill="CCEEFF"/>
            <w:vAlign w:val="bottom"/>
            <w:hideMark/>
          </w:tcPr>
          <w:p w14:paraId="31EADA04"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bottom"/>
            <w:hideMark/>
          </w:tcPr>
          <w:p w14:paraId="19BA883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08B21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5362E" w14:textId="77777777" w:rsidR="00000000" w:rsidRDefault="0053651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91C7F64" w14:textId="77777777" w:rsidR="00000000" w:rsidRDefault="0053651E">
            <w:pPr>
              <w:rPr>
                <w:rFonts w:eastAsia="Times New Roman"/>
                <w:sz w:val="20"/>
                <w:szCs w:val="20"/>
              </w:rPr>
            </w:pPr>
            <w:r>
              <w:rPr>
                <w:rFonts w:eastAsia="Times New Roman"/>
                <w:sz w:val="20"/>
                <w:szCs w:val="20"/>
              </w:rPr>
              <w:t> </w:t>
            </w:r>
          </w:p>
        </w:tc>
      </w:tr>
    </w:tbl>
    <w:p w14:paraId="6986A7BD" w14:textId="77777777" w:rsidR="00000000" w:rsidRDefault="0053651E">
      <w:pPr>
        <w:pStyle w:val="a3"/>
        <w:spacing w:before="0" w:beforeAutospacing="0" w:after="0" w:afterAutospacing="0"/>
        <w:ind w:firstLine="360"/>
        <w:rPr>
          <w:sz w:val="20"/>
          <w:szCs w:val="20"/>
        </w:rPr>
      </w:pPr>
      <w:r>
        <w:rPr>
          <w:sz w:val="20"/>
          <w:szCs w:val="20"/>
        </w:rPr>
        <w:t> </w:t>
      </w:r>
    </w:p>
    <w:p w14:paraId="6DDDE0A3" w14:textId="77777777" w:rsidR="00000000" w:rsidRDefault="0053651E">
      <w:pPr>
        <w:pStyle w:val="a3"/>
        <w:spacing w:before="0" w:beforeAutospacing="0" w:after="0" w:afterAutospacing="0"/>
        <w:ind w:firstLine="360"/>
        <w:jc w:val="both"/>
        <w:rPr>
          <w:sz w:val="20"/>
          <w:szCs w:val="20"/>
        </w:rPr>
      </w:pPr>
      <w:r>
        <w:rPr>
          <w:sz w:val="20"/>
          <w:szCs w:val="20"/>
        </w:rPr>
        <w:t>Based on the Company’</w:t>
      </w:r>
      <w:r>
        <w:rPr>
          <w:sz w:val="20"/>
          <w:szCs w:val="20"/>
        </w:rPr>
        <w:t>s variable-rate debt balances, interest expense would have increased by $2.6 million for the year ended December 31, 2019, if short-term interest rates were 1.0% higher. The Company has not, and does not plan to, enter into any derivative financial instrum</w:t>
      </w:r>
      <w:r>
        <w:rPr>
          <w:sz w:val="20"/>
          <w:szCs w:val="20"/>
        </w:rPr>
        <w:t>ents for trading or speculative purposes.</w:t>
      </w:r>
    </w:p>
    <w:p w14:paraId="73FFCB64" w14:textId="77777777" w:rsidR="00000000" w:rsidRDefault="0053651E">
      <w:pPr>
        <w:pStyle w:val="a3"/>
        <w:spacing w:before="0" w:beforeAutospacing="0" w:after="0" w:afterAutospacing="0"/>
        <w:ind w:firstLine="360"/>
        <w:jc w:val="both"/>
        <w:rPr>
          <w:sz w:val="20"/>
          <w:szCs w:val="20"/>
        </w:rPr>
      </w:pPr>
      <w:r>
        <w:rPr>
          <w:sz w:val="20"/>
          <w:szCs w:val="20"/>
        </w:rPr>
        <w:t> </w:t>
      </w:r>
    </w:p>
    <w:p w14:paraId="372AB709" w14:textId="77777777" w:rsidR="00000000" w:rsidRDefault="0053651E">
      <w:pPr>
        <w:pStyle w:val="a3"/>
        <w:spacing w:before="0" w:beforeAutospacing="0" w:after="0" w:afterAutospacing="0"/>
        <w:rPr>
          <w:sz w:val="20"/>
          <w:szCs w:val="20"/>
        </w:rPr>
      </w:pPr>
      <w:r>
        <w:rPr>
          <w:sz w:val="20"/>
          <w:szCs w:val="20"/>
          <w:u w:val="single"/>
        </w:rPr>
        <w:t>Item 8. Financial Statements and Supplementary Data</w:t>
      </w:r>
    </w:p>
    <w:p w14:paraId="7CBCA9E9" w14:textId="77777777" w:rsidR="00000000" w:rsidRDefault="0053651E">
      <w:pPr>
        <w:pStyle w:val="a3"/>
        <w:spacing w:before="0" w:beforeAutospacing="0" w:after="0" w:afterAutospacing="0"/>
        <w:ind w:firstLine="360"/>
        <w:jc w:val="both"/>
        <w:rPr>
          <w:sz w:val="20"/>
          <w:szCs w:val="20"/>
        </w:rPr>
      </w:pPr>
      <w:r>
        <w:rPr>
          <w:sz w:val="20"/>
          <w:szCs w:val="20"/>
        </w:rPr>
        <w:t> </w:t>
      </w:r>
    </w:p>
    <w:p w14:paraId="6CCF4115" w14:textId="77777777" w:rsidR="00000000" w:rsidRDefault="0053651E">
      <w:pPr>
        <w:pStyle w:val="a3"/>
        <w:spacing w:before="0" w:beforeAutospacing="0" w:after="0" w:afterAutospacing="0"/>
        <w:ind w:firstLine="360"/>
        <w:jc w:val="both"/>
        <w:rPr>
          <w:sz w:val="20"/>
          <w:szCs w:val="20"/>
        </w:rPr>
      </w:pPr>
      <w:r>
        <w:rPr>
          <w:sz w:val="20"/>
          <w:szCs w:val="20"/>
        </w:rPr>
        <w:t>The response to this Item 8 is included in our audited Consolida</w:t>
      </w:r>
      <w:r>
        <w:rPr>
          <w:sz w:val="20"/>
          <w:szCs w:val="20"/>
        </w:rPr>
        <w:t>ted Financial Statements and Notes to Consolidated Financial Statements, which are contained in Part IV, Item 15 of this Form 10-K.</w:t>
      </w:r>
    </w:p>
    <w:p w14:paraId="6600C321" w14:textId="77777777" w:rsidR="00000000" w:rsidRDefault="0053651E">
      <w:pPr>
        <w:pStyle w:val="a3"/>
        <w:spacing w:before="0" w:beforeAutospacing="0" w:after="0" w:afterAutospacing="0"/>
        <w:ind w:firstLine="360"/>
        <w:jc w:val="both"/>
        <w:rPr>
          <w:sz w:val="20"/>
          <w:szCs w:val="20"/>
        </w:rPr>
      </w:pPr>
      <w:r>
        <w:rPr>
          <w:sz w:val="20"/>
          <w:szCs w:val="20"/>
        </w:rPr>
        <w:t> </w:t>
      </w:r>
    </w:p>
    <w:p w14:paraId="464AB69C" w14:textId="77777777" w:rsidR="00000000" w:rsidRDefault="0053651E">
      <w:pPr>
        <w:pStyle w:val="a3"/>
        <w:spacing w:before="0" w:beforeAutospacing="0" w:after="0" w:afterAutospacing="0"/>
        <w:jc w:val="both"/>
        <w:rPr>
          <w:sz w:val="20"/>
          <w:szCs w:val="20"/>
        </w:rPr>
      </w:pPr>
      <w:r>
        <w:rPr>
          <w:sz w:val="20"/>
          <w:szCs w:val="20"/>
          <w:u w:val="single"/>
        </w:rPr>
        <w:t>Item 9. Changes in and Disagreements With Accountants on Accounting and Financial Disclosure</w:t>
      </w:r>
    </w:p>
    <w:p w14:paraId="3B4C4E8C" w14:textId="77777777" w:rsidR="00000000" w:rsidRDefault="0053651E">
      <w:pPr>
        <w:pStyle w:val="a3"/>
        <w:spacing w:before="0" w:beforeAutospacing="0" w:after="0" w:afterAutospacing="0"/>
        <w:ind w:firstLine="360"/>
        <w:jc w:val="both"/>
        <w:rPr>
          <w:sz w:val="20"/>
          <w:szCs w:val="20"/>
        </w:rPr>
      </w:pPr>
      <w:r>
        <w:rPr>
          <w:sz w:val="20"/>
          <w:szCs w:val="20"/>
        </w:rPr>
        <w:t> </w:t>
      </w:r>
    </w:p>
    <w:p w14:paraId="796E1C75" w14:textId="77777777" w:rsidR="00000000" w:rsidRDefault="0053651E">
      <w:pPr>
        <w:pStyle w:val="a3"/>
        <w:spacing w:before="0" w:beforeAutospacing="0" w:after="0" w:afterAutospacing="0"/>
        <w:ind w:firstLine="360"/>
        <w:jc w:val="both"/>
        <w:rPr>
          <w:sz w:val="20"/>
          <w:szCs w:val="20"/>
        </w:rPr>
      </w:pPr>
      <w:r>
        <w:rPr>
          <w:sz w:val="20"/>
          <w:szCs w:val="20"/>
        </w:rPr>
        <w:t>None.</w:t>
      </w:r>
    </w:p>
    <w:p w14:paraId="1046BF46" w14:textId="77777777" w:rsidR="00000000" w:rsidRDefault="0053651E">
      <w:pPr>
        <w:pStyle w:val="a3"/>
        <w:spacing w:before="0" w:beforeAutospacing="0" w:after="0" w:afterAutospacing="0"/>
        <w:ind w:firstLine="360"/>
        <w:jc w:val="both"/>
        <w:rPr>
          <w:sz w:val="20"/>
          <w:szCs w:val="20"/>
        </w:rPr>
      </w:pPr>
      <w:r>
        <w:rPr>
          <w:sz w:val="20"/>
          <w:szCs w:val="20"/>
        </w:rPr>
        <w:t> </w:t>
      </w:r>
    </w:p>
    <w:p w14:paraId="0524A332" w14:textId="77777777" w:rsidR="00000000" w:rsidRDefault="0053651E">
      <w:pPr>
        <w:jc w:val="center"/>
        <w:divId w:val="1791701726"/>
        <w:rPr>
          <w:rFonts w:eastAsia="Times New Roman"/>
          <w:sz w:val="20"/>
          <w:szCs w:val="20"/>
        </w:rPr>
      </w:pPr>
      <w:r>
        <w:rPr>
          <w:rFonts w:eastAsia="Times New Roman"/>
          <w:sz w:val="20"/>
          <w:szCs w:val="20"/>
        </w:rPr>
        <w:t>36</w:t>
      </w:r>
      <w:r>
        <w:rPr>
          <w:rFonts w:eastAsia="Times New Roman"/>
          <w:sz w:val="20"/>
          <w:szCs w:val="20"/>
        </w:rPr>
        <w:t xml:space="preserve"> </w:t>
      </w:r>
    </w:p>
    <w:p w14:paraId="69956292" w14:textId="77777777" w:rsidR="00000000" w:rsidRDefault="0053651E">
      <w:pPr>
        <w:divId w:val="1791701726"/>
        <w:rPr>
          <w:rFonts w:eastAsia="Times New Roman"/>
          <w:sz w:val="20"/>
          <w:szCs w:val="20"/>
        </w:rPr>
      </w:pPr>
      <w:r>
        <w:rPr>
          <w:rFonts w:eastAsia="Times New Roman"/>
          <w:sz w:val="20"/>
          <w:szCs w:val="20"/>
        </w:rPr>
        <w:pict w14:anchorId="7054468B">
          <v:rect id="_x0000_i1067" style="width:0;height:1.5pt" o:hralign="center" o:hrstd="t" o:hr="t" fillcolor="#a0a0a0" stroked="f"/>
        </w:pict>
      </w:r>
    </w:p>
    <w:p w14:paraId="22F357BA" w14:textId="77777777" w:rsidR="00000000" w:rsidRDefault="0053651E">
      <w:pPr>
        <w:divId w:val="17917017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C79487E" w14:textId="77777777" w:rsidR="00000000" w:rsidRDefault="0053651E">
      <w:pPr>
        <w:pStyle w:val="a3"/>
        <w:spacing w:before="0" w:beforeAutospacing="0" w:after="0" w:afterAutospacing="0"/>
        <w:rPr>
          <w:sz w:val="20"/>
          <w:szCs w:val="20"/>
        </w:rPr>
      </w:pPr>
      <w:r>
        <w:rPr>
          <w:sz w:val="20"/>
          <w:szCs w:val="20"/>
        </w:rPr>
        <w:t> </w:t>
      </w:r>
    </w:p>
    <w:p w14:paraId="03DF0662" w14:textId="77777777" w:rsidR="00000000" w:rsidRDefault="0053651E">
      <w:pPr>
        <w:pStyle w:val="a3"/>
        <w:spacing w:before="0" w:beforeAutospacing="0" w:after="0" w:afterAutospacing="0"/>
        <w:rPr>
          <w:sz w:val="20"/>
          <w:szCs w:val="20"/>
        </w:rPr>
      </w:pPr>
      <w:r>
        <w:rPr>
          <w:sz w:val="20"/>
          <w:szCs w:val="20"/>
          <w:u w:val="single"/>
        </w:rPr>
        <w:t>Item 9A. Controls and Procedures</w:t>
      </w:r>
    </w:p>
    <w:p w14:paraId="1E0493C7"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30A5F948" w14:textId="77777777" w:rsidR="00000000" w:rsidRDefault="0053651E">
      <w:pPr>
        <w:pStyle w:val="a3"/>
        <w:spacing w:before="0" w:beforeAutospacing="0" w:after="0" w:afterAutospacing="0"/>
        <w:ind w:right="720" w:firstLine="360"/>
        <w:jc w:val="both"/>
        <w:rPr>
          <w:sz w:val="20"/>
          <w:szCs w:val="20"/>
        </w:rPr>
      </w:pPr>
      <w:r>
        <w:rPr>
          <w:i/>
          <w:iCs/>
          <w:sz w:val="20"/>
          <w:szCs w:val="20"/>
        </w:rPr>
        <w:t>Evaluation of Disclosure Controls and Procedures</w:t>
      </w:r>
    </w:p>
    <w:p w14:paraId="6A591DA3" w14:textId="77777777" w:rsidR="00000000" w:rsidRDefault="0053651E">
      <w:pPr>
        <w:pStyle w:val="a3"/>
        <w:spacing w:before="0" w:beforeAutospacing="0" w:after="0" w:afterAutospacing="0"/>
        <w:ind w:firstLine="360"/>
        <w:jc w:val="both"/>
        <w:rPr>
          <w:sz w:val="20"/>
          <w:szCs w:val="20"/>
        </w:rPr>
      </w:pPr>
      <w:r>
        <w:rPr>
          <w:sz w:val="20"/>
          <w:szCs w:val="20"/>
        </w:rPr>
        <w:t> </w:t>
      </w:r>
    </w:p>
    <w:p w14:paraId="77D2F84A" w14:textId="77777777" w:rsidR="00000000" w:rsidRDefault="0053651E">
      <w:pPr>
        <w:pStyle w:val="a3"/>
        <w:spacing w:before="0" w:beforeAutospacing="0" w:after="0" w:afterAutospacing="0"/>
        <w:ind w:firstLine="360"/>
        <w:jc w:val="both"/>
        <w:rPr>
          <w:sz w:val="20"/>
          <w:szCs w:val="20"/>
        </w:rPr>
      </w:pPr>
      <w:r>
        <w:rPr>
          <w:sz w:val="20"/>
          <w:szCs w:val="20"/>
        </w:rPr>
        <w:t>The Company’s management, with the participation of the Company’s Ch</w:t>
      </w:r>
      <w:r>
        <w:rPr>
          <w:sz w:val="20"/>
          <w:szCs w:val="20"/>
        </w:rPr>
        <w:t>ief Executive Officer and Chief Financial Officer, has evaluated the effectiveness of the Company’s disclosure controls and procedures (as such term is defined in Rules 13a-15(e) and 15d-15(e) under the Securities Exchange Act of 1934, as amended (the "Exc</w:t>
      </w:r>
      <w:r>
        <w:rPr>
          <w:sz w:val="20"/>
          <w:szCs w:val="20"/>
        </w:rPr>
        <w:t>hange Act")) as of the end of the period covered by this report. Based on such evaluation, the Company’s Chief Executive Officer and Chief Financial Officer have concluded that the Company’s disclosure controls and procedures are effective as of December 3</w:t>
      </w:r>
      <w:r>
        <w:rPr>
          <w:sz w:val="20"/>
          <w:szCs w:val="20"/>
        </w:rPr>
        <w:t>1, 2019.</w:t>
      </w:r>
    </w:p>
    <w:p w14:paraId="738C154F" w14:textId="77777777" w:rsidR="00000000" w:rsidRDefault="0053651E">
      <w:pPr>
        <w:pStyle w:val="a3"/>
        <w:spacing w:before="0" w:beforeAutospacing="0" w:after="0" w:afterAutospacing="0"/>
        <w:ind w:firstLine="360"/>
        <w:jc w:val="both"/>
        <w:rPr>
          <w:sz w:val="20"/>
          <w:szCs w:val="20"/>
        </w:rPr>
      </w:pPr>
      <w:r>
        <w:rPr>
          <w:sz w:val="20"/>
          <w:szCs w:val="20"/>
        </w:rPr>
        <w:t> </w:t>
      </w:r>
    </w:p>
    <w:p w14:paraId="601A5D3A" w14:textId="77777777" w:rsidR="00000000" w:rsidRDefault="0053651E">
      <w:pPr>
        <w:pStyle w:val="a3"/>
        <w:spacing w:before="0" w:beforeAutospacing="0" w:after="0" w:afterAutospacing="0"/>
        <w:ind w:firstLine="360"/>
        <w:jc w:val="both"/>
        <w:rPr>
          <w:sz w:val="20"/>
          <w:szCs w:val="20"/>
        </w:rPr>
      </w:pPr>
      <w:r>
        <w:rPr>
          <w:i/>
          <w:iCs/>
          <w:sz w:val="20"/>
          <w:szCs w:val="20"/>
        </w:rPr>
        <w:t>Changes in Internal Control Over Financial Reporting</w:t>
      </w:r>
    </w:p>
    <w:p w14:paraId="6E7758B4" w14:textId="77777777" w:rsidR="00000000" w:rsidRDefault="0053651E">
      <w:pPr>
        <w:pStyle w:val="a3"/>
        <w:spacing w:before="0" w:beforeAutospacing="0" w:after="0" w:afterAutospacing="0"/>
        <w:ind w:firstLine="360"/>
        <w:jc w:val="both"/>
        <w:rPr>
          <w:sz w:val="20"/>
          <w:szCs w:val="20"/>
        </w:rPr>
      </w:pPr>
      <w:r>
        <w:rPr>
          <w:sz w:val="20"/>
          <w:szCs w:val="20"/>
        </w:rPr>
        <w:t> </w:t>
      </w:r>
    </w:p>
    <w:p w14:paraId="7392DB09" w14:textId="77777777" w:rsidR="00000000" w:rsidRDefault="0053651E">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(as such term is defined in Rules 13a-15(f) and 15d-15(f) under the Exchange Act) during the fourth</w:t>
      </w:r>
      <w:r>
        <w:rPr>
          <w:sz w:val="20"/>
          <w:szCs w:val="20"/>
        </w:rPr>
        <w:t xml:space="preserve"> fiscal quarter ended December 31, 2019, that have materially affected, or are reasonably likely to materially affect, the Company’s internal control over financial reporting.</w:t>
      </w:r>
    </w:p>
    <w:p w14:paraId="63E9ECF7" w14:textId="77777777" w:rsidR="00000000" w:rsidRDefault="0053651E">
      <w:pPr>
        <w:pStyle w:val="a3"/>
        <w:spacing w:before="0" w:beforeAutospacing="0" w:after="0" w:afterAutospacing="0"/>
        <w:ind w:firstLine="360"/>
        <w:jc w:val="both"/>
        <w:rPr>
          <w:sz w:val="20"/>
          <w:szCs w:val="20"/>
        </w:rPr>
      </w:pPr>
      <w:r>
        <w:rPr>
          <w:sz w:val="20"/>
          <w:szCs w:val="20"/>
        </w:rPr>
        <w:t> </w:t>
      </w:r>
    </w:p>
    <w:p w14:paraId="2034B3F2" w14:textId="77777777" w:rsidR="00000000" w:rsidRDefault="0053651E">
      <w:pPr>
        <w:pStyle w:val="a3"/>
        <w:spacing w:before="0" w:beforeAutospacing="0" w:after="0" w:afterAutospacing="0"/>
        <w:ind w:firstLine="360"/>
        <w:jc w:val="both"/>
        <w:rPr>
          <w:sz w:val="20"/>
          <w:szCs w:val="20"/>
        </w:rPr>
      </w:pPr>
      <w:r>
        <w:rPr>
          <w:i/>
          <w:iCs/>
          <w:sz w:val="20"/>
          <w:szCs w:val="20"/>
        </w:rPr>
        <w:t>Management’</w:t>
      </w:r>
      <w:r>
        <w:rPr>
          <w:i/>
          <w:iCs/>
          <w:sz w:val="20"/>
          <w:szCs w:val="20"/>
        </w:rPr>
        <w:t xml:space="preserve">s Report on Internal Control Over Financial Reporting </w:t>
      </w:r>
    </w:p>
    <w:p w14:paraId="20E81A31" w14:textId="77777777" w:rsidR="00000000" w:rsidRDefault="0053651E">
      <w:pPr>
        <w:pStyle w:val="a3"/>
        <w:spacing w:before="0" w:beforeAutospacing="0" w:after="0" w:afterAutospacing="0"/>
        <w:ind w:firstLine="360"/>
        <w:jc w:val="both"/>
        <w:rPr>
          <w:sz w:val="20"/>
          <w:szCs w:val="20"/>
        </w:rPr>
      </w:pPr>
      <w:r>
        <w:rPr>
          <w:sz w:val="20"/>
          <w:szCs w:val="20"/>
        </w:rPr>
        <w:t> </w:t>
      </w:r>
    </w:p>
    <w:p w14:paraId="03418406" w14:textId="77777777" w:rsidR="00000000" w:rsidRDefault="0053651E">
      <w:pPr>
        <w:pStyle w:val="a3"/>
        <w:spacing w:before="0" w:beforeAutospacing="0" w:after="0" w:afterAutospacing="0"/>
        <w:ind w:firstLine="360"/>
        <w:jc w:val="both"/>
        <w:rPr>
          <w:sz w:val="20"/>
          <w:szCs w:val="20"/>
        </w:rPr>
      </w:pPr>
      <w:r>
        <w:rPr>
          <w:sz w:val="20"/>
          <w:szCs w:val="20"/>
        </w:rPr>
        <w:t>Our management is responsible for establishing and maintaining adequate internal control over financial reporting, as such term is defined in Exchange Act Rule 13a-15(f) and 15d-15(f). Under the supe</w:t>
      </w:r>
      <w:r>
        <w:rPr>
          <w:sz w:val="20"/>
          <w:szCs w:val="20"/>
        </w:rPr>
        <w:t xml:space="preserve">rvision and with the participation of our management, including our Chief Executive Officer and Chief Financial Officer, we conducted an evaluation of the effectiveness of our internal control over financial reporting based on the framework in the </w:t>
      </w:r>
      <w:r>
        <w:rPr>
          <w:i/>
          <w:iCs/>
          <w:sz w:val="20"/>
          <w:szCs w:val="20"/>
        </w:rPr>
        <w:t>Internal</w:t>
      </w:r>
      <w:r>
        <w:rPr>
          <w:i/>
          <w:iCs/>
          <w:sz w:val="20"/>
          <w:szCs w:val="20"/>
        </w:rPr>
        <w:t xml:space="preserve"> Control - Integrated Framework</w:t>
      </w:r>
      <w:r>
        <w:rPr>
          <w:sz w:val="20"/>
          <w:szCs w:val="20"/>
        </w:rPr>
        <w:t xml:space="preserve"> (</w:t>
      </w:r>
      <w:r>
        <w:rPr>
          <w:i/>
          <w:iCs/>
          <w:sz w:val="20"/>
          <w:szCs w:val="20"/>
        </w:rPr>
        <w:t xml:space="preserve">2013) </w:t>
      </w:r>
      <w:r>
        <w:rPr>
          <w:sz w:val="20"/>
          <w:szCs w:val="20"/>
        </w:rPr>
        <w:t xml:space="preserve">issued by the Committee of Sponsoring Organizations of the Treadway Commission. Based on our evaluation under the framework in </w:t>
      </w:r>
      <w:r>
        <w:rPr>
          <w:i/>
          <w:iCs/>
          <w:sz w:val="20"/>
          <w:szCs w:val="20"/>
        </w:rPr>
        <w:t>Internal Control - Integrated Framework (2013)</w:t>
      </w:r>
      <w:r>
        <w:rPr>
          <w:sz w:val="20"/>
          <w:szCs w:val="20"/>
        </w:rPr>
        <w:t>, our management concluded that our internal</w:t>
      </w:r>
      <w:r>
        <w:rPr>
          <w:sz w:val="20"/>
          <w:szCs w:val="20"/>
        </w:rPr>
        <w:t xml:space="preserve"> control over financial reporting was effective as of December 31, 2019.</w:t>
      </w:r>
    </w:p>
    <w:p w14:paraId="037292D4" w14:textId="77777777" w:rsidR="00000000" w:rsidRDefault="0053651E">
      <w:pPr>
        <w:pStyle w:val="a3"/>
        <w:spacing w:before="0" w:beforeAutospacing="0" w:after="0" w:afterAutospacing="0"/>
        <w:ind w:firstLine="360"/>
        <w:jc w:val="both"/>
        <w:rPr>
          <w:sz w:val="20"/>
          <w:szCs w:val="20"/>
        </w:rPr>
      </w:pPr>
      <w:r>
        <w:rPr>
          <w:sz w:val="20"/>
          <w:szCs w:val="20"/>
        </w:rPr>
        <w:t> </w:t>
      </w:r>
    </w:p>
    <w:p w14:paraId="5D778EC8" w14:textId="77777777" w:rsidR="00000000" w:rsidRDefault="0053651E">
      <w:pPr>
        <w:pStyle w:val="a3"/>
        <w:spacing w:before="0" w:beforeAutospacing="0" w:after="0" w:afterAutospacing="0"/>
        <w:ind w:firstLine="360"/>
        <w:jc w:val="both"/>
        <w:rPr>
          <w:sz w:val="20"/>
          <w:szCs w:val="20"/>
        </w:rPr>
      </w:pPr>
      <w:r>
        <w:rPr>
          <w:sz w:val="20"/>
          <w:szCs w:val="20"/>
        </w:rPr>
        <w:t>The effectiveness of our internal control over financial reporting as of December 31, 2019, has been audited by PricewaterhouseCoopers LLP, an independent registered public accounti</w:t>
      </w:r>
      <w:r>
        <w:rPr>
          <w:sz w:val="20"/>
          <w:szCs w:val="20"/>
        </w:rPr>
        <w:t>ng firm, as stated in their report which appears under Item 8.</w:t>
      </w:r>
    </w:p>
    <w:p w14:paraId="4EAD6F3B" w14:textId="77777777" w:rsidR="00000000" w:rsidRDefault="0053651E">
      <w:pPr>
        <w:pStyle w:val="a3"/>
        <w:spacing w:before="0" w:beforeAutospacing="0" w:after="0" w:afterAutospacing="0"/>
        <w:ind w:firstLine="360"/>
        <w:jc w:val="both"/>
        <w:rPr>
          <w:sz w:val="20"/>
          <w:szCs w:val="20"/>
        </w:rPr>
      </w:pPr>
      <w:r>
        <w:rPr>
          <w:sz w:val="20"/>
          <w:szCs w:val="20"/>
        </w:rPr>
        <w:t> </w:t>
      </w:r>
    </w:p>
    <w:p w14:paraId="6E90FA28" w14:textId="77777777" w:rsidR="00000000" w:rsidRDefault="0053651E">
      <w:pPr>
        <w:pStyle w:val="a3"/>
        <w:spacing w:before="0" w:beforeAutospacing="0" w:after="0" w:afterAutospacing="0"/>
        <w:rPr>
          <w:sz w:val="20"/>
          <w:szCs w:val="20"/>
        </w:rPr>
      </w:pPr>
      <w:r>
        <w:rPr>
          <w:sz w:val="20"/>
          <w:szCs w:val="20"/>
          <w:u w:val="single"/>
        </w:rPr>
        <w:t>Item 9B. Other Information</w:t>
      </w:r>
    </w:p>
    <w:p w14:paraId="4AD9B48F" w14:textId="77777777" w:rsidR="00000000" w:rsidRDefault="0053651E">
      <w:pPr>
        <w:pStyle w:val="a3"/>
        <w:spacing w:before="0" w:beforeAutospacing="0" w:after="0" w:afterAutospacing="0"/>
        <w:ind w:firstLine="360"/>
        <w:rPr>
          <w:sz w:val="20"/>
          <w:szCs w:val="20"/>
        </w:rPr>
      </w:pPr>
      <w:r>
        <w:rPr>
          <w:sz w:val="20"/>
          <w:szCs w:val="20"/>
        </w:rPr>
        <w:t> </w:t>
      </w:r>
    </w:p>
    <w:p w14:paraId="1CF0BEAC" w14:textId="77777777" w:rsidR="00000000" w:rsidRDefault="0053651E">
      <w:pPr>
        <w:pStyle w:val="a3"/>
        <w:spacing w:before="0" w:beforeAutospacing="0" w:after="0" w:afterAutospacing="0"/>
        <w:ind w:firstLine="360"/>
        <w:jc w:val="both"/>
        <w:rPr>
          <w:sz w:val="20"/>
          <w:szCs w:val="20"/>
        </w:rPr>
      </w:pPr>
      <w:r>
        <w:rPr>
          <w:sz w:val="20"/>
          <w:szCs w:val="20"/>
        </w:rPr>
        <w:t>None.</w:t>
      </w:r>
    </w:p>
    <w:p w14:paraId="5ACF9577" w14:textId="77777777" w:rsidR="00000000" w:rsidRDefault="0053651E">
      <w:pPr>
        <w:pStyle w:val="a3"/>
        <w:spacing w:before="0" w:beforeAutospacing="0" w:after="0" w:afterAutospacing="0"/>
        <w:jc w:val="center"/>
        <w:rPr>
          <w:sz w:val="20"/>
          <w:szCs w:val="20"/>
        </w:rPr>
      </w:pPr>
      <w:r>
        <w:rPr>
          <w:sz w:val="20"/>
          <w:szCs w:val="20"/>
        </w:rPr>
        <w:t> </w:t>
      </w:r>
    </w:p>
    <w:p w14:paraId="68A5CCEC" w14:textId="77777777" w:rsidR="00000000" w:rsidRDefault="0053651E">
      <w:pPr>
        <w:pStyle w:val="a3"/>
        <w:spacing w:before="0" w:beforeAutospacing="0" w:after="0" w:afterAutospacing="0"/>
        <w:jc w:val="center"/>
        <w:rPr>
          <w:sz w:val="20"/>
          <w:szCs w:val="20"/>
        </w:rPr>
      </w:pPr>
      <w:r>
        <w:rPr>
          <w:sz w:val="20"/>
          <w:szCs w:val="20"/>
        </w:rPr>
        <w:t> </w:t>
      </w:r>
    </w:p>
    <w:p w14:paraId="3BB359A5" w14:textId="77777777" w:rsidR="00000000" w:rsidRDefault="0053651E">
      <w:pPr>
        <w:pStyle w:val="a3"/>
        <w:spacing w:before="0" w:beforeAutospacing="0" w:after="0" w:afterAutospacing="0"/>
        <w:jc w:val="center"/>
        <w:rPr>
          <w:sz w:val="20"/>
          <w:szCs w:val="20"/>
        </w:rPr>
      </w:pPr>
      <w:r>
        <w:rPr>
          <w:sz w:val="20"/>
          <w:szCs w:val="20"/>
          <w:u w:val="single"/>
        </w:rPr>
        <w:t>PART III</w:t>
      </w:r>
    </w:p>
    <w:p w14:paraId="6A82D599" w14:textId="77777777" w:rsidR="00000000" w:rsidRDefault="0053651E">
      <w:pPr>
        <w:pStyle w:val="a3"/>
        <w:spacing w:before="0" w:beforeAutospacing="0" w:after="0" w:afterAutospacing="0"/>
        <w:ind w:right="720" w:firstLine="360"/>
        <w:rPr>
          <w:sz w:val="20"/>
          <w:szCs w:val="20"/>
        </w:rPr>
      </w:pPr>
      <w:r>
        <w:rPr>
          <w:sz w:val="20"/>
          <w:szCs w:val="20"/>
        </w:rPr>
        <w:t> </w:t>
      </w:r>
    </w:p>
    <w:p w14:paraId="38493370" w14:textId="77777777" w:rsidR="00000000" w:rsidRDefault="0053651E">
      <w:pPr>
        <w:pStyle w:val="a3"/>
        <w:spacing w:before="0" w:beforeAutospacing="0" w:after="0" w:afterAutospacing="0"/>
        <w:rPr>
          <w:sz w:val="20"/>
          <w:szCs w:val="20"/>
        </w:rPr>
      </w:pPr>
      <w:r>
        <w:rPr>
          <w:sz w:val="20"/>
          <w:szCs w:val="20"/>
          <w:u w:val="single"/>
        </w:rPr>
        <w:t>Item 10. Directors, Executive Officers and Corporate Governance </w:t>
      </w:r>
    </w:p>
    <w:p w14:paraId="6B4715E5"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211FD39A" w14:textId="77777777" w:rsidR="00000000" w:rsidRDefault="0053651E">
      <w:pPr>
        <w:pStyle w:val="a3"/>
        <w:spacing w:before="0" w:beforeAutospacing="0" w:after="0" w:afterAutospacing="0"/>
        <w:ind w:right="720" w:firstLine="360"/>
        <w:jc w:val="both"/>
        <w:rPr>
          <w:sz w:val="20"/>
          <w:szCs w:val="20"/>
        </w:rPr>
      </w:pPr>
      <w:r>
        <w:rPr>
          <w:sz w:val="20"/>
          <w:szCs w:val="20"/>
        </w:rPr>
        <w:t>The information required by this item is</w:t>
      </w:r>
      <w:r>
        <w:rPr>
          <w:sz w:val="20"/>
          <w:szCs w:val="20"/>
        </w:rPr>
        <w:t xml:space="preserve"> incorporated by reference to “Proposal 1—Election of Directors,” “Corporate Governance,” “Committees of the Board of Directors,” “Executive Officers” and “Other Matters” in our definitive proxy statement to be filed with respect to the Annual Meeting of S</w:t>
      </w:r>
      <w:r>
        <w:rPr>
          <w:sz w:val="20"/>
          <w:szCs w:val="20"/>
        </w:rPr>
        <w:t>tockholders expected to be held on April 28, 2020 (“Proxy Statement”).</w:t>
      </w:r>
    </w:p>
    <w:p w14:paraId="5D057384"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352D6E1D" w14:textId="77777777" w:rsidR="00000000" w:rsidRDefault="0053651E">
      <w:pPr>
        <w:pStyle w:val="a3"/>
        <w:spacing w:before="0" w:beforeAutospacing="0" w:after="0" w:afterAutospacing="0"/>
        <w:ind w:right="720" w:firstLine="360"/>
        <w:jc w:val="both"/>
        <w:rPr>
          <w:sz w:val="20"/>
          <w:szCs w:val="20"/>
        </w:rPr>
      </w:pPr>
      <w:r>
        <w:rPr>
          <w:sz w:val="20"/>
          <w:szCs w:val="20"/>
        </w:rPr>
        <w:t>We have adopted a Code of Business Conduct and Ethics (the “Code of Ethics”). The Code of Ethics is available at the Investors/Governance/Governance Documents section of our website a</w:t>
      </w:r>
      <w:r>
        <w:rPr>
          <w:sz w:val="20"/>
          <w:szCs w:val="20"/>
        </w:rPr>
        <w:t>t www.kimcorealty.com. A copy of the Code of Ethics is available in print, free of charge, to stockholders upon request to us at the address set forth in Item 1 of this Annual Report on Form 10-K under the section “Business - Overview.” We intend to satisf</w:t>
      </w:r>
      <w:r>
        <w:rPr>
          <w:sz w:val="20"/>
          <w:szCs w:val="20"/>
        </w:rPr>
        <w:t>y the disclosure requirements under the Securities and Exchange Act of 1934, as amended, regarding an amendment to or waiver from a provision of our Code of Ethics by posting such information on our website.</w:t>
      </w:r>
    </w:p>
    <w:p w14:paraId="2AE61C3D"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58D6117F" w14:textId="77777777" w:rsidR="00000000" w:rsidRDefault="0053651E">
      <w:pPr>
        <w:pStyle w:val="a3"/>
        <w:spacing w:before="0" w:beforeAutospacing="0" w:after="0" w:afterAutospacing="0"/>
        <w:rPr>
          <w:sz w:val="20"/>
          <w:szCs w:val="20"/>
        </w:rPr>
      </w:pPr>
      <w:r>
        <w:rPr>
          <w:sz w:val="20"/>
          <w:szCs w:val="20"/>
          <w:u w:val="single"/>
        </w:rPr>
        <w:t>Item 11. Executive Compensation</w:t>
      </w:r>
    </w:p>
    <w:p w14:paraId="276A1DF7"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2D0C44A1" w14:textId="77777777" w:rsidR="00000000" w:rsidRDefault="0053651E">
      <w:pPr>
        <w:pStyle w:val="a3"/>
        <w:spacing w:before="0" w:beforeAutospacing="0" w:after="0" w:afterAutospacing="0"/>
        <w:ind w:right="720" w:firstLine="360"/>
        <w:jc w:val="both"/>
        <w:rPr>
          <w:sz w:val="20"/>
          <w:szCs w:val="20"/>
        </w:rPr>
      </w:pPr>
      <w:r>
        <w:rPr>
          <w:sz w:val="20"/>
          <w:szCs w:val="20"/>
        </w:rPr>
        <w:t>The information required by this item is incorporated by reference to “Compensation Discussion and Analysis,” “Executive Compensation Committee Report,” “Compensation Tables,” “Compensation of Directors” and “Other Matters</w:t>
      </w:r>
      <w:r>
        <w:rPr>
          <w:sz w:val="20"/>
          <w:szCs w:val="20"/>
        </w:rPr>
        <w:t>” in our Proxy Statement.</w:t>
      </w:r>
    </w:p>
    <w:p w14:paraId="4AB19B4C"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1A9F7F0A" w14:textId="77777777" w:rsidR="00000000" w:rsidRDefault="0053651E">
      <w:pPr>
        <w:pStyle w:val="a3"/>
        <w:spacing w:before="0" w:beforeAutospacing="0" w:after="0" w:afterAutospacing="0"/>
        <w:rPr>
          <w:sz w:val="20"/>
          <w:szCs w:val="20"/>
        </w:rPr>
      </w:pPr>
      <w:r>
        <w:rPr>
          <w:sz w:val="20"/>
          <w:szCs w:val="20"/>
          <w:u w:val="single"/>
        </w:rPr>
        <w:t>Item 12. Security Ownership of Certain Beneficial Owners and Management and Related Stockholder Matters</w:t>
      </w:r>
    </w:p>
    <w:p w14:paraId="73D96098"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755BAFBC" w14:textId="77777777" w:rsidR="00000000" w:rsidRDefault="0053651E">
      <w:pPr>
        <w:pStyle w:val="a3"/>
        <w:spacing w:before="0" w:beforeAutospacing="0" w:after="0" w:afterAutospacing="0"/>
        <w:ind w:right="720" w:firstLine="360"/>
        <w:jc w:val="both"/>
        <w:rPr>
          <w:sz w:val="20"/>
          <w:szCs w:val="20"/>
        </w:rPr>
      </w:pPr>
      <w:r>
        <w:rPr>
          <w:sz w:val="20"/>
          <w:szCs w:val="20"/>
        </w:rPr>
        <w:t>The information required by this item is incorporated by reference to “Security Ownership of Certain Bene</w:t>
      </w:r>
      <w:r>
        <w:rPr>
          <w:sz w:val="20"/>
          <w:szCs w:val="20"/>
        </w:rPr>
        <w:t>ficial Owners and Management” and “Compensation Tables” in our Proxy Statement.</w:t>
      </w:r>
    </w:p>
    <w:p w14:paraId="5971BDB3"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7B876659" w14:textId="77777777" w:rsidR="00000000" w:rsidRDefault="0053651E">
      <w:pPr>
        <w:pStyle w:val="a3"/>
        <w:spacing w:before="0" w:beforeAutospacing="0" w:after="0" w:afterAutospacing="0"/>
        <w:rPr>
          <w:sz w:val="20"/>
          <w:szCs w:val="20"/>
        </w:rPr>
      </w:pPr>
      <w:r>
        <w:rPr>
          <w:sz w:val="20"/>
          <w:szCs w:val="20"/>
          <w:u w:val="single"/>
        </w:rPr>
        <w:t>Item 13. Certain Relationships and Related Transactions, and Director Independence</w:t>
      </w:r>
    </w:p>
    <w:p w14:paraId="146E5ADF"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68A0DE46" w14:textId="77777777" w:rsidR="00000000" w:rsidRDefault="0053651E">
      <w:pPr>
        <w:pStyle w:val="a3"/>
        <w:spacing w:before="0" w:beforeAutospacing="0" w:after="0" w:afterAutospacing="0"/>
        <w:ind w:right="720" w:firstLine="360"/>
        <w:jc w:val="both"/>
        <w:rPr>
          <w:sz w:val="20"/>
          <w:szCs w:val="20"/>
        </w:rPr>
      </w:pPr>
      <w:r>
        <w:rPr>
          <w:sz w:val="20"/>
          <w:szCs w:val="20"/>
        </w:rPr>
        <w:t>The information required by this item is incorporated by reference to “C</w:t>
      </w:r>
      <w:r>
        <w:rPr>
          <w:sz w:val="20"/>
          <w:szCs w:val="20"/>
        </w:rPr>
        <w:t>ertain Relationships and Related Transactions” and “Corporate Governance” in our Proxy Statement.</w:t>
      </w:r>
    </w:p>
    <w:p w14:paraId="7E7C0548"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76E3A3E6" w14:textId="77777777" w:rsidR="00000000" w:rsidRDefault="0053651E">
      <w:pPr>
        <w:pStyle w:val="a3"/>
        <w:spacing w:before="0" w:beforeAutospacing="0" w:after="0" w:afterAutospacing="0"/>
        <w:rPr>
          <w:sz w:val="20"/>
          <w:szCs w:val="20"/>
        </w:rPr>
      </w:pPr>
      <w:r>
        <w:rPr>
          <w:sz w:val="20"/>
          <w:szCs w:val="20"/>
          <w:u w:val="single"/>
        </w:rPr>
        <w:t>Item 14. Principal Accounting Fees and Services</w:t>
      </w:r>
    </w:p>
    <w:p w14:paraId="16139B6E"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093E7B98" w14:textId="77777777" w:rsidR="00000000" w:rsidRDefault="0053651E">
      <w:pPr>
        <w:pStyle w:val="a3"/>
        <w:spacing w:before="0" w:beforeAutospacing="0" w:after="0" w:afterAutospacing="0"/>
        <w:ind w:right="720" w:firstLine="360"/>
        <w:jc w:val="both"/>
        <w:rPr>
          <w:sz w:val="20"/>
          <w:szCs w:val="20"/>
        </w:rPr>
      </w:pPr>
      <w:r>
        <w:rPr>
          <w:sz w:val="20"/>
          <w:szCs w:val="20"/>
        </w:rPr>
        <w:t>The information required by this item is incorporated by reference to “Independent Regist</w:t>
      </w:r>
      <w:r>
        <w:rPr>
          <w:sz w:val="20"/>
          <w:szCs w:val="20"/>
        </w:rPr>
        <w:t>ered Public Accountants” in our Proxy Statement.</w:t>
      </w:r>
    </w:p>
    <w:p w14:paraId="3D182546" w14:textId="77777777" w:rsidR="00000000" w:rsidRDefault="0053651E">
      <w:pPr>
        <w:pStyle w:val="a3"/>
        <w:spacing w:before="0" w:beforeAutospacing="0" w:after="0" w:afterAutospacing="0"/>
        <w:ind w:right="720" w:firstLine="360"/>
        <w:jc w:val="both"/>
        <w:rPr>
          <w:sz w:val="20"/>
          <w:szCs w:val="20"/>
        </w:rPr>
      </w:pPr>
      <w:r>
        <w:rPr>
          <w:sz w:val="20"/>
          <w:szCs w:val="20"/>
        </w:rPr>
        <w:t> </w:t>
      </w:r>
    </w:p>
    <w:p w14:paraId="625ACAF7" w14:textId="77777777" w:rsidR="00000000" w:rsidRDefault="0053651E">
      <w:pPr>
        <w:jc w:val="center"/>
        <w:divId w:val="279461055"/>
        <w:rPr>
          <w:rFonts w:eastAsia="Times New Roman"/>
          <w:sz w:val="20"/>
          <w:szCs w:val="20"/>
        </w:rPr>
      </w:pPr>
      <w:r>
        <w:rPr>
          <w:rFonts w:eastAsia="Times New Roman"/>
          <w:sz w:val="20"/>
          <w:szCs w:val="20"/>
        </w:rPr>
        <w:t xml:space="preserve">37 </w:t>
      </w:r>
    </w:p>
    <w:p w14:paraId="50294C15" w14:textId="77777777" w:rsidR="00000000" w:rsidRDefault="0053651E">
      <w:pPr>
        <w:divId w:val="279461055"/>
        <w:rPr>
          <w:rFonts w:eastAsia="Times New Roman"/>
          <w:sz w:val="20"/>
          <w:szCs w:val="20"/>
        </w:rPr>
      </w:pPr>
      <w:r>
        <w:rPr>
          <w:rFonts w:eastAsia="Times New Roman"/>
          <w:sz w:val="20"/>
          <w:szCs w:val="20"/>
        </w:rPr>
        <w:pict w14:anchorId="6C232746">
          <v:rect id="_x0000_i1068" style="width:0;height:1.5pt" o:hralign="center" o:hrstd="t" o:hr="t" fillcolor="#a0a0a0" stroked="f"/>
        </w:pict>
      </w:r>
    </w:p>
    <w:p w14:paraId="5B58A01D" w14:textId="77777777" w:rsidR="00000000" w:rsidRDefault="0053651E">
      <w:pPr>
        <w:divId w:val="27946105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203543F" w14:textId="77777777" w:rsidR="00000000" w:rsidRDefault="0053651E">
      <w:pPr>
        <w:pStyle w:val="a3"/>
        <w:spacing w:before="0" w:beforeAutospacing="0" w:after="0" w:afterAutospacing="0"/>
        <w:rPr>
          <w:sz w:val="20"/>
          <w:szCs w:val="20"/>
        </w:rPr>
      </w:pPr>
      <w:r>
        <w:rPr>
          <w:sz w:val="20"/>
          <w:szCs w:val="20"/>
        </w:rPr>
        <w:t> </w:t>
      </w:r>
    </w:p>
    <w:p w14:paraId="04C3DB51" w14:textId="77777777" w:rsidR="00000000" w:rsidRDefault="0053651E">
      <w:pPr>
        <w:pStyle w:val="a3"/>
        <w:spacing w:before="0" w:beforeAutospacing="0" w:after="0" w:afterAutospacing="0"/>
        <w:ind w:right="720" w:firstLine="360"/>
        <w:jc w:val="center"/>
        <w:rPr>
          <w:sz w:val="20"/>
          <w:szCs w:val="20"/>
        </w:rPr>
      </w:pPr>
      <w:r>
        <w:rPr>
          <w:sz w:val="20"/>
          <w:szCs w:val="20"/>
          <w:u w:val="single"/>
        </w:rPr>
        <w:t>PART IV</w:t>
      </w:r>
    </w:p>
    <w:p w14:paraId="68C17197" w14:textId="77777777" w:rsidR="00000000" w:rsidRDefault="0053651E">
      <w:pPr>
        <w:pStyle w:val="a3"/>
        <w:spacing w:before="0" w:beforeAutospacing="0" w:after="0" w:afterAutospacing="0"/>
        <w:ind w:right="720" w:firstLine="360"/>
        <w:jc w:val="center"/>
        <w:rPr>
          <w:sz w:val="20"/>
          <w:szCs w:val="20"/>
        </w:rPr>
      </w:pPr>
      <w:r>
        <w:rPr>
          <w:sz w:val="20"/>
          <w:szCs w:val="20"/>
        </w:rPr>
        <w:t> </w:t>
      </w:r>
    </w:p>
    <w:p w14:paraId="602F8C6A" w14:textId="77777777" w:rsidR="00000000" w:rsidRDefault="0053651E">
      <w:pPr>
        <w:pStyle w:val="a3"/>
        <w:spacing w:before="0" w:beforeAutospacing="0" w:after="0" w:afterAutospacing="0"/>
        <w:rPr>
          <w:sz w:val="20"/>
          <w:szCs w:val="20"/>
        </w:rPr>
      </w:pPr>
      <w:r>
        <w:rPr>
          <w:sz w:val="20"/>
          <w:szCs w:val="20"/>
          <w:u w:val="single"/>
        </w:rPr>
        <w:t>Item 15. Exhibits, Financial Statement Schedules</w:t>
      </w:r>
    </w:p>
    <w:tbl>
      <w:tblPr>
        <w:tblW w:w="4750" w:type="pct"/>
        <w:tblCellSpacing w:w="0" w:type="dxa"/>
        <w:tblInd w:w="180" w:type="dxa"/>
        <w:tblCellMar>
          <w:left w:w="0" w:type="dxa"/>
          <w:right w:w="0" w:type="dxa"/>
        </w:tblCellMar>
        <w:tblLook w:val="04A0" w:firstRow="1" w:lastRow="0" w:firstColumn="1" w:lastColumn="0" w:noHBand="0" w:noVBand="1"/>
      </w:tblPr>
      <w:tblGrid>
        <w:gridCol w:w="710"/>
        <w:gridCol w:w="1184"/>
        <w:gridCol w:w="5208"/>
        <w:gridCol w:w="789"/>
      </w:tblGrid>
      <w:tr w:rsidR="00000000" w14:paraId="678FB543" w14:textId="77777777">
        <w:trPr>
          <w:tblCellSpacing w:w="0" w:type="dxa"/>
        </w:trPr>
        <w:tc>
          <w:tcPr>
            <w:tcW w:w="450" w:type="pct"/>
            <w:hideMark/>
          </w:tcPr>
          <w:p w14:paraId="1B2AA131"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4D7690BE"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589BAEDA" w14:textId="77777777" w:rsidR="00000000" w:rsidRDefault="0053651E">
            <w:pPr>
              <w:rPr>
                <w:rFonts w:eastAsia="Times New Roman"/>
                <w:sz w:val="20"/>
                <w:szCs w:val="20"/>
              </w:rPr>
            </w:pPr>
            <w:r>
              <w:rPr>
                <w:rFonts w:eastAsia="Times New Roman"/>
                <w:sz w:val="20"/>
                <w:szCs w:val="20"/>
              </w:rPr>
              <w:t> </w:t>
            </w:r>
          </w:p>
        </w:tc>
      </w:tr>
      <w:tr w:rsidR="00000000" w14:paraId="6342D03B" w14:textId="77777777">
        <w:trPr>
          <w:tblCellSpacing w:w="0" w:type="dxa"/>
        </w:trPr>
        <w:tc>
          <w:tcPr>
            <w:tcW w:w="450" w:type="pct"/>
            <w:hideMark/>
          </w:tcPr>
          <w:p w14:paraId="0F29C3E7" w14:textId="77777777" w:rsidR="00000000" w:rsidRDefault="0053651E">
            <w:pPr>
              <w:pStyle w:val="a3"/>
              <w:spacing w:before="0" w:beforeAutospacing="0" w:after="0" w:afterAutospacing="0"/>
              <w:jc w:val="right"/>
              <w:rPr>
                <w:sz w:val="20"/>
                <w:szCs w:val="20"/>
              </w:rPr>
            </w:pPr>
            <w:r>
              <w:rPr>
                <w:sz w:val="20"/>
                <w:szCs w:val="20"/>
              </w:rPr>
              <w:t>(a)   1. </w:t>
            </w:r>
          </w:p>
          <w:p w14:paraId="504D325C" w14:textId="77777777" w:rsidR="00000000" w:rsidRDefault="0053651E">
            <w:pPr>
              <w:pStyle w:val="a3"/>
              <w:spacing w:before="0" w:beforeAutospacing="0" w:after="0" w:afterAutospacing="0"/>
              <w:jc w:val="right"/>
              <w:rPr>
                <w:sz w:val="20"/>
                <w:szCs w:val="20"/>
              </w:rPr>
            </w:pPr>
            <w:r>
              <w:rPr>
                <w:sz w:val="20"/>
                <w:szCs w:val="20"/>
              </w:rPr>
              <w:t> </w:t>
            </w:r>
          </w:p>
        </w:tc>
        <w:tc>
          <w:tcPr>
            <w:tcW w:w="750" w:type="pct"/>
            <w:gridSpan w:val="2"/>
            <w:hideMark/>
          </w:tcPr>
          <w:p w14:paraId="3C91CB2A" w14:textId="77777777" w:rsidR="00000000" w:rsidRDefault="0053651E">
            <w:pPr>
              <w:pStyle w:val="a3"/>
              <w:spacing w:before="0" w:beforeAutospacing="0" w:after="0" w:afterAutospacing="0"/>
              <w:rPr>
                <w:sz w:val="20"/>
                <w:szCs w:val="20"/>
              </w:rPr>
            </w:pPr>
            <w:r>
              <w:rPr>
                <w:sz w:val="20"/>
                <w:szCs w:val="20"/>
              </w:rPr>
              <w:t>Financial Statements – </w:t>
            </w:r>
          </w:p>
          <w:p w14:paraId="402BD8A2" w14:textId="77777777" w:rsidR="00000000" w:rsidRDefault="0053651E">
            <w:pPr>
              <w:pStyle w:val="a3"/>
              <w:spacing w:before="0" w:beforeAutospacing="0" w:after="0" w:afterAutospacing="0"/>
              <w:rPr>
                <w:sz w:val="20"/>
                <w:szCs w:val="20"/>
              </w:rPr>
            </w:pPr>
            <w:r>
              <w:rPr>
                <w:sz w:val="20"/>
                <w:szCs w:val="20"/>
              </w:rPr>
              <w:t>The following consolidated financial information is included as a separate section of this annual report on Form 10-K.</w:t>
            </w:r>
          </w:p>
        </w:tc>
        <w:tc>
          <w:tcPr>
            <w:tcW w:w="500" w:type="pct"/>
            <w:tcBorders>
              <w:bottom w:val="single" w:sz="6" w:space="0" w:color="000000"/>
            </w:tcBorders>
            <w:vAlign w:val="bottom"/>
            <w:hideMark/>
          </w:tcPr>
          <w:p w14:paraId="6D22988A" w14:textId="77777777" w:rsidR="00000000" w:rsidRDefault="0053651E">
            <w:pPr>
              <w:pStyle w:val="a3"/>
              <w:spacing w:before="0" w:beforeAutospacing="0" w:after="0" w:afterAutospacing="0"/>
              <w:jc w:val="center"/>
              <w:rPr>
                <w:sz w:val="20"/>
                <w:szCs w:val="20"/>
              </w:rPr>
            </w:pPr>
            <w:r>
              <w:rPr>
                <w:sz w:val="20"/>
                <w:szCs w:val="20"/>
              </w:rPr>
              <w:t>Form 10-K</w:t>
            </w:r>
            <w:r>
              <w:rPr>
                <w:sz w:val="20"/>
                <w:szCs w:val="20"/>
              </w:rPr>
              <w:br/>
              <w:t>Report</w:t>
            </w:r>
            <w:r>
              <w:rPr>
                <w:sz w:val="20"/>
                <w:szCs w:val="20"/>
              </w:rPr>
              <w:br/>
              <w:t>Page</w:t>
            </w:r>
          </w:p>
        </w:tc>
      </w:tr>
      <w:tr w:rsidR="00000000" w14:paraId="7706C70D" w14:textId="77777777">
        <w:trPr>
          <w:tblCellSpacing w:w="0" w:type="dxa"/>
        </w:trPr>
        <w:tc>
          <w:tcPr>
            <w:tcW w:w="450" w:type="pct"/>
            <w:hideMark/>
          </w:tcPr>
          <w:p w14:paraId="153B4911"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E6EDEA7" w14:textId="77777777" w:rsidR="00000000" w:rsidRDefault="0053651E">
            <w:pPr>
              <w:rPr>
                <w:rFonts w:eastAsia="Times New Roman"/>
                <w:sz w:val="20"/>
                <w:szCs w:val="20"/>
              </w:rPr>
            </w:pPr>
            <w:r>
              <w:rPr>
                <w:rFonts w:eastAsia="Times New Roman"/>
                <w:sz w:val="20"/>
                <w:szCs w:val="20"/>
              </w:rPr>
              <w:t> </w:t>
            </w:r>
          </w:p>
        </w:tc>
        <w:tc>
          <w:tcPr>
            <w:tcW w:w="500" w:type="pct"/>
            <w:tcBorders>
              <w:bottom w:val="nil"/>
            </w:tcBorders>
            <w:vAlign w:val="bottom"/>
            <w:hideMark/>
          </w:tcPr>
          <w:p w14:paraId="1E607F77" w14:textId="77777777" w:rsidR="00000000" w:rsidRDefault="0053651E">
            <w:pPr>
              <w:rPr>
                <w:rFonts w:eastAsia="Times New Roman"/>
                <w:sz w:val="20"/>
                <w:szCs w:val="20"/>
              </w:rPr>
            </w:pPr>
            <w:r>
              <w:rPr>
                <w:rFonts w:eastAsia="Times New Roman"/>
                <w:sz w:val="20"/>
                <w:szCs w:val="20"/>
              </w:rPr>
              <w:t> </w:t>
            </w:r>
          </w:p>
        </w:tc>
      </w:tr>
      <w:tr w:rsidR="00000000" w14:paraId="2695CC0B" w14:textId="77777777">
        <w:trPr>
          <w:tblCellSpacing w:w="0" w:type="dxa"/>
        </w:trPr>
        <w:tc>
          <w:tcPr>
            <w:tcW w:w="450" w:type="pct"/>
            <w:hideMark/>
          </w:tcPr>
          <w:p w14:paraId="5A0F4138"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645F928" w14:textId="77777777" w:rsidR="00000000" w:rsidRDefault="0053651E">
            <w:pPr>
              <w:pStyle w:val="a3"/>
              <w:spacing w:before="0" w:beforeAutospacing="0" w:after="0" w:afterAutospacing="0"/>
              <w:rPr>
                <w:sz w:val="20"/>
                <w:szCs w:val="20"/>
              </w:rPr>
            </w:pPr>
            <w:hyperlink w:anchor="actfirmrpt" w:history="1">
              <w:r>
                <w:rPr>
                  <w:rStyle w:val="a4"/>
                  <w:sz w:val="20"/>
                  <w:szCs w:val="20"/>
                </w:rPr>
                <w:t>Report of Independent Registered Public Accounting Firm</w:t>
              </w:r>
            </w:hyperlink>
          </w:p>
        </w:tc>
        <w:tc>
          <w:tcPr>
            <w:tcW w:w="500" w:type="pct"/>
            <w:vAlign w:val="bottom"/>
            <w:hideMark/>
          </w:tcPr>
          <w:p w14:paraId="15743805" w14:textId="77777777" w:rsidR="00000000" w:rsidRDefault="0053651E">
            <w:pPr>
              <w:pStyle w:val="a3"/>
              <w:spacing w:before="0" w:beforeAutospacing="0" w:after="0" w:afterAutospacing="0"/>
              <w:jc w:val="center"/>
              <w:rPr>
                <w:sz w:val="20"/>
                <w:szCs w:val="20"/>
              </w:rPr>
            </w:pPr>
            <w:r>
              <w:rPr>
                <w:sz w:val="20"/>
                <w:szCs w:val="20"/>
              </w:rPr>
              <w:t>43</w:t>
            </w:r>
          </w:p>
        </w:tc>
      </w:tr>
      <w:tr w:rsidR="00000000" w14:paraId="3E92DD9E" w14:textId="77777777">
        <w:trPr>
          <w:tblCellSpacing w:w="0" w:type="dxa"/>
        </w:trPr>
        <w:tc>
          <w:tcPr>
            <w:tcW w:w="450" w:type="pct"/>
            <w:hideMark/>
          </w:tcPr>
          <w:p w14:paraId="5BC18CA0"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2B3CACAB"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51B8EE18" w14:textId="77777777" w:rsidR="00000000" w:rsidRDefault="0053651E">
            <w:pPr>
              <w:rPr>
                <w:rFonts w:eastAsia="Times New Roman"/>
                <w:sz w:val="20"/>
                <w:szCs w:val="20"/>
              </w:rPr>
            </w:pPr>
            <w:r>
              <w:rPr>
                <w:rFonts w:eastAsia="Times New Roman"/>
                <w:sz w:val="20"/>
                <w:szCs w:val="20"/>
              </w:rPr>
              <w:t> </w:t>
            </w:r>
          </w:p>
        </w:tc>
      </w:tr>
      <w:tr w:rsidR="00000000" w14:paraId="4B7AE092" w14:textId="77777777">
        <w:trPr>
          <w:tblCellSpacing w:w="0" w:type="dxa"/>
        </w:trPr>
        <w:tc>
          <w:tcPr>
            <w:tcW w:w="450" w:type="pct"/>
            <w:hideMark/>
          </w:tcPr>
          <w:p w14:paraId="234CDA81"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5667541D" w14:textId="77777777" w:rsidR="00000000" w:rsidRDefault="0053651E">
            <w:pPr>
              <w:pStyle w:val="a3"/>
              <w:spacing w:before="0" w:beforeAutospacing="0" w:after="0" w:afterAutospacing="0"/>
              <w:rPr>
                <w:sz w:val="20"/>
                <w:szCs w:val="20"/>
              </w:rPr>
            </w:pPr>
            <w:r>
              <w:rPr>
                <w:sz w:val="20"/>
                <w:szCs w:val="20"/>
              </w:rPr>
              <w:t>Consolidated Financial Statements</w:t>
            </w:r>
          </w:p>
        </w:tc>
        <w:tc>
          <w:tcPr>
            <w:tcW w:w="500" w:type="pct"/>
            <w:vAlign w:val="bottom"/>
            <w:hideMark/>
          </w:tcPr>
          <w:p w14:paraId="5512C0CA" w14:textId="77777777" w:rsidR="00000000" w:rsidRDefault="0053651E">
            <w:pPr>
              <w:rPr>
                <w:rFonts w:eastAsia="Times New Roman"/>
                <w:sz w:val="20"/>
                <w:szCs w:val="20"/>
              </w:rPr>
            </w:pPr>
            <w:r>
              <w:rPr>
                <w:rFonts w:eastAsia="Times New Roman"/>
                <w:sz w:val="20"/>
                <w:szCs w:val="20"/>
              </w:rPr>
              <w:t> </w:t>
            </w:r>
          </w:p>
        </w:tc>
      </w:tr>
      <w:tr w:rsidR="00000000" w14:paraId="02639FE1" w14:textId="77777777">
        <w:trPr>
          <w:tblCellSpacing w:w="0" w:type="dxa"/>
        </w:trPr>
        <w:tc>
          <w:tcPr>
            <w:tcW w:w="450" w:type="pct"/>
            <w:hideMark/>
          </w:tcPr>
          <w:p w14:paraId="44061D0D"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399557A9"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3150C35D" w14:textId="77777777" w:rsidR="00000000" w:rsidRDefault="0053651E">
            <w:pPr>
              <w:rPr>
                <w:rFonts w:eastAsia="Times New Roman"/>
                <w:sz w:val="20"/>
                <w:szCs w:val="20"/>
              </w:rPr>
            </w:pPr>
            <w:r>
              <w:rPr>
                <w:rFonts w:eastAsia="Times New Roman"/>
                <w:sz w:val="20"/>
                <w:szCs w:val="20"/>
              </w:rPr>
              <w:t> </w:t>
            </w:r>
          </w:p>
        </w:tc>
      </w:tr>
      <w:tr w:rsidR="00000000" w14:paraId="4E74E001" w14:textId="77777777">
        <w:trPr>
          <w:tblCellSpacing w:w="0" w:type="dxa"/>
        </w:trPr>
        <w:tc>
          <w:tcPr>
            <w:tcW w:w="450" w:type="pct"/>
            <w:hideMark/>
          </w:tcPr>
          <w:p w14:paraId="42F92D17"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6C43A798" w14:textId="77777777" w:rsidR="00000000" w:rsidRDefault="0053651E">
            <w:pPr>
              <w:pStyle w:val="a3"/>
              <w:spacing w:before="0" w:beforeAutospacing="0" w:after="0" w:afterAutospacing="0"/>
              <w:ind w:left="180"/>
              <w:rPr>
                <w:sz w:val="20"/>
                <w:szCs w:val="20"/>
              </w:rPr>
            </w:pPr>
            <w:hyperlink w:anchor="balsheet" w:history="1">
              <w:r>
                <w:rPr>
                  <w:rStyle w:val="a4"/>
                  <w:sz w:val="20"/>
                  <w:szCs w:val="20"/>
                </w:rPr>
                <w:t>Consolidated Balance Sheets as of December 31, 2019 and 2018</w:t>
              </w:r>
            </w:hyperlink>
          </w:p>
        </w:tc>
        <w:tc>
          <w:tcPr>
            <w:tcW w:w="500" w:type="pct"/>
            <w:vAlign w:val="bottom"/>
            <w:hideMark/>
          </w:tcPr>
          <w:p w14:paraId="7A8153B2" w14:textId="77777777" w:rsidR="00000000" w:rsidRDefault="0053651E">
            <w:pPr>
              <w:pStyle w:val="a3"/>
              <w:spacing w:before="0" w:beforeAutospacing="0" w:after="0" w:afterAutospacing="0"/>
              <w:jc w:val="center"/>
              <w:rPr>
                <w:sz w:val="20"/>
                <w:szCs w:val="20"/>
              </w:rPr>
            </w:pPr>
            <w:r>
              <w:rPr>
                <w:sz w:val="20"/>
                <w:szCs w:val="20"/>
              </w:rPr>
              <w:t>44</w:t>
            </w:r>
          </w:p>
        </w:tc>
      </w:tr>
      <w:tr w:rsidR="00000000" w14:paraId="1EC832EC" w14:textId="77777777">
        <w:trPr>
          <w:tblCellSpacing w:w="0" w:type="dxa"/>
        </w:trPr>
        <w:tc>
          <w:tcPr>
            <w:tcW w:w="450" w:type="pct"/>
            <w:hideMark/>
          </w:tcPr>
          <w:p w14:paraId="74C26871"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612DAE56"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3085F9AD" w14:textId="77777777" w:rsidR="00000000" w:rsidRDefault="0053651E">
            <w:pPr>
              <w:rPr>
                <w:rFonts w:eastAsia="Times New Roman"/>
                <w:sz w:val="20"/>
                <w:szCs w:val="20"/>
              </w:rPr>
            </w:pPr>
            <w:r>
              <w:rPr>
                <w:rFonts w:eastAsia="Times New Roman"/>
                <w:sz w:val="20"/>
                <w:szCs w:val="20"/>
              </w:rPr>
              <w:t> </w:t>
            </w:r>
          </w:p>
        </w:tc>
      </w:tr>
      <w:tr w:rsidR="00000000" w14:paraId="184E76AE" w14:textId="77777777">
        <w:trPr>
          <w:tblCellSpacing w:w="0" w:type="dxa"/>
        </w:trPr>
        <w:tc>
          <w:tcPr>
            <w:tcW w:w="450" w:type="pct"/>
            <w:hideMark/>
          </w:tcPr>
          <w:p w14:paraId="01564FBF"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673DF4DA" w14:textId="77777777" w:rsidR="00000000" w:rsidRDefault="0053651E">
            <w:pPr>
              <w:pStyle w:val="a3"/>
              <w:spacing w:before="0" w:beforeAutospacing="0" w:after="0" w:afterAutospacing="0"/>
              <w:ind w:left="180"/>
              <w:rPr>
                <w:sz w:val="20"/>
                <w:szCs w:val="20"/>
              </w:rPr>
            </w:pPr>
            <w:hyperlink w:anchor="operations" w:history="1">
              <w:r>
                <w:rPr>
                  <w:rStyle w:val="a4"/>
                  <w:sz w:val="20"/>
                  <w:szCs w:val="20"/>
                </w:rPr>
                <w:t>Consolidated Statements of Income for the years ended December 31, 2019, 2018 and 2017</w:t>
              </w:r>
            </w:hyperlink>
          </w:p>
        </w:tc>
        <w:tc>
          <w:tcPr>
            <w:tcW w:w="500" w:type="pct"/>
            <w:vAlign w:val="bottom"/>
            <w:hideMark/>
          </w:tcPr>
          <w:p w14:paraId="4EE73E51" w14:textId="77777777" w:rsidR="00000000" w:rsidRDefault="0053651E">
            <w:pPr>
              <w:pStyle w:val="a3"/>
              <w:spacing w:before="0" w:beforeAutospacing="0" w:after="0" w:afterAutospacing="0"/>
              <w:jc w:val="center"/>
              <w:rPr>
                <w:sz w:val="20"/>
                <w:szCs w:val="20"/>
              </w:rPr>
            </w:pPr>
            <w:r>
              <w:rPr>
                <w:sz w:val="20"/>
                <w:szCs w:val="20"/>
              </w:rPr>
              <w:t>45</w:t>
            </w:r>
          </w:p>
        </w:tc>
      </w:tr>
      <w:tr w:rsidR="00000000" w14:paraId="20307F39" w14:textId="77777777">
        <w:trPr>
          <w:tblCellSpacing w:w="0" w:type="dxa"/>
        </w:trPr>
        <w:tc>
          <w:tcPr>
            <w:tcW w:w="450" w:type="pct"/>
            <w:hideMark/>
          </w:tcPr>
          <w:p w14:paraId="152BAF1B"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47E953A2"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5D3A49DD" w14:textId="77777777" w:rsidR="00000000" w:rsidRDefault="0053651E">
            <w:pPr>
              <w:rPr>
                <w:rFonts w:eastAsia="Times New Roman"/>
                <w:sz w:val="20"/>
                <w:szCs w:val="20"/>
              </w:rPr>
            </w:pPr>
            <w:r>
              <w:rPr>
                <w:rFonts w:eastAsia="Times New Roman"/>
                <w:sz w:val="20"/>
                <w:szCs w:val="20"/>
              </w:rPr>
              <w:t> </w:t>
            </w:r>
          </w:p>
        </w:tc>
      </w:tr>
      <w:tr w:rsidR="00000000" w14:paraId="57DCC419" w14:textId="77777777">
        <w:trPr>
          <w:tblCellSpacing w:w="0" w:type="dxa"/>
        </w:trPr>
        <w:tc>
          <w:tcPr>
            <w:tcW w:w="450" w:type="pct"/>
            <w:hideMark/>
          </w:tcPr>
          <w:p w14:paraId="7F8D82AC"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72DAFFEF" w14:textId="77777777" w:rsidR="00000000" w:rsidRDefault="0053651E">
            <w:pPr>
              <w:pStyle w:val="a3"/>
              <w:spacing w:before="0" w:beforeAutospacing="0" w:after="0" w:afterAutospacing="0"/>
              <w:ind w:left="180"/>
              <w:rPr>
                <w:sz w:val="20"/>
                <w:szCs w:val="20"/>
              </w:rPr>
            </w:pPr>
            <w:hyperlink w:anchor="compincome" w:history="1">
              <w:r>
                <w:rPr>
                  <w:rStyle w:val="a4"/>
                  <w:sz w:val="20"/>
                  <w:szCs w:val="20"/>
                </w:rPr>
                <w:t>Consolidated Statements of Comprehensive Income for the years ended December 31, 2019, 2018 and 2017</w:t>
              </w:r>
            </w:hyperlink>
          </w:p>
        </w:tc>
        <w:tc>
          <w:tcPr>
            <w:tcW w:w="500" w:type="pct"/>
            <w:vAlign w:val="bottom"/>
            <w:hideMark/>
          </w:tcPr>
          <w:p w14:paraId="569972FA" w14:textId="77777777" w:rsidR="00000000" w:rsidRDefault="0053651E">
            <w:pPr>
              <w:pStyle w:val="a3"/>
              <w:spacing w:before="0" w:beforeAutospacing="0" w:after="0" w:afterAutospacing="0"/>
              <w:jc w:val="center"/>
              <w:rPr>
                <w:sz w:val="20"/>
                <w:szCs w:val="20"/>
              </w:rPr>
            </w:pPr>
            <w:r>
              <w:rPr>
                <w:sz w:val="20"/>
                <w:szCs w:val="20"/>
              </w:rPr>
              <w:t>46</w:t>
            </w:r>
          </w:p>
        </w:tc>
      </w:tr>
      <w:tr w:rsidR="00000000" w14:paraId="6F6CB229" w14:textId="77777777">
        <w:trPr>
          <w:tblCellSpacing w:w="0" w:type="dxa"/>
        </w:trPr>
        <w:tc>
          <w:tcPr>
            <w:tcW w:w="450" w:type="pct"/>
            <w:hideMark/>
          </w:tcPr>
          <w:p w14:paraId="4B5BE6C5"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FB0FECB"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642B6273" w14:textId="77777777" w:rsidR="00000000" w:rsidRDefault="0053651E">
            <w:pPr>
              <w:rPr>
                <w:rFonts w:eastAsia="Times New Roman"/>
                <w:sz w:val="20"/>
                <w:szCs w:val="20"/>
              </w:rPr>
            </w:pPr>
            <w:r>
              <w:rPr>
                <w:rFonts w:eastAsia="Times New Roman"/>
                <w:sz w:val="20"/>
                <w:szCs w:val="20"/>
              </w:rPr>
              <w:t> </w:t>
            </w:r>
          </w:p>
        </w:tc>
      </w:tr>
      <w:tr w:rsidR="00000000" w14:paraId="46D4DB3C" w14:textId="77777777">
        <w:trPr>
          <w:tblCellSpacing w:w="0" w:type="dxa"/>
        </w:trPr>
        <w:tc>
          <w:tcPr>
            <w:tcW w:w="450" w:type="pct"/>
            <w:hideMark/>
          </w:tcPr>
          <w:p w14:paraId="37FBCDAD"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520E2636" w14:textId="77777777" w:rsidR="00000000" w:rsidRDefault="0053651E">
            <w:pPr>
              <w:pStyle w:val="a3"/>
              <w:spacing w:before="0" w:beforeAutospacing="0" w:after="0" w:afterAutospacing="0"/>
              <w:ind w:left="180"/>
              <w:rPr>
                <w:sz w:val="20"/>
                <w:szCs w:val="20"/>
              </w:rPr>
            </w:pPr>
            <w:hyperlink w:anchor="equity" w:history="1">
              <w:r>
                <w:rPr>
                  <w:rStyle w:val="a4"/>
                  <w:sz w:val="20"/>
                  <w:szCs w:val="20"/>
                </w:rPr>
                <w:t>Consolidated Statements of Changes in Equity for the years ended December 31, 2019, 2018 and 2017</w:t>
              </w:r>
            </w:hyperlink>
          </w:p>
        </w:tc>
        <w:tc>
          <w:tcPr>
            <w:tcW w:w="500" w:type="pct"/>
            <w:vAlign w:val="bottom"/>
            <w:hideMark/>
          </w:tcPr>
          <w:p w14:paraId="03DCC096" w14:textId="77777777" w:rsidR="00000000" w:rsidRDefault="0053651E">
            <w:pPr>
              <w:pStyle w:val="a3"/>
              <w:spacing w:before="0" w:beforeAutospacing="0" w:after="0" w:afterAutospacing="0"/>
              <w:jc w:val="center"/>
              <w:rPr>
                <w:sz w:val="20"/>
                <w:szCs w:val="20"/>
              </w:rPr>
            </w:pPr>
            <w:r>
              <w:rPr>
                <w:sz w:val="20"/>
                <w:szCs w:val="20"/>
              </w:rPr>
              <w:t>47</w:t>
            </w:r>
          </w:p>
        </w:tc>
      </w:tr>
      <w:tr w:rsidR="00000000" w14:paraId="21D9EBCA" w14:textId="77777777">
        <w:trPr>
          <w:tblCellSpacing w:w="0" w:type="dxa"/>
        </w:trPr>
        <w:tc>
          <w:tcPr>
            <w:tcW w:w="450" w:type="pct"/>
            <w:hideMark/>
          </w:tcPr>
          <w:p w14:paraId="6EEB7518"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59F813ED"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1D214ED4" w14:textId="77777777" w:rsidR="00000000" w:rsidRDefault="0053651E">
            <w:pPr>
              <w:rPr>
                <w:rFonts w:eastAsia="Times New Roman"/>
                <w:sz w:val="20"/>
                <w:szCs w:val="20"/>
              </w:rPr>
            </w:pPr>
            <w:r>
              <w:rPr>
                <w:rFonts w:eastAsia="Times New Roman"/>
                <w:sz w:val="20"/>
                <w:szCs w:val="20"/>
              </w:rPr>
              <w:t> </w:t>
            </w:r>
          </w:p>
        </w:tc>
      </w:tr>
      <w:tr w:rsidR="00000000" w14:paraId="63A386D7" w14:textId="77777777">
        <w:trPr>
          <w:tblCellSpacing w:w="0" w:type="dxa"/>
        </w:trPr>
        <w:tc>
          <w:tcPr>
            <w:tcW w:w="450" w:type="pct"/>
            <w:hideMark/>
          </w:tcPr>
          <w:p w14:paraId="403776E1"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2AD86F0E" w14:textId="77777777" w:rsidR="00000000" w:rsidRDefault="0053651E">
            <w:pPr>
              <w:pStyle w:val="a3"/>
              <w:spacing w:before="0" w:beforeAutospacing="0" w:after="0" w:afterAutospacing="0"/>
              <w:ind w:left="180"/>
              <w:rPr>
                <w:sz w:val="20"/>
                <w:szCs w:val="20"/>
              </w:rPr>
            </w:pPr>
            <w:r>
              <w:rPr>
                <w:sz w:val="20"/>
                <w:szCs w:val="20"/>
              </w:rPr>
              <w:t> </w:t>
            </w:r>
            <w:hyperlink w:anchor="cashflow" w:history="1">
              <w:r>
                <w:rPr>
                  <w:rStyle w:val="a4"/>
                  <w:sz w:val="20"/>
                  <w:szCs w:val="20"/>
                </w:rPr>
                <w:t>Consolidated Statements of Cash Flows for the years ended December 31, 2019, 2018 and 2017</w:t>
              </w:r>
            </w:hyperlink>
          </w:p>
        </w:tc>
        <w:tc>
          <w:tcPr>
            <w:tcW w:w="500" w:type="pct"/>
            <w:vAlign w:val="bottom"/>
            <w:hideMark/>
          </w:tcPr>
          <w:p w14:paraId="4C293358" w14:textId="77777777" w:rsidR="00000000" w:rsidRDefault="0053651E">
            <w:pPr>
              <w:pStyle w:val="a3"/>
              <w:spacing w:before="0" w:beforeAutospacing="0" w:after="0" w:afterAutospacing="0"/>
              <w:jc w:val="center"/>
              <w:rPr>
                <w:sz w:val="20"/>
                <w:szCs w:val="20"/>
              </w:rPr>
            </w:pPr>
            <w:r>
              <w:rPr>
                <w:sz w:val="20"/>
                <w:szCs w:val="20"/>
              </w:rPr>
              <w:t>48</w:t>
            </w:r>
          </w:p>
        </w:tc>
      </w:tr>
      <w:tr w:rsidR="00000000" w14:paraId="3FF0EC9E" w14:textId="77777777">
        <w:trPr>
          <w:tblCellSpacing w:w="0" w:type="dxa"/>
        </w:trPr>
        <w:tc>
          <w:tcPr>
            <w:tcW w:w="450" w:type="pct"/>
            <w:hideMark/>
          </w:tcPr>
          <w:p w14:paraId="1378D813"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E060EF2"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69781CAC" w14:textId="77777777" w:rsidR="00000000" w:rsidRDefault="0053651E">
            <w:pPr>
              <w:rPr>
                <w:rFonts w:eastAsia="Times New Roman"/>
                <w:sz w:val="20"/>
                <w:szCs w:val="20"/>
              </w:rPr>
            </w:pPr>
            <w:r>
              <w:rPr>
                <w:rFonts w:eastAsia="Times New Roman"/>
                <w:sz w:val="20"/>
                <w:szCs w:val="20"/>
              </w:rPr>
              <w:t> </w:t>
            </w:r>
          </w:p>
        </w:tc>
      </w:tr>
      <w:tr w:rsidR="00000000" w14:paraId="5ACB1B7F" w14:textId="77777777">
        <w:trPr>
          <w:tblCellSpacing w:w="0" w:type="dxa"/>
        </w:trPr>
        <w:tc>
          <w:tcPr>
            <w:tcW w:w="450" w:type="pct"/>
            <w:hideMark/>
          </w:tcPr>
          <w:p w14:paraId="18B24616"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0A3787EC" w14:textId="77777777" w:rsidR="00000000" w:rsidRDefault="0053651E">
            <w:pPr>
              <w:pStyle w:val="a3"/>
              <w:spacing w:before="0" w:beforeAutospacing="0" w:after="0" w:afterAutospacing="0"/>
              <w:ind w:left="180"/>
              <w:rPr>
                <w:sz w:val="20"/>
                <w:szCs w:val="20"/>
              </w:rPr>
            </w:pPr>
            <w:hyperlink w:anchor="notes" w:history="1">
              <w:r>
                <w:rPr>
                  <w:rStyle w:val="a4"/>
                  <w:sz w:val="20"/>
                  <w:szCs w:val="20"/>
                </w:rPr>
                <w:t>Notes to Consolidated Financial Statements</w:t>
              </w:r>
            </w:hyperlink>
          </w:p>
        </w:tc>
        <w:tc>
          <w:tcPr>
            <w:tcW w:w="500" w:type="pct"/>
            <w:vAlign w:val="bottom"/>
            <w:hideMark/>
          </w:tcPr>
          <w:p w14:paraId="0F66189E" w14:textId="77777777" w:rsidR="00000000" w:rsidRDefault="0053651E">
            <w:pPr>
              <w:pStyle w:val="a3"/>
              <w:spacing w:before="0" w:beforeAutospacing="0" w:after="0" w:afterAutospacing="0"/>
              <w:jc w:val="center"/>
              <w:rPr>
                <w:sz w:val="20"/>
                <w:szCs w:val="20"/>
              </w:rPr>
            </w:pPr>
            <w:r>
              <w:rPr>
                <w:sz w:val="20"/>
                <w:szCs w:val="20"/>
              </w:rPr>
              <w:t>49</w:t>
            </w:r>
          </w:p>
        </w:tc>
      </w:tr>
      <w:tr w:rsidR="00000000" w14:paraId="6B232F7C" w14:textId="77777777">
        <w:trPr>
          <w:tblCellSpacing w:w="0" w:type="dxa"/>
        </w:trPr>
        <w:tc>
          <w:tcPr>
            <w:tcW w:w="450" w:type="pct"/>
            <w:hideMark/>
          </w:tcPr>
          <w:p w14:paraId="3CEAB685"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368EEED"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3BA2AF13" w14:textId="77777777" w:rsidR="00000000" w:rsidRDefault="0053651E">
            <w:pPr>
              <w:rPr>
                <w:rFonts w:eastAsia="Times New Roman"/>
                <w:sz w:val="20"/>
                <w:szCs w:val="20"/>
              </w:rPr>
            </w:pPr>
            <w:r>
              <w:rPr>
                <w:rFonts w:eastAsia="Times New Roman"/>
                <w:sz w:val="20"/>
                <w:szCs w:val="20"/>
              </w:rPr>
              <w:t> </w:t>
            </w:r>
          </w:p>
        </w:tc>
      </w:tr>
      <w:tr w:rsidR="00000000" w14:paraId="6D9C3E1D" w14:textId="77777777">
        <w:trPr>
          <w:tblCellSpacing w:w="0" w:type="dxa"/>
        </w:trPr>
        <w:tc>
          <w:tcPr>
            <w:tcW w:w="450" w:type="pct"/>
            <w:hideMark/>
          </w:tcPr>
          <w:p w14:paraId="3FE1A21B" w14:textId="77777777" w:rsidR="00000000" w:rsidRDefault="0053651E">
            <w:pPr>
              <w:pStyle w:val="a3"/>
              <w:spacing w:before="0" w:beforeAutospacing="0" w:after="0" w:afterAutospacing="0"/>
              <w:jc w:val="right"/>
              <w:rPr>
                <w:sz w:val="20"/>
                <w:szCs w:val="20"/>
              </w:rPr>
            </w:pPr>
            <w:r>
              <w:rPr>
                <w:sz w:val="20"/>
                <w:szCs w:val="20"/>
              </w:rPr>
              <w:t>2. </w:t>
            </w:r>
          </w:p>
        </w:tc>
        <w:tc>
          <w:tcPr>
            <w:tcW w:w="750" w:type="pct"/>
            <w:gridSpan w:val="2"/>
            <w:hideMark/>
          </w:tcPr>
          <w:p w14:paraId="4E14BB9A" w14:textId="77777777" w:rsidR="00000000" w:rsidRDefault="0053651E">
            <w:pPr>
              <w:pStyle w:val="a3"/>
              <w:spacing w:before="0" w:beforeAutospacing="0" w:after="0" w:afterAutospacing="0"/>
              <w:rPr>
                <w:sz w:val="20"/>
                <w:szCs w:val="20"/>
              </w:rPr>
            </w:pPr>
            <w:r>
              <w:rPr>
                <w:sz w:val="20"/>
                <w:szCs w:val="20"/>
              </w:rPr>
              <w:t>Financial Statement Schedules -</w:t>
            </w:r>
          </w:p>
        </w:tc>
        <w:tc>
          <w:tcPr>
            <w:tcW w:w="500" w:type="pct"/>
            <w:vAlign w:val="bottom"/>
            <w:hideMark/>
          </w:tcPr>
          <w:p w14:paraId="0C6DDBF7" w14:textId="77777777" w:rsidR="00000000" w:rsidRDefault="0053651E">
            <w:pPr>
              <w:rPr>
                <w:rFonts w:eastAsia="Times New Roman"/>
                <w:sz w:val="20"/>
                <w:szCs w:val="20"/>
              </w:rPr>
            </w:pPr>
            <w:r>
              <w:rPr>
                <w:rFonts w:eastAsia="Times New Roman"/>
                <w:sz w:val="20"/>
                <w:szCs w:val="20"/>
              </w:rPr>
              <w:t> </w:t>
            </w:r>
          </w:p>
        </w:tc>
      </w:tr>
      <w:tr w:rsidR="00000000" w14:paraId="66FAEAE5" w14:textId="77777777">
        <w:trPr>
          <w:tblCellSpacing w:w="0" w:type="dxa"/>
        </w:trPr>
        <w:tc>
          <w:tcPr>
            <w:tcW w:w="450" w:type="pct"/>
            <w:hideMark/>
          </w:tcPr>
          <w:p w14:paraId="1E07BEE5"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2A332172"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0696EC7B" w14:textId="77777777" w:rsidR="00000000" w:rsidRDefault="0053651E">
            <w:pPr>
              <w:rPr>
                <w:rFonts w:eastAsia="Times New Roman"/>
                <w:sz w:val="20"/>
                <w:szCs w:val="20"/>
              </w:rPr>
            </w:pPr>
            <w:r>
              <w:rPr>
                <w:rFonts w:eastAsia="Times New Roman"/>
                <w:sz w:val="20"/>
                <w:szCs w:val="20"/>
              </w:rPr>
              <w:t> </w:t>
            </w:r>
          </w:p>
        </w:tc>
      </w:tr>
      <w:tr w:rsidR="00000000" w14:paraId="6B882B0E" w14:textId="77777777">
        <w:trPr>
          <w:tblCellSpacing w:w="0" w:type="dxa"/>
        </w:trPr>
        <w:tc>
          <w:tcPr>
            <w:tcW w:w="450" w:type="pct"/>
            <w:hideMark/>
          </w:tcPr>
          <w:p w14:paraId="43124695" w14:textId="77777777" w:rsidR="00000000" w:rsidRDefault="0053651E">
            <w:pPr>
              <w:rPr>
                <w:rFonts w:eastAsia="Times New Roman"/>
                <w:sz w:val="20"/>
                <w:szCs w:val="20"/>
              </w:rPr>
            </w:pPr>
            <w:r>
              <w:rPr>
                <w:rFonts w:eastAsia="Times New Roman"/>
                <w:sz w:val="20"/>
                <w:szCs w:val="20"/>
              </w:rPr>
              <w:t> </w:t>
            </w:r>
          </w:p>
        </w:tc>
        <w:tc>
          <w:tcPr>
            <w:tcW w:w="750" w:type="pct"/>
            <w:hideMark/>
          </w:tcPr>
          <w:p w14:paraId="2F2A917B" w14:textId="77777777" w:rsidR="00000000" w:rsidRDefault="0053651E">
            <w:pPr>
              <w:pStyle w:val="a3"/>
              <w:spacing w:before="0" w:beforeAutospacing="0" w:after="0" w:afterAutospacing="0"/>
              <w:rPr>
                <w:sz w:val="20"/>
                <w:szCs w:val="20"/>
              </w:rPr>
            </w:pPr>
            <w:r>
              <w:rPr>
                <w:sz w:val="20"/>
                <w:szCs w:val="20"/>
              </w:rPr>
              <w:t>Schedule II -</w:t>
            </w:r>
          </w:p>
        </w:tc>
        <w:tc>
          <w:tcPr>
            <w:tcW w:w="3300" w:type="pct"/>
            <w:hideMark/>
          </w:tcPr>
          <w:p w14:paraId="0F1BDCE0" w14:textId="77777777" w:rsidR="00000000" w:rsidRDefault="0053651E">
            <w:pPr>
              <w:pStyle w:val="a3"/>
              <w:spacing w:before="0" w:beforeAutospacing="0" w:after="0" w:afterAutospacing="0"/>
              <w:rPr>
                <w:sz w:val="20"/>
                <w:szCs w:val="20"/>
              </w:rPr>
            </w:pPr>
            <w:hyperlink w:anchor="sch2" w:history="1">
              <w:r>
                <w:rPr>
                  <w:rStyle w:val="a4"/>
                  <w:sz w:val="20"/>
                  <w:szCs w:val="20"/>
                </w:rPr>
                <w:t>Valuation and Qualifying Accounts </w:t>
              </w:r>
              <w:r>
                <w:rPr>
                  <w:rStyle w:val="a4"/>
                  <w:sz w:val="20"/>
                  <w:szCs w:val="20"/>
                </w:rPr>
                <w:t>for the years ended December 31, 2019, 2018 and 2017</w:t>
              </w:r>
            </w:hyperlink>
          </w:p>
        </w:tc>
        <w:tc>
          <w:tcPr>
            <w:tcW w:w="500" w:type="pct"/>
            <w:vAlign w:val="bottom"/>
            <w:hideMark/>
          </w:tcPr>
          <w:p w14:paraId="3AF531E6" w14:textId="77777777" w:rsidR="00000000" w:rsidRDefault="0053651E">
            <w:pPr>
              <w:pStyle w:val="a3"/>
              <w:spacing w:before="0" w:beforeAutospacing="0" w:after="0" w:afterAutospacing="0"/>
              <w:jc w:val="center"/>
              <w:rPr>
                <w:sz w:val="20"/>
                <w:szCs w:val="20"/>
              </w:rPr>
            </w:pPr>
            <w:r>
              <w:rPr>
                <w:sz w:val="20"/>
                <w:szCs w:val="20"/>
              </w:rPr>
              <w:t>88</w:t>
            </w:r>
          </w:p>
        </w:tc>
      </w:tr>
      <w:tr w:rsidR="00000000" w14:paraId="7D26BFE5" w14:textId="77777777">
        <w:trPr>
          <w:tblCellSpacing w:w="0" w:type="dxa"/>
        </w:trPr>
        <w:tc>
          <w:tcPr>
            <w:tcW w:w="450" w:type="pct"/>
            <w:hideMark/>
          </w:tcPr>
          <w:p w14:paraId="61E8A481" w14:textId="77777777" w:rsidR="00000000" w:rsidRDefault="0053651E">
            <w:pPr>
              <w:rPr>
                <w:rFonts w:eastAsia="Times New Roman"/>
                <w:sz w:val="20"/>
                <w:szCs w:val="20"/>
              </w:rPr>
            </w:pPr>
            <w:r>
              <w:rPr>
                <w:rFonts w:eastAsia="Times New Roman"/>
                <w:sz w:val="20"/>
                <w:szCs w:val="20"/>
              </w:rPr>
              <w:t> </w:t>
            </w:r>
          </w:p>
        </w:tc>
        <w:tc>
          <w:tcPr>
            <w:tcW w:w="750" w:type="pct"/>
            <w:hideMark/>
          </w:tcPr>
          <w:p w14:paraId="34FBE2C6" w14:textId="77777777" w:rsidR="00000000" w:rsidRDefault="0053651E">
            <w:pPr>
              <w:pStyle w:val="a3"/>
              <w:spacing w:before="0" w:beforeAutospacing="0" w:after="0" w:afterAutospacing="0"/>
              <w:rPr>
                <w:sz w:val="20"/>
                <w:szCs w:val="20"/>
              </w:rPr>
            </w:pPr>
            <w:r>
              <w:rPr>
                <w:sz w:val="20"/>
                <w:szCs w:val="20"/>
              </w:rPr>
              <w:t>Schedule III -</w:t>
            </w:r>
          </w:p>
        </w:tc>
        <w:tc>
          <w:tcPr>
            <w:tcW w:w="3300" w:type="pct"/>
            <w:hideMark/>
          </w:tcPr>
          <w:p w14:paraId="3E378DB6" w14:textId="77777777" w:rsidR="00000000" w:rsidRDefault="0053651E">
            <w:pPr>
              <w:pStyle w:val="a3"/>
              <w:spacing w:before="0" w:beforeAutospacing="0" w:after="0" w:afterAutospacing="0"/>
              <w:rPr>
                <w:sz w:val="20"/>
                <w:szCs w:val="20"/>
              </w:rPr>
            </w:pPr>
            <w:hyperlink w:anchor="scthree" w:history="1">
              <w:r>
                <w:rPr>
                  <w:rStyle w:val="a4"/>
                  <w:sz w:val="20"/>
                  <w:szCs w:val="20"/>
                </w:rPr>
                <w:t>Real Estate and Accumulated Depreciation as of December 31, 2019</w:t>
              </w:r>
            </w:hyperlink>
          </w:p>
        </w:tc>
        <w:tc>
          <w:tcPr>
            <w:tcW w:w="500" w:type="pct"/>
            <w:vAlign w:val="bottom"/>
            <w:hideMark/>
          </w:tcPr>
          <w:p w14:paraId="74445967" w14:textId="77777777" w:rsidR="00000000" w:rsidRDefault="0053651E">
            <w:pPr>
              <w:pStyle w:val="a3"/>
              <w:spacing w:before="0" w:beforeAutospacing="0" w:after="0" w:afterAutospacing="0"/>
              <w:jc w:val="center"/>
              <w:rPr>
                <w:sz w:val="20"/>
                <w:szCs w:val="20"/>
              </w:rPr>
            </w:pPr>
            <w:r>
              <w:rPr>
                <w:sz w:val="20"/>
                <w:szCs w:val="20"/>
              </w:rPr>
              <w:t>89</w:t>
            </w:r>
          </w:p>
        </w:tc>
      </w:tr>
      <w:tr w:rsidR="00000000" w14:paraId="67D8994C" w14:textId="77777777">
        <w:trPr>
          <w:tblCellSpacing w:w="0" w:type="dxa"/>
        </w:trPr>
        <w:tc>
          <w:tcPr>
            <w:tcW w:w="450" w:type="pct"/>
            <w:hideMark/>
          </w:tcPr>
          <w:p w14:paraId="529CC195" w14:textId="77777777" w:rsidR="00000000" w:rsidRDefault="0053651E">
            <w:pPr>
              <w:rPr>
                <w:rFonts w:eastAsia="Times New Roman"/>
                <w:sz w:val="20"/>
                <w:szCs w:val="20"/>
              </w:rPr>
            </w:pPr>
            <w:r>
              <w:rPr>
                <w:rFonts w:eastAsia="Times New Roman"/>
                <w:sz w:val="20"/>
                <w:szCs w:val="20"/>
              </w:rPr>
              <w:t> </w:t>
            </w:r>
          </w:p>
        </w:tc>
        <w:tc>
          <w:tcPr>
            <w:tcW w:w="750" w:type="pct"/>
            <w:hideMark/>
          </w:tcPr>
          <w:p w14:paraId="62BB41AD" w14:textId="77777777" w:rsidR="00000000" w:rsidRDefault="0053651E">
            <w:pPr>
              <w:pStyle w:val="a3"/>
              <w:spacing w:before="0" w:beforeAutospacing="0" w:after="0" w:afterAutospacing="0"/>
              <w:rPr>
                <w:sz w:val="20"/>
                <w:szCs w:val="20"/>
              </w:rPr>
            </w:pPr>
            <w:r>
              <w:rPr>
                <w:sz w:val="20"/>
                <w:szCs w:val="20"/>
              </w:rPr>
              <w:t>Schedule IV -</w:t>
            </w:r>
          </w:p>
        </w:tc>
        <w:tc>
          <w:tcPr>
            <w:tcW w:w="3300" w:type="pct"/>
            <w:hideMark/>
          </w:tcPr>
          <w:p w14:paraId="44D36DCD" w14:textId="77777777" w:rsidR="00000000" w:rsidRDefault="0053651E">
            <w:pPr>
              <w:pStyle w:val="a3"/>
              <w:spacing w:before="0" w:beforeAutospacing="0" w:after="0" w:afterAutospacing="0"/>
              <w:rPr>
                <w:sz w:val="20"/>
                <w:szCs w:val="20"/>
              </w:rPr>
            </w:pPr>
            <w:hyperlink w:anchor="sch4" w:history="1">
              <w:r>
                <w:rPr>
                  <w:rStyle w:val="a4"/>
                  <w:sz w:val="20"/>
                  <w:szCs w:val="20"/>
                </w:rPr>
                <w:t>Mortgage Loans on Real Estate as of Dece</w:t>
              </w:r>
              <w:r>
                <w:rPr>
                  <w:rStyle w:val="a4"/>
                  <w:sz w:val="20"/>
                  <w:szCs w:val="20"/>
                </w:rPr>
                <w:t>mber 31, 2019</w:t>
              </w:r>
            </w:hyperlink>
          </w:p>
        </w:tc>
        <w:tc>
          <w:tcPr>
            <w:tcW w:w="500" w:type="pct"/>
            <w:vAlign w:val="bottom"/>
            <w:hideMark/>
          </w:tcPr>
          <w:p w14:paraId="7E283726" w14:textId="77777777" w:rsidR="00000000" w:rsidRDefault="0053651E">
            <w:pPr>
              <w:pStyle w:val="a3"/>
              <w:spacing w:before="0" w:beforeAutospacing="0" w:after="0" w:afterAutospacing="0"/>
              <w:jc w:val="center"/>
              <w:rPr>
                <w:sz w:val="20"/>
                <w:szCs w:val="20"/>
              </w:rPr>
            </w:pPr>
            <w:r>
              <w:rPr>
                <w:sz w:val="20"/>
                <w:szCs w:val="20"/>
              </w:rPr>
              <w:t>90</w:t>
            </w:r>
          </w:p>
        </w:tc>
      </w:tr>
      <w:tr w:rsidR="00000000" w14:paraId="17DDD907" w14:textId="77777777">
        <w:trPr>
          <w:tblCellSpacing w:w="0" w:type="dxa"/>
        </w:trPr>
        <w:tc>
          <w:tcPr>
            <w:tcW w:w="450" w:type="pct"/>
            <w:hideMark/>
          </w:tcPr>
          <w:p w14:paraId="7B7DF968"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2AD61434"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71D1C775" w14:textId="77777777" w:rsidR="00000000" w:rsidRDefault="0053651E">
            <w:pPr>
              <w:rPr>
                <w:rFonts w:eastAsia="Times New Roman"/>
                <w:sz w:val="20"/>
                <w:szCs w:val="20"/>
              </w:rPr>
            </w:pPr>
            <w:r>
              <w:rPr>
                <w:rFonts w:eastAsia="Times New Roman"/>
                <w:sz w:val="20"/>
                <w:szCs w:val="20"/>
              </w:rPr>
              <w:t> </w:t>
            </w:r>
          </w:p>
        </w:tc>
      </w:tr>
      <w:tr w:rsidR="00000000" w14:paraId="02F05427" w14:textId="77777777">
        <w:trPr>
          <w:tblCellSpacing w:w="0" w:type="dxa"/>
        </w:trPr>
        <w:tc>
          <w:tcPr>
            <w:tcW w:w="450" w:type="pct"/>
            <w:hideMark/>
          </w:tcPr>
          <w:p w14:paraId="34DBAF65"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6AE484F7" w14:textId="77777777" w:rsidR="00000000" w:rsidRDefault="0053651E">
            <w:pPr>
              <w:pStyle w:val="a3"/>
              <w:spacing w:before="0" w:beforeAutospacing="0" w:after="0" w:afterAutospacing="0"/>
              <w:rPr>
                <w:sz w:val="20"/>
                <w:szCs w:val="20"/>
              </w:rPr>
            </w:pPr>
            <w:r>
              <w:rPr>
                <w:sz w:val="20"/>
                <w:szCs w:val="20"/>
              </w:rPr>
              <w:t>All other schedules are omitted since the required information is not present </w:t>
            </w:r>
            <w:r>
              <w:rPr>
                <w:sz w:val="20"/>
                <w:szCs w:val="20"/>
              </w:rPr>
              <w:t>or is not present in amounts sufficient to require submission of the schedule.</w:t>
            </w:r>
          </w:p>
        </w:tc>
        <w:tc>
          <w:tcPr>
            <w:tcW w:w="500" w:type="pct"/>
            <w:vAlign w:val="bottom"/>
            <w:hideMark/>
          </w:tcPr>
          <w:p w14:paraId="5BCDD850" w14:textId="77777777" w:rsidR="00000000" w:rsidRDefault="0053651E">
            <w:pPr>
              <w:rPr>
                <w:rFonts w:eastAsia="Times New Roman"/>
                <w:sz w:val="20"/>
                <w:szCs w:val="20"/>
              </w:rPr>
            </w:pPr>
            <w:r>
              <w:rPr>
                <w:rFonts w:eastAsia="Times New Roman"/>
                <w:sz w:val="20"/>
                <w:szCs w:val="20"/>
              </w:rPr>
              <w:t> </w:t>
            </w:r>
          </w:p>
        </w:tc>
      </w:tr>
      <w:tr w:rsidR="00000000" w14:paraId="0211066B" w14:textId="77777777">
        <w:trPr>
          <w:tblCellSpacing w:w="0" w:type="dxa"/>
        </w:trPr>
        <w:tc>
          <w:tcPr>
            <w:tcW w:w="450" w:type="pct"/>
            <w:hideMark/>
          </w:tcPr>
          <w:p w14:paraId="58D8FC89"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175CFF99"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65C6434E" w14:textId="77777777" w:rsidR="00000000" w:rsidRDefault="0053651E">
            <w:pPr>
              <w:rPr>
                <w:rFonts w:eastAsia="Times New Roman"/>
                <w:sz w:val="20"/>
                <w:szCs w:val="20"/>
              </w:rPr>
            </w:pPr>
            <w:r>
              <w:rPr>
                <w:rFonts w:eastAsia="Times New Roman"/>
                <w:sz w:val="20"/>
                <w:szCs w:val="20"/>
              </w:rPr>
              <w:t> </w:t>
            </w:r>
          </w:p>
        </w:tc>
      </w:tr>
      <w:tr w:rsidR="00000000" w14:paraId="7089D61F" w14:textId="77777777">
        <w:trPr>
          <w:tblCellSpacing w:w="0" w:type="dxa"/>
        </w:trPr>
        <w:tc>
          <w:tcPr>
            <w:tcW w:w="450" w:type="pct"/>
            <w:hideMark/>
          </w:tcPr>
          <w:p w14:paraId="622FECBE" w14:textId="77777777" w:rsidR="00000000" w:rsidRDefault="0053651E">
            <w:pPr>
              <w:pStyle w:val="a3"/>
              <w:spacing w:before="0" w:beforeAutospacing="0" w:after="0" w:afterAutospacing="0"/>
              <w:jc w:val="right"/>
              <w:rPr>
                <w:sz w:val="20"/>
                <w:szCs w:val="20"/>
              </w:rPr>
            </w:pPr>
            <w:r>
              <w:rPr>
                <w:sz w:val="20"/>
                <w:szCs w:val="20"/>
              </w:rPr>
              <w:t>3. </w:t>
            </w:r>
          </w:p>
        </w:tc>
        <w:tc>
          <w:tcPr>
            <w:tcW w:w="750" w:type="pct"/>
            <w:gridSpan w:val="2"/>
            <w:hideMark/>
          </w:tcPr>
          <w:p w14:paraId="639A25DE" w14:textId="77777777" w:rsidR="00000000" w:rsidRDefault="0053651E">
            <w:pPr>
              <w:pStyle w:val="a3"/>
              <w:spacing w:before="0" w:beforeAutospacing="0" w:after="0" w:afterAutospacing="0"/>
              <w:ind w:left="360"/>
              <w:rPr>
                <w:sz w:val="20"/>
                <w:szCs w:val="20"/>
              </w:rPr>
            </w:pPr>
            <w:r>
              <w:rPr>
                <w:sz w:val="20"/>
                <w:szCs w:val="20"/>
              </w:rPr>
              <w:t>Exhibits -</w:t>
            </w:r>
          </w:p>
        </w:tc>
        <w:tc>
          <w:tcPr>
            <w:tcW w:w="500" w:type="pct"/>
            <w:vAlign w:val="bottom"/>
            <w:hideMark/>
          </w:tcPr>
          <w:p w14:paraId="2BAB9542" w14:textId="77777777" w:rsidR="00000000" w:rsidRDefault="0053651E">
            <w:pPr>
              <w:rPr>
                <w:rFonts w:eastAsia="Times New Roman"/>
                <w:sz w:val="20"/>
                <w:szCs w:val="20"/>
              </w:rPr>
            </w:pPr>
            <w:r>
              <w:rPr>
                <w:rFonts w:eastAsia="Times New Roman"/>
                <w:sz w:val="20"/>
                <w:szCs w:val="20"/>
              </w:rPr>
              <w:t> </w:t>
            </w:r>
          </w:p>
        </w:tc>
      </w:tr>
      <w:tr w:rsidR="00000000" w14:paraId="2FD76B2D" w14:textId="77777777">
        <w:trPr>
          <w:tblCellSpacing w:w="0" w:type="dxa"/>
        </w:trPr>
        <w:tc>
          <w:tcPr>
            <w:tcW w:w="450" w:type="pct"/>
            <w:hideMark/>
          </w:tcPr>
          <w:p w14:paraId="72E85899"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569BD0CE"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32A645FB" w14:textId="77777777" w:rsidR="00000000" w:rsidRDefault="0053651E">
            <w:pPr>
              <w:rPr>
                <w:rFonts w:eastAsia="Times New Roman"/>
                <w:sz w:val="20"/>
                <w:szCs w:val="20"/>
              </w:rPr>
            </w:pPr>
            <w:r>
              <w:rPr>
                <w:rFonts w:eastAsia="Times New Roman"/>
                <w:sz w:val="20"/>
                <w:szCs w:val="20"/>
              </w:rPr>
              <w:t> </w:t>
            </w:r>
          </w:p>
        </w:tc>
      </w:tr>
      <w:tr w:rsidR="00000000" w14:paraId="02E0E089" w14:textId="77777777">
        <w:trPr>
          <w:tblCellSpacing w:w="0" w:type="dxa"/>
        </w:trPr>
        <w:tc>
          <w:tcPr>
            <w:tcW w:w="450" w:type="pct"/>
            <w:hideMark/>
          </w:tcPr>
          <w:p w14:paraId="763771A4" w14:textId="77777777" w:rsidR="00000000" w:rsidRDefault="0053651E">
            <w:pPr>
              <w:rPr>
                <w:rFonts w:eastAsia="Times New Roman"/>
                <w:sz w:val="20"/>
                <w:szCs w:val="20"/>
              </w:rPr>
            </w:pPr>
            <w:r>
              <w:rPr>
                <w:rFonts w:eastAsia="Times New Roman"/>
                <w:sz w:val="20"/>
                <w:szCs w:val="20"/>
              </w:rPr>
              <w:t> </w:t>
            </w:r>
          </w:p>
        </w:tc>
        <w:tc>
          <w:tcPr>
            <w:tcW w:w="750" w:type="pct"/>
            <w:gridSpan w:val="2"/>
            <w:hideMark/>
          </w:tcPr>
          <w:p w14:paraId="480F87AE" w14:textId="77777777" w:rsidR="00000000" w:rsidRDefault="0053651E">
            <w:pPr>
              <w:pStyle w:val="a3"/>
              <w:spacing w:before="0" w:beforeAutospacing="0" w:after="0" w:afterAutospacing="0"/>
              <w:ind w:left="360"/>
              <w:rPr>
                <w:sz w:val="20"/>
                <w:szCs w:val="20"/>
              </w:rPr>
            </w:pPr>
            <w:hyperlink w:anchor="index" w:history="1">
              <w:r>
                <w:rPr>
                  <w:rStyle w:val="a4"/>
                  <w:sz w:val="20"/>
                  <w:szCs w:val="20"/>
                </w:rPr>
                <w:t>The exhibits listed on the accompanying Index to Exhibits are filed as part of this report.</w:t>
              </w:r>
            </w:hyperlink>
          </w:p>
        </w:tc>
        <w:tc>
          <w:tcPr>
            <w:tcW w:w="500" w:type="pct"/>
            <w:vAlign w:val="bottom"/>
            <w:hideMark/>
          </w:tcPr>
          <w:p w14:paraId="16D4F5A8" w14:textId="77777777" w:rsidR="00000000" w:rsidRDefault="0053651E">
            <w:pPr>
              <w:pStyle w:val="a3"/>
              <w:spacing w:before="0" w:beforeAutospacing="0" w:after="0" w:afterAutospacing="0"/>
              <w:jc w:val="center"/>
              <w:rPr>
                <w:sz w:val="20"/>
                <w:szCs w:val="20"/>
              </w:rPr>
            </w:pPr>
            <w:r>
              <w:rPr>
                <w:sz w:val="20"/>
                <w:szCs w:val="20"/>
              </w:rPr>
              <w:t>39</w:t>
            </w:r>
          </w:p>
        </w:tc>
      </w:tr>
    </w:tbl>
    <w:p w14:paraId="0812AB95" w14:textId="77777777" w:rsidR="00000000" w:rsidRDefault="0053651E">
      <w:pPr>
        <w:pStyle w:val="a3"/>
        <w:spacing w:before="0" w:beforeAutospacing="0" w:after="0" w:afterAutospacing="0"/>
        <w:ind w:firstLine="360"/>
        <w:rPr>
          <w:sz w:val="20"/>
          <w:szCs w:val="20"/>
        </w:rPr>
      </w:pPr>
      <w:r>
        <w:rPr>
          <w:sz w:val="20"/>
          <w:szCs w:val="20"/>
        </w:rPr>
        <w:t> </w:t>
      </w:r>
    </w:p>
    <w:p w14:paraId="4F4D355E" w14:textId="77777777" w:rsidR="00000000" w:rsidRDefault="0053651E">
      <w:pPr>
        <w:pStyle w:val="a3"/>
        <w:spacing w:before="0" w:beforeAutospacing="0" w:after="0" w:afterAutospacing="0"/>
        <w:rPr>
          <w:sz w:val="20"/>
          <w:szCs w:val="20"/>
        </w:rPr>
      </w:pPr>
      <w:r>
        <w:rPr>
          <w:sz w:val="20"/>
          <w:szCs w:val="20"/>
          <w:u w:val="single"/>
        </w:rPr>
        <w:t>Item 16. Form 10-K Summary</w:t>
      </w:r>
    </w:p>
    <w:p w14:paraId="6005377F" w14:textId="77777777" w:rsidR="00000000" w:rsidRDefault="0053651E">
      <w:pPr>
        <w:pStyle w:val="a3"/>
        <w:spacing w:before="0" w:beforeAutospacing="0" w:after="0" w:afterAutospacing="0"/>
        <w:rPr>
          <w:sz w:val="20"/>
          <w:szCs w:val="20"/>
        </w:rPr>
      </w:pPr>
      <w:r>
        <w:rPr>
          <w:sz w:val="20"/>
          <w:szCs w:val="20"/>
        </w:rPr>
        <w:t> </w:t>
      </w:r>
    </w:p>
    <w:p w14:paraId="432EE452" w14:textId="77777777" w:rsidR="00000000" w:rsidRDefault="0053651E">
      <w:pPr>
        <w:pStyle w:val="a3"/>
        <w:spacing w:before="0" w:beforeAutospacing="0" w:after="0" w:afterAutospacing="0"/>
        <w:ind w:left="540"/>
        <w:rPr>
          <w:sz w:val="20"/>
          <w:szCs w:val="20"/>
        </w:rPr>
      </w:pPr>
      <w:r>
        <w:rPr>
          <w:sz w:val="20"/>
          <w:szCs w:val="20"/>
        </w:rPr>
        <w:t>None.</w:t>
      </w:r>
    </w:p>
    <w:p w14:paraId="78F9E7D1" w14:textId="77777777" w:rsidR="00000000" w:rsidRDefault="0053651E">
      <w:pPr>
        <w:pStyle w:val="a3"/>
        <w:spacing w:before="0" w:beforeAutospacing="0" w:after="0" w:afterAutospacing="0"/>
        <w:ind w:firstLine="720"/>
        <w:rPr>
          <w:sz w:val="20"/>
          <w:szCs w:val="20"/>
        </w:rPr>
      </w:pPr>
      <w:r>
        <w:rPr>
          <w:sz w:val="20"/>
          <w:szCs w:val="20"/>
        </w:rPr>
        <w:t> </w:t>
      </w:r>
    </w:p>
    <w:p w14:paraId="263F2873" w14:textId="77777777" w:rsidR="00000000" w:rsidRDefault="0053651E">
      <w:pPr>
        <w:jc w:val="center"/>
        <w:divId w:val="2045520593"/>
        <w:rPr>
          <w:rFonts w:eastAsia="Times New Roman"/>
          <w:sz w:val="20"/>
          <w:szCs w:val="20"/>
        </w:rPr>
      </w:pPr>
      <w:r>
        <w:rPr>
          <w:rFonts w:eastAsia="Times New Roman"/>
          <w:sz w:val="20"/>
          <w:szCs w:val="20"/>
        </w:rPr>
        <w:t xml:space="preserve">38 </w:t>
      </w:r>
    </w:p>
    <w:p w14:paraId="5FFF906D" w14:textId="77777777" w:rsidR="00000000" w:rsidRDefault="0053651E">
      <w:pPr>
        <w:divId w:val="2045520593"/>
        <w:rPr>
          <w:rFonts w:eastAsia="Times New Roman"/>
          <w:sz w:val="20"/>
          <w:szCs w:val="20"/>
        </w:rPr>
      </w:pPr>
      <w:r>
        <w:rPr>
          <w:rFonts w:eastAsia="Times New Roman"/>
          <w:sz w:val="20"/>
          <w:szCs w:val="20"/>
        </w:rPr>
        <w:pict w14:anchorId="1BA68E1C">
          <v:rect id="_x0000_i1069" style="width:0;height:1.5pt" o:hralign="center" o:hrstd="t" o:hr="t" fillcolor="#a0a0a0" stroked="f"/>
        </w:pict>
      </w:r>
    </w:p>
    <w:p w14:paraId="6A549ED4" w14:textId="77777777" w:rsidR="00000000" w:rsidRDefault="0053651E">
      <w:pPr>
        <w:divId w:val="20455205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B5E272C" w14:textId="77777777" w:rsidR="00000000" w:rsidRDefault="0053651E">
      <w:pPr>
        <w:pStyle w:val="a3"/>
        <w:spacing w:before="0" w:beforeAutospacing="0" w:after="0" w:afterAutospacing="0"/>
        <w:rPr>
          <w:sz w:val="20"/>
          <w:szCs w:val="20"/>
        </w:rPr>
      </w:pPr>
      <w:r>
        <w:rPr>
          <w:sz w:val="20"/>
          <w:szCs w:val="20"/>
        </w:rPr>
        <w:t> </w:t>
      </w:r>
    </w:p>
    <w:p w14:paraId="76119BFF" w14:textId="77777777" w:rsidR="00000000" w:rsidRDefault="0053651E">
      <w:pPr>
        <w:pStyle w:val="a3"/>
        <w:spacing w:before="0" w:beforeAutospacing="0" w:after="0" w:afterAutospacing="0"/>
        <w:ind w:firstLine="360"/>
        <w:jc w:val="center"/>
        <w:rPr>
          <w:sz w:val="20"/>
          <w:szCs w:val="20"/>
        </w:rPr>
      </w:pPr>
      <w:r>
        <w:rPr>
          <w:b/>
          <w:bCs/>
          <w:sz w:val="20"/>
          <w:szCs w:val="20"/>
          <w:u w:val="single"/>
        </w:rPr>
        <w:t>INDEX TO EXHIBITS</w:t>
      </w:r>
    </w:p>
    <w:p w14:paraId="1C9A7DC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2"/>
        <w:gridCol w:w="3475"/>
        <w:gridCol w:w="485"/>
        <w:gridCol w:w="569"/>
        <w:gridCol w:w="712"/>
        <w:gridCol w:w="712"/>
        <w:gridCol w:w="929"/>
        <w:gridCol w:w="712"/>
      </w:tblGrid>
      <w:tr w:rsidR="00000000" w14:paraId="42999CDF" w14:textId="77777777">
        <w:trPr>
          <w:tblCellSpacing w:w="0" w:type="dxa"/>
        </w:trPr>
        <w:tc>
          <w:tcPr>
            <w:tcW w:w="400" w:type="pct"/>
            <w:vAlign w:val="bottom"/>
            <w:hideMark/>
          </w:tcPr>
          <w:p w14:paraId="6DD6E8D1" w14:textId="77777777" w:rsidR="00000000" w:rsidRDefault="0053651E">
            <w:pPr>
              <w:rPr>
                <w:rFonts w:eastAsia="Times New Roman"/>
                <w:sz w:val="20"/>
                <w:szCs w:val="20"/>
              </w:rPr>
            </w:pPr>
            <w:r>
              <w:rPr>
                <w:rFonts w:eastAsia="Times New Roman"/>
                <w:sz w:val="20"/>
                <w:szCs w:val="20"/>
              </w:rPr>
              <w:t> </w:t>
            </w:r>
          </w:p>
        </w:tc>
        <w:tc>
          <w:tcPr>
            <w:tcW w:w="2200" w:type="pct"/>
            <w:vAlign w:val="bottom"/>
            <w:hideMark/>
          </w:tcPr>
          <w:p w14:paraId="68AE915C" w14:textId="77777777" w:rsidR="00000000" w:rsidRDefault="0053651E">
            <w:pPr>
              <w:rPr>
                <w:rFonts w:eastAsia="Times New Roman"/>
                <w:sz w:val="20"/>
                <w:szCs w:val="20"/>
              </w:rPr>
            </w:pPr>
            <w:r>
              <w:rPr>
                <w:rFonts w:eastAsia="Times New Roman"/>
                <w:sz w:val="20"/>
                <w:szCs w:val="20"/>
              </w:rPr>
              <w:t> </w:t>
            </w:r>
          </w:p>
        </w:tc>
        <w:tc>
          <w:tcPr>
            <w:tcW w:w="1350" w:type="pct"/>
            <w:gridSpan w:val="4"/>
            <w:hideMark/>
          </w:tcPr>
          <w:p w14:paraId="0C0B64F2" w14:textId="77777777" w:rsidR="00000000" w:rsidRDefault="0053651E">
            <w:pPr>
              <w:pStyle w:val="a3"/>
              <w:spacing w:before="0" w:beforeAutospacing="0" w:after="0" w:afterAutospacing="0"/>
              <w:jc w:val="center"/>
              <w:rPr>
                <w:sz w:val="20"/>
                <w:szCs w:val="20"/>
              </w:rPr>
            </w:pPr>
            <w:r>
              <w:rPr>
                <w:b/>
                <w:bCs/>
                <w:sz w:val="20"/>
                <w:szCs w:val="20"/>
                <w:u w:val="single"/>
              </w:rPr>
              <w:t>Incorporated by Reference</w:t>
            </w:r>
          </w:p>
        </w:tc>
        <w:tc>
          <w:tcPr>
            <w:tcW w:w="400" w:type="pct"/>
            <w:hideMark/>
          </w:tcPr>
          <w:p w14:paraId="2C2C4852" w14:textId="77777777" w:rsidR="00000000" w:rsidRDefault="0053651E">
            <w:pPr>
              <w:rPr>
                <w:rFonts w:eastAsia="Times New Roman"/>
                <w:sz w:val="20"/>
                <w:szCs w:val="20"/>
              </w:rPr>
            </w:pPr>
            <w:r>
              <w:rPr>
                <w:rFonts w:eastAsia="Times New Roman"/>
                <w:sz w:val="20"/>
                <w:szCs w:val="20"/>
              </w:rPr>
              <w:t> </w:t>
            </w:r>
          </w:p>
        </w:tc>
        <w:tc>
          <w:tcPr>
            <w:tcW w:w="300" w:type="pct"/>
            <w:vAlign w:val="bottom"/>
            <w:hideMark/>
          </w:tcPr>
          <w:p w14:paraId="39DF324E" w14:textId="77777777" w:rsidR="00000000" w:rsidRDefault="0053651E">
            <w:pPr>
              <w:rPr>
                <w:rFonts w:eastAsia="Times New Roman"/>
                <w:sz w:val="20"/>
                <w:szCs w:val="20"/>
              </w:rPr>
            </w:pPr>
            <w:r>
              <w:rPr>
                <w:rFonts w:eastAsia="Times New Roman"/>
                <w:sz w:val="20"/>
                <w:szCs w:val="20"/>
              </w:rPr>
              <w:t> </w:t>
            </w:r>
          </w:p>
        </w:tc>
      </w:tr>
      <w:tr w:rsidR="00000000" w14:paraId="0F2AC7B0" w14:textId="77777777">
        <w:trPr>
          <w:tblCellSpacing w:w="0" w:type="dxa"/>
        </w:trPr>
        <w:tc>
          <w:tcPr>
            <w:tcW w:w="400" w:type="pct"/>
            <w:vAlign w:val="bottom"/>
            <w:hideMark/>
          </w:tcPr>
          <w:p w14:paraId="1A23FC3E" w14:textId="77777777" w:rsidR="00000000" w:rsidRDefault="0053651E">
            <w:pPr>
              <w:pStyle w:val="a3"/>
              <w:spacing w:before="0" w:beforeAutospacing="0" w:after="0" w:afterAutospacing="0"/>
              <w:rPr>
                <w:sz w:val="20"/>
                <w:szCs w:val="20"/>
              </w:rPr>
            </w:pPr>
            <w:r>
              <w:rPr>
                <w:b/>
                <w:bCs/>
                <w:sz w:val="20"/>
                <w:szCs w:val="20"/>
              </w:rPr>
              <w:t xml:space="preserve">Exhibit </w:t>
            </w:r>
          </w:p>
          <w:p w14:paraId="71909935" w14:textId="77777777" w:rsidR="00000000" w:rsidRDefault="0053651E">
            <w:pPr>
              <w:pStyle w:val="a3"/>
              <w:spacing w:before="0" w:beforeAutospacing="0" w:after="0" w:afterAutospacing="0"/>
              <w:rPr>
                <w:sz w:val="20"/>
                <w:szCs w:val="20"/>
              </w:rPr>
            </w:pPr>
            <w:r>
              <w:rPr>
                <w:b/>
                <w:bCs/>
                <w:sz w:val="20"/>
                <w:szCs w:val="20"/>
                <w:u w:val="single"/>
              </w:rPr>
              <w:t>Number</w:t>
            </w:r>
          </w:p>
        </w:tc>
        <w:tc>
          <w:tcPr>
            <w:tcW w:w="2200" w:type="pct"/>
            <w:vAlign w:val="bottom"/>
            <w:hideMark/>
          </w:tcPr>
          <w:p w14:paraId="5352796B" w14:textId="77777777" w:rsidR="00000000" w:rsidRDefault="0053651E">
            <w:pPr>
              <w:pStyle w:val="a3"/>
              <w:spacing w:before="0" w:beforeAutospacing="0" w:after="0" w:afterAutospacing="0"/>
              <w:jc w:val="center"/>
              <w:rPr>
                <w:sz w:val="20"/>
                <w:szCs w:val="20"/>
              </w:rPr>
            </w:pPr>
            <w:r>
              <w:rPr>
                <w:b/>
                <w:bCs/>
                <w:sz w:val="20"/>
                <w:szCs w:val="20"/>
                <w:u w:val="single"/>
              </w:rPr>
              <w:t>Exhibit Description</w:t>
            </w:r>
          </w:p>
        </w:tc>
        <w:tc>
          <w:tcPr>
            <w:tcW w:w="400" w:type="pct"/>
            <w:vAlign w:val="bottom"/>
            <w:hideMark/>
          </w:tcPr>
          <w:p w14:paraId="1E08DEC1" w14:textId="77777777" w:rsidR="00000000" w:rsidRDefault="0053651E">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14:paraId="555666A2" w14:textId="77777777" w:rsidR="00000000" w:rsidRDefault="0053651E">
            <w:pPr>
              <w:pStyle w:val="a3"/>
              <w:spacing w:before="0" w:beforeAutospacing="0" w:after="0" w:afterAutospacing="0"/>
              <w:jc w:val="center"/>
              <w:rPr>
                <w:sz w:val="20"/>
                <w:szCs w:val="20"/>
              </w:rPr>
            </w:pPr>
            <w:r>
              <w:rPr>
                <w:b/>
                <w:bCs/>
                <w:sz w:val="20"/>
                <w:szCs w:val="20"/>
                <w:u w:val="single"/>
              </w:rPr>
              <w:t>File No.</w:t>
            </w:r>
          </w:p>
        </w:tc>
        <w:tc>
          <w:tcPr>
            <w:tcW w:w="500" w:type="pct"/>
            <w:vAlign w:val="bottom"/>
            <w:hideMark/>
          </w:tcPr>
          <w:p w14:paraId="6EAC2A7E" w14:textId="77777777" w:rsidR="00000000" w:rsidRDefault="0053651E">
            <w:pPr>
              <w:pStyle w:val="a3"/>
              <w:spacing w:before="0" w:beforeAutospacing="0" w:after="0" w:afterAutospacing="0"/>
              <w:jc w:val="center"/>
              <w:rPr>
                <w:sz w:val="20"/>
                <w:szCs w:val="20"/>
              </w:rPr>
            </w:pPr>
            <w:r>
              <w:rPr>
                <w:b/>
                <w:bCs/>
                <w:sz w:val="20"/>
                <w:szCs w:val="20"/>
              </w:rPr>
              <w:t>Date of</w:t>
            </w:r>
          </w:p>
          <w:p w14:paraId="5DE71537" w14:textId="77777777" w:rsidR="00000000" w:rsidRDefault="0053651E">
            <w:pPr>
              <w:pStyle w:val="a3"/>
              <w:spacing w:before="0" w:beforeAutospacing="0" w:after="0" w:afterAutospacing="0"/>
              <w:jc w:val="center"/>
              <w:rPr>
                <w:sz w:val="20"/>
                <w:szCs w:val="20"/>
              </w:rPr>
            </w:pPr>
            <w:r>
              <w:rPr>
                <w:b/>
                <w:bCs/>
                <w:sz w:val="20"/>
                <w:szCs w:val="20"/>
                <w:u w:val="single"/>
              </w:rPr>
              <w:t>Filing</w:t>
            </w:r>
          </w:p>
        </w:tc>
        <w:tc>
          <w:tcPr>
            <w:tcW w:w="350" w:type="pct"/>
            <w:vAlign w:val="bottom"/>
            <w:hideMark/>
          </w:tcPr>
          <w:p w14:paraId="0525B920" w14:textId="77777777" w:rsidR="00000000" w:rsidRDefault="0053651E">
            <w:pPr>
              <w:pStyle w:val="a3"/>
              <w:spacing w:before="0" w:beforeAutospacing="0" w:after="0" w:afterAutospacing="0"/>
              <w:jc w:val="center"/>
              <w:rPr>
                <w:sz w:val="20"/>
                <w:szCs w:val="20"/>
              </w:rPr>
            </w:pPr>
            <w:r>
              <w:rPr>
                <w:b/>
                <w:bCs/>
                <w:sz w:val="20"/>
                <w:szCs w:val="20"/>
              </w:rPr>
              <w:t>Exhibit</w:t>
            </w:r>
          </w:p>
          <w:p w14:paraId="133BA172" w14:textId="77777777" w:rsidR="00000000" w:rsidRDefault="0053651E">
            <w:pPr>
              <w:pStyle w:val="a3"/>
              <w:spacing w:before="0" w:beforeAutospacing="0" w:after="0" w:afterAutospacing="0"/>
              <w:jc w:val="center"/>
              <w:rPr>
                <w:sz w:val="20"/>
                <w:szCs w:val="20"/>
              </w:rPr>
            </w:pPr>
            <w:r>
              <w:rPr>
                <w:b/>
                <w:bCs/>
                <w:sz w:val="20"/>
                <w:szCs w:val="20"/>
                <w:u w:val="single"/>
              </w:rPr>
              <w:t>Number</w:t>
            </w:r>
          </w:p>
        </w:tc>
        <w:tc>
          <w:tcPr>
            <w:tcW w:w="400" w:type="pct"/>
            <w:vAlign w:val="bottom"/>
            <w:hideMark/>
          </w:tcPr>
          <w:p w14:paraId="71AD5B51" w14:textId="77777777" w:rsidR="00000000" w:rsidRDefault="0053651E">
            <w:pPr>
              <w:pStyle w:val="a3"/>
              <w:spacing w:before="0" w:beforeAutospacing="0" w:after="0" w:afterAutospacing="0"/>
              <w:jc w:val="center"/>
              <w:rPr>
                <w:sz w:val="20"/>
                <w:szCs w:val="20"/>
              </w:rPr>
            </w:pPr>
            <w:r>
              <w:rPr>
                <w:b/>
                <w:bCs/>
                <w:sz w:val="20"/>
                <w:szCs w:val="20"/>
              </w:rPr>
              <w:t>Filed/</w:t>
            </w:r>
          </w:p>
          <w:p w14:paraId="22952884" w14:textId="77777777" w:rsidR="00000000" w:rsidRDefault="0053651E">
            <w:pPr>
              <w:pStyle w:val="a3"/>
              <w:spacing w:before="0" w:beforeAutospacing="0" w:after="0" w:afterAutospacing="0"/>
              <w:jc w:val="center"/>
              <w:rPr>
                <w:sz w:val="20"/>
                <w:szCs w:val="20"/>
              </w:rPr>
            </w:pPr>
            <w:r>
              <w:rPr>
                <w:b/>
                <w:bCs/>
                <w:sz w:val="20"/>
                <w:szCs w:val="20"/>
              </w:rPr>
              <w:t>Furnished </w:t>
            </w:r>
          </w:p>
          <w:p w14:paraId="4F400D9E" w14:textId="77777777" w:rsidR="00000000" w:rsidRDefault="0053651E">
            <w:pPr>
              <w:pStyle w:val="a3"/>
              <w:spacing w:before="0" w:beforeAutospacing="0" w:after="0" w:afterAutospacing="0"/>
              <w:jc w:val="center"/>
              <w:rPr>
                <w:sz w:val="20"/>
                <w:szCs w:val="20"/>
              </w:rPr>
            </w:pPr>
            <w:r>
              <w:rPr>
                <w:b/>
                <w:bCs/>
                <w:sz w:val="20"/>
                <w:szCs w:val="20"/>
                <w:u w:val="single"/>
              </w:rPr>
              <w:t>Herewith</w:t>
            </w:r>
          </w:p>
        </w:tc>
        <w:tc>
          <w:tcPr>
            <w:tcW w:w="300" w:type="pct"/>
            <w:hideMark/>
          </w:tcPr>
          <w:p w14:paraId="6757530B" w14:textId="77777777" w:rsidR="00000000" w:rsidRDefault="0053651E">
            <w:pPr>
              <w:pStyle w:val="a3"/>
              <w:spacing w:before="0" w:beforeAutospacing="0" w:after="0" w:afterAutospacing="0"/>
              <w:jc w:val="center"/>
              <w:rPr>
                <w:sz w:val="20"/>
                <w:szCs w:val="20"/>
              </w:rPr>
            </w:pPr>
            <w:r>
              <w:rPr>
                <w:b/>
                <w:bCs/>
                <w:sz w:val="20"/>
                <w:szCs w:val="20"/>
              </w:rPr>
              <w:t> </w:t>
            </w:r>
          </w:p>
          <w:p w14:paraId="1C19B560" w14:textId="77777777" w:rsidR="00000000" w:rsidRDefault="0053651E">
            <w:pPr>
              <w:pStyle w:val="a3"/>
              <w:spacing w:before="0" w:beforeAutospacing="0" w:after="0" w:afterAutospacing="0"/>
              <w:jc w:val="center"/>
              <w:rPr>
                <w:sz w:val="20"/>
                <w:szCs w:val="20"/>
              </w:rPr>
            </w:pPr>
            <w:r>
              <w:rPr>
                <w:b/>
                <w:bCs/>
                <w:sz w:val="20"/>
                <w:szCs w:val="20"/>
              </w:rPr>
              <w:t>Page</w:t>
            </w:r>
          </w:p>
          <w:p w14:paraId="214FD854" w14:textId="77777777" w:rsidR="00000000" w:rsidRDefault="0053651E">
            <w:pPr>
              <w:pStyle w:val="a3"/>
              <w:spacing w:before="0" w:beforeAutospacing="0" w:after="0" w:afterAutospacing="0"/>
              <w:jc w:val="center"/>
              <w:rPr>
                <w:sz w:val="20"/>
                <w:szCs w:val="20"/>
              </w:rPr>
            </w:pPr>
            <w:r>
              <w:rPr>
                <w:b/>
                <w:bCs/>
                <w:sz w:val="20"/>
                <w:szCs w:val="20"/>
                <w:u w:val="single"/>
              </w:rPr>
              <w:t>Number</w:t>
            </w:r>
          </w:p>
        </w:tc>
      </w:tr>
      <w:tr w:rsidR="00000000" w14:paraId="7BED51FB" w14:textId="77777777">
        <w:trPr>
          <w:tblCellSpacing w:w="0" w:type="dxa"/>
        </w:trPr>
        <w:tc>
          <w:tcPr>
            <w:tcW w:w="400" w:type="pct"/>
            <w:hideMark/>
          </w:tcPr>
          <w:p w14:paraId="773B751D" w14:textId="77777777" w:rsidR="00000000" w:rsidRDefault="0053651E">
            <w:pPr>
              <w:pStyle w:val="a3"/>
              <w:spacing w:before="0" w:beforeAutospacing="0" w:after="0" w:afterAutospacing="0"/>
              <w:rPr>
                <w:sz w:val="20"/>
                <w:szCs w:val="20"/>
              </w:rPr>
            </w:pPr>
            <w:r>
              <w:rPr>
                <w:sz w:val="20"/>
                <w:szCs w:val="20"/>
              </w:rPr>
              <w:t>3.1(a) </w:t>
            </w:r>
          </w:p>
        </w:tc>
        <w:tc>
          <w:tcPr>
            <w:tcW w:w="2200" w:type="pct"/>
            <w:hideMark/>
          </w:tcPr>
          <w:p w14:paraId="3F08D2FF" w14:textId="77777777" w:rsidR="00000000" w:rsidRDefault="0053651E">
            <w:pPr>
              <w:pStyle w:val="a3"/>
              <w:spacing w:before="0" w:beforeAutospacing="0" w:after="0" w:afterAutospacing="0"/>
              <w:rPr>
                <w:sz w:val="20"/>
                <w:szCs w:val="20"/>
              </w:rPr>
            </w:pPr>
            <w:hyperlink r:id="rId6" w:history="1">
              <w:r>
                <w:rPr>
                  <w:rStyle w:val="a4"/>
                  <w:sz w:val="20"/>
                  <w:szCs w:val="20"/>
                </w:rPr>
                <w:t>Articles of Restatement of Kimco Realty Corporation, dated January 14, 2011</w:t>
              </w:r>
            </w:hyperlink>
          </w:p>
        </w:tc>
        <w:tc>
          <w:tcPr>
            <w:tcW w:w="400" w:type="pct"/>
            <w:hideMark/>
          </w:tcPr>
          <w:p w14:paraId="5093450C"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3CCCB0FB"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3AE5BF0" w14:textId="77777777" w:rsidR="00000000" w:rsidRDefault="0053651E">
            <w:pPr>
              <w:pStyle w:val="a3"/>
              <w:spacing w:before="0" w:beforeAutospacing="0" w:after="0" w:afterAutospacing="0"/>
              <w:jc w:val="center"/>
              <w:rPr>
                <w:sz w:val="20"/>
                <w:szCs w:val="20"/>
              </w:rPr>
            </w:pPr>
            <w:r>
              <w:rPr>
                <w:sz w:val="20"/>
                <w:szCs w:val="20"/>
              </w:rPr>
              <w:t>02/28/11</w:t>
            </w:r>
          </w:p>
        </w:tc>
        <w:tc>
          <w:tcPr>
            <w:tcW w:w="350" w:type="pct"/>
            <w:hideMark/>
          </w:tcPr>
          <w:p w14:paraId="2309B5FE" w14:textId="77777777" w:rsidR="00000000" w:rsidRDefault="0053651E">
            <w:pPr>
              <w:pStyle w:val="a3"/>
              <w:spacing w:before="0" w:beforeAutospacing="0" w:after="0" w:afterAutospacing="0"/>
              <w:jc w:val="center"/>
              <w:rPr>
                <w:sz w:val="20"/>
                <w:szCs w:val="20"/>
              </w:rPr>
            </w:pPr>
            <w:r>
              <w:rPr>
                <w:sz w:val="20"/>
                <w:szCs w:val="20"/>
              </w:rPr>
              <w:t>3.1(a)</w:t>
            </w:r>
          </w:p>
        </w:tc>
        <w:tc>
          <w:tcPr>
            <w:tcW w:w="400" w:type="pct"/>
            <w:hideMark/>
          </w:tcPr>
          <w:p w14:paraId="4697A6C4" w14:textId="77777777" w:rsidR="00000000" w:rsidRDefault="0053651E">
            <w:pPr>
              <w:rPr>
                <w:rFonts w:eastAsia="Times New Roman"/>
                <w:sz w:val="20"/>
                <w:szCs w:val="20"/>
              </w:rPr>
            </w:pPr>
            <w:r>
              <w:rPr>
                <w:rFonts w:eastAsia="Times New Roman"/>
                <w:sz w:val="20"/>
                <w:szCs w:val="20"/>
              </w:rPr>
              <w:t> </w:t>
            </w:r>
          </w:p>
        </w:tc>
        <w:tc>
          <w:tcPr>
            <w:tcW w:w="300" w:type="pct"/>
            <w:hideMark/>
          </w:tcPr>
          <w:p w14:paraId="42E590B5" w14:textId="77777777" w:rsidR="00000000" w:rsidRDefault="0053651E">
            <w:pPr>
              <w:rPr>
                <w:rFonts w:eastAsia="Times New Roman"/>
                <w:sz w:val="20"/>
                <w:szCs w:val="20"/>
              </w:rPr>
            </w:pPr>
            <w:r>
              <w:rPr>
                <w:rFonts w:eastAsia="Times New Roman"/>
                <w:sz w:val="20"/>
                <w:szCs w:val="20"/>
              </w:rPr>
              <w:t> </w:t>
            </w:r>
          </w:p>
        </w:tc>
      </w:tr>
      <w:tr w:rsidR="00000000" w14:paraId="1F4AD8CD" w14:textId="77777777">
        <w:trPr>
          <w:tblCellSpacing w:w="0" w:type="dxa"/>
        </w:trPr>
        <w:tc>
          <w:tcPr>
            <w:tcW w:w="400" w:type="pct"/>
            <w:hideMark/>
          </w:tcPr>
          <w:p w14:paraId="5A6F0F68" w14:textId="77777777" w:rsidR="00000000" w:rsidRDefault="0053651E">
            <w:pPr>
              <w:pStyle w:val="a3"/>
              <w:spacing w:before="0" w:beforeAutospacing="0" w:after="0" w:afterAutospacing="0"/>
              <w:rPr>
                <w:sz w:val="20"/>
                <w:szCs w:val="20"/>
              </w:rPr>
            </w:pPr>
            <w:r>
              <w:rPr>
                <w:sz w:val="20"/>
                <w:szCs w:val="20"/>
              </w:rPr>
              <w:t>3.1(b)</w:t>
            </w:r>
          </w:p>
        </w:tc>
        <w:tc>
          <w:tcPr>
            <w:tcW w:w="2200" w:type="pct"/>
            <w:hideMark/>
          </w:tcPr>
          <w:p w14:paraId="71AEE11E" w14:textId="77777777" w:rsidR="00000000" w:rsidRDefault="0053651E">
            <w:pPr>
              <w:pStyle w:val="a3"/>
              <w:spacing w:before="0" w:beforeAutospacing="0" w:after="0" w:afterAutospacing="0"/>
              <w:rPr>
                <w:sz w:val="20"/>
                <w:szCs w:val="20"/>
              </w:rPr>
            </w:pPr>
            <w:hyperlink r:id="rId7" w:history="1">
              <w:r>
                <w:rPr>
                  <w:rStyle w:val="a4"/>
                  <w:sz w:val="20"/>
                  <w:szCs w:val="20"/>
                </w:rPr>
                <w:t>Amendment to Articles of Restatement of Kimco Realty Corporation, dated May 8, 2014</w:t>
              </w:r>
            </w:hyperlink>
          </w:p>
        </w:tc>
        <w:tc>
          <w:tcPr>
            <w:tcW w:w="400" w:type="pct"/>
            <w:hideMark/>
          </w:tcPr>
          <w:p w14:paraId="5CFF4205"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4794990D"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2AC05C65" w14:textId="77777777" w:rsidR="00000000" w:rsidRDefault="0053651E">
            <w:pPr>
              <w:pStyle w:val="a3"/>
              <w:spacing w:before="0" w:beforeAutospacing="0" w:after="0" w:afterAutospacing="0"/>
              <w:jc w:val="center"/>
              <w:rPr>
                <w:sz w:val="20"/>
                <w:szCs w:val="20"/>
              </w:rPr>
            </w:pPr>
            <w:r>
              <w:rPr>
                <w:sz w:val="20"/>
                <w:szCs w:val="20"/>
              </w:rPr>
              <w:t>02/27/17</w:t>
            </w:r>
          </w:p>
        </w:tc>
        <w:tc>
          <w:tcPr>
            <w:tcW w:w="350" w:type="pct"/>
            <w:hideMark/>
          </w:tcPr>
          <w:p w14:paraId="30A54BE9" w14:textId="77777777" w:rsidR="00000000" w:rsidRDefault="0053651E">
            <w:pPr>
              <w:pStyle w:val="a3"/>
              <w:spacing w:before="0" w:beforeAutospacing="0" w:after="0" w:afterAutospacing="0"/>
              <w:jc w:val="center"/>
              <w:rPr>
                <w:sz w:val="20"/>
                <w:szCs w:val="20"/>
              </w:rPr>
            </w:pPr>
            <w:r>
              <w:rPr>
                <w:sz w:val="20"/>
                <w:szCs w:val="20"/>
              </w:rPr>
              <w:t>3.1(b)</w:t>
            </w:r>
          </w:p>
        </w:tc>
        <w:tc>
          <w:tcPr>
            <w:tcW w:w="400" w:type="pct"/>
            <w:hideMark/>
          </w:tcPr>
          <w:p w14:paraId="505DEC7B" w14:textId="77777777" w:rsidR="00000000" w:rsidRDefault="0053651E">
            <w:pPr>
              <w:rPr>
                <w:rFonts w:eastAsia="Times New Roman"/>
                <w:sz w:val="20"/>
                <w:szCs w:val="20"/>
              </w:rPr>
            </w:pPr>
            <w:r>
              <w:rPr>
                <w:rFonts w:eastAsia="Times New Roman"/>
                <w:sz w:val="20"/>
                <w:szCs w:val="20"/>
              </w:rPr>
              <w:t> </w:t>
            </w:r>
          </w:p>
        </w:tc>
        <w:tc>
          <w:tcPr>
            <w:tcW w:w="300" w:type="pct"/>
            <w:hideMark/>
          </w:tcPr>
          <w:p w14:paraId="3E46056C" w14:textId="77777777" w:rsidR="00000000" w:rsidRDefault="0053651E">
            <w:pPr>
              <w:rPr>
                <w:rFonts w:eastAsia="Times New Roman"/>
                <w:sz w:val="20"/>
                <w:szCs w:val="20"/>
              </w:rPr>
            </w:pPr>
            <w:r>
              <w:rPr>
                <w:rFonts w:eastAsia="Times New Roman"/>
                <w:sz w:val="20"/>
                <w:szCs w:val="20"/>
              </w:rPr>
              <w:t> </w:t>
            </w:r>
          </w:p>
        </w:tc>
      </w:tr>
      <w:tr w:rsidR="00000000" w14:paraId="7C9D672E" w14:textId="77777777">
        <w:trPr>
          <w:tblCellSpacing w:w="0" w:type="dxa"/>
        </w:trPr>
        <w:tc>
          <w:tcPr>
            <w:tcW w:w="400" w:type="pct"/>
            <w:hideMark/>
          </w:tcPr>
          <w:p w14:paraId="156BFEC7" w14:textId="77777777" w:rsidR="00000000" w:rsidRDefault="0053651E">
            <w:pPr>
              <w:pStyle w:val="a3"/>
              <w:spacing w:before="0" w:beforeAutospacing="0" w:after="0" w:afterAutospacing="0"/>
              <w:rPr>
                <w:sz w:val="20"/>
                <w:szCs w:val="20"/>
              </w:rPr>
            </w:pPr>
            <w:r>
              <w:rPr>
                <w:sz w:val="20"/>
                <w:szCs w:val="20"/>
              </w:rPr>
              <w:t>3.1(c) </w:t>
            </w:r>
          </w:p>
        </w:tc>
        <w:tc>
          <w:tcPr>
            <w:tcW w:w="2200" w:type="pct"/>
            <w:hideMark/>
          </w:tcPr>
          <w:p w14:paraId="6B19C4A6" w14:textId="77777777" w:rsidR="00000000" w:rsidRDefault="0053651E">
            <w:pPr>
              <w:pStyle w:val="a3"/>
              <w:spacing w:before="0" w:beforeAutospacing="0" w:after="0" w:afterAutospacing="0"/>
              <w:rPr>
                <w:sz w:val="20"/>
                <w:szCs w:val="20"/>
              </w:rPr>
            </w:pPr>
            <w:hyperlink r:id="rId8" w:history="1">
              <w:r>
                <w:rPr>
                  <w:rStyle w:val="a4"/>
                  <w:sz w:val="20"/>
                  <w:szCs w:val="20"/>
                </w:rPr>
                <w:t>Articles Supplementary of Kimco Realty Corporation, dated November 8, 2010</w:t>
              </w:r>
            </w:hyperlink>
          </w:p>
        </w:tc>
        <w:tc>
          <w:tcPr>
            <w:tcW w:w="400" w:type="pct"/>
            <w:hideMark/>
          </w:tcPr>
          <w:p w14:paraId="569A0286"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6D5FB002"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AF03B0F" w14:textId="77777777" w:rsidR="00000000" w:rsidRDefault="0053651E">
            <w:pPr>
              <w:pStyle w:val="a3"/>
              <w:spacing w:before="0" w:beforeAutospacing="0" w:after="0" w:afterAutospacing="0"/>
              <w:jc w:val="center"/>
              <w:rPr>
                <w:sz w:val="20"/>
                <w:szCs w:val="20"/>
              </w:rPr>
            </w:pPr>
            <w:r>
              <w:rPr>
                <w:sz w:val="20"/>
                <w:szCs w:val="20"/>
              </w:rPr>
              <w:t>02/28/11</w:t>
            </w:r>
          </w:p>
        </w:tc>
        <w:tc>
          <w:tcPr>
            <w:tcW w:w="350" w:type="pct"/>
            <w:hideMark/>
          </w:tcPr>
          <w:p w14:paraId="3D166B84" w14:textId="77777777" w:rsidR="00000000" w:rsidRDefault="0053651E">
            <w:pPr>
              <w:pStyle w:val="a3"/>
              <w:spacing w:before="0" w:beforeAutospacing="0" w:after="0" w:afterAutospacing="0"/>
              <w:jc w:val="center"/>
              <w:rPr>
                <w:sz w:val="20"/>
                <w:szCs w:val="20"/>
              </w:rPr>
            </w:pPr>
            <w:r>
              <w:rPr>
                <w:sz w:val="20"/>
                <w:szCs w:val="20"/>
              </w:rPr>
              <w:t>3.1(b)</w:t>
            </w:r>
          </w:p>
        </w:tc>
        <w:tc>
          <w:tcPr>
            <w:tcW w:w="400" w:type="pct"/>
            <w:hideMark/>
          </w:tcPr>
          <w:p w14:paraId="20278238" w14:textId="77777777" w:rsidR="00000000" w:rsidRDefault="0053651E">
            <w:pPr>
              <w:rPr>
                <w:rFonts w:eastAsia="Times New Roman"/>
                <w:sz w:val="20"/>
                <w:szCs w:val="20"/>
              </w:rPr>
            </w:pPr>
            <w:r>
              <w:rPr>
                <w:rFonts w:eastAsia="Times New Roman"/>
                <w:sz w:val="20"/>
                <w:szCs w:val="20"/>
              </w:rPr>
              <w:t> </w:t>
            </w:r>
          </w:p>
        </w:tc>
        <w:tc>
          <w:tcPr>
            <w:tcW w:w="300" w:type="pct"/>
            <w:hideMark/>
          </w:tcPr>
          <w:p w14:paraId="26BB5AF6" w14:textId="77777777" w:rsidR="00000000" w:rsidRDefault="0053651E">
            <w:pPr>
              <w:rPr>
                <w:rFonts w:eastAsia="Times New Roman"/>
                <w:sz w:val="20"/>
                <w:szCs w:val="20"/>
              </w:rPr>
            </w:pPr>
            <w:r>
              <w:rPr>
                <w:rFonts w:eastAsia="Times New Roman"/>
                <w:sz w:val="20"/>
                <w:szCs w:val="20"/>
              </w:rPr>
              <w:t> </w:t>
            </w:r>
          </w:p>
        </w:tc>
      </w:tr>
      <w:tr w:rsidR="00000000" w14:paraId="3A5A47A4" w14:textId="77777777">
        <w:trPr>
          <w:tblCellSpacing w:w="0" w:type="dxa"/>
        </w:trPr>
        <w:tc>
          <w:tcPr>
            <w:tcW w:w="400" w:type="pct"/>
            <w:hideMark/>
          </w:tcPr>
          <w:p w14:paraId="3D8C4B6B" w14:textId="77777777" w:rsidR="00000000" w:rsidRDefault="0053651E">
            <w:pPr>
              <w:pStyle w:val="a3"/>
              <w:spacing w:before="0" w:beforeAutospacing="0" w:after="0" w:afterAutospacing="0"/>
              <w:rPr>
                <w:sz w:val="20"/>
                <w:szCs w:val="20"/>
              </w:rPr>
            </w:pPr>
            <w:r>
              <w:rPr>
                <w:sz w:val="20"/>
                <w:szCs w:val="20"/>
              </w:rPr>
              <w:t>3.1(d)</w:t>
            </w:r>
          </w:p>
        </w:tc>
        <w:tc>
          <w:tcPr>
            <w:tcW w:w="2200" w:type="pct"/>
            <w:hideMark/>
          </w:tcPr>
          <w:p w14:paraId="4A361D84" w14:textId="77777777" w:rsidR="00000000" w:rsidRDefault="0053651E">
            <w:pPr>
              <w:pStyle w:val="a3"/>
              <w:spacing w:before="0" w:beforeAutospacing="0" w:after="0" w:afterAutospacing="0"/>
              <w:rPr>
                <w:sz w:val="20"/>
                <w:szCs w:val="20"/>
              </w:rPr>
            </w:pPr>
            <w:hyperlink r:id="rId9" w:history="1">
              <w:r>
                <w:rPr>
                  <w:rStyle w:val="a4"/>
                  <w:sz w:val="20"/>
                  <w:szCs w:val="20"/>
                </w:rPr>
                <w:t>Articles Supplementary of Kimco Realty Corporation, dated March 12, 2012</w:t>
              </w:r>
            </w:hyperlink>
          </w:p>
        </w:tc>
        <w:tc>
          <w:tcPr>
            <w:tcW w:w="400" w:type="pct"/>
            <w:hideMark/>
          </w:tcPr>
          <w:p w14:paraId="19171C09" w14:textId="77777777" w:rsidR="00000000" w:rsidRDefault="0053651E">
            <w:pPr>
              <w:pStyle w:val="a3"/>
              <w:spacing w:before="0" w:beforeAutospacing="0" w:after="0" w:afterAutospacing="0"/>
              <w:jc w:val="center"/>
              <w:rPr>
                <w:sz w:val="20"/>
                <w:szCs w:val="20"/>
              </w:rPr>
            </w:pPr>
            <w:r>
              <w:rPr>
                <w:sz w:val="20"/>
                <w:szCs w:val="20"/>
              </w:rPr>
              <w:t>8-A12B</w:t>
            </w:r>
          </w:p>
        </w:tc>
        <w:tc>
          <w:tcPr>
            <w:tcW w:w="450" w:type="pct"/>
            <w:hideMark/>
          </w:tcPr>
          <w:p w14:paraId="269B38E6"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2BE288CD" w14:textId="77777777" w:rsidR="00000000" w:rsidRDefault="0053651E">
            <w:pPr>
              <w:pStyle w:val="a3"/>
              <w:spacing w:before="0" w:beforeAutospacing="0" w:after="0" w:afterAutospacing="0"/>
              <w:jc w:val="center"/>
              <w:rPr>
                <w:sz w:val="20"/>
                <w:szCs w:val="20"/>
              </w:rPr>
            </w:pPr>
            <w:r>
              <w:rPr>
                <w:sz w:val="20"/>
                <w:szCs w:val="20"/>
              </w:rPr>
              <w:t>03/13/12</w:t>
            </w:r>
          </w:p>
        </w:tc>
        <w:tc>
          <w:tcPr>
            <w:tcW w:w="350" w:type="pct"/>
            <w:hideMark/>
          </w:tcPr>
          <w:p w14:paraId="2CA6F19F" w14:textId="77777777" w:rsidR="00000000" w:rsidRDefault="0053651E">
            <w:pPr>
              <w:pStyle w:val="a3"/>
              <w:spacing w:before="0" w:beforeAutospacing="0" w:after="0" w:afterAutospacing="0"/>
              <w:jc w:val="center"/>
              <w:rPr>
                <w:sz w:val="20"/>
                <w:szCs w:val="20"/>
              </w:rPr>
            </w:pPr>
            <w:r>
              <w:rPr>
                <w:sz w:val="20"/>
                <w:szCs w:val="20"/>
              </w:rPr>
              <w:t>3.2</w:t>
            </w:r>
          </w:p>
        </w:tc>
        <w:tc>
          <w:tcPr>
            <w:tcW w:w="400" w:type="pct"/>
            <w:hideMark/>
          </w:tcPr>
          <w:p w14:paraId="1B902FBD" w14:textId="77777777" w:rsidR="00000000" w:rsidRDefault="0053651E">
            <w:pPr>
              <w:rPr>
                <w:rFonts w:eastAsia="Times New Roman"/>
                <w:sz w:val="20"/>
                <w:szCs w:val="20"/>
              </w:rPr>
            </w:pPr>
            <w:r>
              <w:rPr>
                <w:rFonts w:eastAsia="Times New Roman"/>
                <w:sz w:val="20"/>
                <w:szCs w:val="20"/>
              </w:rPr>
              <w:t> </w:t>
            </w:r>
          </w:p>
        </w:tc>
        <w:tc>
          <w:tcPr>
            <w:tcW w:w="300" w:type="pct"/>
            <w:hideMark/>
          </w:tcPr>
          <w:p w14:paraId="05842A60" w14:textId="77777777" w:rsidR="00000000" w:rsidRDefault="0053651E">
            <w:pPr>
              <w:rPr>
                <w:rFonts w:eastAsia="Times New Roman"/>
                <w:sz w:val="20"/>
                <w:szCs w:val="20"/>
              </w:rPr>
            </w:pPr>
            <w:r>
              <w:rPr>
                <w:rFonts w:eastAsia="Times New Roman"/>
                <w:sz w:val="20"/>
                <w:szCs w:val="20"/>
              </w:rPr>
              <w:t> </w:t>
            </w:r>
          </w:p>
        </w:tc>
      </w:tr>
      <w:tr w:rsidR="00000000" w14:paraId="75FE0D82" w14:textId="77777777">
        <w:trPr>
          <w:tblCellSpacing w:w="0" w:type="dxa"/>
        </w:trPr>
        <w:tc>
          <w:tcPr>
            <w:tcW w:w="400" w:type="pct"/>
            <w:hideMark/>
          </w:tcPr>
          <w:p w14:paraId="347B4335" w14:textId="77777777" w:rsidR="00000000" w:rsidRDefault="0053651E">
            <w:pPr>
              <w:pStyle w:val="a3"/>
              <w:spacing w:before="0" w:beforeAutospacing="0" w:after="0" w:afterAutospacing="0"/>
              <w:rPr>
                <w:sz w:val="20"/>
                <w:szCs w:val="20"/>
              </w:rPr>
            </w:pPr>
            <w:r>
              <w:rPr>
                <w:sz w:val="20"/>
                <w:szCs w:val="20"/>
              </w:rPr>
              <w:t>3.1(e)</w:t>
            </w:r>
          </w:p>
        </w:tc>
        <w:tc>
          <w:tcPr>
            <w:tcW w:w="2200" w:type="pct"/>
            <w:hideMark/>
          </w:tcPr>
          <w:p w14:paraId="77CE1FEB" w14:textId="77777777" w:rsidR="00000000" w:rsidRDefault="0053651E">
            <w:pPr>
              <w:pStyle w:val="a3"/>
              <w:spacing w:before="0" w:beforeAutospacing="0" w:after="0" w:afterAutospacing="0"/>
              <w:rPr>
                <w:sz w:val="20"/>
                <w:szCs w:val="20"/>
              </w:rPr>
            </w:pPr>
            <w:hyperlink r:id="rId10" w:history="1">
              <w:r>
                <w:rPr>
                  <w:rStyle w:val="a4"/>
                  <w:sz w:val="20"/>
                  <w:szCs w:val="20"/>
                </w:rPr>
                <w:t>Articles Supplementary of Kimco Realty Corporation, dated July 17, 2012</w:t>
              </w:r>
            </w:hyperlink>
          </w:p>
        </w:tc>
        <w:tc>
          <w:tcPr>
            <w:tcW w:w="400" w:type="pct"/>
            <w:hideMark/>
          </w:tcPr>
          <w:p w14:paraId="39AB6824" w14:textId="77777777" w:rsidR="00000000" w:rsidRDefault="0053651E">
            <w:pPr>
              <w:pStyle w:val="a3"/>
              <w:spacing w:before="0" w:beforeAutospacing="0" w:after="0" w:afterAutospacing="0"/>
              <w:jc w:val="center"/>
              <w:rPr>
                <w:sz w:val="20"/>
                <w:szCs w:val="20"/>
              </w:rPr>
            </w:pPr>
            <w:r>
              <w:rPr>
                <w:sz w:val="20"/>
                <w:szCs w:val="20"/>
              </w:rPr>
              <w:t>8-A12B</w:t>
            </w:r>
          </w:p>
        </w:tc>
        <w:tc>
          <w:tcPr>
            <w:tcW w:w="450" w:type="pct"/>
            <w:hideMark/>
          </w:tcPr>
          <w:p w14:paraId="7FC70AF6"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1FC7010" w14:textId="77777777" w:rsidR="00000000" w:rsidRDefault="0053651E">
            <w:pPr>
              <w:pStyle w:val="a3"/>
              <w:spacing w:before="0" w:beforeAutospacing="0" w:after="0" w:afterAutospacing="0"/>
              <w:jc w:val="center"/>
              <w:rPr>
                <w:sz w:val="20"/>
                <w:szCs w:val="20"/>
              </w:rPr>
            </w:pPr>
            <w:r>
              <w:rPr>
                <w:sz w:val="20"/>
                <w:szCs w:val="20"/>
              </w:rPr>
              <w:t>07/18/12</w:t>
            </w:r>
          </w:p>
        </w:tc>
        <w:tc>
          <w:tcPr>
            <w:tcW w:w="350" w:type="pct"/>
            <w:hideMark/>
          </w:tcPr>
          <w:p w14:paraId="1C63D07C" w14:textId="77777777" w:rsidR="00000000" w:rsidRDefault="0053651E">
            <w:pPr>
              <w:pStyle w:val="a3"/>
              <w:spacing w:before="0" w:beforeAutospacing="0" w:after="0" w:afterAutospacing="0"/>
              <w:jc w:val="center"/>
              <w:rPr>
                <w:sz w:val="20"/>
                <w:szCs w:val="20"/>
              </w:rPr>
            </w:pPr>
            <w:r>
              <w:rPr>
                <w:sz w:val="20"/>
                <w:szCs w:val="20"/>
              </w:rPr>
              <w:t>3.2</w:t>
            </w:r>
          </w:p>
        </w:tc>
        <w:tc>
          <w:tcPr>
            <w:tcW w:w="400" w:type="pct"/>
            <w:hideMark/>
          </w:tcPr>
          <w:p w14:paraId="3C41E124" w14:textId="77777777" w:rsidR="00000000" w:rsidRDefault="0053651E">
            <w:pPr>
              <w:rPr>
                <w:rFonts w:eastAsia="Times New Roman"/>
                <w:sz w:val="20"/>
                <w:szCs w:val="20"/>
              </w:rPr>
            </w:pPr>
            <w:r>
              <w:rPr>
                <w:rFonts w:eastAsia="Times New Roman"/>
                <w:sz w:val="20"/>
                <w:szCs w:val="20"/>
              </w:rPr>
              <w:t> </w:t>
            </w:r>
          </w:p>
        </w:tc>
        <w:tc>
          <w:tcPr>
            <w:tcW w:w="300" w:type="pct"/>
            <w:hideMark/>
          </w:tcPr>
          <w:p w14:paraId="4666EF7B" w14:textId="77777777" w:rsidR="00000000" w:rsidRDefault="0053651E">
            <w:pPr>
              <w:rPr>
                <w:rFonts w:eastAsia="Times New Roman"/>
                <w:sz w:val="20"/>
                <w:szCs w:val="20"/>
              </w:rPr>
            </w:pPr>
            <w:r>
              <w:rPr>
                <w:rFonts w:eastAsia="Times New Roman"/>
                <w:sz w:val="20"/>
                <w:szCs w:val="20"/>
              </w:rPr>
              <w:t> </w:t>
            </w:r>
          </w:p>
        </w:tc>
      </w:tr>
      <w:tr w:rsidR="00000000" w14:paraId="6E4CA520" w14:textId="77777777">
        <w:trPr>
          <w:tblCellSpacing w:w="0" w:type="dxa"/>
        </w:trPr>
        <w:tc>
          <w:tcPr>
            <w:tcW w:w="400" w:type="pct"/>
            <w:hideMark/>
          </w:tcPr>
          <w:p w14:paraId="2E592D89" w14:textId="77777777" w:rsidR="00000000" w:rsidRDefault="0053651E">
            <w:pPr>
              <w:pStyle w:val="a3"/>
              <w:spacing w:before="0" w:beforeAutospacing="0" w:after="0" w:afterAutospacing="0"/>
              <w:rPr>
                <w:sz w:val="20"/>
                <w:szCs w:val="20"/>
              </w:rPr>
            </w:pPr>
            <w:r>
              <w:rPr>
                <w:sz w:val="20"/>
                <w:szCs w:val="20"/>
              </w:rPr>
              <w:t>3.1(f)</w:t>
            </w:r>
          </w:p>
        </w:tc>
        <w:tc>
          <w:tcPr>
            <w:tcW w:w="2200" w:type="pct"/>
            <w:hideMark/>
          </w:tcPr>
          <w:p w14:paraId="2E34BD9B" w14:textId="77777777" w:rsidR="00000000" w:rsidRDefault="0053651E">
            <w:pPr>
              <w:pStyle w:val="a3"/>
              <w:spacing w:before="0" w:beforeAutospacing="0" w:after="0" w:afterAutospacing="0"/>
              <w:rPr>
                <w:sz w:val="20"/>
                <w:szCs w:val="20"/>
              </w:rPr>
            </w:pPr>
            <w:hyperlink r:id="rId11" w:history="1">
              <w:r>
                <w:rPr>
                  <w:rStyle w:val="a4"/>
                  <w:sz w:val="20"/>
                  <w:szCs w:val="20"/>
                </w:rPr>
                <w:t>Articles Supp</w:t>
              </w:r>
              <w:r>
                <w:rPr>
                  <w:rStyle w:val="a4"/>
                  <w:sz w:val="20"/>
                  <w:szCs w:val="20"/>
                </w:rPr>
                <w:t>lementary of Kimco Realty Corporation, dated November 30, 2012</w:t>
              </w:r>
            </w:hyperlink>
          </w:p>
        </w:tc>
        <w:tc>
          <w:tcPr>
            <w:tcW w:w="400" w:type="pct"/>
            <w:hideMark/>
          </w:tcPr>
          <w:p w14:paraId="385ABF2C" w14:textId="77777777" w:rsidR="00000000" w:rsidRDefault="0053651E">
            <w:pPr>
              <w:pStyle w:val="a3"/>
              <w:spacing w:before="0" w:beforeAutospacing="0" w:after="0" w:afterAutospacing="0"/>
              <w:jc w:val="center"/>
              <w:rPr>
                <w:sz w:val="20"/>
                <w:szCs w:val="20"/>
              </w:rPr>
            </w:pPr>
            <w:r>
              <w:rPr>
                <w:sz w:val="20"/>
                <w:szCs w:val="20"/>
              </w:rPr>
              <w:t>8-A12B</w:t>
            </w:r>
          </w:p>
        </w:tc>
        <w:tc>
          <w:tcPr>
            <w:tcW w:w="450" w:type="pct"/>
            <w:hideMark/>
          </w:tcPr>
          <w:p w14:paraId="0C64C8FD"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17F48C3" w14:textId="77777777" w:rsidR="00000000" w:rsidRDefault="0053651E">
            <w:pPr>
              <w:pStyle w:val="a3"/>
              <w:spacing w:before="0" w:beforeAutospacing="0" w:after="0" w:afterAutospacing="0"/>
              <w:jc w:val="center"/>
              <w:rPr>
                <w:sz w:val="20"/>
                <w:szCs w:val="20"/>
              </w:rPr>
            </w:pPr>
            <w:r>
              <w:rPr>
                <w:sz w:val="20"/>
                <w:szCs w:val="20"/>
              </w:rPr>
              <w:t>12/03/12</w:t>
            </w:r>
          </w:p>
        </w:tc>
        <w:tc>
          <w:tcPr>
            <w:tcW w:w="350" w:type="pct"/>
            <w:hideMark/>
          </w:tcPr>
          <w:p w14:paraId="5B1712D1" w14:textId="77777777" w:rsidR="00000000" w:rsidRDefault="0053651E">
            <w:pPr>
              <w:pStyle w:val="a3"/>
              <w:spacing w:before="0" w:beforeAutospacing="0" w:after="0" w:afterAutospacing="0"/>
              <w:jc w:val="center"/>
              <w:rPr>
                <w:sz w:val="20"/>
                <w:szCs w:val="20"/>
              </w:rPr>
            </w:pPr>
            <w:r>
              <w:rPr>
                <w:sz w:val="20"/>
                <w:szCs w:val="20"/>
              </w:rPr>
              <w:t>3.2</w:t>
            </w:r>
          </w:p>
        </w:tc>
        <w:tc>
          <w:tcPr>
            <w:tcW w:w="400" w:type="pct"/>
            <w:hideMark/>
          </w:tcPr>
          <w:p w14:paraId="1F39BBB0" w14:textId="77777777" w:rsidR="00000000" w:rsidRDefault="0053651E">
            <w:pPr>
              <w:rPr>
                <w:rFonts w:eastAsia="Times New Roman"/>
                <w:sz w:val="20"/>
                <w:szCs w:val="20"/>
              </w:rPr>
            </w:pPr>
            <w:r>
              <w:rPr>
                <w:rFonts w:eastAsia="Times New Roman"/>
                <w:sz w:val="20"/>
                <w:szCs w:val="20"/>
              </w:rPr>
              <w:t> </w:t>
            </w:r>
          </w:p>
        </w:tc>
        <w:tc>
          <w:tcPr>
            <w:tcW w:w="300" w:type="pct"/>
            <w:hideMark/>
          </w:tcPr>
          <w:p w14:paraId="04E207AA" w14:textId="77777777" w:rsidR="00000000" w:rsidRDefault="0053651E">
            <w:pPr>
              <w:rPr>
                <w:rFonts w:eastAsia="Times New Roman"/>
                <w:sz w:val="20"/>
                <w:szCs w:val="20"/>
              </w:rPr>
            </w:pPr>
            <w:r>
              <w:rPr>
                <w:rFonts w:eastAsia="Times New Roman"/>
                <w:sz w:val="20"/>
                <w:szCs w:val="20"/>
              </w:rPr>
              <w:t> </w:t>
            </w:r>
          </w:p>
        </w:tc>
      </w:tr>
      <w:tr w:rsidR="00000000" w14:paraId="1DAAE9AB" w14:textId="77777777">
        <w:trPr>
          <w:tblCellSpacing w:w="0" w:type="dxa"/>
        </w:trPr>
        <w:tc>
          <w:tcPr>
            <w:tcW w:w="400" w:type="pct"/>
            <w:hideMark/>
          </w:tcPr>
          <w:p w14:paraId="0D67A873" w14:textId="77777777" w:rsidR="00000000" w:rsidRDefault="0053651E">
            <w:pPr>
              <w:pStyle w:val="a3"/>
              <w:spacing w:before="0" w:beforeAutospacing="0" w:after="0" w:afterAutospacing="0"/>
              <w:rPr>
                <w:sz w:val="20"/>
                <w:szCs w:val="20"/>
              </w:rPr>
            </w:pPr>
            <w:r>
              <w:rPr>
                <w:sz w:val="20"/>
                <w:szCs w:val="20"/>
              </w:rPr>
              <w:t>3.1(g)</w:t>
            </w:r>
          </w:p>
        </w:tc>
        <w:tc>
          <w:tcPr>
            <w:tcW w:w="2200" w:type="pct"/>
            <w:hideMark/>
          </w:tcPr>
          <w:p w14:paraId="5CB605F0" w14:textId="77777777" w:rsidR="00000000" w:rsidRDefault="0053651E">
            <w:pPr>
              <w:pStyle w:val="a3"/>
              <w:spacing w:before="0" w:beforeAutospacing="0" w:after="0" w:afterAutospacing="0"/>
              <w:rPr>
                <w:sz w:val="20"/>
                <w:szCs w:val="20"/>
              </w:rPr>
            </w:pPr>
            <w:hyperlink r:id="rId12" w:history="1">
              <w:r>
                <w:rPr>
                  <w:rStyle w:val="a4"/>
                  <w:sz w:val="20"/>
                  <w:szCs w:val="20"/>
                </w:rPr>
                <w:t>Articles Supplementary of Kimco Realty Corporation, dated August 8, 2017</w:t>
              </w:r>
            </w:hyperlink>
          </w:p>
        </w:tc>
        <w:tc>
          <w:tcPr>
            <w:tcW w:w="400" w:type="pct"/>
            <w:hideMark/>
          </w:tcPr>
          <w:p w14:paraId="4E0EB0F0" w14:textId="77777777" w:rsidR="00000000" w:rsidRDefault="0053651E">
            <w:pPr>
              <w:pStyle w:val="a3"/>
              <w:spacing w:before="0" w:beforeAutospacing="0" w:after="0" w:afterAutospacing="0"/>
              <w:jc w:val="center"/>
              <w:rPr>
                <w:sz w:val="20"/>
                <w:szCs w:val="20"/>
              </w:rPr>
            </w:pPr>
            <w:r>
              <w:rPr>
                <w:sz w:val="20"/>
                <w:szCs w:val="20"/>
              </w:rPr>
              <w:t>8-A12B</w:t>
            </w:r>
          </w:p>
        </w:tc>
        <w:tc>
          <w:tcPr>
            <w:tcW w:w="450" w:type="pct"/>
            <w:hideMark/>
          </w:tcPr>
          <w:p w14:paraId="24A6BE7B"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2BE63F9D" w14:textId="77777777" w:rsidR="00000000" w:rsidRDefault="0053651E">
            <w:pPr>
              <w:pStyle w:val="a3"/>
              <w:spacing w:before="0" w:beforeAutospacing="0" w:after="0" w:afterAutospacing="0"/>
              <w:jc w:val="center"/>
              <w:rPr>
                <w:sz w:val="20"/>
                <w:szCs w:val="20"/>
              </w:rPr>
            </w:pPr>
            <w:r>
              <w:rPr>
                <w:sz w:val="20"/>
                <w:szCs w:val="20"/>
              </w:rPr>
              <w:t>08/08/17</w:t>
            </w:r>
          </w:p>
        </w:tc>
        <w:tc>
          <w:tcPr>
            <w:tcW w:w="350" w:type="pct"/>
            <w:hideMark/>
          </w:tcPr>
          <w:p w14:paraId="3B233617" w14:textId="77777777" w:rsidR="00000000" w:rsidRDefault="0053651E">
            <w:pPr>
              <w:pStyle w:val="a3"/>
              <w:spacing w:before="0" w:beforeAutospacing="0" w:after="0" w:afterAutospacing="0"/>
              <w:jc w:val="center"/>
              <w:rPr>
                <w:sz w:val="20"/>
                <w:szCs w:val="20"/>
              </w:rPr>
            </w:pPr>
            <w:r>
              <w:rPr>
                <w:sz w:val="20"/>
                <w:szCs w:val="20"/>
              </w:rPr>
              <w:t>3.3</w:t>
            </w:r>
          </w:p>
        </w:tc>
        <w:tc>
          <w:tcPr>
            <w:tcW w:w="400" w:type="pct"/>
            <w:hideMark/>
          </w:tcPr>
          <w:p w14:paraId="50DED1D8" w14:textId="77777777" w:rsidR="00000000" w:rsidRDefault="0053651E">
            <w:pPr>
              <w:pStyle w:val="a3"/>
              <w:spacing w:before="0" w:beforeAutospacing="0" w:after="0" w:afterAutospacing="0"/>
              <w:rPr>
                <w:sz w:val="20"/>
                <w:szCs w:val="20"/>
              </w:rPr>
            </w:pPr>
            <w:r>
              <w:rPr>
                <w:sz w:val="20"/>
                <w:szCs w:val="20"/>
              </w:rPr>
              <w:t> </w:t>
            </w:r>
          </w:p>
        </w:tc>
        <w:tc>
          <w:tcPr>
            <w:tcW w:w="300" w:type="pct"/>
            <w:hideMark/>
          </w:tcPr>
          <w:p w14:paraId="0F251BDF" w14:textId="77777777" w:rsidR="00000000" w:rsidRDefault="0053651E">
            <w:pPr>
              <w:pStyle w:val="a3"/>
              <w:spacing w:before="0" w:beforeAutospacing="0" w:after="0" w:afterAutospacing="0"/>
              <w:rPr>
                <w:sz w:val="20"/>
                <w:szCs w:val="20"/>
              </w:rPr>
            </w:pPr>
            <w:r>
              <w:rPr>
                <w:sz w:val="20"/>
                <w:szCs w:val="20"/>
              </w:rPr>
              <w:t> </w:t>
            </w:r>
          </w:p>
        </w:tc>
      </w:tr>
      <w:tr w:rsidR="00000000" w14:paraId="7252095E" w14:textId="77777777">
        <w:trPr>
          <w:tblCellSpacing w:w="0" w:type="dxa"/>
        </w:trPr>
        <w:tc>
          <w:tcPr>
            <w:tcW w:w="400" w:type="pct"/>
            <w:hideMark/>
          </w:tcPr>
          <w:p w14:paraId="40D30CAE" w14:textId="77777777" w:rsidR="00000000" w:rsidRDefault="0053651E">
            <w:pPr>
              <w:pStyle w:val="a3"/>
              <w:spacing w:before="0" w:beforeAutospacing="0" w:after="0" w:afterAutospacing="0"/>
              <w:rPr>
                <w:sz w:val="20"/>
                <w:szCs w:val="20"/>
              </w:rPr>
            </w:pPr>
            <w:r>
              <w:rPr>
                <w:sz w:val="20"/>
                <w:szCs w:val="20"/>
              </w:rPr>
              <w:t>3.1(h)</w:t>
            </w:r>
          </w:p>
        </w:tc>
        <w:tc>
          <w:tcPr>
            <w:tcW w:w="2200" w:type="pct"/>
            <w:hideMark/>
          </w:tcPr>
          <w:p w14:paraId="7B9A3497" w14:textId="77777777" w:rsidR="00000000" w:rsidRDefault="0053651E">
            <w:pPr>
              <w:pStyle w:val="a3"/>
              <w:spacing w:before="0" w:beforeAutospacing="0" w:after="0" w:afterAutospacing="0"/>
              <w:rPr>
                <w:sz w:val="20"/>
                <w:szCs w:val="20"/>
              </w:rPr>
            </w:pPr>
            <w:hyperlink r:id="rId13" w:history="1">
              <w:r>
                <w:rPr>
                  <w:rStyle w:val="a4"/>
                  <w:sz w:val="20"/>
                  <w:szCs w:val="20"/>
                </w:rPr>
                <w:t>Articles Supplementary of Kimco Realty Corporation, dated December 12, 2017</w:t>
              </w:r>
            </w:hyperlink>
          </w:p>
        </w:tc>
        <w:tc>
          <w:tcPr>
            <w:tcW w:w="400" w:type="pct"/>
            <w:hideMark/>
          </w:tcPr>
          <w:p w14:paraId="65E08CB3" w14:textId="77777777" w:rsidR="00000000" w:rsidRDefault="0053651E">
            <w:pPr>
              <w:pStyle w:val="a3"/>
              <w:spacing w:before="0" w:beforeAutospacing="0" w:after="0" w:afterAutospacing="0"/>
              <w:jc w:val="center"/>
              <w:rPr>
                <w:sz w:val="20"/>
                <w:szCs w:val="20"/>
              </w:rPr>
            </w:pPr>
            <w:r>
              <w:rPr>
                <w:sz w:val="20"/>
                <w:szCs w:val="20"/>
              </w:rPr>
              <w:t>8-A12B</w:t>
            </w:r>
          </w:p>
        </w:tc>
        <w:tc>
          <w:tcPr>
            <w:tcW w:w="450" w:type="pct"/>
            <w:hideMark/>
          </w:tcPr>
          <w:p w14:paraId="72829501"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69B295F" w14:textId="77777777" w:rsidR="00000000" w:rsidRDefault="0053651E">
            <w:pPr>
              <w:pStyle w:val="a3"/>
              <w:spacing w:before="0" w:beforeAutospacing="0" w:after="0" w:afterAutospacing="0"/>
              <w:jc w:val="center"/>
              <w:rPr>
                <w:sz w:val="20"/>
                <w:szCs w:val="20"/>
              </w:rPr>
            </w:pPr>
            <w:r>
              <w:rPr>
                <w:sz w:val="20"/>
                <w:szCs w:val="20"/>
              </w:rPr>
              <w:t>12/12/17</w:t>
            </w:r>
          </w:p>
        </w:tc>
        <w:tc>
          <w:tcPr>
            <w:tcW w:w="350" w:type="pct"/>
            <w:hideMark/>
          </w:tcPr>
          <w:p w14:paraId="598EEB77" w14:textId="77777777" w:rsidR="00000000" w:rsidRDefault="0053651E">
            <w:pPr>
              <w:pStyle w:val="a3"/>
              <w:spacing w:before="0" w:beforeAutospacing="0" w:after="0" w:afterAutospacing="0"/>
              <w:jc w:val="center"/>
              <w:rPr>
                <w:sz w:val="20"/>
                <w:szCs w:val="20"/>
              </w:rPr>
            </w:pPr>
            <w:r>
              <w:rPr>
                <w:sz w:val="20"/>
                <w:szCs w:val="20"/>
              </w:rPr>
              <w:t>3.3</w:t>
            </w:r>
          </w:p>
        </w:tc>
        <w:tc>
          <w:tcPr>
            <w:tcW w:w="400" w:type="pct"/>
            <w:hideMark/>
          </w:tcPr>
          <w:p w14:paraId="5AEC18C8" w14:textId="77777777" w:rsidR="00000000" w:rsidRDefault="0053651E">
            <w:pPr>
              <w:rPr>
                <w:rFonts w:eastAsia="Times New Roman"/>
                <w:sz w:val="20"/>
                <w:szCs w:val="20"/>
              </w:rPr>
            </w:pPr>
            <w:r>
              <w:rPr>
                <w:rFonts w:eastAsia="Times New Roman"/>
                <w:sz w:val="20"/>
                <w:szCs w:val="20"/>
              </w:rPr>
              <w:t> </w:t>
            </w:r>
          </w:p>
        </w:tc>
        <w:tc>
          <w:tcPr>
            <w:tcW w:w="300" w:type="pct"/>
            <w:hideMark/>
          </w:tcPr>
          <w:p w14:paraId="2E7FA7B8" w14:textId="77777777" w:rsidR="00000000" w:rsidRDefault="0053651E">
            <w:pPr>
              <w:rPr>
                <w:rFonts w:eastAsia="Times New Roman"/>
                <w:sz w:val="20"/>
                <w:szCs w:val="20"/>
              </w:rPr>
            </w:pPr>
            <w:r>
              <w:rPr>
                <w:rFonts w:eastAsia="Times New Roman"/>
                <w:sz w:val="20"/>
                <w:szCs w:val="20"/>
              </w:rPr>
              <w:t> </w:t>
            </w:r>
          </w:p>
        </w:tc>
      </w:tr>
      <w:tr w:rsidR="00000000" w14:paraId="0DBEA27D" w14:textId="77777777">
        <w:trPr>
          <w:tblCellSpacing w:w="0" w:type="dxa"/>
        </w:trPr>
        <w:tc>
          <w:tcPr>
            <w:tcW w:w="400" w:type="pct"/>
            <w:hideMark/>
          </w:tcPr>
          <w:p w14:paraId="503E5EF2" w14:textId="77777777" w:rsidR="00000000" w:rsidRDefault="0053651E">
            <w:pPr>
              <w:pStyle w:val="a3"/>
              <w:spacing w:before="0" w:beforeAutospacing="0" w:after="0" w:afterAutospacing="0"/>
              <w:rPr>
                <w:sz w:val="20"/>
                <w:szCs w:val="20"/>
              </w:rPr>
            </w:pPr>
            <w:r>
              <w:rPr>
                <w:sz w:val="20"/>
                <w:szCs w:val="20"/>
              </w:rPr>
              <w:t>3.2</w:t>
            </w:r>
          </w:p>
        </w:tc>
        <w:tc>
          <w:tcPr>
            <w:tcW w:w="2200" w:type="pct"/>
            <w:hideMark/>
          </w:tcPr>
          <w:p w14:paraId="03CD573D" w14:textId="77777777" w:rsidR="00000000" w:rsidRDefault="0053651E">
            <w:pPr>
              <w:pStyle w:val="a3"/>
              <w:spacing w:before="0" w:beforeAutospacing="0" w:after="0" w:afterAutospacing="0"/>
              <w:rPr>
                <w:sz w:val="20"/>
                <w:szCs w:val="20"/>
              </w:rPr>
            </w:pPr>
            <w:hyperlink r:id="rId14" w:history="1">
              <w:r>
                <w:rPr>
                  <w:rStyle w:val="a4"/>
                  <w:sz w:val="20"/>
                  <w:szCs w:val="20"/>
                </w:rPr>
                <w:t>Amended and Restated Bylaws of Kimco Realty Corporation, dated February 25, 2009</w:t>
              </w:r>
            </w:hyperlink>
          </w:p>
        </w:tc>
        <w:tc>
          <w:tcPr>
            <w:tcW w:w="400" w:type="pct"/>
            <w:hideMark/>
          </w:tcPr>
          <w:p w14:paraId="77987328"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2E86C7FC"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3B2CB2B" w14:textId="77777777" w:rsidR="00000000" w:rsidRDefault="0053651E">
            <w:pPr>
              <w:pStyle w:val="a3"/>
              <w:spacing w:before="0" w:beforeAutospacing="0" w:after="0" w:afterAutospacing="0"/>
              <w:jc w:val="center"/>
              <w:rPr>
                <w:sz w:val="20"/>
                <w:szCs w:val="20"/>
              </w:rPr>
            </w:pPr>
            <w:r>
              <w:rPr>
                <w:sz w:val="20"/>
                <w:szCs w:val="20"/>
              </w:rPr>
              <w:t>02/27/09</w:t>
            </w:r>
          </w:p>
        </w:tc>
        <w:tc>
          <w:tcPr>
            <w:tcW w:w="350" w:type="pct"/>
            <w:hideMark/>
          </w:tcPr>
          <w:p w14:paraId="7D28E212" w14:textId="77777777" w:rsidR="00000000" w:rsidRDefault="0053651E">
            <w:pPr>
              <w:pStyle w:val="a3"/>
              <w:spacing w:before="0" w:beforeAutospacing="0" w:after="0" w:afterAutospacing="0"/>
              <w:jc w:val="center"/>
              <w:rPr>
                <w:sz w:val="20"/>
                <w:szCs w:val="20"/>
              </w:rPr>
            </w:pPr>
            <w:r>
              <w:rPr>
                <w:sz w:val="20"/>
                <w:szCs w:val="20"/>
              </w:rPr>
              <w:t>3.2</w:t>
            </w:r>
          </w:p>
        </w:tc>
        <w:tc>
          <w:tcPr>
            <w:tcW w:w="400" w:type="pct"/>
            <w:hideMark/>
          </w:tcPr>
          <w:p w14:paraId="2475C83F" w14:textId="77777777" w:rsidR="00000000" w:rsidRDefault="0053651E">
            <w:pPr>
              <w:rPr>
                <w:rFonts w:eastAsia="Times New Roman"/>
                <w:sz w:val="20"/>
                <w:szCs w:val="20"/>
              </w:rPr>
            </w:pPr>
            <w:r>
              <w:rPr>
                <w:rFonts w:eastAsia="Times New Roman"/>
                <w:sz w:val="20"/>
                <w:szCs w:val="20"/>
              </w:rPr>
              <w:t> </w:t>
            </w:r>
          </w:p>
        </w:tc>
        <w:tc>
          <w:tcPr>
            <w:tcW w:w="300" w:type="pct"/>
            <w:hideMark/>
          </w:tcPr>
          <w:p w14:paraId="558FEE87" w14:textId="77777777" w:rsidR="00000000" w:rsidRDefault="0053651E">
            <w:pPr>
              <w:rPr>
                <w:rFonts w:eastAsia="Times New Roman"/>
                <w:sz w:val="20"/>
                <w:szCs w:val="20"/>
              </w:rPr>
            </w:pPr>
            <w:r>
              <w:rPr>
                <w:rFonts w:eastAsia="Times New Roman"/>
                <w:sz w:val="20"/>
                <w:szCs w:val="20"/>
              </w:rPr>
              <w:t> </w:t>
            </w:r>
          </w:p>
        </w:tc>
      </w:tr>
      <w:tr w:rsidR="00000000" w14:paraId="1948EEC9" w14:textId="77777777">
        <w:trPr>
          <w:tblCellSpacing w:w="0" w:type="dxa"/>
        </w:trPr>
        <w:tc>
          <w:tcPr>
            <w:tcW w:w="400" w:type="pct"/>
            <w:hideMark/>
          </w:tcPr>
          <w:p w14:paraId="656C4909" w14:textId="77777777" w:rsidR="00000000" w:rsidRDefault="0053651E">
            <w:pPr>
              <w:pStyle w:val="a3"/>
              <w:spacing w:before="0" w:beforeAutospacing="0" w:after="0" w:afterAutospacing="0"/>
              <w:rPr>
                <w:sz w:val="20"/>
                <w:szCs w:val="20"/>
              </w:rPr>
            </w:pPr>
            <w:r>
              <w:rPr>
                <w:sz w:val="20"/>
                <w:szCs w:val="20"/>
              </w:rPr>
              <w:t>4.1</w:t>
            </w:r>
          </w:p>
        </w:tc>
        <w:tc>
          <w:tcPr>
            <w:tcW w:w="2200" w:type="pct"/>
            <w:hideMark/>
          </w:tcPr>
          <w:p w14:paraId="063ABDE2" w14:textId="77777777" w:rsidR="00000000" w:rsidRDefault="0053651E">
            <w:pPr>
              <w:pStyle w:val="a3"/>
              <w:spacing w:before="0" w:beforeAutospacing="0" w:after="0" w:afterAutospacing="0"/>
              <w:rPr>
                <w:sz w:val="20"/>
                <w:szCs w:val="20"/>
              </w:rPr>
            </w:pPr>
            <w:r>
              <w:rPr>
                <w:sz w:val="20"/>
                <w:szCs w:val="20"/>
              </w:rPr>
              <w:t>Agreement of Kimco Realty Corporation pursuant t</w:t>
            </w:r>
            <w:r>
              <w:rPr>
                <w:sz w:val="20"/>
                <w:szCs w:val="20"/>
              </w:rPr>
              <w:t>o Item 601(b)(4)(iii)(A) of Regulation S-K</w:t>
            </w:r>
          </w:p>
        </w:tc>
        <w:tc>
          <w:tcPr>
            <w:tcW w:w="400" w:type="pct"/>
            <w:hideMark/>
          </w:tcPr>
          <w:p w14:paraId="169331E3" w14:textId="77777777" w:rsidR="00000000" w:rsidRDefault="0053651E">
            <w:pPr>
              <w:pStyle w:val="a3"/>
              <w:spacing w:before="0" w:beforeAutospacing="0" w:after="0" w:afterAutospacing="0"/>
              <w:jc w:val="center"/>
              <w:rPr>
                <w:sz w:val="20"/>
                <w:szCs w:val="20"/>
              </w:rPr>
            </w:pPr>
            <w:r>
              <w:rPr>
                <w:sz w:val="20"/>
                <w:szCs w:val="20"/>
              </w:rPr>
              <w:t>S-11</w:t>
            </w:r>
          </w:p>
        </w:tc>
        <w:tc>
          <w:tcPr>
            <w:tcW w:w="450" w:type="pct"/>
            <w:hideMark/>
          </w:tcPr>
          <w:p w14:paraId="27EDA071" w14:textId="77777777" w:rsidR="00000000" w:rsidRDefault="0053651E">
            <w:pPr>
              <w:pStyle w:val="a3"/>
              <w:spacing w:before="0" w:beforeAutospacing="0" w:after="0" w:afterAutospacing="0"/>
              <w:jc w:val="center"/>
              <w:rPr>
                <w:sz w:val="20"/>
                <w:szCs w:val="20"/>
              </w:rPr>
            </w:pPr>
            <w:r>
              <w:rPr>
                <w:sz w:val="20"/>
                <w:szCs w:val="20"/>
              </w:rPr>
              <w:t>333-42588</w:t>
            </w:r>
          </w:p>
        </w:tc>
        <w:tc>
          <w:tcPr>
            <w:tcW w:w="500" w:type="pct"/>
            <w:hideMark/>
          </w:tcPr>
          <w:p w14:paraId="6230D3C2" w14:textId="77777777" w:rsidR="00000000" w:rsidRDefault="0053651E">
            <w:pPr>
              <w:pStyle w:val="a3"/>
              <w:spacing w:before="0" w:beforeAutospacing="0" w:after="0" w:afterAutospacing="0"/>
              <w:jc w:val="center"/>
              <w:rPr>
                <w:sz w:val="20"/>
                <w:szCs w:val="20"/>
              </w:rPr>
            </w:pPr>
            <w:r>
              <w:rPr>
                <w:sz w:val="20"/>
                <w:szCs w:val="20"/>
              </w:rPr>
              <w:t>09/11/91</w:t>
            </w:r>
          </w:p>
        </w:tc>
        <w:tc>
          <w:tcPr>
            <w:tcW w:w="350" w:type="pct"/>
            <w:hideMark/>
          </w:tcPr>
          <w:p w14:paraId="0638A8F9" w14:textId="77777777" w:rsidR="00000000" w:rsidRDefault="0053651E">
            <w:pPr>
              <w:pStyle w:val="a3"/>
              <w:spacing w:before="0" w:beforeAutospacing="0" w:after="0" w:afterAutospacing="0"/>
              <w:jc w:val="center"/>
              <w:rPr>
                <w:sz w:val="20"/>
                <w:szCs w:val="20"/>
              </w:rPr>
            </w:pPr>
            <w:r>
              <w:rPr>
                <w:sz w:val="20"/>
                <w:szCs w:val="20"/>
              </w:rPr>
              <w:t>4.1</w:t>
            </w:r>
          </w:p>
        </w:tc>
        <w:tc>
          <w:tcPr>
            <w:tcW w:w="400" w:type="pct"/>
            <w:hideMark/>
          </w:tcPr>
          <w:p w14:paraId="46B716B9" w14:textId="77777777" w:rsidR="00000000" w:rsidRDefault="0053651E">
            <w:pPr>
              <w:rPr>
                <w:rFonts w:eastAsia="Times New Roman"/>
                <w:sz w:val="20"/>
                <w:szCs w:val="20"/>
              </w:rPr>
            </w:pPr>
            <w:r>
              <w:rPr>
                <w:rFonts w:eastAsia="Times New Roman"/>
                <w:sz w:val="20"/>
                <w:szCs w:val="20"/>
              </w:rPr>
              <w:t> </w:t>
            </w:r>
          </w:p>
        </w:tc>
        <w:tc>
          <w:tcPr>
            <w:tcW w:w="300" w:type="pct"/>
            <w:hideMark/>
          </w:tcPr>
          <w:p w14:paraId="78EF8EDF" w14:textId="77777777" w:rsidR="00000000" w:rsidRDefault="0053651E">
            <w:pPr>
              <w:rPr>
                <w:rFonts w:eastAsia="Times New Roman"/>
                <w:sz w:val="20"/>
                <w:szCs w:val="20"/>
              </w:rPr>
            </w:pPr>
            <w:r>
              <w:rPr>
                <w:rFonts w:eastAsia="Times New Roman"/>
                <w:sz w:val="20"/>
                <w:szCs w:val="20"/>
              </w:rPr>
              <w:t> </w:t>
            </w:r>
          </w:p>
        </w:tc>
      </w:tr>
      <w:tr w:rsidR="00000000" w14:paraId="3842DD40" w14:textId="77777777">
        <w:trPr>
          <w:tblCellSpacing w:w="0" w:type="dxa"/>
        </w:trPr>
        <w:tc>
          <w:tcPr>
            <w:tcW w:w="400" w:type="pct"/>
            <w:hideMark/>
          </w:tcPr>
          <w:p w14:paraId="1DFD4C8B" w14:textId="77777777" w:rsidR="00000000" w:rsidRDefault="0053651E">
            <w:pPr>
              <w:pStyle w:val="a3"/>
              <w:spacing w:before="0" w:beforeAutospacing="0" w:after="0" w:afterAutospacing="0"/>
              <w:rPr>
                <w:sz w:val="20"/>
                <w:szCs w:val="20"/>
              </w:rPr>
            </w:pPr>
            <w:r>
              <w:rPr>
                <w:sz w:val="20"/>
                <w:szCs w:val="20"/>
              </w:rPr>
              <w:t>4.2 </w:t>
            </w:r>
          </w:p>
        </w:tc>
        <w:tc>
          <w:tcPr>
            <w:tcW w:w="2200" w:type="pct"/>
            <w:hideMark/>
          </w:tcPr>
          <w:p w14:paraId="196E3AD4" w14:textId="77777777" w:rsidR="00000000" w:rsidRDefault="0053651E">
            <w:pPr>
              <w:pStyle w:val="a3"/>
              <w:spacing w:before="0" w:beforeAutospacing="0" w:after="0" w:afterAutospacing="0"/>
              <w:rPr>
                <w:sz w:val="20"/>
                <w:szCs w:val="20"/>
              </w:rPr>
            </w:pPr>
            <w:r>
              <w:rPr>
                <w:sz w:val="20"/>
                <w:szCs w:val="20"/>
              </w:rPr>
              <w:t>Indenture dated September 1, 1993, between Kimco Realty Corporation and Bank of New York (as successor to IBJ Schroder Bank and Trust Company)</w:t>
            </w:r>
          </w:p>
        </w:tc>
        <w:tc>
          <w:tcPr>
            <w:tcW w:w="400" w:type="pct"/>
            <w:hideMark/>
          </w:tcPr>
          <w:p w14:paraId="34D391AF" w14:textId="77777777" w:rsidR="00000000" w:rsidRDefault="0053651E">
            <w:pPr>
              <w:pStyle w:val="a3"/>
              <w:spacing w:before="0" w:beforeAutospacing="0" w:after="0" w:afterAutospacing="0"/>
              <w:jc w:val="center"/>
              <w:rPr>
                <w:sz w:val="20"/>
                <w:szCs w:val="20"/>
              </w:rPr>
            </w:pPr>
            <w:r>
              <w:rPr>
                <w:sz w:val="20"/>
                <w:szCs w:val="20"/>
              </w:rPr>
              <w:t>S-3</w:t>
            </w:r>
          </w:p>
        </w:tc>
        <w:tc>
          <w:tcPr>
            <w:tcW w:w="450" w:type="pct"/>
            <w:hideMark/>
          </w:tcPr>
          <w:p w14:paraId="3388C908" w14:textId="77777777" w:rsidR="00000000" w:rsidRDefault="0053651E">
            <w:pPr>
              <w:pStyle w:val="a3"/>
              <w:spacing w:before="0" w:beforeAutospacing="0" w:after="0" w:afterAutospacing="0"/>
              <w:jc w:val="center"/>
              <w:rPr>
                <w:sz w:val="20"/>
                <w:szCs w:val="20"/>
              </w:rPr>
            </w:pPr>
            <w:r>
              <w:rPr>
                <w:sz w:val="20"/>
                <w:szCs w:val="20"/>
              </w:rPr>
              <w:t>333-67552</w:t>
            </w:r>
          </w:p>
        </w:tc>
        <w:tc>
          <w:tcPr>
            <w:tcW w:w="500" w:type="pct"/>
            <w:hideMark/>
          </w:tcPr>
          <w:p w14:paraId="2195054F" w14:textId="77777777" w:rsidR="00000000" w:rsidRDefault="0053651E">
            <w:pPr>
              <w:pStyle w:val="a3"/>
              <w:spacing w:before="0" w:beforeAutospacing="0" w:after="0" w:afterAutospacing="0"/>
              <w:jc w:val="center"/>
              <w:rPr>
                <w:sz w:val="20"/>
                <w:szCs w:val="20"/>
              </w:rPr>
            </w:pPr>
            <w:r>
              <w:rPr>
                <w:sz w:val="20"/>
                <w:szCs w:val="20"/>
              </w:rPr>
              <w:t>09/10/93</w:t>
            </w:r>
          </w:p>
        </w:tc>
        <w:tc>
          <w:tcPr>
            <w:tcW w:w="350" w:type="pct"/>
            <w:hideMark/>
          </w:tcPr>
          <w:p w14:paraId="6CF97386" w14:textId="77777777" w:rsidR="00000000" w:rsidRDefault="0053651E">
            <w:pPr>
              <w:pStyle w:val="a3"/>
              <w:spacing w:before="0" w:beforeAutospacing="0" w:after="0" w:afterAutospacing="0"/>
              <w:jc w:val="center"/>
              <w:rPr>
                <w:sz w:val="20"/>
                <w:szCs w:val="20"/>
              </w:rPr>
            </w:pPr>
            <w:r>
              <w:rPr>
                <w:sz w:val="20"/>
                <w:szCs w:val="20"/>
              </w:rPr>
              <w:t>4(a)</w:t>
            </w:r>
          </w:p>
        </w:tc>
        <w:tc>
          <w:tcPr>
            <w:tcW w:w="400" w:type="pct"/>
            <w:hideMark/>
          </w:tcPr>
          <w:p w14:paraId="38D1D4FD" w14:textId="77777777" w:rsidR="00000000" w:rsidRDefault="0053651E">
            <w:pPr>
              <w:rPr>
                <w:rFonts w:eastAsia="Times New Roman"/>
                <w:sz w:val="20"/>
                <w:szCs w:val="20"/>
              </w:rPr>
            </w:pPr>
            <w:r>
              <w:rPr>
                <w:rFonts w:eastAsia="Times New Roman"/>
                <w:sz w:val="20"/>
                <w:szCs w:val="20"/>
              </w:rPr>
              <w:t> </w:t>
            </w:r>
          </w:p>
        </w:tc>
        <w:tc>
          <w:tcPr>
            <w:tcW w:w="300" w:type="pct"/>
            <w:hideMark/>
          </w:tcPr>
          <w:p w14:paraId="64E4CABF" w14:textId="77777777" w:rsidR="00000000" w:rsidRDefault="0053651E">
            <w:pPr>
              <w:rPr>
                <w:rFonts w:eastAsia="Times New Roman"/>
                <w:sz w:val="20"/>
                <w:szCs w:val="20"/>
              </w:rPr>
            </w:pPr>
            <w:r>
              <w:rPr>
                <w:rFonts w:eastAsia="Times New Roman"/>
                <w:sz w:val="20"/>
                <w:szCs w:val="20"/>
              </w:rPr>
              <w:t> </w:t>
            </w:r>
          </w:p>
        </w:tc>
      </w:tr>
      <w:tr w:rsidR="00000000" w14:paraId="6F5C0F91" w14:textId="77777777">
        <w:trPr>
          <w:tblCellSpacing w:w="0" w:type="dxa"/>
        </w:trPr>
        <w:tc>
          <w:tcPr>
            <w:tcW w:w="400" w:type="pct"/>
            <w:hideMark/>
          </w:tcPr>
          <w:p w14:paraId="782EAE3F" w14:textId="77777777" w:rsidR="00000000" w:rsidRDefault="0053651E">
            <w:pPr>
              <w:pStyle w:val="a3"/>
              <w:spacing w:before="0" w:beforeAutospacing="0" w:after="0" w:afterAutospacing="0"/>
              <w:rPr>
                <w:sz w:val="20"/>
                <w:szCs w:val="20"/>
              </w:rPr>
            </w:pPr>
            <w:r>
              <w:rPr>
                <w:sz w:val="20"/>
                <w:szCs w:val="20"/>
              </w:rPr>
              <w:t>4.3 </w:t>
            </w:r>
          </w:p>
        </w:tc>
        <w:tc>
          <w:tcPr>
            <w:tcW w:w="2200" w:type="pct"/>
            <w:hideMark/>
          </w:tcPr>
          <w:p w14:paraId="31DFAA76" w14:textId="77777777" w:rsidR="00000000" w:rsidRDefault="0053651E">
            <w:pPr>
              <w:pStyle w:val="a3"/>
              <w:spacing w:before="0" w:beforeAutospacing="0" w:after="0" w:afterAutospacing="0"/>
              <w:rPr>
                <w:sz w:val="20"/>
                <w:szCs w:val="20"/>
              </w:rPr>
            </w:pPr>
            <w:r>
              <w:rPr>
                <w:sz w:val="20"/>
                <w:szCs w:val="20"/>
              </w:rPr>
              <w:t>First Supplemental Indenture, dated August 4, 1994, between Kimco Realty Corporation and Bank of New York (as successor to IBJ Schroder Bank and Trust Company)</w:t>
            </w:r>
          </w:p>
        </w:tc>
        <w:tc>
          <w:tcPr>
            <w:tcW w:w="400" w:type="pct"/>
            <w:hideMark/>
          </w:tcPr>
          <w:p w14:paraId="6C9B4935"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1C545604"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6A749052" w14:textId="77777777" w:rsidR="00000000" w:rsidRDefault="0053651E">
            <w:pPr>
              <w:pStyle w:val="a3"/>
              <w:spacing w:before="0" w:beforeAutospacing="0" w:after="0" w:afterAutospacing="0"/>
              <w:jc w:val="center"/>
              <w:rPr>
                <w:sz w:val="20"/>
                <w:szCs w:val="20"/>
              </w:rPr>
            </w:pPr>
            <w:r>
              <w:rPr>
                <w:sz w:val="20"/>
                <w:szCs w:val="20"/>
              </w:rPr>
              <w:t>03/28/96</w:t>
            </w:r>
          </w:p>
        </w:tc>
        <w:tc>
          <w:tcPr>
            <w:tcW w:w="350" w:type="pct"/>
            <w:hideMark/>
          </w:tcPr>
          <w:p w14:paraId="14D194D3" w14:textId="77777777" w:rsidR="00000000" w:rsidRDefault="0053651E">
            <w:pPr>
              <w:pStyle w:val="a3"/>
              <w:spacing w:before="0" w:beforeAutospacing="0" w:after="0" w:afterAutospacing="0"/>
              <w:jc w:val="center"/>
              <w:rPr>
                <w:sz w:val="20"/>
                <w:szCs w:val="20"/>
              </w:rPr>
            </w:pPr>
            <w:r>
              <w:rPr>
                <w:sz w:val="20"/>
                <w:szCs w:val="20"/>
              </w:rPr>
              <w:t>4.6</w:t>
            </w:r>
          </w:p>
        </w:tc>
        <w:tc>
          <w:tcPr>
            <w:tcW w:w="400" w:type="pct"/>
            <w:hideMark/>
          </w:tcPr>
          <w:p w14:paraId="47471FDE" w14:textId="77777777" w:rsidR="00000000" w:rsidRDefault="0053651E">
            <w:pPr>
              <w:rPr>
                <w:rFonts w:eastAsia="Times New Roman"/>
                <w:sz w:val="20"/>
                <w:szCs w:val="20"/>
              </w:rPr>
            </w:pPr>
            <w:r>
              <w:rPr>
                <w:rFonts w:eastAsia="Times New Roman"/>
                <w:sz w:val="20"/>
                <w:szCs w:val="20"/>
              </w:rPr>
              <w:t> </w:t>
            </w:r>
          </w:p>
        </w:tc>
        <w:tc>
          <w:tcPr>
            <w:tcW w:w="300" w:type="pct"/>
            <w:hideMark/>
          </w:tcPr>
          <w:p w14:paraId="0E9E70DA" w14:textId="77777777" w:rsidR="00000000" w:rsidRDefault="0053651E">
            <w:pPr>
              <w:rPr>
                <w:rFonts w:eastAsia="Times New Roman"/>
                <w:sz w:val="20"/>
                <w:szCs w:val="20"/>
              </w:rPr>
            </w:pPr>
            <w:r>
              <w:rPr>
                <w:rFonts w:eastAsia="Times New Roman"/>
                <w:sz w:val="20"/>
                <w:szCs w:val="20"/>
              </w:rPr>
              <w:t> </w:t>
            </w:r>
          </w:p>
        </w:tc>
      </w:tr>
      <w:tr w:rsidR="00000000" w14:paraId="69988E36" w14:textId="77777777">
        <w:trPr>
          <w:tblCellSpacing w:w="0" w:type="dxa"/>
        </w:trPr>
        <w:tc>
          <w:tcPr>
            <w:tcW w:w="400" w:type="pct"/>
            <w:hideMark/>
          </w:tcPr>
          <w:p w14:paraId="39CE2C9B" w14:textId="77777777" w:rsidR="00000000" w:rsidRDefault="0053651E">
            <w:pPr>
              <w:pStyle w:val="a3"/>
              <w:spacing w:before="0" w:beforeAutospacing="0" w:after="0" w:afterAutospacing="0"/>
              <w:rPr>
                <w:sz w:val="20"/>
                <w:szCs w:val="20"/>
              </w:rPr>
            </w:pPr>
            <w:r>
              <w:rPr>
                <w:sz w:val="20"/>
                <w:szCs w:val="20"/>
              </w:rPr>
              <w:t>4.4 </w:t>
            </w:r>
          </w:p>
        </w:tc>
        <w:tc>
          <w:tcPr>
            <w:tcW w:w="2200" w:type="pct"/>
            <w:hideMark/>
          </w:tcPr>
          <w:p w14:paraId="359204C2" w14:textId="77777777" w:rsidR="00000000" w:rsidRDefault="0053651E">
            <w:pPr>
              <w:pStyle w:val="a3"/>
              <w:spacing w:before="0" w:beforeAutospacing="0" w:after="0" w:afterAutospacing="0"/>
              <w:rPr>
                <w:sz w:val="20"/>
                <w:szCs w:val="20"/>
              </w:rPr>
            </w:pPr>
            <w:r>
              <w:rPr>
                <w:sz w:val="20"/>
                <w:szCs w:val="20"/>
              </w:rPr>
              <w:t>Second Supplemental Indenture, dated April 7, 1995, b</w:t>
            </w:r>
            <w:r>
              <w:rPr>
                <w:sz w:val="20"/>
                <w:szCs w:val="20"/>
              </w:rPr>
              <w:t>etween Kimco Realty Corporation and Bank of New York (as successor to IBJ Schroder Bank and Trust Company)</w:t>
            </w:r>
          </w:p>
        </w:tc>
        <w:tc>
          <w:tcPr>
            <w:tcW w:w="400" w:type="pct"/>
            <w:hideMark/>
          </w:tcPr>
          <w:p w14:paraId="3DCD6722"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0BFA6955"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20A79D86" w14:textId="77777777" w:rsidR="00000000" w:rsidRDefault="0053651E">
            <w:pPr>
              <w:pStyle w:val="a3"/>
              <w:spacing w:before="0" w:beforeAutospacing="0" w:after="0" w:afterAutospacing="0"/>
              <w:jc w:val="center"/>
              <w:rPr>
                <w:sz w:val="20"/>
                <w:szCs w:val="20"/>
              </w:rPr>
            </w:pPr>
            <w:r>
              <w:rPr>
                <w:sz w:val="20"/>
                <w:szCs w:val="20"/>
              </w:rPr>
              <w:t>04/07/95</w:t>
            </w:r>
          </w:p>
        </w:tc>
        <w:tc>
          <w:tcPr>
            <w:tcW w:w="350" w:type="pct"/>
            <w:hideMark/>
          </w:tcPr>
          <w:p w14:paraId="5952E7A2" w14:textId="77777777" w:rsidR="00000000" w:rsidRDefault="0053651E">
            <w:pPr>
              <w:pStyle w:val="a3"/>
              <w:spacing w:before="0" w:beforeAutospacing="0" w:after="0" w:afterAutospacing="0"/>
              <w:jc w:val="center"/>
              <w:rPr>
                <w:sz w:val="20"/>
                <w:szCs w:val="20"/>
              </w:rPr>
            </w:pPr>
            <w:r>
              <w:rPr>
                <w:sz w:val="20"/>
                <w:szCs w:val="20"/>
              </w:rPr>
              <w:t>4(a)</w:t>
            </w:r>
          </w:p>
        </w:tc>
        <w:tc>
          <w:tcPr>
            <w:tcW w:w="400" w:type="pct"/>
            <w:hideMark/>
          </w:tcPr>
          <w:p w14:paraId="5C8D1667" w14:textId="77777777" w:rsidR="00000000" w:rsidRDefault="0053651E">
            <w:pPr>
              <w:rPr>
                <w:rFonts w:eastAsia="Times New Roman"/>
                <w:sz w:val="20"/>
                <w:szCs w:val="20"/>
              </w:rPr>
            </w:pPr>
            <w:r>
              <w:rPr>
                <w:rFonts w:eastAsia="Times New Roman"/>
                <w:sz w:val="20"/>
                <w:szCs w:val="20"/>
              </w:rPr>
              <w:t> </w:t>
            </w:r>
          </w:p>
        </w:tc>
        <w:tc>
          <w:tcPr>
            <w:tcW w:w="300" w:type="pct"/>
            <w:hideMark/>
          </w:tcPr>
          <w:p w14:paraId="2BA1647B" w14:textId="77777777" w:rsidR="00000000" w:rsidRDefault="0053651E">
            <w:pPr>
              <w:rPr>
                <w:rFonts w:eastAsia="Times New Roman"/>
                <w:sz w:val="20"/>
                <w:szCs w:val="20"/>
              </w:rPr>
            </w:pPr>
            <w:r>
              <w:rPr>
                <w:rFonts w:eastAsia="Times New Roman"/>
                <w:sz w:val="20"/>
                <w:szCs w:val="20"/>
              </w:rPr>
              <w:t> </w:t>
            </w:r>
          </w:p>
        </w:tc>
      </w:tr>
      <w:tr w:rsidR="00000000" w14:paraId="0DD6C34E" w14:textId="77777777">
        <w:trPr>
          <w:tblCellSpacing w:w="0" w:type="dxa"/>
        </w:trPr>
        <w:tc>
          <w:tcPr>
            <w:tcW w:w="400" w:type="pct"/>
            <w:hideMark/>
          </w:tcPr>
          <w:p w14:paraId="1C948B0E" w14:textId="77777777" w:rsidR="00000000" w:rsidRDefault="0053651E">
            <w:pPr>
              <w:pStyle w:val="a3"/>
              <w:spacing w:before="0" w:beforeAutospacing="0" w:after="0" w:afterAutospacing="0"/>
              <w:rPr>
                <w:sz w:val="20"/>
                <w:szCs w:val="20"/>
              </w:rPr>
            </w:pPr>
            <w:r>
              <w:rPr>
                <w:sz w:val="20"/>
                <w:szCs w:val="20"/>
              </w:rPr>
              <w:t>4.5 </w:t>
            </w:r>
          </w:p>
        </w:tc>
        <w:tc>
          <w:tcPr>
            <w:tcW w:w="2200" w:type="pct"/>
            <w:hideMark/>
          </w:tcPr>
          <w:p w14:paraId="09A75EF9" w14:textId="77777777" w:rsidR="00000000" w:rsidRDefault="0053651E">
            <w:pPr>
              <w:pStyle w:val="a3"/>
              <w:spacing w:before="0" w:beforeAutospacing="0" w:after="0" w:afterAutospacing="0"/>
              <w:rPr>
                <w:sz w:val="20"/>
                <w:szCs w:val="20"/>
              </w:rPr>
            </w:pPr>
            <w:hyperlink r:id="rId15" w:history="1">
              <w:r>
                <w:rPr>
                  <w:rStyle w:val="a4"/>
                  <w:sz w:val="20"/>
                  <w:szCs w:val="20"/>
                </w:rPr>
                <w:t>Third Supplemental Indenture, dated June 2, 2006, between Kimco Realty Corporation and The Bank of New York, as Trustee</w:t>
              </w:r>
            </w:hyperlink>
          </w:p>
        </w:tc>
        <w:tc>
          <w:tcPr>
            <w:tcW w:w="400" w:type="pct"/>
            <w:hideMark/>
          </w:tcPr>
          <w:p w14:paraId="74F3237C"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2EA5529F"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75F59EF" w14:textId="77777777" w:rsidR="00000000" w:rsidRDefault="0053651E">
            <w:pPr>
              <w:pStyle w:val="a3"/>
              <w:spacing w:before="0" w:beforeAutospacing="0" w:after="0" w:afterAutospacing="0"/>
              <w:jc w:val="center"/>
              <w:rPr>
                <w:sz w:val="20"/>
                <w:szCs w:val="20"/>
              </w:rPr>
            </w:pPr>
            <w:r>
              <w:rPr>
                <w:sz w:val="20"/>
                <w:szCs w:val="20"/>
              </w:rPr>
              <w:t>06/05/06</w:t>
            </w:r>
          </w:p>
        </w:tc>
        <w:tc>
          <w:tcPr>
            <w:tcW w:w="350" w:type="pct"/>
            <w:hideMark/>
          </w:tcPr>
          <w:p w14:paraId="4009D3D5" w14:textId="77777777" w:rsidR="00000000" w:rsidRDefault="0053651E">
            <w:pPr>
              <w:pStyle w:val="a3"/>
              <w:spacing w:before="0" w:beforeAutospacing="0" w:after="0" w:afterAutospacing="0"/>
              <w:jc w:val="center"/>
              <w:rPr>
                <w:sz w:val="20"/>
                <w:szCs w:val="20"/>
              </w:rPr>
            </w:pPr>
            <w:r>
              <w:rPr>
                <w:sz w:val="20"/>
                <w:szCs w:val="20"/>
              </w:rPr>
              <w:t>4.1</w:t>
            </w:r>
          </w:p>
        </w:tc>
        <w:tc>
          <w:tcPr>
            <w:tcW w:w="400" w:type="pct"/>
            <w:hideMark/>
          </w:tcPr>
          <w:p w14:paraId="54105A16" w14:textId="77777777" w:rsidR="00000000" w:rsidRDefault="0053651E">
            <w:pPr>
              <w:rPr>
                <w:rFonts w:eastAsia="Times New Roman"/>
                <w:sz w:val="20"/>
                <w:szCs w:val="20"/>
              </w:rPr>
            </w:pPr>
            <w:r>
              <w:rPr>
                <w:rFonts w:eastAsia="Times New Roman"/>
                <w:sz w:val="20"/>
                <w:szCs w:val="20"/>
              </w:rPr>
              <w:t> </w:t>
            </w:r>
          </w:p>
        </w:tc>
        <w:tc>
          <w:tcPr>
            <w:tcW w:w="300" w:type="pct"/>
            <w:hideMark/>
          </w:tcPr>
          <w:p w14:paraId="125CD151" w14:textId="77777777" w:rsidR="00000000" w:rsidRDefault="0053651E">
            <w:pPr>
              <w:rPr>
                <w:rFonts w:eastAsia="Times New Roman"/>
                <w:sz w:val="20"/>
                <w:szCs w:val="20"/>
              </w:rPr>
            </w:pPr>
            <w:r>
              <w:rPr>
                <w:rFonts w:eastAsia="Times New Roman"/>
                <w:sz w:val="20"/>
                <w:szCs w:val="20"/>
              </w:rPr>
              <w:t> </w:t>
            </w:r>
          </w:p>
        </w:tc>
      </w:tr>
      <w:tr w:rsidR="00000000" w14:paraId="25EAA9BE" w14:textId="77777777">
        <w:trPr>
          <w:tblCellSpacing w:w="0" w:type="dxa"/>
        </w:trPr>
        <w:tc>
          <w:tcPr>
            <w:tcW w:w="400" w:type="pct"/>
            <w:hideMark/>
          </w:tcPr>
          <w:p w14:paraId="030F47A1" w14:textId="77777777" w:rsidR="00000000" w:rsidRDefault="0053651E">
            <w:pPr>
              <w:pStyle w:val="a3"/>
              <w:spacing w:before="0" w:beforeAutospacing="0" w:after="0" w:afterAutospacing="0"/>
              <w:rPr>
                <w:sz w:val="20"/>
                <w:szCs w:val="20"/>
              </w:rPr>
            </w:pPr>
            <w:r>
              <w:rPr>
                <w:sz w:val="20"/>
                <w:szCs w:val="20"/>
              </w:rPr>
              <w:t>4.6</w:t>
            </w:r>
          </w:p>
        </w:tc>
        <w:tc>
          <w:tcPr>
            <w:tcW w:w="2200" w:type="pct"/>
            <w:hideMark/>
          </w:tcPr>
          <w:p w14:paraId="7C3B991E" w14:textId="77777777" w:rsidR="00000000" w:rsidRDefault="0053651E">
            <w:pPr>
              <w:pStyle w:val="a3"/>
              <w:spacing w:before="0" w:beforeAutospacing="0" w:after="0" w:afterAutospacing="0"/>
              <w:rPr>
                <w:sz w:val="20"/>
                <w:szCs w:val="20"/>
              </w:rPr>
            </w:pPr>
            <w:hyperlink r:id="rId16" w:history="1">
              <w:r>
                <w:rPr>
                  <w:rStyle w:val="a4"/>
                  <w:sz w:val="20"/>
                  <w:szCs w:val="20"/>
                </w:rPr>
                <w:t>Fourth Supplemental Indenture, dated April 26, 2007, between Kimco Realty Corporation and The Bank of New York, as Trustee</w:t>
              </w:r>
            </w:hyperlink>
          </w:p>
        </w:tc>
        <w:tc>
          <w:tcPr>
            <w:tcW w:w="400" w:type="pct"/>
            <w:hideMark/>
          </w:tcPr>
          <w:p w14:paraId="156E057F"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38D58B6A"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35236C6" w14:textId="77777777" w:rsidR="00000000" w:rsidRDefault="0053651E">
            <w:pPr>
              <w:pStyle w:val="a3"/>
              <w:spacing w:before="0" w:beforeAutospacing="0" w:after="0" w:afterAutospacing="0"/>
              <w:jc w:val="center"/>
              <w:rPr>
                <w:sz w:val="20"/>
                <w:szCs w:val="20"/>
              </w:rPr>
            </w:pPr>
            <w:r>
              <w:rPr>
                <w:sz w:val="20"/>
                <w:szCs w:val="20"/>
              </w:rPr>
              <w:t>04/26/07</w:t>
            </w:r>
          </w:p>
        </w:tc>
        <w:tc>
          <w:tcPr>
            <w:tcW w:w="350" w:type="pct"/>
            <w:hideMark/>
          </w:tcPr>
          <w:p w14:paraId="340C3EE5" w14:textId="77777777" w:rsidR="00000000" w:rsidRDefault="0053651E">
            <w:pPr>
              <w:pStyle w:val="a3"/>
              <w:spacing w:before="0" w:beforeAutospacing="0" w:after="0" w:afterAutospacing="0"/>
              <w:jc w:val="center"/>
              <w:rPr>
                <w:sz w:val="20"/>
                <w:szCs w:val="20"/>
              </w:rPr>
            </w:pPr>
            <w:r>
              <w:rPr>
                <w:sz w:val="20"/>
                <w:szCs w:val="20"/>
              </w:rPr>
              <w:t>1.3</w:t>
            </w:r>
          </w:p>
        </w:tc>
        <w:tc>
          <w:tcPr>
            <w:tcW w:w="400" w:type="pct"/>
            <w:hideMark/>
          </w:tcPr>
          <w:p w14:paraId="54D59F7F" w14:textId="77777777" w:rsidR="00000000" w:rsidRDefault="0053651E">
            <w:pPr>
              <w:rPr>
                <w:rFonts w:eastAsia="Times New Roman"/>
                <w:sz w:val="20"/>
                <w:szCs w:val="20"/>
              </w:rPr>
            </w:pPr>
            <w:r>
              <w:rPr>
                <w:rFonts w:eastAsia="Times New Roman"/>
                <w:sz w:val="20"/>
                <w:szCs w:val="20"/>
              </w:rPr>
              <w:t> </w:t>
            </w:r>
          </w:p>
        </w:tc>
        <w:tc>
          <w:tcPr>
            <w:tcW w:w="300" w:type="pct"/>
            <w:hideMark/>
          </w:tcPr>
          <w:p w14:paraId="2254AFD8" w14:textId="77777777" w:rsidR="00000000" w:rsidRDefault="0053651E">
            <w:pPr>
              <w:rPr>
                <w:rFonts w:eastAsia="Times New Roman"/>
                <w:sz w:val="20"/>
                <w:szCs w:val="20"/>
              </w:rPr>
            </w:pPr>
            <w:r>
              <w:rPr>
                <w:rFonts w:eastAsia="Times New Roman"/>
                <w:sz w:val="20"/>
                <w:szCs w:val="20"/>
              </w:rPr>
              <w:t> </w:t>
            </w:r>
          </w:p>
        </w:tc>
      </w:tr>
      <w:tr w:rsidR="00000000" w14:paraId="0E90959D" w14:textId="77777777">
        <w:trPr>
          <w:tblCellSpacing w:w="0" w:type="dxa"/>
        </w:trPr>
        <w:tc>
          <w:tcPr>
            <w:tcW w:w="400" w:type="pct"/>
            <w:hideMark/>
          </w:tcPr>
          <w:p w14:paraId="367EA14F" w14:textId="77777777" w:rsidR="00000000" w:rsidRDefault="0053651E">
            <w:pPr>
              <w:pStyle w:val="a3"/>
              <w:spacing w:before="0" w:beforeAutospacing="0" w:after="0" w:afterAutospacing="0"/>
              <w:rPr>
                <w:sz w:val="20"/>
                <w:szCs w:val="20"/>
              </w:rPr>
            </w:pPr>
            <w:r>
              <w:rPr>
                <w:sz w:val="20"/>
                <w:szCs w:val="20"/>
              </w:rPr>
              <w:t>4.7</w:t>
            </w:r>
          </w:p>
        </w:tc>
        <w:tc>
          <w:tcPr>
            <w:tcW w:w="2200" w:type="pct"/>
            <w:hideMark/>
          </w:tcPr>
          <w:p w14:paraId="32FF31E3" w14:textId="77777777" w:rsidR="00000000" w:rsidRDefault="0053651E">
            <w:pPr>
              <w:pStyle w:val="a3"/>
              <w:spacing w:before="0" w:beforeAutospacing="0" w:after="0" w:afterAutospacing="0"/>
              <w:rPr>
                <w:sz w:val="20"/>
                <w:szCs w:val="20"/>
              </w:rPr>
            </w:pPr>
            <w:hyperlink r:id="rId17" w:history="1">
              <w:r>
                <w:rPr>
                  <w:rStyle w:val="a4"/>
                  <w:sz w:val="20"/>
                  <w:szCs w:val="20"/>
                </w:rPr>
                <w:t>Fifth Supplemental Indenture, dated September 24, 2009, between Kimco Realty Corporation and The Bank of New York Mellon, as Trustee</w:t>
              </w:r>
            </w:hyperlink>
          </w:p>
        </w:tc>
        <w:tc>
          <w:tcPr>
            <w:tcW w:w="400" w:type="pct"/>
            <w:hideMark/>
          </w:tcPr>
          <w:p w14:paraId="0329914F"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6CB82DE2"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0C51B0E" w14:textId="77777777" w:rsidR="00000000" w:rsidRDefault="0053651E">
            <w:pPr>
              <w:pStyle w:val="a3"/>
              <w:spacing w:before="0" w:beforeAutospacing="0" w:after="0" w:afterAutospacing="0"/>
              <w:jc w:val="center"/>
              <w:rPr>
                <w:sz w:val="20"/>
                <w:szCs w:val="20"/>
              </w:rPr>
            </w:pPr>
            <w:r>
              <w:rPr>
                <w:sz w:val="20"/>
                <w:szCs w:val="20"/>
              </w:rPr>
              <w:t>09/24/09</w:t>
            </w:r>
          </w:p>
        </w:tc>
        <w:tc>
          <w:tcPr>
            <w:tcW w:w="350" w:type="pct"/>
            <w:hideMark/>
          </w:tcPr>
          <w:p w14:paraId="54ABE4D7" w14:textId="77777777" w:rsidR="00000000" w:rsidRDefault="0053651E">
            <w:pPr>
              <w:pStyle w:val="a3"/>
              <w:spacing w:before="0" w:beforeAutospacing="0" w:after="0" w:afterAutospacing="0"/>
              <w:jc w:val="center"/>
              <w:rPr>
                <w:sz w:val="20"/>
                <w:szCs w:val="20"/>
              </w:rPr>
            </w:pPr>
            <w:r>
              <w:rPr>
                <w:sz w:val="20"/>
                <w:szCs w:val="20"/>
              </w:rPr>
              <w:t>4.1</w:t>
            </w:r>
          </w:p>
        </w:tc>
        <w:tc>
          <w:tcPr>
            <w:tcW w:w="400" w:type="pct"/>
            <w:hideMark/>
          </w:tcPr>
          <w:p w14:paraId="6176F694" w14:textId="77777777" w:rsidR="00000000" w:rsidRDefault="0053651E">
            <w:pPr>
              <w:rPr>
                <w:rFonts w:eastAsia="Times New Roman"/>
                <w:sz w:val="20"/>
                <w:szCs w:val="20"/>
              </w:rPr>
            </w:pPr>
            <w:r>
              <w:rPr>
                <w:rFonts w:eastAsia="Times New Roman"/>
                <w:sz w:val="20"/>
                <w:szCs w:val="20"/>
              </w:rPr>
              <w:t> </w:t>
            </w:r>
          </w:p>
        </w:tc>
        <w:tc>
          <w:tcPr>
            <w:tcW w:w="300" w:type="pct"/>
            <w:hideMark/>
          </w:tcPr>
          <w:p w14:paraId="2BDE69E1" w14:textId="77777777" w:rsidR="00000000" w:rsidRDefault="0053651E">
            <w:pPr>
              <w:rPr>
                <w:rFonts w:eastAsia="Times New Roman"/>
                <w:sz w:val="20"/>
                <w:szCs w:val="20"/>
              </w:rPr>
            </w:pPr>
            <w:r>
              <w:rPr>
                <w:rFonts w:eastAsia="Times New Roman"/>
                <w:sz w:val="20"/>
                <w:szCs w:val="20"/>
              </w:rPr>
              <w:t> </w:t>
            </w:r>
          </w:p>
        </w:tc>
      </w:tr>
      <w:tr w:rsidR="00000000" w14:paraId="5767A100" w14:textId="77777777">
        <w:trPr>
          <w:tblCellSpacing w:w="0" w:type="dxa"/>
        </w:trPr>
        <w:tc>
          <w:tcPr>
            <w:tcW w:w="400" w:type="pct"/>
            <w:hideMark/>
          </w:tcPr>
          <w:p w14:paraId="5BC85657" w14:textId="77777777" w:rsidR="00000000" w:rsidRDefault="0053651E">
            <w:pPr>
              <w:pStyle w:val="a3"/>
              <w:spacing w:before="0" w:beforeAutospacing="0" w:after="0" w:afterAutospacing="0"/>
              <w:rPr>
                <w:sz w:val="20"/>
                <w:szCs w:val="20"/>
              </w:rPr>
            </w:pPr>
            <w:r>
              <w:rPr>
                <w:sz w:val="20"/>
                <w:szCs w:val="20"/>
              </w:rPr>
              <w:t>4.8</w:t>
            </w:r>
          </w:p>
        </w:tc>
        <w:tc>
          <w:tcPr>
            <w:tcW w:w="2200" w:type="pct"/>
            <w:hideMark/>
          </w:tcPr>
          <w:p w14:paraId="2FA52B30" w14:textId="77777777" w:rsidR="00000000" w:rsidRDefault="0053651E">
            <w:pPr>
              <w:pStyle w:val="a3"/>
              <w:spacing w:before="0" w:beforeAutospacing="0" w:after="0" w:afterAutospacing="0"/>
              <w:rPr>
                <w:sz w:val="20"/>
                <w:szCs w:val="20"/>
              </w:rPr>
            </w:pPr>
            <w:hyperlink r:id="rId18" w:history="1">
              <w:r>
                <w:rPr>
                  <w:rStyle w:val="a4"/>
                  <w:sz w:val="20"/>
                  <w:szCs w:val="20"/>
                </w:rPr>
                <w:t>Sixth Supplemental Indenture, dated May 23, 2013, between Kimco Realty Corporation and The Bank of New York Mellon, as Trustee</w:t>
              </w:r>
            </w:hyperlink>
          </w:p>
        </w:tc>
        <w:tc>
          <w:tcPr>
            <w:tcW w:w="400" w:type="pct"/>
            <w:hideMark/>
          </w:tcPr>
          <w:p w14:paraId="6E769345"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55FCBF2B"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5C3EAD43" w14:textId="77777777" w:rsidR="00000000" w:rsidRDefault="0053651E">
            <w:pPr>
              <w:pStyle w:val="a3"/>
              <w:spacing w:before="0" w:beforeAutospacing="0" w:after="0" w:afterAutospacing="0"/>
              <w:jc w:val="center"/>
              <w:rPr>
                <w:sz w:val="20"/>
                <w:szCs w:val="20"/>
              </w:rPr>
            </w:pPr>
            <w:r>
              <w:rPr>
                <w:sz w:val="20"/>
                <w:szCs w:val="20"/>
              </w:rPr>
              <w:t>05/23/13</w:t>
            </w:r>
          </w:p>
        </w:tc>
        <w:tc>
          <w:tcPr>
            <w:tcW w:w="350" w:type="pct"/>
            <w:hideMark/>
          </w:tcPr>
          <w:p w14:paraId="6B89B89B" w14:textId="77777777" w:rsidR="00000000" w:rsidRDefault="0053651E">
            <w:pPr>
              <w:pStyle w:val="a3"/>
              <w:spacing w:before="0" w:beforeAutospacing="0" w:after="0" w:afterAutospacing="0"/>
              <w:jc w:val="center"/>
              <w:rPr>
                <w:sz w:val="20"/>
                <w:szCs w:val="20"/>
              </w:rPr>
            </w:pPr>
            <w:r>
              <w:rPr>
                <w:sz w:val="20"/>
                <w:szCs w:val="20"/>
              </w:rPr>
              <w:t>4.1</w:t>
            </w:r>
          </w:p>
        </w:tc>
        <w:tc>
          <w:tcPr>
            <w:tcW w:w="400" w:type="pct"/>
            <w:hideMark/>
          </w:tcPr>
          <w:p w14:paraId="1D7C0746" w14:textId="77777777" w:rsidR="00000000" w:rsidRDefault="0053651E">
            <w:pPr>
              <w:rPr>
                <w:rFonts w:eastAsia="Times New Roman"/>
                <w:sz w:val="20"/>
                <w:szCs w:val="20"/>
              </w:rPr>
            </w:pPr>
            <w:r>
              <w:rPr>
                <w:rFonts w:eastAsia="Times New Roman"/>
                <w:sz w:val="20"/>
                <w:szCs w:val="20"/>
              </w:rPr>
              <w:t> </w:t>
            </w:r>
          </w:p>
        </w:tc>
        <w:tc>
          <w:tcPr>
            <w:tcW w:w="300" w:type="pct"/>
            <w:hideMark/>
          </w:tcPr>
          <w:p w14:paraId="3A2FD0BC" w14:textId="77777777" w:rsidR="00000000" w:rsidRDefault="0053651E">
            <w:pPr>
              <w:rPr>
                <w:rFonts w:eastAsia="Times New Roman"/>
                <w:sz w:val="20"/>
                <w:szCs w:val="20"/>
              </w:rPr>
            </w:pPr>
            <w:r>
              <w:rPr>
                <w:rFonts w:eastAsia="Times New Roman"/>
                <w:sz w:val="20"/>
                <w:szCs w:val="20"/>
              </w:rPr>
              <w:t> </w:t>
            </w:r>
          </w:p>
        </w:tc>
      </w:tr>
      <w:tr w:rsidR="00000000" w14:paraId="051A1C93" w14:textId="77777777">
        <w:trPr>
          <w:tblCellSpacing w:w="0" w:type="dxa"/>
        </w:trPr>
        <w:tc>
          <w:tcPr>
            <w:tcW w:w="400" w:type="pct"/>
            <w:hideMark/>
          </w:tcPr>
          <w:p w14:paraId="3D985BA3" w14:textId="77777777" w:rsidR="00000000" w:rsidRDefault="0053651E">
            <w:pPr>
              <w:pStyle w:val="a3"/>
              <w:spacing w:before="0" w:beforeAutospacing="0" w:after="0" w:afterAutospacing="0"/>
              <w:rPr>
                <w:sz w:val="20"/>
                <w:szCs w:val="20"/>
              </w:rPr>
            </w:pPr>
            <w:r>
              <w:rPr>
                <w:sz w:val="20"/>
                <w:szCs w:val="20"/>
              </w:rPr>
              <w:t>4.9</w:t>
            </w:r>
          </w:p>
        </w:tc>
        <w:tc>
          <w:tcPr>
            <w:tcW w:w="2200" w:type="pct"/>
            <w:hideMark/>
          </w:tcPr>
          <w:p w14:paraId="19003F81" w14:textId="77777777" w:rsidR="00000000" w:rsidRDefault="0053651E">
            <w:pPr>
              <w:pStyle w:val="a3"/>
              <w:spacing w:before="0" w:beforeAutospacing="0" w:after="0" w:afterAutospacing="0"/>
              <w:rPr>
                <w:sz w:val="20"/>
                <w:szCs w:val="20"/>
              </w:rPr>
            </w:pPr>
            <w:hyperlink r:id="rId19" w:history="1">
              <w:r>
                <w:rPr>
                  <w:rStyle w:val="a4"/>
                  <w:sz w:val="20"/>
                  <w:szCs w:val="20"/>
                </w:rPr>
                <w:t>Seventh Supplemental Indenture, dated April 24, 2014, between Kimco Realty Corporation and The Bank of New York Mellon, as Trustee</w:t>
              </w:r>
            </w:hyperlink>
          </w:p>
        </w:tc>
        <w:tc>
          <w:tcPr>
            <w:tcW w:w="400" w:type="pct"/>
            <w:hideMark/>
          </w:tcPr>
          <w:p w14:paraId="3990EFB0"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0847F2C8"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4B398CD7" w14:textId="77777777" w:rsidR="00000000" w:rsidRDefault="0053651E">
            <w:pPr>
              <w:pStyle w:val="a3"/>
              <w:spacing w:before="0" w:beforeAutospacing="0" w:after="0" w:afterAutospacing="0"/>
              <w:jc w:val="center"/>
              <w:rPr>
                <w:sz w:val="20"/>
                <w:szCs w:val="20"/>
              </w:rPr>
            </w:pPr>
            <w:r>
              <w:rPr>
                <w:sz w:val="20"/>
                <w:szCs w:val="20"/>
              </w:rPr>
              <w:t>04/24/14</w:t>
            </w:r>
          </w:p>
        </w:tc>
        <w:tc>
          <w:tcPr>
            <w:tcW w:w="350" w:type="pct"/>
            <w:hideMark/>
          </w:tcPr>
          <w:p w14:paraId="79DCF80E" w14:textId="77777777" w:rsidR="00000000" w:rsidRDefault="0053651E">
            <w:pPr>
              <w:pStyle w:val="a3"/>
              <w:spacing w:before="0" w:beforeAutospacing="0" w:after="0" w:afterAutospacing="0"/>
              <w:jc w:val="center"/>
              <w:rPr>
                <w:sz w:val="20"/>
                <w:szCs w:val="20"/>
              </w:rPr>
            </w:pPr>
            <w:r>
              <w:rPr>
                <w:sz w:val="20"/>
                <w:szCs w:val="20"/>
              </w:rPr>
              <w:t>4.1</w:t>
            </w:r>
          </w:p>
        </w:tc>
        <w:tc>
          <w:tcPr>
            <w:tcW w:w="400" w:type="pct"/>
            <w:hideMark/>
          </w:tcPr>
          <w:p w14:paraId="2D253D21" w14:textId="77777777" w:rsidR="00000000" w:rsidRDefault="0053651E">
            <w:pPr>
              <w:rPr>
                <w:rFonts w:eastAsia="Times New Roman"/>
                <w:sz w:val="20"/>
                <w:szCs w:val="20"/>
              </w:rPr>
            </w:pPr>
            <w:r>
              <w:rPr>
                <w:rFonts w:eastAsia="Times New Roman"/>
                <w:sz w:val="20"/>
                <w:szCs w:val="20"/>
              </w:rPr>
              <w:t> </w:t>
            </w:r>
          </w:p>
        </w:tc>
        <w:tc>
          <w:tcPr>
            <w:tcW w:w="300" w:type="pct"/>
            <w:hideMark/>
          </w:tcPr>
          <w:p w14:paraId="08A6E133" w14:textId="77777777" w:rsidR="00000000" w:rsidRDefault="0053651E">
            <w:pPr>
              <w:rPr>
                <w:rFonts w:eastAsia="Times New Roman"/>
                <w:sz w:val="20"/>
                <w:szCs w:val="20"/>
              </w:rPr>
            </w:pPr>
            <w:r>
              <w:rPr>
                <w:rFonts w:eastAsia="Times New Roman"/>
                <w:sz w:val="20"/>
                <w:szCs w:val="20"/>
              </w:rPr>
              <w:t> </w:t>
            </w:r>
          </w:p>
        </w:tc>
      </w:tr>
      <w:tr w:rsidR="00000000" w14:paraId="2ED5DA2F" w14:textId="77777777">
        <w:trPr>
          <w:tblCellSpacing w:w="0" w:type="dxa"/>
        </w:trPr>
        <w:tc>
          <w:tcPr>
            <w:tcW w:w="400" w:type="pct"/>
            <w:hideMark/>
          </w:tcPr>
          <w:p w14:paraId="55C6EBF9" w14:textId="77777777" w:rsidR="00000000" w:rsidRDefault="0053651E">
            <w:pPr>
              <w:rPr>
                <w:rFonts w:eastAsia="Times New Roman"/>
                <w:sz w:val="20"/>
                <w:szCs w:val="20"/>
              </w:rPr>
            </w:pPr>
            <w:r>
              <w:rPr>
                <w:rFonts w:eastAsia="Times New Roman"/>
                <w:sz w:val="20"/>
                <w:szCs w:val="20"/>
              </w:rPr>
              <w:t>4.10</w:t>
            </w:r>
          </w:p>
        </w:tc>
        <w:tc>
          <w:tcPr>
            <w:tcW w:w="2200" w:type="pct"/>
            <w:hideMark/>
          </w:tcPr>
          <w:p w14:paraId="4B578E9E" w14:textId="77777777" w:rsidR="00000000" w:rsidRDefault="0053651E">
            <w:pPr>
              <w:rPr>
                <w:rFonts w:eastAsia="Times New Roman"/>
                <w:sz w:val="20"/>
                <w:szCs w:val="20"/>
              </w:rPr>
            </w:pPr>
            <w:hyperlink r:id="rId20" w:history="1">
              <w:r>
                <w:rPr>
                  <w:rStyle w:val="a4"/>
                  <w:rFonts w:eastAsia="Times New Roman"/>
                  <w:sz w:val="20"/>
                  <w:szCs w:val="20"/>
                </w:rPr>
                <w:t>Description of Registrant's Securities Registered Pursuant to Section 12 of the Securities Exchange Act of 1934</w:t>
              </w:r>
            </w:hyperlink>
          </w:p>
        </w:tc>
        <w:tc>
          <w:tcPr>
            <w:tcW w:w="400" w:type="pct"/>
            <w:hideMark/>
          </w:tcPr>
          <w:p w14:paraId="79071119" w14:textId="77777777" w:rsidR="00000000" w:rsidRDefault="0053651E">
            <w:pPr>
              <w:jc w:val="center"/>
              <w:rPr>
                <w:rFonts w:eastAsia="Times New Roman"/>
                <w:sz w:val="20"/>
                <w:szCs w:val="20"/>
              </w:rPr>
            </w:pPr>
            <w:r>
              <w:rPr>
                <w:rFonts w:eastAsia="Times New Roman"/>
                <w:sz w:val="20"/>
                <w:szCs w:val="20"/>
              </w:rPr>
              <w:t>—</w:t>
            </w:r>
          </w:p>
        </w:tc>
        <w:tc>
          <w:tcPr>
            <w:tcW w:w="450" w:type="pct"/>
            <w:hideMark/>
          </w:tcPr>
          <w:p w14:paraId="1F27D3C9" w14:textId="77777777" w:rsidR="00000000" w:rsidRDefault="0053651E">
            <w:pPr>
              <w:jc w:val="center"/>
              <w:rPr>
                <w:rFonts w:eastAsia="Times New Roman"/>
                <w:sz w:val="20"/>
                <w:szCs w:val="20"/>
              </w:rPr>
            </w:pPr>
            <w:r>
              <w:rPr>
                <w:rFonts w:eastAsia="Times New Roman"/>
                <w:sz w:val="20"/>
                <w:szCs w:val="20"/>
              </w:rPr>
              <w:t>—</w:t>
            </w:r>
          </w:p>
        </w:tc>
        <w:tc>
          <w:tcPr>
            <w:tcW w:w="500" w:type="pct"/>
            <w:hideMark/>
          </w:tcPr>
          <w:p w14:paraId="55F4887B" w14:textId="77777777" w:rsidR="00000000" w:rsidRDefault="0053651E">
            <w:pPr>
              <w:jc w:val="center"/>
              <w:rPr>
                <w:rFonts w:eastAsia="Times New Roman"/>
                <w:sz w:val="20"/>
                <w:szCs w:val="20"/>
              </w:rPr>
            </w:pPr>
            <w:r>
              <w:rPr>
                <w:rFonts w:eastAsia="Times New Roman"/>
                <w:sz w:val="20"/>
                <w:szCs w:val="20"/>
              </w:rPr>
              <w:t>—</w:t>
            </w:r>
          </w:p>
        </w:tc>
        <w:tc>
          <w:tcPr>
            <w:tcW w:w="350" w:type="pct"/>
            <w:hideMark/>
          </w:tcPr>
          <w:p w14:paraId="2124B4F2" w14:textId="77777777" w:rsidR="00000000" w:rsidRDefault="0053651E">
            <w:pPr>
              <w:jc w:val="center"/>
              <w:rPr>
                <w:rFonts w:eastAsia="Times New Roman"/>
                <w:sz w:val="20"/>
                <w:szCs w:val="20"/>
              </w:rPr>
            </w:pPr>
            <w:r>
              <w:rPr>
                <w:rFonts w:eastAsia="Times New Roman"/>
                <w:sz w:val="20"/>
                <w:szCs w:val="20"/>
              </w:rPr>
              <w:t>—</w:t>
            </w:r>
          </w:p>
        </w:tc>
        <w:tc>
          <w:tcPr>
            <w:tcW w:w="400" w:type="pct"/>
            <w:hideMark/>
          </w:tcPr>
          <w:p w14:paraId="183E6EB9" w14:textId="77777777" w:rsidR="00000000" w:rsidRDefault="0053651E">
            <w:pPr>
              <w:jc w:val="center"/>
              <w:rPr>
                <w:rFonts w:eastAsia="Times New Roman"/>
                <w:sz w:val="20"/>
                <w:szCs w:val="20"/>
              </w:rPr>
            </w:pPr>
            <w:r>
              <w:rPr>
                <w:rFonts w:eastAsia="Times New Roman"/>
                <w:sz w:val="20"/>
                <w:szCs w:val="20"/>
              </w:rPr>
              <w:t>*</w:t>
            </w:r>
          </w:p>
        </w:tc>
        <w:tc>
          <w:tcPr>
            <w:tcW w:w="300" w:type="pct"/>
            <w:hideMark/>
          </w:tcPr>
          <w:p w14:paraId="2E2A7BA3" w14:textId="77777777" w:rsidR="00000000" w:rsidRDefault="0053651E">
            <w:pPr>
              <w:rPr>
                <w:rFonts w:eastAsia="Times New Roman"/>
                <w:sz w:val="20"/>
                <w:szCs w:val="20"/>
              </w:rPr>
            </w:pPr>
            <w:r>
              <w:rPr>
                <w:rFonts w:eastAsia="Times New Roman"/>
                <w:sz w:val="20"/>
                <w:szCs w:val="20"/>
              </w:rPr>
              <w:t> </w:t>
            </w:r>
          </w:p>
        </w:tc>
      </w:tr>
      <w:tr w:rsidR="00000000" w14:paraId="24AB128D" w14:textId="77777777">
        <w:trPr>
          <w:tblCellSpacing w:w="0" w:type="dxa"/>
        </w:trPr>
        <w:tc>
          <w:tcPr>
            <w:tcW w:w="400" w:type="pct"/>
            <w:hideMark/>
          </w:tcPr>
          <w:p w14:paraId="5D1FF8DE" w14:textId="77777777" w:rsidR="00000000" w:rsidRDefault="0053651E">
            <w:pPr>
              <w:pStyle w:val="a3"/>
              <w:spacing w:before="0" w:beforeAutospacing="0" w:after="0" w:afterAutospacing="0"/>
              <w:rPr>
                <w:sz w:val="20"/>
                <w:szCs w:val="20"/>
              </w:rPr>
            </w:pPr>
            <w:r>
              <w:rPr>
                <w:sz w:val="20"/>
                <w:szCs w:val="20"/>
              </w:rPr>
              <w:t>10.1</w:t>
            </w:r>
          </w:p>
        </w:tc>
        <w:tc>
          <w:tcPr>
            <w:tcW w:w="2200" w:type="pct"/>
            <w:hideMark/>
          </w:tcPr>
          <w:p w14:paraId="2E9B348A" w14:textId="77777777" w:rsidR="00000000" w:rsidRDefault="0053651E">
            <w:pPr>
              <w:pStyle w:val="a3"/>
              <w:spacing w:before="0" w:beforeAutospacing="0" w:after="0" w:afterAutospacing="0"/>
              <w:rPr>
                <w:sz w:val="20"/>
                <w:szCs w:val="20"/>
              </w:rPr>
            </w:pPr>
            <w:r>
              <w:rPr>
                <w:sz w:val="20"/>
                <w:szCs w:val="20"/>
              </w:rPr>
              <w:t>Amended and Restated Stock Option Plan</w:t>
            </w:r>
          </w:p>
        </w:tc>
        <w:tc>
          <w:tcPr>
            <w:tcW w:w="400" w:type="pct"/>
            <w:hideMark/>
          </w:tcPr>
          <w:p w14:paraId="133B6E73"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6A08DCDC"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10DCEC4" w14:textId="77777777" w:rsidR="00000000" w:rsidRDefault="0053651E">
            <w:pPr>
              <w:pStyle w:val="a3"/>
              <w:spacing w:before="0" w:beforeAutospacing="0" w:after="0" w:afterAutospacing="0"/>
              <w:jc w:val="center"/>
              <w:rPr>
                <w:sz w:val="20"/>
                <w:szCs w:val="20"/>
              </w:rPr>
            </w:pPr>
            <w:r>
              <w:rPr>
                <w:sz w:val="20"/>
                <w:szCs w:val="20"/>
              </w:rPr>
              <w:t>03/28/95</w:t>
            </w:r>
          </w:p>
        </w:tc>
        <w:tc>
          <w:tcPr>
            <w:tcW w:w="350" w:type="pct"/>
            <w:hideMark/>
          </w:tcPr>
          <w:p w14:paraId="39C23628" w14:textId="77777777" w:rsidR="00000000" w:rsidRDefault="0053651E">
            <w:pPr>
              <w:pStyle w:val="a3"/>
              <w:spacing w:before="0" w:beforeAutospacing="0" w:after="0" w:afterAutospacing="0"/>
              <w:jc w:val="center"/>
              <w:rPr>
                <w:sz w:val="20"/>
                <w:szCs w:val="20"/>
              </w:rPr>
            </w:pPr>
            <w:r>
              <w:rPr>
                <w:sz w:val="20"/>
                <w:szCs w:val="20"/>
              </w:rPr>
              <w:t>10.3</w:t>
            </w:r>
          </w:p>
        </w:tc>
        <w:tc>
          <w:tcPr>
            <w:tcW w:w="400" w:type="pct"/>
            <w:hideMark/>
          </w:tcPr>
          <w:p w14:paraId="6AA4673C" w14:textId="77777777" w:rsidR="00000000" w:rsidRDefault="0053651E">
            <w:pPr>
              <w:rPr>
                <w:rFonts w:eastAsia="Times New Roman"/>
                <w:sz w:val="20"/>
                <w:szCs w:val="20"/>
              </w:rPr>
            </w:pPr>
            <w:r>
              <w:rPr>
                <w:rFonts w:eastAsia="Times New Roman"/>
                <w:sz w:val="20"/>
                <w:szCs w:val="20"/>
              </w:rPr>
              <w:t> </w:t>
            </w:r>
          </w:p>
        </w:tc>
        <w:tc>
          <w:tcPr>
            <w:tcW w:w="300" w:type="pct"/>
            <w:hideMark/>
          </w:tcPr>
          <w:p w14:paraId="4019464F" w14:textId="77777777" w:rsidR="00000000" w:rsidRDefault="0053651E">
            <w:pPr>
              <w:rPr>
                <w:rFonts w:eastAsia="Times New Roman"/>
                <w:sz w:val="20"/>
                <w:szCs w:val="20"/>
              </w:rPr>
            </w:pPr>
            <w:r>
              <w:rPr>
                <w:rFonts w:eastAsia="Times New Roman"/>
                <w:sz w:val="20"/>
                <w:szCs w:val="20"/>
              </w:rPr>
              <w:t> </w:t>
            </w:r>
          </w:p>
        </w:tc>
      </w:tr>
      <w:tr w:rsidR="00000000" w14:paraId="37DC61FE" w14:textId="77777777">
        <w:trPr>
          <w:tblCellSpacing w:w="0" w:type="dxa"/>
        </w:trPr>
        <w:tc>
          <w:tcPr>
            <w:tcW w:w="400" w:type="pct"/>
            <w:hideMark/>
          </w:tcPr>
          <w:p w14:paraId="51F37A7F" w14:textId="77777777" w:rsidR="00000000" w:rsidRDefault="0053651E">
            <w:pPr>
              <w:pStyle w:val="a3"/>
              <w:spacing w:before="0" w:beforeAutospacing="0" w:after="0" w:afterAutospacing="0"/>
              <w:rPr>
                <w:sz w:val="20"/>
                <w:szCs w:val="20"/>
              </w:rPr>
            </w:pPr>
            <w:r>
              <w:rPr>
                <w:sz w:val="20"/>
                <w:szCs w:val="20"/>
              </w:rPr>
              <w:t>10.2 </w:t>
            </w:r>
          </w:p>
        </w:tc>
        <w:tc>
          <w:tcPr>
            <w:tcW w:w="2200" w:type="pct"/>
            <w:hideMark/>
          </w:tcPr>
          <w:p w14:paraId="04AF3AB9" w14:textId="77777777" w:rsidR="00000000" w:rsidRDefault="0053651E">
            <w:pPr>
              <w:pStyle w:val="a3"/>
              <w:spacing w:before="0" w:beforeAutospacing="0" w:after="0" w:afterAutospacing="0"/>
              <w:rPr>
                <w:sz w:val="20"/>
                <w:szCs w:val="20"/>
              </w:rPr>
            </w:pPr>
            <w:hyperlink r:id="rId21" w:history="1">
              <w:r>
                <w:rPr>
                  <w:rStyle w:val="a4"/>
                  <w:sz w:val="20"/>
                  <w:szCs w:val="20"/>
                </w:rPr>
                <w:t>Second Amended and Restated 1998 Equity Participation Plan of Kimco Realty Corporation (restated February 25, 2009)</w:t>
              </w:r>
            </w:hyperlink>
          </w:p>
        </w:tc>
        <w:tc>
          <w:tcPr>
            <w:tcW w:w="400" w:type="pct"/>
            <w:hideMark/>
          </w:tcPr>
          <w:p w14:paraId="516C83DA"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4B0B2852"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616C1BC" w14:textId="77777777" w:rsidR="00000000" w:rsidRDefault="0053651E">
            <w:pPr>
              <w:pStyle w:val="a3"/>
              <w:spacing w:before="0" w:beforeAutospacing="0" w:after="0" w:afterAutospacing="0"/>
              <w:jc w:val="center"/>
              <w:rPr>
                <w:sz w:val="20"/>
                <w:szCs w:val="20"/>
              </w:rPr>
            </w:pPr>
            <w:r>
              <w:rPr>
                <w:sz w:val="20"/>
                <w:szCs w:val="20"/>
              </w:rPr>
              <w:t>02/27/09</w:t>
            </w:r>
          </w:p>
        </w:tc>
        <w:tc>
          <w:tcPr>
            <w:tcW w:w="350" w:type="pct"/>
            <w:hideMark/>
          </w:tcPr>
          <w:p w14:paraId="32130B03" w14:textId="77777777" w:rsidR="00000000" w:rsidRDefault="0053651E">
            <w:pPr>
              <w:pStyle w:val="a3"/>
              <w:spacing w:before="0" w:beforeAutospacing="0" w:after="0" w:afterAutospacing="0"/>
              <w:jc w:val="center"/>
              <w:rPr>
                <w:sz w:val="20"/>
                <w:szCs w:val="20"/>
              </w:rPr>
            </w:pPr>
            <w:r>
              <w:rPr>
                <w:sz w:val="20"/>
                <w:szCs w:val="20"/>
              </w:rPr>
              <w:t>10.9</w:t>
            </w:r>
          </w:p>
        </w:tc>
        <w:tc>
          <w:tcPr>
            <w:tcW w:w="400" w:type="pct"/>
            <w:hideMark/>
          </w:tcPr>
          <w:p w14:paraId="1F9A3108" w14:textId="77777777" w:rsidR="00000000" w:rsidRDefault="0053651E">
            <w:pPr>
              <w:rPr>
                <w:rFonts w:eastAsia="Times New Roman"/>
                <w:sz w:val="20"/>
                <w:szCs w:val="20"/>
              </w:rPr>
            </w:pPr>
            <w:r>
              <w:rPr>
                <w:rFonts w:eastAsia="Times New Roman"/>
                <w:sz w:val="20"/>
                <w:szCs w:val="20"/>
              </w:rPr>
              <w:t> </w:t>
            </w:r>
          </w:p>
        </w:tc>
        <w:tc>
          <w:tcPr>
            <w:tcW w:w="300" w:type="pct"/>
            <w:hideMark/>
          </w:tcPr>
          <w:p w14:paraId="7957C98F" w14:textId="77777777" w:rsidR="00000000" w:rsidRDefault="0053651E">
            <w:pPr>
              <w:rPr>
                <w:rFonts w:eastAsia="Times New Roman"/>
                <w:sz w:val="20"/>
                <w:szCs w:val="20"/>
              </w:rPr>
            </w:pPr>
            <w:r>
              <w:rPr>
                <w:rFonts w:eastAsia="Times New Roman"/>
                <w:sz w:val="20"/>
                <w:szCs w:val="20"/>
              </w:rPr>
              <w:t> </w:t>
            </w:r>
          </w:p>
        </w:tc>
      </w:tr>
      <w:tr w:rsidR="00000000" w14:paraId="2BD7463E" w14:textId="77777777">
        <w:trPr>
          <w:tblCellSpacing w:w="0" w:type="dxa"/>
        </w:trPr>
        <w:tc>
          <w:tcPr>
            <w:tcW w:w="400" w:type="pct"/>
            <w:hideMark/>
          </w:tcPr>
          <w:p w14:paraId="1CA82E9C" w14:textId="77777777" w:rsidR="00000000" w:rsidRDefault="0053651E">
            <w:pPr>
              <w:pStyle w:val="a3"/>
              <w:spacing w:before="0" w:beforeAutospacing="0" w:after="0" w:afterAutospacing="0"/>
              <w:rPr>
                <w:sz w:val="20"/>
                <w:szCs w:val="20"/>
              </w:rPr>
            </w:pPr>
            <w:r>
              <w:rPr>
                <w:sz w:val="20"/>
                <w:szCs w:val="20"/>
              </w:rPr>
              <w:t>10.3 </w:t>
            </w:r>
          </w:p>
        </w:tc>
        <w:tc>
          <w:tcPr>
            <w:tcW w:w="2200" w:type="pct"/>
            <w:hideMark/>
          </w:tcPr>
          <w:p w14:paraId="7B10C845" w14:textId="77777777" w:rsidR="00000000" w:rsidRDefault="0053651E">
            <w:pPr>
              <w:pStyle w:val="a3"/>
              <w:spacing w:before="0" w:beforeAutospacing="0" w:after="0" w:afterAutospacing="0"/>
              <w:rPr>
                <w:sz w:val="20"/>
                <w:szCs w:val="20"/>
              </w:rPr>
            </w:pPr>
            <w:hyperlink r:id="rId22" w:history="1">
              <w:r>
                <w:rPr>
                  <w:rStyle w:val="a4"/>
                  <w:sz w:val="20"/>
                  <w:szCs w:val="20"/>
                </w:rPr>
                <w:t>Form of Indemnification Agreement</w:t>
              </w:r>
            </w:hyperlink>
          </w:p>
        </w:tc>
        <w:tc>
          <w:tcPr>
            <w:tcW w:w="400" w:type="pct"/>
            <w:hideMark/>
          </w:tcPr>
          <w:p w14:paraId="4DE008B6"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26BAFB85"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6E4FE924" w14:textId="77777777" w:rsidR="00000000" w:rsidRDefault="0053651E">
            <w:pPr>
              <w:pStyle w:val="a3"/>
              <w:spacing w:before="0" w:beforeAutospacing="0" w:after="0" w:afterAutospacing="0"/>
              <w:jc w:val="center"/>
              <w:rPr>
                <w:sz w:val="20"/>
                <w:szCs w:val="20"/>
              </w:rPr>
            </w:pPr>
            <w:r>
              <w:rPr>
                <w:sz w:val="20"/>
                <w:szCs w:val="20"/>
              </w:rPr>
              <w:t>02/27/09</w:t>
            </w:r>
          </w:p>
        </w:tc>
        <w:tc>
          <w:tcPr>
            <w:tcW w:w="350" w:type="pct"/>
            <w:hideMark/>
          </w:tcPr>
          <w:p w14:paraId="0AB00364" w14:textId="77777777" w:rsidR="00000000" w:rsidRDefault="0053651E">
            <w:pPr>
              <w:pStyle w:val="a3"/>
              <w:spacing w:before="0" w:beforeAutospacing="0" w:after="0" w:afterAutospacing="0"/>
              <w:jc w:val="center"/>
              <w:rPr>
                <w:sz w:val="20"/>
                <w:szCs w:val="20"/>
              </w:rPr>
            </w:pPr>
            <w:r>
              <w:rPr>
                <w:sz w:val="20"/>
                <w:szCs w:val="20"/>
              </w:rPr>
              <w:t>99.1</w:t>
            </w:r>
          </w:p>
        </w:tc>
        <w:tc>
          <w:tcPr>
            <w:tcW w:w="400" w:type="pct"/>
            <w:hideMark/>
          </w:tcPr>
          <w:p w14:paraId="1D7EC9CE" w14:textId="77777777" w:rsidR="00000000" w:rsidRDefault="0053651E">
            <w:pPr>
              <w:rPr>
                <w:rFonts w:eastAsia="Times New Roman"/>
                <w:sz w:val="20"/>
                <w:szCs w:val="20"/>
              </w:rPr>
            </w:pPr>
            <w:r>
              <w:rPr>
                <w:rFonts w:eastAsia="Times New Roman"/>
                <w:sz w:val="20"/>
                <w:szCs w:val="20"/>
              </w:rPr>
              <w:t> </w:t>
            </w:r>
          </w:p>
        </w:tc>
        <w:tc>
          <w:tcPr>
            <w:tcW w:w="300" w:type="pct"/>
            <w:hideMark/>
          </w:tcPr>
          <w:p w14:paraId="24109956" w14:textId="77777777" w:rsidR="00000000" w:rsidRDefault="0053651E">
            <w:pPr>
              <w:rPr>
                <w:rFonts w:eastAsia="Times New Roman"/>
                <w:sz w:val="20"/>
                <w:szCs w:val="20"/>
              </w:rPr>
            </w:pPr>
            <w:r>
              <w:rPr>
                <w:rFonts w:eastAsia="Times New Roman"/>
                <w:sz w:val="20"/>
                <w:szCs w:val="20"/>
              </w:rPr>
              <w:t> </w:t>
            </w:r>
          </w:p>
        </w:tc>
      </w:tr>
      <w:tr w:rsidR="00000000" w14:paraId="0C116E1F" w14:textId="77777777">
        <w:trPr>
          <w:tblCellSpacing w:w="0" w:type="dxa"/>
        </w:trPr>
        <w:tc>
          <w:tcPr>
            <w:tcW w:w="400" w:type="pct"/>
            <w:hideMark/>
          </w:tcPr>
          <w:p w14:paraId="7CAE95BB" w14:textId="77777777" w:rsidR="00000000" w:rsidRDefault="0053651E">
            <w:pPr>
              <w:pStyle w:val="a3"/>
              <w:spacing w:before="0" w:beforeAutospacing="0" w:after="0" w:afterAutospacing="0"/>
              <w:rPr>
                <w:sz w:val="20"/>
                <w:szCs w:val="20"/>
              </w:rPr>
            </w:pPr>
            <w:r>
              <w:rPr>
                <w:sz w:val="20"/>
                <w:szCs w:val="20"/>
              </w:rPr>
              <w:t>10.4</w:t>
            </w:r>
          </w:p>
        </w:tc>
        <w:tc>
          <w:tcPr>
            <w:tcW w:w="2200" w:type="pct"/>
            <w:hideMark/>
          </w:tcPr>
          <w:p w14:paraId="50B325A3" w14:textId="77777777" w:rsidR="00000000" w:rsidRDefault="0053651E">
            <w:pPr>
              <w:pStyle w:val="a3"/>
              <w:spacing w:before="0" w:beforeAutospacing="0" w:after="0" w:afterAutospacing="0"/>
              <w:rPr>
                <w:sz w:val="20"/>
                <w:szCs w:val="20"/>
              </w:rPr>
            </w:pPr>
            <w:hyperlink r:id="rId23" w:history="1">
              <w:r>
                <w:rPr>
                  <w:rStyle w:val="a4"/>
                  <w:sz w:val="20"/>
                  <w:szCs w:val="20"/>
                </w:rPr>
                <w:t>Agency Agreement, dated July 17, 2013, by and among Kimco North Trust III, Kimco Realty Corporation and Scotia Capital Inc., RBC Dominion Securities Inc., CIBC World Markets Inc. and National Bank Financial Inc.</w:t>
              </w:r>
            </w:hyperlink>
          </w:p>
        </w:tc>
        <w:tc>
          <w:tcPr>
            <w:tcW w:w="400" w:type="pct"/>
            <w:hideMark/>
          </w:tcPr>
          <w:p w14:paraId="03B7BE0D" w14:textId="77777777" w:rsidR="00000000" w:rsidRDefault="0053651E">
            <w:pPr>
              <w:pStyle w:val="a3"/>
              <w:spacing w:before="0" w:beforeAutospacing="0" w:after="0" w:afterAutospacing="0"/>
              <w:jc w:val="center"/>
              <w:rPr>
                <w:sz w:val="20"/>
                <w:szCs w:val="20"/>
              </w:rPr>
            </w:pPr>
            <w:r>
              <w:rPr>
                <w:sz w:val="20"/>
                <w:szCs w:val="20"/>
              </w:rPr>
              <w:t>10-Q</w:t>
            </w:r>
          </w:p>
        </w:tc>
        <w:tc>
          <w:tcPr>
            <w:tcW w:w="450" w:type="pct"/>
            <w:hideMark/>
          </w:tcPr>
          <w:p w14:paraId="3B02B86A"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2697D1E" w14:textId="77777777" w:rsidR="00000000" w:rsidRDefault="0053651E">
            <w:pPr>
              <w:pStyle w:val="a3"/>
              <w:spacing w:before="0" w:beforeAutospacing="0" w:after="0" w:afterAutospacing="0"/>
              <w:jc w:val="center"/>
              <w:rPr>
                <w:sz w:val="20"/>
                <w:szCs w:val="20"/>
              </w:rPr>
            </w:pPr>
            <w:r>
              <w:rPr>
                <w:sz w:val="20"/>
                <w:szCs w:val="20"/>
              </w:rPr>
              <w:t>08/02/13</w:t>
            </w:r>
          </w:p>
        </w:tc>
        <w:tc>
          <w:tcPr>
            <w:tcW w:w="350" w:type="pct"/>
            <w:hideMark/>
          </w:tcPr>
          <w:p w14:paraId="53F1D418" w14:textId="77777777" w:rsidR="00000000" w:rsidRDefault="0053651E">
            <w:pPr>
              <w:pStyle w:val="a3"/>
              <w:spacing w:before="0" w:beforeAutospacing="0" w:after="0" w:afterAutospacing="0"/>
              <w:jc w:val="center"/>
              <w:rPr>
                <w:sz w:val="20"/>
                <w:szCs w:val="20"/>
              </w:rPr>
            </w:pPr>
            <w:r>
              <w:rPr>
                <w:sz w:val="20"/>
                <w:szCs w:val="20"/>
              </w:rPr>
              <w:t>99.1</w:t>
            </w:r>
          </w:p>
        </w:tc>
        <w:tc>
          <w:tcPr>
            <w:tcW w:w="400" w:type="pct"/>
            <w:hideMark/>
          </w:tcPr>
          <w:p w14:paraId="7F6281A5" w14:textId="77777777" w:rsidR="00000000" w:rsidRDefault="0053651E">
            <w:pPr>
              <w:rPr>
                <w:rFonts w:eastAsia="Times New Roman"/>
                <w:sz w:val="20"/>
                <w:szCs w:val="20"/>
              </w:rPr>
            </w:pPr>
            <w:r>
              <w:rPr>
                <w:rFonts w:eastAsia="Times New Roman"/>
                <w:sz w:val="20"/>
                <w:szCs w:val="20"/>
              </w:rPr>
              <w:t> </w:t>
            </w:r>
          </w:p>
        </w:tc>
        <w:tc>
          <w:tcPr>
            <w:tcW w:w="300" w:type="pct"/>
            <w:hideMark/>
          </w:tcPr>
          <w:p w14:paraId="01148A7C" w14:textId="77777777" w:rsidR="00000000" w:rsidRDefault="0053651E">
            <w:pPr>
              <w:rPr>
                <w:rFonts w:eastAsia="Times New Roman"/>
                <w:sz w:val="20"/>
                <w:szCs w:val="20"/>
              </w:rPr>
            </w:pPr>
            <w:r>
              <w:rPr>
                <w:rFonts w:eastAsia="Times New Roman"/>
                <w:sz w:val="20"/>
                <w:szCs w:val="20"/>
              </w:rPr>
              <w:t> </w:t>
            </w:r>
          </w:p>
        </w:tc>
      </w:tr>
      <w:tr w:rsidR="00000000" w14:paraId="57709013" w14:textId="77777777">
        <w:trPr>
          <w:tblCellSpacing w:w="0" w:type="dxa"/>
        </w:trPr>
        <w:tc>
          <w:tcPr>
            <w:tcW w:w="400" w:type="pct"/>
            <w:hideMark/>
          </w:tcPr>
          <w:p w14:paraId="13BA6226" w14:textId="77777777" w:rsidR="00000000" w:rsidRDefault="0053651E">
            <w:pPr>
              <w:pStyle w:val="a3"/>
              <w:spacing w:before="0" w:beforeAutospacing="0" w:after="0" w:afterAutospacing="0"/>
              <w:rPr>
                <w:sz w:val="20"/>
                <w:szCs w:val="20"/>
              </w:rPr>
            </w:pPr>
            <w:r>
              <w:rPr>
                <w:sz w:val="20"/>
                <w:szCs w:val="20"/>
              </w:rPr>
              <w:t>10.5 </w:t>
            </w:r>
          </w:p>
        </w:tc>
        <w:tc>
          <w:tcPr>
            <w:tcW w:w="2200" w:type="pct"/>
            <w:hideMark/>
          </w:tcPr>
          <w:p w14:paraId="70540456" w14:textId="77777777" w:rsidR="00000000" w:rsidRDefault="0053651E">
            <w:pPr>
              <w:pStyle w:val="a3"/>
              <w:spacing w:before="0" w:beforeAutospacing="0" w:after="0" w:afterAutospacing="0"/>
              <w:rPr>
                <w:sz w:val="20"/>
                <w:szCs w:val="20"/>
              </w:rPr>
            </w:pPr>
            <w:hyperlink r:id="rId24" w:history="1">
              <w:r>
                <w:rPr>
                  <w:rStyle w:val="a4"/>
                  <w:sz w:val="20"/>
                  <w:szCs w:val="20"/>
                </w:rPr>
                <w:t>Kimco Realty Corporation Executive Severance Plan, dated March 15, 2010</w:t>
              </w:r>
            </w:hyperlink>
          </w:p>
        </w:tc>
        <w:tc>
          <w:tcPr>
            <w:tcW w:w="400" w:type="pct"/>
            <w:hideMark/>
          </w:tcPr>
          <w:p w14:paraId="62374619"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7D89100F"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E3A0DA2" w14:textId="77777777" w:rsidR="00000000" w:rsidRDefault="0053651E">
            <w:pPr>
              <w:pStyle w:val="a3"/>
              <w:spacing w:before="0" w:beforeAutospacing="0" w:after="0" w:afterAutospacing="0"/>
              <w:jc w:val="center"/>
              <w:rPr>
                <w:sz w:val="20"/>
                <w:szCs w:val="20"/>
              </w:rPr>
            </w:pPr>
            <w:r>
              <w:rPr>
                <w:sz w:val="20"/>
                <w:szCs w:val="20"/>
              </w:rPr>
              <w:t>03/19/10</w:t>
            </w:r>
          </w:p>
        </w:tc>
        <w:tc>
          <w:tcPr>
            <w:tcW w:w="350" w:type="pct"/>
            <w:hideMark/>
          </w:tcPr>
          <w:p w14:paraId="6429AED4" w14:textId="77777777" w:rsidR="00000000" w:rsidRDefault="0053651E">
            <w:pPr>
              <w:pStyle w:val="a3"/>
              <w:spacing w:before="0" w:beforeAutospacing="0" w:after="0" w:afterAutospacing="0"/>
              <w:jc w:val="center"/>
              <w:rPr>
                <w:sz w:val="20"/>
                <w:szCs w:val="20"/>
              </w:rPr>
            </w:pPr>
            <w:r>
              <w:rPr>
                <w:sz w:val="20"/>
                <w:szCs w:val="20"/>
              </w:rPr>
              <w:t>10.5</w:t>
            </w:r>
          </w:p>
        </w:tc>
        <w:tc>
          <w:tcPr>
            <w:tcW w:w="400" w:type="pct"/>
            <w:hideMark/>
          </w:tcPr>
          <w:p w14:paraId="2E24F6F3" w14:textId="77777777" w:rsidR="00000000" w:rsidRDefault="0053651E">
            <w:pPr>
              <w:rPr>
                <w:rFonts w:eastAsia="Times New Roman"/>
                <w:sz w:val="20"/>
                <w:szCs w:val="20"/>
              </w:rPr>
            </w:pPr>
            <w:r>
              <w:rPr>
                <w:rFonts w:eastAsia="Times New Roman"/>
                <w:sz w:val="20"/>
                <w:szCs w:val="20"/>
              </w:rPr>
              <w:t> </w:t>
            </w:r>
          </w:p>
        </w:tc>
        <w:tc>
          <w:tcPr>
            <w:tcW w:w="300" w:type="pct"/>
            <w:hideMark/>
          </w:tcPr>
          <w:p w14:paraId="5B228C63" w14:textId="77777777" w:rsidR="00000000" w:rsidRDefault="0053651E">
            <w:pPr>
              <w:rPr>
                <w:rFonts w:eastAsia="Times New Roman"/>
                <w:sz w:val="20"/>
                <w:szCs w:val="20"/>
              </w:rPr>
            </w:pPr>
            <w:r>
              <w:rPr>
                <w:rFonts w:eastAsia="Times New Roman"/>
                <w:sz w:val="20"/>
                <w:szCs w:val="20"/>
              </w:rPr>
              <w:t> </w:t>
            </w:r>
          </w:p>
        </w:tc>
      </w:tr>
      <w:tr w:rsidR="00000000" w14:paraId="31C5B245" w14:textId="77777777">
        <w:trPr>
          <w:tblCellSpacing w:w="0" w:type="dxa"/>
        </w:trPr>
        <w:tc>
          <w:tcPr>
            <w:tcW w:w="400" w:type="pct"/>
            <w:hideMark/>
          </w:tcPr>
          <w:p w14:paraId="14540824" w14:textId="77777777" w:rsidR="00000000" w:rsidRDefault="0053651E">
            <w:pPr>
              <w:pStyle w:val="a3"/>
              <w:spacing w:before="0" w:beforeAutospacing="0" w:after="0" w:afterAutospacing="0"/>
              <w:rPr>
                <w:sz w:val="20"/>
                <w:szCs w:val="20"/>
              </w:rPr>
            </w:pPr>
            <w:r>
              <w:rPr>
                <w:sz w:val="20"/>
                <w:szCs w:val="20"/>
              </w:rPr>
              <w:t>10.6</w:t>
            </w:r>
          </w:p>
        </w:tc>
        <w:tc>
          <w:tcPr>
            <w:tcW w:w="2200" w:type="pct"/>
            <w:hideMark/>
          </w:tcPr>
          <w:p w14:paraId="76C8FB61" w14:textId="77777777" w:rsidR="00000000" w:rsidRDefault="0053651E">
            <w:pPr>
              <w:pStyle w:val="a3"/>
              <w:spacing w:before="0" w:beforeAutospacing="0" w:after="0" w:afterAutospacing="0"/>
              <w:rPr>
                <w:sz w:val="20"/>
                <w:szCs w:val="20"/>
              </w:rPr>
            </w:pPr>
            <w:hyperlink r:id="rId25" w:history="1">
              <w:r>
                <w:rPr>
                  <w:rStyle w:val="a4"/>
                  <w:sz w:val="20"/>
                  <w:szCs w:val="20"/>
                </w:rPr>
                <w:t>Restated Kimco Realty Corporation 2010 Equity Participation Plan</w:t>
              </w:r>
            </w:hyperlink>
          </w:p>
        </w:tc>
        <w:tc>
          <w:tcPr>
            <w:tcW w:w="400" w:type="pct"/>
            <w:hideMark/>
          </w:tcPr>
          <w:p w14:paraId="1760C22F"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760647FB"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6A047040" w14:textId="77777777" w:rsidR="00000000" w:rsidRDefault="0053651E">
            <w:pPr>
              <w:pStyle w:val="a3"/>
              <w:spacing w:before="0" w:beforeAutospacing="0" w:after="0" w:afterAutospacing="0"/>
              <w:jc w:val="center"/>
              <w:rPr>
                <w:sz w:val="20"/>
                <w:szCs w:val="20"/>
              </w:rPr>
            </w:pPr>
            <w:r>
              <w:rPr>
                <w:sz w:val="20"/>
                <w:szCs w:val="20"/>
              </w:rPr>
              <w:t>02/27/17</w:t>
            </w:r>
          </w:p>
        </w:tc>
        <w:tc>
          <w:tcPr>
            <w:tcW w:w="350" w:type="pct"/>
            <w:hideMark/>
          </w:tcPr>
          <w:p w14:paraId="4753420F" w14:textId="77777777" w:rsidR="00000000" w:rsidRDefault="0053651E">
            <w:pPr>
              <w:pStyle w:val="a3"/>
              <w:spacing w:before="0" w:beforeAutospacing="0" w:after="0" w:afterAutospacing="0"/>
              <w:jc w:val="center"/>
              <w:rPr>
                <w:sz w:val="20"/>
                <w:szCs w:val="20"/>
              </w:rPr>
            </w:pPr>
            <w:r>
              <w:rPr>
                <w:sz w:val="20"/>
                <w:szCs w:val="20"/>
              </w:rPr>
              <w:t>10.6</w:t>
            </w:r>
          </w:p>
        </w:tc>
        <w:tc>
          <w:tcPr>
            <w:tcW w:w="400" w:type="pct"/>
            <w:hideMark/>
          </w:tcPr>
          <w:p w14:paraId="601A081F" w14:textId="77777777" w:rsidR="00000000" w:rsidRDefault="0053651E">
            <w:pPr>
              <w:rPr>
                <w:rFonts w:eastAsia="Times New Roman"/>
                <w:sz w:val="20"/>
                <w:szCs w:val="20"/>
              </w:rPr>
            </w:pPr>
            <w:r>
              <w:rPr>
                <w:rFonts w:eastAsia="Times New Roman"/>
                <w:sz w:val="20"/>
                <w:szCs w:val="20"/>
              </w:rPr>
              <w:t> </w:t>
            </w:r>
          </w:p>
        </w:tc>
        <w:tc>
          <w:tcPr>
            <w:tcW w:w="300" w:type="pct"/>
            <w:hideMark/>
          </w:tcPr>
          <w:p w14:paraId="61B682D3" w14:textId="77777777" w:rsidR="00000000" w:rsidRDefault="0053651E">
            <w:pPr>
              <w:rPr>
                <w:rFonts w:eastAsia="Times New Roman"/>
                <w:sz w:val="20"/>
                <w:szCs w:val="20"/>
              </w:rPr>
            </w:pPr>
            <w:r>
              <w:rPr>
                <w:rFonts w:eastAsia="Times New Roman"/>
                <w:sz w:val="20"/>
                <w:szCs w:val="20"/>
              </w:rPr>
              <w:t> </w:t>
            </w:r>
          </w:p>
        </w:tc>
      </w:tr>
      <w:tr w:rsidR="00000000" w14:paraId="09F7E6C7" w14:textId="77777777">
        <w:trPr>
          <w:tblCellSpacing w:w="0" w:type="dxa"/>
        </w:trPr>
        <w:tc>
          <w:tcPr>
            <w:tcW w:w="400" w:type="pct"/>
            <w:hideMark/>
          </w:tcPr>
          <w:p w14:paraId="0854BDD6" w14:textId="77777777" w:rsidR="00000000" w:rsidRDefault="0053651E">
            <w:pPr>
              <w:pStyle w:val="a3"/>
              <w:spacing w:before="0" w:beforeAutospacing="0" w:after="0" w:afterAutospacing="0"/>
              <w:rPr>
                <w:sz w:val="20"/>
                <w:szCs w:val="20"/>
              </w:rPr>
            </w:pPr>
            <w:r>
              <w:rPr>
                <w:sz w:val="20"/>
                <w:szCs w:val="20"/>
              </w:rPr>
              <w:t>10.7</w:t>
            </w:r>
          </w:p>
        </w:tc>
        <w:tc>
          <w:tcPr>
            <w:tcW w:w="2200" w:type="pct"/>
            <w:hideMark/>
          </w:tcPr>
          <w:p w14:paraId="36037A22" w14:textId="77777777" w:rsidR="00000000" w:rsidRDefault="0053651E">
            <w:pPr>
              <w:pStyle w:val="a3"/>
              <w:spacing w:before="0" w:beforeAutospacing="0" w:after="0" w:afterAutospacing="0"/>
              <w:rPr>
                <w:sz w:val="20"/>
                <w:szCs w:val="20"/>
              </w:rPr>
            </w:pPr>
            <w:hyperlink r:id="rId26" w:history="1">
              <w:r>
                <w:rPr>
                  <w:rStyle w:val="a4"/>
                  <w:sz w:val="20"/>
                  <w:szCs w:val="20"/>
                </w:rPr>
                <w:t>Amendment No. 1 to the</w:t>
              </w:r>
              <w:r>
                <w:rPr>
                  <w:rStyle w:val="a4"/>
                  <w:sz w:val="20"/>
                  <w:szCs w:val="20"/>
                </w:rPr>
                <w:t xml:space="preserve"> Kimco Realty Corporation 2010 Equity Participation Plan</w:t>
              </w:r>
            </w:hyperlink>
          </w:p>
        </w:tc>
        <w:tc>
          <w:tcPr>
            <w:tcW w:w="400" w:type="pct"/>
            <w:hideMark/>
          </w:tcPr>
          <w:p w14:paraId="3E713774" w14:textId="77777777" w:rsidR="00000000" w:rsidRDefault="0053651E">
            <w:pPr>
              <w:pStyle w:val="a3"/>
              <w:spacing w:before="0" w:beforeAutospacing="0" w:after="0" w:afterAutospacing="0"/>
              <w:jc w:val="center"/>
              <w:rPr>
                <w:sz w:val="20"/>
                <w:szCs w:val="20"/>
              </w:rPr>
            </w:pPr>
            <w:r>
              <w:rPr>
                <w:sz w:val="20"/>
                <w:szCs w:val="20"/>
              </w:rPr>
              <w:t>10-K</w:t>
            </w:r>
          </w:p>
        </w:tc>
        <w:tc>
          <w:tcPr>
            <w:tcW w:w="450" w:type="pct"/>
            <w:hideMark/>
          </w:tcPr>
          <w:p w14:paraId="18693376"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16E7F2F0" w14:textId="77777777" w:rsidR="00000000" w:rsidRDefault="0053651E">
            <w:pPr>
              <w:pStyle w:val="a3"/>
              <w:spacing w:before="0" w:beforeAutospacing="0" w:after="0" w:afterAutospacing="0"/>
              <w:jc w:val="center"/>
              <w:rPr>
                <w:sz w:val="20"/>
                <w:szCs w:val="20"/>
              </w:rPr>
            </w:pPr>
            <w:r>
              <w:rPr>
                <w:sz w:val="20"/>
                <w:szCs w:val="20"/>
              </w:rPr>
              <w:t>02/23/18</w:t>
            </w:r>
          </w:p>
        </w:tc>
        <w:tc>
          <w:tcPr>
            <w:tcW w:w="350" w:type="pct"/>
            <w:hideMark/>
          </w:tcPr>
          <w:p w14:paraId="5B5F9616" w14:textId="77777777" w:rsidR="00000000" w:rsidRDefault="0053651E">
            <w:pPr>
              <w:pStyle w:val="a3"/>
              <w:spacing w:before="0" w:beforeAutospacing="0" w:after="0" w:afterAutospacing="0"/>
              <w:jc w:val="center"/>
              <w:rPr>
                <w:sz w:val="20"/>
                <w:szCs w:val="20"/>
              </w:rPr>
            </w:pPr>
            <w:r>
              <w:rPr>
                <w:sz w:val="20"/>
                <w:szCs w:val="20"/>
              </w:rPr>
              <w:t>10.7</w:t>
            </w:r>
          </w:p>
        </w:tc>
        <w:tc>
          <w:tcPr>
            <w:tcW w:w="400" w:type="pct"/>
            <w:hideMark/>
          </w:tcPr>
          <w:p w14:paraId="7D0DACF8" w14:textId="77777777" w:rsidR="00000000" w:rsidRDefault="0053651E">
            <w:pPr>
              <w:rPr>
                <w:rFonts w:eastAsia="Times New Roman"/>
                <w:sz w:val="20"/>
                <w:szCs w:val="20"/>
              </w:rPr>
            </w:pPr>
            <w:r>
              <w:rPr>
                <w:rFonts w:eastAsia="Times New Roman"/>
                <w:sz w:val="20"/>
                <w:szCs w:val="20"/>
              </w:rPr>
              <w:t> </w:t>
            </w:r>
          </w:p>
        </w:tc>
        <w:tc>
          <w:tcPr>
            <w:tcW w:w="300" w:type="pct"/>
            <w:hideMark/>
          </w:tcPr>
          <w:p w14:paraId="10B1A447" w14:textId="77777777" w:rsidR="00000000" w:rsidRDefault="0053651E">
            <w:pPr>
              <w:rPr>
                <w:rFonts w:eastAsia="Times New Roman"/>
                <w:sz w:val="20"/>
                <w:szCs w:val="20"/>
              </w:rPr>
            </w:pPr>
            <w:r>
              <w:rPr>
                <w:rFonts w:eastAsia="Times New Roman"/>
                <w:sz w:val="20"/>
                <w:szCs w:val="20"/>
              </w:rPr>
              <w:t> </w:t>
            </w:r>
          </w:p>
        </w:tc>
      </w:tr>
    </w:tbl>
    <w:p w14:paraId="065D0F80" w14:textId="77777777" w:rsidR="00000000" w:rsidRDefault="0053651E">
      <w:pPr>
        <w:pStyle w:val="a3"/>
        <w:spacing w:before="0" w:beforeAutospacing="0" w:after="0" w:afterAutospacing="0"/>
        <w:rPr>
          <w:sz w:val="20"/>
          <w:szCs w:val="20"/>
        </w:rPr>
      </w:pPr>
      <w:r>
        <w:rPr>
          <w:sz w:val="20"/>
          <w:szCs w:val="20"/>
        </w:rPr>
        <w:t> </w:t>
      </w:r>
    </w:p>
    <w:p w14:paraId="3B28659C" w14:textId="77777777" w:rsidR="00000000" w:rsidRDefault="0053651E">
      <w:pPr>
        <w:jc w:val="center"/>
        <w:divId w:val="1099374834"/>
        <w:rPr>
          <w:rFonts w:eastAsia="Times New Roman"/>
          <w:sz w:val="20"/>
          <w:szCs w:val="20"/>
        </w:rPr>
      </w:pPr>
      <w:r>
        <w:rPr>
          <w:rFonts w:eastAsia="Times New Roman"/>
          <w:sz w:val="20"/>
          <w:szCs w:val="20"/>
        </w:rPr>
        <w:t xml:space="preserve">39 </w:t>
      </w:r>
    </w:p>
    <w:p w14:paraId="17CEEFC9" w14:textId="77777777" w:rsidR="00000000" w:rsidRDefault="0053651E">
      <w:pPr>
        <w:divId w:val="1099374834"/>
        <w:rPr>
          <w:rFonts w:eastAsia="Times New Roman"/>
          <w:sz w:val="20"/>
          <w:szCs w:val="20"/>
        </w:rPr>
      </w:pPr>
      <w:r>
        <w:rPr>
          <w:rFonts w:eastAsia="Times New Roman"/>
          <w:sz w:val="20"/>
          <w:szCs w:val="20"/>
        </w:rPr>
        <w:pict w14:anchorId="5FA68E61">
          <v:rect id="_x0000_i1070" style="width:0;height:1.5pt" o:hralign="center" o:hrstd="t" o:hr="t" fillcolor="#a0a0a0" stroked="f"/>
        </w:pict>
      </w:r>
    </w:p>
    <w:p w14:paraId="78D1AAE3" w14:textId="77777777" w:rsidR="00000000" w:rsidRDefault="0053651E">
      <w:pPr>
        <w:divId w:val="10993748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E95C18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3463"/>
        <w:gridCol w:w="478"/>
        <w:gridCol w:w="550"/>
        <w:gridCol w:w="712"/>
        <w:gridCol w:w="712"/>
        <w:gridCol w:w="929"/>
        <w:gridCol w:w="712"/>
      </w:tblGrid>
      <w:tr w:rsidR="00000000" w14:paraId="3F82BA82" w14:textId="77777777">
        <w:trPr>
          <w:tblCellSpacing w:w="0" w:type="dxa"/>
        </w:trPr>
        <w:tc>
          <w:tcPr>
            <w:tcW w:w="400" w:type="pct"/>
            <w:vAlign w:val="bottom"/>
            <w:hideMark/>
          </w:tcPr>
          <w:p w14:paraId="722D08DD" w14:textId="77777777" w:rsidR="00000000" w:rsidRDefault="0053651E">
            <w:pPr>
              <w:rPr>
                <w:rFonts w:eastAsia="Times New Roman"/>
                <w:sz w:val="20"/>
                <w:szCs w:val="20"/>
              </w:rPr>
            </w:pPr>
            <w:r>
              <w:rPr>
                <w:rFonts w:eastAsia="Times New Roman"/>
                <w:sz w:val="20"/>
                <w:szCs w:val="20"/>
              </w:rPr>
              <w:t> </w:t>
            </w:r>
          </w:p>
        </w:tc>
        <w:tc>
          <w:tcPr>
            <w:tcW w:w="2200" w:type="pct"/>
            <w:vAlign w:val="bottom"/>
            <w:hideMark/>
          </w:tcPr>
          <w:p w14:paraId="44B9FD6C" w14:textId="77777777" w:rsidR="00000000" w:rsidRDefault="0053651E">
            <w:pPr>
              <w:rPr>
                <w:rFonts w:eastAsia="Times New Roman"/>
                <w:sz w:val="20"/>
                <w:szCs w:val="20"/>
              </w:rPr>
            </w:pPr>
            <w:r>
              <w:rPr>
                <w:rFonts w:eastAsia="Times New Roman"/>
                <w:sz w:val="20"/>
                <w:szCs w:val="20"/>
              </w:rPr>
              <w:t> </w:t>
            </w:r>
          </w:p>
        </w:tc>
        <w:tc>
          <w:tcPr>
            <w:tcW w:w="1350" w:type="pct"/>
            <w:gridSpan w:val="4"/>
            <w:hideMark/>
          </w:tcPr>
          <w:p w14:paraId="2E3BEAE2" w14:textId="77777777" w:rsidR="00000000" w:rsidRDefault="0053651E">
            <w:pPr>
              <w:pStyle w:val="a3"/>
              <w:spacing w:before="0" w:beforeAutospacing="0" w:after="0" w:afterAutospacing="0"/>
              <w:jc w:val="center"/>
              <w:rPr>
                <w:sz w:val="20"/>
                <w:szCs w:val="20"/>
              </w:rPr>
            </w:pPr>
            <w:r>
              <w:rPr>
                <w:b/>
                <w:bCs/>
                <w:sz w:val="20"/>
                <w:szCs w:val="20"/>
                <w:u w:val="single"/>
              </w:rPr>
              <w:t>Incorporated by Reference</w:t>
            </w:r>
          </w:p>
        </w:tc>
        <w:tc>
          <w:tcPr>
            <w:tcW w:w="400" w:type="pct"/>
            <w:hideMark/>
          </w:tcPr>
          <w:p w14:paraId="4BAEA0FD" w14:textId="77777777" w:rsidR="00000000" w:rsidRDefault="0053651E">
            <w:pPr>
              <w:rPr>
                <w:rFonts w:eastAsia="Times New Roman"/>
                <w:sz w:val="20"/>
                <w:szCs w:val="20"/>
              </w:rPr>
            </w:pPr>
            <w:r>
              <w:rPr>
                <w:rFonts w:eastAsia="Times New Roman"/>
                <w:sz w:val="20"/>
                <w:szCs w:val="20"/>
              </w:rPr>
              <w:t> </w:t>
            </w:r>
          </w:p>
        </w:tc>
        <w:tc>
          <w:tcPr>
            <w:tcW w:w="300" w:type="pct"/>
            <w:vAlign w:val="bottom"/>
            <w:hideMark/>
          </w:tcPr>
          <w:p w14:paraId="0562EF4B" w14:textId="77777777" w:rsidR="00000000" w:rsidRDefault="0053651E">
            <w:pPr>
              <w:rPr>
                <w:rFonts w:eastAsia="Times New Roman"/>
                <w:sz w:val="20"/>
                <w:szCs w:val="20"/>
              </w:rPr>
            </w:pPr>
            <w:r>
              <w:rPr>
                <w:rFonts w:eastAsia="Times New Roman"/>
                <w:sz w:val="20"/>
                <w:szCs w:val="20"/>
              </w:rPr>
              <w:t> </w:t>
            </w:r>
          </w:p>
        </w:tc>
      </w:tr>
      <w:tr w:rsidR="00000000" w14:paraId="34E6C58C" w14:textId="77777777">
        <w:trPr>
          <w:tblCellSpacing w:w="0" w:type="dxa"/>
        </w:trPr>
        <w:tc>
          <w:tcPr>
            <w:tcW w:w="400" w:type="pct"/>
            <w:vAlign w:val="bottom"/>
            <w:hideMark/>
          </w:tcPr>
          <w:p w14:paraId="1539D1CA" w14:textId="77777777" w:rsidR="00000000" w:rsidRDefault="0053651E">
            <w:pPr>
              <w:pStyle w:val="a3"/>
              <w:spacing w:before="0" w:beforeAutospacing="0" w:after="0" w:afterAutospacing="0"/>
              <w:rPr>
                <w:sz w:val="20"/>
                <w:szCs w:val="20"/>
              </w:rPr>
            </w:pPr>
            <w:r>
              <w:rPr>
                <w:b/>
                <w:bCs/>
                <w:sz w:val="20"/>
                <w:szCs w:val="20"/>
              </w:rPr>
              <w:t xml:space="preserve">Exhibit </w:t>
            </w:r>
          </w:p>
          <w:p w14:paraId="6631ED93" w14:textId="77777777" w:rsidR="00000000" w:rsidRDefault="0053651E">
            <w:pPr>
              <w:pStyle w:val="a3"/>
              <w:spacing w:before="0" w:beforeAutospacing="0" w:after="0" w:afterAutospacing="0"/>
              <w:rPr>
                <w:sz w:val="20"/>
                <w:szCs w:val="20"/>
              </w:rPr>
            </w:pPr>
            <w:r>
              <w:rPr>
                <w:b/>
                <w:bCs/>
                <w:sz w:val="20"/>
                <w:szCs w:val="20"/>
                <w:u w:val="single"/>
              </w:rPr>
              <w:t>Number</w:t>
            </w:r>
          </w:p>
        </w:tc>
        <w:tc>
          <w:tcPr>
            <w:tcW w:w="2200" w:type="pct"/>
            <w:vAlign w:val="bottom"/>
            <w:hideMark/>
          </w:tcPr>
          <w:p w14:paraId="24740D46" w14:textId="77777777" w:rsidR="00000000" w:rsidRDefault="0053651E">
            <w:pPr>
              <w:pStyle w:val="a3"/>
              <w:spacing w:before="0" w:beforeAutospacing="0" w:after="0" w:afterAutospacing="0"/>
              <w:jc w:val="center"/>
              <w:rPr>
                <w:sz w:val="20"/>
                <w:szCs w:val="20"/>
              </w:rPr>
            </w:pPr>
            <w:r>
              <w:rPr>
                <w:b/>
                <w:bCs/>
                <w:sz w:val="20"/>
                <w:szCs w:val="20"/>
                <w:u w:val="single"/>
              </w:rPr>
              <w:t>Exhibit Description</w:t>
            </w:r>
          </w:p>
        </w:tc>
        <w:tc>
          <w:tcPr>
            <w:tcW w:w="400" w:type="pct"/>
            <w:vAlign w:val="bottom"/>
            <w:hideMark/>
          </w:tcPr>
          <w:p w14:paraId="132E0D59" w14:textId="77777777" w:rsidR="00000000" w:rsidRDefault="0053651E">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14:paraId="68C2DDC8" w14:textId="77777777" w:rsidR="00000000" w:rsidRDefault="0053651E">
            <w:pPr>
              <w:pStyle w:val="a3"/>
              <w:spacing w:before="0" w:beforeAutospacing="0" w:after="0" w:afterAutospacing="0"/>
              <w:jc w:val="center"/>
              <w:rPr>
                <w:sz w:val="20"/>
                <w:szCs w:val="20"/>
              </w:rPr>
            </w:pPr>
            <w:r>
              <w:rPr>
                <w:b/>
                <w:bCs/>
                <w:sz w:val="20"/>
                <w:szCs w:val="20"/>
                <w:u w:val="single"/>
              </w:rPr>
              <w:t>File No.</w:t>
            </w:r>
          </w:p>
        </w:tc>
        <w:tc>
          <w:tcPr>
            <w:tcW w:w="500" w:type="pct"/>
            <w:vAlign w:val="bottom"/>
            <w:hideMark/>
          </w:tcPr>
          <w:p w14:paraId="16C32251" w14:textId="77777777" w:rsidR="00000000" w:rsidRDefault="0053651E">
            <w:pPr>
              <w:pStyle w:val="a3"/>
              <w:spacing w:before="0" w:beforeAutospacing="0" w:after="0" w:afterAutospacing="0"/>
              <w:jc w:val="center"/>
              <w:rPr>
                <w:sz w:val="20"/>
                <w:szCs w:val="20"/>
              </w:rPr>
            </w:pPr>
            <w:r>
              <w:rPr>
                <w:b/>
                <w:bCs/>
                <w:sz w:val="20"/>
                <w:szCs w:val="20"/>
              </w:rPr>
              <w:t>Date of</w:t>
            </w:r>
          </w:p>
          <w:p w14:paraId="57083D0A" w14:textId="77777777" w:rsidR="00000000" w:rsidRDefault="0053651E">
            <w:pPr>
              <w:pStyle w:val="a3"/>
              <w:spacing w:before="0" w:beforeAutospacing="0" w:after="0" w:afterAutospacing="0"/>
              <w:jc w:val="center"/>
              <w:rPr>
                <w:sz w:val="20"/>
                <w:szCs w:val="20"/>
              </w:rPr>
            </w:pPr>
            <w:r>
              <w:rPr>
                <w:b/>
                <w:bCs/>
                <w:sz w:val="20"/>
                <w:szCs w:val="20"/>
                <w:u w:val="single"/>
              </w:rPr>
              <w:t>Filing</w:t>
            </w:r>
          </w:p>
        </w:tc>
        <w:tc>
          <w:tcPr>
            <w:tcW w:w="350" w:type="pct"/>
            <w:vAlign w:val="bottom"/>
            <w:hideMark/>
          </w:tcPr>
          <w:p w14:paraId="721A8AA3" w14:textId="77777777" w:rsidR="00000000" w:rsidRDefault="0053651E">
            <w:pPr>
              <w:pStyle w:val="a3"/>
              <w:spacing w:before="0" w:beforeAutospacing="0" w:after="0" w:afterAutospacing="0"/>
              <w:jc w:val="center"/>
              <w:rPr>
                <w:sz w:val="20"/>
                <w:szCs w:val="20"/>
              </w:rPr>
            </w:pPr>
            <w:r>
              <w:rPr>
                <w:b/>
                <w:bCs/>
                <w:sz w:val="20"/>
                <w:szCs w:val="20"/>
              </w:rPr>
              <w:t>Exhibit</w:t>
            </w:r>
          </w:p>
          <w:p w14:paraId="7F457F87" w14:textId="77777777" w:rsidR="00000000" w:rsidRDefault="0053651E">
            <w:pPr>
              <w:pStyle w:val="a3"/>
              <w:spacing w:before="0" w:beforeAutospacing="0" w:after="0" w:afterAutospacing="0"/>
              <w:jc w:val="center"/>
              <w:rPr>
                <w:sz w:val="20"/>
                <w:szCs w:val="20"/>
              </w:rPr>
            </w:pPr>
            <w:r>
              <w:rPr>
                <w:b/>
                <w:bCs/>
                <w:sz w:val="20"/>
                <w:szCs w:val="20"/>
                <w:u w:val="single"/>
              </w:rPr>
              <w:t>Number</w:t>
            </w:r>
          </w:p>
        </w:tc>
        <w:tc>
          <w:tcPr>
            <w:tcW w:w="400" w:type="pct"/>
            <w:vAlign w:val="bottom"/>
            <w:hideMark/>
          </w:tcPr>
          <w:p w14:paraId="283A6909" w14:textId="77777777" w:rsidR="00000000" w:rsidRDefault="0053651E">
            <w:pPr>
              <w:pStyle w:val="a3"/>
              <w:spacing w:before="0" w:beforeAutospacing="0" w:after="0" w:afterAutospacing="0"/>
              <w:jc w:val="center"/>
              <w:rPr>
                <w:sz w:val="20"/>
                <w:szCs w:val="20"/>
              </w:rPr>
            </w:pPr>
            <w:r>
              <w:rPr>
                <w:b/>
                <w:bCs/>
                <w:sz w:val="20"/>
                <w:szCs w:val="20"/>
              </w:rPr>
              <w:t>Filed/</w:t>
            </w:r>
          </w:p>
          <w:p w14:paraId="63DC5602" w14:textId="77777777" w:rsidR="00000000" w:rsidRDefault="0053651E">
            <w:pPr>
              <w:pStyle w:val="a3"/>
              <w:spacing w:before="0" w:beforeAutospacing="0" w:after="0" w:afterAutospacing="0"/>
              <w:jc w:val="center"/>
              <w:rPr>
                <w:sz w:val="20"/>
                <w:szCs w:val="20"/>
              </w:rPr>
            </w:pPr>
            <w:r>
              <w:rPr>
                <w:b/>
                <w:bCs/>
                <w:sz w:val="20"/>
                <w:szCs w:val="20"/>
              </w:rPr>
              <w:t>Furnished </w:t>
            </w:r>
          </w:p>
          <w:p w14:paraId="16DC7F78" w14:textId="77777777" w:rsidR="00000000" w:rsidRDefault="0053651E">
            <w:pPr>
              <w:pStyle w:val="a3"/>
              <w:spacing w:before="0" w:beforeAutospacing="0" w:after="0" w:afterAutospacing="0"/>
              <w:jc w:val="center"/>
              <w:rPr>
                <w:sz w:val="20"/>
                <w:szCs w:val="20"/>
              </w:rPr>
            </w:pPr>
            <w:r>
              <w:rPr>
                <w:b/>
                <w:bCs/>
                <w:sz w:val="20"/>
                <w:szCs w:val="20"/>
                <w:u w:val="single"/>
              </w:rPr>
              <w:t>Herewith</w:t>
            </w:r>
          </w:p>
        </w:tc>
        <w:tc>
          <w:tcPr>
            <w:tcW w:w="300" w:type="pct"/>
            <w:hideMark/>
          </w:tcPr>
          <w:p w14:paraId="2412D1EC" w14:textId="77777777" w:rsidR="00000000" w:rsidRDefault="0053651E">
            <w:pPr>
              <w:pStyle w:val="a3"/>
              <w:spacing w:before="0" w:beforeAutospacing="0" w:after="0" w:afterAutospacing="0"/>
              <w:jc w:val="center"/>
              <w:rPr>
                <w:sz w:val="20"/>
                <w:szCs w:val="20"/>
              </w:rPr>
            </w:pPr>
            <w:r>
              <w:rPr>
                <w:b/>
                <w:bCs/>
                <w:sz w:val="20"/>
                <w:szCs w:val="20"/>
              </w:rPr>
              <w:t> </w:t>
            </w:r>
          </w:p>
          <w:p w14:paraId="010C0E79" w14:textId="77777777" w:rsidR="00000000" w:rsidRDefault="0053651E">
            <w:pPr>
              <w:pStyle w:val="a3"/>
              <w:spacing w:before="0" w:beforeAutospacing="0" w:after="0" w:afterAutospacing="0"/>
              <w:jc w:val="center"/>
              <w:rPr>
                <w:sz w:val="20"/>
                <w:szCs w:val="20"/>
              </w:rPr>
            </w:pPr>
            <w:r>
              <w:rPr>
                <w:b/>
                <w:bCs/>
                <w:sz w:val="20"/>
                <w:szCs w:val="20"/>
              </w:rPr>
              <w:t>Page</w:t>
            </w:r>
          </w:p>
          <w:p w14:paraId="4693F33A" w14:textId="77777777" w:rsidR="00000000" w:rsidRDefault="0053651E">
            <w:pPr>
              <w:pStyle w:val="a3"/>
              <w:spacing w:before="0" w:beforeAutospacing="0" w:after="0" w:afterAutospacing="0"/>
              <w:jc w:val="center"/>
              <w:rPr>
                <w:sz w:val="20"/>
                <w:szCs w:val="20"/>
              </w:rPr>
            </w:pPr>
            <w:r>
              <w:rPr>
                <w:b/>
                <w:bCs/>
                <w:sz w:val="20"/>
                <w:szCs w:val="20"/>
                <w:u w:val="single"/>
              </w:rPr>
              <w:t>Number</w:t>
            </w:r>
          </w:p>
        </w:tc>
      </w:tr>
      <w:tr w:rsidR="00000000" w14:paraId="4BF1C25E" w14:textId="77777777">
        <w:trPr>
          <w:tblCellSpacing w:w="0" w:type="dxa"/>
        </w:trPr>
        <w:tc>
          <w:tcPr>
            <w:tcW w:w="400" w:type="pct"/>
            <w:hideMark/>
          </w:tcPr>
          <w:p w14:paraId="14356A1F" w14:textId="77777777" w:rsidR="00000000" w:rsidRDefault="0053651E">
            <w:pPr>
              <w:pStyle w:val="a3"/>
              <w:spacing w:before="0" w:beforeAutospacing="0" w:after="0" w:afterAutospacing="0"/>
              <w:rPr>
                <w:sz w:val="20"/>
                <w:szCs w:val="20"/>
              </w:rPr>
            </w:pPr>
            <w:r>
              <w:rPr>
                <w:sz w:val="20"/>
                <w:szCs w:val="20"/>
              </w:rPr>
              <w:t>10.8</w:t>
            </w:r>
          </w:p>
        </w:tc>
        <w:tc>
          <w:tcPr>
            <w:tcW w:w="2200" w:type="pct"/>
            <w:hideMark/>
          </w:tcPr>
          <w:p w14:paraId="6034EE11" w14:textId="77777777" w:rsidR="00000000" w:rsidRDefault="0053651E">
            <w:pPr>
              <w:pStyle w:val="a3"/>
              <w:spacing w:before="0" w:beforeAutospacing="0" w:after="0" w:afterAutospacing="0"/>
              <w:rPr>
                <w:sz w:val="20"/>
                <w:szCs w:val="20"/>
              </w:rPr>
            </w:pPr>
            <w:hyperlink r:id="rId27" w:history="1">
              <w:r>
                <w:rPr>
                  <w:rStyle w:val="a4"/>
                  <w:sz w:val="20"/>
                  <w:szCs w:val="20"/>
                </w:rPr>
                <w:t>Form of Performance Share Award Grant Notice and Performance Share Award Agreement</w:t>
              </w:r>
            </w:hyperlink>
          </w:p>
        </w:tc>
        <w:tc>
          <w:tcPr>
            <w:tcW w:w="400" w:type="pct"/>
            <w:hideMark/>
          </w:tcPr>
          <w:p w14:paraId="699DF4F7"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6BCB8C0F"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AC8FD9A" w14:textId="77777777" w:rsidR="00000000" w:rsidRDefault="0053651E">
            <w:pPr>
              <w:pStyle w:val="a3"/>
              <w:spacing w:before="0" w:beforeAutospacing="0" w:after="0" w:afterAutospacing="0"/>
              <w:jc w:val="center"/>
              <w:rPr>
                <w:sz w:val="20"/>
                <w:szCs w:val="20"/>
              </w:rPr>
            </w:pPr>
            <w:r>
              <w:rPr>
                <w:sz w:val="20"/>
                <w:szCs w:val="20"/>
              </w:rPr>
              <w:t>03/19/10</w:t>
            </w:r>
          </w:p>
        </w:tc>
        <w:tc>
          <w:tcPr>
            <w:tcW w:w="350" w:type="pct"/>
            <w:hideMark/>
          </w:tcPr>
          <w:p w14:paraId="0BB5FB5A" w14:textId="77777777" w:rsidR="00000000" w:rsidRDefault="0053651E">
            <w:pPr>
              <w:pStyle w:val="a3"/>
              <w:spacing w:before="0" w:beforeAutospacing="0" w:after="0" w:afterAutospacing="0"/>
              <w:jc w:val="center"/>
              <w:rPr>
                <w:sz w:val="20"/>
                <w:szCs w:val="20"/>
              </w:rPr>
            </w:pPr>
            <w:r>
              <w:rPr>
                <w:sz w:val="20"/>
                <w:szCs w:val="20"/>
              </w:rPr>
              <w:t>10.8</w:t>
            </w:r>
          </w:p>
        </w:tc>
        <w:tc>
          <w:tcPr>
            <w:tcW w:w="400" w:type="pct"/>
            <w:hideMark/>
          </w:tcPr>
          <w:p w14:paraId="5F786FA7" w14:textId="77777777" w:rsidR="00000000" w:rsidRDefault="0053651E">
            <w:pPr>
              <w:rPr>
                <w:rFonts w:eastAsia="Times New Roman"/>
                <w:sz w:val="20"/>
                <w:szCs w:val="20"/>
              </w:rPr>
            </w:pPr>
            <w:r>
              <w:rPr>
                <w:rFonts w:eastAsia="Times New Roman"/>
                <w:sz w:val="20"/>
                <w:szCs w:val="20"/>
              </w:rPr>
              <w:t> </w:t>
            </w:r>
          </w:p>
        </w:tc>
        <w:tc>
          <w:tcPr>
            <w:tcW w:w="300" w:type="pct"/>
            <w:hideMark/>
          </w:tcPr>
          <w:p w14:paraId="2A605035" w14:textId="77777777" w:rsidR="00000000" w:rsidRDefault="0053651E">
            <w:pPr>
              <w:rPr>
                <w:rFonts w:eastAsia="Times New Roman"/>
                <w:sz w:val="20"/>
                <w:szCs w:val="20"/>
              </w:rPr>
            </w:pPr>
            <w:r>
              <w:rPr>
                <w:rFonts w:eastAsia="Times New Roman"/>
                <w:sz w:val="20"/>
                <w:szCs w:val="20"/>
              </w:rPr>
              <w:t> </w:t>
            </w:r>
          </w:p>
        </w:tc>
      </w:tr>
      <w:tr w:rsidR="00000000" w14:paraId="26456467" w14:textId="77777777">
        <w:trPr>
          <w:tblCellSpacing w:w="0" w:type="dxa"/>
        </w:trPr>
        <w:tc>
          <w:tcPr>
            <w:tcW w:w="400" w:type="pct"/>
            <w:hideMark/>
          </w:tcPr>
          <w:p w14:paraId="14BA6412" w14:textId="77777777" w:rsidR="00000000" w:rsidRDefault="0053651E">
            <w:pPr>
              <w:pStyle w:val="a3"/>
              <w:spacing w:before="0" w:beforeAutospacing="0" w:after="0" w:afterAutospacing="0"/>
              <w:rPr>
                <w:sz w:val="20"/>
                <w:szCs w:val="20"/>
              </w:rPr>
            </w:pPr>
            <w:r>
              <w:rPr>
                <w:sz w:val="20"/>
                <w:szCs w:val="20"/>
              </w:rPr>
              <w:t>10.9</w:t>
            </w:r>
          </w:p>
        </w:tc>
        <w:tc>
          <w:tcPr>
            <w:tcW w:w="2200" w:type="pct"/>
            <w:vAlign w:val="bottom"/>
            <w:hideMark/>
          </w:tcPr>
          <w:p w14:paraId="4D9DCACC" w14:textId="77777777" w:rsidR="00000000" w:rsidRDefault="0053651E">
            <w:pPr>
              <w:pStyle w:val="a3"/>
              <w:spacing w:before="0" w:beforeAutospacing="0" w:after="0" w:afterAutospacing="0"/>
              <w:rPr>
                <w:sz w:val="20"/>
                <w:szCs w:val="20"/>
              </w:rPr>
            </w:pPr>
            <w:hyperlink r:id="rId28" w:history="1">
              <w:r>
                <w:rPr>
                  <w:rStyle w:val="a4"/>
                  <w:sz w:val="20"/>
                  <w:szCs w:val="20"/>
                </w:rPr>
                <w:t>First Amendment to the Kimco Realty Corporation Executive Severance Plan, dated March 20, 2012</w:t>
              </w:r>
            </w:hyperlink>
          </w:p>
        </w:tc>
        <w:tc>
          <w:tcPr>
            <w:tcW w:w="400" w:type="pct"/>
            <w:hideMark/>
          </w:tcPr>
          <w:p w14:paraId="3979E028" w14:textId="77777777" w:rsidR="00000000" w:rsidRDefault="0053651E">
            <w:pPr>
              <w:pStyle w:val="a3"/>
              <w:spacing w:before="0" w:beforeAutospacing="0" w:after="0" w:afterAutospacing="0"/>
              <w:jc w:val="center"/>
              <w:rPr>
                <w:sz w:val="20"/>
                <w:szCs w:val="20"/>
              </w:rPr>
            </w:pPr>
            <w:r>
              <w:rPr>
                <w:sz w:val="20"/>
                <w:szCs w:val="20"/>
              </w:rPr>
              <w:t>10-Q</w:t>
            </w:r>
          </w:p>
        </w:tc>
        <w:tc>
          <w:tcPr>
            <w:tcW w:w="450" w:type="pct"/>
            <w:hideMark/>
          </w:tcPr>
          <w:p w14:paraId="13993587"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7A72B18" w14:textId="77777777" w:rsidR="00000000" w:rsidRDefault="0053651E">
            <w:pPr>
              <w:pStyle w:val="a3"/>
              <w:spacing w:before="0" w:beforeAutospacing="0" w:after="0" w:afterAutospacing="0"/>
              <w:jc w:val="center"/>
              <w:rPr>
                <w:sz w:val="20"/>
                <w:szCs w:val="20"/>
              </w:rPr>
            </w:pPr>
            <w:r>
              <w:rPr>
                <w:sz w:val="20"/>
                <w:szCs w:val="20"/>
              </w:rPr>
              <w:t>05/10/12</w:t>
            </w:r>
          </w:p>
        </w:tc>
        <w:tc>
          <w:tcPr>
            <w:tcW w:w="350" w:type="pct"/>
            <w:hideMark/>
          </w:tcPr>
          <w:p w14:paraId="632D3A9E" w14:textId="77777777" w:rsidR="00000000" w:rsidRDefault="0053651E">
            <w:pPr>
              <w:pStyle w:val="a3"/>
              <w:spacing w:before="0" w:beforeAutospacing="0" w:after="0" w:afterAutospacing="0"/>
              <w:jc w:val="center"/>
              <w:rPr>
                <w:sz w:val="20"/>
                <w:szCs w:val="20"/>
              </w:rPr>
            </w:pPr>
            <w:r>
              <w:rPr>
                <w:sz w:val="20"/>
                <w:szCs w:val="20"/>
              </w:rPr>
              <w:t>10.3</w:t>
            </w:r>
          </w:p>
        </w:tc>
        <w:tc>
          <w:tcPr>
            <w:tcW w:w="400" w:type="pct"/>
            <w:hideMark/>
          </w:tcPr>
          <w:p w14:paraId="592EA5D3" w14:textId="77777777" w:rsidR="00000000" w:rsidRDefault="0053651E">
            <w:pPr>
              <w:rPr>
                <w:rFonts w:eastAsia="Times New Roman"/>
                <w:sz w:val="20"/>
                <w:szCs w:val="20"/>
              </w:rPr>
            </w:pPr>
            <w:r>
              <w:rPr>
                <w:rFonts w:eastAsia="Times New Roman"/>
                <w:sz w:val="20"/>
                <w:szCs w:val="20"/>
              </w:rPr>
              <w:t> </w:t>
            </w:r>
          </w:p>
        </w:tc>
        <w:tc>
          <w:tcPr>
            <w:tcW w:w="300" w:type="pct"/>
            <w:hideMark/>
          </w:tcPr>
          <w:p w14:paraId="6D9C751A" w14:textId="77777777" w:rsidR="00000000" w:rsidRDefault="0053651E">
            <w:pPr>
              <w:rPr>
                <w:rFonts w:eastAsia="Times New Roman"/>
                <w:sz w:val="20"/>
                <w:szCs w:val="20"/>
              </w:rPr>
            </w:pPr>
            <w:r>
              <w:rPr>
                <w:rFonts w:eastAsia="Times New Roman"/>
                <w:sz w:val="20"/>
                <w:szCs w:val="20"/>
              </w:rPr>
              <w:t> </w:t>
            </w:r>
          </w:p>
        </w:tc>
      </w:tr>
      <w:tr w:rsidR="00000000" w14:paraId="5330F344" w14:textId="77777777">
        <w:trPr>
          <w:tblCellSpacing w:w="0" w:type="dxa"/>
        </w:trPr>
        <w:tc>
          <w:tcPr>
            <w:tcW w:w="400" w:type="pct"/>
            <w:hideMark/>
          </w:tcPr>
          <w:p w14:paraId="4F2983EE" w14:textId="77777777" w:rsidR="00000000" w:rsidRDefault="0053651E">
            <w:pPr>
              <w:pStyle w:val="a3"/>
              <w:spacing w:before="0" w:beforeAutospacing="0" w:after="0" w:afterAutospacing="0"/>
              <w:rPr>
                <w:sz w:val="20"/>
                <w:szCs w:val="20"/>
              </w:rPr>
            </w:pPr>
            <w:r>
              <w:rPr>
                <w:sz w:val="20"/>
                <w:szCs w:val="20"/>
              </w:rPr>
              <w:t>10.10</w:t>
            </w:r>
          </w:p>
        </w:tc>
        <w:tc>
          <w:tcPr>
            <w:tcW w:w="2200" w:type="pct"/>
            <w:vAlign w:val="bottom"/>
            <w:hideMark/>
          </w:tcPr>
          <w:p w14:paraId="06B72A5D" w14:textId="77777777" w:rsidR="00000000" w:rsidRDefault="0053651E">
            <w:pPr>
              <w:pStyle w:val="a3"/>
              <w:spacing w:before="0" w:beforeAutospacing="0" w:after="0" w:afterAutospacing="0"/>
              <w:rPr>
                <w:sz w:val="20"/>
                <w:szCs w:val="20"/>
              </w:rPr>
            </w:pPr>
            <w:hyperlink r:id="rId29" w:history="1">
              <w:r>
                <w:rPr>
                  <w:rStyle w:val="a4"/>
                  <w:sz w:val="20"/>
                  <w:szCs w:val="20"/>
                </w:rPr>
                <w:t>$1.75 Billion Amended and Restated Credit Agreement, dated March 17, 2014, among Kimco Realty Corporation, the subsidiaries of Kimco party thereto, the lenders party thereto, and JPMorgan Chase Bank, N.A., as administrative agent</w:t>
              </w:r>
            </w:hyperlink>
            <w:r>
              <w:rPr>
                <w:sz w:val="20"/>
                <w:szCs w:val="20"/>
              </w:rPr>
              <w:t> </w:t>
            </w:r>
          </w:p>
        </w:tc>
        <w:tc>
          <w:tcPr>
            <w:tcW w:w="400" w:type="pct"/>
            <w:hideMark/>
          </w:tcPr>
          <w:p w14:paraId="3BE0F0A7"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3F7CF95B" w14:textId="77777777" w:rsidR="00000000" w:rsidRDefault="0053651E">
            <w:pPr>
              <w:pStyle w:val="a3"/>
              <w:spacing w:before="0" w:beforeAutospacing="0" w:after="0" w:afterAutospacing="0"/>
              <w:jc w:val="center"/>
              <w:rPr>
                <w:sz w:val="20"/>
                <w:szCs w:val="20"/>
              </w:rPr>
            </w:pPr>
            <w:r>
              <w:rPr>
                <w:sz w:val="20"/>
                <w:szCs w:val="20"/>
              </w:rPr>
              <w:t>1-10</w:t>
            </w:r>
            <w:r>
              <w:rPr>
                <w:sz w:val="20"/>
                <w:szCs w:val="20"/>
              </w:rPr>
              <w:t>899</w:t>
            </w:r>
          </w:p>
        </w:tc>
        <w:tc>
          <w:tcPr>
            <w:tcW w:w="500" w:type="pct"/>
            <w:hideMark/>
          </w:tcPr>
          <w:p w14:paraId="3876E4DC" w14:textId="77777777" w:rsidR="00000000" w:rsidRDefault="0053651E">
            <w:pPr>
              <w:pStyle w:val="a3"/>
              <w:spacing w:before="0" w:beforeAutospacing="0" w:after="0" w:afterAutospacing="0"/>
              <w:jc w:val="center"/>
              <w:rPr>
                <w:sz w:val="20"/>
                <w:szCs w:val="20"/>
              </w:rPr>
            </w:pPr>
            <w:r>
              <w:rPr>
                <w:sz w:val="20"/>
                <w:szCs w:val="20"/>
              </w:rPr>
              <w:t>03/20/14</w:t>
            </w:r>
          </w:p>
        </w:tc>
        <w:tc>
          <w:tcPr>
            <w:tcW w:w="350" w:type="pct"/>
            <w:hideMark/>
          </w:tcPr>
          <w:p w14:paraId="4436ACBB" w14:textId="77777777" w:rsidR="00000000" w:rsidRDefault="0053651E">
            <w:pPr>
              <w:pStyle w:val="a3"/>
              <w:spacing w:before="0" w:beforeAutospacing="0" w:after="0" w:afterAutospacing="0"/>
              <w:jc w:val="center"/>
              <w:rPr>
                <w:sz w:val="20"/>
                <w:szCs w:val="20"/>
              </w:rPr>
            </w:pPr>
            <w:r>
              <w:rPr>
                <w:sz w:val="20"/>
                <w:szCs w:val="20"/>
              </w:rPr>
              <w:t>10.1</w:t>
            </w:r>
          </w:p>
        </w:tc>
        <w:tc>
          <w:tcPr>
            <w:tcW w:w="400" w:type="pct"/>
            <w:hideMark/>
          </w:tcPr>
          <w:p w14:paraId="008D4F7D" w14:textId="77777777" w:rsidR="00000000" w:rsidRDefault="0053651E">
            <w:pPr>
              <w:rPr>
                <w:rFonts w:eastAsia="Times New Roman"/>
                <w:sz w:val="20"/>
                <w:szCs w:val="20"/>
              </w:rPr>
            </w:pPr>
            <w:r>
              <w:rPr>
                <w:rFonts w:eastAsia="Times New Roman"/>
                <w:sz w:val="20"/>
                <w:szCs w:val="20"/>
              </w:rPr>
              <w:t> </w:t>
            </w:r>
          </w:p>
        </w:tc>
        <w:tc>
          <w:tcPr>
            <w:tcW w:w="300" w:type="pct"/>
            <w:hideMark/>
          </w:tcPr>
          <w:p w14:paraId="482F21D0" w14:textId="77777777" w:rsidR="00000000" w:rsidRDefault="0053651E">
            <w:pPr>
              <w:rPr>
                <w:rFonts w:eastAsia="Times New Roman"/>
                <w:sz w:val="20"/>
                <w:szCs w:val="20"/>
              </w:rPr>
            </w:pPr>
            <w:r>
              <w:rPr>
                <w:rFonts w:eastAsia="Times New Roman"/>
                <w:sz w:val="20"/>
                <w:szCs w:val="20"/>
              </w:rPr>
              <w:t> </w:t>
            </w:r>
          </w:p>
        </w:tc>
      </w:tr>
      <w:tr w:rsidR="00000000" w14:paraId="013CA802" w14:textId="77777777">
        <w:trPr>
          <w:tblCellSpacing w:w="0" w:type="dxa"/>
        </w:trPr>
        <w:tc>
          <w:tcPr>
            <w:tcW w:w="400" w:type="pct"/>
            <w:hideMark/>
          </w:tcPr>
          <w:p w14:paraId="17F160AE" w14:textId="77777777" w:rsidR="00000000" w:rsidRDefault="0053651E">
            <w:pPr>
              <w:pStyle w:val="a3"/>
              <w:spacing w:before="0" w:beforeAutospacing="0" w:after="0" w:afterAutospacing="0"/>
              <w:rPr>
                <w:sz w:val="20"/>
                <w:szCs w:val="20"/>
              </w:rPr>
            </w:pPr>
            <w:r>
              <w:rPr>
                <w:sz w:val="20"/>
                <w:szCs w:val="20"/>
              </w:rPr>
              <w:t>10.11</w:t>
            </w:r>
          </w:p>
        </w:tc>
        <w:tc>
          <w:tcPr>
            <w:tcW w:w="2200" w:type="pct"/>
            <w:vAlign w:val="bottom"/>
            <w:hideMark/>
          </w:tcPr>
          <w:p w14:paraId="2216B90C" w14:textId="77777777" w:rsidR="00000000" w:rsidRDefault="0053651E">
            <w:pPr>
              <w:pStyle w:val="a3"/>
              <w:spacing w:before="0" w:beforeAutospacing="0" w:after="0" w:afterAutospacing="0"/>
              <w:rPr>
                <w:sz w:val="20"/>
                <w:szCs w:val="20"/>
              </w:rPr>
            </w:pPr>
            <w:hyperlink r:id="rId30" w:history="1">
              <w:r>
                <w:rPr>
                  <w:rStyle w:val="a4"/>
                  <w:sz w:val="20"/>
                  <w:szCs w:val="20"/>
                </w:rPr>
                <w:t>$2.25 Billion Amended and Restated Credit Agreement, dated February 1, 2017, among Kimco Realty Corporation, the subsidiaries of Kimco party thereto, the lenders party thereto, and JPMorgan Chase Bank, N.A., as administrative agent</w:t>
              </w:r>
            </w:hyperlink>
          </w:p>
        </w:tc>
        <w:tc>
          <w:tcPr>
            <w:tcW w:w="400" w:type="pct"/>
            <w:hideMark/>
          </w:tcPr>
          <w:p w14:paraId="5CC5BFEC"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2960B447"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7DF0BEB6" w14:textId="77777777" w:rsidR="00000000" w:rsidRDefault="0053651E">
            <w:pPr>
              <w:pStyle w:val="a3"/>
              <w:spacing w:before="0" w:beforeAutospacing="0" w:after="0" w:afterAutospacing="0"/>
              <w:jc w:val="center"/>
              <w:rPr>
                <w:sz w:val="20"/>
                <w:szCs w:val="20"/>
              </w:rPr>
            </w:pPr>
            <w:r>
              <w:rPr>
                <w:sz w:val="20"/>
                <w:szCs w:val="20"/>
              </w:rPr>
              <w:t>02/02/17</w:t>
            </w:r>
          </w:p>
        </w:tc>
        <w:tc>
          <w:tcPr>
            <w:tcW w:w="350" w:type="pct"/>
            <w:hideMark/>
          </w:tcPr>
          <w:p w14:paraId="17D151CB" w14:textId="77777777" w:rsidR="00000000" w:rsidRDefault="0053651E">
            <w:pPr>
              <w:pStyle w:val="a3"/>
              <w:spacing w:before="0" w:beforeAutospacing="0" w:after="0" w:afterAutospacing="0"/>
              <w:jc w:val="center"/>
              <w:rPr>
                <w:sz w:val="20"/>
                <w:szCs w:val="20"/>
              </w:rPr>
            </w:pPr>
            <w:r>
              <w:rPr>
                <w:sz w:val="20"/>
                <w:szCs w:val="20"/>
              </w:rPr>
              <w:t>10.</w:t>
            </w:r>
            <w:r>
              <w:rPr>
                <w:sz w:val="20"/>
                <w:szCs w:val="20"/>
              </w:rPr>
              <w:t>1</w:t>
            </w:r>
          </w:p>
        </w:tc>
        <w:tc>
          <w:tcPr>
            <w:tcW w:w="400" w:type="pct"/>
            <w:hideMark/>
          </w:tcPr>
          <w:p w14:paraId="543B8E05" w14:textId="77777777" w:rsidR="00000000" w:rsidRDefault="0053651E">
            <w:pPr>
              <w:rPr>
                <w:rFonts w:eastAsia="Times New Roman"/>
                <w:sz w:val="20"/>
                <w:szCs w:val="20"/>
              </w:rPr>
            </w:pPr>
            <w:r>
              <w:rPr>
                <w:rFonts w:eastAsia="Times New Roman"/>
                <w:sz w:val="20"/>
                <w:szCs w:val="20"/>
              </w:rPr>
              <w:t> </w:t>
            </w:r>
          </w:p>
        </w:tc>
        <w:tc>
          <w:tcPr>
            <w:tcW w:w="300" w:type="pct"/>
            <w:hideMark/>
          </w:tcPr>
          <w:p w14:paraId="0BC43547" w14:textId="77777777" w:rsidR="00000000" w:rsidRDefault="0053651E">
            <w:pPr>
              <w:rPr>
                <w:rFonts w:eastAsia="Times New Roman"/>
                <w:sz w:val="20"/>
                <w:szCs w:val="20"/>
              </w:rPr>
            </w:pPr>
            <w:r>
              <w:rPr>
                <w:rFonts w:eastAsia="Times New Roman"/>
                <w:sz w:val="20"/>
                <w:szCs w:val="20"/>
              </w:rPr>
              <w:t> </w:t>
            </w:r>
          </w:p>
        </w:tc>
      </w:tr>
      <w:tr w:rsidR="00000000" w14:paraId="3A46BB5E" w14:textId="77777777">
        <w:trPr>
          <w:tblCellSpacing w:w="0" w:type="dxa"/>
        </w:trPr>
        <w:tc>
          <w:tcPr>
            <w:tcW w:w="400" w:type="pct"/>
            <w:hideMark/>
          </w:tcPr>
          <w:p w14:paraId="0F060595" w14:textId="77777777" w:rsidR="00000000" w:rsidRDefault="0053651E">
            <w:pPr>
              <w:pStyle w:val="a3"/>
              <w:spacing w:before="0" w:beforeAutospacing="0" w:after="0" w:afterAutospacing="0"/>
              <w:rPr>
                <w:sz w:val="20"/>
                <w:szCs w:val="20"/>
              </w:rPr>
            </w:pPr>
            <w:r>
              <w:rPr>
                <w:sz w:val="20"/>
                <w:szCs w:val="20"/>
              </w:rPr>
              <w:t>10.12</w:t>
            </w:r>
          </w:p>
        </w:tc>
        <w:tc>
          <w:tcPr>
            <w:tcW w:w="2200" w:type="pct"/>
            <w:vAlign w:val="bottom"/>
            <w:hideMark/>
          </w:tcPr>
          <w:p w14:paraId="7510E916" w14:textId="77777777" w:rsidR="00000000" w:rsidRDefault="0053651E">
            <w:pPr>
              <w:pStyle w:val="a3"/>
              <w:spacing w:before="0" w:beforeAutospacing="0" w:after="0" w:afterAutospacing="0"/>
              <w:rPr>
                <w:sz w:val="20"/>
                <w:szCs w:val="20"/>
              </w:rPr>
            </w:pPr>
            <w:hyperlink r:id="rId31" w:history="1">
              <w:r>
                <w:rPr>
                  <w:rStyle w:val="a4"/>
                  <w:sz w:val="20"/>
                  <w:szCs w:val="20"/>
                </w:rPr>
                <w:t>Credit Agreement, dated January 30, 2015, among Kimco Realty Corporation and each of the parties named therein</w:t>
              </w:r>
            </w:hyperlink>
          </w:p>
        </w:tc>
        <w:tc>
          <w:tcPr>
            <w:tcW w:w="400" w:type="pct"/>
            <w:hideMark/>
          </w:tcPr>
          <w:p w14:paraId="24CAF308"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18DA49B5"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94A6964" w14:textId="77777777" w:rsidR="00000000" w:rsidRDefault="0053651E">
            <w:pPr>
              <w:pStyle w:val="a3"/>
              <w:spacing w:before="0" w:beforeAutospacing="0" w:after="0" w:afterAutospacing="0"/>
              <w:jc w:val="center"/>
              <w:rPr>
                <w:sz w:val="20"/>
                <w:szCs w:val="20"/>
              </w:rPr>
            </w:pPr>
            <w:r>
              <w:rPr>
                <w:sz w:val="20"/>
                <w:szCs w:val="20"/>
              </w:rPr>
              <w:t>02/05/15</w:t>
            </w:r>
          </w:p>
        </w:tc>
        <w:tc>
          <w:tcPr>
            <w:tcW w:w="350" w:type="pct"/>
            <w:hideMark/>
          </w:tcPr>
          <w:p w14:paraId="06B9E37E" w14:textId="77777777" w:rsidR="00000000" w:rsidRDefault="0053651E">
            <w:pPr>
              <w:pStyle w:val="a3"/>
              <w:spacing w:before="0" w:beforeAutospacing="0" w:after="0" w:afterAutospacing="0"/>
              <w:jc w:val="center"/>
              <w:rPr>
                <w:sz w:val="20"/>
                <w:szCs w:val="20"/>
              </w:rPr>
            </w:pPr>
            <w:r>
              <w:rPr>
                <w:sz w:val="20"/>
                <w:szCs w:val="20"/>
              </w:rPr>
              <w:t>10.1</w:t>
            </w:r>
          </w:p>
        </w:tc>
        <w:tc>
          <w:tcPr>
            <w:tcW w:w="400" w:type="pct"/>
            <w:hideMark/>
          </w:tcPr>
          <w:p w14:paraId="24591B29" w14:textId="77777777" w:rsidR="00000000" w:rsidRDefault="0053651E">
            <w:pPr>
              <w:rPr>
                <w:rFonts w:eastAsia="Times New Roman"/>
                <w:sz w:val="20"/>
                <w:szCs w:val="20"/>
              </w:rPr>
            </w:pPr>
            <w:r>
              <w:rPr>
                <w:rFonts w:eastAsia="Times New Roman"/>
                <w:sz w:val="20"/>
                <w:szCs w:val="20"/>
              </w:rPr>
              <w:t> </w:t>
            </w:r>
          </w:p>
        </w:tc>
        <w:tc>
          <w:tcPr>
            <w:tcW w:w="300" w:type="pct"/>
            <w:hideMark/>
          </w:tcPr>
          <w:p w14:paraId="0973CB31" w14:textId="77777777" w:rsidR="00000000" w:rsidRDefault="0053651E">
            <w:pPr>
              <w:rPr>
                <w:rFonts w:eastAsia="Times New Roman"/>
                <w:sz w:val="20"/>
                <w:szCs w:val="20"/>
              </w:rPr>
            </w:pPr>
            <w:r>
              <w:rPr>
                <w:rFonts w:eastAsia="Times New Roman"/>
                <w:sz w:val="20"/>
                <w:szCs w:val="20"/>
              </w:rPr>
              <w:t> </w:t>
            </w:r>
          </w:p>
        </w:tc>
      </w:tr>
      <w:tr w:rsidR="00000000" w14:paraId="48A091A5" w14:textId="77777777">
        <w:trPr>
          <w:tblCellSpacing w:w="0" w:type="dxa"/>
        </w:trPr>
        <w:tc>
          <w:tcPr>
            <w:tcW w:w="400" w:type="pct"/>
            <w:hideMark/>
          </w:tcPr>
          <w:p w14:paraId="468ED133" w14:textId="77777777" w:rsidR="00000000" w:rsidRDefault="0053651E">
            <w:pPr>
              <w:pStyle w:val="a3"/>
              <w:spacing w:before="0" w:beforeAutospacing="0" w:after="0" w:afterAutospacing="0"/>
              <w:rPr>
                <w:sz w:val="20"/>
                <w:szCs w:val="20"/>
              </w:rPr>
            </w:pPr>
            <w:r>
              <w:rPr>
                <w:sz w:val="20"/>
                <w:szCs w:val="20"/>
              </w:rPr>
              <w:t>10.13</w:t>
            </w:r>
          </w:p>
        </w:tc>
        <w:tc>
          <w:tcPr>
            <w:tcW w:w="2200" w:type="pct"/>
            <w:vAlign w:val="bottom"/>
            <w:hideMark/>
          </w:tcPr>
          <w:p w14:paraId="6FFC7960" w14:textId="77777777" w:rsidR="00000000" w:rsidRDefault="0053651E">
            <w:pPr>
              <w:pStyle w:val="a3"/>
              <w:spacing w:before="0" w:beforeAutospacing="0" w:after="0" w:afterAutospacing="0"/>
              <w:rPr>
                <w:sz w:val="20"/>
                <w:szCs w:val="20"/>
              </w:rPr>
            </w:pPr>
            <w:hyperlink r:id="rId32" w:history="1">
              <w:r>
                <w:rPr>
                  <w:rStyle w:val="a4"/>
                  <w:sz w:val="20"/>
                  <w:szCs w:val="20"/>
                </w:rPr>
                <w:t>Consulting Agreement, dated June 11, 2015, between Kimco Realty Corporation and David B. Henry</w:t>
              </w:r>
            </w:hyperlink>
            <w:r>
              <w:rPr>
                <w:sz w:val="20"/>
                <w:szCs w:val="20"/>
              </w:rPr>
              <w:t xml:space="preserve">  </w:t>
            </w:r>
          </w:p>
        </w:tc>
        <w:tc>
          <w:tcPr>
            <w:tcW w:w="400" w:type="pct"/>
            <w:hideMark/>
          </w:tcPr>
          <w:p w14:paraId="43C94EA3" w14:textId="77777777" w:rsidR="00000000" w:rsidRDefault="0053651E">
            <w:pPr>
              <w:pStyle w:val="a3"/>
              <w:spacing w:before="0" w:beforeAutospacing="0" w:after="0" w:afterAutospacing="0"/>
              <w:jc w:val="center"/>
              <w:rPr>
                <w:sz w:val="20"/>
                <w:szCs w:val="20"/>
              </w:rPr>
            </w:pPr>
            <w:r>
              <w:rPr>
                <w:sz w:val="20"/>
                <w:szCs w:val="20"/>
              </w:rPr>
              <w:t>8-K</w:t>
            </w:r>
          </w:p>
        </w:tc>
        <w:tc>
          <w:tcPr>
            <w:tcW w:w="450" w:type="pct"/>
            <w:hideMark/>
          </w:tcPr>
          <w:p w14:paraId="1CDA994F" w14:textId="77777777" w:rsidR="00000000" w:rsidRDefault="0053651E">
            <w:pPr>
              <w:pStyle w:val="a3"/>
              <w:spacing w:before="0" w:beforeAutospacing="0" w:after="0" w:afterAutospacing="0"/>
              <w:jc w:val="center"/>
              <w:rPr>
                <w:sz w:val="20"/>
                <w:szCs w:val="20"/>
              </w:rPr>
            </w:pPr>
            <w:r>
              <w:rPr>
                <w:sz w:val="20"/>
                <w:szCs w:val="20"/>
              </w:rPr>
              <w:t>1-10899</w:t>
            </w:r>
          </w:p>
        </w:tc>
        <w:tc>
          <w:tcPr>
            <w:tcW w:w="500" w:type="pct"/>
            <w:hideMark/>
          </w:tcPr>
          <w:p w14:paraId="09383A3A" w14:textId="77777777" w:rsidR="00000000" w:rsidRDefault="0053651E">
            <w:pPr>
              <w:pStyle w:val="a3"/>
              <w:spacing w:before="0" w:beforeAutospacing="0" w:after="0" w:afterAutospacing="0"/>
              <w:jc w:val="center"/>
              <w:rPr>
                <w:sz w:val="20"/>
                <w:szCs w:val="20"/>
              </w:rPr>
            </w:pPr>
            <w:r>
              <w:rPr>
                <w:sz w:val="20"/>
                <w:szCs w:val="20"/>
              </w:rPr>
              <w:t>06/12/15</w:t>
            </w:r>
          </w:p>
        </w:tc>
        <w:tc>
          <w:tcPr>
            <w:tcW w:w="350" w:type="pct"/>
            <w:hideMark/>
          </w:tcPr>
          <w:p w14:paraId="4D1E8455" w14:textId="77777777" w:rsidR="00000000" w:rsidRDefault="0053651E">
            <w:pPr>
              <w:pStyle w:val="a3"/>
              <w:spacing w:before="0" w:beforeAutospacing="0" w:after="0" w:afterAutospacing="0"/>
              <w:jc w:val="center"/>
              <w:rPr>
                <w:sz w:val="20"/>
                <w:szCs w:val="20"/>
              </w:rPr>
            </w:pPr>
            <w:r>
              <w:rPr>
                <w:sz w:val="20"/>
                <w:szCs w:val="20"/>
              </w:rPr>
              <w:t>10.1</w:t>
            </w:r>
          </w:p>
        </w:tc>
        <w:tc>
          <w:tcPr>
            <w:tcW w:w="400" w:type="pct"/>
            <w:hideMark/>
          </w:tcPr>
          <w:p w14:paraId="26C792BD" w14:textId="77777777" w:rsidR="00000000" w:rsidRDefault="0053651E">
            <w:pPr>
              <w:rPr>
                <w:rFonts w:eastAsia="Times New Roman"/>
                <w:sz w:val="20"/>
                <w:szCs w:val="20"/>
              </w:rPr>
            </w:pPr>
            <w:r>
              <w:rPr>
                <w:rFonts w:eastAsia="Times New Roman"/>
                <w:sz w:val="20"/>
                <w:szCs w:val="20"/>
              </w:rPr>
              <w:t> </w:t>
            </w:r>
          </w:p>
        </w:tc>
        <w:tc>
          <w:tcPr>
            <w:tcW w:w="300" w:type="pct"/>
            <w:hideMark/>
          </w:tcPr>
          <w:p w14:paraId="515518AD" w14:textId="77777777" w:rsidR="00000000" w:rsidRDefault="0053651E">
            <w:pPr>
              <w:rPr>
                <w:rFonts w:eastAsia="Times New Roman"/>
                <w:sz w:val="20"/>
                <w:szCs w:val="20"/>
              </w:rPr>
            </w:pPr>
            <w:r>
              <w:rPr>
                <w:rFonts w:eastAsia="Times New Roman"/>
                <w:sz w:val="20"/>
                <w:szCs w:val="20"/>
              </w:rPr>
              <w:t> </w:t>
            </w:r>
          </w:p>
        </w:tc>
      </w:tr>
      <w:tr w:rsidR="00000000" w14:paraId="057DC4E5" w14:textId="77777777">
        <w:trPr>
          <w:tblCellSpacing w:w="0" w:type="dxa"/>
        </w:trPr>
        <w:tc>
          <w:tcPr>
            <w:tcW w:w="400" w:type="pct"/>
            <w:hideMark/>
          </w:tcPr>
          <w:p w14:paraId="530036E4" w14:textId="77777777" w:rsidR="00000000" w:rsidRDefault="0053651E">
            <w:pPr>
              <w:pStyle w:val="a3"/>
              <w:spacing w:before="0" w:beforeAutospacing="0" w:after="0" w:afterAutospacing="0"/>
              <w:rPr>
                <w:sz w:val="20"/>
                <w:szCs w:val="20"/>
              </w:rPr>
            </w:pPr>
            <w:r>
              <w:rPr>
                <w:sz w:val="20"/>
                <w:szCs w:val="20"/>
              </w:rPr>
              <w:t>21.1</w:t>
            </w:r>
          </w:p>
        </w:tc>
        <w:tc>
          <w:tcPr>
            <w:tcW w:w="2200" w:type="pct"/>
            <w:hideMark/>
          </w:tcPr>
          <w:p w14:paraId="4A469B66" w14:textId="77777777" w:rsidR="00000000" w:rsidRDefault="0053651E">
            <w:pPr>
              <w:pStyle w:val="a3"/>
              <w:spacing w:before="0" w:beforeAutospacing="0" w:after="0" w:afterAutospacing="0"/>
              <w:rPr>
                <w:sz w:val="20"/>
                <w:szCs w:val="20"/>
              </w:rPr>
            </w:pPr>
            <w:hyperlink r:id="rId33" w:history="1">
              <w:r>
                <w:rPr>
                  <w:rStyle w:val="a4"/>
                  <w:sz w:val="20"/>
                  <w:szCs w:val="20"/>
                </w:rPr>
                <w:t>Significant Subsidiaries of the Company</w:t>
              </w:r>
            </w:hyperlink>
          </w:p>
        </w:tc>
        <w:tc>
          <w:tcPr>
            <w:tcW w:w="400" w:type="pct"/>
            <w:hideMark/>
          </w:tcPr>
          <w:p w14:paraId="11C47857"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394964BE"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4FAA9D45"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5F604E82"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0CB0C764"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74DE0BF6"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565C3788" w14:textId="77777777">
        <w:trPr>
          <w:tblCellSpacing w:w="0" w:type="dxa"/>
        </w:trPr>
        <w:tc>
          <w:tcPr>
            <w:tcW w:w="400" w:type="pct"/>
            <w:hideMark/>
          </w:tcPr>
          <w:p w14:paraId="44F747A7" w14:textId="77777777" w:rsidR="00000000" w:rsidRDefault="0053651E">
            <w:pPr>
              <w:pStyle w:val="a3"/>
              <w:spacing w:before="0" w:beforeAutospacing="0" w:after="0" w:afterAutospacing="0"/>
              <w:rPr>
                <w:sz w:val="20"/>
                <w:szCs w:val="20"/>
              </w:rPr>
            </w:pPr>
            <w:r>
              <w:rPr>
                <w:sz w:val="20"/>
                <w:szCs w:val="20"/>
              </w:rPr>
              <w:t>23.1</w:t>
            </w:r>
          </w:p>
        </w:tc>
        <w:tc>
          <w:tcPr>
            <w:tcW w:w="2200" w:type="pct"/>
            <w:hideMark/>
          </w:tcPr>
          <w:p w14:paraId="5D84AFED" w14:textId="77777777" w:rsidR="00000000" w:rsidRDefault="0053651E">
            <w:pPr>
              <w:pStyle w:val="a3"/>
              <w:spacing w:before="0" w:beforeAutospacing="0" w:after="0" w:afterAutospacing="0"/>
              <w:rPr>
                <w:sz w:val="20"/>
                <w:szCs w:val="20"/>
              </w:rPr>
            </w:pPr>
            <w:hyperlink r:id="rId34" w:history="1">
              <w:r>
                <w:rPr>
                  <w:rStyle w:val="a4"/>
                  <w:sz w:val="20"/>
                  <w:szCs w:val="20"/>
                </w:rPr>
                <w:t>Consent of PricewaterhouseCoopers LLP</w:t>
              </w:r>
            </w:hyperlink>
          </w:p>
        </w:tc>
        <w:tc>
          <w:tcPr>
            <w:tcW w:w="400" w:type="pct"/>
            <w:hideMark/>
          </w:tcPr>
          <w:p w14:paraId="465E0445"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1FD6977F"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067EA11B"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42F7449A"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230F9FD7"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2973B10E"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6EF71DD1" w14:textId="77777777">
        <w:trPr>
          <w:tblCellSpacing w:w="0" w:type="dxa"/>
        </w:trPr>
        <w:tc>
          <w:tcPr>
            <w:tcW w:w="400" w:type="pct"/>
            <w:hideMark/>
          </w:tcPr>
          <w:p w14:paraId="2ACB4741" w14:textId="77777777" w:rsidR="00000000" w:rsidRDefault="0053651E">
            <w:pPr>
              <w:pStyle w:val="a3"/>
              <w:spacing w:before="0" w:beforeAutospacing="0" w:after="0" w:afterAutospacing="0"/>
              <w:rPr>
                <w:sz w:val="20"/>
                <w:szCs w:val="20"/>
              </w:rPr>
            </w:pPr>
            <w:r>
              <w:rPr>
                <w:sz w:val="20"/>
                <w:szCs w:val="20"/>
              </w:rPr>
              <w:t>31.1</w:t>
            </w:r>
          </w:p>
        </w:tc>
        <w:tc>
          <w:tcPr>
            <w:tcW w:w="2200" w:type="pct"/>
            <w:hideMark/>
          </w:tcPr>
          <w:p w14:paraId="53796333" w14:textId="77777777" w:rsidR="00000000" w:rsidRDefault="0053651E">
            <w:pPr>
              <w:pStyle w:val="a3"/>
              <w:spacing w:before="0" w:beforeAutospacing="0" w:after="0" w:afterAutospacing="0"/>
              <w:rPr>
                <w:sz w:val="20"/>
                <w:szCs w:val="20"/>
              </w:rPr>
            </w:pPr>
            <w:hyperlink r:id="rId35" w:history="1">
              <w:r>
                <w:rPr>
                  <w:rStyle w:val="a4"/>
                  <w:sz w:val="20"/>
                  <w:szCs w:val="20"/>
                </w:rPr>
                <w:t>Certification of the Company’</w:t>
              </w:r>
              <w:r>
                <w:rPr>
                  <w:rStyle w:val="a4"/>
                  <w:sz w:val="20"/>
                  <w:szCs w:val="20"/>
                </w:rPr>
                <w:t>s Chief Executive Officer, Conor C. Flynn, pursuant to Section 302 of the Sarbanes-Oxley Act of 2002</w:t>
              </w:r>
            </w:hyperlink>
          </w:p>
        </w:tc>
        <w:tc>
          <w:tcPr>
            <w:tcW w:w="400" w:type="pct"/>
            <w:hideMark/>
          </w:tcPr>
          <w:p w14:paraId="72DF8C84"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051EA0DD"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030DE9F9"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47D5A4F6"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6A26515A"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5B0BCE53"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45FC1E34" w14:textId="77777777">
        <w:trPr>
          <w:tblCellSpacing w:w="0" w:type="dxa"/>
        </w:trPr>
        <w:tc>
          <w:tcPr>
            <w:tcW w:w="400" w:type="pct"/>
            <w:hideMark/>
          </w:tcPr>
          <w:p w14:paraId="193FC8B3" w14:textId="77777777" w:rsidR="00000000" w:rsidRDefault="0053651E">
            <w:pPr>
              <w:pStyle w:val="a3"/>
              <w:spacing w:before="0" w:beforeAutospacing="0" w:after="0" w:afterAutospacing="0"/>
              <w:rPr>
                <w:sz w:val="20"/>
                <w:szCs w:val="20"/>
              </w:rPr>
            </w:pPr>
            <w:r>
              <w:rPr>
                <w:sz w:val="20"/>
                <w:szCs w:val="20"/>
              </w:rPr>
              <w:t>31.2</w:t>
            </w:r>
          </w:p>
        </w:tc>
        <w:tc>
          <w:tcPr>
            <w:tcW w:w="2200" w:type="pct"/>
            <w:hideMark/>
          </w:tcPr>
          <w:p w14:paraId="3F03328D" w14:textId="77777777" w:rsidR="00000000" w:rsidRDefault="0053651E">
            <w:pPr>
              <w:pStyle w:val="a3"/>
              <w:spacing w:before="0" w:beforeAutospacing="0" w:after="0" w:afterAutospacing="0"/>
              <w:rPr>
                <w:sz w:val="20"/>
                <w:szCs w:val="20"/>
              </w:rPr>
            </w:pPr>
            <w:hyperlink r:id="rId36" w:history="1">
              <w:r>
                <w:rPr>
                  <w:rStyle w:val="a4"/>
                  <w:sz w:val="20"/>
                  <w:szCs w:val="20"/>
                </w:rPr>
                <w:t>Certification of the Company’s Chief Financial Officer, Glenn G. Cohen, pursuant to Section 302 of the Sarb</w:t>
              </w:r>
              <w:r>
                <w:rPr>
                  <w:rStyle w:val="a4"/>
                  <w:sz w:val="20"/>
                  <w:szCs w:val="20"/>
                </w:rPr>
                <w:t>anes-Oxley Act of 2002</w:t>
              </w:r>
            </w:hyperlink>
          </w:p>
        </w:tc>
        <w:tc>
          <w:tcPr>
            <w:tcW w:w="400" w:type="pct"/>
            <w:hideMark/>
          </w:tcPr>
          <w:p w14:paraId="78B7158C"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22C2A342"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1FFDD725"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68337ACF"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19FB4546"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579D3B63"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7C7A4E97" w14:textId="77777777">
        <w:trPr>
          <w:tblCellSpacing w:w="0" w:type="dxa"/>
        </w:trPr>
        <w:tc>
          <w:tcPr>
            <w:tcW w:w="400" w:type="pct"/>
            <w:hideMark/>
          </w:tcPr>
          <w:p w14:paraId="741F978A" w14:textId="77777777" w:rsidR="00000000" w:rsidRDefault="0053651E">
            <w:pPr>
              <w:pStyle w:val="a3"/>
              <w:spacing w:before="0" w:beforeAutospacing="0" w:after="0" w:afterAutospacing="0"/>
              <w:rPr>
                <w:sz w:val="20"/>
                <w:szCs w:val="20"/>
              </w:rPr>
            </w:pPr>
            <w:r>
              <w:rPr>
                <w:sz w:val="20"/>
                <w:szCs w:val="20"/>
              </w:rPr>
              <w:t>32.1</w:t>
            </w:r>
          </w:p>
        </w:tc>
        <w:tc>
          <w:tcPr>
            <w:tcW w:w="2200" w:type="pct"/>
            <w:hideMark/>
          </w:tcPr>
          <w:p w14:paraId="7B05837D" w14:textId="77777777" w:rsidR="00000000" w:rsidRDefault="0053651E">
            <w:pPr>
              <w:pStyle w:val="a3"/>
              <w:spacing w:before="0" w:beforeAutospacing="0" w:after="0" w:afterAutospacing="0"/>
              <w:rPr>
                <w:sz w:val="20"/>
                <w:szCs w:val="20"/>
              </w:rPr>
            </w:pPr>
            <w:hyperlink r:id="rId37" w:history="1">
              <w:r>
                <w:rPr>
                  <w:rStyle w:val="a4"/>
                  <w:sz w:val="20"/>
                  <w:szCs w:val="20"/>
                </w:rPr>
                <w:t>Certification of the Company’s Chief Executive Officer, Conor C. Flynn, and the Company’s Chief Financial Officer, Glenn G. Cohen, pursuant to Section 906 of the Sarbanes-Oxley Act of 2</w:t>
              </w:r>
              <w:r>
                <w:rPr>
                  <w:rStyle w:val="a4"/>
                  <w:sz w:val="20"/>
                  <w:szCs w:val="20"/>
                </w:rPr>
                <w:t>002</w:t>
              </w:r>
            </w:hyperlink>
          </w:p>
        </w:tc>
        <w:tc>
          <w:tcPr>
            <w:tcW w:w="400" w:type="pct"/>
            <w:hideMark/>
          </w:tcPr>
          <w:p w14:paraId="1D924414"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0F4A7BE0"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377EF43A"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1C6C2339"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7B90067D"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5F55DFDF"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616509BB" w14:textId="77777777">
        <w:trPr>
          <w:tblCellSpacing w:w="0" w:type="dxa"/>
        </w:trPr>
        <w:tc>
          <w:tcPr>
            <w:tcW w:w="400" w:type="pct"/>
            <w:hideMark/>
          </w:tcPr>
          <w:p w14:paraId="7B25FC39" w14:textId="77777777" w:rsidR="00000000" w:rsidRDefault="0053651E">
            <w:pPr>
              <w:pStyle w:val="a3"/>
              <w:spacing w:before="0" w:beforeAutospacing="0" w:after="0" w:afterAutospacing="0"/>
              <w:rPr>
                <w:sz w:val="20"/>
                <w:szCs w:val="20"/>
              </w:rPr>
            </w:pPr>
            <w:r>
              <w:rPr>
                <w:sz w:val="20"/>
                <w:szCs w:val="20"/>
              </w:rPr>
              <w:t>99.1</w:t>
            </w:r>
          </w:p>
        </w:tc>
        <w:tc>
          <w:tcPr>
            <w:tcW w:w="2200" w:type="pct"/>
            <w:hideMark/>
          </w:tcPr>
          <w:p w14:paraId="7B4A2332" w14:textId="77777777" w:rsidR="00000000" w:rsidRDefault="0053651E">
            <w:pPr>
              <w:pStyle w:val="a3"/>
              <w:spacing w:before="0" w:beforeAutospacing="0" w:after="0" w:afterAutospacing="0"/>
              <w:rPr>
                <w:sz w:val="20"/>
                <w:szCs w:val="20"/>
              </w:rPr>
            </w:pPr>
            <w:hyperlink r:id="rId38" w:history="1">
              <w:r>
                <w:rPr>
                  <w:rStyle w:val="a4"/>
                  <w:sz w:val="20"/>
                  <w:szCs w:val="20"/>
                </w:rPr>
                <w:t>Property Chart</w:t>
              </w:r>
            </w:hyperlink>
          </w:p>
        </w:tc>
        <w:tc>
          <w:tcPr>
            <w:tcW w:w="400" w:type="pct"/>
            <w:hideMark/>
          </w:tcPr>
          <w:p w14:paraId="6635252E"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1FE044D5"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79BD612A"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71457487"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10944B05"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240EA88E" w14:textId="77777777" w:rsidR="00000000" w:rsidRDefault="0053651E">
            <w:pPr>
              <w:pStyle w:val="a3"/>
              <w:spacing w:before="0" w:beforeAutospacing="0" w:after="0" w:afterAutospacing="0"/>
              <w:jc w:val="center"/>
              <w:rPr>
                <w:sz w:val="20"/>
                <w:szCs w:val="20"/>
              </w:rPr>
            </w:pPr>
            <w:r>
              <w:rPr>
                <w:sz w:val="20"/>
                <w:szCs w:val="20"/>
              </w:rPr>
              <w:t> </w:t>
            </w:r>
          </w:p>
        </w:tc>
      </w:tr>
      <w:tr w:rsidR="00000000" w14:paraId="24D23A50" w14:textId="77777777">
        <w:trPr>
          <w:tblCellSpacing w:w="0" w:type="dxa"/>
        </w:trPr>
        <w:tc>
          <w:tcPr>
            <w:tcW w:w="400" w:type="pct"/>
            <w:hideMark/>
          </w:tcPr>
          <w:p w14:paraId="7C3322F9" w14:textId="77777777" w:rsidR="00000000" w:rsidRDefault="0053651E">
            <w:pPr>
              <w:pStyle w:val="a3"/>
              <w:spacing w:before="0" w:beforeAutospacing="0" w:after="0" w:afterAutospacing="0"/>
              <w:rPr>
                <w:sz w:val="20"/>
                <w:szCs w:val="20"/>
              </w:rPr>
            </w:pPr>
            <w:r>
              <w:rPr>
                <w:sz w:val="20"/>
                <w:szCs w:val="20"/>
              </w:rPr>
              <w:t>101.INS</w:t>
            </w:r>
          </w:p>
        </w:tc>
        <w:tc>
          <w:tcPr>
            <w:tcW w:w="2200" w:type="pct"/>
            <w:hideMark/>
          </w:tcPr>
          <w:p w14:paraId="50D194B4" w14:textId="77777777" w:rsidR="00000000" w:rsidRDefault="0053651E">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embedded within the Inline XBRL document</w:t>
            </w:r>
          </w:p>
        </w:tc>
        <w:tc>
          <w:tcPr>
            <w:tcW w:w="400" w:type="pct"/>
            <w:hideMark/>
          </w:tcPr>
          <w:p w14:paraId="1342AD1D"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7FF7DE57"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6319A145"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694CC308"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40E30A7C"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61160532" w14:textId="77777777" w:rsidR="00000000" w:rsidRDefault="0053651E">
            <w:pPr>
              <w:rPr>
                <w:rFonts w:eastAsia="Times New Roman"/>
                <w:sz w:val="20"/>
                <w:szCs w:val="20"/>
              </w:rPr>
            </w:pPr>
            <w:r>
              <w:rPr>
                <w:rFonts w:eastAsia="Times New Roman"/>
                <w:sz w:val="20"/>
                <w:szCs w:val="20"/>
              </w:rPr>
              <w:t> </w:t>
            </w:r>
          </w:p>
        </w:tc>
      </w:tr>
      <w:tr w:rsidR="00000000" w14:paraId="0C81C431" w14:textId="77777777">
        <w:trPr>
          <w:tblCellSpacing w:w="0" w:type="dxa"/>
        </w:trPr>
        <w:tc>
          <w:tcPr>
            <w:tcW w:w="400" w:type="pct"/>
            <w:hideMark/>
          </w:tcPr>
          <w:p w14:paraId="3013DF2A" w14:textId="77777777" w:rsidR="00000000" w:rsidRDefault="0053651E">
            <w:pPr>
              <w:pStyle w:val="a3"/>
              <w:spacing w:before="0" w:beforeAutospacing="0" w:after="0" w:afterAutospacing="0"/>
              <w:rPr>
                <w:sz w:val="20"/>
                <w:szCs w:val="20"/>
              </w:rPr>
            </w:pPr>
            <w:r>
              <w:rPr>
                <w:sz w:val="20"/>
                <w:szCs w:val="20"/>
              </w:rPr>
              <w:t>101.SCH</w:t>
            </w:r>
          </w:p>
        </w:tc>
        <w:tc>
          <w:tcPr>
            <w:tcW w:w="2200" w:type="pct"/>
            <w:hideMark/>
          </w:tcPr>
          <w:p w14:paraId="05650868" w14:textId="77777777" w:rsidR="00000000" w:rsidRDefault="0053651E">
            <w:pPr>
              <w:pStyle w:val="a3"/>
              <w:spacing w:before="0" w:beforeAutospacing="0" w:after="0" w:afterAutospacing="0"/>
              <w:rPr>
                <w:sz w:val="20"/>
                <w:szCs w:val="20"/>
              </w:rPr>
            </w:pPr>
            <w:r>
              <w:rPr>
                <w:sz w:val="20"/>
                <w:szCs w:val="20"/>
              </w:rPr>
              <w:t>XBRL Taxonomy Extension Schema</w:t>
            </w:r>
          </w:p>
        </w:tc>
        <w:tc>
          <w:tcPr>
            <w:tcW w:w="400" w:type="pct"/>
            <w:hideMark/>
          </w:tcPr>
          <w:p w14:paraId="10002F76"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722985C0"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3DFD0652"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2EE83D19"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1E7CC299"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33422B3E" w14:textId="77777777" w:rsidR="00000000" w:rsidRDefault="0053651E">
            <w:pPr>
              <w:rPr>
                <w:rFonts w:eastAsia="Times New Roman"/>
                <w:sz w:val="20"/>
                <w:szCs w:val="20"/>
              </w:rPr>
            </w:pPr>
            <w:r>
              <w:rPr>
                <w:rFonts w:eastAsia="Times New Roman"/>
                <w:sz w:val="20"/>
                <w:szCs w:val="20"/>
              </w:rPr>
              <w:t> </w:t>
            </w:r>
          </w:p>
        </w:tc>
      </w:tr>
      <w:tr w:rsidR="00000000" w14:paraId="0CEC690F" w14:textId="77777777">
        <w:trPr>
          <w:tblCellSpacing w:w="0" w:type="dxa"/>
        </w:trPr>
        <w:tc>
          <w:tcPr>
            <w:tcW w:w="400" w:type="pct"/>
            <w:hideMark/>
          </w:tcPr>
          <w:p w14:paraId="69503708" w14:textId="77777777" w:rsidR="00000000" w:rsidRDefault="0053651E">
            <w:pPr>
              <w:pStyle w:val="a3"/>
              <w:spacing w:before="0" w:beforeAutospacing="0" w:after="0" w:afterAutospacing="0"/>
              <w:rPr>
                <w:sz w:val="20"/>
                <w:szCs w:val="20"/>
              </w:rPr>
            </w:pPr>
            <w:r>
              <w:rPr>
                <w:sz w:val="20"/>
                <w:szCs w:val="20"/>
              </w:rPr>
              <w:t>101.CAL</w:t>
            </w:r>
          </w:p>
        </w:tc>
        <w:tc>
          <w:tcPr>
            <w:tcW w:w="2200" w:type="pct"/>
            <w:hideMark/>
          </w:tcPr>
          <w:p w14:paraId="455C26B1" w14:textId="77777777" w:rsidR="00000000" w:rsidRDefault="0053651E">
            <w:pPr>
              <w:pStyle w:val="a3"/>
              <w:spacing w:before="0" w:beforeAutospacing="0" w:after="0" w:afterAutospacing="0"/>
              <w:rPr>
                <w:sz w:val="20"/>
                <w:szCs w:val="20"/>
              </w:rPr>
            </w:pPr>
            <w:r>
              <w:rPr>
                <w:sz w:val="20"/>
                <w:szCs w:val="20"/>
              </w:rPr>
              <w:t>XBRL Taxonomy Extension Calculation Linkbase</w:t>
            </w:r>
          </w:p>
        </w:tc>
        <w:tc>
          <w:tcPr>
            <w:tcW w:w="400" w:type="pct"/>
            <w:hideMark/>
          </w:tcPr>
          <w:p w14:paraId="7B4526A5"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26E879AF"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3F90FE39"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3875ADC5"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159828F9"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09689A19" w14:textId="77777777" w:rsidR="00000000" w:rsidRDefault="0053651E">
            <w:pPr>
              <w:rPr>
                <w:rFonts w:eastAsia="Times New Roman"/>
                <w:sz w:val="20"/>
                <w:szCs w:val="20"/>
              </w:rPr>
            </w:pPr>
            <w:r>
              <w:rPr>
                <w:rFonts w:eastAsia="Times New Roman"/>
                <w:sz w:val="20"/>
                <w:szCs w:val="20"/>
              </w:rPr>
              <w:t> </w:t>
            </w:r>
          </w:p>
        </w:tc>
      </w:tr>
      <w:tr w:rsidR="00000000" w14:paraId="55294306" w14:textId="77777777">
        <w:trPr>
          <w:tblCellSpacing w:w="0" w:type="dxa"/>
        </w:trPr>
        <w:tc>
          <w:tcPr>
            <w:tcW w:w="400" w:type="pct"/>
            <w:hideMark/>
          </w:tcPr>
          <w:p w14:paraId="64870BDC" w14:textId="77777777" w:rsidR="00000000" w:rsidRDefault="0053651E">
            <w:pPr>
              <w:pStyle w:val="a3"/>
              <w:spacing w:before="0" w:beforeAutospacing="0" w:after="0" w:afterAutospacing="0"/>
              <w:rPr>
                <w:sz w:val="20"/>
                <w:szCs w:val="20"/>
              </w:rPr>
            </w:pPr>
            <w:r>
              <w:rPr>
                <w:sz w:val="20"/>
                <w:szCs w:val="20"/>
              </w:rPr>
              <w:t>101.DEF</w:t>
            </w:r>
          </w:p>
        </w:tc>
        <w:tc>
          <w:tcPr>
            <w:tcW w:w="2200" w:type="pct"/>
            <w:hideMark/>
          </w:tcPr>
          <w:p w14:paraId="2BDEE598" w14:textId="77777777" w:rsidR="00000000" w:rsidRDefault="0053651E">
            <w:pPr>
              <w:pStyle w:val="a3"/>
              <w:spacing w:before="0" w:beforeAutospacing="0" w:after="0" w:afterAutospacing="0"/>
              <w:rPr>
                <w:sz w:val="20"/>
                <w:szCs w:val="20"/>
              </w:rPr>
            </w:pPr>
            <w:r>
              <w:rPr>
                <w:sz w:val="20"/>
                <w:szCs w:val="20"/>
              </w:rPr>
              <w:t>XBRL Taxonomy Extension Definition Linkbase</w:t>
            </w:r>
          </w:p>
        </w:tc>
        <w:tc>
          <w:tcPr>
            <w:tcW w:w="400" w:type="pct"/>
            <w:hideMark/>
          </w:tcPr>
          <w:p w14:paraId="211AB690"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18DA6A96"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0E37BFC8"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0BC5137B"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22891586"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000B863B" w14:textId="77777777" w:rsidR="00000000" w:rsidRDefault="0053651E">
            <w:pPr>
              <w:rPr>
                <w:rFonts w:eastAsia="Times New Roman"/>
                <w:sz w:val="20"/>
                <w:szCs w:val="20"/>
              </w:rPr>
            </w:pPr>
            <w:r>
              <w:rPr>
                <w:rFonts w:eastAsia="Times New Roman"/>
                <w:sz w:val="20"/>
                <w:szCs w:val="20"/>
              </w:rPr>
              <w:t> </w:t>
            </w:r>
          </w:p>
        </w:tc>
      </w:tr>
      <w:tr w:rsidR="00000000" w14:paraId="04DA3AA2" w14:textId="77777777">
        <w:trPr>
          <w:tblCellSpacing w:w="0" w:type="dxa"/>
        </w:trPr>
        <w:tc>
          <w:tcPr>
            <w:tcW w:w="400" w:type="pct"/>
            <w:hideMark/>
          </w:tcPr>
          <w:p w14:paraId="2AFD22DC" w14:textId="77777777" w:rsidR="00000000" w:rsidRDefault="0053651E">
            <w:pPr>
              <w:pStyle w:val="a3"/>
              <w:spacing w:before="0" w:beforeAutospacing="0" w:after="0" w:afterAutospacing="0"/>
              <w:rPr>
                <w:sz w:val="20"/>
                <w:szCs w:val="20"/>
              </w:rPr>
            </w:pPr>
            <w:r>
              <w:rPr>
                <w:sz w:val="20"/>
                <w:szCs w:val="20"/>
              </w:rPr>
              <w:t>101.LAB</w:t>
            </w:r>
          </w:p>
        </w:tc>
        <w:tc>
          <w:tcPr>
            <w:tcW w:w="2200" w:type="pct"/>
            <w:hideMark/>
          </w:tcPr>
          <w:p w14:paraId="4C2F25B1" w14:textId="77777777" w:rsidR="00000000" w:rsidRDefault="0053651E">
            <w:pPr>
              <w:pStyle w:val="a3"/>
              <w:spacing w:before="0" w:beforeAutospacing="0" w:after="0" w:afterAutospacing="0"/>
              <w:rPr>
                <w:sz w:val="20"/>
                <w:szCs w:val="20"/>
              </w:rPr>
            </w:pPr>
            <w:r>
              <w:rPr>
                <w:sz w:val="20"/>
                <w:szCs w:val="20"/>
              </w:rPr>
              <w:t>XBRL Taxonomy Extension Label Linkbase</w:t>
            </w:r>
          </w:p>
        </w:tc>
        <w:tc>
          <w:tcPr>
            <w:tcW w:w="400" w:type="pct"/>
            <w:hideMark/>
          </w:tcPr>
          <w:p w14:paraId="47C5D3FD"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0B625ED7"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57DD0DFC"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566E5902"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6259811C"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1EBAF1C8" w14:textId="77777777" w:rsidR="00000000" w:rsidRDefault="0053651E">
            <w:pPr>
              <w:rPr>
                <w:rFonts w:eastAsia="Times New Roman"/>
                <w:sz w:val="20"/>
                <w:szCs w:val="20"/>
              </w:rPr>
            </w:pPr>
            <w:r>
              <w:rPr>
                <w:rFonts w:eastAsia="Times New Roman"/>
                <w:sz w:val="20"/>
                <w:szCs w:val="20"/>
              </w:rPr>
              <w:t> </w:t>
            </w:r>
          </w:p>
        </w:tc>
      </w:tr>
      <w:tr w:rsidR="00000000" w14:paraId="4BBA63DC" w14:textId="77777777">
        <w:trPr>
          <w:tblCellSpacing w:w="0" w:type="dxa"/>
        </w:trPr>
        <w:tc>
          <w:tcPr>
            <w:tcW w:w="400" w:type="pct"/>
            <w:hideMark/>
          </w:tcPr>
          <w:p w14:paraId="43081C70" w14:textId="77777777" w:rsidR="00000000" w:rsidRDefault="0053651E">
            <w:pPr>
              <w:pStyle w:val="a3"/>
              <w:spacing w:before="0" w:beforeAutospacing="0" w:after="0" w:afterAutospacing="0"/>
              <w:rPr>
                <w:sz w:val="20"/>
                <w:szCs w:val="20"/>
              </w:rPr>
            </w:pPr>
            <w:r>
              <w:rPr>
                <w:sz w:val="20"/>
                <w:szCs w:val="20"/>
              </w:rPr>
              <w:t>101.PRE</w:t>
            </w:r>
          </w:p>
        </w:tc>
        <w:tc>
          <w:tcPr>
            <w:tcW w:w="2200" w:type="pct"/>
            <w:hideMark/>
          </w:tcPr>
          <w:p w14:paraId="2937C862" w14:textId="77777777" w:rsidR="00000000" w:rsidRDefault="0053651E">
            <w:pPr>
              <w:pStyle w:val="a3"/>
              <w:spacing w:before="0" w:beforeAutospacing="0" w:after="0" w:afterAutospacing="0"/>
              <w:rPr>
                <w:sz w:val="20"/>
                <w:szCs w:val="20"/>
              </w:rPr>
            </w:pPr>
            <w:r>
              <w:rPr>
                <w:sz w:val="20"/>
                <w:szCs w:val="20"/>
              </w:rPr>
              <w:t>XBRL Taxonomy Extension Presentation Linkbase</w:t>
            </w:r>
          </w:p>
        </w:tc>
        <w:tc>
          <w:tcPr>
            <w:tcW w:w="400" w:type="pct"/>
            <w:hideMark/>
          </w:tcPr>
          <w:p w14:paraId="5C0F2D51" w14:textId="77777777" w:rsidR="00000000" w:rsidRDefault="0053651E">
            <w:pPr>
              <w:pStyle w:val="a3"/>
              <w:spacing w:before="0" w:beforeAutospacing="0" w:after="0" w:afterAutospacing="0"/>
              <w:jc w:val="center"/>
              <w:rPr>
                <w:sz w:val="20"/>
                <w:szCs w:val="20"/>
              </w:rPr>
            </w:pPr>
            <w:r>
              <w:rPr>
                <w:sz w:val="20"/>
                <w:szCs w:val="20"/>
              </w:rPr>
              <w:t>—</w:t>
            </w:r>
          </w:p>
        </w:tc>
        <w:tc>
          <w:tcPr>
            <w:tcW w:w="450" w:type="pct"/>
            <w:hideMark/>
          </w:tcPr>
          <w:p w14:paraId="4D4A74D6" w14:textId="77777777" w:rsidR="00000000" w:rsidRDefault="0053651E">
            <w:pPr>
              <w:pStyle w:val="a3"/>
              <w:spacing w:before="0" w:beforeAutospacing="0" w:after="0" w:afterAutospacing="0"/>
              <w:jc w:val="center"/>
              <w:rPr>
                <w:sz w:val="20"/>
                <w:szCs w:val="20"/>
              </w:rPr>
            </w:pPr>
            <w:r>
              <w:rPr>
                <w:sz w:val="20"/>
                <w:szCs w:val="20"/>
              </w:rPr>
              <w:t>—</w:t>
            </w:r>
          </w:p>
        </w:tc>
        <w:tc>
          <w:tcPr>
            <w:tcW w:w="500" w:type="pct"/>
            <w:hideMark/>
          </w:tcPr>
          <w:p w14:paraId="3C710B9C" w14:textId="77777777" w:rsidR="00000000" w:rsidRDefault="0053651E">
            <w:pPr>
              <w:pStyle w:val="a3"/>
              <w:spacing w:before="0" w:beforeAutospacing="0" w:after="0" w:afterAutospacing="0"/>
              <w:jc w:val="center"/>
              <w:rPr>
                <w:sz w:val="20"/>
                <w:szCs w:val="20"/>
              </w:rPr>
            </w:pPr>
            <w:r>
              <w:rPr>
                <w:sz w:val="20"/>
                <w:szCs w:val="20"/>
              </w:rPr>
              <w:t>—</w:t>
            </w:r>
          </w:p>
        </w:tc>
        <w:tc>
          <w:tcPr>
            <w:tcW w:w="350" w:type="pct"/>
            <w:hideMark/>
          </w:tcPr>
          <w:p w14:paraId="57D73FA7" w14:textId="77777777" w:rsidR="00000000" w:rsidRDefault="0053651E">
            <w:pPr>
              <w:pStyle w:val="a3"/>
              <w:spacing w:before="0" w:beforeAutospacing="0" w:after="0" w:afterAutospacing="0"/>
              <w:jc w:val="center"/>
              <w:rPr>
                <w:sz w:val="20"/>
                <w:szCs w:val="20"/>
              </w:rPr>
            </w:pPr>
            <w:r>
              <w:rPr>
                <w:sz w:val="20"/>
                <w:szCs w:val="20"/>
              </w:rPr>
              <w:t>—</w:t>
            </w:r>
          </w:p>
        </w:tc>
        <w:tc>
          <w:tcPr>
            <w:tcW w:w="400" w:type="pct"/>
            <w:hideMark/>
          </w:tcPr>
          <w:p w14:paraId="77B1DDA7"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7D9156C3" w14:textId="77777777" w:rsidR="00000000" w:rsidRDefault="0053651E">
            <w:pPr>
              <w:rPr>
                <w:rFonts w:eastAsia="Times New Roman"/>
                <w:sz w:val="20"/>
                <w:szCs w:val="20"/>
              </w:rPr>
            </w:pPr>
            <w:r>
              <w:rPr>
                <w:rFonts w:eastAsia="Times New Roman"/>
                <w:sz w:val="20"/>
                <w:szCs w:val="20"/>
              </w:rPr>
              <w:t> </w:t>
            </w:r>
          </w:p>
        </w:tc>
      </w:tr>
      <w:tr w:rsidR="00000000" w14:paraId="74226923" w14:textId="77777777">
        <w:trPr>
          <w:tblCellSpacing w:w="0" w:type="dxa"/>
        </w:trPr>
        <w:tc>
          <w:tcPr>
            <w:tcW w:w="400" w:type="pct"/>
            <w:hideMark/>
          </w:tcPr>
          <w:p w14:paraId="4895D3DA" w14:textId="77777777" w:rsidR="00000000" w:rsidRDefault="0053651E">
            <w:pPr>
              <w:pStyle w:val="a3"/>
              <w:spacing w:before="0" w:beforeAutospacing="0" w:after="0" w:afterAutospacing="0"/>
              <w:rPr>
                <w:sz w:val="20"/>
                <w:szCs w:val="20"/>
              </w:rPr>
            </w:pPr>
            <w:r>
              <w:rPr>
                <w:sz w:val="20"/>
                <w:szCs w:val="20"/>
              </w:rPr>
              <w:t>104</w:t>
            </w:r>
          </w:p>
        </w:tc>
        <w:tc>
          <w:tcPr>
            <w:tcW w:w="2200" w:type="pct"/>
            <w:hideMark/>
          </w:tcPr>
          <w:p w14:paraId="36ED1F5F" w14:textId="77777777" w:rsidR="00000000" w:rsidRDefault="0053651E">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400" w:type="pct"/>
            <w:hideMark/>
          </w:tcPr>
          <w:p w14:paraId="41D95CCC" w14:textId="77777777" w:rsidR="00000000" w:rsidRDefault="0053651E">
            <w:pPr>
              <w:rPr>
                <w:rFonts w:eastAsia="Times New Roman"/>
                <w:sz w:val="20"/>
                <w:szCs w:val="20"/>
              </w:rPr>
            </w:pPr>
            <w:r>
              <w:rPr>
                <w:rFonts w:eastAsia="Times New Roman"/>
                <w:sz w:val="20"/>
                <w:szCs w:val="20"/>
              </w:rPr>
              <w:t> </w:t>
            </w:r>
          </w:p>
        </w:tc>
        <w:tc>
          <w:tcPr>
            <w:tcW w:w="450" w:type="pct"/>
            <w:hideMark/>
          </w:tcPr>
          <w:p w14:paraId="4AC9DD6B" w14:textId="77777777" w:rsidR="00000000" w:rsidRDefault="0053651E">
            <w:pPr>
              <w:rPr>
                <w:rFonts w:eastAsia="Times New Roman"/>
                <w:sz w:val="20"/>
                <w:szCs w:val="20"/>
              </w:rPr>
            </w:pPr>
            <w:r>
              <w:rPr>
                <w:rFonts w:eastAsia="Times New Roman"/>
                <w:sz w:val="20"/>
                <w:szCs w:val="20"/>
              </w:rPr>
              <w:t> </w:t>
            </w:r>
          </w:p>
        </w:tc>
        <w:tc>
          <w:tcPr>
            <w:tcW w:w="500" w:type="pct"/>
            <w:hideMark/>
          </w:tcPr>
          <w:p w14:paraId="3D402D82" w14:textId="77777777" w:rsidR="00000000" w:rsidRDefault="0053651E">
            <w:pPr>
              <w:rPr>
                <w:rFonts w:eastAsia="Times New Roman"/>
                <w:sz w:val="20"/>
                <w:szCs w:val="20"/>
              </w:rPr>
            </w:pPr>
            <w:r>
              <w:rPr>
                <w:rFonts w:eastAsia="Times New Roman"/>
                <w:sz w:val="20"/>
                <w:szCs w:val="20"/>
              </w:rPr>
              <w:t> </w:t>
            </w:r>
          </w:p>
        </w:tc>
        <w:tc>
          <w:tcPr>
            <w:tcW w:w="350" w:type="pct"/>
            <w:hideMark/>
          </w:tcPr>
          <w:p w14:paraId="621EB3AF" w14:textId="77777777" w:rsidR="00000000" w:rsidRDefault="0053651E">
            <w:pPr>
              <w:rPr>
                <w:rFonts w:eastAsia="Times New Roman"/>
                <w:sz w:val="20"/>
                <w:szCs w:val="20"/>
              </w:rPr>
            </w:pPr>
            <w:r>
              <w:rPr>
                <w:rFonts w:eastAsia="Times New Roman"/>
                <w:sz w:val="20"/>
                <w:szCs w:val="20"/>
              </w:rPr>
              <w:t> </w:t>
            </w:r>
          </w:p>
        </w:tc>
        <w:tc>
          <w:tcPr>
            <w:tcW w:w="400" w:type="pct"/>
            <w:hideMark/>
          </w:tcPr>
          <w:p w14:paraId="4EE02A26" w14:textId="77777777" w:rsidR="00000000" w:rsidRDefault="0053651E">
            <w:pPr>
              <w:pStyle w:val="a3"/>
              <w:spacing w:before="0" w:beforeAutospacing="0" w:after="0" w:afterAutospacing="0"/>
              <w:jc w:val="center"/>
              <w:rPr>
                <w:sz w:val="20"/>
                <w:szCs w:val="20"/>
              </w:rPr>
            </w:pPr>
            <w:r>
              <w:rPr>
                <w:sz w:val="20"/>
                <w:szCs w:val="20"/>
              </w:rPr>
              <w:t>*</w:t>
            </w:r>
          </w:p>
        </w:tc>
        <w:tc>
          <w:tcPr>
            <w:tcW w:w="300" w:type="pct"/>
            <w:hideMark/>
          </w:tcPr>
          <w:p w14:paraId="08BDCB06" w14:textId="77777777" w:rsidR="00000000" w:rsidRDefault="0053651E">
            <w:pPr>
              <w:rPr>
                <w:rFonts w:eastAsia="Times New Roman"/>
                <w:sz w:val="20"/>
                <w:szCs w:val="20"/>
              </w:rPr>
            </w:pPr>
            <w:r>
              <w:rPr>
                <w:rFonts w:eastAsia="Times New Roman"/>
                <w:sz w:val="20"/>
                <w:szCs w:val="20"/>
              </w:rPr>
              <w:t> </w:t>
            </w:r>
          </w:p>
        </w:tc>
      </w:tr>
      <w:tr w:rsidR="00000000" w14:paraId="63C27124" w14:textId="77777777">
        <w:trPr>
          <w:tblCellSpacing w:w="0" w:type="dxa"/>
        </w:trPr>
        <w:tc>
          <w:tcPr>
            <w:tcW w:w="400" w:type="pct"/>
            <w:hideMark/>
          </w:tcPr>
          <w:p w14:paraId="67285A40" w14:textId="77777777" w:rsidR="00000000" w:rsidRDefault="0053651E">
            <w:pPr>
              <w:rPr>
                <w:rFonts w:eastAsia="Times New Roman"/>
                <w:sz w:val="20"/>
                <w:szCs w:val="20"/>
              </w:rPr>
            </w:pPr>
            <w:r>
              <w:rPr>
                <w:rFonts w:eastAsia="Times New Roman"/>
                <w:sz w:val="20"/>
                <w:szCs w:val="20"/>
              </w:rPr>
              <w:t> </w:t>
            </w:r>
          </w:p>
        </w:tc>
        <w:tc>
          <w:tcPr>
            <w:tcW w:w="2200" w:type="pct"/>
            <w:hideMark/>
          </w:tcPr>
          <w:p w14:paraId="121B30E1" w14:textId="77777777" w:rsidR="00000000" w:rsidRDefault="0053651E">
            <w:pPr>
              <w:rPr>
                <w:rFonts w:eastAsia="Times New Roman"/>
                <w:sz w:val="20"/>
                <w:szCs w:val="20"/>
              </w:rPr>
            </w:pPr>
            <w:r>
              <w:rPr>
                <w:rFonts w:eastAsia="Times New Roman"/>
                <w:sz w:val="20"/>
                <w:szCs w:val="20"/>
              </w:rPr>
              <w:t> </w:t>
            </w:r>
          </w:p>
        </w:tc>
        <w:tc>
          <w:tcPr>
            <w:tcW w:w="400" w:type="pct"/>
            <w:hideMark/>
          </w:tcPr>
          <w:p w14:paraId="382EE33B" w14:textId="77777777" w:rsidR="00000000" w:rsidRDefault="0053651E">
            <w:pPr>
              <w:rPr>
                <w:rFonts w:eastAsia="Times New Roman"/>
                <w:sz w:val="20"/>
                <w:szCs w:val="20"/>
              </w:rPr>
            </w:pPr>
            <w:r>
              <w:rPr>
                <w:rFonts w:eastAsia="Times New Roman"/>
                <w:sz w:val="20"/>
                <w:szCs w:val="20"/>
              </w:rPr>
              <w:t> </w:t>
            </w:r>
          </w:p>
        </w:tc>
        <w:tc>
          <w:tcPr>
            <w:tcW w:w="450" w:type="pct"/>
            <w:hideMark/>
          </w:tcPr>
          <w:p w14:paraId="79D030D0" w14:textId="77777777" w:rsidR="00000000" w:rsidRDefault="0053651E">
            <w:pPr>
              <w:rPr>
                <w:rFonts w:eastAsia="Times New Roman"/>
                <w:sz w:val="20"/>
                <w:szCs w:val="20"/>
              </w:rPr>
            </w:pPr>
            <w:r>
              <w:rPr>
                <w:rFonts w:eastAsia="Times New Roman"/>
                <w:sz w:val="20"/>
                <w:szCs w:val="20"/>
              </w:rPr>
              <w:t> </w:t>
            </w:r>
          </w:p>
        </w:tc>
        <w:tc>
          <w:tcPr>
            <w:tcW w:w="500" w:type="pct"/>
            <w:hideMark/>
          </w:tcPr>
          <w:p w14:paraId="42ED885C" w14:textId="77777777" w:rsidR="00000000" w:rsidRDefault="0053651E">
            <w:pPr>
              <w:rPr>
                <w:rFonts w:eastAsia="Times New Roman"/>
                <w:sz w:val="20"/>
                <w:szCs w:val="20"/>
              </w:rPr>
            </w:pPr>
            <w:r>
              <w:rPr>
                <w:rFonts w:eastAsia="Times New Roman"/>
                <w:sz w:val="20"/>
                <w:szCs w:val="20"/>
              </w:rPr>
              <w:t> </w:t>
            </w:r>
          </w:p>
        </w:tc>
        <w:tc>
          <w:tcPr>
            <w:tcW w:w="350" w:type="pct"/>
            <w:hideMark/>
          </w:tcPr>
          <w:p w14:paraId="2D95015F" w14:textId="77777777" w:rsidR="00000000" w:rsidRDefault="0053651E">
            <w:pPr>
              <w:rPr>
                <w:rFonts w:eastAsia="Times New Roman"/>
                <w:sz w:val="20"/>
                <w:szCs w:val="20"/>
              </w:rPr>
            </w:pPr>
            <w:r>
              <w:rPr>
                <w:rFonts w:eastAsia="Times New Roman"/>
                <w:sz w:val="20"/>
                <w:szCs w:val="20"/>
              </w:rPr>
              <w:t> </w:t>
            </w:r>
          </w:p>
        </w:tc>
        <w:tc>
          <w:tcPr>
            <w:tcW w:w="400" w:type="pct"/>
            <w:hideMark/>
          </w:tcPr>
          <w:p w14:paraId="48626C15" w14:textId="77777777" w:rsidR="00000000" w:rsidRDefault="0053651E">
            <w:pPr>
              <w:rPr>
                <w:rFonts w:eastAsia="Times New Roman"/>
                <w:sz w:val="20"/>
                <w:szCs w:val="20"/>
              </w:rPr>
            </w:pPr>
            <w:r>
              <w:rPr>
                <w:rFonts w:eastAsia="Times New Roman"/>
                <w:sz w:val="20"/>
                <w:szCs w:val="20"/>
              </w:rPr>
              <w:t> </w:t>
            </w:r>
          </w:p>
        </w:tc>
        <w:tc>
          <w:tcPr>
            <w:tcW w:w="300" w:type="pct"/>
            <w:hideMark/>
          </w:tcPr>
          <w:p w14:paraId="02D941EA" w14:textId="77777777" w:rsidR="00000000" w:rsidRDefault="0053651E">
            <w:pPr>
              <w:rPr>
                <w:rFonts w:eastAsia="Times New Roman"/>
                <w:sz w:val="20"/>
                <w:szCs w:val="20"/>
              </w:rPr>
            </w:pPr>
            <w:r>
              <w:rPr>
                <w:rFonts w:eastAsia="Times New Roman"/>
                <w:sz w:val="20"/>
                <w:szCs w:val="20"/>
              </w:rPr>
              <w:t> </w:t>
            </w:r>
          </w:p>
        </w:tc>
      </w:tr>
    </w:tbl>
    <w:p w14:paraId="357B68B1" w14:textId="77777777" w:rsidR="00000000" w:rsidRDefault="0053651E">
      <w:pPr>
        <w:pStyle w:val="a3"/>
        <w:spacing w:before="0" w:beforeAutospacing="0" w:after="0" w:afterAutospacing="0"/>
        <w:rPr>
          <w:sz w:val="20"/>
          <w:szCs w:val="20"/>
        </w:rPr>
      </w:pPr>
      <w:r>
        <w:rPr>
          <w:sz w:val="20"/>
          <w:szCs w:val="20"/>
        </w:rPr>
        <w:t>* Filed herewith</w:t>
      </w:r>
    </w:p>
    <w:p w14:paraId="5A6C2D62" w14:textId="77777777" w:rsidR="00000000" w:rsidRDefault="0053651E">
      <w:pPr>
        <w:pStyle w:val="a3"/>
        <w:spacing w:before="0" w:beforeAutospacing="0" w:after="0" w:afterAutospacing="0"/>
        <w:rPr>
          <w:sz w:val="20"/>
          <w:szCs w:val="20"/>
        </w:rPr>
      </w:pPr>
      <w:r>
        <w:rPr>
          <w:sz w:val="20"/>
          <w:szCs w:val="20"/>
        </w:rPr>
        <w:t>** Furnished herewith</w:t>
      </w:r>
    </w:p>
    <w:p w14:paraId="0315F5B4" w14:textId="77777777" w:rsidR="00000000" w:rsidRDefault="0053651E">
      <w:pPr>
        <w:pStyle w:val="a3"/>
        <w:spacing w:before="0" w:beforeAutospacing="0" w:after="0" w:afterAutospacing="0"/>
        <w:rPr>
          <w:sz w:val="20"/>
          <w:szCs w:val="20"/>
        </w:rPr>
      </w:pPr>
      <w:r>
        <w:rPr>
          <w:sz w:val="20"/>
          <w:szCs w:val="20"/>
        </w:rPr>
        <w:t> </w:t>
      </w:r>
    </w:p>
    <w:p w14:paraId="7C7F997C" w14:textId="77777777" w:rsidR="00000000" w:rsidRDefault="0053651E">
      <w:pPr>
        <w:jc w:val="center"/>
        <w:divId w:val="86508560"/>
        <w:rPr>
          <w:rFonts w:eastAsia="Times New Roman"/>
          <w:sz w:val="20"/>
          <w:szCs w:val="20"/>
        </w:rPr>
      </w:pPr>
      <w:r>
        <w:rPr>
          <w:rFonts w:eastAsia="Times New Roman"/>
          <w:sz w:val="20"/>
          <w:szCs w:val="20"/>
        </w:rPr>
        <w:t xml:space="preserve">40 </w:t>
      </w:r>
    </w:p>
    <w:p w14:paraId="46301280" w14:textId="77777777" w:rsidR="00000000" w:rsidRDefault="0053651E">
      <w:pPr>
        <w:divId w:val="86508560"/>
        <w:rPr>
          <w:rFonts w:eastAsia="Times New Roman"/>
          <w:sz w:val="20"/>
          <w:szCs w:val="20"/>
        </w:rPr>
      </w:pPr>
      <w:r>
        <w:rPr>
          <w:rFonts w:eastAsia="Times New Roman"/>
          <w:sz w:val="20"/>
          <w:szCs w:val="20"/>
        </w:rPr>
        <w:pict w14:anchorId="13B100A6">
          <v:rect id="_x0000_i1071" style="width:0;height:1.5pt" o:hralign="center" o:hrstd="t" o:hr="t" fillcolor="#a0a0a0" stroked="f"/>
        </w:pict>
      </w:r>
    </w:p>
    <w:p w14:paraId="3D428AFF" w14:textId="77777777" w:rsidR="00000000" w:rsidRDefault="0053651E">
      <w:pPr>
        <w:divId w:val="865085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CDB31F4" w14:textId="77777777" w:rsidR="00000000" w:rsidRDefault="0053651E">
      <w:pPr>
        <w:pStyle w:val="a3"/>
        <w:spacing w:before="0" w:beforeAutospacing="0" w:after="0" w:afterAutospacing="0"/>
        <w:rPr>
          <w:sz w:val="20"/>
          <w:szCs w:val="20"/>
        </w:rPr>
      </w:pPr>
      <w:r>
        <w:rPr>
          <w:sz w:val="20"/>
          <w:szCs w:val="20"/>
        </w:rPr>
        <w:t> </w:t>
      </w:r>
    </w:p>
    <w:p w14:paraId="401824E6" w14:textId="77777777" w:rsidR="00000000" w:rsidRDefault="0053651E">
      <w:pPr>
        <w:pStyle w:val="a3"/>
        <w:spacing w:before="0" w:beforeAutospacing="0" w:after="0" w:afterAutospacing="0"/>
        <w:jc w:val="center"/>
        <w:rPr>
          <w:sz w:val="20"/>
          <w:szCs w:val="20"/>
        </w:rPr>
      </w:pPr>
      <w:r>
        <w:rPr>
          <w:b/>
          <w:bCs/>
          <w:sz w:val="20"/>
          <w:szCs w:val="20"/>
          <w:u w:val="single"/>
        </w:rPr>
        <w:t>SIGNATURES</w:t>
      </w:r>
    </w:p>
    <w:p w14:paraId="794C5B6D" w14:textId="77777777" w:rsidR="00000000" w:rsidRDefault="0053651E">
      <w:pPr>
        <w:pStyle w:val="a3"/>
        <w:spacing w:before="0" w:beforeAutospacing="0" w:after="0" w:afterAutospacing="0"/>
        <w:ind w:firstLine="360"/>
        <w:rPr>
          <w:sz w:val="20"/>
          <w:szCs w:val="20"/>
        </w:rPr>
      </w:pPr>
      <w:r>
        <w:rPr>
          <w:sz w:val="20"/>
          <w:szCs w:val="20"/>
        </w:rPr>
        <w:t> </w:t>
      </w:r>
    </w:p>
    <w:p w14:paraId="015C5691" w14:textId="77777777" w:rsidR="00000000" w:rsidRDefault="0053651E">
      <w:pPr>
        <w:pStyle w:val="a3"/>
        <w:spacing w:before="0" w:beforeAutospacing="0" w:after="0" w:afterAutospacing="0"/>
        <w:ind w:firstLine="360"/>
        <w:rPr>
          <w:sz w:val="20"/>
          <w:szCs w:val="20"/>
        </w:rPr>
      </w:pPr>
      <w:r>
        <w:rPr>
          <w:sz w:val="20"/>
          <w:szCs w:val="20"/>
        </w:rPr>
        <w:t>Pursuant to the requirements of Section 13 or 15(d) of the Securities Exchange Act of 1934, the registrant has duly caused this report to be signed on its behal</w:t>
      </w:r>
      <w:r>
        <w:rPr>
          <w:sz w:val="20"/>
          <w:szCs w:val="20"/>
        </w:rPr>
        <w:t>f by the undersigned, thereunto duly authorized.</w:t>
      </w:r>
    </w:p>
    <w:p w14:paraId="4E71B6CA"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70"/>
        <w:gridCol w:w="4236"/>
      </w:tblGrid>
      <w:tr w:rsidR="00000000" w14:paraId="524656E1" w14:textId="77777777">
        <w:trPr>
          <w:tblCellSpacing w:w="0" w:type="dxa"/>
        </w:trPr>
        <w:tc>
          <w:tcPr>
            <w:tcW w:w="2450" w:type="pct"/>
            <w:vAlign w:val="center"/>
            <w:hideMark/>
          </w:tcPr>
          <w:p w14:paraId="7B7E5379" w14:textId="77777777" w:rsidR="00000000" w:rsidRDefault="0053651E">
            <w:pPr>
              <w:rPr>
                <w:rFonts w:eastAsia="Times New Roman"/>
                <w:sz w:val="20"/>
                <w:szCs w:val="20"/>
              </w:rPr>
            </w:pPr>
            <w:r>
              <w:rPr>
                <w:rFonts w:eastAsia="Times New Roman"/>
                <w:sz w:val="20"/>
                <w:szCs w:val="20"/>
              </w:rPr>
              <w:t> </w:t>
            </w:r>
          </w:p>
        </w:tc>
        <w:tc>
          <w:tcPr>
            <w:tcW w:w="2550" w:type="pct"/>
            <w:vAlign w:val="center"/>
            <w:hideMark/>
          </w:tcPr>
          <w:p w14:paraId="38554A6F" w14:textId="77777777" w:rsidR="00000000" w:rsidRDefault="0053651E">
            <w:pPr>
              <w:pStyle w:val="a3"/>
              <w:spacing w:before="0" w:beforeAutospacing="0" w:after="0" w:afterAutospacing="0"/>
              <w:rPr>
                <w:sz w:val="20"/>
                <w:szCs w:val="20"/>
              </w:rPr>
            </w:pPr>
            <w:r>
              <w:rPr>
                <w:sz w:val="20"/>
                <w:szCs w:val="20"/>
              </w:rPr>
              <w:t>KIMCO REALTY CORPORATION</w:t>
            </w:r>
          </w:p>
          <w:p w14:paraId="3B15595E" w14:textId="77777777" w:rsidR="00000000" w:rsidRDefault="0053651E">
            <w:pPr>
              <w:pStyle w:val="a3"/>
              <w:spacing w:before="0" w:beforeAutospacing="0" w:after="0" w:afterAutospacing="0"/>
              <w:rPr>
                <w:sz w:val="20"/>
                <w:szCs w:val="20"/>
              </w:rPr>
            </w:pPr>
            <w:r>
              <w:rPr>
                <w:sz w:val="20"/>
                <w:szCs w:val="20"/>
              </w:rPr>
              <w:t> </w:t>
            </w:r>
          </w:p>
          <w:p w14:paraId="3D124B35" w14:textId="77777777" w:rsidR="00000000" w:rsidRDefault="0053651E">
            <w:pPr>
              <w:pStyle w:val="a3"/>
              <w:spacing w:before="0" w:beforeAutospacing="0" w:after="0" w:afterAutospacing="0"/>
              <w:rPr>
                <w:sz w:val="20"/>
                <w:szCs w:val="20"/>
              </w:rPr>
            </w:pPr>
            <w:r>
              <w:rPr>
                <w:sz w:val="20"/>
                <w:szCs w:val="20"/>
              </w:rPr>
              <w:t> </w:t>
            </w:r>
          </w:p>
          <w:p w14:paraId="01DC04DA" w14:textId="77777777" w:rsidR="00000000" w:rsidRDefault="0053651E">
            <w:pPr>
              <w:pStyle w:val="a3"/>
              <w:spacing w:before="0" w:beforeAutospacing="0" w:after="0" w:afterAutospacing="0"/>
              <w:rPr>
                <w:sz w:val="20"/>
                <w:szCs w:val="20"/>
              </w:rPr>
            </w:pPr>
            <w:r>
              <w:rPr>
                <w:sz w:val="20"/>
                <w:szCs w:val="20"/>
              </w:rPr>
              <w:t>By:     </w:t>
            </w:r>
            <w:r>
              <w:rPr>
                <w:sz w:val="20"/>
                <w:szCs w:val="20"/>
                <w:u w:val="single"/>
              </w:rPr>
              <w:t>/s/ Conor C. Flynn</w:t>
            </w:r>
          </w:p>
          <w:p w14:paraId="70B2D571" w14:textId="77777777" w:rsidR="00000000" w:rsidRDefault="0053651E">
            <w:pPr>
              <w:pStyle w:val="a3"/>
              <w:spacing w:before="0" w:beforeAutospacing="0" w:after="0" w:afterAutospacing="0"/>
              <w:rPr>
                <w:sz w:val="20"/>
                <w:szCs w:val="20"/>
              </w:rPr>
            </w:pPr>
            <w:r>
              <w:rPr>
                <w:sz w:val="20"/>
                <w:szCs w:val="20"/>
              </w:rPr>
              <w:t>Conor C. Flynn</w:t>
            </w:r>
          </w:p>
          <w:p w14:paraId="17B33D60" w14:textId="77777777" w:rsidR="00000000" w:rsidRDefault="0053651E">
            <w:pPr>
              <w:pStyle w:val="a3"/>
              <w:spacing w:before="0" w:beforeAutospacing="0" w:after="0" w:afterAutospacing="0"/>
              <w:rPr>
                <w:sz w:val="20"/>
                <w:szCs w:val="20"/>
              </w:rPr>
            </w:pPr>
            <w:r>
              <w:rPr>
                <w:sz w:val="20"/>
                <w:szCs w:val="20"/>
              </w:rPr>
              <w:t>Chief Executive Officer</w:t>
            </w:r>
          </w:p>
        </w:tc>
      </w:tr>
    </w:tbl>
    <w:p w14:paraId="6F7FC8C2" w14:textId="77777777" w:rsidR="00000000" w:rsidRDefault="0053651E">
      <w:pPr>
        <w:pStyle w:val="a3"/>
        <w:spacing w:before="0" w:beforeAutospacing="0" w:after="0" w:afterAutospacing="0"/>
        <w:ind w:left="4680" w:firstLine="360"/>
        <w:rPr>
          <w:sz w:val="20"/>
          <w:szCs w:val="20"/>
        </w:rPr>
      </w:pPr>
      <w:r>
        <w:rPr>
          <w:sz w:val="20"/>
          <w:szCs w:val="20"/>
        </w:rPr>
        <w:t> </w:t>
      </w:r>
    </w:p>
    <w:p w14:paraId="14459E36" w14:textId="77777777" w:rsidR="00000000" w:rsidRDefault="0053651E">
      <w:pPr>
        <w:pStyle w:val="a3"/>
        <w:spacing w:before="0" w:beforeAutospacing="0" w:after="0" w:afterAutospacing="0"/>
        <w:ind w:firstLine="360"/>
        <w:rPr>
          <w:sz w:val="20"/>
          <w:szCs w:val="20"/>
        </w:rPr>
      </w:pPr>
      <w:r>
        <w:rPr>
          <w:sz w:val="20"/>
          <w:szCs w:val="20"/>
        </w:rPr>
        <w:t>Dated:     February 25, 2020</w:t>
      </w:r>
    </w:p>
    <w:p w14:paraId="4DD3281A" w14:textId="77777777" w:rsidR="00000000" w:rsidRDefault="0053651E">
      <w:pPr>
        <w:pStyle w:val="a3"/>
        <w:spacing w:before="0" w:beforeAutospacing="0" w:after="0" w:afterAutospacing="0"/>
        <w:ind w:firstLine="360"/>
        <w:rPr>
          <w:sz w:val="20"/>
          <w:szCs w:val="20"/>
        </w:rPr>
      </w:pPr>
      <w:r>
        <w:rPr>
          <w:sz w:val="20"/>
          <w:szCs w:val="20"/>
        </w:rPr>
        <w:t> </w:t>
      </w:r>
    </w:p>
    <w:p w14:paraId="38B646E9" w14:textId="77777777" w:rsidR="00000000" w:rsidRDefault="0053651E">
      <w:pPr>
        <w:pStyle w:val="a3"/>
        <w:spacing w:before="0" w:beforeAutospacing="0" w:after="0" w:afterAutospacing="0"/>
        <w:ind w:firstLine="360"/>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14:paraId="43CB2DD7"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17"/>
        <w:gridCol w:w="274"/>
        <w:gridCol w:w="3721"/>
        <w:gridCol w:w="1894"/>
      </w:tblGrid>
      <w:tr w:rsidR="00000000" w14:paraId="1D164D59" w14:textId="77777777">
        <w:trPr>
          <w:tblCellSpacing w:w="0" w:type="dxa"/>
        </w:trPr>
        <w:tc>
          <w:tcPr>
            <w:tcW w:w="1455" w:type="pct"/>
            <w:hideMark/>
          </w:tcPr>
          <w:p w14:paraId="64AA58BC" w14:textId="77777777" w:rsidR="00000000" w:rsidRDefault="0053651E">
            <w:pPr>
              <w:pStyle w:val="a3"/>
              <w:spacing w:before="0" w:beforeAutospacing="0" w:after="0" w:afterAutospacing="0"/>
              <w:ind w:right="240" w:firstLine="360"/>
              <w:rPr>
                <w:sz w:val="20"/>
                <w:szCs w:val="20"/>
              </w:rPr>
            </w:pPr>
            <w:r>
              <w:rPr>
                <w:sz w:val="20"/>
                <w:szCs w:val="20"/>
                <w:u w:val="single"/>
              </w:rPr>
              <w:t>Signature</w:t>
            </w:r>
          </w:p>
        </w:tc>
        <w:tc>
          <w:tcPr>
            <w:tcW w:w="165" w:type="pct"/>
            <w:hideMark/>
          </w:tcPr>
          <w:p w14:paraId="761B1702" w14:textId="77777777" w:rsidR="00000000" w:rsidRDefault="0053651E">
            <w:pPr>
              <w:rPr>
                <w:rFonts w:eastAsia="Times New Roman"/>
                <w:sz w:val="20"/>
                <w:szCs w:val="20"/>
              </w:rPr>
            </w:pPr>
            <w:r>
              <w:rPr>
                <w:rFonts w:eastAsia="Times New Roman"/>
                <w:sz w:val="20"/>
                <w:szCs w:val="20"/>
              </w:rPr>
              <w:t> </w:t>
            </w:r>
          </w:p>
        </w:tc>
        <w:tc>
          <w:tcPr>
            <w:tcW w:w="2240" w:type="pct"/>
            <w:hideMark/>
          </w:tcPr>
          <w:p w14:paraId="084EAB74" w14:textId="77777777" w:rsidR="00000000" w:rsidRDefault="0053651E">
            <w:pPr>
              <w:pStyle w:val="a3"/>
              <w:spacing w:before="0" w:beforeAutospacing="0" w:after="0" w:afterAutospacing="0"/>
              <w:ind w:right="240" w:firstLine="360"/>
              <w:rPr>
                <w:sz w:val="20"/>
                <w:szCs w:val="20"/>
              </w:rPr>
            </w:pPr>
            <w:r>
              <w:rPr>
                <w:sz w:val="20"/>
                <w:szCs w:val="20"/>
                <w:u w:val="single"/>
              </w:rPr>
              <w:t>Title</w:t>
            </w:r>
          </w:p>
        </w:tc>
        <w:tc>
          <w:tcPr>
            <w:tcW w:w="1140" w:type="pct"/>
            <w:hideMark/>
          </w:tcPr>
          <w:p w14:paraId="4D144134" w14:textId="77777777" w:rsidR="00000000" w:rsidRDefault="0053651E">
            <w:pPr>
              <w:pStyle w:val="a3"/>
              <w:spacing w:before="0" w:beforeAutospacing="0" w:after="0" w:afterAutospacing="0"/>
              <w:ind w:right="240" w:firstLine="360"/>
              <w:rPr>
                <w:sz w:val="20"/>
                <w:szCs w:val="20"/>
              </w:rPr>
            </w:pPr>
            <w:r>
              <w:rPr>
                <w:sz w:val="20"/>
                <w:szCs w:val="20"/>
                <w:u w:val="single"/>
              </w:rPr>
              <w:t>Date</w:t>
            </w:r>
          </w:p>
        </w:tc>
      </w:tr>
      <w:tr w:rsidR="00000000" w14:paraId="2140A5A0" w14:textId="77777777">
        <w:trPr>
          <w:tblCellSpacing w:w="0" w:type="dxa"/>
        </w:trPr>
        <w:tc>
          <w:tcPr>
            <w:tcW w:w="1455" w:type="pct"/>
            <w:hideMark/>
          </w:tcPr>
          <w:p w14:paraId="7BA2008E" w14:textId="77777777" w:rsidR="00000000" w:rsidRDefault="0053651E">
            <w:pPr>
              <w:rPr>
                <w:rFonts w:eastAsia="Times New Roman"/>
                <w:sz w:val="20"/>
                <w:szCs w:val="20"/>
              </w:rPr>
            </w:pPr>
            <w:r>
              <w:rPr>
                <w:rFonts w:eastAsia="Times New Roman"/>
                <w:sz w:val="20"/>
                <w:szCs w:val="20"/>
              </w:rPr>
              <w:t> </w:t>
            </w:r>
          </w:p>
        </w:tc>
        <w:tc>
          <w:tcPr>
            <w:tcW w:w="165" w:type="pct"/>
            <w:hideMark/>
          </w:tcPr>
          <w:p w14:paraId="10FC54C1" w14:textId="77777777" w:rsidR="00000000" w:rsidRDefault="0053651E">
            <w:pPr>
              <w:rPr>
                <w:rFonts w:eastAsia="Times New Roman"/>
                <w:sz w:val="20"/>
                <w:szCs w:val="20"/>
              </w:rPr>
            </w:pPr>
            <w:r>
              <w:rPr>
                <w:rFonts w:eastAsia="Times New Roman"/>
                <w:sz w:val="20"/>
                <w:szCs w:val="20"/>
              </w:rPr>
              <w:t> </w:t>
            </w:r>
          </w:p>
        </w:tc>
        <w:tc>
          <w:tcPr>
            <w:tcW w:w="2240" w:type="pct"/>
            <w:hideMark/>
          </w:tcPr>
          <w:p w14:paraId="3B4C2BAF" w14:textId="77777777" w:rsidR="00000000" w:rsidRDefault="0053651E">
            <w:pPr>
              <w:rPr>
                <w:rFonts w:eastAsia="Times New Roman"/>
                <w:sz w:val="20"/>
                <w:szCs w:val="20"/>
              </w:rPr>
            </w:pPr>
            <w:r>
              <w:rPr>
                <w:rFonts w:eastAsia="Times New Roman"/>
                <w:sz w:val="20"/>
                <w:szCs w:val="20"/>
              </w:rPr>
              <w:t> </w:t>
            </w:r>
          </w:p>
        </w:tc>
        <w:tc>
          <w:tcPr>
            <w:tcW w:w="1140" w:type="pct"/>
            <w:hideMark/>
          </w:tcPr>
          <w:p w14:paraId="74349B8F" w14:textId="77777777" w:rsidR="00000000" w:rsidRDefault="0053651E">
            <w:pPr>
              <w:rPr>
                <w:rFonts w:eastAsia="Times New Roman"/>
                <w:sz w:val="20"/>
                <w:szCs w:val="20"/>
              </w:rPr>
            </w:pPr>
            <w:r>
              <w:rPr>
                <w:rFonts w:eastAsia="Times New Roman"/>
                <w:sz w:val="20"/>
                <w:szCs w:val="20"/>
              </w:rPr>
              <w:t> </w:t>
            </w:r>
          </w:p>
        </w:tc>
      </w:tr>
      <w:tr w:rsidR="00000000" w14:paraId="61E87CDB" w14:textId="77777777">
        <w:trPr>
          <w:tblCellSpacing w:w="0" w:type="dxa"/>
        </w:trPr>
        <w:tc>
          <w:tcPr>
            <w:tcW w:w="1455" w:type="pct"/>
            <w:tcBorders>
              <w:bottom w:val="single" w:sz="6" w:space="0" w:color="000000"/>
            </w:tcBorders>
            <w:hideMark/>
          </w:tcPr>
          <w:p w14:paraId="481EBB86" w14:textId="77777777" w:rsidR="00000000" w:rsidRDefault="0053651E">
            <w:pPr>
              <w:pStyle w:val="a3"/>
              <w:spacing w:before="0" w:beforeAutospacing="0" w:after="0" w:afterAutospacing="0"/>
              <w:ind w:right="240" w:firstLine="360"/>
              <w:rPr>
                <w:sz w:val="20"/>
                <w:szCs w:val="20"/>
              </w:rPr>
            </w:pPr>
            <w:r>
              <w:rPr>
                <w:sz w:val="20"/>
                <w:szCs w:val="20"/>
              </w:rPr>
              <w:t>/s/ Milton Cooper</w:t>
            </w:r>
          </w:p>
        </w:tc>
        <w:tc>
          <w:tcPr>
            <w:tcW w:w="165" w:type="pct"/>
            <w:hideMark/>
          </w:tcPr>
          <w:p w14:paraId="5E0CD9B2" w14:textId="77777777" w:rsidR="00000000" w:rsidRDefault="0053651E">
            <w:pPr>
              <w:rPr>
                <w:rFonts w:eastAsia="Times New Roman"/>
                <w:sz w:val="20"/>
                <w:szCs w:val="20"/>
              </w:rPr>
            </w:pPr>
            <w:r>
              <w:rPr>
                <w:rFonts w:eastAsia="Times New Roman"/>
                <w:sz w:val="20"/>
                <w:szCs w:val="20"/>
              </w:rPr>
              <w:t> </w:t>
            </w:r>
          </w:p>
        </w:tc>
        <w:tc>
          <w:tcPr>
            <w:tcW w:w="2240" w:type="pct"/>
            <w:hideMark/>
          </w:tcPr>
          <w:p w14:paraId="2E086F96" w14:textId="77777777" w:rsidR="00000000" w:rsidRDefault="0053651E">
            <w:pPr>
              <w:pStyle w:val="a3"/>
              <w:spacing w:before="0" w:beforeAutospacing="0" w:after="0" w:afterAutospacing="0"/>
              <w:ind w:right="240" w:firstLine="360"/>
              <w:rPr>
                <w:sz w:val="20"/>
                <w:szCs w:val="20"/>
              </w:rPr>
            </w:pPr>
            <w:r>
              <w:rPr>
                <w:sz w:val="20"/>
                <w:szCs w:val="20"/>
              </w:rPr>
              <w:t>Executive Chairman of the Board of Directors</w:t>
            </w:r>
          </w:p>
        </w:tc>
        <w:tc>
          <w:tcPr>
            <w:tcW w:w="1140" w:type="pct"/>
            <w:hideMark/>
          </w:tcPr>
          <w:p w14:paraId="14AD92E1"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32C58561" w14:textId="77777777">
        <w:trPr>
          <w:tblCellSpacing w:w="0" w:type="dxa"/>
        </w:trPr>
        <w:tc>
          <w:tcPr>
            <w:tcW w:w="1455" w:type="pct"/>
            <w:tcBorders>
              <w:bottom w:val="nil"/>
            </w:tcBorders>
            <w:hideMark/>
          </w:tcPr>
          <w:p w14:paraId="2F0AC376" w14:textId="77777777" w:rsidR="00000000" w:rsidRDefault="0053651E">
            <w:pPr>
              <w:pStyle w:val="a3"/>
              <w:spacing w:before="0" w:beforeAutospacing="0" w:after="0" w:afterAutospacing="0"/>
              <w:ind w:right="240" w:firstLine="360"/>
              <w:rPr>
                <w:sz w:val="20"/>
                <w:szCs w:val="20"/>
              </w:rPr>
            </w:pPr>
            <w:r>
              <w:rPr>
                <w:sz w:val="20"/>
                <w:szCs w:val="20"/>
              </w:rPr>
              <w:t>Milton Cooper</w:t>
            </w:r>
          </w:p>
        </w:tc>
        <w:tc>
          <w:tcPr>
            <w:tcW w:w="165" w:type="pct"/>
            <w:hideMark/>
          </w:tcPr>
          <w:p w14:paraId="4AF960E8" w14:textId="77777777" w:rsidR="00000000" w:rsidRDefault="0053651E">
            <w:pPr>
              <w:rPr>
                <w:rFonts w:eastAsia="Times New Roman"/>
                <w:sz w:val="20"/>
                <w:szCs w:val="20"/>
              </w:rPr>
            </w:pPr>
            <w:r>
              <w:rPr>
                <w:rFonts w:eastAsia="Times New Roman"/>
                <w:sz w:val="20"/>
                <w:szCs w:val="20"/>
              </w:rPr>
              <w:t> </w:t>
            </w:r>
          </w:p>
        </w:tc>
        <w:tc>
          <w:tcPr>
            <w:tcW w:w="2240" w:type="pct"/>
            <w:hideMark/>
          </w:tcPr>
          <w:p w14:paraId="5C07725B" w14:textId="77777777" w:rsidR="00000000" w:rsidRDefault="0053651E">
            <w:pPr>
              <w:rPr>
                <w:rFonts w:eastAsia="Times New Roman"/>
                <w:sz w:val="20"/>
                <w:szCs w:val="20"/>
              </w:rPr>
            </w:pPr>
            <w:r>
              <w:rPr>
                <w:rFonts w:eastAsia="Times New Roman"/>
                <w:sz w:val="20"/>
                <w:szCs w:val="20"/>
              </w:rPr>
              <w:t> </w:t>
            </w:r>
          </w:p>
        </w:tc>
        <w:tc>
          <w:tcPr>
            <w:tcW w:w="1140" w:type="pct"/>
            <w:hideMark/>
          </w:tcPr>
          <w:p w14:paraId="24BAF13D" w14:textId="77777777" w:rsidR="00000000" w:rsidRDefault="0053651E">
            <w:pPr>
              <w:rPr>
                <w:rFonts w:eastAsia="Times New Roman"/>
                <w:sz w:val="20"/>
                <w:szCs w:val="20"/>
              </w:rPr>
            </w:pPr>
            <w:r>
              <w:rPr>
                <w:rFonts w:eastAsia="Times New Roman"/>
                <w:sz w:val="20"/>
                <w:szCs w:val="20"/>
              </w:rPr>
              <w:t> </w:t>
            </w:r>
          </w:p>
        </w:tc>
      </w:tr>
      <w:tr w:rsidR="00000000" w14:paraId="345EE9E5" w14:textId="77777777">
        <w:trPr>
          <w:tblCellSpacing w:w="0" w:type="dxa"/>
        </w:trPr>
        <w:tc>
          <w:tcPr>
            <w:tcW w:w="1455" w:type="pct"/>
            <w:hideMark/>
          </w:tcPr>
          <w:p w14:paraId="5E9ABA5F" w14:textId="77777777" w:rsidR="00000000" w:rsidRDefault="0053651E">
            <w:pPr>
              <w:rPr>
                <w:rFonts w:eastAsia="Times New Roman"/>
                <w:sz w:val="20"/>
                <w:szCs w:val="20"/>
              </w:rPr>
            </w:pPr>
            <w:r>
              <w:rPr>
                <w:rFonts w:eastAsia="Times New Roman"/>
                <w:sz w:val="20"/>
                <w:szCs w:val="20"/>
              </w:rPr>
              <w:t> </w:t>
            </w:r>
          </w:p>
        </w:tc>
        <w:tc>
          <w:tcPr>
            <w:tcW w:w="165" w:type="pct"/>
            <w:hideMark/>
          </w:tcPr>
          <w:p w14:paraId="70ECAA12" w14:textId="77777777" w:rsidR="00000000" w:rsidRDefault="0053651E">
            <w:pPr>
              <w:rPr>
                <w:rFonts w:eastAsia="Times New Roman"/>
                <w:sz w:val="20"/>
                <w:szCs w:val="20"/>
              </w:rPr>
            </w:pPr>
            <w:r>
              <w:rPr>
                <w:rFonts w:eastAsia="Times New Roman"/>
                <w:sz w:val="20"/>
                <w:szCs w:val="20"/>
              </w:rPr>
              <w:t> </w:t>
            </w:r>
          </w:p>
        </w:tc>
        <w:tc>
          <w:tcPr>
            <w:tcW w:w="2240" w:type="pct"/>
            <w:hideMark/>
          </w:tcPr>
          <w:p w14:paraId="42457365" w14:textId="77777777" w:rsidR="00000000" w:rsidRDefault="0053651E">
            <w:pPr>
              <w:rPr>
                <w:rFonts w:eastAsia="Times New Roman"/>
                <w:sz w:val="20"/>
                <w:szCs w:val="20"/>
              </w:rPr>
            </w:pPr>
            <w:r>
              <w:rPr>
                <w:rFonts w:eastAsia="Times New Roman"/>
                <w:sz w:val="20"/>
                <w:szCs w:val="20"/>
              </w:rPr>
              <w:t> </w:t>
            </w:r>
          </w:p>
        </w:tc>
        <w:tc>
          <w:tcPr>
            <w:tcW w:w="1140" w:type="pct"/>
            <w:hideMark/>
          </w:tcPr>
          <w:p w14:paraId="7D68B118" w14:textId="77777777" w:rsidR="00000000" w:rsidRDefault="0053651E">
            <w:pPr>
              <w:rPr>
                <w:rFonts w:eastAsia="Times New Roman"/>
                <w:sz w:val="20"/>
                <w:szCs w:val="20"/>
              </w:rPr>
            </w:pPr>
            <w:r>
              <w:rPr>
                <w:rFonts w:eastAsia="Times New Roman"/>
                <w:sz w:val="20"/>
                <w:szCs w:val="20"/>
              </w:rPr>
              <w:t> </w:t>
            </w:r>
          </w:p>
        </w:tc>
      </w:tr>
      <w:tr w:rsidR="00000000" w14:paraId="39A6DA67" w14:textId="77777777">
        <w:trPr>
          <w:tblCellSpacing w:w="0" w:type="dxa"/>
        </w:trPr>
        <w:tc>
          <w:tcPr>
            <w:tcW w:w="1455" w:type="pct"/>
            <w:tcBorders>
              <w:bottom w:val="single" w:sz="6" w:space="0" w:color="000000"/>
            </w:tcBorders>
            <w:hideMark/>
          </w:tcPr>
          <w:p w14:paraId="383FB98E" w14:textId="77777777" w:rsidR="00000000" w:rsidRDefault="0053651E">
            <w:pPr>
              <w:pStyle w:val="a3"/>
              <w:spacing w:before="0" w:beforeAutospacing="0" w:after="0" w:afterAutospacing="0"/>
              <w:ind w:right="240" w:firstLine="360"/>
              <w:rPr>
                <w:sz w:val="20"/>
                <w:szCs w:val="20"/>
              </w:rPr>
            </w:pPr>
            <w:r>
              <w:rPr>
                <w:sz w:val="20"/>
                <w:szCs w:val="20"/>
              </w:rPr>
              <w:t>/s/ Conor C. Flynn</w:t>
            </w:r>
          </w:p>
        </w:tc>
        <w:tc>
          <w:tcPr>
            <w:tcW w:w="165" w:type="pct"/>
            <w:hideMark/>
          </w:tcPr>
          <w:p w14:paraId="7FBE3B5F" w14:textId="77777777" w:rsidR="00000000" w:rsidRDefault="0053651E">
            <w:pPr>
              <w:rPr>
                <w:rFonts w:eastAsia="Times New Roman"/>
                <w:sz w:val="20"/>
                <w:szCs w:val="20"/>
              </w:rPr>
            </w:pPr>
            <w:r>
              <w:rPr>
                <w:rFonts w:eastAsia="Times New Roman"/>
                <w:sz w:val="20"/>
                <w:szCs w:val="20"/>
              </w:rPr>
              <w:t> </w:t>
            </w:r>
          </w:p>
        </w:tc>
        <w:tc>
          <w:tcPr>
            <w:tcW w:w="2240" w:type="pct"/>
            <w:hideMark/>
          </w:tcPr>
          <w:p w14:paraId="3FF8B3F5" w14:textId="77777777" w:rsidR="00000000" w:rsidRDefault="0053651E">
            <w:pPr>
              <w:pStyle w:val="a3"/>
              <w:spacing w:before="0" w:beforeAutospacing="0" w:after="0" w:afterAutospacing="0"/>
              <w:ind w:left="360" w:right="240" w:firstLine="9"/>
              <w:rPr>
                <w:sz w:val="20"/>
                <w:szCs w:val="20"/>
              </w:rPr>
            </w:pPr>
            <w:r>
              <w:rPr>
                <w:sz w:val="20"/>
                <w:szCs w:val="20"/>
              </w:rPr>
              <w:t>Chief Executive Officer and Director</w:t>
            </w:r>
          </w:p>
        </w:tc>
        <w:tc>
          <w:tcPr>
            <w:tcW w:w="1140" w:type="pct"/>
            <w:hideMark/>
          </w:tcPr>
          <w:p w14:paraId="431C8F00"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3CA4CA1D" w14:textId="77777777">
        <w:trPr>
          <w:tblCellSpacing w:w="0" w:type="dxa"/>
        </w:trPr>
        <w:tc>
          <w:tcPr>
            <w:tcW w:w="1455" w:type="pct"/>
            <w:tcBorders>
              <w:bottom w:val="nil"/>
            </w:tcBorders>
            <w:hideMark/>
          </w:tcPr>
          <w:p w14:paraId="51156E5E" w14:textId="77777777" w:rsidR="00000000" w:rsidRDefault="0053651E">
            <w:pPr>
              <w:pStyle w:val="a3"/>
              <w:spacing w:before="0" w:beforeAutospacing="0" w:after="0" w:afterAutospacing="0"/>
              <w:ind w:right="240" w:firstLine="360"/>
              <w:rPr>
                <w:sz w:val="20"/>
                <w:szCs w:val="20"/>
              </w:rPr>
            </w:pPr>
            <w:r>
              <w:rPr>
                <w:sz w:val="20"/>
                <w:szCs w:val="20"/>
              </w:rPr>
              <w:t>Conor C. Flynn</w:t>
            </w:r>
          </w:p>
        </w:tc>
        <w:tc>
          <w:tcPr>
            <w:tcW w:w="165" w:type="pct"/>
            <w:hideMark/>
          </w:tcPr>
          <w:p w14:paraId="3E37FAE5" w14:textId="77777777" w:rsidR="00000000" w:rsidRDefault="0053651E">
            <w:pPr>
              <w:rPr>
                <w:rFonts w:eastAsia="Times New Roman"/>
                <w:sz w:val="20"/>
                <w:szCs w:val="20"/>
              </w:rPr>
            </w:pPr>
            <w:r>
              <w:rPr>
                <w:rFonts w:eastAsia="Times New Roman"/>
                <w:sz w:val="20"/>
                <w:szCs w:val="20"/>
              </w:rPr>
              <w:t> </w:t>
            </w:r>
          </w:p>
        </w:tc>
        <w:tc>
          <w:tcPr>
            <w:tcW w:w="2240" w:type="pct"/>
            <w:hideMark/>
          </w:tcPr>
          <w:p w14:paraId="04A0E881" w14:textId="77777777" w:rsidR="00000000" w:rsidRDefault="0053651E">
            <w:pPr>
              <w:rPr>
                <w:rFonts w:eastAsia="Times New Roman"/>
                <w:sz w:val="20"/>
                <w:szCs w:val="20"/>
              </w:rPr>
            </w:pPr>
            <w:r>
              <w:rPr>
                <w:rFonts w:eastAsia="Times New Roman"/>
                <w:sz w:val="20"/>
                <w:szCs w:val="20"/>
              </w:rPr>
              <w:t> </w:t>
            </w:r>
          </w:p>
        </w:tc>
        <w:tc>
          <w:tcPr>
            <w:tcW w:w="1140" w:type="pct"/>
            <w:hideMark/>
          </w:tcPr>
          <w:p w14:paraId="2C045104" w14:textId="77777777" w:rsidR="00000000" w:rsidRDefault="0053651E">
            <w:pPr>
              <w:rPr>
                <w:rFonts w:eastAsia="Times New Roman"/>
                <w:sz w:val="20"/>
                <w:szCs w:val="20"/>
              </w:rPr>
            </w:pPr>
            <w:r>
              <w:rPr>
                <w:rFonts w:eastAsia="Times New Roman"/>
                <w:sz w:val="20"/>
                <w:szCs w:val="20"/>
              </w:rPr>
              <w:t> </w:t>
            </w:r>
          </w:p>
        </w:tc>
      </w:tr>
      <w:tr w:rsidR="00000000" w14:paraId="5E735221" w14:textId="77777777">
        <w:trPr>
          <w:tblCellSpacing w:w="0" w:type="dxa"/>
        </w:trPr>
        <w:tc>
          <w:tcPr>
            <w:tcW w:w="1455" w:type="pct"/>
            <w:hideMark/>
          </w:tcPr>
          <w:p w14:paraId="18EA9533" w14:textId="77777777" w:rsidR="00000000" w:rsidRDefault="0053651E">
            <w:pPr>
              <w:rPr>
                <w:rFonts w:eastAsia="Times New Roman"/>
                <w:sz w:val="20"/>
                <w:szCs w:val="20"/>
              </w:rPr>
            </w:pPr>
            <w:r>
              <w:rPr>
                <w:rFonts w:eastAsia="Times New Roman"/>
                <w:sz w:val="20"/>
                <w:szCs w:val="20"/>
              </w:rPr>
              <w:t> </w:t>
            </w:r>
          </w:p>
        </w:tc>
        <w:tc>
          <w:tcPr>
            <w:tcW w:w="165" w:type="pct"/>
            <w:hideMark/>
          </w:tcPr>
          <w:p w14:paraId="7A6A971F" w14:textId="77777777" w:rsidR="00000000" w:rsidRDefault="0053651E">
            <w:pPr>
              <w:rPr>
                <w:rFonts w:eastAsia="Times New Roman"/>
                <w:sz w:val="20"/>
                <w:szCs w:val="20"/>
              </w:rPr>
            </w:pPr>
            <w:r>
              <w:rPr>
                <w:rFonts w:eastAsia="Times New Roman"/>
                <w:sz w:val="20"/>
                <w:szCs w:val="20"/>
              </w:rPr>
              <w:t> </w:t>
            </w:r>
          </w:p>
        </w:tc>
        <w:tc>
          <w:tcPr>
            <w:tcW w:w="2240" w:type="pct"/>
            <w:hideMark/>
          </w:tcPr>
          <w:p w14:paraId="6634790B" w14:textId="77777777" w:rsidR="00000000" w:rsidRDefault="0053651E">
            <w:pPr>
              <w:rPr>
                <w:rFonts w:eastAsia="Times New Roman"/>
                <w:sz w:val="20"/>
                <w:szCs w:val="20"/>
              </w:rPr>
            </w:pPr>
            <w:r>
              <w:rPr>
                <w:rFonts w:eastAsia="Times New Roman"/>
                <w:sz w:val="20"/>
                <w:szCs w:val="20"/>
              </w:rPr>
              <w:t> </w:t>
            </w:r>
          </w:p>
        </w:tc>
        <w:tc>
          <w:tcPr>
            <w:tcW w:w="1140" w:type="pct"/>
            <w:hideMark/>
          </w:tcPr>
          <w:p w14:paraId="061493B6" w14:textId="77777777" w:rsidR="00000000" w:rsidRDefault="0053651E">
            <w:pPr>
              <w:rPr>
                <w:rFonts w:eastAsia="Times New Roman"/>
                <w:sz w:val="20"/>
                <w:szCs w:val="20"/>
              </w:rPr>
            </w:pPr>
            <w:r>
              <w:rPr>
                <w:rFonts w:eastAsia="Times New Roman"/>
                <w:sz w:val="20"/>
                <w:szCs w:val="20"/>
              </w:rPr>
              <w:t> </w:t>
            </w:r>
          </w:p>
        </w:tc>
      </w:tr>
      <w:tr w:rsidR="00000000" w14:paraId="335390C8" w14:textId="77777777">
        <w:trPr>
          <w:tblCellSpacing w:w="0" w:type="dxa"/>
        </w:trPr>
        <w:tc>
          <w:tcPr>
            <w:tcW w:w="1455" w:type="pct"/>
            <w:tcBorders>
              <w:bottom w:val="single" w:sz="6" w:space="0" w:color="000000"/>
            </w:tcBorders>
            <w:hideMark/>
          </w:tcPr>
          <w:p w14:paraId="0922B1DB" w14:textId="77777777" w:rsidR="00000000" w:rsidRDefault="0053651E">
            <w:pPr>
              <w:pStyle w:val="a3"/>
              <w:spacing w:before="0" w:beforeAutospacing="0" w:after="0" w:afterAutospacing="0"/>
              <w:ind w:right="240" w:firstLine="360"/>
              <w:rPr>
                <w:sz w:val="20"/>
                <w:szCs w:val="20"/>
              </w:rPr>
            </w:pPr>
            <w:r>
              <w:rPr>
                <w:sz w:val="20"/>
                <w:szCs w:val="20"/>
              </w:rPr>
              <w:t>/s/ Frank Lourenso</w:t>
            </w:r>
          </w:p>
        </w:tc>
        <w:tc>
          <w:tcPr>
            <w:tcW w:w="165" w:type="pct"/>
            <w:hideMark/>
          </w:tcPr>
          <w:p w14:paraId="130DC753" w14:textId="77777777" w:rsidR="00000000" w:rsidRDefault="0053651E">
            <w:pPr>
              <w:rPr>
                <w:rFonts w:eastAsia="Times New Roman"/>
                <w:sz w:val="20"/>
                <w:szCs w:val="20"/>
              </w:rPr>
            </w:pPr>
            <w:r>
              <w:rPr>
                <w:rFonts w:eastAsia="Times New Roman"/>
                <w:sz w:val="20"/>
                <w:szCs w:val="20"/>
              </w:rPr>
              <w:t> </w:t>
            </w:r>
          </w:p>
        </w:tc>
        <w:tc>
          <w:tcPr>
            <w:tcW w:w="2240" w:type="pct"/>
            <w:hideMark/>
          </w:tcPr>
          <w:p w14:paraId="12A46770"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4820F493"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133016FF" w14:textId="77777777">
        <w:trPr>
          <w:tblCellSpacing w:w="0" w:type="dxa"/>
        </w:trPr>
        <w:tc>
          <w:tcPr>
            <w:tcW w:w="1455" w:type="pct"/>
            <w:tcBorders>
              <w:bottom w:val="nil"/>
            </w:tcBorders>
            <w:hideMark/>
          </w:tcPr>
          <w:p w14:paraId="27E61948" w14:textId="77777777" w:rsidR="00000000" w:rsidRDefault="0053651E">
            <w:pPr>
              <w:pStyle w:val="a3"/>
              <w:spacing w:before="0" w:beforeAutospacing="0" w:after="0" w:afterAutospacing="0"/>
              <w:ind w:right="240" w:firstLine="360"/>
              <w:rPr>
                <w:sz w:val="20"/>
                <w:szCs w:val="20"/>
              </w:rPr>
            </w:pPr>
            <w:r>
              <w:rPr>
                <w:sz w:val="20"/>
                <w:szCs w:val="20"/>
              </w:rPr>
              <w:t>Frank Lourenso</w:t>
            </w:r>
          </w:p>
        </w:tc>
        <w:tc>
          <w:tcPr>
            <w:tcW w:w="165" w:type="pct"/>
            <w:hideMark/>
          </w:tcPr>
          <w:p w14:paraId="4164A3B7" w14:textId="77777777" w:rsidR="00000000" w:rsidRDefault="0053651E">
            <w:pPr>
              <w:rPr>
                <w:rFonts w:eastAsia="Times New Roman"/>
                <w:sz w:val="20"/>
                <w:szCs w:val="20"/>
              </w:rPr>
            </w:pPr>
            <w:r>
              <w:rPr>
                <w:rFonts w:eastAsia="Times New Roman"/>
                <w:sz w:val="20"/>
                <w:szCs w:val="20"/>
              </w:rPr>
              <w:t> </w:t>
            </w:r>
          </w:p>
        </w:tc>
        <w:tc>
          <w:tcPr>
            <w:tcW w:w="2240" w:type="pct"/>
            <w:hideMark/>
          </w:tcPr>
          <w:p w14:paraId="4CE98509" w14:textId="77777777" w:rsidR="00000000" w:rsidRDefault="0053651E">
            <w:pPr>
              <w:rPr>
                <w:rFonts w:eastAsia="Times New Roman"/>
                <w:sz w:val="20"/>
                <w:szCs w:val="20"/>
              </w:rPr>
            </w:pPr>
            <w:r>
              <w:rPr>
                <w:rFonts w:eastAsia="Times New Roman"/>
                <w:sz w:val="20"/>
                <w:szCs w:val="20"/>
              </w:rPr>
              <w:t> </w:t>
            </w:r>
          </w:p>
        </w:tc>
        <w:tc>
          <w:tcPr>
            <w:tcW w:w="1140" w:type="pct"/>
            <w:hideMark/>
          </w:tcPr>
          <w:p w14:paraId="35A19724" w14:textId="77777777" w:rsidR="00000000" w:rsidRDefault="0053651E">
            <w:pPr>
              <w:rPr>
                <w:rFonts w:eastAsia="Times New Roman"/>
                <w:sz w:val="20"/>
                <w:szCs w:val="20"/>
              </w:rPr>
            </w:pPr>
            <w:r>
              <w:rPr>
                <w:rFonts w:eastAsia="Times New Roman"/>
                <w:sz w:val="20"/>
                <w:szCs w:val="20"/>
              </w:rPr>
              <w:t> </w:t>
            </w:r>
          </w:p>
        </w:tc>
      </w:tr>
      <w:tr w:rsidR="00000000" w14:paraId="35125637" w14:textId="77777777">
        <w:trPr>
          <w:tblCellSpacing w:w="0" w:type="dxa"/>
        </w:trPr>
        <w:tc>
          <w:tcPr>
            <w:tcW w:w="1455" w:type="pct"/>
            <w:hideMark/>
          </w:tcPr>
          <w:p w14:paraId="36EF0316" w14:textId="77777777" w:rsidR="00000000" w:rsidRDefault="0053651E">
            <w:pPr>
              <w:rPr>
                <w:rFonts w:eastAsia="Times New Roman"/>
                <w:sz w:val="20"/>
                <w:szCs w:val="20"/>
              </w:rPr>
            </w:pPr>
            <w:r>
              <w:rPr>
                <w:rFonts w:eastAsia="Times New Roman"/>
                <w:sz w:val="20"/>
                <w:szCs w:val="20"/>
              </w:rPr>
              <w:t> </w:t>
            </w:r>
          </w:p>
        </w:tc>
        <w:tc>
          <w:tcPr>
            <w:tcW w:w="165" w:type="pct"/>
            <w:hideMark/>
          </w:tcPr>
          <w:p w14:paraId="0A5643A7" w14:textId="77777777" w:rsidR="00000000" w:rsidRDefault="0053651E">
            <w:pPr>
              <w:rPr>
                <w:rFonts w:eastAsia="Times New Roman"/>
                <w:sz w:val="20"/>
                <w:szCs w:val="20"/>
              </w:rPr>
            </w:pPr>
            <w:r>
              <w:rPr>
                <w:rFonts w:eastAsia="Times New Roman"/>
                <w:sz w:val="20"/>
                <w:szCs w:val="20"/>
              </w:rPr>
              <w:t> </w:t>
            </w:r>
          </w:p>
        </w:tc>
        <w:tc>
          <w:tcPr>
            <w:tcW w:w="2240" w:type="pct"/>
            <w:hideMark/>
          </w:tcPr>
          <w:p w14:paraId="2A6E1D49" w14:textId="77777777" w:rsidR="00000000" w:rsidRDefault="0053651E">
            <w:pPr>
              <w:rPr>
                <w:rFonts w:eastAsia="Times New Roman"/>
                <w:sz w:val="20"/>
                <w:szCs w:val="20"/>
              </w:rPr>
            </w:pPr>
            <w:r>
              <w:rPr>
                <w:rFonts w:eastAsia="Times New Roman"/>
                <w:sz w:val="20"/>
                <w:szCs w:val="20"/>
              </w:rPr>
              <w:t> </w:t>
            </w:r>
          </w:p>
        </w:tc>
        <w:tc>
          <w:tcPr>
            <w:tcW w:w="1140" w:type="pct"/>
            <w:hideMark/>
          </w:tcPr>
          <w:p w14:paraId="5D663529" w14:textId="77777777" w:rsidR="00000000" w:rsidRDefault="0053651E">
            <w:pPr>
              <w:rPr>
                <w:rFonts w:eastAsia="Times New Roman"/>
                <w:sz w:val="20"/>
                <w:szCs w:val="20"/>
              </w:rPr>
            </w:pPr>
            <w:r>
              <w:rPr>
                <w:rFonts w:eastAsia="Times New Roman"/>
                <w:sz w:val="20"/>
                <w:szCs w:val="20"/>
              </w:rPr>
              <w:t> </w:t>
            </w:r>
          </w:p>
        </w:tc>
      </w:tr>
      <w:tr w:rsidR="00000000" w14:paraId="4BAD6DFC" w14:textId="77777777">
        <w:trPr>
          <w:tblCellSpacing w:w="0" w:type="dxa"/>
        </w:trPr>
        <w:tc>
          <w:tcPr>
            <w:tcW w:w="1455" w:type="pct"/>
            <w:tcBorders>
              <w:bottom w:val="single" w:sz="6" w:space="0" w:color="000000"/>
            </w:tcBorders>
            <w:hideMark/>
          </w:tcPr>
          <w:p w14:paraId="1B823A2C" w14:textId="77777777" w:rsidR="00000000" w:rsidRDefault="0053651E">
            <w:pPr>
              <w:pStyle w:val="a3"/>
              <w:spacing w:before="0" w:beforeAutospacing="0" w:after="0" w:afterAutospacing="0"/>
              <w:ind w:right="240" w:firstLine="360"/>
              <w:rPr>
                <w:sz w:val="20"/>
                <w:szCs w:val="20"/>
              </w:rPr>
            </w:pPr>
            <w:r>
              <w:rPr>
                <w:sz w:val="20"/>
                <w:szCs w:val="20"/>
              </w:rPr>
              <w:t>/s/ Richard Saltzman</w:t>
            </w:r>
          </w:p>
        </w:tc>
        <w:tc>
          <w:tcPr>
            <w:tcW w:w="165" w:type="pct"/>
            <w:hideMark/>
          </w:tcPr>
          <w:p w14:paraId="6DFE7AAE" w14:textId="77777777" w:rsidR="00000000" w:rsidRDefault="0053651E">
            <w:pPr>
              <w:rPr>
                <w:rFonts w:eastAsia="Times New Roman"/>
                <w:sz w:val="20"/>
                <w:szCs w:val="20"/>
              </w:rPr>
            </w:pPr>
            <w:r>
              <w:rPr>
                <w:rFonts w:eastAsia="Times New Roman"/>
                <w:sz w:val="20"/>
                <w:szCs w:val="20"/>
              </w:rPr>
              <w:t> </w:t>
            </w:r>
          </w:p>
        </w:tc>
        <w:tc>
          <w:tcPr>
            <w:tcW w:w="2240" w:type="pct"/>
            <w:hideMark/>
          </w:tcPr>
          <w:p w14:paraId="56B5571A"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05DB5DE3"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1F6B30CA" w14:textId="77777777">
        <w:trPr>
          <w:tblCellSpacing w:w="0" w:type="dxa"/>
        </w:trPr>
        <w:tc>
          <w:tcPr>
            <w:tcW w:w="1455" w:type="pct"/>
            <w:tcBorders>
              <w:bottom w:val="nil"/>
            </w:tcBorders>
            <w:hideMark/>
          </w:tcPr>
          <w:p w14:paraId="57612FF1" w14:textId="77777777" w:rsidR="00000000" w:rsidRDefault="0053651E">
            <w:pPr>
              <w:pStyle w:val="a3"/>
              <w:spacing w:before="0" w:beforeAutospacing="0" w:after="0" w:afterAutospacing="0"/>
              <w:ind w:right="240" w:firstLine="360"/>
              <w:rPr>
                <w:sz w:val="20"/>
                <w:szCs w:val="20"/>
              </w:rPr>
            </w:pPr>
            <w:r>
              <w:rPr>
                <w:sz w:val="20"/>
                <w:szCs w:val="20"/>
              </w:rPr>
              <w:t>Richard Saltzman</w:t>
            </w:r>
          </w:p>
        </w:tc>
        <w:tc>
          <w:tcPr>
            <w:tcW w:w="165" w:type="pct"/>
            <w:hideMark/>
          </w:tcPr>
          <w:p w14:paraId="467910C2" w14:textId="77777777" w:rsidR="00000000" w:rsidRDefault="0053651E">
            <w:pPr>
              <w:rPr>
                <w:rFonts w:eastAsia="Times New Roman"/>
                <w:sz w:val="20"/>
                <w:szCs w:val="20"/>
              </w:rPr>
            </w:pPr>
            <w:r>
              <w:rPr>
                <w:rFonts w:eastAsia="Times New Roman"/>
                <w:sz w:val="20"/>
                <w:szCs w:val="20"/>
              </w:rPr>
              <w:t> </w:t>
            </w:r>
          </w:p>
        </w:tc>
        <w:tc>
          <w:tcPr>
            <w:tcW w:w="2240" w:type="pct"/>
            <w:hideMark/>
          </w:tcPr>
          <w:p w14:paraId="2D84C502" w14:textId="77777777" w:rsidR="00000000" w:rsidRDefault="0053651E">
            <w:pPr>
              <w:rPr>
                <w:rFonts w:eastAsia="Times New Roman"/>
                <w:sz w:val="20"/>
                <w:szCs w:val="20"/>
              </w:rPr>
            </w:pPr>
            <w:r>
              <w:rPr>
                <w:rFonts w:eastAsia="Times New Roman"/>
                <w:sz w:val="20"/>
                <w:szCs w:val="20"/>
              </w:rPr>
              <w:t> </w:t>
            </w:r>
          </w:p>
        </w:tc>
        <w:tc>
          <w:tcPr>
            <w:tcW w:w="1140" w:type="pct"/>
            <w:hideMark/>
          </w:tcPr>
          <w:p w14:paraId="5986B218" w14:textId="77777777" w:rsidR="00000000" w:rsidRDefault="0053651E">
            <w:pPr>
              <w:rPr>
                <w:rFonts w:eastAsia="Times New Roman"/>
                <w:sz w:val="20"/>
                <w:szCs w:val="20"/>
              </w:rPr>
            </w:pPr>
            <w:r>
              <w:rPr>
                <w:rFonts w:eastAsia="Times New Roman"/>
                <w:sz w:val="20"/>
                <w:szCs w:val="20"/>
              </w:rPr>
              <w:t> </w:t>
            </w:r>
          </w:p>
        </w:tc>
      </w:tr>
      <w:tr w:rsidR="00000000" w14:paraId="1ED443E5" w14:textId="77777777">
        <w:trPr>
          <w:tblCellSpacing w:w="0" w:type="dxa"/>
        </w:trPr>
        <w:tc>
          <w:tcPr>
            <w:tcW w:w="1455" w:type="pct"/>
            <w:hideMark/>
          </w:tcPr>
          <w:p w14:paraId="6E3B88B3" w14:textId="77777777" w:rsidR="00000000" w:rsidRDefault="0053651E">
            <w:pPr>
              <w:rPr>
                <w:rFonts w:eastAsia="Times New Roman"/>
                <w:sz w:val="20"/>
                <w:szCs w:val="20"/>
              </w:rPr>
            </w:pPr>
            <w:r>
              <w:rPr>
                <w:rFonts w:eastAsia="Times New Roman"/>
                <w:sz w:val="20"/>
                <w:szCs w:val="20"/>
              </w:rPr>
              <w:t> </w:t>
            </w:r>
          </w:p>
        </w:tc>
        <w:tc>
          <w:tcPr>
            <w:tcW w:w="165" w:type="pct"/>
            <w:hideMark/>
          </w:tcPr>
          <w:p w14:paraId="7CF83AA0" w14:textId="77777777" w:rsidR="00000000" w:rsidRDefault="0053651E">
            <w:pPr>
              <w:rPr>
                <w:rFonts w:eastAsia="Times New Roman"/>
                <w:sz w:val="20"/>
                <w:szCs w:val="20"/>
              </w:rPr>
            </w:pPr>
            <w:r>
              <w:rPr>
                <w:rFonts w:eastAsia="Times New Roman"/>
                <w:sz w:val="20"/>
                <w:szCs w:val="20"/>
              </w:rPr>
              <w:t> </w:t>
            </w:r>
          </w:p>
        </w:tc>
        <w:tc>
          <w:tcPr>
            <w:tcW w:w="2240" w:type="pct"/>
            <w:hideMark/>
          </w:tcPr>
          <w:p w14:paraId="59EE1937" w14:textId="77777777" w:rsidR="00000000" w:rsidRDefault="0053651E">
            <w:pPr>
              <w:rPr>
                <w:rFonts w:eastAsia="Times New Roman"/>
                <w:sz w:val="20"/>
                <w:szCs w:val="20"/>
              </w:rPr>
            </w:pPr>
            <w:r>
              <w:rPr>
                <w:rFonts w:eastAsia="Times New Roman"/>
                <w:sz w:val="20"/>
                <w:szCs w:val="20"/>
              </w:rPr>
              <w:t> </w:t>
            </w:r>
          </w:p>
        </w:tc>
        <w:tc>
          <w:tcPr>
            <w:tcW w:w="1140" w:type="pct"/>
            <w:hideMark/>
          </w:tcPr>
          <w:p w14:paraId="1E4A2E05" w14:textId="77777777" w:rsidR="00000000" w:rsidRDefault="0053651E">
            <w:pPr>
              <w:rPr>
                <w:rFonts w:eastAsia="Times New Roman"/>
                <w:sz w:val="20"/>
                <w:szCs w:val="20"/>
              </w:rPr>
            </w:pPr>
            <w:r>
              <w:rPr>
                <w:rFonts w:eastAsia="Times New Roman"/>
                <w:sz w:val="20"/>
                <w:szCs w:val="20"/>
              </w:rPr>
              <w:t> </w:t>
            </w:r>
          </w:p>
        </w:tc>
      </w:tr>
      <w:tr w:rsidR="00000000" w14:paraId="37E20B3A" w14:textId="77777777">
        <w:trPr>
          <w:tblCellSpacing w:w="0" w:type="dxa"/>
        </w:trPr>
        <w:tc>
          <w:tcPr>
            <w:tcW w:w="1455" w:type="pct"/>
            <w:tcBorders>
              <w:bottom w:val="single" w:sz="6" w:space="0" w:color="000000"/>
            </w:tcBorders>
            <w:hideMark/>
          </w:tcPr>
          <w:p w14:paraId="503D6602" w14:textId="77777777" w:rsidR="00000000" w:rsidRDefault="0053651E">
            <w:pPr>
              <w:pStyle w:val="a3"/>
              <w:spacing w:before="0" w:beforeAutospacing="0" w:after="0" w:afterAutospacing="0"/>
              <w:ind w:right="240" w:firstLine="360"/>
              <w:rPr>
                <w:sz w:val="20"/>
                <w:szCs w:val="20"/>
              </w:rPr>
            </w:pPr>
            <w:r>
              <w:rPr>
                <w:sz w:val="20"/>
                <w:szCs w:val="20"/>
              </w:rPr>
              <w:t>/s/ Philip Coviello</w:t>
            </w:r>
          </w:p>
        </w:tc>
        <w:tc>
          <w:tcPr>
            <w:tcW w:w="165" w:type="pct"/>
            <w:hideMark/>
          </w:tcPr>
          <w:p w14:paraId="5E7F2EF2" w14:textId="77777777" w:rsidR="00000000" w:rsidRDefault="0053651E">
            <w:pPr>
              <w:rPr>
                <w:rFonts w:eastAsia="Times New Roman"/>
                <w:sz w:val="20"/>
                <w:szCs w:val="20"/>
              </w:rPr>
            </w:pPr>
            <w:r>
              <w:rPr>
                <w:rFonts w:eastAsia="Times New Roman"/>
                <w:sz w:val="20"/>
                <w:szCs w:val="20"/>
              </w:rPr>
              <w:t> </w:t>
            </w:r>
          </w:p>
        </w:tc>
        <w:tc>
          <w:tcPr>
            <w:tcW w:w="2240" w:type="pct"/>
            <w:hideMark/>
          </w:tcPr>
          <w:p w14:paraId="5038DA0C"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3011D9EC"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50DD42AB" w14:textId="77777777">
        <w:trPr>
          <w:tblCellSpacing w:w="0" w:type="dxa"/>
        </w:trPr>
        <w:tc>
          <w:tcPr>
            <w:tcW w:w="1455" w:type="pct"/>
            <w:tcBorders>
              <w:bottom w:val="nil"/>
            </w:tcBorders>
            <w:hideMark/>
          </w:tcPr>
          <w:p w14:paraId="75D57766" w14:textId="77777777" w:rsidR="00000000" w:rsidRDefault="0053651E">
            <w:pPr>
              <w:pStyle w:val="a3"/>
              <w:spacing w:before="0" w:beforeAutospacing="0" w:after="0" w:afterAutospacing="0"/>
              <w:ind w:right="240" w:firstLine="360"/>
              <w:rPr>
                <w:sz w:val="20"/>
                <w:szCs w:val="20"/>
              </w:rPr>
            </w:pPr>
            <w:r>
              <w:rPr>
                <w:sz w:val="20"/>
                <w:szCs w:val="20"/>
              </w:rPr>
              <w:t>Philip Coviello</w:t>
            </w:r>
          </w:p>
        </w:tc>
        <w:tc>
          <w:tcPr>
            <w:tcW w:w="165" w:type="pct"/>
            <w:hideMark/>
          </w:tcPr>
          <w:p w14:paraId="19528143" w14:textId="77777777" w:rsidR="00000000" w:rsidRDefault="0053651E">
            <w:pPr>
              <w:rPr>
                <w:rFonts w:eastAsia="Times New Roman"/>
                <w:sz w:val="20"/>
                <w:szCs w:val="20"/>
              </w:rPr>
            </w:pPr>
            <w:r>
              <w:rPr>
                <w:rFonts w:eastAsia="Times New Roman"/>
                <w:sz w:val="20"/>
                <w:szCs w:val="20"/>
              </w:rPr>
              <w:t> </w:t>
            </w:r>
          </w:p>
        </w:tc>
        <w:tc>
          <w:tcPr>
            <w:tcW w:w="2240" w:type="pct"/>
            <w:hideMark/>
          </w:tcPr>
          <w:p w14:paraId="0D35AEE6" w14:textId="77777777" w:rsidR="00000000" w:rsidRDefault="0053651E">
            <w:pPr>
              <w:rPr>
                <w:rFonts w:eastAsia="Times New Roman"/>
                <w:sz w:val="20"/>
                <w:szCs w:val="20"/>
              </w:rPr>
            </w:pPr>
            <w:r>
              <w:rPr>
                <w:rFonts w:eastAsia="Times New Roman"/>
                <w:sz w:val="20"/>
                <w:szCs w:val="20"/>
              </w:rPr>
              <w:t> </w:t>
            </w:r>
          </w:p>
        </w:tc>
        <w:tc>
          <w:tcPr>
            <w:tcW w:w="1140" w:type="pct"/>
            <w:hideMark/>
          </w:tcPr>
          <w:p w14:paraId="5F8372F0" w14:textId="77777777" w:rsidR="00000000" w:rsidRDefault="0053651E">
            <w:pPr>
              <w:rPr>
                <w:rFonts w:eastAsia="Times New Roman"/>
                <w:sz w:val="20"/>
                <w:szCs w:val="20"/>
              </w:rPr>
            </w:pPr>
            <w:r>
              <w:rPr>
                <w:rFonts w:eastAsia="Times New Roman"/>
                <w:sz w:val="20"/>
                <w:szCs w:val="20"/>
              </w:rPr>
              <w:t> </w:t>
            </w:r>
          </w:p>
        </w:tc>
      </w:tr>
      <w:tr w:rsidR="00000000" w14:paraId="700566F0" w14:textId="77777777">
        <w:trPr>
          <w:tblCellSpacing w:w="0" w:type="dxa"/>
        </w:trPr>
        <w:tc>
          <w:tcPr>
            <w:tcW w:w="1455" w:type="pct"/>
            <w:hideMark/>
          </w:tcPr>
          <w:p w14:paraId="53538006" w14:textId="77777777" w:rsidR="00000000" w:rsidRDefault="0053651E">
            <w:pPr>
              <w:rPr>
                <w:rFonts w:eastAsia="Times New Roman"/>
                <w:sz w:val="20"/>
                <w:szCs w:val="20"/>
              </w:rPr>
            </w:pPr>
            <w:r>
              <w:rPr>
                <w:rFonts w:eastAsia="Times New Roman"/>
                <w:sz w:val="20"/>
                <w:szCs w:val="20"/>
              </w:rPr>
              <w:t> </w:t>
            </w:r>
          </w:p>
        </w:tc>
        <w:tc>
          <w:tcPr>
            <w:tcW w:w="165" w:type="pct"/>
            <w:hideMark/>
          </w:tcPr>
          <w:p w14:paraId="45634138" w14:textId="77777777" w:rsidR="00000000" w:rsidRDefault="0053651E">
            <w:pPr>
              <w:rPr>
                <w:rFonts w:eastAsia="Times New Roman"/>
                <w:sz w:val="20"/>
                <w:szCs w:val="20"/>
              </w:rPr>
            </w:pPr>
            <w:r>
              <w:rPr>
                <w:rFonts w:eastAsia="Times New Roman"/>
                <w:sz w:val="20"/>
                <w:szCs w:val="20"/>
              </w:rPr>
              <w:t> </w:t>
            </w:r>
          </w:p>
        </w:tc>
        <w:tc>
          <w:tcPr>
            <w:tcW w:w="2240" w:type="pct"/>
            <w:hideMark/>
          </w:tcPr>
          <w:p w14:paraId="0BC9CF6C" w14:textId="77777777" w:rsidR="00000000" w:rsidRDefault="0053651E">
            <w:pPr>
              <w:rPr>
                <w:rFonts w:eastAsia="Times New Roman"/>
                <w:sz w:val="20"/>
                <w:szCs w:val="20"/>
              </w:rPr>
            </w:pPr>
            <w:r>
              <w:rPr>
                <w:rFonts w:eastAsia="Times New Roman"/>
                <w:sz w:val="20"/>
                <w:szCs w:val="20"/>
              </w:rPr>
              <w:t> </w:t>
            </w:r>
          </w:p>
        </w:tc>
        <w:tc>
          <w:tcPr>
            <w:tcW w:w="1140" w:type="pct"/>
            <w:hideMark/>
          </w:tcPr>
          <w:p w14:paraId="5827200D" w14:textId="77777777" w:rsidR="00000000" w:rsidRDefault="0053651E">
            <w:pPr>
              <w:rPr>
                <w:rFonts w:eastAsia="Times New Roman"/>
                <w:sz w:val="20"/>
                <w:szCs w:val="20"/>
              </w:rPr>
            </w:pPr>
            <w:r>
              <w:rPr>
                <w:rFonts w:eastAsia="Times New Roman"/>
                <w:sz w:val="20"/>
                <w:szCs w:val="20"/>
              </w:rPr>
              <w:t> </w:t>
            </w:r>
          </w:p>
        </w:tc>
      </w:tr>
      <w:tr w:rsidR="00000000" w14:paraId="3551EC8A" w14:textId="77777777">
        <w:trPr>
          <w:tblCellSpacing w:w="0" w:type="dxa"/>
        </w:trPr>
        <w:tc>
          <w:tcPr>
            <w:tcW w:w="1455" w:type="pct"/>
            <w:tcBorders>
              <w:bottom w:val="single" w:sz="6" w:space="0" w:color="000000"/>
            </w:tcBorders>
            <w:hideMark/>
          </w:tcPr>
          <w:p w14:paraId="1A4B0BB0" w14:textId="77777777" w:rsidR="00000000" w:rsidRDefault="0053651E">
            <w:pPr>
              <w:pStyle w:val="a3"/>
              <w:spacing w:before="0" w:beforeAutospacing="0" w:after="0" w:afterAutospacing="0"/>
              <w:ind w:right="240" w:firstLine="360"/>
              <w:rPr>
                <w:sz w:val="20"/>
                <w:szCs w:val="20"/>
              </w:rPr>
            </w:pPr>
            <w:r>
              <w:rPr>
                <w:sz w:val="20"/>
                <w:szCs w:val="20"/>
              </w:rPr>
              <w:t>/s/ Colombe Nicholas</w:t>
            </w:r>
          </w:p>
        </w:tc>
        <w:tc>
          <w:tcPr>
            <w:tcW w:w="165" w:type="pct"/>
            <w:hideMark/>
          </w:tcPr>
          <w:p w14:paraId="4C0C1436" w14:textId="77777777" w:rsidR="00000000" w:rsidRDefault="0053651E">
            <w:pPr>
              <w:rPr>
                <w:rFonts w:eastAsia="Times New Roman"/>
                <w:sz w:val="20"/>
                <w:szCs w:val="20"/>
              </w:rPr>
            </w:pPr>
            <w:r>
              <w:rPr>
                <w:rFonts w:eastAsia="Times New Roman"/>
                <w:sz w:val="20"/>
                <w:szCs w:val="20"/>
              </w:rPr>
              <w:t> </w:t>
            </w:r>
          </w:p>
        </w:tc>
        <w:tc>
          <w:tcPr>
            <w:tcW w:w="2240" w:type="pct"/>
            <w:hideMark/>
          </w:tcPr>
          <w:p w14:paraId="06703B14"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1A97317B"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76BB543C" w14:textId="77777777">
        <w:trPr>
          <w:tblCellSpacing w:w="0" w:type="dxa"/>
        </w:trPr>
        <w:tc>
          <w:tcPr>
            <w:tcW w:w="1455" w:type="pct"/>
            <w:tcBorders>
              <w:bottom w:val="nil"/>
            </w:tcBorders>
            <w:hideMark/>
          </w:tcPr>
          <w:p w14:paraId="22EC2E18" w14:textId="77777777" w:rsidR="00000000" w:rsidRDefault="0053651E">
            <w:pPr>
              <w:pStyle w:val="a3"/>
              <w:spacing w:before="0" w:beforeAutospacing="0" w:after="0" w:afterAutospacing="0"/>
              <w:ind w:right="240" w:firstLine="360"/>
              <w:rPr>
                <w:sz w:val="20"/>
                <w:szCs w:val="20"/>
              </w:rPr>
            </w:pPr>
            <w:r>
              <w:rPr>
                <w:sz w:val="20"/>
                <w:szCs w:val="20"/>
              </w:rPr>
              <w:t>Colombe Nicholas</w:t>
            </w:r>
          </w:p>
        </w:tc>
        <w:tc>
          <w:tcPr>
            <w:tcW w:w="165" w:type="pct"/>
            <w:hideMark/>
          </w:tcPr>
          <w:p w14:paraId="59B11EE4" w14:textId="77777777" w:rsidR="00000000" w:rsidRDefault="0053651E">
            <w:pPr>
              <w:rPr>
                <w:rFonts w:eastAsia="Times New Roman"/>
                <w:sz w:val="20"/>
                <w:szCs w:val="20"/>
              </w:rPr>
            </w:pPr>
            <w:r>
              <w:rPr>
                <w:rFonts w:eastAsia="Times New Roman"/>
                <w:sz w:val="20"/>
                <w:szCs w:val="20"/>
              </w:rPr>
              <w:t> </w:t>
            </w:r>
          </w:p>
        </w:tc>
        <w:tc>
          <w:tcPr>
            <w:tcW w:w="2240" w:type="pct"/>
            <w:hideMark/>
          </w:tcPr>
          <w:p w14:paraId="7AFAF84D" w14:textId="77777777" w:rsidR="00000000" w:rsidRDefault="0053651E">
            <w:pPr>
              <w:rPr>
                <w:rFonts w:eastAsia="Times New Roman"/>
                <w:sz w:val="20"/>
                <w:szCs w:val="20"/>
              </w:rPr>
            </w:pPr>
            <w:r>
              <w:rPr>
                <w:rFonts w:eastAsia="Times New Roman"/>
                <w:sz w:val="20"/>
                <w:szCs w:val="20"/>
              </w:rPr>
              <w:t> </w:t>
            </w:r>
          </w:p>
        </w:tc>
        <w:tc>
          <w:tcPr>
            <w:tcW w:w="1140" w:type="pct"/>
            <w:hideMark/>
          </w:tcPr>
          <w:p w14:paraId="09149C42" w14:textId="77777777" w:rsidR="00000000" w:rsidRDefault="0053651E">
            <w:pPr>
              <w:rPr>
                <w:rFonts w:eastAsia="Times New Roman"/>
                <w:sz w:val="20"/>
                <w:szCs w:val="20"/>
              </w:rPr>
            </w:pPr>
            <w:r>
              <w:rPr>
                <w:rFonts w:eastAsia="Times New Roman"/>
                <w:sz w:val="20"/>
                <w:szCs w:val="20"/>
              </w:rPr>
              <w:t> </w:t>
            </w:r>
          </w:p>
        </w:tc>
      </w:tr>
      <w:tr w:rsidR="00000000" w14:paraId="7B2DC2D7" w14:textId="77777777">
        <w:trPr>
          <w:tblCellSpacing w:w="0" w:type="dxa"/>
        </w:trPr>
        <w:tc>
          <w:tcPr>
            <w:tcW w:w="1455" w:type="pct"/>
            <w:hideMark/>
          </w:tcPr>
          <w:p w14:paraId="0B9B6DD9" w14:textId="77777777" w:rsidR="00000000" w:rsidRDefault="0053651E">
            <w:pPr>
              <w:rPr>
                <w:rFonts w:eastAsia="Times New Roman"/>
                <w:sz w:val="20"/>
                <w:szCs w:val="20"/>
              </w:rPr>
            </w:pPr>
            <w:r>
              <w:rPr>
                <w:rFonts w:eastAsia="Times New Roman"/>
                <w:sz w:val="20"/>
                <w:szCs w:val="20"/>
              </w:rPr>
              <w:t> </w:t>
            </w:r>
          </w:p>
        </w:tc>
        <w:tc>
          <w:tcPr>
            <w:tcW w:w="165" w:type="pct"/>
            <w:hideMark/>
          </w:tcPr>
          <w:p w14:paraId="64D1CE9C" w14:textId="77777777" w:rsidR="00000000" w:rsidRDefault="0053651E">
            <w:pPr>
              <w:rPr>
                <w:rFonts w:eastAsia="Times New Roman"/>
                <w:sz w:val="20"/>
                <w:szCs w:val="20"/>
              </w:rPr>
            </w:pPr>
            <w:r>
              <w:rPr>
                <w:rFonts w:eastAsia="Times New Roman"/>
                <w:sz w:val="20"/>
                <w:szCs w:val="20"/>
              </w:rPr>
              <w:t> </w:t>
            </w:r>
          </w:p>
        </w:tc>
        <w:tc>
          <w:tcPr>
            <w:tcW w:w="2240" w:type="pct"/>
            <w:hideMark/>
          </w:tcPr>
          <w:p w14:paraId="5FF01A06" w14:textId="77777777" w:rsidR="00000000" w:rsidRDefault="0053651E">
            <w:pPr>
              <w:rPr>
                <w:rFonts w:eastAsia="Times New Roman"/>
                <w:sz w:val="20"/>
                <w:szCs w:val="20"/>
              </w:rPr>
            </w:pPr>
            <w:r>
              <w:rPr>
                <w:rFonts w:eastAsia="Times New Roman"/>
                <w:sz w:val="20"/>
                <w:szCs w:val="20"/>
              </w:rPr>
              <w:t> </w:t>
            </w:r>
          </w:p>
        </w:tc>
        <w:tc>
          <w:tcPr>
            <w:tcW w:w="1140" w:type="pct"/>
            <w:hideMark/>
          </w:tcPr>
          <w:p w14:paraId="192352D7" w14:textId="77777777" w:rsidR="00000000" w:rsidRDefault="0053651E">
            <w:pPr>
              <w:rPr>
                <w:rFonts w:eastAsia="Times New Roman"/>
                <w:sz w:val="20"/>
                <w:szCs w:val="20"/>
              </w:rPr>
            </w:pPr>
            <w:r>
              <w:rPr>
                <w:rFonts w:eastAsia="Times New Roman"/>
                <w:sz w:val="20"/>
                <w:szCs w:val="20"/>
              </w:rPr>
              <w:t> </w:t>
            </w:r>
          </w:p>
        </w:tc>
      </w:tr>
      <w:tr w:rsidR="00000000" w14:paraId="4A52CE54" w14:textId="77777777">
        <w:trPr>
          <w:tblCellSpacing w:w="0" w:type="dxa"/>
        </w:trPr>
        <w:tc>
          <w:tcPr>
            <w:tcW w:w="1455" w:type="pct"/>
            <w:tcBorders>
              <w:bottom w:val="single" w:sz="6" w:space="0" w:color="000000"/>
            </w:tcBorders>
            <w:hideMark/>
          </w:tcPr>
          <w:p w14:paraId="2598AFE9" w14:textId="77777777" w:rsidR="00000000" w:rsidRDefault="0053651E">
            <w:pPr>
              <w:pStyle w:val="a3"/>
              <w:spacing w:before="0" w:beforeAutospacing="0" w:after="0" w:afterAutospacing="0"/>
              <w:ind w:right="240" w:firstLine="360"/>
              <w:rPr>
                <w:sz w:val="20"/>
                <w:szCs w:val="20"/>
              </w:rPr>
            </w:pPr>
            <w:r>
              <w:rPr>
                <w:sz w:val="20"/>
                <w:szCs w:val="20"/>
              </w:rPr>
              <w:t>/s/ Mary Hogan Preusse</w:t>
            </w:r>
          </w:p>
        </w:tc>
        <w:tc>
          <w:tcPr>
            <w:tcW w:w="165" w:type="pct"/>
            <w:hideMark/>
          </w:tcPr>
          <w:p w14:paraId="6DA15695" w14:textId="77777777" w:rsidR="00000000" w:rsidRDefault="0053651E">
            <w:pPr>
              <w:rPr>
                <w:rFonts w:eastAsia="Times New Roman"/>
                <w:sz w:val="20"/>
                <w:szCs w:val="20"/>
              </w:rPr>
            </w:pPr>
            <w:r>
              <w:rPr>
                <w:rFonts w:eastAsia="Times New Roman"/>
                <w:sz w:val="20"/>
                <w:szCs w:val="20"/>
              </w:rPr>
              <w:t> </w:t>
            </w:r>
          </w:p>
        </w:tc>
        <w:tc>
          <w:tcPr>
            <w:tcW w:w="2240" w:type="pct"/>
            <w:hideMark/>
          </w:tcPr>
          <w:p w14:paraId="61838345"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0D4FD2B3"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42410404" w14:textId="77777777">
        <w:trPr>
          <w:tblCellSpacing w:w="0" w:type="dxa"/>
        </w:trPr>
        <w:tc>
          <w:tcPr>
            <w:tcW w:w="1455" w:type="pct"/>
            <w:tcBorders>
              <w:bottom w:val="nil"/>
            </w:tcBorders>
            <w:hideMark/>
          </w:tcPr>
          <w:p w14:paraId="65C25A49" w14:textId="77777777" w:rsidR="00000000" w:rsidRDefault="0053651E">
            <w:pPr>
              <w:pStyle w:val="a3"/>
              <w:spacing w:before="0" w:beforeAutospacing="0" w:after="0" w:afterAutospacing="0"/>
              <w:ind w:right="240" w:firstLine="360"/>
              <w:rPr>
                <w:sz w:val="20"/>
                <w:szCs w:val="20"/>
              </w:rPr>
            </w:pPr>
            <w:r>
              <w:rPr>
                <w:sz w:val="20"/>
                <w:szCs w:val="20"/>
              </w:rPr>
              <w:t>Mary Hogan Preusse</w:t>
            </w:r>
          </w:p>
        </w:tc>
        <w:tc>
          <w:tcPr>
            <w:tcW w:w="165" w:type="pct"/>
            <w:hideMark/>
          </w:tcPr>
          <w:p w14:paraId="6C0E8054" w14:textId="77777777" w:rsidR="00000000" w:rsidRDefault="0053651E">
            <w:pPr>
              <w:rPr>
                <w:rFonts w:eastAsia="Times New Roman"/>
                <w:sz w:val="20"/>
                <w:szCs w:val="20"/>
              </w:rPr>
            </w:pPr>
            <w:r>
              <w:rPr>
                <w:rFonts w:eastAsia="Times New Roman"/>
                <w:sz w:val="20"/>
                <w:szCs w:val="20"/>
              </w:rPr>
              <w:t> </w:t>
            </w:r>
          </w:p>
        </w:tc>
        <w:tc>
          <w:tcPr>
            <w:tcW w:w="2240" w:type="pct"/>
            <w:hideMark/>
          </w:tcPr>
          <w:p w14:paraId="035E003E" w14:textId="77777777" w:rsidR="00000000" w:rsidRDefault="0053651E">
            <w:pPr>
              <w:rPr>
                <w:rFonts w:eastAsia="Times New Roman"/>
                <w:sz w:val="20"/>
                <w:szCs w:val="20"/>
              </w:rPr>
            </w:pPr>
            <w:r>
              <w:rPr>
                <w:rFonts w:eastAsia="Times New Roman"/>
                <w:sz w:val="20"/>
                <w:szCs w:val="20"/>
              </w:rPr>
              <w:t> </w:t>
            </w:r>
          </w:p>
        </w:tc>
        <w:tc>
          <w:tcPr>
            <w:tcW w:w="1140" w:type="pct"/>
            <w:hideMark/>
          </w:tcPr>
          <w:p w14:paraId="483C0963" w14:textId="77777777" w:rsidR="00000000" w:rsidRDefault="0053651E">
            <w:pPr>
              <w:rPr>
                <w:rFonts w:eastAsia="Times New Roman"/>
                <w:sz w:val="20"/>
                <w:szCs w:val="20"/>
              </w:rPr>
            </w:pPr>
            <w:r>
              <w:rPr>
                <w:rFonts w:eastAsia="Times New Roman"/>
                <w:sz w:val="20"/>
                <w:szCs w:val="20"/>
              </w:rPr>
              <w:t> </w:t>
            </w:r>
          </w:p>
        </w:tc>
      </w:tr>
      <w:tr w:rsidR="00000000" w14:paraId="0263CDAC" w14:textId="77777777">
        <w:trPr>
          <w:tblCellSpacing w:w="0" w:type="dxa"/>
        </w:trPr>
        <w:tc>
          <w:tcPr>
            <w:tcW w:w="1455" w:type="pct"/>
            <w:hideMark/>
          </w:tcPr>
          <w:p w14:paraId="5343DA41" w14:textId="77777777" w:rsidR="00000000" w:rsidRDefault="0053651E">
            <w:pPr>
              <w:rPr>
                <w:rFonts w:eastAsia="Times New Roman"/>
                <w:sz w:val="20"/>
                <w:szCs w:val="20"/>
              </w:rPr>
            </w:pPr>
            <w:r>
              <w:rPr>
                <w:rFonts w:eastAsia="Times New Roman"/>
                <w:sz w:val="20"/>
                <w:szCs w:val="20"/>
              </w:rPr>
              <w:t> </w:t>
            </w:r>
          </w:p>
        </w:tc>
        <w:tc>
          <w:tcPr>
            <w:tcW w:w="165" w:type="pct"/>
            <w:hideMark/>
          </w:tcPr>
          <w:p w14:paraId="6D18D06B" w14:textId="77777777" w:rsidR="00000000" w:rsidRDefault="0053651E">
            <w:pPr>
              <w:rPr>
                <w:rFonts w:eastAsia="Times New Roman"/>
                <w:sz w:val="20"/>
                <w:szCs w:val="20"/>
              </w:rPr>
            </w:pPr>
            <w:r>
              <w:rPr>
                <w:rFonts w:eastAsia="Times New Roman"/>
                <w:sz w:val="20"/>
                <w:szCs w:val="20"/>
              </w:rPr>
              <w:t> </w:t>
            </w:r>
          </w:p>
        </w:tc>
        <w:tc>
          <w:tcPr>
            <w:tcW w:w="2240" w:type="pct"/>
            <w:hideMark/>
          </w:tcPr>
          <w:p w14:paraId="6C008CC8" w14:textId="77777777" w:rsidR="00000000" w:rsidRDefault="0053651E">
            <w:pPr>
              <w:rPr>
                <w:rFonts w:eastAsia="Times New Roman"/>
                <w:sz w:val="20"/>
                <w:szCs w:val="20"/>
              </w:rPr>
            </w:pPr>
            <w:r>
              <w:rPr>
                <w:rFonts w:eastAsia="Times New Roman"/>
                <w:sz w:val="20"/>
                <w:szCs w:val="20"/>
              </w:rPr>
              <w:t> </w:t>
            </w:r>
          </w:p>
        </w:tc>
        <w:tc>
          <w:tcPr>
            <w:tcW w:w="1140" w:type="pct"/>
            <w:hideMark/>
          </w:tcPr>
          <w:p w14:paraId="6C25D4DB" w14:textId="77777777" w:rsidR="00000000" w:rsidRDefault="0053651E">
            <w:pPr>
              <w:rPr>
                <w:rFonts w:eastAsia="Times New Roman"/>
                <w:sz w:val="20"/>
                <w:szCs w:val="20"/>
              </w:rPr>
            </w:pPr>
            <w:r>
              <w:rPr>
                <w:rFonts w:eastAsia="Times New Roman"/>
                <w:sz w:val="20"/>
                <w:szCs w:val="20"/>
              </w:rPr>
              <w:t> </w:t>
            </w:r>
          </w:p>
        </w:tc>
      </w:tr>
      <w:tr w:rsidR="00000000" w14:paraId="6C3BA870" w14:textId="77777777">
        <w:trPr>
          <w:tblCellSpacing w:w="0" w:type="dxa"/>
        </w:trPr>
        <w:tc>
          <w:tcPr>
            <w:tcW w:w="1455" w:type="pct"/>
            <w:tcBorders>
              <w:bottom w:val="single" w:sz="6" w:space="0" w:color="000000"/>
            </w:tcBorders>
            <w:hideMark/>
          </w:tcPr>
          <w:p w14:paraId="49D5F98E" w14:textId="77777777" w:rsidR="00000000" w:rsidRDefault="0053651E">
            <w:pPr>
              <w:pStyle w:val="a3"/>
              <w:spacing w:before="0" w:beforeAutospacing="0" w:after="0" w:afterAutospacing="0"/>
              <w:ind w:right="240" w:firstLine="360"/>
              <w:rPr>
                <w:sz w:val="20"/>
                <w:szCs w:val="20"/>
              </w:rPr>
            </w:pPr>
            <w:r>
              <w:rPr>
                <w:sz w:val="20"/>
                <w:szCs w:val="20"/>
              </w:rPr>
              <w:t>/s/ Valerie Richardson</w:t>
            </w:r>
          </w:p>
        </w:tc>
        <w:tc>
          <w:tcPr>
            <w:tcW w:w="165" w:type="pct"/>
            <w:hideMark/>
          </w:tcPr>
          <w:p w14:paraId="30D38DA9" w14:textId="77777777" w:rsidR="00000000" w:rsidRDefault="0053651E">
            <w:pPr>
              <w:rPr>
                <w:rFonts w:eastAsia="Times New Roman"/>
                <w:sz w:val="20"/>
                <w:szCs w:val="20"/>
              </w:rPr>
            </w:pPr>
            <w:r>
              <w:rPr>
                <w:rFonts w:eastAsia="Times New Roman"/>
                <w:sz w:val="20"/>
                <w:szCs w:val="20"/>
              </w:rPr>
              <w:t> </w:t>
            </w:r>
          </w:p>
        </w:tc>
        <w:tc>
          <w:tcPr>
            <w:tcW w:w="2240" w:type="pct"/>
            <w:hideMark/>
          </w:tcPr>
          <w:p w14:paraId="3EEE6B67" w14:textId="77777777" w:rsidR="00000000" w:rsidRDefault="0053651E">
            <w:pPr>
              <w:pStyle w:val="a3"/>
              <w:spacing w:before="0" w:beforeAutospacing="0" w:after="0" w:afterAutospacing="0"/>
              <w:ind w:right="240" w:firstLine="360"/>
              <w:rPr>
                <w:sz w:val="20"/>
                <w:szCs w:val="20"/>
              </w:rPr>
            </w:pPr>
            <w:r>
              <w:rPr>
                <w:sz w:val="20"/>
                <w:szCs w:val="20"/>
              </w:rPr>
              <w:t>Director</w:t>
            </w:r>
          </w:p>
        </w:tc>
        <w:tc>
          <w:tcPr>
            <w:tcW w:w="1140" w:type="pct"/>
            <w:hideMark/>
          </w:tcPr>
          <w:p w14:paraId="5B9B348B"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0D91004E" w14:textId="77777777">
        <w:trPr>
          <w:tblCellSpacing w:w="0" w:type="dxa"/>
        </w:trPr>
        <w:tc>
          <w:tcPr>
            <w:tcW w:w="1455" w:type="pct"/>
            <w:hideMark/>
          </w:tcPr>
          <w:p w14:paraId="47B9B8C3" w14:textId="77777777" w:rsidR="00000000" w:rsidRDefault="0053651E">
            <w:pPr>
              <w:pStyle w:val="a3"/>
              <w:spacing w:before="0" w:beforeAutospacing="0" w:after="0" w:afterAutospacing="0"/>
              <w:ind w:right="240" w:firstLine="360"/>
              <w:rPr>
                <w:sz w:val="20"/>
                <w:szCs w:val="20"/>
              </w:rPr>
            </w:pPr>
            <w:r>
              <w:rPr>
                <w:sz w:val="20"/>
                <w:szCs w:val="20"/>
              </w:rPr>
              <w:t>Valerie Richardson</w:t>
            </w:r>
          </w:p>
        </w:tc>
        <w:tc>
          <w:tcPr>
            <w:tcW w:w="165" w:type="pct"/>
            <w:hideMark/>
          </w:tcPr>
          <w:p w14:paraId="3AF1F638" w14:textId="77777777" w:rsidR="00000000" w:rsidRDefault="0053651E">
            <w:pPr>
              <w:rPr>
                <w:rFonts w:eastAsia="Times New Roman"/>
                <w:sz w:val="20"/>
                <w:szCs w:val="20"/>
              </w:rPr>
            </w:pPr>
            <w:r>
              <w:rPr>
                <w:rFonts w:eastAsia="Times New Roman"/>
                <w:sz w:val="20"/>
                <w:szCs w:val="20"/>
              </w:rPr>
              <w:t> </w:t>
            </w:r>
          </w:p>
        </w:tc>
        <w:tc>
          <w:tcPr>
            <w:tcW w:w="2240" w:type="pct"/>
            <w:hideMark/>
          </w:tcPr>
          <w:p w14:paraId="6F7F92F7" w14:textId="77777777" w:rsidR="00000000" w:rsidRDefault="0053651E">
            <w:pPr>
              <w:rPr>
                <w:rFonts w:eastAsia="Times New Roman"/>
                <w:sz w:val="20"/>
                <w:szCs w:val="20"/>
              </w:rPr>
            </w:pPr>
            <w:r>
              <w:rPr>
                <w:rFonts w:eastAsia="Times New Roman"/>
                <w:sz w:val="20"/>
                <w:szCs w:val="20"/>
              </w:rPr>
              <w:t> </w:t>
            </w:r>
          </w:p>
        </w:tc>
        <w:tc>
          <w:tcPr>
            <w:tcW w:w="1140" w:type="pct"/>
            <w:hideMark/>
          </w:tcPr>
          <w:p w14:paraId="0C35F8A8" w14:textId="77777777" w:rsidR="00000000" w:rsidRDefault="0053651E">
            <w:pPr>
              <w:rPr>
                <w:rFonts w:eastAsia="Times New Roman"/>
                <w:sz w:val="20"/>
                <w:szCs w:val="20"/>
              </w:rPr>
            </w:pPr>
            <w:r>
              <w:rPr>
                <w:rFonts w:eastAsia="Times New Roman"/>
                <w:sz w:val="20"/>
                <w:szCs w:val="20"/>
              </w:rPr>
              <w:t> </w:t>
            </w:r>
          </w:p>
        </w:tc>
      </w:tr>
      <w:tr w:rsidR="00000000" w14:paraId="36F8ABA0" w14:textId="77777777">
        <w:trPr>
          <w:tblCellSpacing w:w="0" w:type="dxa"/>
        </w:trPr>
        <w:tc>
          <w:tcPr>
            <w:tcW w:w="1455" w:type="pct"/>
            <w:hideMark/>
          </w:tcPr>
          <w:p w14:paraId="0EC55774" w14:textId="77777777" w:rsidR="00000000" w:rsidRDefault="0053651E">
            <w:pPr>
              <w:rPr>
                <w:rFonts w:eastAsia="Times New Roman"/>
                <w:sz w:val="20"/>
                <w:szCs w:val="20"/>
              </w:rPr>
            </w:pPr>
            <w:r>
              <w:rPr>
                <w:rFonts w:eastAsia="Times New Roman"/>
                <w:sz w:val="20"/>
                <w:szCs w:val="20"/>
              </w:rPr>
              <w:t> </w:t>
            </w:r>
          </w:p>
        </w:tc>
        <w:tc>
          <w:tcPr>
            <w:tcW w:w="165" w:type="pct"/>
            <w:hideMark/>
          </w:tcPr>
          <w:p w14:paraId="43B8A993" w14:textId="77777777" w:rsidR="00000000" w:rsidRDefault="0053651E">
            <w:pPr>
              <w:rPr>
                <w:rFonts w:eastAsia="Times New Roman"/>
                <w:sz w:val="20"/>
                <w:szCs w:val="20"/>
              </w:rPr>
            </w:pPr>
            <w:r>
              <w:rPr>
                <w:rFonts w:eastAsia="Times New Roman"/>
                <w:sz w:val="20"/>
                <w:szCs w:val="20"/>
              </w:rPr>
              <w:t> </w:t>
            </w:r>
          </w:p>
        </w:tc>
        <w:tc>
          <w:tcPr>
            <w:tcW w:w="2240" w:type="pct"/>
            <w:hideMark/>
          </w:tcPr>
          <w:p w14:paraId="1E4E3B3B" w14:textId="77777777" w:rsidR="00000000" w:rsidRDefault="0053651E">
            <w:pPr>
              <w:rPr>
                <w:rFonts w:eastAsia="Times New Roman"/>
                <w:sz w:val="20"/>
                <w:szCs w:val="20"/>
              </w:rPr>
            </w:pPr>
            <w:r>
              <w:rPr>
                <w:rFonts w:eastAsia="Times New Roman"/>
                <w:sz w:val="20"/>
                <w:szCs w:val="20"/>
              </w:rPr>
              <w:t> </w:t>
            </w:r>
          </w:p>
        </w:tc>
        <w:tc>
          <w:tcPr>
            <w:tcW w:w="1140" w:type="pct"/>
            <w:hideMark/>
          </w:tcPr>
          <w:p w14:paraId="3A42FD35" w14:textId="77777777" w:rsidR="00000000" w:rsidRDefault="0053651E">
            <w:pPr>
              <w:rPr>
                <w:rFonts w:eastAsia="Times New Roman"/>
                <w:sz w:val="20"/>
                <w:szCs w:val="20"/>
              </w:rPr>
            </w:pPr>
            <w:r>
              <w:rPr>
                <w:rFonts w:eastAsia="Times New Roman"/>
                <w:sz w:val="20"/>
                <w:szCs w:val="20"/>
              </w:rPr>
              <w:t> </w:t>
            </w:r>
          </w:p>
        </w:tc>
      </w:tr>
      <w:tr w:rsidR="00000000" w14:paraId="7108C6CB" w14:textId="77777777">
        <w:trPr>
          <w:tblCellSpacing w:w="0" w:type="dxa"/>
        </w:trPr>
        <w:tc>
          <w:tcPr>
            <w:tcW w:w="1455" w:type="pct"/>
            <w:tcBorders>
              <w:bottom w:val="single" w:sz="6" w:space="0" w:color="000000"/>
            </w:tcBorders>
            <w:hideMark/>
          </w:tcPr>
          <w:p w14:paraId="7CDCFD00" w14:textId="77777777" w:rsidR="00000000" w:rsidRDefault="0053651E">
            <w:pPr>
              <w:pStyle w:val="a3"/>
              <w:spacing w:before="0" w:beforeAutospacing="0" w:after="0" w:afterAutospacing="0"/>
              <w:ind w:right="240" w:firstLine="360"/>
              <w:rPr>
                <w:sz w:val="20"/>
                <w:szCs w:val="20"/>
              </w:rPr>
            </w:pPr>
            <w:r>
              <w:rPr>
                <w:sz w:val="20"/>
                <w:szCs w:val="20"/>
              </w:rPr>
              <w:t>/s/ Glenn G. Cohen</w:t>
            </w:r>
          </w:p>
        </w:tc>
        <w:tc>
          <w:tcPr>
            <w:tcW w:w="165" w:type="pct"/>
            <w:hideMark/>
          </w:tcPr>
          <w:p w14:paraId="44E2EE13" w14:textId="77777777" w:rsidR="00000000" w:rsidRDefault="0053651E">
            <w:pPr>
              <w:rPr>
                <w:rFonts w:eastAsia="Times New Roman"/>
                <w:sz w:val="20"/>
                <w:szCs w:val="20"/>
              </w:rPr>
            </w:pPr>
            <w:r>
              <w:rPr>
                <w:rFonts w:eastAsia="Times New Roman"/>
                <w:sz w:val="20"/>
                <w:szCs w:val="20"/>
              </w:rPr>
              <w:t> </w:t>
            </w:r>
          </w:p>
        </w:tc>
        <w:tc>
          <w:tcPr>
            <w:tcW w:w="2240" w:type="pct"/>
            <w:hideMark/>
          </w:tcPr>
          <w:p w14:paraId="50D41928" w14:textId="77777777" w:rsidR="00000000" w:rsidRDefault="0053651E">
            <w:pPr>
              <w:pStyle w:val="a3"/>
              <w:spacing w:before="0" w:beforeAutospacing="0" w:after="0" w:afterAutospacing="0"/>
              <w:ind w:right="240" w:firstLine="360"/>
              <w:rPr>
                <w:sz w:val="20"/>
                <w:szCs w:val="20"/>
              </w:rPr>
            </w:pPr>
            <w:r>
              <w:rPr>
                <w:sz w:val="20"/>
                <w:szCs w:val="20"/>
              </w:rPr>
              <w:t>Executive Vice President -</w:t>
            </w:r>
          </w:p>
        </w:tc>
        <w:tc>
          <w:tcPr>
            <w:tcW w:w="1140" w:type="pct"/>
            <w:hideMark/>
          </w:tcPr>
          <w:p w14:paraId="73D5ED98"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3C613873" w14:textId="77777777">
        <w:trPr>
          <w:tblCellSpacing w:w="0" w:type="dxa"/>
        </w:trPr>
        <w:tc>
          <w:tcPr>
            <w:tcW w:w="1455" w:type="pct"/>
            <w:tcBorders>
              <w:bottom w:val="nil"/>
            </w:tcBorders>
            <w:hideMark/>
          </w:tcPr>
          <w:p w14:paraId="78BF4D35" w14:textId="77777777" w:rsidR="00000000" w:rsidRDefault="0053651E">
            <w:pPr>
              <w:pStyle w:val="a3"/>
              <w:spacing w:before="0" w:beforeAutospacing="0" w:after="0" w:afterAutospacing="0"/>
              <w:ind w:right="240" w:firstLine="360"/>
              <w:rPr>
                <w:sz w:val="20"/>
                <w:szCs w:val="20"/>
              </w:rPr>
            </w:pPr>
            <w:r>
              <w:rPr>
                <w:sz w:val="20"/>
                <w:szCs w:val="20"/>
              </w:rPr>
              <w:t>Glenn G. Cohen</w:t>
            </w:r>
          </w:p>
        </w:tc>
        <w:tc>
          <w:tcPr>
            <w:tcW w:w="165" w:type="pct"/>
            <w:hideMark/>
          </w:tcPr>
          <w:p w14:paraId="5E01E702" w14:textId="77777777" w:rsidR="00000000" w:rsidRDefault="0053651E">
            <w:pPr>
              <w:rPr>
                <w:rFonts w:eastAsia="Times New Roman"/>
                <w:sz w:val="20"/>
                <w:szCs w:val="20"/>
              </w:rPr>
            </w:pPr>
            <w:r>
              <w:rPr>
                <w:rFonts w:eastAsia="Times New Roman"/>
                <w:sz w:val="20"/>
                <w:szCs w:val="20"/>
              </w:rPr>
              <w:t> </w:t>
            </w:r>
          </w:p>
        </w:tc>
        <w:tc>
          <w:tcPr>
            <w:tcW w:w="2240" w:type="pct"/>
            <w:hideMark/>
          </w:tcPr>
          <w:p w14:paraId="0A082234" w14:textId="77777777" w:rsidR="00000000" w:rsidRDefault="0053651E">
            <w:pPr>
              <w:pStyle w:val="a3"/>
              <w:spacing w:before="0" w:beforeAutospacing="0" w:after="0" w:afterAutospacing="0"/>
              <w:ind w:right="240" w:firstLine="360"/>
              <w:rPr>
                <w:sz w:val="20"/>
                <w:szCs w:val="20"/>
              </w:rPr>
            </w:pPr>
            <w:r>
              <w:rPr>
                <w:sz w:val="20"/>
                <w:szCs w:val="20"/>
              </w:rPr>
              <w:t>Chief Financial Officer and Treasurer</w:t>
            </w:r>
          </w:p>
        </w:tc>
        <w:tc>
          <w:tcPr>
            <w:tcW w:w="1140" w:type="pct"/>
            <w:hideMark/>
          </w:tcPr>
          <w:p w14:paraId="7514DCA2" w14:textId="77777777" w:rsidR="00000000" w:rsidRDefault="0053651E">
            <w:pPr>
              <w:rPr>
                <w:rFonts w:eastAsia="Times New Roman"/>
                <w:sz w:val="20"/>
                <w:szCs w:val="20"/>
              </w:rPr>
            </w:pPr>
            <w:r>
              <w:rPr>
                <w:rFonts w:eastAsia="Times New Roman"/>
                <w:sz w:val="20"/>
                <w:szCs w:val="20"/>
              </w:rPr>
              <w:t> </w:t>
            </w:r>
          </w:p>
        </w:tc>
      </w:tr>
      <w:tr w:rsidR="00000000" w14:paraId="264AFD62" w14:textId="77777777">
        <w:trPr>
          <w:tblCellSpacing w:w="0" w:type="dxa"/>
        </w:trPr>
        <w:tc>
          <w:tcPr>
            <w:tcW w:w="1455" w:type="pct"/>
            <w:hideMark/>
          </w:tcPr>
          <w:p w14:paraId="78BF6885" w14:textId="77777777" w:rsidR="00000000" w:rsidRDefault="0053651E">
            <w:pPr>
              <w:rPr>
                <w:rFonts w:eastAsia="Times New Roman"/>
                <w:sz w:val="20"/>
                <w:szCs w:val="20"/>
              </w:rPr>
            </w:pPr>
            <w:r>
              <w:rPr>
                <w:rFonts w:eastAsia="Times New Roman"/>
                <w:sz w:val="20"/>
                <w:szCs w:val="20"/>
              </w:rPr>
              <w:t> </w:t>
            </w:r>
          </w:p>
        </w:tc>
        <w:tc>
          <w:tcPr>
            <w:tcW w:w="165" w:type="pct"/>
            <w:hideMark/>
          </w:tcPr>
          <w:p w14:paraId="6219A0DD" w14:textId="77777777" w:rsidR="00000000" w:rsidRDefault="0053651E">
            <w:pPr>
              <w:rPr>
                <w:rFonts w:eastAsia="Times New Roman"/>
                <w:sz w:val="20"/>
                <w:szCs w:val="20"/>
              </w:rPr>
            </w:pPr>
            <w:r>
              <w:rPr>
                <w:rFonts w:eastAsia="Times New Roman"/>
                <w:sz w:val="20"/>
                <w:szCs w:val="20"/>
              </w:rPr>
              <w:t> </w:t>
            </w:r>
          </w:p>
        </w:tc>
        <w:tc>
          <w:tcPr>
            <w:tcW w:w="2240" w:type="pct"/>
            <w:hideMark/>
          </w:tcPr>
          <w:p w14:paraId="0C3D2384" w14:textId="77777777" w:rsidR="00000000" w:rsidRDefault="0053651E">
            <w:pPr>
              <w:rPr>
                <w:rFonts w:eastAsia="Times New Roman"/>
                <w:sz w:val="20"/>
                <w:szCs w:val="20"/>
              </w:rPr>
            </w:pPr>
            <w:r>
              <w:rPr>
                <w:rFonts w:eastAsia="Times New Roman"/>
                <w:sz w:val="20"/>
                <w:szCs w:val="20"/>
              </w:rPr>
              <w:t> </w:t>
            </w:r>
          </w:p>
        </w:tc>
        <w:tc>
          <w:tcPr>
            <w:tcW w:w="1140" w:type="pct"/>
            <w:hideMark/>
          </w:tcPr>
          <w:p w14:paraId="208841A4" w14:textId="77777777" w:rsidR="00000000" w:rsidRDefault="0053651E">
            <w:pPr>
              <w:rPr>
                <w:rFonts w:eastAsia="Times New Roman"/>
                <w:sz w:val="20"/>
                <w:szCs w:val="20"/>
              </w:rPr>
            </w:pPr>
            <w:r>
              <w:rPr>
                <w:rFonts w:eastAsia="Times New Roman"/>
                <w:sz w:val="20"/>
                <w:szCs w:val="20"/>
              </w:rPr>
              <w:t> </w:t>
            </w:r>
          </w:p>
        </w:tc>
      </w:tr>
      <w:tr w:rsidR="00000000" w14:paraId="76B3B457" w14:textId="77777777">
        <w:trPr>
          <w:tblCellSpacing w:w="0" w:type="dxa"/>
        </w:trPr>
        <w:tc>
          <w:tcPr>
            <w:tcW w:w="1455" w:type="pct"/>
            <w:tcBorders>
              <w:bottom w:val="single" w:sz="6" w:space="0" w:color="000000"/>
            </w:tcBorders>
            <w:hideMark/>
          </w:tcPr>
          <w:p w14:paraId="25E7530C" w14:textId="77777777" w:rsidR="00000000" w:rsidRDefault="0053651E">
            <w:pPr>
              <w:pStyle w:val="a3"/>
              <w:spacing w:before="0" w:beforeAutospacing="0" w:after="0" w:afterAutospacing="0"/>
              <w:ind w:right="240" w:firstLine="360"/>
              <w:rPr>
                <w:sz w:val="20"/>
                <w:szCs w:val="20"/>
              </w:rPr>
            </w:pPr>
            <w:r>
              <w:rPr>
                <w:sz w:val="20"/>
                <w:szCs w:val="20"/>
              </w:rPr>
              <w:t>/s/ Paul Westbrook</w:t>
            </w:r>
          </w:p>
        </w:tc>
        <w:tc>
          <w:tcPr>
            <w:tcW w:w="165" w:type="pct"/>
            <w:hideMark/>
          </w:tcPr>
          <w:p w14:paraId="3669C0E9" w14:textId="77777777" w:rsidR="00000000" w:rsidRDefault="0053651E">
            <w:pPr>
              <w:rPr>
                <w:rFonts w:eastAsia="Times New Roman"/>
                <w:sz w:val="20"/>
                <w:szCs w:val="20"/>
              </w:rPr>
            </w:pPr>
            <w:r>
              <w:rPr>
                <w:rFonts w:eastAsia="Times New Roman"/>
                <w:sz w:val="20"/>
                <w:szCs w:val="20"/>
              </w:rPr>
              <w:t> </w:t>
            </w:r>
          </w:p>
        </w:tc>
        <w:tc>
          <w:tcPr>
            <w:tcW w:w="2240" w:type="pct"/>
            <w:hideMark/>
          </w:tcPr>
          <w:p w14:paraId="121A8469" w14:textId="77777777" w:rsidR="00000000" w:rsidRDefault="0053651E">
            <w:pPr>
              <w:pStyle w:val="a3"/>
              <w:spacing w:before="0" w:beforeAutospacing="0" w:after="0" w:afterAutospacing="0"/>
              <w:ind w:right="240" w:firstLine="360"/>
              <w:rPr>
                <w:sz w:val="20"/>
                <w:szCs w:val="20"/>
              </w:rPr>
            </w:pPr>
            <w:r>
              <w:rPr>
                <w:sz w:val="20"/>
                <w:szCs w:val="20"/>
              </w:rPr>
              <w:t>Vice President -</w:t>
            </w:r>
          </w:p>
        </w:tc>
        <w:tc>
          <w:tcPr>
            <w:tcW w:w="1140" w:type="pct"/>
            <w:hideMark/>
          </w:tcPr>
          <w:p w14:paraId="1E567ADA" w14:textId="77777777" w:rsidR="00000000" w:rsidRDefault="0053651E">
            <w:pPr>
              <w:pStyle w:val="a3"/>
              <w:spacing w:before="0" w:beforeAutospacing="0" w:after="0" w:afterAutospacing="0"/>
              <w:ind w:firstLine="360"/>
              <w:rPr>
                <w:sz w:val="20"/>
                <w:szCs w:val="20"/>
              </w:rPr>
            </w:pPr>
            <w:r>
              <w:rPr>
                <w:sz w:val="20"/>
                <w:szCs w:val="20"/>
              </w:rPr>
              <w:t>February 25, 2020</w:t>
            </w:r>
          </w:p>
        </w:tc>
      </w:tr>
      <w:tr w:rsidR="00000000" w14:paraId="5741B299" w14:textId="77777777">
        <w:trPr>
          <w:tblCellSpacing w:w="0" w:type="dxa"/>
        </w:trPr>
        <w:tc>
          <w:tcPr>
            <w:tcW w:w="1455" w:type="pct"/>
            <w:tcBorders>
              <w:bottom w:val="nil"/>
            </w:tcBorders>
            <w:hideMark/>
          </w:tcPr>
          <w:p w14:paraId="671A61D1" w14:textId="77777777" w:rsidR="00000000" w:rsidRDefault="0053651E">
            <w:pPr>
              <w:pStyle w:val="a3"/>
              <w:spacing w:before="0" w:beforeAutospacing="0" w:after="0" w:afterAutospacing="0"/>
              <w:ind w:right="240" w:firstLine="360"/>
              <w:rPr>
                <w:sz w:val="20"/>
                <w:szCs w:val="20"/>
              </w:rPr>
            </w:pPr>
            <w:r>
              <w:rPr>
                <w:sz w:val="20"/>
                <w:szCs w:val="20"/>
              </w:rPr>
              <w:t>Paul Westbrook</w:t>
            </w:r>
          </w:p>
        </w:tc>
        <w:tc>
          <w:tcPr>
            <w:tcW w:w="165" w:type="pct"/>
            <w:hideMark/>
          </w:tcPr>
          <w:p w14:paraId="7A2784A3" w14:textId="77777777" w:rsidR="00000000" w:rsidRDefault="0053651E">
            <w:pPr>
              <w:rPr>
                <w:rFonts w:eastAsia="Times New Roman"/>
                <w:sz w:val="20"/>
                <w:szCs w:val="20"/>
              </w:rPr>
            </w:pPr>
            <w:r>
              <w:rPr>
                <w:rFonts w:eastAsia="Times New Roman"/>
                <w:sz w:val="20"/>
                <w:szCs w:val="20"/>
              </w:rPr>
              <w:t> </w:t>
            </w:r>
          </w:p>
        </w:tc>
        <w:tc>
          <w:tcPr>
            <w:tcW w:w="2240" w:type="pct"/>
            <w:hideMark/>
          </w:tcPr>
          <w:p w14:paraId="591848C4" w14:textId="77777777" w:rsidR="00000000" w:rsidRDefault="0053651E">
            <w:pPr>
              <w:pStyle w:val="a3"/>
              <w:spacing w:before="0" w:beforeAutospacing="0" w:after="0" w:afterAutospacing="0"/>
              <w:ind w:right="240" w:firstLine="360"/>
              <w:rPr>
                <w:sz w:val="20"/>
                <w:szCs w:val="20"/>
              </w:rPr>
            </w:pPr>
            <w:r>
              <w:rPr>
                <w:sz w:val="20"/>
                <w:szCs w:val="20"/>
              </w:rPr>
              <w:t>Chief Accounting Officer</w:t>
            </w:r>
          </w:p>
        </w:tc>
        <w:tc>
          <w:tcPr>
            <w:tcW w:w="1140" w:type="pct"/>
            <w:hideMark/>
          </w:tcPr>
          <w:p w14:paraId="13AC623E" w14:textId="77777777" w:rsidR="00000000" w:rsidRDefault="0053651E">
            <w:pPr>
              <w:rPr>
                <w:rFonts w:eastAsia="Times New Roman"/>
                <w:sz w:val="20"/>
                <w:szCs w:val="20"/>
              </w:rPr>
            </w:pPr>
            <w:r>
              <w:rPr>
                <w:rFonts w:eastAsia="Times New Roman"/>
                <w:sz w:val="20"/>
                <w:szCs w:val="20"/>
              </w:rPr>
              <w:t> </w:t>
            </w:r>
          </w:p>
        </w:tc>
      </w:tr>
    </w:tbl>
    <w:p w14:paraId="0E6D7BC4" w14:textId="77777777" w:rsidR="00000000" w:rsidRDefault="0053651E">
      <w:pPr>
        <w:pStyle w:val="a3"/>
        <w:spacing w:before="0" w:beforeAutospacing="0" w:after="0" w:afterAutospacing="0"/>
        <w:ind w:left="240" w:right="240" w:firstLine="360"/>
        <w:rPr>
          <w:sz w:val="20"/>
          <w:szCs w:val="20"/>
        </w:rPr>
      </w:pPr>
      <w:r>
        <w:rPr>
          <w:sz w:val="20"/>
          <w:szCs w:val="20"/>
        </w:rPr>
        <w:t> </w:t>
      </w:r>
    </w:p>
    <w:p w14:paraId="1931BC10" w14:textId="77777777" w:rsidR="00000000" w:rsidRDefault="0053651E">
      <w:pPr>
        <w:jc w:val="center"/>
        <w:divId w:val="602496145"/>
        <w:rPr>
          <w:rFonts w:eastAsia="Times New Roman"/>
          <w:sz w:val="20"/>
          <w:szCs w:val="20"/>
        </w:rPr>
      </w:pPr>
      <w:r>
        <w:rPr>
          <w:rFonts w:eastAsia="Times New Roman"/>
          <w:sz w:val="20"/>
          <w:szCs w:val="20"/>
        </w:rPr>
        <w:t xml:space="preserve">41 </w:t>
      </w:r>
    </w:p>
    <w:p w14:paraId="24086B96" w14:textId="77777777" w:rsidR="00000000" w:rsidRDefault="0053651E">
      <w:pPr>
        <w:divId w:val="602496145"/>
        <w:rPr>
          <w:rFonts w:eastAsia="Times New Roman"/>
          <w:sz w:val="20"/>
          <w:szCs w:val="20"/>
        </w:rPr>
      </w:pPr>
      <w:r>
        <w:rPr>
          <w:rFonts w:eastAsia="Times New Roman"/>
          <w:sz w:val="20"/>
          <w:szCs w:val="20"/>
        </w:rPr>
        <w:pict w14:anchorId="087298E1">
          <v:rect id="_x0000_i1072" style="width:0;height:1.5pt" o:hralign="center" o:hrstd="t" o:hr="t" fillcolor="#a0a0a0" stroked="f"/>
        </w:pict>
      </w:r>
    </w:p>
    <w:p w14:paraId="72140EB0" w14:textId="77777777" w:rsidR="00000000" w:rsidRDefault="0053651E">
      <w:pPr>
        <w:divId w:val="6024961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68474CC" w14:textId="77777777" w:rsidR="00000000" w:rsidRDefault="0053651E">
      <w:pPr>
        <w:pStyle w:val="a3"/>
        <w:spacing w:before="0" w:beforeAutospacing="0" w:after="0" w:afterAutospacing="0"/>
        <w:rPr>
          <w:sz w:val="20"/>
          <w:szCs w:val="20"/>
        </w:rPr>
      </w:pPr>
      <w:r>
        <w:rPr>
          <w:sz w:val="20"/>
          <w:szCs w:val="20"/>
        </w:rPr>
        <w:t> </w:t>
      </w:r>
    </w:p>
    <w:p w14:paraId="22815728" w14:textId="77777777" w:rsidR="00000000" w:rsidRDefault="0053651E">
      <w:pPr>
        <w:pStyle w:val="a3"/>
        <w:spacing w:before="0" w:beforeAutospacing="0" w:after="0" w:afterAutospacing="0"/>
        <w:ind w:left="245" w:right="245" w:firstLine="360"/>
        <w:jc w:val="center"/>
        <w:rPr>
          <w:sz w:val="20"/>
          <w:szCs w:val="20"/>
        </w:rPr>
      </w:pPr>
      <w:r>
        <w:rPr>
          <w:sz w:val="20"/>
          <w:szCs w:val="20"/>
        </w:rPr>
        <w:t>ANNUAL REPORT ON FORM 10-K</w:t>
      </w:r>
    </w:p>
    <w:p w14:paraId="56F950FA" w14:textId="77777777" w:rsidR="00000000" w:rsidRDefault="0053651E">
      <w:pPr>
        <w:pStyle w:val="a3"/>
        <w:spacing w:before="0" w:beforeAutospacing="0" w:after="0" w:afterAutospacing="0"/>
        <w:rPr>
          <w:sz w:val="20"/>
          <w:szCs w:val="20"/>
        </w:rPr>
      </w:pPr>
      <w:r>
        <w:rPr>
          <w:sz w:val="20"/>
          <w:szCs w:val="20"/>
        </w:rPr>
        <w:t> </w:t>
      </w:r>
    </w:p>
    <w:p w14:paraId="35A4708C" w14:textId="77777777" w:rsidR="00000000" w:rsidRDefault="0053651E">
      <w:pPr>
        <w:pStyle w:val="a3"/>
        <w:spacing w:before="0" w:beforeAutospacing="0" w:after="0" w:afterAutospacing="0"/>
        <w:ind w:left="245" w:right="245" w:firstLine="360"/>
        <w:jc w:val="center"/>
        <w:rPr>
          <w:sz w:val="20"/>
          <w:szCs w:val="20"/>
        </w:rPr>
      </w:pPr>
      <w:r>
        <w:rPr>
          <w:sz w:val="20"/>
          <w:szCs w:val="20"/>
        </w:rPr>
        <w:t>ITEM 8, ITEM 15 (a) (1) and (2)</w:t>
      </w:r>
    </w:p>
    <w:p w14:paraId="007E69A7" w14:textId="77777777" w:rsidR="00000000" w:rsidRDefault="0053651E">
      <w:pPr>
        <w:pStyle w:val="a3"/>
        <w:spacing w:before="0" w:beforeAutospacing="0" w:after="0" w:afterAutospacing="0"/>
        <w:rPr>
          <w:sz w:val="20"/>
          <w:szCs w:val="20"/>
        </w:rPr>
      </w:pPr>
      <w:r>
        <w:rPr>
          <w:sz w:val="20"/>
          <w:szCs w:val="20"/>
        </w:rPr>
        <w:t> </w:t>
      </w:r>
    </w:p>
    <w:p w14:paraId="0CA7E764" w14:textId="77777777" w:rsidR="00000000" w:rsidRDefault="0053651E">
      <w:pPr>
        <w:pStyle w:val="a3"/>
        <w:spacing w:before="0" w:beforeAutospacing="0" w:after="0" w:afterAutospacing="0"/>
        <w:ind w:left="245" w:right="245" w:firstLine="360"/>
        <w:jc w:val="center"/>
        <w:rPr>
          <w:sz w:val="20"/>
          <w:szCs w:val="20"/>
        </w:rPr>
      </w:pPr>
      <w:r>
        <w:rPr>
          <w:sz w:val="20"/>
          <w:szCs w:val="20"/>
        </w:rPr>
        <w:t>INDEX TO FINANCIAL STATEMENTS</w:t>
      </w:r>
    </w:p>
    <w:p w14:paraId="206491E4" w14:textId="77777777" w:rsidR="00000000" w:rsidRDefault="0053651E">
      <w:pPr>
        <w:pStyle w:val="a3"/>
        <w:spacing w:before="0" w:beforeAutospacing="0" w:after="0" w:afterAutospacing="0"/>
        <w:rPr>
          <w:sz w:val="20"/>
          <w:szCs w:val="20"/>
        </w:rPr>
      </w:pPr>
      <w:r>
        <w:rPr>
          <w:sz w:val="20"/>
          <w:szCs w:val="20"/>
        </w:rPr>
        <w:t> </w:t>
      </w:r>
    </w:p>
    <w:p w14:paraId="4D3D9D66" w14:textId="77777777" w:rsidR="00000000" w:rsidRDefault="0053651E">
      <w:pPr>
        <w:pStyle w:val="a3"/>
        <w:spacing w:before="0" w:beforeAutospacing="0" w:after="0" w:afterAutospacing="0"/>
        <w:ind w:left="245" w:right="245" w:firstLine="360"/>
        <w:jc w:val="center"/>
        <w:rPr>
          <w:sz w:val="20"/>
          <w:szCs w:val="20"/>
        </w:rPr>
      </w:pPr>
      <w:r>
        <w:rPr>
          <w:sz w:val="20"/>
          <w:szCs w:val="20"/>
        </w:rPr>
        <w:t>AND</w:t>
      </w:r>
    </w:p>
    <w:p w14:paraId="4FCC31C6" w14:textId="77777777" w:rsidR="00000000" w:rsidRDefault="0053651E">
      <w:pPr>
        <w:pStyle w:val="a3"/>
        <w:spacing w:before="0" w:beforeAutospacing="0" w:after="0" w:afterAutospacing="0"/>
        <w:rPr>
          <w:sz w:val="20"/>
          <w:szCs w:val="20"/>
        </w:rPr>
      </w:pPr>
      <w:r>
        <w:rPr>
          <w:sz w:val="20"/>
          <w:szCs w:val="20"/>
        </w:rPr>
        <w:t> </w:t>
      </w:r>
    </w:p>
    <w:p w14:paraId="679E67AC" w14:textId="77777777" w:rsidR="00000000" w:rsidRDefault="0053651E">
      <w:pPr>
        <w:pStyle w:val="a3"/>
        <w:spacing w:before="0" w:beforeAutospacing="0" w:after="0" w:afterAutospacing="0"/>
        <w:ind w:left="240" w:right="240" w:firstLine="360"/>
        <w:jc w:val="center"/>
        <w:rPr>
          <w:sz w:val="20"/>
          <w:szCs w:val="20"/>
        </w:rPr>
      </w:pPr>
      <w:r>
        <w:rPr>
          <w:sz w:val="20"/>
          <w:szCs w:val="20"/>
        </w:rPr>
        <w:t>FINANCIAL STATEMENT SCHEDULES</w:t>
      </w:r>
    </w:p>
    <w:p w14:paraId="42FC1D28" w14:textId="77777777" w:rsidR="00000000" w:rsidRDefault="0053651E">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61"/>
        <w:gridCol w:w="6295"/>
        <w:gridCol w:w="750"/>
      </w:tblGrid>
      <w:tr w:rsidR="00000000" w14:paraId="584DDC7A" w14:textId="77777777">
        <w:trPr>
          <w:tblCellSpacing w:w="0" w:type="dxa"/>
        </w:trPr>
        <w:tc>
          <w:tcPr>
            <w:tcW w:w="650" w:type="pct"/>
            <w:gridSpan w:val="2"/>
            <w:hideMark/>
          </w:tcPr>
          <w:p w14:paraId="5CF7620B"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19792A06" w14:textId="77777777" w:rsidR="00000000" w:rsidRDefault="0053651E">
            <w:pPr>
              <w:rPr>
                <w:rFonts w:eastAsia="Times New Roman"/>
                <w:sz w:val="20"/>
                <w:szCs w:val="20"/>
              </w:rPr>
            </w:pPr>
            <w:r>
              <w:rPr>
                <w:rFonts w:eastAsia="Times New Roman"/>
                <w:sz w:val="20"/>
                <w:szCs w:val="20"/>
              </w:rPr>
              <w:t> </w:t>
            </w:r>
          </w:p>
        </w:tc>
      </w:tr>
      <w:tr w:rsidR="00000000" w14:paraId="730D381C" w14:textId="77777777">
        <w:trPr>
          <w:tblCellSpacing w:w="0" w:type="dxa"/>
        </w:trPr>
        <w:tc>
          <w:tcPr>
            <w:tcW w:w="650" w:type="pct"/>
            <w:gridSpan w:val="2"/>
            <w:hideMark/>
          </w:tcPr>
          <w:p w14:paraId="3E102C4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14:paraId="0D7F9895" w14:textId="77777777" w:rsidR="00000000" w:rsidRDefault="0053651E">
            <w:pPr>
              <w:pStyle w:val="a3"/>
              <w:spacing w:before="0" w:beforeAutospacing="0" w:after="0" w:afterAutospacing="0"/>
              <w:jc w:val="center"/>
              <w:rPr>
                <w:sz w:val="20"/>
                <w:szCs w:val="20"/>
              </w:rPr>
            </w:pPr>
            <w:r>
              <w:rPr>
                <w:sz w:val="20"/>
                <w:szCs w:val="20"/>
              </w:rPr>
              <w:t>Form 10-K</w:t>
            </w:r>
            <w:r>
              <w:rPr>
                <w:sz w:val="20"/>
                <w:szCs w:val="20"/>
              </w:rPr>
              <w:br/>
              <w:t>Page</w:t>
            </w:r>
          </w:p>
        </w:tc>
      </w:tr>
      <w:tr w:rsidR="00000000" w14:paraId="5617FD17" w14:textId="77777777">
        <w:trPr>
          <w:tblCellSpacing w:w="0" w:type="dxa"/>
        </w:trPr>
        <w:tc>
          <w:tcPr>
            <w:tcW w:w="650" w:type="pct"/>
            <w:gridSpan w:val="2"/>
            <w:hideMark/>
          </w:tcPr>
          <w:p w14:paraId="5D2E7BE9" w14:textId="77777777" w:rsidR="00000000" w:rsidRDefault="0053651E">
            <w:pPr>
              <w:rPr>
                <w:rFonts w:eastAsia="Times New Roman"/>
                <w:sz w:val="20"/>
                <w:szCs w:val="20"/>
              </w:rPr>
            </w:pPr>
            <w:r>
              <w:rPr>
                <w:rFonts w:eastAsia="Times New Roman"/>
                <w:sz w:val="20"/>
                <w:szCs w:val="20"/>
              </w:rPr>
              <w:t> </w:t>
            </w:r>
          </w:p>
        </w:tc>
        <w:tc>
          <w:tcPr>
            <w:tcW w:w="450" w:type="pct"/>
            <w:tcBorders>
              <w:bottom w:val="nil"/>
            </w:tcBorders>
            <w:vAlign w:val="bottom"/>
            <w:hideMark/>
          </w:tcPr>
          <w:p w14:paraId="5B548FA8" w14:textId="77777777" w:rsidR="00000000" w:rsidRDefault="0053651E">
            <w:pPr>
              <w:rPr>
                <w:rFonts w:eastAsia="Times New Roman"/>
                <w:sz w:val="20"/>
                <w:szCs w:val="20"/>
              </w:rPr>
            </w:pPr>
            <w:r>
              <w:rPr>
                <w:rFonts w:eastAsia="Times New Roman"/>
                <w:sz w:val="20"/>
                <w:szCs w:val="20"/>
              </w:rPr>
              <w:t> </w:t>
            </w:r>
          </w:p>
        </w:tc>
      </w:tr>
      <w:tr w:rsidR="00000000" w14:paraId="3479CDAD" w14:textId="77777777">
        <w:trPr>
          <w:tblCellSpacing w:w="0" w:type="dxa"/>
        </w:trPr>
        <w:tc>
          <w:tcPr>
            <w:tcW w:w="650" w:type="pct"/>
            <w:gridSpan w:val="2"/>
            <w:hideMark/>
          </w:tcPr>
          <w:p w14:paraId="71554C1F" w14:textId="77777777" w:rsidR="00000000" w:rsidRDefault="0053651E">
            <w:pPr>
              <w:pStyle w:val="a3"/>
              <w:spacing w:before="0" w:beforeAutospacing="0" w:after="0" w:afterAutospacing="0"/>
              <w:rPr>
                <w:sz w:val="20"/>
                <w:szCs w:val="20"/>
              </w:rPr>
            </w:pPr>
            <w:r>
              <w:rPr>
                <w:sz w:val="20"/>
                <w:szCs w:val="20"/>
              </w:rPr>
              <w:t>KIMCO REALTY CORPORATION AND SUBSIDIARIES</w:t>
            </w:r>
          </w:p>
        </w:tc>
        <w:tc>
          <w:tcPr>
            <w:tcW w:w="450" w:type="pct"/>
            <w:vAlign w:val="bottom"/>
            <w:hideMark/>
          </w:tcPr>
          <w:p w14:paraId="70562942" w14:textId="77777777" w:rsidR="00000000" w:rsidRDefault="0053651E">
            <w:pPr>
              <w:rPr>
                <w:rFonts w:eastAsia="Times New Roman"/>
                <w:sz w:val="20"/>
                <w:szCs w:val="20"/>
              </w:rPr>
            </w:pPr>
            <w:r>
              <w:rPr>
                <w:rFonts w:eastAsia="Times New Roman"/>
                <w:sz w:val="20"/>
                <w:szCs w:val="20"/>
              </w:rPr>
              <w:t> </w:t>
            </w:r>
          </w:p>
        </w:tc>
      </w:tr>
      <w:tr w:rsidR="00000000" w14:paraId="2ECD4F8E" w14:textId="77777777">
        <w:trPr>
          <w:tblCellSpacing w:w="0" w:type="dxa"/>
        </w:trPr>
        <w:tc>
          <w:tcPr>
            <w:tcW w:w="650" w:type="pct"/>
            <w:gridSpan w:val="2"/>
            <w:hideMark/>
          </w:tcPr>
          <w:p w14:paraId="3FD433B3"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4AD0294D" w14:textId="77777777" w:rsidR="00000000" w:rsidRDefault="0053651E">
            <w:pPr>
              <w:rPr>
                <w:rFonts w:eastAsia="Times New Roman"/>
                <w:sz w:val="20"/>
                <w:szCs w:val="20"/>
              </w:rPr>
            </w:pPr>
            <w:r>
              <w:rPr>
                <w:rFonts w:eastAsia="Times New Roman"/>
                <w:sz w:val="20"/>
                <w:szCs w:val="20"/>
              </w:rPr>
              <w:t> </w:t>
            </w:r>
          </w:p>
        </w:tc>
      </w:tr>
      <w:tr w:rsidR="00000000" w14:paraId="0D5659EA" w14:textId="77777777">
        <w:trPr>
          <w:tblCellSpacing w:w="0" w:type="dxa"/>
        </w:trPr>
        <w:tc>
          <w:tcPr>
            <w:tcW w:w="650" w:type="pct"/>
            <w:gridSpan w:val="2"/>
            <w:hideMark/>
          </w:tcPr>
          <w:p w14:paraId="1571D999" w14:textId="77777777" w:rsidR="00000000" w:rsidRDefault="0053651E">
            <w:pPr>
              <w:pStyle w:val="a3"/>
              <w:spacing w:before="0" w:beforeAutospacing="0" w:after="0" w:afterAutospacing="0"/>
              <w:rPr>
                <w:sz w:val="20"/>
                <w:szCs w:val="20"/>
              </w:rPr>
            </w:pPr>
            <w:hyperlink w:anchor="actfirmrpt" w:history="1">
              <w:r>
                <w:rPr>
                  <w:rStyle w:val="a4"/>
                  <w:sz w:val="20"/>
                  <w:szCs w:val="20"/>
                </w:rPr>
                <w:t>Report of Independent Registered Public Accounting Firm</w:t>
              </w:r>
            </w:hyperlink>
          </w:p>
        </w:tc>
        <w:tc>
          <w:tcPr>
            <w:tcW w:w="450" w:type="pct"/>
            <w:vAlign w:val="bottom"/>
            <w:hideMark/>
          </w:tcPr>
          <w:p w14:paraId="4BB58258" w14:textId="77777777" w:rsidR="00000000" w:rsidRDefault="0053651E">
            <w:pPr>
              <w:pStyle w:val="a3"/>
              <w:spacing w:before="0" w:beforeAutospacing="0" w:after="0" w:afterAutospacing="0"/>
              <w:jc w:val="center"/>
              <w:rPr>
                <w:sz w:val="20"/>
                <w:szCs w:val="20"/>
              </w:rPr>
            </w:pPr>
            <w:r>
              <w:rPr>
                <w:sz w:val="20"/>
                <w:szCs w:val="20"/>
              </w:rPr>
              <w:t>43</w:t>
            </w:r>
          </w:p>
        </w:tc>
      </w:tr>
      <w:tr w:rsidR="00000000" w14:paraId="6263B275" w14:textId="77777777">
        <w:trPr>
          <w:tblCellSpacing w:w="0" w:type="dxa"/>
        </w:trPr>
        <w:tc>
          <w:tcPr>
            <w:tcW w:w="650" w:type="pct"/>
            <w:gridSpan w:val="2"/>
            <w:hideMark/>
          </w:tcPr>
          <w:p w14:paraId="44C427B8"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3434A326" w14:textId="77777777" w:rsidR="00000000" w:rsidRDefault="0053651E">
            <w:pPr>
              <w:rPr>
                <w:rFonts w:eastAsia="Times New Roman"/>
                <w:sz w:val="20"/>
                <w:szCs w:val="20"/>
              </w:rPr>
            </w:pPr>
            <w:r>
              <w:rPr>
                <w:rFonts w:eastAsia="Times New Roman"/>
                <w:sz w:val="20"/>
                <w:szCs w:val="20"/>
              </w:rPr>
              <w:t> </w:t>
            </w:r>
          </w:p>
        </w:tc>
      </w:tr>
      <w:tr w:rsidR="00000000" w14:paraId="13CC4507" w14:textId="77777777">
        <w:trPr>
          <w:tblCellSpacing w:w="0" w:type="dxa"/>
        </w:trPr>
        <w:tc>
          <w:tcPr>
            <w:tcW w:w="650" w:type="pct"/>
            <w:gridSpan w:val="2"/>
            <w:hideMark/>
          </w:tcPr>
          <w:p w14:paraId="25C2218D" w14:textId="77777777" w:rsidR="00000000" w:rsidRDefault="0053651E">
            <w:pPr>
              <w:pStyle w:val="a3"/>
              <w:spacing w:before="0" w:beforeAutospacing="0" w:after="0" w:afterAutospacing="0"/>
              <w:rPr>
                <w:sz w:val="20"/>
                <w:szCs w:val="20"/>
              </w:rPr>
            </w:pPr>
            <w:r>
              <w:rPr>
                <w:sz w:val="20"/>
                <w:szCs w:val="20"/>
              </w:rPr>
              <w:t>Consolidated Financial Statements and Financial Statement Schedules:</w:t>
            </w:r>
          </w:p>
        </w:tc>
        <w:tc>
          <w:tcPr>
            <w:tcW w:w="450" w:type="pct"/>
            <w:vAlign w:val="bottom"/>
            <w:hideMark/>
          </w:tcPr>
          <w:p w14:paraId="238DD90B" w14:textId="77777777" w:rsidR="00000000" w:rsidRDefault="0053651E">
            <w:pPr>
              <w:rPr>
                <w:rFonts w:eastAsia="Times New Roman"/>
                <w:sz w:val="20"/>
                <w:szCs w:val="20"/>
              </w:rPr>
            </w:pPr>
            <w:r>
              <w:rPr>
                <w:rFonts w:eastAsia="Times New Roman"/>
                <w:sz w:val="20"/>
                <w:szCs w:val="20"/>
              </w:rPr>
              <w:t> </w:t>
            </w:r>
          </w:p>
        </w:tc>
      </w:tr>
      <w:tr w:rsidR="00000000" w14:paraId="17EDF900" w14:textId="77777777">
        <w:trPr>
          <w:tblCellSpacing w:w="0" w:type="dxa"/>
        </w:trPr>
        <w:tc>
          <w:tcPr>
            <w:tcW w:w="650" w:type="pct"/>
            <w:gridSpan w:val="2"/>
            <w:hideMark/>
          </w:tcPr>
          <w:p w14:paraId="1E80E2B4"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5185DFF7" w14:textId="77777777" w:rsidR="00000000" w:rsidRDefault="0053651E">
            <w:pPr>
              <w:rPr>
                <w:rFonts w:eastAsia="Times New Roman"/>
                <w:sz w:val="20"/>
                <w:szCs w:val="20"/>
              </w:rPr>
            </w:pPr>
            <w:r>
              <w:rPr>
                <w:rFonts w:eastAsia="Times New Roman"/>
                <w:sz w:val="20"/>
                <w:szCs w:val="20"/>
              </w:rPr>
              <w:t> </w:t>
            </w:r>
          </w:p>
        </w:tc>
      </w:tr>
      <w:tr w:rsidR="00000000" w14:paraId="48C8D08E" w14:textId="77777777">
        <w:trPr>
          <w:tblCellSpacing w:w="0" w:type="dxa"/>
        </w:trPr>
        <w:tc>
          <w:tcPr>
            <w:tcW w:w="650" w:type="pct"/>
            <w:gridSpan w:val="2"/>
            <w:hideMark/>
          </w:tcPr>
          <w:p w14:paraId="1F76288E" w14:textId="77777777" w:rsidR="00000000" w:rsidRDefault="0053651E">
            <w:pPr>
              <w:pStyle w:val="a3"/>
              <w:spacing w:before="0" w:beforeAutospacing="0" w:after="0" w:afterAutospacing="0"/>
              <w:ind w:left="540"/>
              <w:rPr>
                <w:sz w:val="20"/>
                <w:szCs w:val="20"/>
              </w:rPr>
            </w:pPr>
            <w:hyperlink w:anchor="balsheet" w:history="1">
              <w:r>
                <w:rPr>
                  <w:rStyle w:val="a4"/>
                  <w:sz w:val="20"/>
                  <w:szCs w:val="20"/>
                </w:rPr>
                <w:t>Consolidated Balance Sheets as of December 31, 2019 and 2018</w:t>
              </w:r>
            </w:hyperlink>
          </w:p>
        </w:tc>
        <w:tc>
          <w:tcPr>
            <w:tcW w:w="450" w:type="pct"/>
            <w:vAlign w:val="bottom"/>
            <w:hideMark/>
          </w:tcPr>
          <w:p w14:paraId="12FE81DE" w14:textId="77777777" w:rsidR="00000000" w:rsidRDefault="0053651E">
            <w:pPr>
              <w:pStyle w:val="a3"/>
              <w:spacing w:before="0" w:beforeAutospacing="0" w:after="0" w:afterAutospacing="0"/>
              <w:jc w:val="center"/>
              <w:rPr>
                <w:sz w:val="20"/>
                <w:szCs w:val="20"/>
              </w:rPr>
            </w:pPr>
            <w:r>
              <w:rPr>
                <w:sz w:val="20"/>
                <w:szCs w:val="20"/>
              </w:rPr>
              <w:t>44</w:t>
            </w:r>
          </w:p>
        </w:tc>
      </w:tr>
      <w:tr w:rsidR="00000000" w14:paraId="08CB48DC" w14:textId="77777777">
        <w:trPr>
          <w:tblCellSpacing w:w="0" w:type="dxa"/>
        </w:trPr>
        <w:tc>
          <w:tcPr>
            <w:tcW w:w="650" w:type="pct"/>
            <w:gridSpan w:val="2"/>
            <w:hideMark/>
          </w:tcPr>
          <w:p w14:paraId="5AF5A62F"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1CF547AC" w14:textId="77777777" w:rsidR="00000000" w:rsidRDefault="0053651E">
            <w:pPr>
              <w:rPr>
                <w:rFonts w:eastAsia="Times New Roman"/>
                <w:sz w:val="20"/>
                <w:szCs w:val="20"/>
              </w:rPr>
            </w:pPr>
            <w:r>
              <w:rPr>
                <w:rFonts w:eastAsia="Times New Roman"/>
                <w:sz w:val="20"/>
                <w:szCs w:val="20"/>
              </w:rPr>
              <w:t> </w:t>
            </w:r>
          </w:p>
        </w:tc>
      </w:tr>
      <w:tr w:rsidR="00000000" w14:paraId="5A480F06" w14:textId="77777777">
        <w:trPr>
          <w:tblCellSpacing w:w="0" w:type="dxa"/>
        </w:trPr>
        <w:tc>
          <w:tcPr>
            <w:tcW w:w="650" w:type="pct"/>
            <w:gridSpan w:val="2"/>
            <w:hideMark/>
          </w:tcPr>
          <w:p w14:paraId="79B6DC50" w14:textId="77777777" w:rsidR="00000000" w:rsidRDefault="0053651E">
            <w:pPr>
              <w:pStyle w:val="a3"/>
              <w:spacing w:before="0" w:beforeAutospacing="0" w:after="0" w:afterAutospacing="0"/>
              <w:ind w:left="540"/>
              <w:rPr>
                <w:sz w:val="20"/>
                <w:szCs w:val="20"/>
              </w:rPr>
            </w:pPr>
            <w:hyperlink w:anchor="operations" w:history="1">
              <w:r>
                <w:rPr>
                  <w:rStyle w:val="a4"/>
                  <w:sz w:val="20"/>
                  <w:szCs w:val="20"/>
                </w:rPr>
                <w:t>Consolidated Statements of Income for the years ended December 31, 2019, 2018 and 2017</w:t>
              </w:r>
            </w:hyperlink>
          </w:p>
        </w:tc>
        <w:tc>
          <w:tcPr>
            <w:tcW w:w="450" w:type="pct"/>
            <w:vAlign w:val="bottom"/>
            <w:hideMark/>
          </w:tcPr>
          <w:p w14:paraId="772ED255" w14:textId="77777777" w:rsidR="00000000" w:rsidRDefault="0053651E">
            <w:pPr>
              <w:pStyle w:val="a3"/>
              <w:spacing w:before="0" w:beforeAutospacing="0" w:after="0" w:afterAutospacing="0"/>
              <w:jc w:val="center"/>
              <w:rPr>
                <w:sz w:val="20"/>
                <w:szCs w:val="20"/>
              </w:rPr>
            </w:pPr>
            <w:r>
              <w:rPr>
                <w:sz w:val="20"/>
                <w:szCs w:val="20"/>
              </w:rPr>
              <w:t>45</w:t>
            </w:r>
          </w:p>
        </w:tc>
      </w:tr>
      <w:tr w:rsidR="00000000" w14:paraId="7D4C6664" w14:textId="77777777">
        <w:trPr>
          <w:tblCellSpacing w:w="0" w:type="dxa"/>
        </w:trPr>
        <w:tc>
          <w:tcPr>
            <w:tcW w:w="650" w:type="pct"/>
            <w:gridSpan w:val="2"/>
            <w:hideMark/>
          </w:tcPr>
          <w:p w14:paraId="197534AB"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407255A5" w14:textId="77777777" w:rsidR="00000000" w:rsidRDefault="0053651E">
            <w:pPr>
              <w:rPr>
                <w:rFonts w:eastAsia="Times New Roman"/>
                <w:sz w:val="20"/>
                <w:szCs w:val="20"/>
              </w:rPr>
            </w:pPr>
            <w:r>
              <w:rPr>
                <w:rFonts w:eastAsia="Times New Roman"/>
                <w:sz w:val="20"/>
                <w:szCs w:val="20"/>
              </w:rPr>
              <w:t> </w:t>
            </w:r>
          </w:p>
        </w:tc>
      </w:tr>
      <w:tr w:rsidR="00000000" w14:paraId="2B895C65" w14:textId="77777777">
        <w:trPr>
          <w:tblCellSpacing w:w="0" w:type="dxa"/>
        </w:trPr>
        <w:tc>
          <w:tcPr>
            <w:tcW w:w="650" w:type="pct"/>
            <w:gridSpan w:val="2"/>
            <w:hideMark/>
          </w:tcPr>
          <w:p w14:paraId="77010728" w14:textId="77777777" w:rsidR="00000000" w:rsidRDefault="0053651E">
            <w:pPr>
              <w:pStyle w:val="a3"/>
              <w:spacing w:before="0" w:beforeAutospacing="0" w:after="0" w:afterAutospacing="0"/>
              <w:ind w:left="540"/>
              <w:rPr>
                <w:sz w:val="20"/>
                <w:szCs w:val="20"/>
              </w:rPr>
            </w:pPr>
            <w:hyperlink w:anchor="compincome" w:history="1">
              <w:r>
                <w:rPr>
                  <w:rStyle w:val="a4"/>
                  <w:sz w:val="20"/>
                  <w:szCs w:val="20"/>
                </w:rPr>
                <w:t>Consolidated Statements of Comprehensive Income for the years ended December 31, 2019, 2018 and 2017</w:t>
              </w:r>
            </w:hyperlink>
          </w:p>
        </w:tc>
        <w:tc>
          <w:tcPr>
            <w:tcW w:w="450" w:type="pct"/>
            <w:vAlign w:val="bottom"/>
            <w:hideMark/>
          </w:tcPr>
          <w:p w14:paraId="7D7C7B0B" w14:textId="77777777" w:rsidR="00000000" w:rsidRDefault="0053651E">
            <w:pPr>
              <w:pStyle w:val="a3"/>
              <w:spacing w:before="0" w:beforeAutospacing="0" w:after="0" w:afterAutospacing="0"/>
              <w:jc w:val="center"/>
              <w:rPr>
                <w:sz w:val="20"/>
                <w:szCs w:val="20"/>
              </w:rPr>
            </w:pPr>
            <w:r>
              <w:rPr>
                <w:sz w:val="20"/>
                <w:szCs w:val="20"/>
              </w:rPr>
              <w:t>46</w:t>
            </w:r>
          </w:p>
        </w:tc>
      </w:tr>
      <w:tr w:rsidR="00000000" w14:paraId="42593AF4" w14:textId="77777777">
        <w:trPr>
          <w:tblCellSpacing w:w="0" w:type="dxa"/>
        </w:trPr>
        <w:tc>
          <w:tcPr>
            <w:tcW w:w="650" w:type="pct"/>
            <w:gridSpan w:val="2"/>
            <w:hideMark/>
          </w:tcPr>
          <w:p w14:paraId="4FAA4ADC"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5306AE4A" w14:textId="77777777" w:rsidR="00000000" w:rsidRDefault="0053651E">
            <w:pPr>
              <w:rPr>
                <w:rFonts w:eastAsia="Times New Roman"/>
                <w:sz w:val="20"/>
                <w:szCs w:val="20"/>
              </w:rPr>
            </w:pPr>
            <w:r>
              <w:rPr>
                <w:rFonts w:eastAsia="Times New Roman"/>
                <w:sz w:val="20"/>
                <w:szCs w:val="20"/>
              </w:rPr>
              <w:t> </w:t>
            </w:r>
          </w:p>
        </w:tc>
      </w:tr>
      <w:tr w:rsidR="00000000" w14:paraId="59231C09" w14:textId="77777777">
        <w:trPr>
          <w:tblCellSpacing w:w="0" w:type="dxa"/>
        </w:trPr>
        <w:tc>
          <w:tcPr>
            <w:tcW w:w="650" w:type="pct"/>
            <w:gridSpan w:val="2"/>
            <w:hideMark/>
          </w:tcPr>
          <w:p w14:paraId="743775F5" w14:textId="77777777" w:rsidR="00000000" w:rsidRDefault="0053651E">
            <w:pPr>
              <w:pStyle w:val="a3"/>
              <w:spacing w:before="0" w:beforeAutospacing="0" w:after="0" w:afterAutospacing="0"/>
              <w:ind w:left="540"/>
              <w:rPr>
                <w:sz w:val="20"/>
                <w:szCs w:val="20"/>
              </w:rPr>
            </w:pPr>
            <w:hyperlink w:anchor="equity" w:history="1">
              <w:r>
                <w:rPr>
                  <w:rStyle w:val="a4"/>
                  <w:sz w:val="20"/>
                  <w:szCs w:val="20"/>
                </w:rPr>
                <w:t>Consolidated Statements of Changes in Equity for the years ended December 31, 2019</w:t>
              </w:r>
              <w:r>
                <w:rPr>
                  <w:rStyle w:val="a4"/>
                  <w:sz w:val="20"/>
                  <w:szCs w:val="20"/>
                </w:rPr>
                <w:t>, 2018 and 2017</w:t>
              </w:r>
            </w:hyperlink>
          </w:p>
        </w:tc>
        <w:tc>
          <w:tcPr>
            <w:tcW w:w="450" w:type="pct"/>
            <w:vAlign w:val="bottom"/>
            <w:hideMark/>
          </w:tcPr>
          <w:p w14:paraId="0EB5379C" w14:textId="77777777" w:rsidR="00000000" w:rsidRDefault="0053651E">
            <w:pPr>
              <w:pStyle w:val="a3"/>
              <w:spacing w:before="0" w:beforeAutospacing="0" w:after="0" w:afterAutospacing="0"/>
              <w:jc w:val="center"/>
              <w:rPr>
                <w:sz w:val="20"/>
                <w:szCs w:val="20"/>
              </w:rPr>
            </w:pPr>
            <w:r>
              <w:rPr>
                <w:sz w:val="20"/>
                <w:szCs w:val="20"/>
              </w:rPr>
              <w:t>47</w:t>
            </w:r>
          </w:p>
        </w:tc>
      </w:tr>
      <w:tr w:rsidR="00000000" w14:paraId="734A1A37" w14:textId="77777777">
        <w:trPr>
          <w:tblCellSpacing w:w="0" w:type="dxa"/>
        </w:trPr>
        <w:tc>
          <w:tcPr>
            <w:tcW w:w="650" w:type="pct"/>
            <w:gridSpan w:val="2"/>
            <w:hideMark/>
          </w:tcPr>
          <w:p w14:paraId="32F7603C" w14:textId="77777777" w:rsidR="00000000" w:rsidRDefault="0053651E">
            <w:pPr>
              <w:pStyle w:val="a3"/>
              <w:spacing w:before="0" w:beforeAutospacing="0" w:after="0" w:afterAutospacing="0"/>
              <w:ind w:firstLine="360"/>
              <w:rPr>
                <w:sz w:val="20"/>
                <w:szCs w:val="20"/>
              </w:rPr>
            </w:pPr>
            <w:r>
              <w:rPr>
                <w:sz w:val="20"/>
                <w:szCs w:val="20"/>
              </w:rPr>
              <w:t> </w:t>
            </w:r>
          </w:p>
        </w:tc>
        <w:tc>
          <w:tcPr>
            <w:tcW w:w="450" w:type="pct"/>
            <w:vAlign w:val="bottom"/>
            <w:hideMark/>
          </w:tcPr>
          <w:p w14:paraId="5733A4E7" w14:textId="77777777" w:rsidR="00000000" w:rsidRDefault="0053651E">
            <w:pPr>
              <w:rPr>
                <w:rFonts w:eastAsia="Times New Roman"/>
                <w:sz w:val="20"/>
                <w:szCs w:val="20"/>
              </w:rPr>
            </w:pPr>
            <w:r>
              <w:rPr>
                <w:rFonts w:eastAsia="Times New Roman"/>
                <w:sz w:val="20"/>
                <w:szCs w:val="20"/>
              </w:rPr>
              <w:t> </w:t>
            </w:r>
          </w:p>
        </w:tc>
      </w:tr>
      <w:tr w:rsidR="00000000" w14:paraId="35405D78" w14:textId="77777777">
        <w:trPr>
          <w:tblCellSpacing w:w="0" w:type="dxa"/>
        </w:trPr>
        <w:tc>
          <w:tcPr>
            <w:tcW w:w="650" w:type="pct"/>
            <w:gridSpan w:val="2"/>
            <w:hideMark/>
          </w:tcPr>
          <w:p w14:paraId="7CDCAA2F" w14:textId="77777777" w:rsidR="00000000" w:rsidRDefault="0053651E">
            <w:pPr>
              <w:pStyle w:val="a3"/>
              <w:spacing w:before="0" w:beforeAutospacing="0" w:after="0" w:afterAutospacing="0"/>
              <w:ind w:left="540"/>
              <w:rPr>
                <w:sz w:val="20"/>
                <w:szCs w:val="20"/>
              </w:rPr>
            </w:pPr>
            <w:hyperlink w:anchor="cashflow" w:history="1">
              <w:r>
                <w:rPr>
                  <w:rStyle w:val="a4"/>
                  <w:sz w:val="20"/>
                  <w:szCs w:val="20"/>
                </w:rPr>
                <w:t>Consolidated Statements of Cash Flows for the years ended December 31, 2019, 2018 and 2017</w:t>
              </w:r>
            </w:hyperlink>
          </w:p>
        </w:tc>
        <w:tc>
          <w:tcPr>
            <w:tcW w:w="450" w:type="pct"/>
            <w:vAlign w:val="bottom"/>
            <w:hideMark/>
          </w:tcPr>
          <w:p w14:paraId="3879D72B" w14:textId="77777777" w:rsidR="00000000" w:rsidRDefault="0053651E">
            <w:pPr>
              <w:pStyle w:val="a3"/>
              <w:spacing w:before="0" w:beforeAutospacing="0" w:after="0" w:afterAutospacing="0"/>
              <w:jc w:val="center"/>
              <w:rPr>
                <w:sz w:val="20"/>
                <w:szCs w:val="20"/>
              </w:rPr>
            </w:pPr>
            <w:r>
              <w:rPr>
                <w:sz w:val="20"/>
                <w:szCs w:val="20"/>
              </w:rPr>
              <w:t>48</w:t>
            </w:r>
          </w:p>
        </w:tc>
      </w:tr>
      <w:tr w:rsidR="00000000" w14:paraId="1FF7D394" w14:textId="77777777">
        <w:trPr>
          <w:tblCellSpacing w:w="0" w:type="dxa"/>
        </w:trPr>
        <w:tc>
          <w:tcPr>
            <w:tcW w:w="650" w:type="pct"/>
            <w:gridSpan w:val="2"/>
            <w:hideMark/>
          </w:tcPr>
          <w:p w14:paraId="014E9E10"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40127AA5" w14:textId="77777777" w:rsidR="00000000" w:rsidRDefault="0053651E">
            <w:pPr>
              <w:rPr>
                <w:rFonts w:eastAsia="Times New Roman"/>
                <w:sz w:val="20"/>
                <w:szCs w:val="20"/>
              </w:rPr>
            </w:pPr>
            <w:r>
              <w:rPr>
                <w:rFonts w:eastAsia="Times New Roman"/>
                <w:sz w:val="20"/>
                <w:szCs w:val="20"/>
              </w:rPr>
              <w:t> </w:t>
            </w:r>
          </w:p>
        </w:tc>
      </w:tr>
      <w:tr w:rsidR="00000000" w14:paraId="2C062082" w14:textId="77777777">
        <w:trPr>
          <w:tblCellSpacing w:w="0" w:type="dxa"/>
        </w:trPr>
        <w:tc>
          <w:tcPr>
            <w:tcW w:w="650" w:type="pct"/>
            <w:gridSpan w:val="2"/>
            <w:hideMark/>
          </w:tcPr>
          <w:p w14:paraId="017C8639" w14:textId="77777777" w:rsidR="00000000" w:rsidRDefault="0053651E">
            <w:pPr>
              <w:pStyle w:val="a3"/>
              <w:spacing w:before="0" w:beforeAutospacing="0" w:after="0" w:afterAutospacing="0"/>
              <w:rPr>
                <w:sz w:val="20"/>
                <w:szCs w:val="20"/>
              </w:rPr>
            </w:pPr>
            <w:hyperlink w:anchor="notes" w:history="1">
              <w:r>
                <w:rPr>
                  <w:rStyle w:val="a4"/>
                  <w:sz w:val="20"/>
                  <w:szCs w:val="20"/>
                </w:rPr>
                <w:t>Notes to Consolidated Financial Statements</w:t>
              </w:r>
            </w:hyperlink>
          </w:p>
        </w:tc>
        <w:tc>
          <w:tcPr>
            <w:tcW w:w="450" w:type="pct"/>
            <w:vAlign w:val="bottom"/>
            <w:hideMark/>
          </w:tcPr>
          <w:p w14:paraId="2135E7B0" w14:textId="77777777" w:rsidR="00000000" w:rsidRDefault="0053651E">
            <w:pPr>
              <w:pStyle w:val="a3"/>
              <w:spacing w:before="0" w:beforeAutospacing="0" w:after="0" w:afterAutospacing="0"/>
              <w:jc w:val="center"/>
              <w:rPr>
                <w:sz w:val="20"/>
                <w:szCs w:val="20"/>
              </w:rPr>
            </w:pPr>
            <w:r>
              <w:rPr>
                <w:sz w:val="20"/>
                <w:szCs w:val="20"/>
              </w:rPr>
              <w:t>49</w:t>
            </w:r>
          </w:p>
        </w:tc>
      </w:tr>
      <w:tr w:rsidR="00000000" w14:paraId="06470E27" w14:textId="77777777">
        <w:trPr>
          <w:tblCellSpacing w:w="0" w:type="dxa"/>
        </w:trPr>
        <w:tc>
          <w:tcPr>
            <w:tcW w:w="650" w:type="pct"/>
            <w:gridSpan w:val="2"/>
            <w:hideMark/>
          </w:tcPr>
          <w:p w14:paraId="0219EAD8"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37530080" w14:textId="77777777" w:rsidR="00000000" w:rsidRDefault="0053651E">
            <w:pPr>
              <w:rPr>
                <w:rFonts w:eastAsia="Times New Roman"/>
                <w:sz w:val="20"/>
                <w:szCs w:val="20"/>
              </w:rPr>
            </w:pPr>
            <w:r>
              <w:rPr>
                <w:rFonts w:eastAsia="Times New Roman"/>
                <w:sz w:val="20"/>
                <w:szCs w:val="20"/>
              </w:rPr>
              <w:t> </w:t>
            </w:r>
          </w:p>
        </w:tc>
      </w:tr>
      <w:tr w:rsidR="00000000" w14:paraId="2EB16C94" w14:textId="77777777">
        <w:trPr>
          <w:tblCellSpacing w:w="0" w:type="dxa"/>
        </w:trPr>
        <w:tc>
          <w:tcPr>
            <w:tcW w:w="650" w:type="pct"/>
            <w:gridSpan w:val="2"/>
            <w:hideMark/>
          </w:tcPr>
          <w:p w14:paraId="6EF6A038" w14:textId="77777777" w:rsidR="00000000" w:rsidRDefault="0053651E">
            <w:pPr>
              <w:pStyle w:val="a3"/>
              <w:spacing w:before="0" w:beforeAutospacing="0" w:after="0" w:afterAutospacing="0"/>
              <w:rPr>
                <w:sz w:val="20"/>
                <w:szCs w:val="20"/>
              </w:rPr>
            </w:pPr>
            <w:r>
              <w:rPr>
                <w:sz w:val="20"/>
                <w:szCs w:val="20"/>
              </w:rPr>
              <w:t>Financial Statement Schedules:</w:t>
            </w:r>
          </w:p>
        </w:tc>
        <w:tc>
          <w:tcPr>
            <w:tcW w:w="450" w:type="pct"/>
            <w:vAlign w:val="bottom"/>
            <w:hideMark/>
          </w:tcPr>
          <w:p w14:paraId="066D6B13" w14:textId="77777777" w:rsidR="00000000" w:rsidRDefault="0053651E">
            <w:pPr>
              <w:rPr>
                <w:rFonts w:eastAsia="Times New Roman"/>
                <w:sz w:val="20"/>
                <w:szCs w:val="20"/>
              </w:rPr>
            </w:pPr>
            <w:r>
              <w:rPr>
                <w:rFonts w:eastAsia="Times New Roman"/>
                <w:sz w:val="20"/>
                <w:szCs w:val="20"/>
              </w:rPr>
              <w:t> </w:t>
            </w:r>
          </w:p>
        </w:tc>
      </w:tr>
      <w:tr w:rsidR="00000000" w14:paraId="1D401FBE" w14:textId="77777777">
        <w:trPr>
          <w:tblCellSpacing w:w="0" w:type="dxa"/>
        </w:trPr>
        <w:tc>
          <w:tcPr>
            <w:tcW w:w="650" w:type="pct"/>
            <w:gridSpan w:val="2"/>
            <w:hideMark/>
          </w:tcPr>
          <w:p w14:paraId="679F37D7"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622E1748" w14:textId="77777777" w:rsidR="00000000" w:rsidRDefault="0053651E">
            <w:pPr>
              <w:rPr>
                <w:rFonts w:eastAsia="Times New Roman"/>
                <w:sz w:val="20"/>
                <w:szCs w:val="20"/>
              </w:rPr>
            </w:pPr>
            <w:r>
              <w:rPr>
                <w:rFonts w:eastAsia="Times New Roman"/>
                <w:sz w:val="20"/>
                <w:szCs w:val="20"/>
              </w:rPr>
              <w:t> </w:t>
            </w:r>
          </w:p>
        </w:tc>
      </w:tr>
      <w:tr w:rsidR="00000000" w14:paraId="591BBA22" w14:textId="77777777">
        <w:trPr>
          <w:tblCellSpacing w:w="0" w:type="dxa"/>
        </w:trPr>
        <w:tc>
          <w:tcPr>
            <w:tcW w:w="650" w:type="pct"/>
            <w:hideMark/>
          </w:tcPr>
          <w:p w14:paraId="400E75CB" w14:textId="77777777" w:rsidR="00000000" w:rsidRDefault="0053651E">
            <w:pPr>
              <w:pStyle w:val="a3"/>
              <w:spacing w:before="0" w:beforeAutospacing="0" w:after="0" w:afterAutospacing="0"/>
              <w:ind w:left="640" w:firstLine="360"/>
              <w:rPr>
                <w:sz w:val="20"/>
                <w:szCs w:val="20"/>
              </w:rPr>
            </w:pPr>
            <w:r>
              <w:rPr>
                <w:sz w:val="20"/>
                <w:szCs w:val="20"/>
              </w:rPr>
              <w:t>II.</w:t>
            </w:r>
          </w:p>
        </w:tc>
        <w:tc>
          <w:tcPr>
            <w:tcW w:w="3900" w:type="pct"/>
            <w:hideMark/>
          </w:tcPr>
          <w:p w14:paraId="05C9C850" w14:textId="77777777" w:rsidR="00000000" w:rsidRDefault="0053651E">
            <w:pPr>
              <w:pStyle w:val="a3"/>
              <w:spacing w:before="0" w:beforeAutospacing="0" w:after="0" w:afterAutospacing="0"/>
              <w:rPr>
                <w:sz w:val="20"/>
                <w:szCs w:val="20"/>
              </w:rPr>
            </w:pPr>
            <w:hyperlink w:anchor="sch2" w:history="1">
              <w:r>
                <w:rPr>
                  <w:rStyle w:val="a4"/>
                  <w:sz w:val="20"/>
                  <w:szCs w:val="20"/>
                </w:rPr>
                <w:t>Valuation and Qualifying Accounts years ended December 31, 2019, 2018 and 2017</w:t>
              </w:r>
            </w:hyperlink>
          </w:p>
        </w:tc>
        <w:tc>
          <w:tcPr>
            <w:tcW w:w="450" w:type="pct"/>
            <w:vAlign w:val="bottom"/>
            <w:hideMark/>
          </w:tcPr>
          <w:p w14:paraId="29165731" w14:textId="77777777" w:rsidR="00000000" w:rsidRDefault="0053651E">
            <w:pPr>
              <w:pStyle w:val="a3"/>
              <w:spacing w:before="0" w:beforeAutospacing="0" w:after="0" w:afterAutospacing="0"/>
              <w:jc w:val="center"/>
              <w:rPr>
                <w:sz w:val="20"/>
                <w:szCs w:val="20"/>
              </w:rPr>
            </w:pPr>
            <w:r>
              <w:rPr>
                <w:sz w:val="20"/>
                <w:szCs w:val="20"/>
              </w:rPr>
              <w:t>88</w:t>
            </w:r>
          </w:p>
        </w:tc>
      </w:tr>
      <w:tr w:rsidR="00000000" w14:paraId="70AC9072" w14:textId="77777777">
        <w:trPr>
          <w:tblCellSpacing w:w="0" w:type="dxa"/>
        </w:trPr>
        <w:tc>
          <w:tcPr>
            <w:tcW w:w="650" w:type="pct"/>
            <w:hideMark/>
          </w:tcPr>
          <w:p w14:paraId="17C08132" w14:textId="77777777" w:rsidR="00000000" w:rsidRDefault="0053651E">
            <w:pPr>
              <w:pStyle w:val="a3"/>
              <w:spacing w:before="0" w:beforeAutospacing="0" w:after="0" w:afterAutospacing="0"/>
              <w:ind w:left="639" w:firstLine="360"/>
              <w:rPr>
                <w:sz w:val="20"/>
                <w:szCs w:val="20"/>
              </w:rPr>
            </w:pPr>
            <w:r>
              <w:rPr>
                <w:sz w:val="20"/>
                <w:szCs w:val="20"/>
              </w:rPr>
              <w:t>III.</w:t>
            </w:r>
          </w:p>
        </w:tc>
        <w:tc>
          <w:tcPr>
            <w:tcW w:w="3900" w:type="pct"/>
            <w:hideMark/>
          </w:tcPr>
          <w:p w14:paraId="4F2922A5" w14:textId="77777777" w:rsidR="00000000" w:rsidRDefault="0053651E">
            <w:pPr>
              <w:pStyle w:val="a3"/>
              <w:spacing w:before="0" w:beforeAutospacing="0" w:after="0" w:afterAutospacing="0"/>
              <w:rPr>
                <w:sz w:val="20"/>
                <w:szCs w:val="20"/>
              </w:rPr>
            </w:pPr>
            <w:hyperlink w:anchor="scthree" w:history="1">
              <w:r>
                <w:rPr>
                  <w:rStyle w:val="a4"/>
                  <w:sz w:val="20"/>
                  <w:szCs w:val="20"/>
                </w:rPr>
                <w:t>Real Estate and Accumulated Depreciation as of December 31, 2019</w:t>
              </w:r>
            </w:hyperlink>
          </w:p>
        </w:tc>
        <w:tc>
          <w:tcPr>
            <w:tcW w:w="450" w:type="pct"/>
            <w:vAlign w:val="bottom"/>
            <w:hideMark/>
          </w:tcPr>
          <w:p w14:paraId="7822F8B8" w14:textId="77777777" w:rsidR="00000000" w:rsidRDefault="0053651E">
            <w:pPr>
              <w:pStyle w:val="a3"/>
              <w:spacing w:before="0" w:beforeAutospacing="0" w:after="0" w:afterAutospacing="0"/>
              <w:jc w:val="center"/>
              <w:rPr>
                <w:sz w:val="20"/>
                <w:szCs w:val="20"/>
              </w:rPr>
            </w:pPr>
            <w:r>
              <w:rPr>
                <w:sz w:val="20"/>
                <w:szCs w:val="20"/>
              </w:rPr>
              <w:t>89</w:t>
            </w:r>
          </w:p>
        </w:tc>
      </w:tr>
      <w:tr w:rsidR="00000000" w14:paraId="5AD98964" w14:textId="77777777">
        <w:trPr>
          <w:tblCellSpacing w:w="0" w:type="dxa"/>
        </w:trPr>
        <w:tc>
          <w:tcPr>
            <w:tcW w:w="650" w:type="pct"/>
            <w:hideMark/>
          </w:tcPr>
          <w:p w14:paraId="272E4AF2" w14:textId="77777777" w:rsidR="00000000" w:rsidRDefault="0053651E">
            <w:pPr>
              <w:pStyle w:val="a3"/>
              <w:spacing w:before="0" w:beforeAutospacing="0" w:after="0" w:afterAutospacing="0"/>
              <w:ind w:left="639" w:firstLine="360"/>
              <w:rPr>
                <w:sz w:val="20"/>
                <w:szCs w:val="20"/>
              </w:rPr>
            </w:pPr>
            <w:r>
              <w:rPr>
                <w:sz w:val="20"/>
                <w:szCs w:val="20"/>
              </w:rPr>
              <w:t>IV.</w:t>
            </w:r>
          </w:p>
        </w:tc>
        <w:tc>
          <w:tcPr>
            <w:tcW w:w="3900" w:type="pct"/>
            <w:hideMark/>
          </w:tcPr>
          <w:p w14:paraId="35FDDE30" w14:textId="77777777" w:rsidR="00000000" w:rsidRDefault="0053651E">
            <w:pPr>
              <w:pStyle w:val="a3"/>
              <w:spacing w:before="0" w:beforeAutospacing="0" w:after="0" w:afterAutospacing="0"/>
              <w:rPr>
                <w:sz w:val="20"/>
                <w:szCs w:val="20"/>
              </w:rPr>
            </w:pPr>
            <w:hyperlink w:anchor="sch4" w:history="1">
              <w:r>
                <w:rPr>
                  <w:rStyle w:val="a4"/>
                  <w:sz w:val="20"/>
                  <w:szCs w:val="20"/>
                </w:rPr>
                <w:t>Mortgage Loans on Real Estate as of December 31, 2019</w:t>
              </w:r>
            </w:hyperlink>
          </w:p>
        </w:tc>
        <w:tc>
          <w:tcPr>
            <w:tcW w:w="450" w:type="pct"/>
            <w:vAlign w:val="bottom"/>
            <w:hideMark/>
          </w:tcPr>
          <w:p w14:paraId="67419AB9" w14:textId="77777777" w:rsidR="00000000" w:rsidRDefault="0053651E">
            <w:pPr>
              <w:pStyle w:val="a3"/>
              <w:spacing w:before="0" w:beforeAutospacing="0" w:after="0" w:afterAutospacing="0"/>
              <w:jc w:val="center"/>
              <w:rPr>
                <w:sz w:val="20"/>
                <w:szCs w:val="20"/>
              </w:rPr>
            </w:pPr>
            <w:r>
              <w:rPr>
                <w:sz w:val="20"/>
                <w:szCs w:val="20"/>
              </w:rPr>
              <w:t>90</w:t>
            </w:r>
          </w:p>
        </w:tc>
      </w:tr>
    </w:tbl>
    <w:p w14:paraId="6678A787" w14:textId="77777777" w:rsidR="00000000" w:rsidRDefault="0053651E">
      <w:pPr>
        <w:pStyle w:val="a3"/>
        <w:spacing w:before="0" w:beforeAutospacing="0" w:after="0" w:afterAutospacing="0"/>
        <w:ind w:firstLine="360"/>
        <w:rPr>
          <w:sz w:val="20"/>
          <w:szCs w:val="20"/>
        </w:rPr>
      </w:pPr>
      <w:r>
        <w:rPr>
          <w:sz w:val="20"/>
          <w:szCs w:val="20"/>
        </w:rPr>
        <w:t> </w:t>
      </w:r>
    </w:p>
    <w:p w14:paraId="3DBFDCF4" w14:textId="77777777" w:rsidR="00000000" w:rsidRDefault="0053651E">
      <w:pPr>
        <w:jc w:val="center"/>
        <w:divId w:val="1217351824"/>
        <w:rPr>
          <w:rFonts w:eastAsia="Times New Roman"/>
          <w:sz w:val="20"/>
          <w:szCs w:val="20"/>
        </w:rPr>
      </w:pPr>
      <w:r>
        <w:rPr>
          <w:rFonts w:eastAsia="Times New Roman"/>
          <w:sz w:val="20"/>
          <w:szCs w:val="20"/>
        </w:rPr>
        <w:t xml:space="preserve">42 </w:t>
      </w:r>
    </w:p>
    <w:p w14:paraId="048C6099" w14:textId="77777777" w:rsidR="00000000" w:rsidRDefault="0053651E">
      <w:pPr>
        <w:divId w:val="1217351824"/>
        <w:rPr>
          <w:rFonts w:eastAsia="Times New Roman"/>
          <w:sz w:val="20"/>
          <w:szCs w:val="20"/>
        </w:rPr>
      </w:pPr>
      <w:r>
        <w:rPr>
          <w:rFonts w:eastAsia="Times New Roman"/>
          <w:sz w:val="20"/>
          <w:szCs w:val="20"/>
        </w:rPr>
        <w:pict w14:anchorId="2F5FA889">
          <v:rect id="_x0000_i1073" style="width:0;height:1.5pt" o:hralign="center" o:hrstd="t" o:hr="t" fillcolor="#a0a0a0" stroked="f"/>
        </w:pict>
      </w:r>
    </w:p>
    <w:p w14:paraId="18628CE6" w14:textId="77777777" w:rsidR="00000000" w:rsidRDefault="0053651E">
      <w:pPr>
        <w:divId w:val="12173518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7C419B1" w14:textId="77777777" w:rsidR="00000000" w:rsidRDefault="0053651E">
      <w:pPr>
        <w:pStyle w:val="a3"/>
        <w:spacing w:before="0" w:beforeAutospacing="0" w:after="0" w:afterAutospacing="0"/>
        <w:rPr>
          <w:sz w:val="20"/>
          <w:szCs w:val="20"/>
        </w:rPr>
      </w:pPr>
      <w:r>
        <w:rPr>
          <w:sz w:val="20"/>
          <w:szCs w:val="20"/>
        </w:rPr>
        <w:t> </w:t>
      </w:r>
    </w:p>
    <w:p w14:paraId="591A4F60" w14:textId="77777777" w:rsidR="00000000" w:rsidRDefault="0053651E">
      <w:pPr>
        <w:pStyle w:val="a3"/>
        <w:spacing w:before="0" w:beforeAutospacing="0" w:after="0" w:afterAutospacing="0"/>
        <w:ind w:left="540" w:right="240"/>
        <w:jc w:val="center"/>
        <w:rPr>
          <w:sz w:val="20"/>
          <w:szCs w:val="20"/>
        </w:rPr>
      </w:pPr>
      <w:r>
        <w:rPr>
          <w:b/>
          <w:bCs/>
          <w:sz w:val="20"/>
          <w:szCs w:val="20"/>
        </w:rPr>
        <w:t>Report of Independent Registered Public Accounting Firm</w:t>
      </w:r>
    </w:p>
    <w:p w14:paraId="6163F8EE" w14:textId="77777777" w:rsidR="00000000" w:rsidRDefault="0053651E">
      <w:pPr>
        <w:pStyle w:val="a3"/>
        <w:spacing w:before="0" w:beforeAutospacing="0" w:after="0" w:afterAutospacing="0"/>
        <w:rPr>
          <w:sz w:val="20"/>
          <w:szCs w:val="20"/>
        </w:rPr>
      </w:pPr>
      <w:r>
        <w:rPr>
          <w:b/>
          <w:bCs/>
          <w:sz w:val="20"/>
          <w:szCs w:val="20"/>
        </w:rPr>
        <w:t> </w:t>
      </w:r>
    </w:p>
    <w:p w14:paraId="5351A13F" w14:textId="77777777" w:rsidR="00000000" w:rsidRDefault="0053651E">
      <w:pPr>
        <w:pStyle w:val="a3"/>
        <w:spacing w:before="0" w:beforeAutospacing="0" w:after="0" w:afterAutospacing="0"/>
        <w:rPr>
          <w:sz w:val="20"/>
          <w:szCs w:val="20"/>
        </w:rPr>
      </w:pPr>
      <w:r>
        <w:rPr>
          <w:sz w:val="20"/>
          <w:szCs w:val="20"/>
        </w:rPr>
        <w:t>To the</w:t>
      </w:r>
      <w:r>
        <w:rPr>
          <w:b/>
          <w:bCs/>
          <w:sz w:val="20"/>
          <w:szCs w:val="20"/>
        </w:rPr>
        <w:t xml:space="preserve"> </w:t>
      </w:r>
      <w:r>
        <w:rPr>
          <w:sz w:val="20"/>
          <w:szCs w:val="20"/>
        </w:rPr>
        <w:t>Board of Directors and Stockholders</w:t>
      </w:r>
    </w:p>
    <w:p w14:paraId="7DA3BF1B" w14:textId="77777777" w:rsidR="00000000" w:rsidRDefault="0053651E">
      <w:pPr>
        <w:pStyle w:val="a3"/>
        <w:spacing w:before="0" w:beforeAutospacing="0" w:after="0" w:afterAutospacing="0"/>
        <w:rPr>
          <w:sz w:val="20"/>
          <w:szCs w:val="20"/>
        </w:rPr>
      </w:pPr>
      <w:r>
        <w:rPr>
          <w:sz w:val="20"/>
          <w:szCs w:val="20"/>
        </w:rPr>
        <w:t>of Kimco Realty Corporation:</w:t>
      </w:r>
    </w:p>
    <w:p w14:paraId="0DE76B1E" w14:textId="77777777" w:rsidR="00000000" w:rsidRDefault="0053651E">
      <w:pPr>
        <w:pStyle w:val="a3"/>
        <w:spacing w:before="0" w:beforeAutospacing="0" w:after="0" w:afterAutospacing="0"/>
        <w:rPr>
          <w:sz w:val="20"/>
          <w:szCs w:val="20"/>
        </w:rPr>
      </w:pPr>
      <w:r>
        <w:rPr>
          <w:sz w:val="20"/>
          <w:szCs w:val="20"/>
        </w:rPr>
        <w:t> </w:t>
      </w:r>
    </w:p>
    <w:p w14:paraId="02051E91" w14:textId="77777777" w:rsidR="00000000" w:rsidRDefault="0053651E">
      <w:pPr>
        <w:pStyle w:val="a3"/>
        <w:spacing w:before="0" w:beforeAutospacing="0" w:after="0" w:afterAutospacing="0"/>
        <w:rPr>
          <w:sz w:val="20"/>
          <w:szCs w:val="20"/>
        </w:rPr>
      </w:pPr>
      <w:r>
        <w:rPr>
          <w:b/>
          <w:bCs/>
          <w:i/>
          <w:iCs/>
          <w:sz w:val="20"/>
          <w:szCs w:val="20"/>
        </w:rPr>
        <w:t>Opinions on the Financial Statements and Internal Control over Financial Reporting</w:t>
      </w:r>
    </w:p>
    <w:p w14:paraId="19724ACA" w14:textId="77777777" w:rsidR="00000000" w:rsidRDefault="0053651E">
      <w:pPr>
        <w:pStyle w:val="a3"/>
        <w:spacing w:before="0" w:beforeAutospacing="0" w:after="0" w:afterAutospacing="0"/>
        <w:rPr>
          <w:sz w:val="20"/>
          <w:szCs w:val="20"/>
        </w:rPr>
      </w:pPr>
      <w:r>
        <w:rPr>
          <w:sz w:val="20"/>
          <w:szCs w:val="20"/>
        </w:rPr>
        <w:t> </w:t>
      </w:r>
    </w:p>
    <w:p w14:paraId="50ABDE02" w14:textId="77777777" w:rsidR="00000000" w:rsidRDefault="0053651E">
      <w:pPr>
        <w:pStyle w:val="a3"/>
        <w:spacing w:before="0" w:beforeAutospacing="0" w:after="0" w:afterAutospacing="0"/>
        <w:ind w:left="144" w:right="144"/>
        <w:jc w:val="both"/>
        <w:rPr>
          <w:sz w:val="20"/>
          <w:szCs w:val="20"/>
        </w:rPr>
      </w:pPr>
      <w:r>
        <w:rPr>
          <w:sz w:val="20"/>
          <w:szCs w:val="20"/>
        </w:rPr>
        <w:t>We have audited the consolidated financial statements, including the related notes, as listed in the index appearing under Item 15(a)(1), an</w:t>
      </w:r>
      <w:r>
        <w:rPr>
          <w:sz w:val="20"/>
          <w:szCs w:val="20"/>
        </w:rPr>
        <w:t>d the financial statement schedules listed in the index appearing under Item 15(a)(2), of Kimco Realty Corporation and its subsidiarie</w:t>
      </w:r>
      <w:r>
        <w:rPr>
          <w:sz w:val="20"/>
          <w:szCs w:val="20"/>
        </w:rPr>
        <w:t>s</w:t>
      </w:r>
      <w:r>
        <w:rPr>
          <w:sz w:val="20"/>
          <w:szCs w:val="20"/>
          <w:vertAlign w:val="superscript"/>
        </w:rPr>
        <w:t xml:space="preserve"> </w:t>
      </w:r>
      <w:r>
        <w:rPr>
          <w:sz w:val="20"/>
          <w:szCs w:val="20"/>
        </w:rPr>
        <w:t>(collectively referred to as the “consolidated financial statements”). We also have audited the Company's internal contr</w:t>
      </w:r>
      <w:r>
        <w:rPr>
          <w:sz w:val="20"/>
          <w:szCs w:val="20"/>
        </w:rPr>
        <w:t xml:space="preserve">ol over financial reporting as of December 31, 2019, based on criteria established in </w:t>
      </w:r>
      <w:r>
        <w:rPr>
          <w:i/>
          <w:iCs/>
          <w:sz w:val="20"/>
          <w:szCs w:val="20"/>
        </w:rPr>
        <w:t xml:space="preserve">Internal Control - Integrated Framework </w:t>
      </w:r>
      <w:r>
        <w:rPr>
          <w:sz w:val="20"/>
          <w:szCs w:val="20"/>
        </w:rPr>
        <w:t>(2013) issued by the Committee of Sponsoring Organizations of the Treadway Commission (COSO). </w:t>
      </w:r>
    </w:p>
    <w:p w14:paraId="6C70CD2A" w14:textId="77777777" w:rsidR="00000000" w:rsidRDefault="0053651E">
      <w:pPr>
        <w:pStyle w:val="a3"/>
        <w:spacing w:before="0" w:beforeAutospacing="0" w:after="0" w:afterAutospacing="0"/>
        <w:ind w:left="144" w:right="144"/>
        <w:jc w:val="both"/>
        <w:rPr>
          <w:sz w:val="20"/>
          <w:szCs w:val="20"/>
        </w:rPr>
      </w:pPr>
      <w:r>
        <w:rPr>
          <w:sz w:val="20"/>
          <w:szCs w:val="20"/>
        </w:rPr>
        <w:t> </w:t>
      </w:r>
    </w:p>
    <w:p w14:paraId="3E7BA750" w14:textId="77777777" w:rsidR="00000000" w:rsidRDefault="0053651E">
      <w:pPr>
        <w:pStyle w:val="a3"/>
        <w:spacing w:before="0" w:beforeAutospacing="0" w:after="0" w:afterAutospacing="0"/>
        <w:ind w:left="144" w:right="144"/>
        <w:jc w:val="both"/>
        <w:rPr>
          <w:sz w:val="20"/>
          <w:szCs w:val="20"/>
        </w:rPr>
      </w:pPr>
      <w:r>
        <w:rPr>
          <w:sz w:val="20"/>
          <w:szCs w:val="20"/>
        </w:rPr>
        <w:t xml:space="preserve">In our opinion, the consolidated </w:t>
      </w:r>
      <w:r>
        <w:rPr>
          <w:sz w:val="20"/>
          <w:szCs w:val="20"/>
        </w:rPr>
        <w:t>financial statements referred to above present fairly, in all material respects, the financial position of the Company as of December 31, 2019 and 2018, and the results of its operations and its cash flows for each of the three years in the period ended De</w:t>
      </w:r>
      <w:r>
        <w:rPr>
          <w:sz w:val="20"/>
          <w:szCs w:val="20"/>
        </w:rPr>
        <w:t>cember 31, 2019 in conformity with accounting principles generally accepted in the United States of America. Also in our opinion, the Company maintained, in all material respects, effective internal control over financial reporting as of December 31, 2019,</w:t>
      </w:r>
      <w:r>
        <w:rPr>
          <w:sz w:val="20"/>
          <w:szCs w:val="20"/>
        </w:rPr>
        <w:t xml:space="preserve"> based on criteria established in </w:t>
      </w:r>
      <w:r>
        <w:rPr>
          <w:i/>
          <w:iCs/>
          <w:sz w:val="20"/>
          <w:szCs w:val="20"/>
        </w:rPr>
        <w:t xml:space="preserve">Internal Control - Integrated Framework </w:t>
      </w:r>
      <w:r>
        <w:rPr>
          <w:sz w:val="20"/>
          <w:szCs w:val="20"/>
        </w:rPr>
        <w:t>(2013) issued by the COSO.</w:t>
      </w:r>
    </w:p>
    <w:p w14:paraId="28CE8700" w14:textId="77777777" w:rsidR="00000000" w:rsidRDefault="0053651E">
      <w:pPr>
        <w:pStyle w:val="a3"/>
        <w:spacing w:before="0" w:beforeAutospacing="0" w:after="0" w:afterAutospacing="0"/>
        <w:ind w:left="144" w:right="144"/>
        <w:jc w:val="both"/>
        <w:rPr>
          <w:sz w:val="20"/>
          <w:szCs w:val="20"/>
        </w:rPr>
      </w:pPr>
      <w:r>
        <w:rPr>
          <w:sz w:val="20"/>
          <w:szCs w:val="20"/>
        </w:rPr>
        <w:t> </w:t>
      </w:r>
    </w:p>
    <w:p w14:paraId="161DC3CC" w14:textId="77777777" w:rsidR="00000000" w:rsidRDefault="0053651E">
      <w:pPr>
        <w:pStyle w:val="a3"/>
        <w:spacing w:before="0" w:beforeAutospacing="0" w:after="0" w:afterAutospacing="0"/>
        <w:ind w:left="144" w:right="144"/>
        <w:jc w:val="both"/>
        <w:rPr>
          <w:sz w:val="20"/>
          <w:szCs w:val="20"/>
        </w:rPr>
      </w:pPr>
      <w:r>
        <w:rPr>
          <w:b/>
          <w:bCs/>
          <w:i/>
          <w:iCs/>
          <w:sz w:val="20"/>
          <w:szCs w:val="20"/>
        </w:rPr>
        <w:t>Basis for Opinions</w:t>
      </w:r>
    </w:p>
    <w:p w14:paraId="0EED36D0" w14:textId="77777777" w:rsidR="00000000" w:rsidRDefault="0053651E">
      <w:pPr>
        <w:pStyle w:val="a3"/>
        <w:spacing w:before="0" w:beforeAutospacing="0" w:after="0" w:afterAutospacing="0"/>
        <w:ind w:left="144" w:right="144"/>
        <w:jc w:val="both"/>
        <w:rPr>
          <w:sz w:val="20"/>
          <w:szCs w:val="20"/>
        </w:rPr>
      </w:pPr>
      <w:r>
        <w:rPr>
          <w:sz w:val="20"/>
          <w:szCs w:val="20"/>
        </w:rPr>
        <w:t> </w:t>
      </w:r>
    </w:p>
    <w:p w14:paraId="3D5C8AE7" w14:textId="77777777" w:rsidR="00000000" w:rsidRDefault="0053651E">
      <w:pPr>
        <w:pStyle w:val="a3"/>
        <w:spacing w:before="0" w:beforeAutospacing="0" w:after="0" w:afterAutospacing="0"/>
        <w:ind w:left="144" w:right="144"/>
        <w:jc w:val="both"/>
        <w:rPr>
          <w:sz w:val="20"/>
          <w:szCs w:val="20"/>
        </w:rPr>
      </w:pPr>
      <w:r>
        <w:rPr>
          <w:sz w:val="20"/>
          <w:szCs w:val="20"/>
        </w:rPr>
        <w:t>The Company's management is responsible for these consolidated financial statements, for maintaining effective internal control over</w:t>
      </w:r>
      <w:r>
        <w:rPr>
          <w:sz w:val="20"/>
          <w:szCs w:val="20"/>
        </w:rPr>
        <w:t xml:space="preserve"> financial reporting, and for its assessment of the effectiveness of internal control over financial reporting, included in Management's Report on Internal Control Over Financial Reporting appearing under Item 9A. Our responsibility is to express opinions </w:t>
      </w:r>
      <w:r>
        <w:rPr>
          <w:sz w:val="20"/>
          <w:szCs w:val="20"/>
        </w:rPr>
        <w:t>on the Company’s consolidated financial statements and on the Company's internal control over financial reporting based on our audits. We are a public accounting firm registered with the Public Company Accounting Oversight Board (United States) (PCAOB) and</w:t>
      </w:r>
      <w:r>
        <w:rPr>
          <w:sz w:val="20"/>
          <w:szCs w:val="20"/>
        </w:rPr>
        <w:t xml:space="preserve"> are required to be independent with respect to the Company in accordance with the U.S. federal securities laws and the applicable rules and regulations of the Securities and Exchange Commission and the PCAOB.</w:t>
      </w:r>
    </w:p>
    <w:p w14:paraId="22498262" w14:textId="77777777" w:rsidR="00000000" w:rsidRDefault="0053651E">
      <w:pPr>
        <w:pStyle w:val="a3"/>
        <w:spacing w:before="0" w:beforeAutospacing="0" w:after="0" w:afterAutospacing="0"/>
        <w:ind w:left="144" w:right="144"/>
        <w:jc w:val="both"/>
        <w:rPr>
          <w:sz w:val="20"/>
          <w:szCs w:val="20"/>
        </w:rPr>
      </w:pPr>
      <w:r>
        <w:rPr>
          <w:sz w:val="20"/>
          <w:szCs w:val="20"/>
        </w:rPr>
        <w:t> </w:t>
      </w:r>
    </w:p>
    <w:p w14:paraId="791BA17F" w14:textId="77777777" w:rsidR="00000000" w:rsidRDefault="0053651E">
      <w:pPr>
        <w:pStyle w:val="a3"/>
        <w:spacing w:before="0" w:beforeAutospacing="0" w:after="0" w:afterAutospacing="0"/>
        <w:ind w:left="144" w:right="144"/>
        <w:jc w:val="both"/>
        <w:rPr>
          <w:sz w:val="20"/>
          <w:szCs w:val="20"/>
        </w:rPr>
      </w:pPr>
      <w:r>
        <w:rPr>
          <w:sz w:val="20"/>
          <w:szCs w:val="20"/>
        </w:rPr>
        <w:t>We conducted our audits in accordance with t</w:t>
      </w:r>
      <w:r>
        <w:rPr>
          <w:sz w:val="20"/>
          <w:szCs w:val="20"/>
        </w:rPr>
        <w:t>he standards of the PCAOB. Those standards require that we plan and perform the audits to obtain reasonable assurance about whether the consolidated financial statements are free of material misstatement, whether due to error or fraud, and whether effectiv</w:t>
      </w:r>
      <w:r>
        <w:rPr>
          <w:sz w:val="20"/>
          <w:szCs w:val="20"/>
        </w:rPr>
        <w:t>e internal control over financial reporting was maintained in all material respects. </w:t>
      </w:r>
    </w:p>
    <w:p w14:paraId="340F724F" w14:textId="77777777" w:rsidR="00000000" w:rsidRDefault="0053651E">
      <w:pPr>
        <w:pStyle w:val="a3"/>
        <w:spacing w:before="0" w:beforeAutospacing="0" w:after="0" w:afterAutospacing="0"/>
        <w:ind w:left="144" w:right="144"/>
        <w:jc w:val="both"/>
        <w:rPr>
          <w:sz w:val="20"/>
          <w:szCs w:val="20"/>
        </w:rPr>
      </w:pPr>
      <w:r>
        <w:rPr>
          <w:sz w:val="20"/>
          <w:szCs w:val="20"/>
        </w:rPr>
        <w:t> </w:t>
      </w:r>
    </w:p>
    <w:p w14:paraId="4FA10D33" w14:textId="77777777" w:rsidR="00000000" w:rsidRDefault="0053651E">
      <w:pPr>
        <w:pStyle w:val="a3"/>
        <w:spacing w:before="0" w:beforeAutospacing="0" w:after="0" w:afterAutospacing="0"/>
        <w:ind w:left="144" w:right="144"/>
        <w:jc w:val="both"/>
        <w:rPr>
          <w:sz w:val="20"/>
          <w:szCs w:val="20"/>
        </w:rPr>
      </w:pPr>
      <w:r>
        <w:rPr>
          <w:sz w:val="20"/>
          <w:szCs w:val="20"/>
        </w:rPr>
        <w:t>Our audits of the consolidated financial statements included performing procedures to assess the risks of material misstatement of the consolidated financial statements</w:t>
      </w:r>
      <w:r>
        <w:rPr>
          <w:sz w:val="20"/>
          <w:szCs w:val="20"/>
        </w:rPr>
        <w:t>, whether due to error or fraud, and performing procedures that respond to those risks. Such procedures included examining, on a test basis, evidence regarding the amounts and disclosures in the consolidated financial statements. Our audits also included e</w:t>
      </w:r>
      <w:r>
        <w:rPr>
          <w:sz w:val="20"/>
          <w:szCs w:val="20"/>
        </w:rPr>
        <w:t>valuating the accounting principles used and significant estimates made by management, as well as evaluating the overall presentation of the consolidated financial statements. Our audit of internal control over financial reporting included obtaining an und</w:t>
      </w:r>
      <w:r>
        <w:rPr>
          <w:sz w:val="20"/>
          <w:szCs w:val="20"/>
        </w:rPr>
        <w:t>erstanding of internal control over financial reporting, assessing the risk that a material weakness exists, and testing and evaluating the design and operating effectiveness of internal control based on the assessed risk. Our audits also included performi</w:t>
      </w:r>
      <w:r>
        <w:rPr>
          <w:sz w:val="20"/>
          <w:szCs w:val="20"/>
        </w:rPr>
        <w:t>ng such other procedures as we considered necessary in the circumstances. We believe that our audits provide a reasonable basis for our opinions.</w:t>
      </w:r>
    </w:p>
    <w:p w14:paraId="708448D2" w14:textId="77777777" w:rsidR="00000000" w:rsidRDefault="0053651E">
      <w:pPr>
        <w:pStyle w:val="a3"/>
        <w:spacing w:before="0" w:beforeAutospacing="0" w:after="0" w:afterAutospacing="0"/>
        <w:ind w:left="144" w:right="144"/>
        <w:jc w:val="both"/>
        <w:rPr>
          <w:sz w:val="20"/>
          <w:szCs w:val="20"/>
        </w:rPr>
      </w:pPr>
      <w:r>
        <w:rPr>
          <w:sz w:val="20"/>
          <w:szCs w:val="20"/>
        </w:rPr>
        <w:t> </w:t>
      </w:r>
    </w:p>
    <w:p w14:paraId="1DEAA4B1" w14:textId="77777777" w:rsidR="00000000" w:rsidRDefault="0053651E">
      <w:pPr>
        <w:pStyle w:val="a3"/>
        <w:spacing w:before="0" w:beforeAutospacing="0" w:after="0" w:afterAutospacing="0"/>
        <w:ind w:left="144" w:right="144"/>
        <w:jc w:val="both"/>
        <w:rPr>
          <w:sz w:val="20"/>
          <w:szCs w:val="20"/>
        </w:rPr>
      </w:pPr>
      <w:r>
        <w:rPr>
          <w:b/>
          <w:bCs/>
          <w:i/>
          <w:iCs/>
          <w:sz w:val="20"/>
          <w:szCs w:val="20"/>
        </w:rPr>
        <w:t>Definition and Limitations of Internal Control over Financial Reporting</w:t>
      </w:r>
    </w:p>
    <w:p w14:paraId="4DBCCC47" w14:textId="77777777" w:rsidR="00000000" w:rsidRDefault="0053651E">
      <w:pPr>
        <w:pStyle w:val="a3"/>
        <w:spacing w:before="0" w:beforeAutospacing="0" w:after="0" w:afterAutospacing="0"/>
        <w:ind w:left="144" w:right="144"/>
        <w:jc w:val="both"/>
        <w:rPr>
          <w:sz w:val="20"/>
          <w:szCs w:val="20"/>
        </w:rPr>
      </w:pPr>
      <w:r>
        <w:rPr>
          <w:sz w:val="20"/>
          <w:szCs w:val="20"/>
        </w:rPr>
        <w:t> </w:t>
      </w:r>
    </w:p>
    <w:p w14:paraId="5EF59F8D" w14:textId="77777777" w:rsidR="00000000" w:rsidRDefault="0053651E">
      <w:pPr>
        <w:pStyle w:val="a3"/>
        <w:spacing w:before="0" w:beforeAutospacing="0" w:after="0" w:afterAutospacing="0"/>
        <w:ind w:left="144" w:right="144"/>
        <w:jc w:val="both"/>
        <w:rPr>
          <w:sz w:val="20"/>
          <w:szCs w:val="20"/>
        </w:rPr>
      </w:pPr>
      <w:r>
        <w:rPr>
          <w:sz w:val="20"/>
          <w:szCs w:val="20"/>
        </w:rPr>
        <w:t xml:space="preserve">A company’s internal control over </w:t>
      </w:r>
      <w:r>
        <w:rPr>
          <w:sz w:val="20"/>
          <w:szCs w:val="20"/>
        </w:rPr>
        <w:t>financial reporting is a process designed to provide reasonable assurance regarding the reliability of financial reporting and the preparation of financial statements for external purposes in accordance with generally accepted accounting principles. A comp</w:t>
      </w:r>
      <w:r>
        <w:rPr>
          <w:sz w:val="20"/>
          <w:szCs w:val="20"/>
        </w:rPr>
        <w:t xml:space="preserve">any’s internal control over financial reporting includes those policies and procedures that (i) pertain to the maintenance of records that, in reasonable detail, accurately and fairly reflect the transactions and dispositions of the assets of the company; </w:t>
      </w:r>
      <w:r>
        <w:rPr>
          <w:sz w:val="20"/>
          <w:szCs w:val="20"/>
        </w:rPr>
        <w:t>(ii) provide reasonable assurance that transactions are recorded as necessary to permit preparation of financial statements in accordance with generally accepted accounting principles, and that receipts and expenditures of the company are being made only i</w:t>
      </w:r>
      <w:r>
        <w:rPr>
          <w:sz w:val="20"/>
          <w:szCs w:val="20"/>
        </w:rPr>
        <w:t>n accordance with authorizations of management and directors of the company; and (iii) provide reasonable assurance regarding prevention or timely detection of unauthorized acquisition, use, or disposition of the company’s assets that could have a material</w:t>
      </w:r>
      <w:r>
        <w:rPr>
          <w:sz w:val="20"/>
          <w:szCs w:val="20"/>
        </w:rPr>
        <w:t xml:space="preserve"> effect on the financial statements.</w:t>
      </w:r>
    </w:p>
    <w:p w14:paraId="0FF6C34F" w14:textId="77777777" w:rsidR="00000000" w:rsidRDefault="0053651E">
      <w:pPr>
        <w:pStyle w:val="a3"/>
        <w:spacing w:before="0" w:beforeAutospacing="0" w:after="0" w:afterAutospacing="0"/>
        <w:ind w:left="144" w:right="144"/>
        <w:jc w:val="both"/>
        <w:rPr>
          <w:sz w:val="20"/>
          <w:szCs w:val="20"/>
        </w:rPr>
      </w:pPr>
      <w:r>
        <w:rPr>
          <w:sz w:val="20"/>
          <w:szCs w:val="20"/>
        </w:rPr>
        <w:t> </w:t>
      </w:r>
    </w:p>
    <w:p w14:paraId="08AF746F" w14:textId="77777777" w:rsidR="00000000" w:rsidRDefault="0053651E">
      <w:pPr>
        <w:pStyle w:val="a3"/>
        <w:spacing w:before="0" w:beforeAutospacing="0" w:after="0" w:afterAutospacing="0"/>
        <w:ind w:left="144" w:right="144"/>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w:t>
      </w:r>
      <w:r>
        <w:rPr>
          <w:sz w:val="20"/>
          <w:szCs w:val="20"/>
        </w:rPr>
        <w:t>at controls may become inadequate because of changes in conditions, or that the degree of compliance with the policies or procedures may deteriorate.</w:t>
      </w:r>
    </w:p>
    <w:p w14:paraId="4E128BC8" w14:textId="77777777" w:rsidR="00000000" w:rsidRDefault="0053651E">
      <w:pPr>
        <w:pStyle w:val="a3"/>
        <w:spacing w:before="0" w:beforeAutospacing="0" w:after="0" w:afterAutospacing="0"/>
        <w:ind w:left="144" w:right="144"/>
        <w:jc w:val="both"/>
        <w:rPr>
          <w:sz w:val="20"/>
          <w:szCs w:val="20"/>
        </w:rPr>
      </w:pPr>
      <w:r>
        <w:rPr>
          <w:sz w:val="20"/>
          <w:szCs w:val="20"/>
        </w:rPr>
        <w:t> </w:t>
      </w:r>
    </w:p>
    <w:p w14:paraId="3889601B" w14:textId="77777777" w:rsidR="00000000" w:rsidRDefault="0053651E">
      <w:pPr>
        <w:pStyle w:val="a3"/>
        <w:spacing w:before="0" w:beforeAutospacing="0" w:after="0" w:afterAutospacing="0"/>
        <w:ind w:left="144" w:right="144"/>
        <w:jc w:val="both"/>
        <w:rPr>
          <w:sz w:val="20"/>
          <w:szCs w:val="20"/>
        </w:rPr>
      </w:pPr>
      <w:r>
        <w:rPr>
          <w:b/>
          <w:bCs/>
          <w:i/>
          <w:iCs/>
          <w:sz w:val="20"/>
          <w:szCs w:val="20"/>
        </w:rPr>
        <w:t>Critical Audit Matters</w:t>
      </w:r>
    </w:p>
    <w:p w14:paraId="0938CD98" w14:textId="77777777" w:rsidR="00000000" w:rsidRDefault="0053651E">
      <w:pPr>
        <w:pStyle w:val="a3"/>
        <w:spacing w:before="0" w:beforeAutospacing="0" w:after="0" w:afterAutospacing="0"/>
        <w:ind w:left="144" w:right="144"/>
        <w:jc w:val="both"/>
        <w:rPr>
          <w:sz w:val="20"/>
          <w:szCs w:val="20"/>
        </w:rPr>
      </w:pPr>
      <w:r>
        <w:rPr>
          <w:sz w:val="20"/>
          <w:szCs w:val="20"/>
        </w:rPr>
        <w:t> </w:t>
      </w:r>
    </w:p>
    <w:p w14:paraId="6333F544" w14:textId="77777777" w:rsidR="00000000" w:rsidRDefault="0053651E">
      <w:pPr>
        <w:pStyle w:val="a3"/>
        <w:spacing w:before="0" w:beforeAutospacing="0" w:after="0" w:afterAutospacing="0"/>
        <w:ind w:left="144" w:right="144"/>
        <w:jc w:val="both"/>
        <w:rPr>
          <w:sz w:val="20"/>
          <w:szCs w:val="20"/>
        </w:rPr>
      </w:pPr>
      <w:r>
        <w:rPr>
          <w:sz w:val="20"/>
          <w:szCs w:val="20"/>
        </w:rPr>
        <w:t>The critical audit matter communicated below is a matter arising from the curre</w:t>
      </w:r>
      <w:r>
        <w:rPr>
          <w:sz w:val="20"/>
          <w:szCs w:val="20"/>
        </w:rPr>
        <w:t>nt period audit of the consolidated financial statements that was communicated or required to be communicated to the audit committee and that (i) relates to accounts or disclosures that are material to the consolidated financial statements and (ii) involve</w:t>
      </w:r>
      <w:r>
        <w:rPr>
          <w:sz w:val="20"/>
          <w:szCs w:val="20"/>
        </w:rPr>
        <w:t>d our especially challenging, subjective, or complex judgments. The communication of critical audit matters does not alter in any way our opinion on the consolidated financial statements, taken as a whole, and we are not, by communicating the critical audi</w:t>
      </w:r>
      <w:r>
        <w:rPr>
          <w:sz w:val="20"/>
          <w:szCs w:val="20"/>
        </w:rPr>
        <w:t>t matter below, providing a separate opinion on the critical audit matter or on the accounts or disclosures to which it relates.</w:t>
      </w:r>
    </w:p>
    <w:p w14:paraId="5B55229E" w14:textId="77777777" w:rsidR="00000000" w:rsidRDefault="0053651E">
      <w:pPr>
        <w:pStyle w:val="a3"/>
        <w:spacing w:before="0" w:beforeAutospacing="0" w:after="0" w:afterAutospacing="0"/>
        <w:ind w:left="144" w:right="144"/>
        <w:jc w:val="both"/>
        <w:rPr>
          <w:sz w:val="20"/>
          <w:szCs w:val="20"/>
        </w:rPr>
      </w:pPr>
      <w:r>
        <w:rPr>
          <w:sz w:val="20"/>
          <w:szCs w:val="20"/>
        </w:rPr>
        <w:t> </w:t>
      </w:r>
    </w:p>
    <w:p w14:paraId="6C1DFD55" w14:textId="77777777" w:rsidR="00000000" w:rsidRDefault="0053651E">
      <w:pPr>
        <w:pStyle w:val="a3"/>
        <w:spacing w:before="0" w:beforeAutospacing="0" w:after="0" w:afterAutospacing="0"/>
        <w:ind w:left="144" w:right="144"/>
        <w:jc w:val="both"/>
        <w:rPr>
          <w:sz w:val="20"/>
          <w:szCs w:val="20"/>
        </w:rPr>
      </w:pPr>
      <w:r>
        <w:rPr>
          <w:b/>
          <w:bCs/>
          <w:i/>
          <w:iCs/>
          <w:sz w:val="20"/>
          <w:szCs w:val="20"/>
        </w:rPr>
        <w:t>Impairment of Property Carrying Values</w:t>
      </w:r>
    </w:p>
    <w:p w14:paraId="558CA255" w14:textId="77777777" w:rsidR="00000000" w:rsidRDefault="0053651E">
      <w:pPr>
        <w:pStyle w:val="a3"/>
        <w:spacing w:before="0" w:beforeAutospacing="0" w:after="0" w:afterAutospacing="0"/>
        <w:ind w:left="144" w:right="144"/>
        <w:jc w:val="both"/>
        <w:rPr>
          <w:sz w:val="20"/>
          <w:szCs w:val="20"/>
        </w:rPr>
      </w:pPr>
      <w:r>
        <w:rPr>
          <w:i/>
          <w:iCs/>
          <w:sz w:val="20"/>
          <w:szCs w:val="20"/>
          <w:vertAlign w:val="superscript"/>
        </w:rPr>
        <w:t> </w:t>
      </w:r>
    </w:p>
    <w:p w14:paraId="0F3C8BD8" w14:textId="77777777" w:rsidR="00000000" w:rsidRDefault="0053651E">
      <w:pPr>
        <w:pStyle w:val="a3"/>
        <w:spacing w:before="0" w:beforeAutospacing="0" w:after="0" w:afterAutospacing="0"/>
        <w:ind w:left="144" w:right="144"/>
        <w:jc w:val="both"/>
        <w:rPr>
          <w:sz w:val="20"/>
          <w:szCs w:val="20"/>
        </w:rPr>
      </w:pPr>
      <w:r>
        <w:rPr>
          <w:sz w:val="20"/>
          <w:szCs w:val="20"/>
        </w:rPr>
        <w:t>As described in Notes 1, 6 and 15 to the consolidated financial statements, management continuously assesses whether there are any indicators, including property operating performance, changes in anticipated holding period, general market conditions, and d</w:t>
      </w:r>
      <w:r>
        <w:rPr>
          <w:sz w:val="20"/>
          <w:szCs w:val="20"/>
        </w:rPr>
        <w:t xml:space="preserve">elays of development, that the value of the Company’s real estate assets may be impaired. To the extent management determines an impairment has occurred, the carrying value of the asset would be adjusted to an amount to reflect the estimated fair value of </w:t>
      </w:r>
      <w:r>
        <w:rPr>
          <w:sz w:val="20"/>
          <w:szCs w:val="20"/>
        </w:rPr>
        <w:t>the asset. Management estimates fair values primarily based upon estimated sales prices from signed contracts or letters of intent from third parties, discounted cash flow models, or third party appraisals. Management’s estimated fair values which are base</w:t>
      </w:r>
      <w:r>
        <w:rPr>
          <w:sz w:val="20"/>
          <w:szCs w:val="20"/>
        </w:rPr>
        <w:t>d on discounted cash flow models include all estimated cash inflows and outflows over a specified holding period, capitalization rates and discount rates utilized in these models are based upon unobservable rates that the Company believes to be within a re</w:t>
      </w:r>
      <w:r>
        <w:rPr>
          <w:sz w:val="20"/>
          <w:szCs w:val="20"/>
        </w:rPr>
        <w:t>asonable range of current market rates. The consolidated real estate balance, net of accumulated depreciation and amortization, was $9.2 billion as of December 31, 2019, with $48.7 million of impairment recorded for the year.</w:t>
      </w:r>
    </w:p>
    <w:p w14:paraId="20CDA5B4" w14:textId="77777777" w:rsidR="00000000" w:rsidRDefault="0053651E">
      <w:pPr>
        <w:pStyle w:val="a3"/>
        <w:spacing w:before="0" w:beforeAutospacing="0" w:after="0" w:afterAutospacing="0"/>
        <w:ind w:left="144" w:right="144"/>
        <w:jc w:val="both"/>
        <w:rPr>
          <w:sz w:val="20"/>
          <w:szCs w:val="20"/>
        </w:rPr>
      </w:pPr>
      <w:r>
        <w:rPr>
          <w:sz w:val="20"/>
          <w:szCs w:val="20"/>
        </w:rPr>
        <w:t> </w:t>
      </w:r>
    </w:p>
    <w:p w14:paraId="0C5AA1C4" w14:textId="77777777" w:rsidR="00000000" w:rsidRDefault="0053651E">
      <w:pPr>
        <w:pStyle w:val="a3"/>
        <w:spacing w:before="0" w:beforeAutospacing="0" w:after="0" w:afterAutospacing="0"/>
        <w:ind w:left="144" w:right="144"/>
        <w:jc w:val="both"/>
        <w:rPr>
          <w:sz w:val="20"/>
          <w:szCs w:val="20"/>
        </w:rPr>
      </w:pPr>
      <w:r>
        <w:rPr>
          <w:sz w:val="20"/>
          <w:szCs w:val="20"/>
        </w:rPr>
        <w:t>The principal considerations</w:t>
      </w:r>
      <w:r>
        <w:rPr>
          <w:sz w:val="20"/>
          <w:szCs w:val="20"/>
        </w:rPr>
        <w:t xml:space="preserve"> for our determination that performing procedures relating to the impairment of property carrying values is a critical audit matter are (i) there was significant judgment used by management when developing the discount rates and capitalization rates used i</w:t>
      </w:r>
      <w:r>
        <w:rPr>
          <w:sz w:val="20"/>
          <w:szCs w:val="20"/>
        </w:rPr>
        <w:t>n the discounted cash flow models to determine the fair value measurement related to the real estate impairment assessment, which in turn led to a high degree of auditor judgment and subjectivity in applying audit procedures related to the evaluation of di</w:t>
      </w:r>
      <w:r>
        <w:rPr>
          <w:sz w:val="20"/>
          <w:szCs w:val="20"/>
        </w:rPr>
        <w:t>scount and capitalization rates, (ii) significant audit effort was necessary in evaluating the discount rates and capitalization rates and discounted cash flow models used to estimate the fair value of certain properties, and (iii) the audit effort involve</w:t>
      </w:r>
      <w:r>
        <w:rPr>
          <w:sz w:val="20"/>
          <w:szCs w:val="20"/>
        </w:rPr>
        <w:t>d the use of professionals with specialized skill and knowledge to assist in evaluating the audit evidence obtained from these procedures.</w:t>
      </w:r>
    </w:p>
    <w:p w14:paraId="0BFC9899" w14:textId="77777777" w:rsidR="00000000" w:rsidRDefault="0053651E">
      <w:pPr>
        <w:pStyle w:val="a3"/>
        <w:spacing w:before="0" w:beforeAutospacing="0" w:after="0" w:afterAutospacing="0"/>
        <w:ind w:left="144" w:right="144"/>
        <w:jc w:val="both"/>
        <w:rPr>
          <w:sz w:val="20"/>
          <w:szCs w:val="20"/>
        </w:rPr>
      </w:pPr>
      <w:r>
        <w:rPr>
          <w:sz w:val="20"/>
          <w:szCs w:val="20"/>
        </w:rPr>
        <w:t> </w:t>
      </w:r>
    </w:p>
    <w:p w14:paraId="7476E87D" w14:textId="77777777" w:rsidR="00000000" w:rsidRDefault="0053651E">
      <w:pPr>
        <w:pStyle w:val="a3"/>
        <w:spacing w:before="0" w:beforeAutospacing="0" w:after="0" w:afterAutospacing="0"/>
        <w:ind w:left="144" w:right="144"/>
        <w:jc w:val="both"/>
        <w:rPr>
          <w:sz w:val="20"/>
          <w:szCs w:val="20"/>
        </w:rPr>
      </w:pPr>
      <w:r>
        <w:rPr>
          <w:sz w:val="20"/>
          <w:szCs w:val="20"/>
        </w:rPr>
        <w:t>Addressing the matter involved performing procedures and evaluating audit evidence in connection with forming our o</w:t>
      </w:r>
      <w:r>
        <w:rPr>
          <w:sz w:val="20"/>
          <w:szCs w:val="20"/>
        </w:rPr>
        <w:t>verall opinion on the consolidated financial statements. These procedures included testing the effectiveness of controls relating to the impairment of property carrying values, including controls over the development of significant inputs and assumptions u</w:t>
      </w:r>
      <w:r>
        <w:rPr>
          <w:sz w:val="20"/>
          <w:szCs w:val="20"/>
        </w:rPr>
        <w:t>sed to determine the fair value of the properties. These procedures included, among others, evaluating the discounted cash flow model, testing the completeness, accuracy and relevance of significant inputs, and evaluating the assumptions used by management</w:t>
      </w:r>
      <w:r>
        <w:rPr>
          <w:sz w:val="20"/>
          <w:szCs w:val="20"/>
        </w:rPr>
        <w:t xml:space="preserve"> when developing the fair value measurement, including the discount rates and capitalization rates. Evaluating the discount rate and capitalization rate assumptions involved evaluating whether the assumptions were reasonable considering comparable market d</w:t>
      </w:r>
      <w:r>
        <w:rPr>
          <w:sz w:val="20"/>
          <w:szCs w:val="20"/>
        </w:rPr>
        <w:t>ata, including consideration of geography and quality of the property. Professionals with specialized skill and knowledge were used, as applicable, to assist in evaluating the reasonableness of certain significant assumptions used in the Company’s cash flo</w:t>
      </w:r>
      <w:r>
        <w:rPr>
          <w:sz w:val="20"/>
          <w:szCs w:val="20"/>
        </w:rPr>
        <w:t>w projections, including the discount rates and capitalization rates.</w:t>
      </w:r>
    </w:p>
    <w:p w14:paraId="10C20B7C" w14:textId="77777777" w:rsidR="00000000" w:rsidRDefault="0053651E">
      <w:pPr>
        <w:pStyle w:val="a3"/>
        <w:spacing w:before="0" w:beforeAutospacing="0" w:after="0" w:afterAutospacing="0"/>
        <w:rPr>
          <w:sz w:val="20"/>
          <w:szCs w:val="20"/>
        </w:rPr>
      </w:pPr>
      <w:r>
        <w:rPr>
          <w:sz w:val="20"/>
          <w:szCs w:val="20"/>
        </w:rPr>
        <w:t> </w:t>
      </w:r>
    </w:p>
    <w:p w14:paraId="7F3F4220" w14:textId="77777777" w:rsidR="00000000" w:rsidRDefault="0053651E">
      <w:pPr>
        <w:pStyle w:val="a3"/>
        <w:spacing w:before="0" w:beforeAutospacing="0" w:after="0" w:afterAutospacing="0"/>
        <w:rPr>
          <w:sz w:val="20"/>
          <w:szCs w:val="20"/>
        </w:rPr>
      </w:pPr>
      <w:r>
        <w:rPr>
          <w:sz w:val="20"/>
          <w:szCs w:val="20"/>
        </w:rPr>
        <w:t> </w:t>
      </w:r>
    </w:p>
    <w:p w14:paraId="38D8BAAA" w14:textId="77777777" w:rsidR="00000000" w:rsidRDefault="0053651E">
      <w:pPr>
        <w:pStyle w:val="a3"/>
        <w:spacing w:before="0" w:beforeAutospacing="0" w:after="0" w:afterAutospacing="0"/>
        <w:ind w:left="144" w:right="144"/>
        <w:jc w:val="both"/>
        <w:rPr>
          <w:sz w:val="20"/>
          <w:szCs w:val="20"/>
        </w:rPr>
      </w:pPr>
      <w:r>
        <w:rPr>
          <w:sz w:val="20"/>
          <w:szCs w:val="20"/>
        </w:rPr>
        <w:t>/s/ PricewaterhouseCoopers LLP</w:t>
      </w:r>
    </w:p>
    <w:p w14:paraId="6D7DDB1B" w14:textId="77777777" w:rsidR="00000000" w:rsidRDefault="0053651E">
      <w:pPr>
        <w:pStyle w:val="a3"/>
        <w:spacing w:before="0" w:beforeAutospacing="0" w:after="0" w:afterAutospacing="0"/>
        <w:ind w:left="144" w:right="144"/>
        <w:jc w:val="both"/>
        <w:rPr>
          <w:sz w:val="20"/>
          <w:szCs w:val="20"/>
        </w:rPr>
      </w:pPr>
      <w:r>
        <w:rPr>
          <w:sz w:val="20"/>
          <w:szCs w:val="20"/>
        </w:rPr>
        <w:t>New York, New York</w:t>
      </w:r>
    </w:p>
    <w:p w14:paraId="104B825D" w14:textId="77777777" w:rsidR="00000000" w:rsidRDefault="0053651E">
      <w:pPr>
        <w:pStyle w:val="a3"/>
        <w:spacing w:before="0" w:beforeAutospacing="0" w:after="0" w:afterAutospacing="0"/>
        <w:ind w:left="144" w:right="144"/>
        <w:jc w:val="both"/>
        <w:rPr>
          <w:sz w:val="20"/>
          <w:szCs w:val="20"/>
        </w:rPr>
      </w:pPr>
      <w:r>
        <w:rPr>
          <w:sz w:val="20"/>
          <w:szCs w:val="20"/>
        </w:rPr>
        <w:t>February 25, 2020</w:t>
      </w:r>
    </w:p>
    <w:p w14:paraId="3BD4DE76" w14:textId="77777777" w:rsidR="00000000" w:rsidRDefault="0053651E">
      <w:pPr>
        <w:pStyle w:val="a3"/>
        <w:spacing w:before="0" w:beforeAutospacing="0" w:after="0" w:afterAutospacing="0"/>
        <w:rPr>
          <w:sz w:val="20"/>
          <w:szCs w:val="20"/>
        </w:rPr>
      </w:pPr>
      <w:r>
        <w:rPr>
          <w:sz w:val="20"/>
          <w:szCs w:val="20"/>
        </w:rPr>
        <w:t> </w:t>
      </w:r>
    </w:p>
    <w:p w14:paraId="706722F1" w14:textId="77777777" w:rsidR="00000000" w:rsidRDefault="0053651E">
      <w:pPr>
        <w:pStyle w:val="a3"/>
        <w:spacing w:before="0" w:beforeAutospacing="0" w:after="0" w:afterAutospacing="0"/>
        <w:ind w:left="144" w:right="144"/>
        <w:jc w:val="both"/>
        <w:rPr>
          <w:sz w:val="20"/>
          <w:szCs w:val="20"/>
        </w:rPr>
      </w:pPr>
      <w:r>
        <w:rPr>
          <w:sz w:val="20"/>
          <w:szCs w:val="20"/>
        </w:rPr>
        <w:t>We have served as the Company’s auditor since at least 1991. We have not been able to determine the specific yea</w:t>
      </w:r>
      <w:r>
        <w:rPr>
          <w:sz w:val="20"/>
          <w:szCs w:val="20"/>
        </w:rPr>
        <w:t>r we began serving as auditor of the Company.</w:t>
      </w:r>
    </w:p>
    <w:p w14:paraId="3FB45BBB" w14:textId="77777777" w:rsidR="00000000" w:rsidRDefault="0053651E">
      <w:pPr>
        <w:pStyle w:val="a3"/>
        <w:spacing w:before="0" w:beforeAutospacing="0" w:after="0" w:afterAutospacing="0"/>
        <w:ind w:right="240"/>
        <w:jc w:val="both"/>
        <w:rPr>
          <w:sz w:val="20"/>
          <w:szCs w:val="20"/>
        </w:rPr>
      </w:pPr>
      <w:r>
        <w:rPr>
          <w:sz w:val="20"/>
          <w:szCs w:val="20"/>
        </w:rPr>
        <w:t> </w:t>
      </w:r>
    </w:p>
    <w:p w14:paraId="052FE93B" w14:textId="77777777" w:rsidR="00000000" w:rsidRDefault="0053651E">
      <w:pPr>
        <w:jc w:val="center"/>
        <w:divId w:val="939411696"/>
        <w:rPr>
          <w:rFonts w:eastAsia="Times New Roman"/>
          <w:sz w:val="20"/>
          <w:szCs w:val="20"/>
        </w:rPr>
      </w:pPr>
      <w:r>
        <w:rPr>
          <w:rFonts w:eastAsia="Times New Roman"/>
          <w:sz w:val="20"/>
          <w:szCs w:val="20"/>
        </w:rPr>
        <w:t xml:space="preserve">43 </w:t>
      </w:r>
    </w:p>
    <w:p w14:paraId="1A133D2D" w14:textId="77777777" w:rsidR="00000000" w:rsidRDefault="0053651E">
      <w:pPr>
        <w:divId w:val="939411696"/>
        <w:rPr>
          <w:rFonts w:eastAsia="Times New Roman"/>
          <w:sz w:val="20"/>
          <w:szCs w:val="20"/>
        </w:rPr>
      </w:pPr>
      <w:r>
        <w:rPr>
          <w:rFonts w:eastAsia="Times New Roman"/>
          <w:sz w:val="20"/>
          <w:szCs w:val="20"/>
        </w:rPr>
        <w:pict w14:anchorId="03D15D79">
          <v:rect id="_x0000_i1074" style="width:0;height:1.5pt" o:hralign="center" o:hrstd="t" o:hr="t" fillcolor="#a0a0a0" stroked="f"/>
        </w:pict>
      </w:r>
    </w:p>
    <w:p w14:paraId="6F1E986C" w14:textId="77777777" w:rsidR="00000000" w:rsidRDefault="0053651E">
      <w:pPr>
        <w:divId w:val="9394116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3CA6677" w14:textId="77777777" w:rsidR="00000000" w:rsidRDefault="0053651E">
      <w:pPr>
        <w:divId w:val="741371122"/>
        <w:rPr>
          <w:rFonts w:eastAsia="Times New Roman"/>
          <w:sz w:val="20"/>
          <w:szCs w:val="20"/>
        </w:rPr>
      </w:pPr>
      <w:r>
        <w:rPr>
          <w:rFonts w:eastAsia="Times New Roman"/>
          <w:sz w:val="20"/>
          <w:szCs w:val="20"/>
        </w:rPr>
        <w:t xml:space="preserve">  </w:t>
      </w:r>
    </w:p>
    <w:p w14:paraId="06C9A732" w14:textId="77777777" w:rsidR="00000000" w:rsidRDefault="0053651E">
      <w:pPr>
        <w:pStyle w:val="a3"/>
        <w:spacing w:before="0" w:beforeAutospacing="0" w:after="0" w:afterAutospacing="0"/>
        <w:rPr>
          <w:sz w:val="20"/>
          <w:szCs w:val="20"/>
        </w:rPr>
      </w:pPr>
      <w:r>
        <w:rPr>
          <w:sz w:val="20"/>
          <w:szCs w:val="20"/>
        </w:rPr>
        <w:t> </w:t>
      </w:r>
    </w:p>
    <w:p w14:paraId="011FD2FA"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CED81EF" w14:textId="77777777" w:rsidR="00000000" w:rsidRDefault="0053651E">
      <w:pPr>
        <w:pStyle w:val="a3"/>
        <w:spacing w:before="0" w:beforeAutospacing="0" w:after="0" w:afterAutospacing="0"/>
        <w:jc w:val="center"/>
        <w:rPr>
          <w:sz w:val="20"/>
          <w:szCs w:val="20"/>
        </w:rPr>
      </w:pPr>
      <w:r>
        <w:rPr>
          <w:sz w:val="20"/>
          <w:szCs w:val="20"/>
        </w:rPr>
        <w:t>CONSOLIDATED BALANCE SHEETS</w:t>
      </w:r>
    </w:p>
    <w:p w14:paraId="7E9E81BE" w14:textId="77777777" w:rsidR="00000000" w:rsidRDefault="0053651E">
      <w:pPr>
        <w:pStyle w:val="a3"/>
        <w:spacing w:before="0" w:beforeAutospacing="0" w:after="0" w:afterAutospacing="0"/>
        <w:jc w:val="center"/>
        <w:rPr>
          <w:sz w:val="20"/>
          <w:szCs w:val="20"/>
        </w:rPr>
      </w:pPr>
      <w:r>
        <w:rPr>
          <w:sz w:val="20"/>
          <w:szCs w:val="20"/>
        </w:rPr>
        <w:t>(in thousands, except share data)</w:t>
      </w:r>
    </w:p>
    <w:p w14:paraId="21E44C1D" w14:textId="77777777" w:rsidR="00000000" w:rsidRDefault="0053651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7CD92A15" w14:textId="77777777">
        <w:trPr>
          <w:divId w:val="1860270963"/>
          <w:tblCellSpacing w:w="0" w:type="dxa"/>
        </w:trPr>
        <w:tc>
          <w:tcPr>
            <w:tcW w:w="0" w:type="auto"/>
            <w:vAlign w:val="bottom"/>
            <w:hideMark/>
          </w:tcPr>
          <w:p w14:paraId="4E48B23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5E93B2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F8FEF5B"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7FDE773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491185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5F3F23" w14:textId="77777777" w:rsidR="00000000" w:rsidRDefault="0053651E">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6A05D56A" w14:textId="77777777" w:rsidR="00000000" w:rsidRDefault="0053651E">
            <w:pPr>
              <w:rPr>
                <w:rFonts w:eastAsia="Times New Roman"/>
                <w:sz w:val="20"/>
                <w:szCs w:val="20"/>
              </w:rPr>
            </w:pPr>
            <w:r>
              <w:rPr>
                <w:rFonts w:eastAsia="Times New Roman"/>
                <w:sz w:val="20"/>
                <w:szCs w:val="20"/>
              </w:rPr>
              <w:t> </w:t>
            </w:r>
          </w:p>
        </w:tc>
      </w:tr>
      <w:tr w:rsidR="00000000" w14:paraId="49F50118" w14:textId="77777777">
        <w:trPr>
          <w:divId w:val="1860270963"/>
          <w:tblCellSpacing w:w="0" w:type="dxa"/>
        </w:trPr>
        <w:tc>
          <w:tcPr>
            <w:tcW w:w="0" w:type="auto"/>
            <w:shd w:val="clear" w:color="auto" w:fill="CCEEFF"/>
            <w:vAlign w:val="bottom"/>
            <w:hideMark/>
          </w:tcPr>
          <w:p w14:paraId="32305B05" w14:textId="77777777" w:rsidR="00000000" w:rsidRDefault="0053651E">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04209E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098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3181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FEA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E6B0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02B6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DBC2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6E9D3" w14:textId="77777777" w:rsidR="00000000" w:rsidRDefault="0053651E">
            <w:pPr>
              <w:rPr>
                <w:rFonts w:eastAsia="Times New Roman"/>
                <w:sz w:val="20"/>
                <w:szCs w:val="20"/>
              </w:rPr>
            </w:pPr>
            <w:r>
              <w:rPr>
                <w:rFonts w:eastAsia="Times New Roman"/>
                <w:sz w:val="20"/>
                <w:szCs w:val="20"/>
              </w:rPr>
              <w:t> </w:t>
            </w:r>
          </w:p>
        </w:tc>
      </w:tr>
      <w:tr w:rsidR="00000000" w14:paraId="787B8F41" w14:textId="77777777">
        <w:trPr>
          <w:divId w:val="1860270963"/>
          <w:tblCellSpacing w:w="0" w:type="dxa"/>
        </w:trPr>
        <w:tc>
          <w:tcPr>
            <w:tcW w:w="0" w:type="auto"/>
            <w:shd w:val="clear" w:color="auto" w:fill="FFFFFF"/>
            <w:vAlign w:val="bottom"/>
            <w:hideMark/>
          </w:tcPr>
          <w:p w14:paraId="5737CD76" w14:textId="77777777" w:rsidR="00000000" w:rsidRDefault="0053651E">
            <w:pPr>
              <w:pStyle w:val="a3"/>
              <w:spacing w:before="0" w:beforeAutospacing="0" w:after="0" w:afterAutospacing="0"/>
              <w:ind w:left="540" w:hanging="180"/>
              <w:rPr>
                <w:sz w:val="20"/>
                <w:szCs w:val="20"/>
              </w:rPr>
            </w:pPr>
            <w:r>
              <w:rPr>
                <w:sz w:val="20"/>
                <w:szCs w:val="20"/>
              </w:rPr>
              <w:t>Real estate:</w:t>
            </w:r>
          </w:p>
        </w:tc>
        <w:tc>
          <w:tcPr>
            <w:tcW w:w="0" w:type="auto"/>
            <w:shd w:val="clear" w:color="auto" w:fill="FFFFFF"/>
            <w:vAlign w:val="bottom"/>
            <w:hideMark/>
          </w:tcPr>
          <w:p w14:paraId="12D201B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84E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0584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BAC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97867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E75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C142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12C42" w14:textId="77777777" w:rsidR="00000000" w:rsidRDefault="0053651E">
            <w:pPr>
              <w:rPr>
                <w:rFonts w:eastAsia="Times New Roman"/>
                <w:sz w:val="20"/>
                <w:szCs w:val="20"/>
              </w:rPr>
            </w:pPr>
            <w:r>
              <w:rPr>
                <w:rFonts w:eastAsia="Times New Roman"/>
                <w:sz w:val="20"/>
                <w:szCs w:val="20"/>
              </w:rPr>
              <w:t> </w:t>
            </w:r>
          </w:p>
        </w:tc>
      </w:tr>
      <w:tr w:rsidR="00000000" w14:paraId="730E77A5" w14:textId="77777777">
        <w:trPr>
          <w:divId w:val="1860270963"/>
          <w:tblCellSpacing w:w="0" w:type="dxa"/>
        </w:trPr>
        <w:tc>
          <w:tcPr>
            <w:tcW w:w="0" w:type="auto"/>
            <w:shd w:val="clear" w:color="auto" w:fill="CCEEFF"/>
            <w:vAlign w:val="bottom"/>
            <w:hideMark/>
          </w:tcPr>
          <w:p w14:paraId="3733A20E" w14:textId="77777777" w:rsidR="00000000" w:rsidRDefault="0053651E">
            <w:pPr>
              <w:pStyle w:val="a3"/>
              <w:spacing w:before="0" w:beforeAutospacing="0" w:after="0" w:afterAutospacing="0"/>
              <w:ind w:left="720"/>
              <w:rPr>
                <w:sz w:val="20"/>
                <w:szCs w:val="20"/>
              </w:rPr>
            </w:pPr>
            <w:r>
              <w:rPr>
                <w:sz w:val="20"/>
                <w:szCs w:val="20"/>
              </w:rPr>
              <w:t>Land</w:t>
            </w:r>
          </w:p>
        </w:tc>
        <w:tc>
          <w:tcPr>
            <w:tcW w:w="50" w:type="pct"/>
            <w:shd w:val="clear" w:color="auto" w:fill="CCEEFF"/>
            <w:vAlign w:val="bottom"/>
            <w:hideMark/>
          </w:tcPr>
          <w:p w14:paraId="52DCCD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B9F140"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27691385" w14:textId="77777777" w:rsidR="00000000" w:rsidRDefault="0053651E">
            <w:pPr>
              <w:jc w:val="right"/>
              <w:rPr>
                <w:rFonts w:eastAsia="Times New Roman"/>
                <w:sz w:val="20"/>
                <w:szCs w:val="20"/>
              </w:rPr>
            </w:pPr>
            <w:r>
              <w:rPr>
                <w:rFonts w:eastAsia="Times New Roman"/>
                <w:sz w:val="20"/>
                <w:szCs w:val="20"/>
              </w:rPr>
              <w:t>2,788,155</w:t>
            </w:r>
          </w:p>
        </w:tc>
        <w:tc>
          <w:tcPr>
            <w:tcW w:w="50" w:type="pct"/>
            <w:shd w:val="clear" w:color="auto" w:fill="CCEEFF"/>
            <w:vAlign w:val="bottom"/>
            <w:hideMark/>
          </w:tcPr>
          <w:p w14:paraId="051EA5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B134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392DEE"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6CA3EC35" w14:textId="77777777" w:rsidR="00000000" w:rsidRDefault="0053651E">
            <w:pPr>
              <w:jc w:val="right"/>
              <w:rPr>
                <w:rFonts w:eastAsia="Times New Roman"/>
                <w:sz w:val="20"/>
                <w:szCs w:val="20"/>
              </w:rPr>
            </w:pPr>
            <w:r>
              <w:rPr>
                <w:rFonts w:eastAsia="Times New Roman"/>
                <w:sz w:val="20"/>
                <w:szCs w:val="20"/>
              </w:rPr>
              <w:t>2,822,691</w:t>
            </w:r>
          </w:p>
        </w:tc>
        <w:tc>
          <w:tcPr>
            <w:tcW w:w="50" w:type="pct"/>
            <w:shd w:val="clear" w:color="auto" w:fill="CCEEFF"/>
            <w:vAlign w:val="bottom"/>
            <w:hideMark/>
          </w:tcPr>
          <w:p w14:paraId="67A9AAE8" w14:textId="77777777" w:rsidR="00000000" w:rsidRDefault="0053651E">
            <w:pPr>
              <w:rPr>
                <w:rFonts w:eastAsia="Times New Roman"/>
                <w:sz w:val="20"/>
                <w:szCs w:val="20"/>
              </w:rPr>
            </w:pPr>
            <w:r>
              <w:rPr>
                <w:rFonts w:eastAsia="Times New Roman"/>
                <w:sz w:val="20"/>
                <w:szCs w:val="20"/>
              </w:rPr>
              <w:t> </w:t>
            </w:r>
          </w:p>
        </w:tc>
      </w:tr>
      <w:tr w:rsidR="00000000" w14:paraId="0675A0C3" w14:textId="77777777">
        <w:trPr>
          <w:divId w:val="1860270963"/>
          <w:tblCellSpacing w:w="0" w:type="dxa"/>
        </w:trPr>
        <w:tc>
          <w:tcPr>
            <w:tcW w:w="0" w:type="auto"/>
            <w:shd w:val="clear" w:color="auto" w:fill="FFFFFF"/>
            <w:vAlign w:val="bottom"/>
            <w:hideMark/>
          </w:tcPr>
          <w:p w14:paraId="0D10EE54" w14:textId="77777777" w:rsidR="00000000" w:rsidRDefault="0053651E">
            <w:pPr>
              <w:pStyle w:val="a3"/>
              <w:spacing w:before="0" w:beforeAutospacing="0" w:after="0" w:afterAutospacing="0"/>
              <w:ind w:left="720"/>
              <w:rPr>
                <w:sz w:val="20"/>
                <w:szCs w:val="20"/>
              </w:rPr>
            </w:pPr>
            <w:r>
              <w:rPr>
                <w:sz w:val="20"/>
                <w:szCs w:val="20"/>
              </w:rPr>
              <w:t>Building and improvements</w:t>
            </w:r>
          </w:p>
        </w:tc>
        <w:tc>
          <w:tcPr>
            <w:tcW w:w="50" w:type="pct"/>
            <w:shd w:val="clear" w:color="auto" w:fill="FFFFFF"/>
            <w:vAlign w:val="bottom"/>
            <w:hideMark/>
          </w:tcPr>
          <w:p w14:paraId="5D93C9E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9B4B3E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4656ADE" w14:textId="77777777" w:rsidR="00000000" w:rsidRDefault="0053651E">
            <w:pPr>
              <w:jc w:val="right"/>
              <w:rPr>
                <w:rFonts w:eastAsia="Times New Roman"/>
                <w:sz w:val="20"/>
                <w:szCs w:val="20"/>
              </w:rPr>
            </w:pPr>
            <w:r>
              <w:rPr>
                <w:rFonts w:eastAsia="Times New Roman"/>
                <w:sz w:val="20"/>
                <w:szCs w:val="20"/>
              </w:rPr>
              <w:t>8,920,951</w:t>
            </w:r>
          </w:p>
        </w:tc>
        <w:tc>
          <w:tcPr>
            <w:tcW w:w="50" w:type="pct"/>
            <w:shd w:val="clear" w:color="auto" w:fill="FFFFFF"/>
            <w:tcMar>
              <w:top w:w="0" w:type="dxa"/>
              <w:left w:w="0" w:type="dxa"/>
              <w:bottom w:w="15" w:type="dxa"/>
              <w:right w:w="0" w:type="dxa"/>
            </w:tcMar>
            <w:vAlign w:val="bottom"/>
            <w:hideMark/>
          </w:tcPr>
          <w:p w14:paraId="71C1C6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E24BC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81BAE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8EB1C4E" w14:textId="77777777" w:rsidR="00000000" w:rsidRDefault="0053651E">
            <w:pPr>
              <w:jc w:val="right"/>
              <w:rPr>
                <w:rFonts w:eastAsia="Times New Roman"/>
                <w:sz w:val="20"/>
                <w:szCs w:val="20"/>
              </w:rPr>
            </w:pPr>
            <w:r>
              <w:rPr>
                <w:rFonts w:eastAsia="Times New Roman"/>
                <w:sz w:val="20"/>
                <w:szCs w:val="20"/>
              </w:rPr>
              <w:t>8,813,115</w:t>
            </w:r>
          </w:p>
        </w:tc>
        <w:tc>
          <w:tcPr>
            <w:tcW w:w="50" w:type="pct"/>
            <w:shd w:val="clear" w:color="auto" w:fill="FFFFFF"/>
            <w:tcMar>
              <w:top w:w="0" w:type="dxa"/>
              <w:left w:w="0" w:type="dxa"/>
              <w:bottom w:w="15" w:type="dxa"/>
              <w:right w:w="0" w:type="dxa"/>
            </w:tcMar>
            <w:vAlign w:val="bottom"/>
            <w:hideMark/>
          </w:tcPr>
          <w:p w14:paraId="6EA9E2FB" w14:textId="77777777" w:rsidR="00000000" w:rsidRDefault="0053651E">
            <w:pPr>
              <w:rPr>
                <w:rFonts w:eastAsia="Times New Roman"/>
                <w:sz w:val="20"/>
                <w:szCs w:val="20"/>
              </w:rPr>
            </w:pPr>
            <w:r>
              <w:rPr>
                <w:rFonts w:eastAsia="Times New Roman"/>
                <w:sz w:val="20"/>
                <w:szCs w:val="20"/>
              </w:rPr>
              <w:t> </w:t>
            </w:r>
          </w:p>
        </w:tc>
      </w:tr>
      <w:tr w:rsidR="00000000" w14:paraId="48240838" w14:textId="77777777">
        <w:trPr>
          <w:divId w:val="1860270963"/>
          <w:tblCellSpacing w:w="0" w:type="dxa"/>
        </w:trPr>
        <w:tc>
          <w:tcPr>
            <w:tcW w:w="0" w:type="auto"/>
            <w:shd w:val="clear" w:color="auto" w:fill="CCEEFF"/>
            <w:vAlign w:val="bottom"/>
            <w:hideMark/>
          </w:tcPr>
          <w:p w14:paraId="69A509C4" w14:textId="77777777" w:rsidR="00000000" w:rsidRDefault="0053651E">
            <w:pPr>
              <w:pStyle w:val="a3"/>
              <w:spacing w:before="0" w:beforeAutospacing="0" w:after="0" w:afterAutospacing="0"/>
              <w:ind w:left="720"/>
              <w:rPr>
                <w:sz w:val="20"/>
                <w:szCs w:val="20"/>
              </w:rPr>
            </w:pPr>
            <w:r>
              <w:rPr>
                <w:sz w:val="20"/>
                <w:szCs w:val="20"/>
              </w:rPr>
              <w:t>Real estate</w:t>
            </w:r>
          </w:p>
        </w:tc>
        <w:tc>
          <w:tcPr>
            <w:tcW w:w="50" w:type="pct"/>
            <w:shd w:val="clear" w:color="auto" w:fill="CCEEFF"/>
            <w:vAlign w:val="bottom"/>
            <w:hideMark/>
          </w:tcPr>
          <w:p w14:paraId="7B7495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97F53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AA61A5D" w14:textId="77777777" w:rsidR="00000000" w:rsidRDefault="0053651E">
            <w:pPr>
              <w:jc w:val="right"/>
              <w:rPr>
                <w:rFonts w:eastAsia="Times New Roman"/>
                <w:sz w:val="20"/>
                <w:szCs w:val="20"/>
              </w:rPr>
            </w:pPr>
            <w:r>
              <w:rPr>
                <w:rFonts w:eastAsia="Times New Roman"/>
                <w:sz w:val="20"/>
                <w:szCs w:val="20"/>
              </w:rPr>
              <w:t>11,709,106</w:t>
            </w:r>
          </w:p>
        </w:tc>
        <w:tc>
          <w:tcPr>
            <w:tcW w:w="50" w:type="pct"/>
            <w:shd w:val="clear" w:color="auto" w:fill="CCEEFF"/>
            <w:vAlign w:val="bottom"/>
            <w:hideMark/>
          </w:tcPr>
          <w:p w14:paraId="314E39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F35F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92D71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530F09" w14:textId="77777777" w:rsidR="00000000" w:rsidRDefault="0053651E">
            <w:pPr>
              <w:jc w:val="right"/>
              <w:rPr>
                <w:rFonts w:eastAsia="Times New Roman"/>
                <w:sz w:val="20"/>
                <w:szCs w:val="20"/>
              </w:rPr>
            </w:pPr>
            <w:r>
              <w:rPr>
                <w:rFonts w:eastAsia="Times New Roman"/>
                <w:sz w:val="20"/>
                <w:szCs w:val="20"/>
              </w:rPr>
              <w:t>11,635,806</w:t>
            </w:r>
          </w:p>
        </w:tc>
        <w:tc>
          <w:tcPr>
            <w:tcW w:w="50" w:type="pct"/>
            <w:shd w:val="clear" w:color="auto" w:fill="CCEEFF"/>
            <w:vAlign w:val="bottom"/>
            <w:hideMark/>
          </w:tcPr>
          <w:p w14:paraId="44749925" w14:textId="77777777" w:rsidR="00000000" w:rsidRDefault="0053651E">
            <w:pPr>
              <w:rPr>
                <w:rFonts w:eastAsia="Times New Roman"/>
                <w:sz w:val="20"/>
                <w:szCs w:val="20"/>
              </w:rPr>
            </w:pPr>
            <w:r>
              <w:rPr>
                <w:rFonts w:eastAsia="Times New Roman"/>
                <w:sz w:val="20"/>
                <w:szCs w:val="20"/>
              </w:rPr>
              <w:t> </w:t>
            </w:r>
          </w:p>
        </w:tc>
      </w:tr>
      <w:tr w:rsidR="00000000" w14:paraId="2805F583" w14:textId="77777777">
        <w:trPr>
          <w:divId w:val="1860270963"/>
          <w:tblCellSpacing w:w="0" w:type="dxa"/>
        </w:trPr>
        <w:tc>
          <w:tcPr>
            <w:tcW w:w="0" w:type="auto"/>
            <w:shd w:val="clear" w:color="auto" w:fill="FFFFFF"/>
            <w:vAlign w:val="bottom"/>
            <w:hideMark/>
          </w:tcPr>
          <w:p w14:paraId="295C15C6" w14:textId="77777777" w:rsidR="00000000" w:rsidRDefault="0053651E">
            <w:pPr>
              <w:pStyle w:val="a3"/>
              <w:spacing w:before="0" w:beforeAutospacing="0" w:after="0" w:afterAutospacing="0"/>
              <w:ind w:left="720"/>
              <w:rPr>
                <w:sz w:val="20"/>
                <w:szCs w:val="20"/>
              </w:rPr>
            </w:pPr>
            <w:r>
              <w:rPr>
                <w:sz w:val="20"/>
                <w:szCs w:val="20"/>
              </w:rPr>
              <w:t>Less: accumulated depreciation and amortization</w:t>
            </w:r>
          </w:p>
        </w:tc>
        <w:tc>
          <w:tcPr>
            <w:tcW w:w="50" w:type="pct"/>
            <w:shd w:val="clear" w:color="auto" w:fill="FFFFFF"/>
            <w:vAlign w:val="bottom"/>
            <w:hideMark/>
          </w:tcPr>
          <w:p w14:paraId="4CBC271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933A4B8"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43161C" w14:textId="77777777" w:rsidR="00000000" w:rsidRDefault="0053651E">
            <w:pPr>
              <w:jc w:val="right"/>
              <w:rPr>
                <w:rFonts w:eastAsia="Times New Roman"/>
                <w:sz w:val="20"/>
                <w:szCs w:val="20"/>
              </w:rPr>
            </w:pPr>
            <w:r>
              <w:rPr>
                <w:rFonts w:eastAsia="Times New Roman"/>
                <w:sz w:val="20"/>
                <w:szCs w:val="20"/>
              </w:rPr>
              <w:t>(2,500,053</w:t>
            </w:r>
          </w:p>
        </w:tc>
        <w:tc>
          <w:tcPr>
            <w:tcW w:w="50" w:type="pct"/>
            <w:shd w:val="clear" w:color="auto" w:fill="FFFFFF"/>
            <w:tcMar>
              <w:top w:w="0" w:type="dxa"/>
              <w:left w:w="0" w:type="dxa"/>
              <w:bottom w:w="15" w:type="dxa"/>
              <w:right w:w="0" w:type="dxa"/>
            </w:tcMar>
            <w:vAlign w:val="bottom"/>
            <w:hideMark/>
          </w:tcPr>
          <w:p w14:paraId="11B4264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72C960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483910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65EE21B" w14:textId="77777777" w:rsidR="00000000" w:rsidRDefault="0053651E">
            <w:pPr>
              <w:jc w:val="right"/>
              <w:rPr>
                <w:rFonts w:eastAsia="Times New Roman"/>
                <w:sz w:val="20"/>
                <w:szCs w:val="20"/>
              </w:rPr>
            </w:pPr>
            <w:r>
              <w:rPr>
                <w:rFonts w:eastAsia="Times New Roman"/>
                <w:sz w:val="20"/>
                <w:szCs w:val="20"/>
              </w:rPr>
              <w:t>(2,385,287</w:t>
            </w:r>
          </w:p>
        </w:tc>
        <w:tc>
          <w:tcPr>
            <w:tcW w:w="50" w:type="pct"/>
            <w:shd w:val="clear" w:color="auto" w:fill="FFFFFF"/>
            <w:tcMar>
              <w:top w:w="0" w:type="dxa"/>
              <w:left w:w="0" w:type="dxa"/>
              <w:bottom w:w="15" w:type="dxa"/>
              <w:right w:w="0" w:type="dxa"/>
            </w:tcMar>
            <w:vAlign w:val="bottom"/>
            <w:hideMark/>
          </w:tcPr>
          <w:p w14:paraId="5114DA42" w14:textId="77777777" w:rsidR="00000000" w:rsidRDefault="0053651E">
            <w:pPr>
              <w:rPr>
                <w:rFonts w:eastAsia="Times New Roman"/>
                <w:sz w:val="20"/>
                <w:szCs w:val="20"/>
              </w:rPr>
            </w:pPr>
            <w:r>
              <w:rPr>
                <w:rFonts w:eastAsia="Times New Roman"/>
                <w:sz w:val="20"/>
                <w:szCs w:val="20"/>
              </w:rPr>
              <w:t>)</w:t>
            </w:r>
          </w:p>
        </w:tc>
      </w:tr>
      <w:tr w:rsidR="00000000" w14:paraId="580C7706" w14:textId="77777777">
        <w:trPr>
          <w:divId w:val="1860270963"/>
          <w:tblCellSpacing w:w="0" w:type="dxa"/>
        </w:trPr>
        <w:tc>
          <w:tcPr>
            <w:tcW w:w="0" w:type="auto"/>
            <w:shd w:val="clear" w:color="auto" w:fill="CCEEFF"/>
            <w:vAlign w:val="bottom"/>
            <w:hideMark/>
          </w:tcPr>
          <w:p w14:paraId="07A86CC6" w14:textId="77777777" w:rsidR="00000000" w:rsidRDefault="0053651E">
            <w:pPr>
              <w:pStyle w:val="a3"/>
              <w:spacing w:before="0" w:beforeAutospacing="0" w:after="0" w:afterAutospacing="0"/>
              <w:ind w:left="540" w:hanging="180"/>
              <w:rPr>
                <w:sz w:val="20"/>
                <w:szCs w:val="20"/>
              </w:rPr>
            </w:pPr>
            <w:r>
              <w:rPr>
                <w:sz w:val="20"/>
                <w:szCs w:val="20"/>
              </w:rPr>
              <w:t>Total real estate, net</w:t>
            </w:r>
          </w:p>
        </w:tc>
        <w:tc>
          <w:tcPr>
            <w:tcW w:w="50" w:type="pct"/>
            <w:shd w:val="clear" w:color="auto" w:fill="CCEEFF"/>
            <w:vAlign w:val="bottom"/>
            <w:hideMark/>
          </w:tcPr>
          <w:p w14:paraId="636194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91021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0A1F5F" w14:textId="77777777" w:rsidR="00000000" w:rsidRDefault="0053651E">
            <w:pPr>
              <w:jc w:val="right"/>
              <w:rPr>
                <w:rFonts w:eastAsia="Times New Roman"/>
                <w:sz w:val="20"/>
                <w:szCs w:val="20"/>
              </w:rPr>
            </w:pPr>
            <w:r>
              <w:rPr>
                <w:rFonts w:eastAsia="Times New Roman"/>
                <w:sz w:val="20"/>
                <w:szCs w:val="20"/>
              </w:rPr>
              <w:t>9,209,053</w:t>
            </w:r>
          </w:p>
        </w:tc>
        <w:tc>
          <w:tcPr>
            <w:tcW w:w="50" w:type="pct"/>
            <w:shd w:val="clear" w:color="auto" w:fill="CCEEFF"/>
            <w:vAlign w:val="bottom"/>
            <w:hideMark/>
          </w:tcPr>
          <w:p w14:paraId="566252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FF4F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95AEB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65C2781" w14:textId="77777777" w:rsidR="00000000" w:rsidRDefault="0053651E">
            <w:pPr>
              <w:jc w:val="right"/>
              <w:rPr>
                <w:rFonts w:eastAsia="Times New Roman"/>
                <w:sz w:val="20"/>
                <w:szCs w:val="20"/>
              </w:rPr>
            </w:pPr>
            <w:r>
              <w:rPr>
                <w:rFonts w:eastAsia="Times New Roman"/>
                <w:sz w:val="20"/>
                <w:szCs w:val="20"/>
              </w:rPr>
              <w:t>9,250,519</w:t>
            </w:r>
          </w:p>
        </w:tc>
        <w:tc>
          <w:tcPr>
            <w:tcW w:w="50" w:type="pct"/>
            <w:shd w:val="clear" w:color="auto" w:fill="CCEEFF"/>
            <w:vAlign w:val="bottom"/>
            <w:hideMark/>
          </w:tcPr>
          <w:p w14:paraId="186439DC" w14:textId="77777777" w:rsidR="00000000" w:rsidRDefault="0053651E">
            <w:pPr>
              <w:rPr>
                <w:rFonts w:eastAsia="Times New Roman"/>
                <w:sz w:val="20"/>
                <w:szCs w:val="20"/>
              </w:rPr>
            </w:pPr>
            <w:r>
              <w:rPr>
                <w:rFonts w:eastAsia="Times New Roman"/>
                <w:sz w:val="20"/>
                <w:szCs w:val="20"/>
              </w:rPr>
              <w:t> </w:t>
            </w:r>
          </w:p>
        </w:tc>
      </w:tr>
      <w:tr w:rsidR="00000000" w14:paraId="696A5EF3" w14:textId="77777777">
        <w:trPr>
          <w:divId w:val="1860270963"/>
          <w:tblCellSpacing w:w="0" w:type="dxa"/>
        </w:trPr>
        <w:tc>
          <w:tcPr>
            <w:tcW w:w="0" w:type="auto"/>
            <w:shd w:val="clear" w:color="auto" w:fill="FFFFFF"/>
            <w:vAlign w:val="bottom"/>
            <w:hideMark/>
          </w:tcPr>
          <w:p w14:paraId="713F13A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E275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36A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B8FD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973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051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D265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CCE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7EE35" w14:textId="77777777" w:rsidR="00000000" w:rsidRDefault="0053651E">
            <w:pPr>
              <w:rPr>
                <w:rFonts w:eastAsia="Times New Roman"/>
                <w:sz w:val="20"/>
                <w:szCs w:val="20"/>
              </w:rPr>
            </w:pPr>
            <w:r>
              <w:rPr>
                <w:rFonts w:eastAsia="Times New Roman"/>
                <w:sz w:val="20"/>
                <w:szCs w:val="20"/>
              </w:rPr>
              <w:t> </w:t>
            </w:r>
          </w:p>
        </w:tc>
      </w:tr>
      <w:tr w:rsidR="00000000" w14:paraId="7DCB7B04" w14:textId="77777777">
        <w:trPr>
          <w:divId w:val="1860270963"/>
          <w:tblCellSpacing w:w="0" w:type="dxa"/>
        </w:trPr>
        <w:tc>
          <w:tcPr>
            <w:tcW w:w="0" w:type="auto"/>
            <w:shd w:val="clear" w:color="auto" w:fill="CCEEFF"/>
            <w:vAlign w:val="bottom"/>
            <w:hideMark/>
          </w:tcPr>
          <w:p w14:paraId="30C983E5" w14:textId="77777777" w:rsidR="00000000" w:rsidRDefault="0053651E">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14:paraId="3DD5A6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514ED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4983EF" w14:textId="77777777" w:rsidR="00000000" w:rsidRDefault="0053651E">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14:paraId="09576A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8F22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31DA2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A8BEB75" w14:textId="77777777" w:rsidR="00000000" w:rsidRDefault="0053651E">
            <w:pPr>
              <w:jc w:val="right"/>
              <w:rPr>
                <w:rFonts w:eastAsia="Times New Roman"/>
                <w:sz w:val="20"/>
                <w:szCs w:val="20"/>
              </w:rPr>
            </w:pPr>
            <w:r>
              <w:rPr>
                <w:rFonts w:eastAsia="Times New Roman"/>
                <w:sz w:val="20"/>
                <w:szCs w:val="20"/>
              </w:rPr>
              <w:t>241,384</w:t>
            </w:r>
          </w:p>
        </w:tc>
        <w:tc>
          <w:tcPr>
            <w:tcW w:w="50" w:type="pct"/>
            <w:shd w:val="clear" w:color="auto" w:fill="CCEEFF"/>
            <w:vAlign w:val="bottom"/>
            <w:hideMark/>
          </w:tcPr>
          <w:p w14:paraId="54D4ABB1" w14:textId="77777777" w:rsidR="00000000" w:rsidRDefault="0053651E">
            <w:pPr>
              <w:rPr>
                <w:rFonts w:eastAsia="Times New Roman"/>
                <w:sz w:val="20"/>
                <w:szCs w:val="20"/>
              </w:rPr>
            </w:pPr>
            <w:r>
              <w:rPr>
                <w:rFonts w:eastAsia="Times New Roman"/>
                <w:sz w:val="20"/>
                <w:szCs w:val="20"/>
              </w:rPr>
              <w:t> </w:t>
            </w:r>
          </w:p>
        </w:tc>
      </w:tr>
      <w:tr w:rsidR="00000000" w14:paraId="1E60D28F" w14:textId="77777777">
        <w:trPr>
          <w:divId w:val="1860270963"/>
          <w:tblCellSpacing w:w="0" w:type="dxa"/>
        </w:trPr>
        <w:tc>
          <w:tcPr>
            <w:tcW w:w="0" w:type="auto"/>
            <w:shd w:val="clear" w:color="auto" w:fill="FFFFFF"/>
            <w:vAlign w:val="bottom"/>
            <w:hideMark/>
          </w:tcPr>
          <w:p w14:paraId="023B40DE" w14:textId="77777777" w:rsidR="00000000" w:rsidRDefault="0053651E">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14:paraId="363434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C47C0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BD6D2B1" w14:textId="77777777" w:rsidR="00000000" w:rsidRDefault="0053651E">
            <w:pPr>
              <w:jc w:val="right"/>
              <w:rPr>
                <w:rFonts w:eastAsia="Times New Roman"/>
                <w:sz w:val="20"/>
                <w:szCs w:val="20"/>
              </w:rPr>
            </w:pPr>
            <w:r>
              <w:rPr>
                <w:rFonts w:eastAsia="Times New Roman"/>
                <w:sz w:val="20"/>
                <w:szCs w:val="20"/>
              </w:rPr>
              <w:t>578,118</w:t>
            </w:r>
          </w:p>
        </w:tc>
        <w:tc>
          <w:tcPr>
            <w:tcW w:w="50" w:type="pct"/>
            <w:shd w:val="clear" w:color="auto" w:fill="FFFFFF"/>
            <w:vAlign w:val="bottom"/>
            <w:hideMark/>
          </w:tcPr>
          <w:p w14:paraId="4B5D81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503E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6A01B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FD1C19E" w14:textId="77777777" w:rsidR="00000000" w:rsidRDefault="0053651E">
            <w:pPr>
              <w:jc w:val="right"/>
              <w:rPr>
                <w:rFonts w:eastAsia="Times New Roman"/>
                <w:sz w:val="20"/>
                <w:szCs w:val="20"/>
              </w:rPr>
            </w:pPr>
            <w:r>
              <w:rPr>
                <w:rFonts w:eastAsia="Times New Roman"/>
                <w:sz w:val="20"/>
                <w:szCs w:val="20"/>
              </w:rPr>
              <w:t>570,922</w:t>
            </w:r>
          </w:p>
        </w:tc>
        <w:tc>
          <w:tcPr>
            <w:tcW w:w="50" w:type="pct"/>
            <w:shd w:val="clear" w:color="auto" w:fill="FFFFFF"/>
            <w:vAlign w:val="bottom"/>
            <w:hideMark/>
          </w:tcPr>
          <w:p w14:paraId="2CFDC44F" w14:textId="77777777" w:rsidR="00000000" w:rsidRDefault="0053651E">
            <w:pPr>
              <w:rPr>
                <w:rFonts w:eastAsia="Times New Roman"/>
                <w:sz w:val="20"/>
                <w:szCs w:val="20"/>
              </w:rPr>
            </w:pPr>
            <w:r>
              <w:rPr>
                <w:rFonts w:eastAsia="Times New Roman"/>
                <w:sz w:val="20"/>
                <w:szCs w:val="20"/>
              </w:rPr>
              <w:t> </w:t>
            </w:r>
          </w:p>
        </w:tc>
      </w:tr>
      <w:tr w:rsidR="00000000" w14:paraId="705E42B3" w14:textId="77777777">
        <w:trPr>
          <w:divId w:val="1860270963"/>
          <w:tblCellSpacing w:w="0" w:type="dxa"/>
        </w:trPr>
        <w:tc>
          <w:tcPr>
            <w:tcW w:w="0" w:type="auto"/>
            <w:shd w:val="clear" w:color="auto" w:fill="CCEEFF"/>
            <w:vAlign w:val="bottom"/>
            <w:hideMark/>
          </w:tcPr>
          <w:p w14:paraId="037A72D9" w14:textId="77777777" w:rsidR="00000000" w:rsidRDefault="0053651E">
            <w:pPr>
              <w:pStyle w:val="a3"/>
              <w:spacing w:before="0" w:beforeAutospacing="0" w:after="0" w:afterAutospacing="0"/>
              <w:ind w:left="540" w:hanging="180"/>
              <w:rPr>
                <w:sz w:val="20"/>
                <w:szCs w:val="20"/>
              </w:rPr>
            </w:pPr>
            <w:r>
              <w:rPr>
                <w:sz w:val="20"/>
                <w:szCs w:val="20"/>
              </w:rPr>
              <w:t>Other real estate investments</w:t>
            </w:r>
          </w:p>
        </w:tc>
        <w:tc>
          <w:tcPr>
            <w:tcW w:w="50" w:type="pct"/>
            <w:shd w:val="clear" w:color="auto" w:fill="CCEEFF"/>
            <w:vAlign w:val="bottom"/>
            <w:hideMark/>
          </w:tcPr>
          <w:p w14:paraId="0B9499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D051A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8D880CD" w14:textId="77777777" w:rsidR="00000000" w:rsidRDefault="0053651E">
            <w:pPr>
              <w:jc w:val="right"/>
              <w:rPr>
                <w:rFonts w:eastAsia="Times New Roman"/>
                <w:sz w:val="20"/>
                <w:szCs w:val="20"/>
              </w:rPr>
            </w:pPr>
            <w:r>
              <w:rPr>
                <w:rFonts w:eastAsia="Times New Roman"/>
                <w:sz w:val="20"/>
                <w:szCs w:val="20"/>
              </w:rPr>
              <w:t>194,400</w:t>
            </w:r>
          </w:p>
        </w:tc>
        <w:tc>
          <w:tcPr>
            <w:tcW w:w="50" w:type="pct"/>
            <w:shd w:val="clear" w:color="auto" w:fill="CCEEFF"/>
            <w:vAlign w:val="bottom"/>
            <w:hideMark/>
          </w:tcPr>
          <w:p w14:paraId="24D227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3754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BD24E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93E5383" w14:textId="77777777" w:rsidR="00000000" w:rsidRDefault="0053651E">
            <w:pPr>
              <w:jc w:val="right"/>
              <w:rPr>
                <w:rFonts w:eastAsia="Times New Roman"/>
                <w:sz w:val="20"/>
                <w:szCs w:val="20"/>
              </w:rPr>
            </w:pPr>
            <w:r>
              <w:rPr>
                <w:rFonts w:eastAsia="Times New Roman"/>
                <w:sz w:val="20"/>
                <w:szCs w:val="20"/>
              </w:rPr>
              <w:t>192,123</w:t>
            </w:r>
          </w:p>
        </w:tc>
        <w:tc>
          <w:tcPr>
            <w:tcW w:w="50" w:type="pct"/>
            <w:shd w:val="clear" w:color="auto" w:fill="CCEEFF"/>
            <w:vAlign w:val="bottom"/>
            <w:hideMark/>
          </w:tcPr>
          <w:p w14:paraId="6716CA5D" w14:textId="77777777" w:rsidR="00000000" w:rsidRDefault="0053651E">
            <w:pPr>
              <w:rPr>
                <w:rFonts w:eastAsia="Times New Roman"/>
                <w:sz w:val="20"/>
                <w:szCs w:val="20"/>
              </w:rPr>
            </w:pPr>
            <w:r>
              <w:rPr>
                <w:rFonts w:eastAsia="Times New Roman"/>
                <w:sz w:val="20"/>
                <w:szCs w:val="20"/>
              </w:rPr>
              <w:t> </w:t>
            </w:r>
          </w:p>
        </w:tc>
      </w:tr>
      <w:tr w:rsidR="00000000" w14:paraId="3E543DE6" w14:textId="77777777">
        <w:trPr>
          <w:divId w:val="1860270963"/>
          <w:tblCellSpacing w:w="0" w:type="dxa"/>
        </w:trPr>
        <w:tc>
          <w:tcPr>
            <w:tcW w:w="0" w:type="auto"/>
            <w:shd w:val="clear" w:color="auto" w:fill="FFFFFF"/>
            <w:vAlign w:val="bottom"/>
            <w:hideMark/>
          </w:tcPr>
          <w:p w14:paraId="6B31C2F6" w14:textId="77777777" w:rsidR="00000000" w:rsidRDefault="0053651E">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14:paraId="6F1153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CF53F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D61DB3" w14:textId="77777777" w:rsidR="00000000" w:rsidRDefault="0053651E">
            <w:pPr>
              <w:jc w:val="right"/>
              <w:rPr>
                <w:rFonts w:eastAsia="Times New Roman"/>
                <w:sz w:val="20"/>
                <w:szCs w:val="20"/>
              </w:rPr>
            </w:pPr>
            <w:r>
              <w:rPr>
                <w:rFonts w:eastAsia="Times New Roman"/>
                <w:sz w:val="20"/>
                <w:szCs w:val="20"/>
              </w:rPr>
              <w:t>123,947</w:t>
            </w:r>
          </w:p>
        </w:tc>
        <w:tc>
          <w:tcPr>
            <w:tcW w:w="50" w:type="pct"/>
            <w:shd w:val="clear" w:color="auto" w:fill="FFFFFF"/>
            <w:vAlign w:val="bottom"/>
            <w:hideMark/>
          </w:tcPr>
          <w:p w14:paraId="633E41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62E3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B5DB3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DA8485E" w14:textId="77777777" w:rsidR="00000000" w:rsidRDefault="0053651E">
            <w:pPr>
              <w:jc w:val="right"/>
              <w:rPr>
                <w:rFonts w:eastAsia="Times New Roman"/>
                <w:sz w:val="20"/>
                <w:szCs w:val="20"/>
              </w:rPr>
            </w:pPr>
            <w:r>
              <w:rPr>
                <w:rFonts w:eastAsia="Times New Roman"/>
                <w:sz w:val="20"/>
                <w:szCs w:val="20"/>
              </w:rPr>
              <w:t>143,581</w:t>
            </w:r>
          </w:p>
        </w:tc>
        <w:tc>
          <w:tcPr>
            <w:tcW w:w="50" w:type="pct"/>
            <w:shd w:val="clear" w:color="auto" w:fill="FFFFFF"/>
            <w:vAlign w:val="bottom"/>
            <w:hideMark/>
          </w:tcPr>
          <w:p w14:paraId="2BED0136" w14:textId="77777777" w:rsidR="00000000" w:rsidRDefault="0053651E">
            <w:pPr>
              <w:rPr>
                <w:rFonts w:eastAsia="Times New Roman"/>
                <w:sz w:val="20"/>
                <w:szCs w:val="20"/>
              </w:rPr>
            </w:pPr>
            <w:r>
              <w:rPr>
                <w:rFonts w:eastAsia="Times New Roman"/>
                <w:sz w:val="20"/>
                <w:szCs w:val="20"/>
              </w:rPr>
              <w:t> </w:t>
            </w:r>
          </w:p>
        </w:tc>
      </w:tr>
      <w:tr w:rsidR="00000000" w14:paraId="1345ADE7" w14:textId="77777777">
        <w:trPr>
          <w:divId w:val="1860270963"/>
          <w:tblCellSpacing w:w="0" w:type="dxa"/>
        </w:trPr>
        <w:tc>
          <w:tcPr>
            <w:tcW w:w="0" w:type="auto"/>
            <w:shd w:val="clear" w:color="auto" w:fill="CCEEFF"/>
            <w:vAlign w:val="bottom"/>
            <w:hideMark/>
          </w:tcPr>
          <w:p w14:paraId="40D76CC2" w14:textId="77777777" w:rsidR="00000000" w:rsidRDefault="0053651E">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CCEEFF"/>
            <w:vAlign w:val="bottom"/>
            <w:hideMark/>
          </w:tcPr>
          <w:p w14:paraId="23741D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ABEF1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6FF82AC" w14:textId="77777777" w:rsidR="00000000" w:rsidRDefault="0053651E">
            <w:pPr>
              <w:jc w:val="right"/>
              <w:rPr>
                <w:rFonts w:eastAsia="Times New Roman"/>
                <w:sz w:val="20"/>
                <w:szCs w:val="20"/>
              </w:rPr>
            </w:pPr>
            <w:r>
              <w:rPr>
                <w:rFonts w:eastAsia="Times New Roman"/>
                <w:sz w:val="20"/>
                <w:szCs w:val="20"/>
              </w:rPr>
              <w:t>218,689</w:t>
            </w:r>
          </w:p>
        </w:tc>
        <w:tc>
          <w:tcPr>
            <w:tcW w:w="50" w:type="pct"/>
            <w:shd w:val="clear" w:color="auto" w:fill="CCEEFF"/>
            <w:vAlign w:val="bottom"/>
            <w:hideMark/>
          </w:tcPr>
          <w:p w14:paraId="0344C1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CDF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08700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BD89B1" w14:textId="77777777" w:rsidR="00000000" w:rsidRDefault="0053651E">
            <w:pPr>
              <w:jc w:val="right"/>
              <w:rPr>
                <w:rFonts w:eastAsia="Times New Roman"/>
                <w:sz w:val="20"/>
                <w:szCs w:val="20"/>
              </w:rPr>
            </w:pPr>
            <w:r>
              <w:rPr>
                <w:rFonts w:eastAsia="Times New Roman"/>
                <w:sz w:val="20"/>
                <w:szCs w:val="20"/>
              </w:rPr>
              <w:t>184,528</w:t>
            </w:r>
          </w:p>
        </w:tc>
        <w:tc>
          <w:tcPr>
            <w:tcW w:w="50" w:type="pct"/>
            <w:shd w:val="clear" w:color="auto" w:fill="CCEEFF"/>
            <w:vAlign w:val="bottom"/>
            <w:hideMark/>
          </w:tcPr>
          <w:p w14:paraId="7E580F08" w14:textId="77777777" w:rsidR="00000000" w:rsidRDefault="0053651E">
            <w:pPr>
              <w:rPr>
                <w:rFonts w:eastAsia="Times New Roman"/>
                <w:sz w:val="20"/>
                <w:szCs w:val="20"/>
              </w:rPr>
            </w:pPr>
            <w:r>
              <w:rPr>
                <w:rFonts w:eastAsia="Times New Roman"/>
                <w:sz w:val="20"/>
                <w:szCs w:val="20"/>
              </w:rPr>
              <w:t> </w:t>
            </w:r>
          </w:p>
        </w:tc>
      </w:tr>
      <w:tr w:rsidR="00000000" w14:paraId="2C5E0F06" w14:textId="77777777">
        <w:trPr>
          <w:divId w:val="1860270963"/>
          <w:tblCellSpacing w:w="0" w:type="dxa"/>
        </w:trPr>
        <w:tc>
          <w:tcPr>
            <w:tcW w:w="0" w:type="auto"/>
            <w:shd w:val="clear" w:color="auto" w:fill="FFFFFF"/>
            <w:vAlign w:val="bottom"/>
            <w:hideMark/>
          </w:tcPr>
          <w:p w14:paraId="732D4477" w14:textId="77777777" w:rsidR="00000000" w:rsidRDefault="0053651E">
            <w:pPr>
              <w:pStyle w:val="a3"/>
              <w:spacing w:before="0" w:beforeAutospacing="0" w:after="0" w:afterAutospacing="0"/>
              <w:ind w:left="540" w:hanging="180"/>
              <w:rPr>
                <w:sz w:val="20"/>
                <w:szCs w:val="20"/>
              </w:rPr>
            </w:pPr>
            <w:r>
              <w:rPr>
                <w:sz w:val="20"/>
                <w:szCs w:val="20"/>
              </w:rPr>
              <w:t>Deferred charges and prepaid expenses</w:t>
            </w:r>
          </w:p>
        </w:tc>
        <w:tc>
          <w:tcPr>
            <w:tcW w:w="50" w:type="pct"/>
            <w:shd w:val="clear" w:color="auto" w:fill="FFFFFF"/>
            <w:vAlign w:val="bottom"/>
            <w:hideMark/>
          </w:tcPr>
          <w:p w14:paraId="2AA889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AA594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2FBDE1" w14:textId="77777777" w:rsidR="00000000" w:rsidRDefault="0053651E">
            <w:pPr>
              <w:jc w:val="right"/>
              <w:rPr>
                <w:rFonts w:eastAsia="Times New Roman"/>
                <w:sz w:val="20"/>
                <w:szCs w:val="20"/>
              </w:rPr>
            </w:pPr>
            <w:r>
              <w:rPr>
                <w:rFonts w:eastAsia="Times New Roman"/>
                <w:sz w:val="20"/>
                <w:szCs w:val="20"/>
              </w:rPr>
              <w:t>150,330</w:t>
            </w:r>
          </w:p>
        </w:tc>
        <w:tc>
          <w:tcPr>
            <w:tcW w:w="50" w:type="pct"/>
            <w:shd w:val="clear" w:color="auto" w:fill="FFFFFF"/>
            <w:vAlign w:val="bottom"/>
            <w:hideMark/>
          </w:tcPr>
          <w:p w14:paraId="2A9426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8FF4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9E209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65569BF" w14:textId="77777777" w:rsidR="00000000" w:rsidRDefault="0053651E">
            <w:pPr>
              <w:jc w:val="right"/>
              <w:rPr>
                <w:rFonts w:eastAsia="Times New Roman"/>
                <w:sz w:val="20"/>
                <w:szCs w:val="20"/>
              </w:rPr>
            </w:pPr>
            <w:r>
              <w:rPr>
                <w:rFonts w:eastAsia="Times New Roman"/>
                <w:sz w:val="20"/>
                <w:szCs w:val="20"/>
              </w:rPr>
              <w:t>156,155</w:t>
            </w:r>
          </w:p>
        </w:tc>
        <w:tc>
          <w:tcPr>
            <w:tcW w:w="50" w:type="pct"/>
            <w:shd w:val="clear" w:color="auto" w:fill="FFFFFF"/>
            <w:vAlign w:val="bottom"/>
            <w:hideMark/>
          </w:tcPr>
          <w:p w14:paraId="05C6880D" w14:textId="77777777" w:rsidR="00000000" w:rsidRDefault="0053651E">
            <w:pPr>
              <w:rPr>
                <w:rFonts w:eastAsia="Times New Roman"/>
                <w:sz w:val="20"/>
                <w:szCs w:val="20"/>
              </w:rPr>
            </w:pPr>
            <w:r>
              <w:rPr>
                <w:rFonts w:eastAsia="Times New Roman"/>
                <w:sz w:val="20"/>
                <w:szCs w:val="20"/>
              </w:rPr>
              <w:t> </w:t>
            </w:r>
          </w:p>
        </w:tc>
      </w:tr>
      <w:tr w:rsidR="00000000" w14:paraId="2CA95CE2" w14:textId="77777777">
        <w:trPr>
          <w:divId w:val="1860270963"/>
          <w:tblCellSpacing w:w="0" w:type="dxa"/>
        </w:trPr>
        <w:tc>
          <w:tcPr>
            <w:tcW w:w="0" w:type="auto"/>
            <w:shd w:val="clear" w:color="auto" w:fill="CCEEFF"/>
            <w:vAlign w:val="bottom"/>
            <w:hideMark/>
          </w:tcPr>
          <w:p w14:paraId="2F732AC7" w14:textId="77777777" w:rsidR="00000000" w:rsidRDefault="0053651E">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CCEEFF"/>
            <w:vAlign w:val="bottom"/>
            <w:hideMark/>
          </w:tcPr>
          <w:p w14:paraId="703CE6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6BCCD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19DAC78" w14:textId="77777777" w:rsidR="00000000" w:rsidRDefault="0053651E">
            <w:pPr>
              <w:jc w:val="right"/>
              <w:rPr>
                <w:rFonts w:eastAsia="Times New Roman"/>
                <w:sz w:val="20"/>
                <w:szCs w:val="20"/>
              </w:rPr>
            </w:pPr>
            <w:r>
              <w:rPr>
                <w:rFonts w:eastAsia="Times New Roman"/>
                <w:sz w:val="20"/>
                <w:szCs w:val="20"/>
              </w:rPr>
              <w:t>99,125</w:t>
            </w:r>
          </w:p>
        </w:tc>
        <w:tc>
          <w:tcPr>
            <w:tcW w:w="50" w:type="pct"/>
            <w:shd w:val="clear" w:color="auto" w:fill="CCEEFF"/>
            <w:vAlign w:val="bottom"/>
            <w:hideMark/>
          </w:tcPr>
          <w:p w14:paraId="38EE4E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3866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C83CD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D2C1D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7636F16" w14:textId="77777777" w:rsidR="00000000" w:rsidRDefault="0053651E">
            <w:pPr>
              <w:rPr>
                <w:rFonts w:eastAsia="Times New Roman"/>
                <w:sz w:val="20"/>
                <w:szCs w:val="20"/>
              </w:rPr>
            </w:pPr>
            <w:r>
              <w:rPr>
                <w:rFonts w:eastAsia="Times New Roman"/>
                <w:sz w:val="20"/>
                <w:szCs w:val="20"/>
              </w:rPr>
              <w:t> </w:t>
            </w:r>
          </w:p>
        </w:tc>
      </w:tr>
      <w:tr w:rsidR="00000000" w14:paraId="6F8519A6" w14:textId="77777777">
        <w:trPr>
          <w:divId w:val="1860270963"/>
          <w:tblCellSpacing w:w="0" w:type="dxa"/>
        </w:trPr>
        <w:tc>
          <w:tcPr>
            <w:tcW w:w="0" w:type="auto"/>
            <w:shd w:val="clear" w:color="auto" w:fill="FFFFFF"/>
            <w:vAlign w:val="bottom"/>
            <w:hideMark/>
          </w:tcPr>
          <w:p w14:paraId="785D2549" w14:textId="77777777" w:rsidR="00000000" w:rsidRDefault="0053651E">
            <w:pPr>
              <w:pStyle w:val="a3"/>
              <w:spacing w:before="0" w:beforeAutospacing="0" w:after="0" w:afterAutospacing="0"/>
              <w:ind w:left="540" w:hanging="18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14:paraId="286C63E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412420"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B13DAF6" w14:textId="77777777" w:rsidR="00000000" w:rsidRDefault="0053651E">
            <w:pPr>
              <w:jc w:val="right"/>
              <w:rPr>
                <w:rFonts w:eastAsia="Times New Roman"/>
                <w:sz w:val="20"/>
                <w:szCs w:val="20"/>
              </w:rPr>
            </w:pPr>
            <w:r>
              <w:rPr>
                <w:rFonts w:eastAsia="Times New Roman"/>
                <w:sz w:val="20"/>
                <w:szCs w:val="20"/>
              </w:rPr>
              <w:t>204,035</w:t>
            </w:r>
          </w:p>
        </w:tc>
        <w:tc>
          <w:tcPr>
            <w:tcW w:w="50" w:type="pct"/>
            <w:shd w:val="clear" w:color="auto" w:fill="FFFFFF"/>
            <w:tcMar>
              <w:top w:w="0" w:type="dxa"/>
              <w:left w:w="0" w:type="dxa"/>
              <w:bottom w:w="15" w:type="dxa"/>
              <w:right w:w="0" w:type="dxa"/>
            </w:tcMar>
            <w:vAlign w:val="bottom"/>
            <w:hideMark/>
          </w:tcPr>
          <w:p w14:paraId="63C3C2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67F9EB6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9C9DD8F"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045A7CA" w14:textId="77777777" w:rsidR="00000000" w:rsidRDefault="0053651E">
            <w:pPr>
              <w:jc w:val="right"/>
              <w:rPr>
                <w:rFonts w:eastAsia="Times New Roman"/>
                <w:sz w:val="20"/>
                <w:szCs w:val="20"/>
              </w:rPr>
            </w:pPr>
            <w:r>
              <w:rPr>
                <w:rFonts w:eastAsia="Times New Roman"/>
                <w:sz w:val="20"/>
                <w:szCs w:val="20"/>
              </w:rPr>
              <w:t>259,888</w:t>
            </w:r>
          </w:p>
        </w:tc>
        <w:tc>
          <w:tcPr>
            <w:tcW w:w="50" w:type="pct"/>
            <w:shd w:val="clear" w:color="auto" w:fill="FFFFFF"/>
            <w:tcMar>
              <w:top w:w="0" w:type="dxa"/>
              <w:left w:w="0" w:type="dxa"/>
              <w:bottom w:w="15" w:type="dxa"/>
              <w:right w:w="0" w:type="dxa"/>
            </w:tcMar>
            <w:vAlign w:val="bottom"/>
            <w:hideMark/>
          </w:tcPr>
          <w:p w14:paraId="1B42DF81" w14:textId="77777777" w:rsidR="00000000" w:rsidRDefault="0053651E">
            <w:pPr>
              <w:rPr>
                <w:rFonts w:eastAsia="Times New Roman"/>
                <w:sz w:val="20"/>
                <w:szCs w:val="20"/>
              </w:rPr>
            </w:pPr>
            <w:r>
              <w:rPr>
                <w:rFonts w:eastAsia="Times New Roman"/>
                <w:sz w:val="20"/>
                <w:szCs w:val="20"/>
              </w:rPr>
              <w:t> </w:t>
            </w:r>
          </w:p>
        </w:tc>
      </w:tr>
      <w:tr w:rsidR="00000000" w14:paraId="284FB470" w14:textId="77777777">
        <w:trPr>
          <w:divId w:val="1860270963"/>
          <w:tblCellSpacing w:w="0" w:type="dxa"/>
        </w:trPr>
        <w:tc>
          <w:tcPr>
            <w:tcW w:w="0" w:type="auto"/>
            <w:shd w:val="clear" w:color="auto" w:fill="CCEEFF"/>
            <w:vAlign w:val="bottom"/>
            <w:hideMark/>
          </w:tcPr>
          <w:p w14:paraId="6035E193" w14:textId="77777777" w:rsidR="00000000" w:rsidRDefault="0053651E">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14:paraId="0E1BB06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74A22E6" w14:textId="77777777" w:rsidR="00000000" w:rsidRDefault="0053651E">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5229AB18" w14:textId="77777777" w:rsidR="00000000" w:rsidRDefault="0053651E">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15" w:type="dxa"/>
              <w:right w:w="0" w:type="dxa"/>
            </w:tcMar>
            <w:vAlign w:val="bottom"/>
            <w:hideMark/>
          </w:tcPr>
          <w:p w14:paraId="239593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57089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1F23BC2" w14:textId="77777777" w:rsidR="00000000" w:rsidRDefault="0053651E">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74EB81AD" w14:textId="77777777" w:rsidR="00000000" w:rsidRDefault="0053651E">
            <w:pPr>
              <w:jc w:val="right"/>
              <w:rPr>
                <w:rFonts w:eastAsia="Times New Roman"/>
                <w:sz w:val="20"/>
                <w:szCs w:val="20"/>
              </w:rPr>
            </w:pPr>
            <w:r>
              <w:rPr>
                <w:rFonts w:eastAsia="Times New Roman"/>
                <w:sz w:val="20"/>
                <w:szCs w:val="20"/>
              </w:rPr>
              <w:t>10,999,100</w:t>
            </w:r>
          </w:p>
        </w:tc>
        <w:tc>
          <w:tcPr>
            <w:tcW w:w="50" w:type="pct"/>
            <w:shd w:val="clear" w:color="auto" w:fill="CCEEFF"/>
            <w:tcMar>
              <w:top w:w="0" w:type="dxa"/>
              <w:left w:w="0" w:type="dxa"/>
              <w:bottom w:w="15" w:type="dxa"/>
              <w:right w:w="0" w:type="dxa"/>
            </w:tcMar>
            <w:vAlign w:val="bottom"/>
            <w:hideMark/>
          </w:tcPr>
          <w:p w14:paraId="09DAC1F6" w14:textId="77777777" w:rsidR="00000000" w:rsidRDefault="0053651E">
            <w:pPr>
              <w:rPr>
                <w:rFonts w:eastAsia="Times New Roman"/>
                <w:sz w:val="20"/>
                <w:szCs w:val="20"/>
              </w:rPr>
            </w:pPr>
            <w:r>
              <w:rPr>
                <w:rFonts w:eastAsia="Times New Roman"/>
                <w:sz w:val="20"/>
                <w:szCs w:val="20"/>
              </w:rPr>
              <w:t> </w:t>
            </w:r>
          </w:p>
        </w:tc>
      </w:tr>
      <w:tr w:rsidR="00000000" w14:paraId="69A27BF3" w14:textId="77777777">
        <w:trPr>
          <w:divId w:val="1860270963"/>
          <w:tblCellSpacing w:w="0" w:type="dxa"/>
        </w:trPr>
        <w:tc>
          <w:tcPr>
            <w:tcW w:w="0" w:type="auto"/>
            <w:shd w:val="clear" w:color="auto" w:fill="FFFFFF"/>
            <w:vAlign w:val="bottom"/>
            <w:hideMark/>
          </w:tcPr>
          <w:p w14:paraId="14C9FD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8E9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FF2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9D2C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C185D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76F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8F3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8A7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59859" w14:textId="77777777" w:rsidR="00000000" w:rsidRDefault="0053651E">
            <w:pPr>
              <w:rPr>
                <w:rFonts w:eastAsia="Times New Roman"/>
                <w:sz w:val="20"/>
                <w:szCs w:val="20"/>
              </w:rPr>
            </w:pPr>
            <w:r>
              <w:rPr>
                <w:rFonts w:eastAsia="Times New Roman"/>
                <w:sz w:val="20"/>
                <w:szCs w:val="20"/>
              </w:rPr>
              <w:t> </w:t>
            </w:r>
          </w:p>
        </w:tc>
      </w:tr>
      <w:tr w:rsidR="00000000" w14:paraId="33261F23" w14:textId="77777777">
        <w:trPr>
          <w:divId w:val="1860270963"/>
          <w:tblCellSpacing w:w="0" w:type="dxa"/>
        </w:trPr>
        <w:tc>
          <w:tcPr>
            <w:tcW w:w="0" w:type="auto"/>
            <w:shd w:val="clear" w:color="auto" w:fill="CCEEFF"/>
            <w:vAlign w:val="bottom"/>
            <w:hideMark/>
          </w:tcPr>
          <w:p w14:paraId="197A0F97" w14:textId="77777777" w:rsidR="00000000" w:rsidRDefault="0053651E">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14:paraId="7AB4E6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8C3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F78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76C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1CA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3B1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DCE7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7585F" w14:textId="77777777" w:rsidR="00000000" w:rsidRDefault="0053651E">
            <w:pPr>
              <w:rPr>
                <w:rFonts w:eastAsia="Times New Roman"/>
                <w:sz w:val="20"/>
                <w:szCs w:val="20"/>
              </w:rPr>
            </w:pPr>
            <w:r>
              <w:rPr>
                <w:rFonts w:eastAsia="Times New Roman"/>
                <w:sz w:val="20"/>
                <w:szCs w:val="20"/>
              </w:rPr>
              <w:t> </w:t>
            </w:r>
          </w:p>
        </w:tc>
      </w:tr>
      <w:tr w:rsidR="00000000" w14:paraId="4318499A" w14:textId="77777777">
        <w:trPr>
          <w:divId w:val="1860270963"/>
          <w:tblCellSpacing w:w="0" w:type="dxa"/>
        </w:trPr>
        <w:tc>
          <w:tcPr>
            <w:tcW w:w="0" w:type="auto"/>
            <w:shd w:val="clear" w:color="auto" w:fill="FFFFFF"/>
            <w:vAlign w:val="bottom"/>
            <w:hideMark/>
          </w:tcPr>
          <w:p w14:paraId="58854779" w14:textId="77777777" w:rsidR="00000000" w:rsidRDefault="0053651E">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FFFFFF"/>
            <w:vAlign w:val="bottom"/>
            <w:hideMark/>
          </w:tcPr>
          <w:p w14:paraId="0C13CA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5C6AAA"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6A74FF08" w14:textId="77777777" w:rsidR="00000000" w:rsidRDefault="0053651E">
            <w:pPr>
              <w:jc w:val="right"/>
              <w:rPr>
                <w:rFonts w:eastAsia="Times New Roman"/>
                <w:sz w:val="20"/>
                <w:szCs w:val="20"/>
              </w:rPr>
            </w:pPr>
            <w:r>
              <w:rPr>
                <w:rFonts w:eastAsia="Times New Roman"/>
                <w:sz w:val="20"/>
                <w:szCs w:val="20"/>
              </w:rPr>
              <w:t>4,831,759</w:t>
            </w:r>
          </w:p>
        </w:tc>
        <w:tc>
          <w:tcPr>
            <w:tcW w:w="50" w:type="pct"/>
            <w:shd w:val="clear" w:color="auto" w:fill="FFFFFF"/>
            <w:vAlign w:val="bottom"/>
            <w:hideMark/>
          </w:tcPr>
          <w:p w14:paraId="2568B8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83F4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492FB9"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34B87AAA" w14:textId="77777777" w:rsidR="00000000" w:rsidRDefault="0053651E">
            <w:pPr>
              <w:jc w:val="right"/>
              <w:rPr>
                <w:rFonts w:eastAsia="Times New Roman"/>
                <w:sz w:val="20"/>
                <w:szCs w:val="20"/>
              </w:rPr>
            </w:pPr>
            <w:r>
              <w:rPr>
                <w:rFonts w:eastAsia="Times New Roman"/>
                <w:sz w:val="20"/>
                <w:szCs w:val="20"/>
              </w:rPr>
              <w:t>4,381,456</w:t>
            </w:r>
          </w:p>
        </w:tc>
        <w:tc>
          <w:tcPr>
            <w:tcW w:w="50" w:type="pct"/>
            <w:shd w:val="clear" w:color="auto" w:fill="FFFFFF"/>
            <w:vAlign w:val="bottom"/>
            <w:hideMark/>
          </w:tcPr>
          <w:p w14:paraId="244696EA" w14:textId="77777777" w:rsidR="00000000" w:rsidRDefault="0053651E">
            <w:pPr>
              <w:rPr>
                <w:rFonts w:eastAsia="Times New Roman"/>
                <w:sz w:val="20"/>
                <w:szCs w:val="20"/>
              </w:rPr>
            </w:pPr>
            <w:r>
              <w:rPr>
                <w:rFonts w:eastAsia="Times New Roman"/>
                <w:sz w:val="20"/>
                <w:szCs w:val="20"/>
              </w:rPr>
              <w:t> </w:t>
            </w:r>
          </w:p>
        </w:tc>
      </w:tr>
      <w:tr w:rsidR="00000000" w14:paraId="11733AFC" w14:textId="77777777">
        <w:trPr>
          <w:divId w:val="1860270963"/>
          <w:tblCellSpacing w:w="0" w:type="dxa"/>
        </w:trPr>
        <w:tc>
          <w:tcPr>
            <w:tcW w:w="0" w:type="auto"/>
            <w:shd w:val="clear" w:color="auto" w:fill="CCEEFF"/>
            <w:vAlign w:val="bottom"/>
            <w:hideMark/>
          </w:tcPr>
          <w:p w14:paraId="15CC7470" w14:textId="77777777" w:rsidR="00000000" w:rsidRDefault="0053651E">
            <w:pPr>
              <w:pStyle w:val="a3"/>
              <w:spacing w:before="0" w:beforeAutospacing="0" w:after="0" w:afterAutospacing="0"/>
              <w:ind w:left="540" w:hanging="180"/>
              <w:rPr>
                <w:sz w:val="20"/>
                <w:szCs w:val="20"/>
              </w:rPr>
            </w:pPr>
            <w:r>
              <w:rPr>
                <w:sz w:val="20"/>
                <w:szCs w:val="20"/>
              </w:rPr>
              <w:t>Mortgages and construction loan payable, net</w:t>
            </w:r>
          </w:p>
        </w:tc>
        <w:tc>
          <w:tcPr>
            <w:tcW w:w="50" w:type="pct"/>
            <w:shd w:val="clear" w:color="auto" w:fill="CCEEFF"/>
            <w:vAlign w:val="bottom"/>
            <w:hideMark/>
          </w:tcPr>
          <w:p w14:paraId="5F9B97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1D2B4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D1265FC" w14:textId="77777777" w:rsidR="00000000" w:rsidRDefault="0053651E">
            <w:pPr>
              <w:jc w:val="right"/>
              <w:rPr>
                <w:rFonts w:eastAsia="Times New Roman"/>
                <w:sz w:val="20"/>
                <w:szCs w:val="20"/>
              </w:rPr>
            </w:pPr>
            <w:r>
              <w:rPr>
                <w:rFonts w:eastAsia="Times New Roman"/>
                <w:sz w:val="20"/>
                <w:szCs w:val="20"/>
              </w:rPr>
              <w:t>484,008</w:t>
            </w:r>
          </w:p>
        </w:tc>
        <w:tc>
          <w:tcPr>
            <w:tcW w:w="50" w:type="pct"/>
            <w:shd w:val="clear" w:color="auto" w:fill="CCEEFF"/>
            <w:vAlign w:val="bottom"/>
            <w:hideMark/>
          </w:tcPr>
          <w:p w14:paraId="55DF66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5B54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CFE50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A931BAF" w14:textId="77777777" w:rsidR="00000000" w:rsidRDefault="0053651E">
            <w:pPr>
              <w:jc w:val="right"/>
              <w:rPr>
                <w:rFonts w:eastAsia="Times New Roman"/>
                <w:sz w:val="20"/>
                <w:szCs w:val="20"/>
              </w:rPr>
            </w:pPr>
            <w:r>
              <w:rPr>
                <w:rFonts w:eastAsia="Times New Roman"/>
                <w:sz w:val="20"/>
                <w:szCs w:val="20"/>
              </w:rPr>
              <w:t>492,416</w:t>
            </w:r>
          </w:p>
        </w:tc>
        <w:tc>
          <w:tcPr>
            <w:tcW w:w="50" w:type="pct"/>
            <w:shd w:val="clear" w:color="auto" w:fill="CCEEFF"/>
            <w:vAlign w:val="bottom"/>
            <w:hideMark/>
          </w:tcPr>
          <w:p w14:paraId="0899DB00" w14:textId="77777777" w:rsidR="00000000" w:rsidRDefault="0053651E">
            <w:pPr>
              <w:rPr>
                <w:rFonts w:eastAsia="Times New Roman"/>
                <w:sz w:val="20"/>
                <w:szCs w:val="20"/>
              </w:rPr>
            </w:pPr>
            <w:r>
              <w:rPr>
                <w:rFonts w:eastAsia="Times New Roman"/>
                <w:sz w:val="20"/>
                <w:szCs w:val="20"/>
              </w:rPr>
              <w:t> </w:t>
            </w:r>
          </w:p>
        </w:tc>
      </w:tr>
      <w:tr w:rsidR="00000000" w14:paraId="13CADB2C" w14:textId="77777777">
        <w:trPr>
          <w:divId w:val="1860270963"/>
          <w:tblCellSpacing w:w="0" w:type="dxa"/>
        </w:trPr>
        <w:tc>
          <w:tcPr>
            <w:tcW w:w="0" w:type="auto"/>
            <w:shd w:val="clear" w:color="auto" w:fill="FFFFFF"/>
            <w:vAlign w:val="bottom"/>
            <w:hideMark/>
          </w:tcPr>
          <w:p w14:paraId="0CAAA0EE" w14:textId="77777777" w:rsidR="00000000" w:rsidRDefault="0053651E">
            <w:pPr>
              <w:pStyle w:val="a3"/>
              <w:spacing w:before="0" w:beforeAutospacing="0" w:after="0" w:afterAutospacing="0"/>
              <w:ind w:left="540" w:hanging="180"/>
              <w:rPr>
                <w:sz w:val="20"/>
                <w:szCs w:val="20"/>
              </w:rPr>
            </w:pPr>
            <w:r>
              <w:rPr>
                <w:sz w:val="20"/>
                <w:szCs w:val="20"/>
              </w:rPr>
              <w:t>Accounts payable and accrued expenses</w:t>
            </w:r>
          </w:p>
        </w:tc>
        <w:tc>
          <w:tcPr>
            <w:tcW w:w="50" w:type="pct"/>
            <w:shd w:val="clear" w:color="auto" w:fill="FFFFFF"/>
            <w:vAlign w:val="bottom"/>
            <w:hideMark/>
          </w:tcPr>
          <w:p w14:paraId="08EC73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1B83B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4988967" w14:textId="77777777" w:rsidR="00000000" w:rsidRDefault="0053651E">
            <w:pPr>
              <w:jc w:val="right"/>
              <w:rPr>
                <w:rFonts w:eastAsia="Times New Roman"/>
                <w:sz w:val="20"/>
                <w:szCs w:val="20"/>
              </w:rPr>
            </w:pPr>
            <w:r>
              <w:rPr>
                <w:rFonts w:eastAsia="Times New Roman"/>
                <w:sz w:val="20"/>
                <w:szCs w:val="20"/>
              </w:rPr>
              <w:t>170,082</w:t>
            </w:r>
          </w:p>
        </w:tc>
        <w:tc>
          <w:tcPr>
            <w:tcW w:w="50" w:type="pct"/>
            <w:shd w:val="clear" w:color="auto" w:fill="FFFFFF"/>
            <w:vAlign w:val="bottom"/>
            <w:hideMark/>
          </w:tcPr>
          <w:p w14:paraId="0ADBF5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6176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0F24F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90B0F93" w14:textId="77777777" w:rsidR="00000000" w:rsidRDefault="0053651E">
            <w:pPr>
              <w:jc w:val="right"/>
              <w:rPr>
                <w:rFonts w:eastAsia="Times New Roman"/>
                <w:sz w:val="20"/>
                <w:szCs w:val="20"/>
              </w:rPr>
            </w:pPr>
            <w:r>
              <w:rPr>
                <w:rFonts w:eastAsia="Times New Roman"/>
                <w:sz w:val="20"/>
                <w:szCs w:val="20"/>
              </w:rPr>
              <w:t>174,903</w:t>
            </w:r>
          </w:p>
        </w:tc>
        <w:tc>
          <w:tcPr>
            <w:tcW w:w="50" w:type="pct"/>
            <w:shd w:val="clear" w:color="auto" w:fill="FFFFFF"/>
            <w:vAlign w:val="bottom"/>
            <w:hideMark/>
          </w:tcPr>
          <w:p w14:paraId="08613214" w14:textId="77777777" w:rsidR="00000000" w:rsidRDefault="0053651E">
            <w:pPr>
              <w:rPr>
                <w:rFonts w:eastAsia="Times New Roman"/>
                <w:sz w:val="20"/>
                <w:szCs w:val="20"/>
              </w:rPr>
            </w:pPr>
            <w:r>
              <w:rPr>
                <w:rFonts w:eastAsia="Times New Roman"/>
                <w:sz w:val="20"/>
                <w:szCs w:val="20"/>
              </w:rPr>
              <w:t> </w:t>
            </w:r>
          </w:p>
        </w:tc>
      </w:tr>
      <w:tr w:rsidR="00000000" w14:paraId="5173917C" w14:textId="77777777">
        <w:trPr>
          <w:divId w:val="1860270963"/>
          <w:tblCellSpacing w:w="0" w:type="dxa"/>
        </w:trPr>
        <w:tc>
          <w:tcPr>
            <w:tcW w:w="0" w:type="auto"/>
            <w:shd w:val="clear" w:color="auto" w:fill="CCEEFF"/>
            <w:vAlign w:val="bottom"/>
            <w:hideMark/>
          </w:tcPr>
          <w:p w14:paraId="6846D969" w14:textId="77777777" w:rsidR="00000000" w:rsidRDefault="0053651E">
            <w:pPr>
              <w:pStyle w:val="a3"/>
              <w:spacing w:before="0" w:beforeAutospacing="0" w:after="0" w:afterAutospacing="0"/>
              <w:ind w:left="540" w:hanging="180"/>
              <w:rPr>
                <w:sz w:val="20"/>
                <w:szCs w:val="20"/>
              </w:rPr>
            </w:pPr>
            <w:r>
              <w:rPr>
                <w:sz w:val="20"/>
                <w:szCs w:val="20"/>
              </w:rPr>
              <w:t>Dividends payable</w:t>
            </w:r>
          </w:p>
        </w:tc>
        <w:tc>
          <w:tcPr>
            <w:tcW w:w="50" w:type="pct"/>
            <w:shd w:val="clear" w:color="auto" w:fill="CCEEFF"/>
            <w:vAlign w:val="bottom"/>
            <w:hideMark/>
          </w:tcPr>
          <w:p w14:paraId="010F74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EF670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514D12" w14:textId="77777777" w:rsidR="00000000" w:rsidRDefault="0053651E">
            <w:pPr>
              <w:jc w:val="right"/>
              <w:rPr>
                <w:rFonts w:eastAsia="Times New Roman"/>
                <w:sz w:val="20"/>
                <w:szCs w:val="20"/>
              </w:rPr>
            </w:pPr>
            <w:r>
              <w:rPr>
                <w:rFonts w:eastAsia="Times New Roman"/>
                <w:sz w:val="20"/>
                <w:szCs w:val="20"/>
              </w:rPr>
              <w:t>126,274</w:t>
            </w:r>
          </w:p>
        </w:tc>
        <w:tc>
          <w:tcPr>
            <w:tcW w:w="50" w:type="pct"/>
            <w:shd w:val="clear" w:color="auto" w:fill="CCEEFF"/>
            <w:vAlign w:val="bottom"/>
            <w:hideMark/>
          </w:tcPr>
          <w:p w14:paraId="010667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6FF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7F04E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EB08B9" w14:textId="77777777" w:rsidR="00000000" w:rsidRDefault="0053651E">
            <w:pPr>
              <w:jc w:val="right"/>
              <w:rPr>
                <w:rFonts w:eastAsia="Times New Roman"/>
                <w:sz w:val="20"/>
                <w:szCs w:val="20"/>
              </w:rPr>
            </w:pPr>
            <w:r>
              <w:rPr>
                <w:rFonts w:eastAsia="Times New Roman"/>
                <w:sz w:val="20"/>
                <w:szCs w:val="20"/>
              </w:rPr>
              <w:t>130,262</w:t>
            </w:r>
          </w:p>
        </w:tc>
        <w:tc>
          <w:tcPr>
            <w:tcW w:w="50" w:type="pct"/>
            <w:shd w:val="clear" w:color="auto" w:fill="CCEEFF"/>
            <w:vAlign w:val="bottom"/>
            <w:hideMark/>
          </w:tcPr>
          <w:p w14:paraId="2ABA8B02" w14:textId="77777777" w:rsidR="00000000" w:rsidRDefault="0053651E">
            <w:pPr>
              <w:rPr>
                <w:rFonts w:eastAsia="Times New Roman"/>
                <w:sz w:val="20"/>
                <w:szCs w:val="20"/>
              </w:rPr>
            </w:pPr>
            <w:r>
              <w:rPr>
                <w:rFonts w:eastAsia="Times New Roman"/>
                <w:sz w:val="20"/>
                <w:szCs w:val="20"/>
              </w:rPr>
              <w:t> </w:t>
            </w:r>
          </w:p>
        </w:tc>
      </w:tr>
      <w:tr w:rsidR="00000000" w14:paraId="7691A8A9" w14:textId="77777777">
        <w:trPr>
          <w:divId w:val="1860270963"/>
          <w:tblCellSpacing w:w="0" w:type="dxa"/>
        </w:trPr>
        <w:tc>
          <w:tcPr>
            <w:tcW w:w="0" w:type="auto"/>
            <w:shd w:val="clear" w:color="auto" w:fill="FFFFFF"/>
            <w:vAlign w:val="bottom"/>
            <w:hideMark/>
          </w:tcPr>
          <w:p w14:paraId="59A12001" w14:textId="77777777" w:rsidR="00000000" w:rsidRDefault="0053651E">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FFFFFF"/>
            <w:vAlign w:val="bottom"/>
            <w:hideMark/>
          </w:tcPr>
          <w:p w14:paraId="1555BE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67C91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99A5A30" w14:textId="77777777" w:rsidR="00000000" w:rsidRDefault="0053651E">
            <w:pPr>
              <w:jc w:val="right"/>
              <w:rPr>
                <w:rFonts w:eastAsia="Times New Roman"/>
                <w:sz w:val="20"/>
                <w:szCs w:val="20"/>
              </w:rPr>
            </w:pPr>
            <w:r>
              <w:rPr>
                <w:rFonts w:eastAsia="Times New Roman"/>
                <w:sz w:val="20"/>
                <w:szCs w:val="20"/>
              </w:rPr>
              <w:t>92,711</w:t>
            </w:r>
          </w:p>
        </w:tc>
        <w:tc>
          <w:tcPr>
            <w:tcW w:w="50" w:type="pct"/>
            <w:shd w:val="clear" w:color="auto" w:fill="FFFFFF"/>
            <w:vAlign w:val="bottom"/>
            <w:hideMark/>
          </w:tcPr>
          <w:p w14:paraId="4182AD5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3FDA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B79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0AACC" w14:textId="77777777" w:rsidR="00000000" w:rsidRDefault="0053651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C53512" w14:textId="77777777" w:rsidR="00000000" w:rsidRDefault="0053651E">
            <w:pPr>
              <w:rPr>
                <w:rFonts w:eastAsia="Times New Roman"/>
                <w:sz w:val="20"/>
                <w:szCs w:val="20"/>
              </w:rPr>
            </w:pPr>
            <w:r>
              <w:rPr>
                <w:rFonts w:eastAsia="Times New Roman"/>
                <w:sz w:val="20"/>
                <w:szCs w:val="20"/>
              </w:rPr>
              <w:t> </w:t>
            </w:r>
          </w:p>
        </w:tc>
      </w:tr>
      <w:tr w:rsidR="00000000" w14:paraId="24B33D9D" w14:textId="77777777">
        <w:trPr>
          <w:divId w:val="1860270963"/>
          <w:tblCellSpacing w:w="0" w:type="dxa"/>
        </w:trPr>
        <w:tc>
          <w:tcPr>
            <w:tcW w:w="0" w:type="auto"/>
            <w:shd w:val="clear" w:color="auto" w:fill="CCEEFF"/>
            <w:vAlign w:val="bottom"/>
            <w:hideMark/>
          </w:tcPr>
          <w:p w14:paraId="4D005348" w14:textId="77777777" w:rsidR="00000000" w:rsidRDefault="0053651E">
            <w:pPr>
              <w:pStyle w:val="a3"/>
              <w:spacing w:before="0" w:beforeAutospacing="0" w:after="0" w:afterAutospacing="0"/>
              <w:ind w:left="540" w:hanging="18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14:paraId="2087BC9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25B8324"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BC2C714" w14:textId="77777777" w:rsidR="00000000" w:rsidRDefault="0053651E">
            <w:pPr>
              <w:jc w:val="right"/>
              <w:rPr>
                <w:rFonts w:eastAsia="Times New Roman"/>
                <w:sz w:val="20"/>
                <w:szCs w:val="20"/>
              </w:rPr>
            </w:pPr>
            <w:r>
              <w:rPr>
                <w:rFonts w:eastAsia="Times New Roman"/>
                <w:sz w:val="20"/>
                <w:szCs w:val="20"/>
              </w:rPr>
              <w:t>346,183</w:t>
            </w:r>
          </w:p>
        </w:tc>
        <w:tc>
          <w:tcPr>
            <w:tcW w:w="50" w:type="pct"/>
            <w:shd w:val="clear" w:color="auto" w:fill="CCEEFF"/>
            <w:tcMar>
              <w:top w:w="0" w:type="dxa"/>
              <w:left w:w="0" w:type="dxa"/>
              <w:bottom w:w="15" w:type="dxa"/>
              <w:right w:w="0" w:type="dxa"/>
            </w:tcMar>
            <w:vAlign w:val="bottom"/>
            <w:hideMark/>
          </w:tcPr>
          <w:p w14:paraId="5A5C43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09C1B0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C5F90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8EFED7F" w14:textId="77777777" w:rsidR="00000000" w:rsidRDefault="0053651E">
            <w:pPr>
              <w:jc w:val="right"/>
              <w:rPr>
                <w:rFonts w:eastAsia="Times New Roman"/>
                <w:sz w:val="20"/>
                <w:szCs w:val="20"/>
              </w:rPr>
            </w:pPr>
            <w:r>
              <w:rPr>
                <w:rFonts w:eastAsia="Times New Roman"/>
                <w:sz w:val="20"/>
                <w:szCs w:val="20"/>
              </w:rPr>
              <w:t>385,328</w:t>
            </w:r>
          </w:p>
        </w:tc>
        <w:tc>
          <w:tcPr>
            <w:tcW w:w="50" w:type="pct"/>
            <w:shd w:val="clear" w:color="auto" w:fill="CCEEFF"/>
            <w:tcMar>
              <w:top w:w="0" w:type="dxa"/>
              <w:left w:w="0" w:type="dxa"/>
              <w:bottom w:w="15" w:type="dxa"/>
              <w:right w:w="0" w:type="dxa"/>
            </w:tcMar>
            <w:vAlign w:val="bottom"/>
            <w:hideMark/>
          </w:tcPr>
          <w:p w14:paraId="7776D416" w14:textId="77777777" w:rsidR="00000000" w:rsidRDefault="0053651E">
            <w:pPr>
              <w:rPr>
                <w:rFonts w:eastAsia="Times New Roman"/>
                <w:sz w:val="20"/>
                <w:szCs w:val="20"/>
              </w:rPr>
            </w:pPr>
            <w:r>
              <w:rPr>
                <w:rFonts w:eastAsia="Times New Roman"/>
                <w:sz w:val="20"/>
                <w:szCs w:val="20"/>
              </w:rPr>
              <w:t> </w:t>
            </w:r>
          </w:p>
        </w:tc>
      </w:tr>
      <w:tr w:rsidR="00000000" w14:paraId="26D5748F" w14:textId="77777777">
        <w:trPr>
          <w:divId w:val="1860270963"/>
          <w:tblCellSpacing w:w="0" w:type="dxa"/>
        </w:trPr>
        <w:tc>
          <w:tcPr>
            <w:tcW w:w="0" w:type="auto"/>
            <w:shd w:val="clear" w:color="auto" w:fill="FFFFFF"/>
            <w:vAlign w:val="bottom"/>
            <w:hideMark/>
          </w:tcPr>
          <w:p w14:paraId="0B4F7FFD" w14:textId="77777777" w:rsidR="00000000" w:rsidRDefault="0053651E">
            <w:pPr>
              <w:pStyle w:val="a3"/>
              <w:spacing w:before="0" w:beforeAutospacing="0" w:after="0" w:afterAutospacing="0"/>
              <w:rPr>
                <w:sz w:val="20"/>
                <w:szCs w:val="20"/>
              </w:rPr>
            </w:pPr>
            <w:r>
              <w:rPr>
                <w:sz w:val="20"/>
                <w:szCs w:val="20"/>
              </w:rPr>
              <w:t>Total liabilities (2)</w:t>
            </w:r>
          </w:p>
        </w:tc>
        <w:tc>
          <w:tcPr>
            <w:tcW w:w="50" w:type="pct"/>
            <w:shd w:val="clear" w:color="auto" w:fill="FFFFFF"/>
            <w:vAlign w:val="bottom"/>
            <w:hideMark/>
          </w:tcPr>
          <w:p w14:paraId="03EDB91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E3942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2B89236" w14:textId="77777777" w:rsidR="00000000" w:rsidRDefault="0053651E">
            <w:pPr>
              <w:jc w:val="right"/>
              <w:rPr>
                <w:rFonts w:eastAsia="Times New Roman"/>
                <w:sz w:val="20"/>
                <w:szCs w:val="20"/>
              </w:rPr>
            </w:pPr>
            <w:r>
              <w:rPr>
                <w:rFonts w:eastAsia="Times New Roman"/>
                <w:sz w:val="20"/>
                <w:szCs w:val="20"/>
              </w:rPr>
              <w:t>6,051,017</w:t>
            </w:r>
          </w:p>
        </w:tc>
        <w:tc>
          <w:tcPr>
            <w:tcW w:w="50" w:type="pct"/>
            <w:shd w:val="clear" w:color="auto" w:fill="FFFFFF"/>
            <w:tcMar>
              <w:top w:w="0" w:type="dxa"/>
              <w:left w:w="0" w:type="dxa"/>
              <w:bottom w:w="15" w:type="dxa"/>
              <w:right w:w="0" w:type="dxa"/>
            </w:tcMar>
            <w:vAlign w:val="bottom"/>
            <w:hideMark/>
          </w:tcPr>
          <w:p w14:paraId="1DCDF1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C499B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14A6ABC"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EED72EE" w14:textId="77777777" w:rsidR="00000000" w:rsidRDefault="0053651E">
            <w:pPr>
              <w:jc w:val="right"/>
              <w:rPr>
                <w:rFonts w:eastAsia="Times New Roman"/>
                <w:sz w:val="20"/>
                <w:szCs w:val="20"/>
              </w:rPr>
            </w:pPr>
            <w:r>
              <w:rPr>
                <w:rFonts w:eastAsia="Times New Roman"/>
                <w:sz w:val="20"/>
                <w:szCs w:val="20"/>
              </w:rPr>
              <w:t>5,564,365</w:t>
            </w:r>
          </w:p>
        </w:tc>
        <w:tc>
          <w:tcPr>
            <w:tcW w:w="50" w:type="pct"/>
            <w:shd w:val="clear" w:color="auto" w:fill="FFFFFF"/>
            <w:tcMar>
              <w:top w:w="0" w:type="dxa"/>
              <w:left w:w="0" w:type="dxa"/>
              <w:bottom w:w="15" w:type="dxa"/>
              <w:right w:w="0" w:type="dxa"/>
            </w:tcMar>
            <w:vAlign w:val="bottom"/>
            <w:hideMark/>
          </w:tcPr>
          <w:p w14:paraId="265F087D" w14:textId="77777777" w:rsidR="00000000" w:rsidRDefault="0053651E">
            <w:pPr>
              <w:rPr>
                <w:rFonts w:eastAsia="Times New Roman"/>
                <w:sz w:val="20"/>
                <w:szCs w:val="20"/>
              </w:rPr>
            </w:pPr>
            <w:r>
              <w:rPr>
                <w:rFonts w:eastAsia="Times New Roman"/>
                <w:sz w:val="20"/>
                <w:szCs w:val="20"/>
              </w:rPr>
              <w:t> </w:t>
            </w:r>
          </w:p>
        </w:tc>
      </w:tr>
      <w:tr w:rsidR="00000000" w14:paraId="4DF1F78E" w14:textId="77777777">
        <w:trPr>
          <w:divId w:val="1860270963"/>
          <w:tblCellSpacing w:w="0" w:type="dxa"/>
        </w:trPr>
        <w:tc>
          <w:tcPr>
            <w:tcW w:w="0" w:type="auto"/>
            <w:shd w:val="clear" w:color="auto" w:fill="CCEEFF"/>
            <w:vAlign w:val="bottom"/>
            <w:hideMark/>
          </w:tcPr>
          <w:p w14:paraId="65E560EC" w14:textId="77777777" w:rsidR="00000000" w:rsidRDefault="0053651E">
            <w:pPr>
              <w:pStyle w:val="a3"/>
              <w:spacing w:before="0" w:beforeAutospacing="0" w:after="0" w:afterAutospacing="0"/>
              <w:rPr>
                <w:sz w:val="20"/>
                <w:szCs w:val="20"/>
              </w:rPr>
            </w:pPr>
            <w:r>
              <w:rPr>
                <w:sz w:val="20"/>
                <w:szCs w:val="20"/>
              </w:rPr>
              <w:t>Redeemable noncontrolling interests</w:t>
            </w:r>
          </w:p>
        </w:tc>
        <w:tc>
          <w:tcPr>
            <w:tcW w:w="50" w:type="pct"/>
            <w:shd w:val="clear" w:color="auto" w:fill="CCEEFF"/>
            <w:vAlign w:val="bottom"/>
            <w:hideMark/>
          </w:tcPr>
          <w:p w14:paraId="2BC428C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5E5655"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122B926" w14:textId="77777777" w:rsidR="00000000" w:rsidRDefault="0053651E">
            <w:pPr>
              <w:jc w:val="right"/>
              <w:rPr>
                <w:rFonts w:eastAsia="Times New Roman"/>
                <w:sz w:val="20"/>
                <w:szCs w:val="20"/>
              </w:rPr>
            </w:pPr>
            <w:r>
              <w:rPr>
                <w:rFonts w:eastAsia="Times New Roman"/>
                <w:sz w:val="20"/>
                <w:szCs w:val="20"/>
              </w:rPr>
              <w:t>17,943</w:t>
            </w:r>
          </w:p>
        </w:tc>
        <w:tc>
          <w:tcPr>
            <w:tcW w:w="50" w:type="pct"/>
            <w:shd w:val="clear" w:color="auto" w:fill="CCEEFF"/>
            <w:tcMar>
              <w:top w:w="0" w:type="dxa"/>
              <w:left w:w="0" w:type="dxa"/>
              <w:bottom w:w="15" w:type="dxa"/>
              <w:right w:w="0" w:type="dxa"/>
            </w:tcMar>
            <w:vAlign w:val="bottom"/>
            <w:hideMark/>
          </w:tcPr>
          <w:p w14:paraId="2C2598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49319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7FFE414"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EDDA53D" w14:textId="77777777" w:rsidR="00000000" w:rsidRDefault="0053651E">
            <w:pPr>
              <w:jc w:val="right"/>
              <w:rPr>
                <w:rFonts w:eastAsia="Times New Roman"/>
                <w:sz w:val="20"/>
                <w:szCs w:val="20"/>
              </w:rPr>
            </w:pPr>
            <w:r>
              <w:rPr>
                <w:rFonts w:eastAsia="Times New Roman"/>
                <w:sz w:val="20"/>
                <w:szCs w:val="20"/>
              </w:rPr>
              <w:t>23,682</w:t>
            </w:r>
          </w:p>
        </w:tc>
        <w:tc>
          <w:tcPr>
            <w:tcW w:w="50" w:type="pct"/>
            <w:shd w:val="clear" w:color="auto" w:fill="CCEEFF"/>
            <w:tcMar>
              <w:top w:w="0" w:type="dxa"/>
              <w:left w:w="0" w:type="dxa"/>
              <w:bottom w:w="15" w:type="dxa"/>
              <w:right w:w="0" w:type="dxa"/>
            </w:tcMar>
            <w:vAlign w:val="bottom"/>
            <w:hideMark/>
          </w:tcPr>
          <w:p w14:paraId="5818E40F" w14:textId="77777777" w:rsidR="00000000" w:rsidRDefault="0053651E">
            <w:pPr>
              <w:rPr>
                <w:rFonts w:eastAsia="Times New Roman"/>
                <w:sz w:val="20"/>
                <w:szCs w:val="20"/>
              </w:rPr>
            </w:pPr>
            <w:r>
              <w:rPr>
                <w:rFonts w:eastAsia="Times New Roman"/>
                <w:sz w:val="20"/>
                <w:szCs w:val="20"/>
              </w:rPr>
              <w:t> </w:t>
            </w:r>
          </w:p>
        </w:tc>
      </w:tr>
      <w:tr w:rsidR="00000000" w14:paraId="02279B16" w14:textId="77777777">
        <w:trPr>
          <w:divId w:val="1860270963"/>
          <w:tblCellSpacing w:w="0" w:type="dxa"/>
        </w:trPr>
        <w:tc>
          <w:tcPr>
            <w:tcW w:w="0" w:type="auto"/>
            <w:shd w:val="clear" w:color="auto" w:fill="FFFFFF"/>
            <w:vAlign w:val="bottom"/>
            <w:hideMark/>
          </w:tcPr>
          <w:p w14:paraId="56B2CFD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C290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D99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A30FA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CC8B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C29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604F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D875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F1AE5" w14:textId="77777777" w:rsidR="00000000" w:rsidRDefault="0053651E">
            <w:pPr>
              <w:rPr>
                <w:rFonts w:eastAsia="Times New Roman"/>
                <w:sz w:val="20"/>
                <w:szCs w:val="20"/>
              </w:rPr>
            </w:pPr>
            <w:r>
              <w:rPr>
                <w:rFonts w:eastAsia="Times New Roman"/>
                <w:sz w:val="20"/>
                <w:szCs w:val="20"/>
              </w:rPr>
              <w:t> </w:t>
            </w:r>
          </w:p>
        </w:tc>
      </w:tr>
      <w:tr w:rsidR="00000000" w14:paraId="448D0A3E" w14:textId="77777777">
        <w:trPr>
          <w:divId w:val="1860270963"/>
          <w:tblCellSpacing w:w="0" w:type="dxa"/>
        </w:trPr>
        <w:tc>
          <w:tcPr>
            <w:tcW w:w="0" w:type="auto"/>
            <w:shd w:val="clear" w:color="auto" w:fill="CCEEFF"/>
            <w:vAlign w:val="bottom"/>
            <w:hideMark/>
          </w:tcPr>
          <w:p w14:paraId="447550F1" w14:textId="77777777" w:rsidR="00000000" w:rsidRDefault="0053651E">
            <w:pPr>
              <w:pStyle w:val="a3"/>
              <w:spacing w:before="0" w:beforeAutospacing="0" w:after="0" w:afterAutospacing="0"/>
              <w:rPr>
                <w:sz w:val="20"/>
                <w:szCs w:val="20"/>
              </w:rPr>
            </w:pPr>
            <w:r>
              <w:rPr>
                <w:sz w:val="20"/>
                <w:szCs w:val="20"/>
              </w:rPr>
              <w:t>Commitments and contingencies (Footnote 19)</w:t>
            </w:r>
          </w:p>
        </w:tc>
        <w:tc>
          <w:tcPr>
            <w:tcW w:w="0" w:type="auto"/>
            <w:shd w:val="clear" w:color="auto" w:fill="CCEEFF"/>
            <w:vAlign w:val="bottom"/>
            <w:hideMark/>
          </w:tcPr>
          <w:p w14:paraId="63AEFF0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97E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652EF" w14:textId="77777777" w:rsidR="00000000" w:rsidRDefault="0053651E">
            <w:pPr>
              <w:rPr>
                <w:rFonts w:eastAsia="Times New Roman"/>
                <w:sz w:val="20"/>
                <w:szCs w:val="20"/>
              </w:rPr>
            </w:pPr>
          </w:p>
        </w:tc>
        <w:tc>
          <w:tcPr>
            <w:tcW w:w="0" w:type="auto"/>
            <w:shd w:val="clear" w:color="auto" w:fill="CCEEFF"/>
            <w:vAlign w:val="bottom"/>
            <w:hideMark/>
          </w:tcPr>
          <w:p w14:paraId="1AD866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888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03D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6E2C11" w14:textId="77777777" w:rsidR="00000000" w:rsidRDefault="0053651E">
            <w:pPr>
              <w:rPr>
                <w:rFonts w:eastAsia="Times New Roman"/>
                <w:sz w:val="20"/>
                <w:szCs w:val="20"/>
              </w:rPr>
            </w:pPr>
          </w:p>
        </w:tc>
        <w:tc>
          <w:tcPr>
            <w:tcW w:w="0" w:type="auto"/>
            <w:shd w:val="clear" w:color="auto" w:fill="CCEEFF"/>
            <w:vAlign w:val="bottom"/>
            <w:hideMark/>
          </w:tcPr>
          <w:p w14:paraId="039D4C84" w14:textId="77777777" w:rsidR="00000000" w:rsidRDefault="0053651E">
            <w:pPr>
              <w:rPr>
                <w:rFonts w:eastAsia="Times New Roman"/>
                <w:sz w:val="20"/>
                <w:szCs w:val="20"/>
              </w:rPr>
            </w:pPr>
            <w:r>
              <w:rPr>
                <w:rFonts w:eastAsia="Times New Roman"/>
                <w:sz w:val="20"/>
                <w:szCs w:val="20"/>
              </w:rPr>
              <w:t> </w:t>
            </w:r>
          </w:p>
        </w:tc>
      </w:tr>
      <w:tr w:rsidR="00000000" w14:paraId="516A6D33" w14:textId="77777777">
        <w:trPr>
          <w:divId w:val="1860270963"/>
          <w:tblCellSpacing w:w="0" w:type="dxa"/>
        </w:trPr>
        <w:tc>
          <w:tcPr>
            <w:tcW w:w="0" w:type="auto"/>
            <w:shd w:val="clear" w:color="auto" w:fill="FFFFFF"/>
            <w:vAlign w:val="bottom"/>
            <w:hideMark/>
          </w:tcPr>
          <w:p w14:paraId="71CEBF6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15B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F7D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080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BD8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1E70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800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756D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B15A7" w14:textId="77777777" w:rsidR="00000000" w:rsidRDefault="0053651E">
            <w:pPr>
              <w:rPr>
                <w:rFonts w:eastAsia="Times New Roman"/>
                <w:sz w:val="20"/>
                <w:szCs w:val="20"/>
              </w:rPr>
            </w:pPr>
            <w:r>
              <w:rPr>
                <w:rFonts w:eastAsia="Times New Roman"/>
                <w:sz w:val="20"/>
                <w:szCs w:val="20"/>
              </w:rPr>
              <w:t> </w:t>
            </w:r>
          </w:p>
        </w:tc>
      </w:tr>
      <w:tr w:rsidR="00000000" w14:paraId="55017627" w14:textId="77777777">
        <w:trPr>
          <w:divId w:val="1860270963"/>
          <w:tblCellSpacing w:w="0" w:type="dxa"/>
        </w:trPr>
        <w:tc>
          <w:tcPr>
            <w:tcW w:w="0" w:type="auto"/>
            <w:shd w:val="clear" w:color="auto" w:fill="CCEEFF"/>
            <w:vAlign w:val="bottom"/>
            <w:hideMark/>
          </w:tcPr>
          <w:p w14:paraId="7AEC2CF1" w14:textId="77777777" w:rsidR="00000000" w:rsidRDefault="0053651E">
            <w:pPr>
              <w:pStyle w:val="a3"/>
              <w:spacing w:before="0" w:beforeAutospacing="0" w:after="0" w:afterAutospacing="0"/>
              <w:rPr>
                <w:sz w:val="20"/>
                <w:szCs w:val="20"/>
              </w:rPr>
            </w:pPr>
            <w:r>
              <w:rPr>
                <w:sz w:val="20"/>
                <w:szCs w:val="20"/>
              </w:rPr>
              <w:t>Stockholders' equity:</w:t>
            </w:r>
          </w:p>
        </w:tc>
        <w:tc>
          <w:tcPr>
            <w:tcW w:w="0" w:type="auto"/>
            <w:shd w:val="clear" w:color="auto" w:fill="CCEEFF"/>
            <w:vAlign w:val="bottom"/>
            <w:hideMark/>
          </w:tcPr>
          <w:p w14:paraId="51851D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C6C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51A9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B952A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4443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A5F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8BCA3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D87B5D" w14:textId="77777777" w:rsidR="00000000" w:rsidRDefault="0053651E">
            <w:pPr>
              <w:rPr>
                <w:rFonts w:eastAsia="Times New Roman"/>
                <w:sz w:val="20"/>
                <w:szCs w:val="20"/>
              </w:rPr>
            </w:pPr>
            <w:r>
              <w:rPr>
                <w:rFonts w:eastAsia="Times New Roman"/>
                <w:sz w:val="20"/>
                <w:szCs w:val="20"/>
              </w:rPr>
              <w:t> </w:t>
            </w:r>
          </w:p>
        </w:tc>
      </w:tr>
      <w:tr w:rsidR="00000000" w14:paraId="7F659525" w14:textId="77777777">
        <w:trPr>
          <w:divId w:val="1860270963"/>
          <w:tblCellSpacing w:w="0" w:type="dxa"/>
        </w:trPr>
        <w:tc>
          <w:tcPr>
            <w:tcW w:w="0" w:type="auto"/>
            <w:shd w:val="clear" w:color="auto" w:fill="FFFFFF"/>
            <w:vAlign w:val="bottom"/>
            <w:hideMark/>
          </w:tcPr>
          <w:p w14:paraId="341E8811" w14:textId="77777777" w:rsidR="00000000" w:rsidRDefault="0053651E">
            <w:pPr>
              <w:pStyle w:val="a3"/>
              <w:spacing w:before="0" w:beforeAutospacing="0" w:after="0" w:afterAutospacing="0"/>
              <w:ind w:left="540" w:hanging="180"/>
              <w:rPr>
                <w:sz w:val="20"/>
                <w:szCs w:val="20"/>
              </w:rPr>
            </w:pPr>
            <w:r>
              <w:rPr>
                <w:sz w:val="20"/>
                <w:szCs w:val="20"/>
              </w:rPr>
              <w:t>Preferred stock, $1.00 par value, authorized 7,054,000 shares; undesignated 6,019,240, and 5,996,240 shares, respectively; Issued and outstanding (in series) 19,580, and 42,580 shares, respectively. Aggregate liquidation preference $489,500, and $1,064,500</w:t>
            </w:r>
            <w:r>
              <w:rPr>
                <w:sz w:val="20"/>
                <w:szCs w:val="20"/>
              </w:rPr>
              <w:t>, respectively</w:t>
            </w:r>
          </w:p>
        </w:tc>
        <w:tc>
          <w:tcPr>
            <w:tcW w:w="50" w:type="pct"/>
            <w:shd w:val="clear" w:color="auto" w:fill="FFFFFF"/>
            <w:vAlign w:val="bottom"/>
            <w:hideMark/>
          </w:tcPr>
          <w:p w14:paraId="1256BC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7B400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7546626" w14:textId="77777777" w:rsidR="00000000" w:rsidRDefault="0053651E">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6BDF81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6D0A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43281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D6501CC" w14:textId="77777777" w:rsidR="00000000" w:rsidRDefault="0053651E">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3702BEFC" w14:textId="77777777" w:rsidR="00000000" w:rsidRDefault="0053651E">
            <w:pPr>
              <w:rPr>
                <w:rFonts w:eastAsia="Times New Roman"/>
                <w:sz w:val="20"/>
                <w:szCs w:val="20"/>
              </w:rPr>
            </w:pPr>
            <w:r>
              <w:rPr>
                <w:rFonts w:eastAsia="Times New Roman"/>
                <w:sz w:val="20"/>
                <w:szCs w:val="20"/>
              </w:rPr>
              <w:t> </w:t>
            </w:r>
          </w:p>
        </w:tc>
      </w:tr>
      <w:tr w:rsidR="00000000" w14:paraId="0AC1D43A" w14:textId="77777777">
        <w:trPr>
          <w:divId w:val="1860270963"/>
          <w:tblCellSpacing w:w="0" w:type="dxa"/>
        </w:trPr>
        <w:tc>
          <w:tcPr>
            <w:tcW w:w="0" w:type="auto"/>
            <w:shd w:val="clear" w:color="auto" w:fill="CCEEFF"/>
            <w:vAlign w:val="bottom"/>
            <w:hideMark/>
          </w:tcPr>
          <w:p w14:paraId="7717B735" w14:textId="77777777" w:rsidR="00000000" w:rsidRDefault="0053651E">
            <w:pPr>
              <w:pStyle w:val="a3"/>
              <w:spacing w:before="0" w:beforeAutospacing="0" w:after="0" w:afterAutospacing="0"/>
              <w:ind w:left="540" w:hanging="180"/>
              <w:rPr>
                <w:sz w:val="20"/>
                <w:szCs w:val="20"/>
              </w:rPr>
            </w:pPr>
            <w:r>
              <w:rPr>
                <w:sz w:val="20"/>
                <w:szCs w:val="20"/>
              </w:rPr>
              <w:t>Common stock, $.01 par value, authorized 750,000,000 shares; issued and outstanding 431,814,951, and 421,388,879 shares, respectively</w:t>
            </w:r>
          </w:p>
        </w:tc>
        <w:tc>
          <w:tcPr>
            <w:tcW w:w="50" w:type="pct"/>
            <w:shd w:val="clear" w:color="auto" w:fill="CCEEFF"/>
            <w:vAlign w:val="bottom"/>
            <w:hideMark/>
          </w:tcPr>
          <w:p w14:paraId="63DC55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C43E1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18E8F4A" w14:textId="77777777" w:rsidR="00000000" w:rsidRDefault="0053651E">
            <w:pPr>
              <w:jc w:val="right"/>
              <w:rPr>
                <w:rFonts w:eastAsia="Times New Roman"/>
                <w:sz w:val="20"/>
                <w:szCs w:val="20"/>
              </w:rPr>
            </w:pPr>
            <w:r>
              <w:rPr>
                <w:rFonts w:eastAsia="Times New Roman"/>
                <w:sz w:val="20"/>
                <w:szCs w:val="20"/>
              </w:rPr>
              <w:t>4,318</w:t>
            </w:r>
          </w:p>
        </w:tc>
        <w:tc>
          <w:tcPr>
            <w:tcW w:w="50" w:type="pct"/>
            <w:shd w:val="clear" w:color="auto" w:fill="CCEEFF"/>
            <w:vAlign w:val="bottom"/>
            <w:hideMark/>
          </w:tcPr>
          <w:p w14:paraId="551BAD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D51F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30ACF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E688F38" w14:textId="77777777" w:rsidR="00000000" w:rsidRDefault="0053651E">
            <w:pPr>
              <w:jc w:val="right"/>
              <w:rPr>
                <w:rFonts w:eastAsia="Times New Roman"/>
                <w:sz w:val="20"/>
                <w:szCs w:val="20"/>
              </w:rPr>
            </w:pPr>
            <w:r>
              <w:rPr>
                <w:rFonts w:eastAsia="Times New Roman"/>
                <w:sz w:val="20"/>
                <w:szCs w:val="20"/>
              </w:rPr>
              <w:t>4,214</w:t>
            </w:r>
          </w:p>
        </w:tc>
        <w:tc>
          <w:tcPr>
            <w:tcW w:w="50" w:type="pct"/>
            <w:shd w:val="clear" w:color="auto" w:fill="CCEEFF"/>
            <w:vAlign w:val="bottom"/>
            <w:hideMark/>
          </w:tcPr>
          <w:p w14:paraId="1C4B2B1E" w14:textId="77777777" w:rsidR="00000000" w:rsidRDefault="0053651E">
            <w:pPr>
              <w:rPr>
                <w:rFonts w:eastAsia="Times New Roman"/>
                <w:sz w:val="20"/>
                <w:szCs w:val="20"/>
              </w:rPr>
            </w:pPr>
            <w:r>
              <w:rPr>
                <w:rFonts w:eastAsia="Times New Roman"/>
                <w:sz w:val="20"/>
                <w:szCs w:val="20"/>
              </w:rPr>
              <w:t> </w:t>
            </w:r>
          </w:p>
        </w:tc>
      </w:tr>
      <w:tr w:rsidR="00000000" w14:paraId="027F8173" w14:textId="77777777">
        <w:trPr>
          <w:divId w:val="1860270963"/>
          <w:tblCellSpacing w:w="0" w:type="dxa"/>
        </w:trPr>
        <w:tc>
          <w:tcPr>
            <w:tcW w:w="0" w:type="auto"/>
            <w:shd w:val="clear" w:color="auto" w:fill="FFFFFF"/>
            <w:vAlign w:val="bottom"/>
            <w:hideMark/>
          </w:tcPr>
          <w:p w14:paraId="48F75CA2" w14:textId="77777777" w:rsidR="00000000" w:rsidRDefault="0053651E">
            <w:pPr>
              <w:pStyle w:val="a3"/>
              <w:spacing w:before="0" w:beforeAutospacing="0" w:after="0" w:afterAutospacing="0"/>
              <w:ind w:left="540" w:hanging="180"/>
              <w:rPr>
                <w:sz w:val="20"/>
                <w:szCs w:val="20"/>
              </w:rPr>
            </w:pPr>
            <w:r>
              <w:rPr>
                <w:sz w:val="20"/>
                <w:szCs w:val="20"/>
              </w:rPr>
              <w:t>Paid-in capital</w:t>
            </w:r>
          </w:p>
        </w:tc>
        <w:tc>
          <w:tcPr>
            <w:tcW w:w="50" w:type="pct"/>
            <w:shd w:val="clear" w:color="auto" w:fill="FFFFFF"/>
            <w:vAlign w:val="bottom"/>
            <w:hideMark/>
          </w:tcPr>
          <w:p w14:paraId="54A989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FD3A2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BADD618" w14:textId="77777777" w:rsidR="00000000" w:rsidRDefault="0053651E">
            <w:pPr>
              <w:jc w:val="right"/>
              <w:rPr>
                <w:rFonts w:eastAsia="Times New Roman"/>
                <w:sz w:val="20"/>
                <w:szCs w:val="20"/>
              </w:rPr>
            </w:pPr>
            <w:r>
              <w:rPr>
                <w:rFonts w:eastAsia="Times New Roman"/>
                <w:sz w:val="20"/>
                <w:szCs w:val="20"/>
              </w:rPr>
              <w:t>5,765,233</w:t>
            </w:r>
          </w:p>
        </w:tc>
        <w:tc>
          <w:tcPr>
            <w:tcW w:w="50" w:type="pct"/>
            <w:shd w:val="clear" w:color="auto" w:fill="FFFFFF"/>
            <w:vAlign w:val="bottom"/>
            <w:hideMark/>
          </w:tcPr>
          <w:p w14:paraId="16FB39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D300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C6A55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2C28E1E" w14:textId="77777777" w:rsidR="00000000" w:rsidRDefault="0053651E">
            <w:pPr>
              <w:jc w:val="right"/>
              <w:rPr>
                <w:rFonts w:eastAsia="Times New Roman"/>
                <w:sz w:val="20"/>
                <w:szCs w:val="20"/>
              </w:rPr>
            </w:pPr>
            <w:r>
              <w:rPr>
                <w:rFonts w:eastAsia="Times New Roman"/>
                <w:sz w:val="20"/>
                <w:szCs w:val="20"/>
              </w:rPr>
              <w:t>6,117,254</w:t>
            </w:r>
          </w:p>
        </w:tc>
        <w:tc>
          <w:tcPr>
            <w:tcW w:w="50" w:type="pct"/>
            <w:shd w:val="clear" w:color="auto" w:fill="FFFFFF"/>
            <w:vAlign w:val="bottom"/>
            <w:hideMark/>
          </w:tcPr>
          <w:p w14:paraId="3CD2EA9E" w14:textId="77777777" w:rsidR="00000000" w:rsidRDefault="0053651E">
            <w:pPr>
              <w:rPr>
                <w:rFonts w:eastAsia="Times New Roman"/>
                <w:sz w:val="20"/>
                <w:szCs w:val="20"/>
              </w:rPr>
            </w:pPr>
            <w:r>
              <w:rPr>
                <w:rFonts w:eastAsia="Times New Roman"/>
                <w:sz w:val="20"/>
                <w:szCs w:val="20"/>
              </w:rPr>
              <w:t> </w:t>
            </w:r>
          </w:p>
        </w:tc>
      </w:tr>
      <w:tr w:rsidR="00000000" w14:paraId="205FB29D" w14:textId="77777777">
        <w:trPr>
          <w:divId w:val="1860270963"/>
          <w:tblCellSpacing w:w="0" w:type="dxa"/>
        </w:trPr>
        <w:tc>
          <w:tcPr>
            <w:tcW w:w="0" w:type="auto"/>
            <w:shd w:val="clear" w:color="auto" w:fill="CCEEFF"/>
            <w:vAlign w:val="bottom"/>
            <w:hideMark/>
          </w:tcPr>
          <w:p w14:paraId="7095C847" w14:textId="77777777" w:rsidR="00000000" w:rsidRDefault="0053651E">
            <w:pPr>
              <w:pStyle w:val="a3"/>
              <w:spacing w:before="0" w:beforeAutospacing="0" w:after="0" w:afterAutospacing="0"/>
              <w:ind w:left="540" w:hanging="180"/>
              <w:rPr>
                <w:sz w:val="20"/>
                <w:szCs w:val="20"/>
              </w:rPr>
            </w:pPr>
            <w:r>
              <w:rPr>
                <w:sz w:val="20"/>
                <w:szCs w:val="20"/>
              </w:rPr>
              <w:t>Cumulative distributions in excess of net income</w:t>
            </w:r>
          </w:p>
        </w:tc>
        <w:tc>
          <w:tcPr>
            <w:tcW w:w="50" w:type="pct"/>
            <w:shd w:val="clear" w:color="auto" w:fill="CCEEFF"/>
            <w:vAlign w:val="bottom"/>
            <w:hideMark/>
          </w:tcPr>
          <w:p w14:paraId="3D31522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2913B5"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AE5DE6B" w14:textId="77777777" w:rsidR="00000000" w:rsidRDefault="0053651E">
            <w:pPr>
              <w:jc w:val="right"/>
              <w:rPr>
                <w:rFonts w:eastAsia="Times New Roman"/>
                <w:sz w:val="20"/>
                <w:szCs w:val="20"/>
              </w:rPr>
            </w:pPr>
            <w:r>
              <w:rPr>
                <w:rFonts w:eastAsia="Times New Roman"/>
                <w:sz w:val="20"/>
                <w:szCs w:val="20"/>
              </w:rPr>
              <w:t>(904,679</w:t>
            </w:r>
          </w:p>
        </w:tc>
        <w:tc>
          <w:tcPr>
            <w:tcW w:w="50" w:type="pct"/>
            <w:shd w:val="clear" w:color="auto" w:fill="CCEEFF"/>
            <w:tcMar>
              <w:top w:w="0" w:type="dxa"/>
              <w:left w:w="0" w:type="dxa"/>
              <w:bottom w:w="15" w:type="dxa"/>
              <w:right w:w="0" w:type="dxa"/>
            </w:tcMar>
            <w:vAlign w:val="bottom"/>
            <w:hideMark/>
          </w:tcPr>
          <w:p w14:paraId="6F929CA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6901D6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1C448B0"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2256D18" w14:textId="77777777" w:rsidR="00000000" w:rsidRDefault="0053651E">
            <w:pPr>
              <w:jc w:val="right"/>
              <w:rPr>
                <w:rFonts w:eastAsia="Times New Roman"/>
                <w:sz w:val="20"/>
                <w:szCs w:val="20"/>
              </w:rPr>
            </w:pPr>
            <w:r>
              <w:rPr>
                <w:rFonts w:eastAsia="Times New Roman"/>
                <w:sz w:val="20"/>
                <w:szCs w:val="20"/>
              </w:rPr>
              <w:t>(787,707</w:t>
            </w:r>
          </w:p>
        </w:tc>
        <w:tc>
          <w:tcPr>
            <w:tcW w:w="50" w:type="pct"/>
            <w:shd w:val="clear" w:color="auto" w:fill="CCEEFF"/>
            <w:tcMar>
              <w:top w:w="0" w:type="dxa"/>
              <w:left w:w="0" w:type="dxa"/>
              <w:bottom w:w="15" w:type="dxa"/>
              <w:right w:w="0" w:type="dxa"/>
            </w:tcMar>
            <w:vAlign w:val="bottom"/>
            <w:hideMark/>
          </w:tcPr>
          <w:p w14:paraId="10D6ED71" w14:textId="77777777" w:rsidR="00000000" w:rsidRDefault="0053651E">
            <w:pPr>
              <w:rPr>
                <w:rFonts w:eastAsia="Times New Roman"/>
                <w:sz w:val="20"/>
                <w:szCs w:val="20"/>
              </w:rPr>
            </w:pPr>
            <w:r>
              <w:rPr>
                <w:rFonts w:eastAsia="Times New Roman"/>
                <w:sz w:val="20"/>
                <w:szCs w:val="20"/>
              </w:rPr>
              <w:t>)</w:t>
            </w:r>
          </w:p>
        </w:tc>
      </w:tr>
      <w:tr w:rsidR="00000000" w14:paraId="2331FA7B" w14:textId="77777777">
        <w:trPr>
          <w:divId w:val="1860270963"/>
          <w:tblCellSpacing w:w="0" w:type="dxa"/>
        </w:trPr>
        <w:tc>
          <w:tcPr>
            <w:tcW w:w="0" w:type="auto"/>
            <w:shd w:val="clear" w:color="auto" w:fill="FFFFFF"/>
            <w:vAlign w:val="bottom"/>
            <w:hideMark/>
          </w:tcPr>
          <w:p w14:paraId="1253EB1C" w14:textId="77777777" w:rsidR="00000000" w:rsidRDefault="0053651E">
            <w:pPr>
              <w:pStyle w:val="a3"/>
              <w:spacing w:before="0" w:beforeAutospacing="0" w:after="0" w:afterAutospacing="0"/>
              <w:rPr>
                <w:sz w:val="20"/>
                <w:szCs w:val="20"/>
              </w:rPr>
            </w:pPr>
            <w:r>
              <w:rPr>
                <w:sz w:val="20"/>
                <w:szCs w:val="20"/>
              </w:rPr>
              <w:t>Total stockholders' equity</w:t>
            </w:r>
          </w:p>
        </w:tc>
        <w:tc>
          <w:tcPr>
            <w:tcW w:w="50" w:type="pct"/>
            <w:shd w:val="clear" w:color="auto" w:fill="FFFFFF"/>
            <w:tcMar>
              <w:top w:w="0" w:type="dxa"/>
              <w:left w:w="0" w:type="dxa"/>
              <w:bottom w:w="15" w:type="dxa"/>
              <w:right w:w="0" w:type="dxa"/>
            </w:tcMar>
            <w:vAlign w:val="bottom"/>
            <w:hideMark/>
          </w:tcPr>
          <w:p w14:paraId="386F3B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59151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8B9C00" w14:textId="77777777" w:rsidR="00000000" w:rsidRDefault="0053651E">
            <w:pPr>
              <w:jc w:val="right"/>
              <w:rPr>
                <w:rFonts w:eastAsia="Times New Roman"/>
                <w:sz w:val="20"/>
                <w:szCs w:val="20"/>
              </w:rPr>
            </w:pPr>
            <w:r>
              <w:rPr>
                <w:rFonts w:eastAsia="Times New Roman"/>
                <w:sz w:val="20"/>
                <w:szCs w:val="20"/>
              </w:rPr>
              <w:t>4,864,892</w:t>
            </w:r>
          </w:p>
        </w:tc>
        <w:tc>
          <w:tcPr>
            <w:tcW w:w="50" w:type="pct"/>
            <w:shd w:val="clear" w:color="auto" w:fill="FFFFFF"/>
            <w:tcMar>
              <w:top w:w="0" w:type="dxa"/>
              <w:left w:w="0" w:type="dxa"/>
              <w:bottom w:w="15" w:type="dxa"/>
              <w:right w:w="0" w:type="dxa"/>
            </w:tcMar>
            <w:vAlign w:val="bottom"/>
            <w:hideMark/>
          </w:tcPr>
          <w:p w14:paraId="38EC9B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6807B6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DFD6A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839CA63" w14:textId="77777777" w:rsidR="00000000" w:rsidRDefault="0053651E">
            <w:pPr>
              <w:jc w:val="right"/>
              <w:rPr>
                <w:rFonts w:eastAsia="Times New Roman"/>
                <w:sz w:val="20"/>
                <w:szCs w:val="20"/>
              </w:rPr>
            </w:pPr>
            <w:r>
              <w:rPr>
                <w:rFonts w:eastAsia="Times New Roman"/>
                <w:sz w:val="20"/>
                <w:szCs w:val="20"/>
              </w:rPr>
              <w:t>5,333,804</w:t>
            </w:r>
          </w:p>
        </w:tc>
        <w:tc>
          <w:tcPr>
            <w:tcW w:w="50" w:type="pct"/>
            <w:shd w:val="clear" w:color="auto" w:fill="FFFFFF"/>
            <w:tcMar>
              <w:top w:w="0" w:type="dxa"/>
              <w:left w:w="0" w:type="dxa"/>
              <w:bottom w:w="15" w:type="dxa"/>
              <w:right w:w="0" w:type="dxa"/>
            </w:tcMar>
            <w:vAlign w:val="bottom"/>
            <w:hideMark/>
          </w:tcPr>
          <w:p w14:paraId="6C160104" w14:textId="77777777" w:rsidR="00000000" w:rsidRDefault="0053651E">
            <w:pPr>
              <w:rPr>
                <w:rFonts w:eastAsia="Times New Roman"/>
                <w:sz w:val="20"/>
                <w:szCs w:val="20"/>
              </w:rPr>
            </w:pPr>
            <w:r>
              <w:rPr>
                <w:rFonts w:eastAsia="Times New Roman"/>
                <w:sz w:val="20"/>
                <w:szCs w:val="20"/>
              </w:rPr>
              <w:t> </w:t>
            </w:r>
          </w:p>
        </w:tc>
      </w:tr>
      <w:tr w:rsidR="00000000" w14:paraId="628DE269" w14:textId="77777777">
        <w:trPr>
          <w:divId w:val="1860270963"/>
          <w:tblCellSpacing w:w="0" w:type="dxa"/>
        </w:trPr>
        <w:tc>
          <w:tcPr>
            <w:tcW w:w="0" w:type="auto"/>
            <w:shd w:val="clear" w:color="auto" w:fill="CCEEFF"/>
            <w:vAlign w:val="bottom"/>
            <w:hideMark/>
          </w:tcPr>
          <w:p w14:paraId="4F62F642" w14:textId="77777777" w:rsidR="00000000" w:rsidRDefault="0053651E">
            <w:pPr>
              <w:pStyle w:val="a3"/>
              <w:spacing w:before="0" w:beforeAutospacing="0" w:after="0" w:afterAutospacing="0"/>
              <w:ind w:left="540" w:hanging="180"/>
              <w:rPr>
                <w:sz w:val="20"/>
                <w:szCs w:val="20"/>
              </w:rPr>
            </w:pPr>
            <w:r>
              <w:rPr>
                <w:sz w:val="20"/>
                <w:szCs w:val="20"/>
              </w:rPr>
              <w:t>Noncontrolling interests</w:t>
            </w:r>
          </w:p>
        </w:tc>
        <w:tc>
          <w:tcPr>
            <w:tcW w:w="50" w:type="pct"/>
            <w:shd w:val="clear" w:color="auto" w:fill="CCEEFF"/>
            <w:vAlign w:val="bottom"/>
            <w:hideMark/>
          </w:tcPr>
          <w:p w14:paraId="228E16F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0131B0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7FFCE14" w14:textId="77777777" w:rsidR="00000000" w:rsidRDefault="0053651E">
            <w:pPr>
              <w:jc w:val="right"/>
              <w:rPr>
                <w:rFonts w:eastAsia="Times New Roman"/>
                <w:sz w:val="20"/>
                <w:szCs w:val="20"/>
              </w:rPr>
            </w:pPr>
            <w:r>
              <w:rPr>
                <w:rFonts w:eastAsia="Times New Roman"/>
                <w:sz w:val="20"/>
                <w:szCs w:val="20"/>
              </w:rPr>
              <w:t>64,015</w:t>
            </w:r>
          </w:p>
        </w:tc>
        <w:tc>
          <w:tcPr>
            <w:tcW w:w="50" w:type="pct"/>
            <w:shd w:val="clear" w:color="auto" w:fill="CCEEFF"/>
            <w:tcMar>
              <w:top w:w="0" w:type="dxa"/>
              <w:left w:w="0" w:type="dxa"/>
              <w:bottom w:w="15" w:type="dxa"/>
              <w:right w:w="0" w:type="dxa"/>
            </w:tcMar>
            <w:vAlign w:val="bottom"/>
            <w:hideMark/>
          </w:tcPr>
          <w:p w14:paraId="6B91B1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536C5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7034B9"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1A3855C" w14:textId="77777777" w:rsidR="00000000" w:rsidRDefault="0053651E">
            <w:pPr>
              <w:jc w:val="right"/>
              <w:rPr>
                <w:rFonts w:eastAsia="Times New Roman"/>
                <w:sz w:val="20"/>
                <w:szCs w:val="20"/>
              </w:rPr>
            </w:pPr>
            <w:r>
              <w:rPr>
                <w:rFonts w:eastAsia="Times New Roman"/>
                <w:sz w:val="20"/>
                <w:szCs w:val="20"/>
              </w:rPr>
              <w:t>77,249</w:t>
            </w:r>
          </w:p>
        </w:tc>
        <w:tc>
          <w:tcPr>
            <w:tcW w:w="50" w:type="pct"/>
            <w:shd w:val="clear" w:color="auto" w:fill="CCEEFF"/>
            <w:tcMar>
              <w:top w:w="0" w:type="dxa"/>
              <w:left w:w="0" w:type="dxa"/>
              <w:bottom w:w="15" w:type="dxa"/>
              <w:right w:w="0" w:type="dxa"/>
            </w:tcMar>
            <w:vAlign w:val="bottom"/>
            <w:hideMark/>
          </w:tcPr>
          <w:p w14:paraId="393FE055" w14:textId="77777777" w:rsidR="00000000" w:rsidRDefault="0053651E">
            <w:pPr>
              <w:rPr>
                <w:rFonts w:eastAsia="Times New Roman"/>
                <w:sz w:val="20"/>
                <w:szCs w:val="20"/>
              </w:rPr>
            </w:pPr>
            <w:r>
              <w:rPr>
                <w:rFonts w:eastAsia="Times New Roman"/>
                <w:sz w:val="20"/>
                <w:szCs w:val="20"/>
              </w:rPr>
              <w:t> </w:t>
            </w:r>
          </w:p>
        </w:tc>
      </w:tr>
      <w:tr w:rsidR="00000000" w14:paraId="247355D9" w14:textId="77777777">
        <w:trPr>
          <w:divId w:val="1860270963"/>
          <w:tblCellSpacing w:w="0" w:type="dxa"/>
        </w:trPr>
        <w:tc>
          <w:tcPr>
            <w:tcW w:w="0" w:type="auto"/>
            <w:shd w:val="clear" w:color="auto" w:fill="FFFFFF"/>
            <w:vAlign w:val="bottom"/>
            <w:hideMark/>
          </w:tcPr>
          <w:p w14:paraId="7833C58F" w14:textId="77777777" w:rsidR="00000000" w:rsidRDefault="0053651E">
            <w:pPr>
              <w:pStyle w:val="a3"/>
              <w:spacing w:before="0" w:beforeAutospacing="0" w:after="0" w:afterAutospacing="0"/>
              <w:rPr>
                <w:sz w:val="20"/>
                <w:szCs w:val="20"/>
              </w:rPr>
            </w:pPr>
            <w:r>
              <w:rPr>
                <w:sz w:val="20"/>
                <w:szCs w:val="20"/>
              </w:rPr>
              <w:t>Total equity</w:t>
            </w:r>
          </w:p>
        </w:tc>
        <w:tc>
          <w:tcPr>
            <w:tcW w:w="50" w:type="pct"/>
            <w:shd w:val="clear" w:color="auto" w:fill="FFFFFF"/>
            <w:vAlign w:val="bottom"/>
            <w:hideMark/>
          </w:tcPr>
          <w:p w14:paraId="752F02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791E665"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34085BD" w14:textId="77777777" w:rsidR="00000000" w:rsidRDefault="0053651E">
            <w:pPr>
              <w:jc w:val="right"/>
              <w:rPr>
                <w:rFonts w:eastAsia="Times New Roman"/>
                <w:sz w:val="20"/>
                <w:szCs w:val="20"/>
              </w:rPr>
            </w:pPr>
            <w:r>
              <w:rPr>
                <w:rFonts w:eastAsia="Times New Roman"/>
                <w:sz w:val="20"/>
                <w:szCs w:val="20"/>
              </w:rPr>
              <w:t>4,928,907</w:t>
            </w:r>
          </w:p>
        </w:tc>
        <w:tc>
          <w:tcPr>
            <w:tcW w:w="50" w:type="pct"/>
            <w:shd w:val="clear" w:color="auto" w:fill="FFFFFF"/>
            <w:tcMar>
              <w:top w:w="0" w:type="dxa"/>
              <w:left w:w="0" w:type="dxa"/>
              <w:bottom w:w="15" w:type="dxa"/>
              <w:right w:w="0" w:type="dxa"/>
            </w:tcMar>
            <w:vAlign w:val="bottom"/>
            <w:hideMark/>
          </w:tcPr>
          <w:p w14:paraId="7D575D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540A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DAE235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C8F27FD" w14:textId="77777777" w:rsidR="00000000" w:rsidRDefault="0053651E">
            <w:pPr>
              <w:jc w:val="right"/>
              <w:rPr>
                <w:rFonts w:eastAsia="Times New Roman"/>
                <w:sz w:val="20"/>
                <w:szCs w:val="20"/>
              </w:rPr>
            </w:pPr>
            <w:r>
              <w:rPr>
                <w:rFonts w:eastAsia="Times New Roman"/>
                <w:sz w:val="20"/>
                <w:szCs w:val="20"/>
              </w:rPr>
              <w:t>5,411,053</w:t>
            </w:r>
          </w:p>
        </w:tc>
        <w:tc>
          <w:tcPr>
            <w:tcW w:w="50" w:type="pct"/>
            <w:shd w:val="clear" w:color="auto" w:fill="FFFFFF"/>
            <w:tcMar>
              <w:top w:w="0" w:type="dxa"/>
              <w:left w:w="0" w:type="dxa"/>
              <w:bottom w:w="15" w:type="dxa"/>
              <w:right w:w="0" w:type="dxa"/>
            </w:tcMar>
            <w:vAlign w:val="bottom"/>
            <w:hideMark/>
          </w:tcPr>
          <w:p w14:paraId="6AFDC4C9" w14:textId="77777777" w:rsidR="00000000" w:rsidRDefault="0053651E">
            <w:pPr>
              <w:rPr>
                <w:rFonts w:eastAsia="Times New Roman"/>
                <w:sz w:val="20"/>
                <w:szCs w:val="20"/>
              </w:rPr>
            </w:pPr>
            <w:r>
              <w:rPr>
                <w:rFonts w:eastAsia="Times New Roman"/>
                <w:sz w:val="20"/>
                <w:szCs w:val="20"/>
              </w:rPr>
              <w:t> </w:t>
            </w:r>
          </w:p>
        </w:tc>
      </w:tr>
      <w:tr w:rsidR="00000000" w14:paraId="2E18FE79" w14:textId="77777777">
        <w:trPr>
          <w:divId w:val="1860270963"/>
          <w:tblCellSpacing w:w="0" w:type="dxa"/>
        </w:trPr>
        <w:tc>
          <w:tcPr>
            <w:tcW w:w="0" w:type="auto"/>
            <w:shd w:val="clear" w:color="auto" w:fill="CCEEFF"/>
            <w:vAlign w:val="bottom"/>
            <w:hideMark/>
          </w:tcPr>
          <w:p w14:paraId="77B11F00" w14:textId="77777777" w:rsidR="00000000" w:rsidRDefault="0053651E">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14:paraId="60FF338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9692EBE"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333014C" w14:textId="77777777" w:rsidR="00000000" w:rsidRDefault="0053651E">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45" w:type="dxa"/>
              <w:right w:w="0" w:type="dxa"/>
            </w:tcMar>
            <w:vAlign w:val="bottom"/>
            <w:hideMark/>
          </w:tcPr>
          <w:p w14:paraId="26C585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8CE47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2246B6F"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A3A7DDB" w14:textId="77777777" w:rsidR="00000000" w:rsidRDefault="0053651E">
            <w:pPr>
              <w:jc w:val="right"/>
              <w:rPr>
                <w:rFonts w:eastAsia="Times New Roman"/>
                <w:sz w:val="20"/>
                <w:szCs w:val="20"/>
              </w:rPr>
            </w:pPr>
            <w:r>
              <w:rPr>
                <w:rFonts w:eastAsia="Times New Roman"/>
                <w:sz w:val="20"/>
                <w:szCs w:val="20"/>
              </w:rPr>
              <w:t>10,999,100</w:t>
            </w:r>
          </w:p>
        </w:tc>
        <w:tc>
          <w:tcPr>
            <w:tcW w:w="50" w:type="pct"/>
            <w:shd w:val="clear" w:color="auto" w:fill="CCEEFF"/>
            <w:tcMar>
              <w:top w:w="0" w:type="dxa"/>
              <w:left w:w="0" w:type="dxa"/>
              <w:bottom w:w="45" w:type="dxa"/>
              <w:right w:w="0" w:type="dxa"/>
            </w:tcMar>
            <w:vAlign w:val="bottom"/>
            <w:hideMark/>
          </w:tcPr>
          <w:p w14:paraId="30FB2722" w14:textId="77777777" w:rsidR="00000000" w:rsidRDefault="0053651E">
            <w:pPr>
              <w:rPr>
                <w:rFonts w:eastAsia="Times New Roman"/>
                <w:sz w:val="20"/>
                <w:szCs w:val="20"/>
              </w:rPr>
            </w:pPr>
            <w:r>
              <w:rPr>
                <w:rFonts w:eastAsia="Times New Roman"/>
                <w:sz w:val="20"/>
                <w:szCs w:val="20"/>
              </w:rPr>
              <w:t> </w:t>
            </w:r>
          </w:p>
        </w:tc>
      </w:tr>
    </w:tbl>
    <w:p w14:paraId="0FE7278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092CFCD" w14:textId="77777777">
        <w:trPr>
          <w:tblCellSpacing w:w="0" w:type="dxa"/>
        </w:trPr>
        <w:tc>
          <w:tcPr>
            <w:tcW w:w="360" w:type="dxa"/>
            <w:hideMark/>
          </w:tcPr>
          <w:p w14:paraId="31E30E2D" w14:textId="77777777" w:rsidR="00000000" w:rsidRDefault="0053651E">
            <w:pPr>
              <w:rPr>
                <w:rFonts w:eastAsia="Times New Roman"/>
              </w:rPr>
            </w:pPr>
            <w:r>
              <w:rPr>
                <w:rFonts w:eastAsia="Times New Roman"/>
              </w:rPr>
              <w:t> </w:t>
            </w:r>
          </w:p>
        </w:tc>
        <w:tc>
          <w:tcPr>
            <w:tcW w:w="360" w:type="dxa"/>
            <w:hideMark/>
          </w:tcPr>
          <w:p w14:paraId="6EA3A26C" w14:textId="77777777" w:rsidR="00000000" w:rsidRDefault="0053651E">
            <w:pPr>
              <w:pStyle w:val="a3"/>
              <w:spacing w:before="0" w:beforeAutospacing="0" w:after="0" w:afterAutospacing="0"/>
              <w:rPr>
                <w:sz w:val="20"/>
                <w:szCs w:val="20"/>
              </w:rPr>
            </w:pPr>
            <w:r>
              <w:rPr>
                <w:sz w:val="20"/>
                <w:szCs w:val="20"/>
              </w:rPr>
              <w:t>(1)</w:t>
            </w:r>
          </w:p>
        </w:tc>
        <w:tc>
          <w:tcPr>
            <w:tcW w:w="0" w:type="auto"/>
            <w:hideMark/>
          </w:tcPr>
          <w:p w14:paraId="169AED6B" w14:textId="77777777" w:rsidR="00000000" w:rsidRDefault="0053651E">
            <w:pPr>
              <w:pStyle w:val="a3"/>
              <w:spacing w:before="0" w:beforeAutospacing="0" w:after="0" w:afterAutospacing="0"/>
              <w:rPr>
                <w:sz w:val="20"/>
                <w:szCs w:val="20"/>
              </w:rPr>
            </w:pPr>
            <w:r>
              <w:rPr>
                <w:sz w:val="20"/>
                <w:szCs w:val="20"/>
              </w:rPr>
              <w:t>Includes restricted assets of consolidated variable interest entities (“VIEs”</w:t>
            </w:r>
            <w:r>
              <w:rPr>
                <w:sz w:val="20"/>
                <w:szCs w:val="20"/>
              </w:rPr>
              <w:t>) at December 31, 2019 and December 31, 2018 of $245,489 and $239,012, respectively.  See Footnote 9 of the Notes to Consolidated Financial Statements.</w:t>
            </w:r>
          </w:p>
        </w:tc>
      </w:tr>
      <w:tr w:rsidR="00000000" w14:paraId="412D0A0D" w14:textId="77777777">
        <w:trPr>
          <w:tblCellSpacing w:w="0" w:type="dxa"/>
        </w:trPr>
        <w:tc>
          <w:tcPr>
            <w:tcW w:w="360" w:type="dxa"/>
            <w:hideMark/>
          </w:tcPr>
          <w:p w14:paraId="2B3AD293" w14:textId="77777777" w:rsidR="00000000" w:rsidRDefault="0053651E">
            <w:pPr>
              <w:rPr>
                <w:rFonts w:eastAsia="Times New Roman"/>
              </w:rPr>
            </w:pPr>
            <w:r>
              <w:rPr>
                <w:rFonts w:eastAsia="Times New Roman"/>
              </w:rPr>
              <w:t> </w:t>
            </w:r>
          </w:p>
        </w:tc>
        <w:tc>
          <w:tcPr>
            <w:tcW w:w="360" w:type="dxa"/>
            <w:hideMark/>
          </w:tcPr>
          <w:p w14:paraId="0AAD28D9" w14:textId="77777777" w:rsidR="00000000" w:rsidRDefault="0053651E">
            <w:pPr>
              <w:pStyle w:val="a3"/>
              <w:spacing w:before="0" w:beforeAutospacing="0" w:after="0" w:afterAutospacing="0"/>
              <w:rPr>
                <w:sz w:val="20"/>
                <w:szCs w:val="20"/>
              </w:rPr>
            </w:pPr>
            <w:r>
              <w:rPr>
                <w:sz w:val="20"/>
                <w:szCs w:val="20"/>
              </w:rPr>
              <w:t>(2)</w:t>
            </w:r>
          </w:p>
        </w:tc>
        <w:tc>
          <w:tcPr>
            <w:tcW w:w="0" w:type="auto"/>
            <w:hideMark/>
          </w:tcPr>
          <w:p w14:paraId="3004BF56" w14:textId="77777777" w:rsidR="00000000" w:rsidRDefault="0053651E">
            <w:pPr>
              <w:pStyle w:val="a3"/>
              <w:spacing w:before="0" w:beforeAutospacing="0" w:after="0" w:afterAutospacing="0"/>
              <w:rPr>
                <w:sz w:val="20"/>
                <w:szCs w:val="20"/>
              </w:rPr>
            </w:pPr>
            <w:r>
              <w:rPr>
                <w:sz w:val="20"/>
                <w:szCs w:val="20"/>
              </w:rPr>
              <w:t>Includes non-recourse liabilities of consolidated VIEs at December 31, 2019 and December 31, 2018</w:t>
            </w:r>
            <w:r>
              <w:rPr>
                <w:sz w:val="20"/>
                <w:szCs w:val="20"/>
              </w:rPr>
              <w:t xml:space="preserve"> of $153,436 and $143,186, respectively.  See Footnote 9 of the Notes to Consolidated Financial Statements.</w:t>
            </w:r>
          </w:p>
        </w:tc>
      </w:tr>
    </w:tbl>
    <w:p w14:paraId="77E77D52" w14:textId="77777777" w:rsidR="00000000" w:rsidRDefault="0053651E">
      <w:pPr>
        <w:pStyle w:val="a3"/>
        <w:spacing w:before="0" w:beforeAutospacing="0" w:after="0" w:afterAutospacing="0"/>
        <w:rPr>
          <w:sz w:val="20"/>
          <w:szCs w:val="20"/>
        </w:rPr>
      </w:pPr>
      <w:r>
        <w:rPr>
          <w:sz w:val="20"/>
          <w:szCs w:val="20"/>
        </w:rPr>
        <w:t> </w:t>
      </w:r>
    </w:p>
    <w:p w14:paraId="06BFA283" w14:textId="77777777" w:rsidR="00000000" w:rsidRDefault="0053651E">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00CA287A" w14:textId="77777777" w:rsidR="00000000" w:rsidRDefault="0053651E">
      <w:pPr>
        <w:pStyle w:val="a3"/>
        <w:spacing w:before="0" w:beforeAutospacing="0" w:after="0" w:afterAutospacing="0"/>
        <w:jc w:val="center"/>
        <w:rPr>
          <w:sz w:val="20"/>
          <w:szCs w:val="20"/>
        </w:rPr>
      </w:pPr>
      <w:r>
        <w:rPr>
          <w:sz w:val="20"/>
          <w:szCs w:val="20"/>
        </w:rPr>
        <w:t> </w:t>
      </w:r>
    </w:p>
    <w:p w14:paraId="667F7C3A" w14:textId="77777777" w:rsidR="00000000" w:rsidRDefault="0053651E">
      <w:pPr>
        <w:jc w:val="center"/>
        <w:divId w:val="198276926"/>
        <w:rPr>
          <w:rFonts w:eastAsia="Times New Roman"/>
          <w:sz w:val="20"/>
          <w:szCs w:val="20"/>
        </w:rPr>
      </w:pPr>
      <w:r>
        <w:rPr>
          <w:rFonts w:eastAsia="Times New Roman"/>
          <w:sz w:val="20"/>
          <w:szCs w:val="20"/>
        </w:rPr>
        <w:t xml:space="preserve">44 </w:t>
      </w:r>
    </w:p>
    <w:p w14:paraId="43CDA7D8" w14:textId="77777777" w:rsidR="00000000" w:rsidRDefault="0053651E">
      <w:pPr>
        <w:divId w:val="198276926"/>
        <w:rPr>
          <w:rFonts w:eastAsia="Times New Roman"/>
          <w:sz w:val="20"/>
          <w:szCs w:val="20"/>
        </w:rPr>
      </w:pPr>
      <w:r>
        <w:rPr>
          <w:rFonts w:eastAsia="Times New Roman"/>
          <w:sz w:val="20"/>
          <w:szCs w:val="20"/>
        </w:rPr>
        <w:pict w14:anchorId="11FBAC4C">
          <v:rect id="_x0000_i1075" style="width:0;height:1.5pt" o:hralign="center" o:hrstd="t" o:hr="t" fillcolor="#a0a0a0" stroked="f"/>
        </w:pict>
      </w:r>
    </w:p>
    <w:p w14:paraId="43ACE88E" w14:textId="77777777" w:rsidR="00000000" w:rsidRDefault="0053651E">
      <w:pPr>
        <w:divId w:val="1982769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B625651" w14:textId="77777777" w:rsidR="00000000" w:rsidRDefault="0053651E">
      <w:pPr>
        <w:divId w:val="856389742"/>
        <w:rPr>
          <w:rFonts w:eastAsia="Times New Roman"/>
          <w:sz w:val="20"/>
          <w:szCs w:val="20"/>
        </w:rPr>
      </w:pPr>
      <w:r>
        <w:rPr>
          <w:rFonts w:eastAsia="Times New Roman"/>
          <w:sz w:val="20"/>
          <w:szCs w:val="20"/>
        </w:rPr>
        <w:t xml:space="preserve">  </w:t>
      </w:r>
    </w:p>
    <w:p w14:paraId="66964D3F" w14:textId="77777777" w:rsidR="00000000" w:rsidRDefault="0053651E">
      <w:pPr>
        <w:pStyle w:val="a3"/>
        <w:spacing w:before="0" w:beforeAutospacing="0" w:after="0" w:afterAutospacing="0"/>
        <w:rPr>
          <w:sz w:val="20"/>
          <w:szCs w:val="20"/>
        </w:rPr>
      </w:pPr>
      <w:r>
        <w:rPr>
          <w:sz w:val="20"/>
          <w:szCs w:val="20"/>
        </w:rPr>
        <w:t> </w:t>
      </w:r>
    </w:p>
    <w:p w14:paraId="2F1E5257"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9498F06" w14:textId="77777777" w:rsidR="00000000" w:rsidRDefault="0053651E">
      <w:pPr>
        <w:pStyle w:val="a3"/>
        <w:spacing w:before="0" w:beforeAutospacing="0" w:after="0" w:afterAutospacing="0"/>
        <w:jc w:val="center"/>
        <w:rPr>
          <w:sz w:val="20"/>
          <w:szCs w:val="20"/>
        </w:rPr>
      </w:pPr>
      <w:r>
        <w:rPr>
          <w:sz w:val="20"/>
          <w:szCs w:val="20"/>
        </w:rPr>
        <w:t>CONSOLIDATED STATEMENTS OF INCOME</w:t>
      </w:r>
    </w:p>
    <w:p w14:paraId="5600B497" w14:textId="77777777" w:rsidR="00000000" w:rsidRDefault="0053651E">
      <w:pPr>
        <w:pStyle w:val="a3"/>
        <w:spacing w:before="0" w:beforeAutospacing="0" w:after="0" w:afterAutospacing="0"/>
        <w:jc w:val="center"/>
        <w:rPr>
          <w:sz w:val="20"/>
          <w:szCs w:val="20"/>
        </w:rPr>
      </w:pPr>
      <w:r>
        <w:rPr>
          <w:sz w:val="20"/>
          <w:szCs w:val="20"/>
        </w:rPr>
        <w:t>(in thousands, except per share data)</w:t>
      </w:r>
    </w:p>
    <w:p w14:paraId="741CF5C5" w14:textId="77777777" w:rsidR="00000000" w:rsidRDefault="0053651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14:paraId="403DF762" w14:textId="77777777">
        <w:trPr>
          <w:divId w:val="639576273"/>
          <w:tblCellSpacing w:w="0" w:type="dxa"/>
        </w:trPr>
        <w:tc>
          <w:tcPr>
            <w:tcW w:w="0" w:type="auto"/>
            <w:vAlign w:val="bottom"/>
            <w:hideMark/>
          </w:tcPr>
          <w:p w14:paraId="160D7C8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E6E371C" w14:textId="77777777" w:rsidR="00000000" w:rsidRDefault="0053651E">
            <w:pPr>
              <w:rPr>
                <w:rFonts w:eastAsia="Times New Roman"/>
                <w:sz w:val="20"/>
                <w:szCs w:val="20"/>
              </w:rPr>
            </w:pPr>
            <w:r>
              <w:rPr>
                <w:rFonts w:eastAsia="Times New Roman"/>
                <w:sz w:val="20"/>
                <w:szCs w:val="20"/>
              </w:rPr>
              <w:t> </w:t>
            </w:r>
          </w:p>
        </w:tc>
        <w:tc>
          <w:tcPr>
            <w:tcW w:w="0" w:type="auto"/>
            <w:gridSpan w:val="10"/>
            <w:vAlign w:val="bottom"/>
            <w:hideMark/>
          </w:tcPr>
          <w:p w14:paraId="0544E346"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14:paraId="3ECFAD73" w14:textId="77777777" w:rsidR="00000000" w:rsidRDefault="0053651E">
            <w:pPr>
              <w:rPr>
                <w:rFonts w:eastAsia="Times New Roman"/>
                <w:sz w:val="20"/>
                <w:szCs w:val="20"/>
              </w:rPr>
            </w:pPr>
            <w:r>
              <w:rPr>
                <w:rFonts w:eastAsia="Times New Roman"/>
                <w:sz w:val="20"/>
                <w:szCs w:val="20"/>
              </w:rPr>
              <w:t> </w:t>
            </w:r>
          </w:p>
        </w:tc>
      </w:tr>
      <w:tr w:rsidR="00000000" w14:paraId="19BFD737" w14:textId="77777777">
        <w:trPr>
          <w:divId w:val="639576273"/>
          <w:tblCellSpacing w:w="0" w:type="dxa"/>
        </w:trPr>
        <w:tc>
          <w:tcPr>
            <w:tcW w:w="0" w:type="auto"/>
            <w:vAlign w:val="bottom"/>
            <w:hideMark/>
          </w:tcPr>
          <w:p w14:paraId="244845F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3AFF22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FE8FC6A"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8281DD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60E795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5187D2"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26D46A3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DFC960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E146BA7"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1072A8BB" w14:textId="77777777" w:rsidR="00000000" w:rsidRDefault="0053651E">
            <w:pPr>
              <w:rPr>
                <w:rFonts w:eastAsia="Times New Roman"/>
                <w:sz w:val="20"/>
                <w:szCs w:val="20"/>
              </w:rPr>
            </w:pPr>
            <w:r>
              <w:rPr>
                <w:rFonts w:eastAsia="Times New Roman"/>
                <w:sz w:val="20"/>
                <w:szCs w:val="20"/>
              </w:rPr>
              <w:t> </w:t>
            </w:r>
          </w:p>
        </w:tc>
      </w:tr>
      <w:tr w:rsidR="00000000" w14:paraId="3BF3B6DD" w14:textId="77777777">
        <w:trPr>
          <w:divId w:val="639576273"/>
          <w:tblCellSpacing w:w="0" w:type="dxa"/>
        </w:trPr>
        <w:tc>
          <w:tcPr>
            <w:tcW w:w="0" w:type="auto"/>
            <w:shd w:val="clear" w:color="auto" w:fill="CCEEFF"/>
            <w:vAlign w:val="bottom"/>
            <w:hideMark/>
          </w:tcPr>
          <w:p w14:paraId="6FB0252E" w14:textId="77777777" w:rsidR="00000000" w:rsidRDefault="0053651E">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538F4B7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5035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2744C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872C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5A87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C02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EE36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28B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C36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105A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1F2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DBC3CF" w14:textId="77777777" w:rsidR="00000000" w:rsidRDefault="0053651E">
            <w:pPr>
              <w:rPr>
                <w:rFonts w:eastAsia="Times New Roman"/>
                <w:sz w:val="20"/>
                <w:szCs w:val="20"/>
              </w:rPr>
            </w:pPr>
            <w:r>
              <w:rPr>
                <w:rFonts w:eastAsia="Times New Roman"/>
                <w:sz w:val="20"/>
                <w:szCs w:val="20"/>
              </w:rPr>
              <w:t> </w:t>
            </w:r>
          </w:p>
        </w:tc>
      </w:tr>
      <w:tr w:rsidR="00000000" w14:paraId="6FA670D8" w14:textId="77777777">
        <w:trPr>
          <w:divId w:val="639576273"/>
          <w:tblCellSpacing w:w="0" w:type="dxa"/>
        </w:trPr>
        <w:tc>
          <w:tcPr>
            <w:tcW w:w="0" w:type="auto"/>
            <w:shd w:val="clear" w:color="auto" w:fill="FFFFFF"/>
            <w:vAlign w:val="bottom"/>
            <w:hideMark/>
          </w:tcPr>
          <w:p w14:paraId="0FBB0DE3" w14:textId="77777777" w:rsidR="00000000" w:rsidRDefault="0053651E">
            <w:pPr>
              <w:pStyle w:val="a3"/>
              <w:spacing w:before="0" w:beforeAutospacing="0" w:after="0" w:afterAutospacing="0"/>
              <w:ind w:left="720" w:hanging="180"/>
              <w:rPr>
                <w:sz w:val="20"/>
                <w:szCs w:val="20"/>
              </w:rPr>
            </w:pPr>
            <w:r>
              <w:rPr>
                <w:sz w:val="20"/>
                <w:szCs w:val="20"/>
              </w:rPr>
              <w:t>Revenues from rental properties</w:t>
            </w:r>
          </w:p>
        </w:tc>
        <w:tc>
          <w:tcPr>
            <w:tcW w:w="50" w:type="pct"/>
            <w:shd w:val="clear" w:color="auto" w:fill="FFFFFF"/>
            <w:vAlign w:val="bottom"/>
            <w:hideMark/>
          </w:tcPr>
          <w:p w14:paraId="161069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AD0C07"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1FB333EC" w14:textId="77777777" w:rsidR="00000000" w:rsidRDefault="0053651E">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14:paraId="38DBB4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9E30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C7A061"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4F60907D" w14:textId="77777777" w:rsidR="00000000" w:rsidRDefault="0053651E">
            <w:pPr>
              <w:jc w:val="right"/>
              <w:rPr>
                <w:rFonts w:eastAsia="Times New Roman"/>
                <w:sz w:val="20"/>
                <w:szCs w:val="20"/>
              </w:rPr>
            </w:pPr>
            <w:r>
              <w:rPr>
                <w:rFonts w:eastAsia="Times New Roman"/>
                <w:sz w:val="20"/>
                <w:szCs w:val="20"/>
              </w:rPr>
              <w:t>1,149,603</w:t>
            </w:r>
          </w:p>
        </w:tc>
        <w:tc>
          <w:tcPr>
            <w:tcW w:w="50" w:type="pct"/>
            <w:shd w:val="clear" w:color="auto" w:fill="FFFFFF"/>
            <w:vAlign w:val="bottom"/>
            <w:hideMark/>
          </w:tcPr>
          <w:p w14:paraId="4693F0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8946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4F7F4A"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31D2F514" w14:textId="77777777" w:rsidR="00000000" w:rsidRDefault="0053651E">
            <w:pPr>
              <w:jc w:val="right"/>
              <w:rPr>
                <w:rFonts w:eastAsia="Times New Roman"/>
                <w:sz w:val="20"/>
                <w:szCs w:val="20"/>
              </w:rPr>
            </w:pPr>
            <w:r>
              <w:rPr>
                <w:rFonts w:eastAsia="Times New Roman"/>
                <w:sz w:val="20"/>
                <w:szCs w:val="20"/>
              </w:rPr>
              <w:t>1,183,785</w:t>
            </w:r>
          </w:p>
        </w:tc>
        <w:tc>
          <w:tcPr>
            <w:tcW w:w="50" w:type="pct"/>
            <w:shd w:val="clear" w:color="auto" w:fill="FFFFFF"/>
            <w:vAlign w:val="bottom"/>
            <w:hideMark/>
          </w:tcPr>
          <w:p w14:paraId="0510C6C7" w14:textId="77777777" w:rsidR="00000000" w:rsidRDefault="0053651E">
            <w:pPr>
              <w:rPr>
                <w:rFonts w:eastAsia="Times New Roman"/>
                <w:sz w:val="20"/>
                <w:szCs w:val="20"/>
              </w:rPr>
            </w:pPr>
            <w:r>
              <w:rPr>
                <w:rFonts w:eastAsia="Times New Roman"/>
                <w:sz w:val="20"/>
                <w:szCs w:val="20"/>
              </w:rPr>
              <w:t> </w:t>
            </w:r>
          </w:p>
        </w:tc>
      </w:tr>
      <w:tr w:rsidR="00000000" w14:paraId="73A0CF86" w14:textId="77777777">
        <w:trPr>
          <w:divId w:val="639576273"/>
          <w:tblCellSpacing w:w="0" w:type="dxa"/>
        </w:trPr>
        <w:tc>
          <w:tcPr>
            <w:tcW w:w="0" w:type="auto"/>
            <w:shd w:val="clear" w:color="auto" w:fill="CCEEFF"/>
            <w:vAlign w:val="bottom"/>
            <w:hideMark/>
          </w:tcPr>
          <w:p w14:paraId="5F440348" w14:textId="77777777" w:rsidR="00000000" w:rsidRDefault="0053651E">
            <w:pPr>
              <w:pStyle w:val="a3"/>
              <w:spacing w:before="0" w:beforeAutospacing="0" w:after="0" w:afterAutospacing="0"/>
              <w:ind w:left="720" w:hanging="180"/>
              <w:rPr>
                <w:sz w:val="20"/>
                <w:szCs w:val="20"/>
              </w:rPr>
            </w:pPr>
            <w:r>
              <w:rPr>
                <w:sz w:val="20"/>
                <w:szCs w:val="20"/>
              </w:rPr>
              <w:t>Management and other fee income</w:t>
            </w:r>
          </w:p>
        </w:tc>
        <w:tc>
          <w:tcPr>
            <w:tcW w:w="50" w:type="pct"/>
            <w:shd w:val="clear" w:color="auto" w:fill="CCEEFF"/>
            <w:vAlign w:val="bottom"/>
            <w:hideMark/>
          </w:tcPr>
          <w:p w14:paraId="4F3EC1E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A10E69"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EB2B007" w14:textId="77777777" w:rsidR="00000000" w:rsidRDefault="0053651E">
            <w:pPr>
              <w:jc w:val="right"/>
              <w:rPr>
                <w:rFonts w:eastAsia="Times New Roman"/>
                <w:sz w:val="20"/>
                <w:szCs w:val="20"/>
              </w:rPr>
            </w:pPr>
            <w:r>
              <w:rPr>
                <w:rFonts w:eastAsia="Times New Roman"/>
                <w:sz w:val="20"/>
                <w:szCs w:val="20"/>
              </w:rPr>
              <w:t>16,550</w:t>
            </w:r>
          </w:p>
        </w:tc>
        <w:tc>
          <w:tcPr>
            <w:tcW w:w="50" w:type="pct"/>
            <w:shd w:val="clear" w:color="auto" w:fill="CCEEFF"/>
            <w:tcMar>
              <w:top w:w="0" w:type="dxa"/>
              <w:left w:w="0" w:type="dxa"/>
              <w:bottom w:w="15" w:type="dxa"/>
              <w:right w:w="0" w:type="dxa"/>
            </w:tcMar>
            <w:vAlign w:val="bottom"/>
            <w:hideMark/>
          </w:tcPr>
          <w:p w14:paraId="2817ED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F4F7D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D46279"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6D2895B" w14:textId="77777777" w:rsidR="00000000" w:rsidRDefault="0053651E">
            <w:pPr>
              <w:jc w:val="right"/>
              <w:rPr>
                <w:rFonts w:eastAsia="Times New Roman"/>
                <w:sz w:val="20"/>
                <w:szCs w:val="20"/>
              </w:rPr>
            </w:pPr>
            <w:r>
              <w:rPr>
                <w:rFonts w:eastAsia="Times New Roman"/>
                <w:sz w:val="20"/>
                <w:szCs w:val="20"/>
              </w:rPr>
              <w:t>15,159</w:t>
            </w:r>
          </w:p>
        </w:tc>
        <w:tc>
          <w:tcPr>
            <w:tcW w:w="50" w:type="pct"/>
            <w:shd w:val="clear" w:color="auto" w:fill="CCEEFF"/>
            <w:tcMar>
              <w:top w:w="0" w:type="dxa"/>
              <w:left w:w="0" w:type="dxa"/>
              <w:bottom w:w="15" w:type="dxa"/>
              <w:right w:w="0" w:type="dxa"/>
            </w:tcMar>
            <w:vAlign w:val="bottom"/>
            <w:hideMark/>
          </w:tcPr>
          <w:p w14:paraId="05EC5A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4F1C3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0F986E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FBA06FE" w14:textId="77777777" w:rsidR="00000000" w:rsidRDefault="0053651E">
            <w:pPr>
              <w:jc w:val="right"/>
              <w:rPr>
                <w:rFonts w:eastAsia="Times New Roman"/>
                <w:sz w:val="20"/>
                <w:szCs w:val="20"/>
              </w:rPr>
            </w:pPr>
            <w:r>
              <w:rPr>
                <w:rFonts w:eastAsia="Times New Roman"/>
                <w:sz w:val="20"/>
                <w:szCs w:val="20"/>
              </w:rPr>
              <w:t>17,049</w:t>
            </w:r>
          </w:p>
        </w:tc>
        <w:tc>
          <w:tcPr>
            <w:tcW w:w="50" w:type="pct"/>
            <w:shd w:val="clear" w:color="auto" w:fill="CCEEFF"/>
            <w:tcMar>
              <w:top w:w="0" w:type="dxa"/>
              <w:left w:w="0" w:type="dxa"/>
              <w:bottom w:w="15" w:type="dxa"/>
              <w:right w:w="0" w:type="dxa"/>
            </w:tcMar>
            <w:vAlign w:val="bottom"/>
            <w:hideMark/>
          </w:tcPr>
          <w:p w14:paraId="2EAB1065" w14:textId="77777777" w:rsidR="00000000" w:rsidRDefault="0053651E">
            <w:pPr>
              <w:rPr>
                <w:rFonts w:eastAsia="Times New Roman"/>
                <w:sz w:val="20"/>
                <w:szCs w:val="20"/>
              </w:rPr>
            </w:pPr>
            <w:r>
              <w:rPr>
                <w:rFonts w:eastAsia="Times New Roman"/>
                <w:sz w:val="20"/>
                <w:szCs w:val="20"/>
              </w:rPr>
              <w:t> </w:t>
            </w:r>
          </w:p>
        </w:tc>
      </w:tr>
      <w:tr w:rsidR="00000000" w14:paraId="31F650F5" w14:textId="77777777">
        <w:trPr>
          <w:divId w:val="639576273"/>
          <w:tblCellSpacing w:w="0" w:type="dxa"/>
        </w:trPr>
        <w:tc>
          <w:tcPr>
            <w:tcW w:w="0" w:type="auto"/>
            <w:shd w:val="clear" w:color="auto" w:fill="FFFFFF"/>
            <w:vAlign w:val="bottom"/>
            <w:hideMark/>
          </w:tcPr>
          <w:p w14:paraId="7B4649E7" w14:textId="77777777" w:rsidR="00000000" w:rsidRDefault="0053651E">
            <w:pPr>
              <w:pStyle w:val="a3"/>
              <w:spacing w:before="0" w:beforeAutospacing="0" w:after="0" w:afterAutospacing="0"/>
              <w:ind w:left="1260" w:hanging="180"/>
              <w:rPr>
                <w:sz w:val="20"/>
                <w:szCs w:val="20"/>
              </w:rPr>
            </w:pPr>
            <w:r>
              <w:rPr>
                <w:sz w:val="20"/>
                <w:szCs w:val="20"/>
              </w:rPr>
              <w:t>Total revenues</w:t>
            </w:r>
          </w:p>
        </w:tc>
        <w:tc>
          <w:tcPr>
            <w:tcW w:w="50" w:type="pct"/>
            <w:shd w:val="clear" w:color="auto" w:fill="FFFFFF"/>
            <w:vAlign w:val="bottom"/>
            <w:hideMark/>
          </w:tcPr>
          <w:p w14:paraId="528E176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025C22F"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3975C24" w14:textId="77777777" w:rsidR="00000000" w:rsidRDefault="0053651E">
            <w:pPr>
              <w:jc w:val="right"/>
              <w:rPr>
                <w:rFonts w:eastAsia="Times New Roman"/>
                <w:sz w:val="20"/>
                <w:szCs w:val="20"/>
              </w:rPr>
            </w:pPr>
            <w:r>
              <w:rPr>
                <w:rFonts w:eastAsia="Times New Roman"/>
                <w:sz w:val="20"/>
                <w:szCs w:val="20"/>
              </w:rPr>
              <w:t>1,158,884</w:t>
            </w:r>
          </w:p>
        </w:tc>
        <w:tc>
          <w:tcPr>
            <w:tcW w:w="50" w:type="pct"/>
            <w:shd w:val="clear" w:color="auto" w:fill="FFFFFF"/>
            <w:tcMar>
              <w:top w:w="0" w:type="dxa"/>
              <w:left w:w="0" w:type="dxa"/>
              <w:bottom w:w="15" w:type="dxa"/>
              <w:right w:w="0" w:type="dxa"/>
            </w:tcMar>
            <w:vAlign w:val="bottom"/>
            <w:hideMark/>
          </w:tcPr>
          <w:p w14:paraId="50B6AD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986A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31F4EA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319D115" w14:textId="77777777" w:rsidR="00000000" w:rsidRDefault="0053651E">
            <w:pPr>
              <w:jc w:val="right"/>
              <w:rPr>
                <w:rFonts w:eastAsia="Times New Roman"/>
                <w:sz w:val="20"/>
                <w:szCs w:val="20"/>
              </w:rPr>
            </w:pPr>
            <w:r>
              <w:rPr>
                <w:rFonts w:eastAsia="Times New Roman"/>
                <w:sz w:val="20"/>
                <w:szCs w:val="20"/>
              </w:rPr>
              <w:t>1,164,762</w:t>
            </w:r>
          </w:p>
        </w:tc>
        <w:tc>
          <w:tcPr>
            <w:tcW w:w="50" w:type="pct"/>
            <w:shd w:val="clear" w:color="auto" w:fill="FFFFFF"/>
            <w:tcMar>
              <w:top w:w="0" w:type="dxa"/>
              <w:left w:w="0" w:type="dxa"/>
              <w:bottom w:w="15" w:type="dxa"/>
              <w:right w:w="0" w:type="dxa"/>
            </w:tcMar>
            <w:vAlign w:val="bottom"/>
            <w:hideMark/>
          </w:tcPr>
          <w:p w14:paraId="407700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4BA77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640E5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68618F5" w14:textId="77777777" w:rsidR="00000000" w:rsidRDefault="0053651E">
            <w:pPr>
              <w:jc w:val="right"/>
              <w:rPr>
                <w:rFonts w:eastAsia="Times New Roman"/>
                <w:sz w:val="20"/>
                <w:szCs w:val="20"/>
              </w:rPr>
            </w:pPr>
            <w:r>
              <w:rPr>
                <w:rFonts w:eastAsia="Times New Roman"/>
                <w:sz w:val="20"/>
                <w:szCs w:val="20"/>
              </w:rPr>
              <w:t>1,200,834</w:t>
            </w:r>
          </w:p>
        </w:tc>
        <w:tc>
          <w:tcPr>
            <w:tcW w:w="50" w:type="pct"/>
            <w:shd w:val="clear" w:color="auto" w:fill="FFFFFF"/>
            <w:tcMar>
              <w:top w:w="0" w:type="dxa"/>
              <w:left w:w="0" w:type="dxa"/>
              <w:bottom w:w="15" w:type="dxa"/>
              <w:right w:w="0" w:type="dxa"/>
            </w:tcMar>
            <w:vAlign w:val="bottom"/>
            <w:hideMark/>
          </w:tcPr>
          <w:p w14:paraId="71785F8B" w14:textId="77777777" w:rsidR="00000000" w:rsidRDefault="0053651E">
            <w:pPr>
              <w:rPr>
                <w:rFonts w:eastAsia="Times New Roman"/>
                <w:sz w:val="20"/>
                <w:szCs w:val="20"/>
              </w:rPr>
            </w:pPr>
            <w:r>
              <w:rPr>
                <w:rFonts w:eastAsia="Times New Roman"/>
                <w:sz w:val="20"/>
                <w:szCs w:val="20"/>
              </w:rPr>
              <w:t> </w:t>
            </w:r>
          </w:p>
        </w:tc>
      </w:tr>
      <w:tr w:rsidR="00000000" w14:paraId="03B17326" w14:textId="77777777">
        <w:trPr>
          <w:divId w:val="639576273"/>
          <w:tblCellSpacing w:w="0" w:type="dxa"/>
        </w:trPr>
        <w:tc>
          <w:tcPr>
            <w:tcW w:w="0" w:type="auto"/>
            <w:shd w:val="clear" w:color="auto" w:fill="CCEEFF"/>
            <w:vAlign w:val="bottom"/>
            <w:hideMark/>
          </w:tcPr>
          <w:p w14:paraId="518C8B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CD35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C01B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5B85D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9EB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CBDB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791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8D7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8451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918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D2B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F9193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48A367" w14:textId="77777777" w:rsidR="00000000" w:rsidRDefault="0053651E">
            <w:pPr>
              <w:rPr>
                <w:rFonts w:eastAsia="Times New Roman"/>
                <w:sz w:val="20"/>
                <w:szCs w:val="20"/>
              </w:rPr>
            </w:pPr>
            <w:r>
              <w:rPr>
                <w:rFonts w:eastAsia="Times New Roman"/>
                <w:sz w:val="20"/>
                <w:szCs w:val="20"/>
              </w:rPr>
              <w:t> </w:t>
            </w:r>
          </w:p>
        </w:tc>
      </w:tr>
      <w:tr w:rsidR="00000000" w14:paraId="7C6E7077" w14:textId="77777777">
        <w:trPr>
          <w:divId w:val="639576273"/>
          <w:tblCellSpacing w:w="0" w:type="dxa"/>
        </w:trPr>
        <w:tc>
          <w:tcPr>
            <w:tcW w:w="0" w:type="auto"/>
            <w:shd w:val="clear" w:color="auto" w:fill="FFFFFF"/>
            <w:vAlign w:val="bottom"/>
            <w:hideMark/>
          </w:tcPr>
          <w:p w14:paraId="499B2C48" w14:textId="77777777" w:rsidR="00000000" w:rsidRDefault="0053651E">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60FE97D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13796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559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D46D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78D3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CDB4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55074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065DB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5B3E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3AC3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37BA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B60D3" w14:textId="77777777" w:rsidR="00000000" w:rsidRDefault="0053651E">
            <w:pPr>
              <w:rPr>
                <w:rFonts w:eastAsia="Times New Roman"/>
                <w:sz w:val="20"/>
                <w:szCs w:val="20"/>
              </w:rPr>
            </w:pPr>
            <w:r>
              <w:rPr>
                <w:rFonts w:eastAsia="Times New Roman"/>
                <w:sz w:val="20"/>
                <w:szCs w:val="20"/>
              </w:rPr>
              <w:t> </w:t>
            </w:r>
          </w:p>
        </w:tc>
      </w:tr>
      <w:tr w:rsidR="00000000" w14:paraId="36471312" w14:textId="77777777">
        <w:trPr>
          <w:divId w:val="639576273"/>
          <w:tblCellSpacing w:w="0" w:type="dxa"/>
        </w:trPr>
        <w:tc>
          <w:tcPr>
            <w:tcW w:w="0" w:type="auto"/>
            <w:shd w:val="clear" w:color="auto" w:fill="CCEEFF"/>
            <w:vAlign w:val="bottom"/>
            <w:hideMark/>
          </w:tcPr>
          <w:p w14:paraId="33DD8210" w14:textId="77777777" w:rsidR="00000000" w:rsidRDefault="0053651E">
            <w:pPr>
              <w:pStyle w:val="a3"/>
              <w:spacing w:before="0" w:beforeAutospacing="0" w:after="0" w:afterAutospacing="0"/>
              <w:ind w:left="720" w:hanging="180"/>
              <w:rPr>
                <w:sz w:val="20"/>
                <w:szCs w:val="20"/>
              </w:rPr>
            </w:pPr>
            <w:r>
              <w:rPr>
                <w:sz w:val="20"/>
                <w:szCs w:val="20"/>
              </w:rPr>
              <w:t>Rent</w:t>
            </w:r>
          </w:p>
        </w:tc>
        <w:tc>
          <w:tcPr>
            <w:tcW w:w="50" w:type="pct"/>
            <w:shd w:val="clear" w:color="auto" w:fill="CCEEFF"/>
            <w:vAlign w:val="bottom"/>
            <w:hideMark/>
          </w:tcPr>
          <w:p w14:paraId="53D36A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BB66A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5F496C" w14:textId="77777777" w:rsidR="00000000" w:rsidRDefault="0053651E">
            <w:pPr>
              <w:jc w:val="right"/>
              <w:rPr>
                <w:rFonts w:eastAsia="Times New Roman"/>
                <w:sz w:val="20"/>
                <w:szCs w:val="20"/>
              </w:rPr>
            </w:pPr>
            <w:r>
              <w:rPr>
                <w:rFonts w:eastAsia="Times New Roman"/>
                <w:sz w:val="20"/>
                <w:szCs w:val="20"/>
              </w:rPr>
              <w:t>(11,311</w:t>
            </w:r>
          </w:p>
        </w:tc>
        <w:tc>
          <w:tcPr>
            <w:tcW w:w="50" w:type="pct"/>
            <w:shd w:val="clear" w:color="auto" w:fill="CCEEFF"/>
            <w:vAlign w:val="bottom"/>
            <w:hideMark/>
          </w:tcPr>
          <w:p w14:paraId="4290AC3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32ACC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F768D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7DCB7C" w14:textId="77777777" w:rsidR="00000000" w:rsidRDefault="0053651E">
            <w:pPr>
              <w:jc w:val="right"/>
              <w:rPr>
                <w:rFonts w:eastAsia="Times New Roman"/>
                <w:sz w:val="20"/>
                <w:szCs w:val="20"/>
              </w:rPr>
            </w:pPr>
            <w:r>
              <w:rPr>
                <w:rFonts w:eastAsia="Times New Roman"/>
                <w:sz w:val="20"/>
                <w:szCs w:val="20"/>
              </w:rPr>
              <w:t>(10,929</w:t>
            </w:r>
          </w:p>
        </w:tc>
        <w:tc>
          <w:tcPr>
            <w:tcW w:w="50" w:type="pct"/>
            <w:shd w:val="clear" w:color="auto" w:fill="CCEEFF"/>
            <w:vAlign w:val="bottom"/>
            <w:hideMark/>
          </w:tcPr>
          <w:p w14:paraId="1DF4238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A0480F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D5163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EC13D0D" w14:textId="77777777" w:rsidR="00000000" w:rsidRDefault="0053651E">
            <w:pPr>
              <w:jc w:val="right"/>
              <w:rPr>
                <w:rFonts w:eastAsia="Times New Roman"/>
                <w:sz w:val="20"/>
                <w:szCs w:val="20"/>
              </w:rPr>
            </w:pPr>
            <w:r>
              <w:rPr>
                <w:rFonts w:eastAsia="Times New Roman"/>
                <w:sz w:val="20"/>
                <w:szCs w:val="20"/>
              </w:rPr>
              <w:t>(11,145</w:t>
            </w:r>
          </w:p>
        </w:tc>
        <w:tc>
          <w:tcPr>
            <w:tcW w:w="50" w:type="pct"/>
            <w:shd w:val="clear" w:color="auto" w:fill="CCEEFF"/>
            <w:vAlign w:val="bottom"/>
            <w:hideMark/>
          </w:tcPr>
          <w:p w14:paraId="3650011A" w14:textId="77777777" w:rsidR="00000000" w:rsidRDefault="0053651E">
            <w:pPr>
              <w:rPr>
                <w:rFonts w:eastAsia="Times New Roman"/>
                <w:sz w:val="20"/>
                <w:szCs w:val="20"/>
              </w:rPr>
            </w:pPr>
            <w:r>
              <w:rPr>
                <w:rFonts w:eastAsia="Times New Roman"/>
                <w:sz w:val="20"/>
                <w:szCs w:val="20"/>
              </w:rPr>
              <w:t>)</w:t>
            </w:r>
          </w:p>
        </w:tc>
      </w:tr>
      <w:tr w:rsidR="00000000" w14:paraId="08F92FF8" w14:textId="77777777">
        <w:trPr>
          <w:divId w:val="639576273"/>
          <w:tblCellSpacing w:w="0" w:type="dxa"/>
        </w:trPr>
        <w:tc>
          <w:tcPr>
            <w:tcW w:w="0" w:type="auto"/>
            <w:shd w:val="clear" w:color="auto" w:fill="FFFFFF"/>
            <w:vAlign w:val="bottom"/>
            <w:hideMark/>
          </w:tcPr>
          <w:p w14:paraId="5FB35E19" w14:textId="77777777" w:rsidR="00000000" w:rsidRDefault="0053651E">
            <w:pPr>
              <w:pStyle w:val="a3"/>
              <w:spacing w:before="0" w:beforeAutospacing="0" w:after="0" w:afterAutospacing="0"/>
              <w:ind w:left="720" w:hanging="180"/>
              <w:rPr>
                <w:sz w:val="20"/>
                <w:szCs w:val="20"/>
              </w:rPr>
            </w:pPr>
            <w:r>
              <w:rPr>
                <w:sz w:val="20"/>
                <w:szCs w:val="20"/>
              </w:rPr>
              <w:t>Real estate taxes</w:t>
            </w:r>
          </w:p>
        </w:tc>
        <w:tc>
          <w:tcPr>
            <w:tcW w:w="50" w:type="pct"/>
            <w:shd w:val="clear" w:color="auto" w:fill="FFFFFF"/>
            <w:vAlign w:val="bottom"/>
            <w:hideMark/>
          </w:tcPr>
          <w:p w14:paraId="7F2DC6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2A481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31C4AFB" w14:textId="77777777" w:rsidR="00000000" w:rsidRDefault="0053651E">
            <w:pPr>
              <w:jc w:val="right"/>
              <w:rPr>
                <w:rFonts w:eastAsia="Times New Roman"/>
                <w:sz w:val="20"/>
                <w:szCs w:val="20"/>
              </w:rPr>
            </w:pPr>
            <w:r>
              <w:rPr>
                <w:rFonts w:eastAsia="Times New Roman"/>
                <w:sz w:val="20"/>
                <w:szCs w:val="20"/>
              </w:rPr>
              <w:t>(153,659</w:t>
            </w:r>
          </w:p>
        </w:tc>
        <w:tc>
          <w:tcPr>
            <w:tcW w:w="50" w:type="pct"/>
            <w:shd w:val="clear" w:color="auto" w:fill="FFFFFF"/>
            <w:vAlign w:val="bottom"/>
            <w:hideMark/>
          </w:tcPr>
          <w:p w14:paraId="4F757AF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8FB32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C4410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009493" w14:textId="77777777" w:rsidR="00000000" w:rsidRDefault="0053651E">
            <w:pPr>
              <w:jc w:val="right"/>
              <w:rPr>
                <w:rFonts w:eastAsia="Times New Roman"/>
                <w:sz w:val="20"/>
                <w:szCs w:val="20"/>
              </w:rPr>
            </w:pPr>
            <w:r>
              <w:rPr>
                <w:rFonts w:eastAsia="Times New Roman"/>
                <w:sz w:val="20"/>
                <w:szCs w:val="20"/>
              </w:rPr>
              <w:t>(153,336</w:t>
            </w:r>
          </w:p>
        </w:tc>
        <w:tc>
          <w:tcPr>
            <w:tcW w:w="50" w:type="pct"/>
            <w:shd w:val="clear" w:color="auto" w:fill="FFFFFF"/>
            <w:vAlign w:val="bottom"/>
            <w:hideMark/>
          </w:tcPr>
          <w:p w14:paraId="245080C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F682C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739FC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C65310" w14:textId="77777777" w:rsidR="00000000" w:rsidRDefault="0053651E">
            <w:pPr>
              <w:jc w:val="right"/>
              <w:rPr>
                <w:rFonts w:eastAsia="Times New Roman"/>
                <w:sz w:val="20"/>
                <w:szCs w:val="20"/>
              </w:rPr>
            </w:pPr>
            <w:r>
              <w:rPr>
                <w:rFonts w:eastAsia="Times New Roman"/>
                <w:sz w:val="20"/>
                <w:szCs w:val="20"/>
              </w:rPr>
              <w:t>(157,196</w:t>
            </w:r>
          </w:p>
        </w:tc>
        <w:tc>
          <w:tcPr>
            <w:tcW w:w="50" w:type="pct"/>
            <w:shd w:val="clear" w:color="auto" w:fill="FFFFFF"/>
            <w:vAlign w:val="bottom"/>
            <w:hideMark/>
          </w:tcPr>
          <w:p w14:paraId="336D739D" w14:textId="77777777" w:rsidR="00000000" w:rsidRDefault="0053651E">
            <w:pPr>
              <w:rPr>
                <w:rFonts w:eastAsia="Times New Roman"/>
                <w:sz w:val="20"/>
                <w:szCs w:val="20"/>
              </w:rPr>
            </w:pPr>
            <w:r>
              <w:rPr>
                <w:rFonts w:eastAsia="Times New Roman"/>
                <w:sz w:val="20"/>
                <w:szCs w:val="20"/>
              </w:rPr>
              <w:t>)</w:t>
            </w:r>
          </w:p>
        </w:tc>
      </w:tr>
      <w:tr w:rsidR="00000000" w14:paraId="7B2A6CFC" w14:textId="77777777">
        <w:trPr>
          <w:divId w:val="639576273"/>
          <w:tblCellSpacing w:w="0" w:type="dxa"/>
        </w:trPr>
        <w:tc>
          <w:tcPr>
            <w:tcW w:w="0" w:type="auto"/>
            <w:shd w:val="clear" w:color="auto" w:fill="CCEEFF"/>
            <w:vAlign w:val="bottom"/>
            <w:hideMark/>
          </w:tcPr>
          <w:p w14:paraId="5AB20014" w14:textId="77777777" w:rsidR="00000000" w:rsidRDefault="0053651E">
            <w:pPr>
              <w:pStyle w:val="a3"/>
              <w:spacing w:before="0" w:beforeAutospacing="0" w:after="0" w:afterAutospacing="0"/>
              <w:ind w:left="720" w:hanging="180"/>
              <w:rPr>
                <w:sz w:val="20"/>
                <w:szCs w:val="20"/>
              </w:rPr>
            </w:pPr>
            <w:r>
              <w:rPr>
                <w:sz w:val="20"/>
                <w:szCs w:val="20"/>
              </w:rPr>
              <w:t>Operating and maintenance</w:t>
            </w:r>
          </w:p>
        </w:tc>
        <w:tc>
          <w:tcPr>
            <w:tcW w:w="50" w:type="pct"/>
            <w:shd w:val="clear" w:color="auto" w:fill="CCEEFF"/>
            <w:vAlign w:val="bottom"/>
            <w:hideMark/>
          </w:tcPr>
          <w:p w14:paraId="79B9E7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03D8D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A3D86C" w14:textId="77777777" w:rsidR="00000000" w:rsidRDefault="0053651E">
            <w:pPr>
              <w:jc w:val="right"/>
              <w:rPr>
                <w:rFonts w:eastAsia="Times New Roman"/>
                <w:sz w:val="20"/>
                <w:szCs w:val="20"/>
              </w:rPr>
            </w:pPr>
            <w:r>
              <w:rPr>
                <w:rFonts w:eastAsia="Times New Roman"/>
                <w:sz w:val="20"/>
                <w:szCs w:val="20"/>
              </w:rPr>
              <w:t>(171,981</w:t>
            </w:r>
          </w:p>
        </w:tc>
        <w:tc>
          <w:tcPr>
            <w:tcW w:w="50" w:type="pct"/>
            <w:shd w:val="clear" w:color="auto" w:fill="CCEEFF"/>
            <w:vAlign w:val="bottom"/>
            <w:hideMark/>
          </w:tcPr>
          <w:p w14:paraId="2AB2995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0B1DD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91F05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BF1AAC" w14:textId="77777777" w:rsidR="00000000" w:rsidRDefault="0053651E">
            <w:pPr>
              <w:jc w:val="right"/>
              <w:rPr>
                <w:rFonts w:eastAsia="Times New Roman"/>
                <w:sz w:val="20"/>
                <w:szCs w:val="20"/>
              </w:rPr>
            </w:pPr>
            <w:r>
              <w:rPr>
                <w:rFonts w:eastAsia="Times New Roman"/>
                <w:sz w:val="20"/>
                <w:szCs w:val="20"/>
              </w:rPr>
              <w:t>(164,294</w:t>
            </w:r>
          </w:p>
        </w:tc>
        <w:tc>
          <w:tcPr>
            <w:tcW w:w="50" w:type="pct"/>
            <w:shd w:val="clear" w:color="auto" w:fill="CCEEFF"/>
            <w:vAlign w:val="bottom"/>
            <w:hideMark/>
          </w:tcPr>
          <w:p w14:paraId="256EE7C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ABE15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43452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4C07C0E" w14:textId="77777777" w:rsidR="00000000" w:rsidRDefault="0053651E">
            <w:pPr>
              <w:jc w:val="right"/>
              <w:rPr>
                <w:rFonts w:eastAsia="Times New Roman"/>
                <w:sz w:val="20"/>
                <w:szCs w:val="20"/>
              </w:rPr>
            </w:pPr>
            <w:r>
              <w:rPr>
                <w:rFonts w:eastAsia="Times New Roman"/>
                <w:sz w:val="20"/>
                <w:szCs w:val="20"/>
              </w:rPr>
              <w:t>(169,552</w:t>
            </w:r>
          </w:p>
        </w:tc>
        <w:tc>
          <w:tcPr>
            <w:tcW w:w="50" w:type="pct"/>
            <w:shd w:val="clear" w:color="auto" w:fill="CCEEFF"/>
            <w:vAlign w:val="bottom"/>
            <w:hideMark/>
          </w:tcPr>
          <w:p w14:paraId="6763CFDE" w14:textId="77777777" w:rsidR="00000000" w:rsidRDefault="0053651E">
            <w:pPr>
              <w:rPr>
                <w:rFonts w:eastAsia="Times New Roman"/>
                <w:sz w:val="20"/>
                <w:szCs w:val="20"/>
              </w:rPr>
            </w:pPr>
            <w:r>
              <w:rPr>
                <w:rFonts w:eastAsia="Times New Roman"/>
                <w:sz w:val="20"/>
                <w:szCs w:val="20"/>
              </w:rPr>
              <w:t>)</w:t>
            </w:r>
          </w:p>
        </w:tc>
      </w:tr>
      <w:tr w:rsidR="00000000" w14:paraId="687B5F9E" w14:textId="77777777">
        <w:trPr>
          <w:divId w:val="639576273"/>
          <w:tblCellSpacing w:w="0" w:type="dxa"/>
        </w:trPr>
        <w:tc>
          <w:tcPr>
            <w:tcW w:w="0" w:type="auto"/>
            <w:shd w:val="clear" w:color="auto" w:fill="FFFFFF"/>
            <w:vAlign w:val="bottom"/>
            <w:hideMark/>
          </w:tcPr>
          <w:p w14:paraId="25A3EA9F" w14:textId="77777777" w:rsidR="00000000" w:rsidRDefault="0053651E">
            <w:pPr>
              <w:pStyle w:val="a3"/>
              <w:spacing w:before="0" w:beforeAutospacing="0" w:after="0" w:afterAutospacing="0"/>
              <w:ind w:left="720" w:hanging="180"/>
              <w:rPr>
                <w:sz w:val="20"/>
                <w:szCs w:val="20"/>
              </w:rPr>
            </w:pPr>
            <w:r>
              <w:rPr>
                <w:sz w:val="20"/>
                <w:szCs w:val="20"/>
              </w:rPr>
              <w:t>General and administrative</w:t>
            </w:r>
          </w:p>
        </w:tc>
        <w:tc>
          <w:tcPr>
            <w:tcW w:w="50" w:type="pct"/>
            <w:shd w:val="clear" w:color="auto" w:fill="FFFFFF"/>
            <w:vAlign w:val="bottom"/>
            <w:hideMark/>
          </w:tcPr>
          <w:p w14:paraId="1C6C9E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1B555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9A54B0F" w14:textId="77777777" w:rsidR="00000000" w:rsidRDefault="0053651E">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14:paraId="653D6C9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07BDD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ED995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820ABFE" w14:textId="77777777" w:rsidR="00000000" w:rsidRDefault="0053651E">
            <w:pPr>
              <w:jc w:val="right"/>
              <w:rPr>
                <w:rFonts w:eastAsia="Times New Roman"/>
                <w:sz w:val="20"/>
                <w:szCs w:val="20"/>
              </w:rPr>
            </w:pPr>
            <w:r>
              <w:rPr>
                <w:rFonts w:eastAsia="Times New Roman"/>
                <w:sz w:val="20"/>
                <w:szCs w:val="20"/>
              </w:rPr>
              <w:t>(87,797</w:t>
            </w:r>
          </w:p>
        </w:tc>
        <w:tc>
          <w:tcPr>
            <w:tcW w:w="50" w:type="pct"/>
            <w:shd w:val="clear" w:color="auto" w:fill="FFFFFF"/>
            <w:vAlign w:val="bottom"/>
            <w:hideMark/>
          </w:tcPr>
          <w:p w14:paraId="1873319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64319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301F7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C349BB4" w14:textId="77777777" w:rsidR="00000000" w:rsidRDefault="0053651E">
            <w:pPr>
              <w:jc w:val="right"/>
              <w:rPr>
                <w:rFonts w:eastAsia="Times New Roman"/>
                <w:sz w:val="20"/>
                <w:szCs w:val="20"/>
              </w:rPr>
            </w:pPr>
            <w:r>
              <w:rPr>
                <w:rFonts w:eastAsia="Times New Roman"/>
                <w:sz w:val="20"/>
                <w:szCs w:val="20"/>
              </w:rPr>
              <w:t>(91,690</w:t>
            </w:r>
          </w:p>
        </w:tc>
        <w:tc>
          <w:tcPr>
            <w:tcW w:w="50" w:type="pct"/>
            <w:shd w:val="clear" w:color="auto" w:fill="FFFFFF"/>
            <w:vAlign w:val="bottom"/>
            <w:hideMark/>
          </w:tcPr>
          <w:p w14:paraId="0946496C" w14:textId="77777777" w:rsidR="00000000" w:rsidRDefault="0053651E">
            <w:pPr>
              <w:rPr>
                <w:rFonts w:eastAsia="Times New Roman"/>
                <w:sz w:val="20"/>
                <w:szCs w:val="20"/>
              </w:rPr>
            </w:pPr>
            <w:r>
              <w:rPr>
                <w:rFonts w:eastAsia="Times New Roman"/>
                <w:sz w:val="20"/>
                <w:szCs w:val="20"/>
              </w:rPr>
              <w:t>)</w:t>
            </w:r>
          </w:p>
        </w:tc>
      </w:tr>
      <w:tr w:rsidR="00000000" w14:paraId="793D4B00" w14:textId="77777777">
        <w:trPr>
          <w:divId w:val="639576273"/>
          <w:tblCellSpacing w:w="0" w:type="dxa"/>
        </w:trPr>
        <w:tc>
          <w:tcPr>
            <w:tcW w:w="0" w:type="auto"/>
            <w:shd w:val="clear" w:color="auto" w:fill="CCEEFF"/>
            <w:vAlign w:val="bottom"/>
            <w:hideMark/>
          </w:tcPr>
          <w:p w14:paraId="601010C1" w14:textId="77777777" w:rsidR="00000000" w:rsidRDefault="0053651E">
            <w:pPr>
              <w:pStyle w:val="a3"/>
              <w:spacing w:before="0" w:beforeAutospacing="0" w:after="0" w:afterAutospacing="0"/>
              <w:ind w:left="720" w:hanging="180"/>
              <w:rPr>
                <w:sz w:val="20"/>
                <w:szCs w:val="20"/>
              </w:rPr>
            </w:pPr>
            <w:r>
              <w:rPr>
                <w:sz w:val="20"/>
                <w:szCs w:val="20"/>
              </w:rPr>
              <w:t>Provision for doubtful accounts</w:t>
            </w:r>
          </w:p>
        </w:tc>
        <w:tc>
          <w:tcPr>
            <w:tcW w:w="50" w:type="pct"/>
            <w:shd w:val="clear" w:color="auto" w:fill="CCEEFF"/>
            <w:vAlign w:val="bottom"/>
            <w:hideMark/>
          </w:tcPr>
          <w:p w14:paraId="635FAC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6C9C4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9B3586F"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05466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F0F8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73E5A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43D9BB9" w14:textId="77777777" w:rsidR="00000000" w:rsidRDefault="0053651E">
            <w:pPr>
              <w:jc w:val="right"/>
              <w:rPr>
                <w:rFonts w:eastAsia="Times New Roman"/>
                <w:sz w:val="20"/>
                <w:szCs w:val="20"/>
              </w:rPr>
            </w:pPr>
            <w:r>
              <w:rPr>
                <w:rFonts w:eastAsia="Times New Roman"/>
                <w:sz w:val="20"/>
                <w:szCs w:val="20"/>
              </w:rPr>
              <w:t>(6,253</w:t>
            </w:r>
          </w:p>
        </w:tc>
        <w:tc>
          <w:tcPr>
            <w:tcW w:w="50" w:type="pct"/>
            <w:shd w:val="clear" w:color="auto" w:fill="CCEEFF"/>
            <w:vAlign w:val="bottom"/>
            <w:hideMark/>
          </w:tcPr>
          <w:p w14:paraId="1A8BC53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F1909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9AA46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DA167C6" w14:textId="77777777" w:rsidR="00000000" w:rsidRDefault="0053651E">
            <w:pPr>
              <w:jc w:val="right"/>
              <w:rPr>
                <w:rFonts w:eastAsia="Times New Roman"/>
                <w:sz w:val="20"/>
                <w:szCs w:val="20"/>
              </w:rPr>
            </w:pPr>
            <w:r>
              <w:rPr>
                <w:rFonts w:eastAsia="Times New Roman"/>
                <w:sz w:val="20"/>
                <w:szCs w:val="20"/>
              </w:rPr>
              <w:t>(5,630</w:t>
            </w:r>
          </w:p>
        </w:tc>
        <w:tc>
          <w:tcPr>
            <w:tcW w:w="50" w:type="pct"/>
            <w:shd w:val="clear" w:color="auto" w:fill="CCEEFF"/>
            <w:vAlign w:val="bottom"/>
            <w:hideMark/>
          </w:tcPr>
          <w:p w14:paraId="0416C983" w14:textId="77777777" w:rsidR="00000000" w:rsidRDefault="0053651E">
            <w:pPr>
              <w:rPr>
                <w:rFonts w:eastAsia="Times New Roman"/>
                <w:sz w:val="20"/>
                <w:szCs w:val="20"/>
              </w:rPr>
            </w:pPr>
            <w:r>
              <w:rPr>
                <w:rFonts w:eastAsia="Times New Roman"/>
                <w:sz w:val="20"/>
                <w:szCs w:val="20"/>
              </w:rPr>
              <w:t>)</w:t>
            </w:r>
          </w:p>
        </w:tc>
      </w:tr>
      <w:tr w:rsidR="00000000" w14:paraId="5B0D33AE" w14:textId="77777777">
        <w:trPr>
          <w:divId w:val="639576273"/>
          <w:tblCellSpacing w:w="0" w:type="dxa"/>
        </w:trPr>
        <w:tc>
          <w:tcPr>
            <w:tcW w:w="0" w:type="auto"/>
            <w:shd w:val="clear" w:color="auto" w:fill="FFFFFF"/>
            <w:vAlign w:val="bottom"/>
            <w:hideMark/>
          </w:tcPr>
          <w:p w14:paraId="3F7349D8" w14:textId="77777777" w:rsidR="00000000" w:rsidRDefault="0053651E">
            <w:pPr>
              <w:pStyle w:val="a3"/>
              <w:spacing w:before="0" w:beforeAutospacing="0" w:after="0" w:afterAutospacing="0"/>
              <w:ind w:left="720" w:hanging="180"/>
              <w:rPr>
                <w:sz w:val="20"/>
                <w:szCs w:val="20"/>
              </w:rPr>
            </w:pPr>
            <w:r>
              <w:rPr>
                <w:sz w:val="20"/>
                <w:szCs w:val="20"/>
              </w:rPr>
              <w:t>Impairment charges</w:t>
            </w:r>
          </w:p>
        </w:tc>
        <w:tc>
          <w:tcPr>
            <w:tcW w:w="50" w:type="pct"/>
            <w:shd w:val="clear" w:color="auto" w:fill="FFFFFF"/>
            <w:vAlign w:val="bottom"/>
            <w:hideMark/>
          </w:tcPr>
          <w:p w14:paraId="44E4AD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D82D0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744FE4C" w14:textId="77777777" w:rsidR="00000000" w:rsidRDefault="0053651E">
            <w:pPr>
              <w:jc w:val="right"/>
              <w:rPr>
                <w:rFonts w:eastAsia="Times New Roman"/>
                <w:sz w:val="20"/>
                <w:szCs w:val="20"/>
              </w:rPr>
            </w:pPr>
            <w:r>
              <w:rPr>
                <w:rFonts w:eastAsia="Times New Roman"/>
                <w:sz w:val="20"/>
                <w:szCs w:val="20"/>
              </w:rPr>
              <w:t>(48,743</w:t>
            </w:r>
          </w:p>
        </w:tc>
        <w:tc>
          <w:tcPr>
            <w:tcW w:w="50" w:type="pct"/>
            <w:shd w:val="clear" w:color="auto" w:fill="FFFFFF"/>
            <w:vAlign w:val="bottom"/>
            <w:hideMark/>
          </w:tcPr>
          <w:p w14:paraId="5CDC9AC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6299C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5B4D2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AAC13E9" w14:textId="77777777" w:rsidR="00000000" w:rsidRDefault="0053651E">
            <w:pPr>
              <w:jc w:val="right"/>
              <w:rPr>
                <w:rFonts w:eastAsia="Times New Roman"/>
                <w:sz w:val="20"/>
                <w:szCs w:val="20"/>
              </w:rPr>
            </w:pPr>
            <w:r>
              <w:rPr>
                <w:rFonts w:eastAsia="Times New Roman"/>
                <w:sz w:val="20"/>
                <w:szCs w:val="20"/>
              </w:rPr>
              <w:t>(79,207</w:t>
            </w:r>
          </w:p>
        </w:tc>
        <w:tc>
          <w:tcPr>
            <w:tcW w:w="50" w:type="pct"/>
            <w:shd w:val="clear" w:color="auto" w:fill="FFFFFF"/>
            <w:vAlign w:val="bottom"/>
            <w:hideMark/>
          </w:tcPr>
          <w:p w14:paraId="2684885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56F62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1DBE8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2285EC" w14:textId="77777777" w:rsidR="00000000" w:rsidRDefault="0053651E">
            <w:pPr>
              <w:jc w:val="right"/>
              <w:rPr>
                <w:rFonts w:eastAsia="Times New Roman"/>
                <w:sz w:val="20"/>
                <w:szCs w:val="20"/>
              </w:rPr>
            </w:pPr>
            <w:r>
              <w:rPr>
                <w:rFonts w:eastAsia="Times New Roman"/>
                <w:sz w:val="20"/>
                <w:szCs w:val="20"/>
              </w:rPr>
              <w:t>(67,331</w:t>
            </w:r>
          </w:p>
        </w:tc>
        <w:tc>
          <w:tcPr>
            <w:tcW w:w="50" w:type="pct"/>
            <w:shd w:val="clear" w:color="auto" w:fill="FFFFFF"/>
            <w:vAlign w:val="bottom"/>
            <w:hideMark/>
          </w:tcPr>
          <w:p w14:paraId="1C78A2E0" w14:textId="77777777" w:rsidR="00000000" w:rsidRDefault="0053651E">
            <w:pPr>
              <w:rPr>
                <w:rFonts w:eastAsia="Times New Roman"/>
                <w:sz w:val="20"/>
                <w:szCs w:val="20"/>
              </w:rPr>
            </w:pPr>
            <w:r>
              <w:rPr>
                <w:rFonts w:eastAsia="Times New Roman"/>
                <w:sz w:val="20"/>
                <w:szCs w:val="20"/>
              </w:rPr>
              <w:t>)</w:t>
            </w:r>
          </w:p>
        </w:tc>
      </w:tr>
      <w:tr w:rsidR="00000000" w14:paraId="30426FA2" w14:textId="77777777">
        <w:trPr>
          <w:divId w:val="639576273"/>
          <w:tblCellSpacing w:w="0" w:type="dxa"/>
        </w:trPr>
        <w:tc>
          <w:tcPr>
            <w:tcW w:w="0" w:type="auto"/>
            <w:shd w:val="clear" w:color="auto" w:fill="CCEEFF"/>
            <w:vAlign w:val="bottom"/>
            <w:hideMark/>
          </w:tcPr>
          <w:p w14:paraId="24847EEB" w14:textId="77777777" w:rsidR="00000000" w:rsidRDefault="0053651E">
            <w:pPr>
              <w:pStyle w:val="a3"/>
              <w:spacing w:before="0" w:beforeAutospacing="0" w:after="0" w:afterAutospacing="0"/>
              <w:ind w:left="720" w:hanging="180"/>
              <w:rPr>
                <w:sz w:val="20"/>
                <w:szCs w:val="20"/>
              </w:rPr>
            </w:pPr>
            <w:r>
              <w:rPr>
                <w:sz w:val="20"/>
                <w:szCs w:val="20"/>
              </w:rPr>
              <w:t>Depreciation and amortization</w:t>
            </w:r>
          </w:p>
        </w:tc>
        <w:tc>
          <w:tcPr>
            <w:tcW w:w="50" w:type="pct"/>
            <w:shd w:val="clear" w:color="auto" w:fill="CCEEFF"/>
            <w:vAlign w:val="bottom"/>
            <w:hideMark/>
          </w:tcPr>
          <w:p w14:paraId="0A05B5A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163E3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85E1542" w14:textId="77777777" w:rsidR="00000000" w:rsidRDefault="0053651E">
            <w:pPr>
              <w:jc w:val="right"/>
              <w:rPr>
                <w:rFonts w:eastAsia="Times New Roman"/>
                <w:sz w:val="20"/>
                <w:szCs w:val="20"/>
              </w:rPr>
            </w:pPr>
            <w:r>
              <w:rPr>
                <w:rFonts w:eastAsia="Times New Roman"/>
                <w:sz w:val="20"/>
                <w:szCs w:val="20"/>
              </w:rPr>
              <w:t>(277,879</w:t>
            </w:r>
          </w:p>
        </w:tc>
        <w:tc>
          <w:tcPr>
            <w:tcW w:w="50" w:type="pct"/>
            <w:shd w:val="clear" w:color="auto" w:fill="CCEEFF"/>
            <w:tcMar>
              <w:top w:w="0" w:type="dxa"/>
              <w:left w:w="0" w:type="dxa"/>
              <w:bottom w:w="15" w:type="dxa"/>
              <w:right w:w="0" w:type="dxa"/>
            </w:tcMar>
            <w:vAlign w:val="bottom"/>
            <w:hideMark/>
          </w:tcPr>
          <w:p w14:paraId="3C6244D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0F6D67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8EC3E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7FEA752" w14:textId="77777777" w:rsidR="00000000" w:rsidRDefault="0053651E">
            <w:pPr>
              <w:jc w:val="right"/>
              <w:rPr>
                <w:rFonts w:eastAsia="Times New Roman"/>
                <w:sz w:val="20"/>
                <w:szCs w:val="20"/>
              </w:rPr>
            </w:pPr>
            <w:r>
              <w:rPr>
                <w:rFonts w:eastAsia="Times New Roman"/>
                <w:sz w:val="20"/>
                <w:szCs w:val="20"/>
              </w:rPr>
              <w:t>(310,380</w:t>
            </w:r>
          </w:p>
        </w:tc>
        <w:tc>
          <w:tcPr>
            <w:tcW w:w="50" w:type="pct"/>
            <w:shd w:val="clear" w:color="auto" w:fill="CCEEFF"/>
            <w:tcMar>
              <w:top w:w="0" w:type="dxa"/>
              <w:left w:w="0" w:type="dxa"/>
              <w:bottom w:w="15" w:type="dxa"/>
              <w:right w:w="0" w:type="dxa"/>
            </w:tcMar>
            <w:vAlign w:val="bottom"/>
            <w:hideMark/>
          </w:tcPr>
          <w:p w14:paraId="5F65E14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28087F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7ECA50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C850F3C" w14:textId="77777777" w:rsidR="00000000" w:rsidRDefault="0053651E">
            <w:pPr>
              <w:jc w:val="right"/>
              <w:rPr>
                <w:rFonts w:eastAsia="Times New Roman"/>
                <w:sz w:val="20"/>
                <w:szCs w:val="20"/>
              </w:rPr>
            </w:pPr>
            <w:r>
              <w:rPr>
                <w:rFonts w:eastAsia="Times New Roman"/>
                <w:sz w:val="20"/>
                <w:szCs w:val="20"/>
              </w:rPr>
              <w:t>(360,811</w:t>
            </w:r>
          </w:p>
        </w:tc>
        <w:tc>
          <w:tcPr>
            <w:tcW w:w="50" w:type="pct"/>
            <w:shd w:val="clear" w:color="auto" w:fill="CCEEFF"/>
            <w:tcMar>
              <w:top w:w="0" w:type="dxa"/>
              <w:left w:w="0" w:type="dxa"/>
              <w:bottom w:w="15" w:type="dxa"/>
              <w:right w:w="0" w:type="dxa"/>
            </w:tcMar>
            <w:vAlign w:val="bottom"/>
            <w:hideMark/>
          </w:tcPr>
          <w:p w14:paraId="27A64219" w14:textId="77777777" w:rsidR="00000000" w:rsidRDefault="0053651E">
            <w:pPr>
              <w:rPr>
                <w:rFonts w:eastAsia="Times New Roman"/>
                <w:sz w:val="20"/>
                <w:szCs w:val="20"/>
              </w:rPr>
            </w:pPr>
            <w:r>
              <w:rPr>
                <w:rFonts w:eastAsia="Times New Roman"/>
                <w:sz w:val="20"/>
                <w:szCs w:val="20"/>
              </w:rPr>
              <w:t>)</w:t>
            </w:r>
          </w:p>
        </w:tc>
      </w:tr>
      <w:tr w:rsidR="00000000" w14:paraId="22095B8F" w14:textId="77777777">
        <w:trPr>
          <w:divId w:val="639576273"/>
          <w:tblCellSpacing w:w="0" w:type="dxa"/>
        </w:trPr>
        <w:tc>
          <w:tcPr>
            <w:tcW w:w="0" w:type="auto"/>
            <w:shd w:val="clear" w:color="auto" w:fill="FFFFFF"/>
            <w:vAlign w:val="bottom"/>
            <w:hideMark/>
          </w:tcPr>
          <w:p w14:paraId="7FC15651" w14:textId="77777777" w:rsidR="00000000" w:rsidRDefault="0053651E">
            <w:pPr>
              <w:pStyle w:val="a3"/>
              <w:spacing w:before="0" w:beforeAutospacing="0" w:after="0" w:afterAutospacing="0"/>
              <w:ind w:left="1260" w:hanging="180"/>
              <w:rPr>
                <w:sz w:val="20"/>
                <w:szCs w:val="20"/>
              </w:rPr>
            </w:pPr>
            <w:r>
              <w:rPr>
                <w:sz w:val="20"/>
                <w:szCs w:val="20"/>
              </w:rPr>
              <w:t>Total operating expenses</w:t>
            </w:r>
          </w:p>
        </w:tc>
        <w:tc>
          <w:tcPr>
            <w:tcW w:w="50" w:type="pct"/>
            <w:shd w:val="clear" w:color="auto" w:fill="FFFFFF"/>
            <w:vAlign w:val="bottom"/>
            <w:hideMark/>
          </w:tcPr>
          <w:p w14:paraId="371951A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5EEAD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164B651" w14:textId="77777777" w:rsidR="00000000" w:rsidRDefault="0053651E">
            <w:pPr>
              <w:jc w:val="right"/>
              <w:rPr>
                <w:rFonts w:eastAsia="Times New Roman"/>
                <w:sz w:val="20"/>
                <w:szCs w:val="20"/>
              </w:rPr>
            </w:pPr>
            <w:r>
              <w:rPr>
                <w:rFonts w:eastAsia="Times New Roman"/>
                <w:sz w:val="20"/>
                <w:szCs w:val="20"/>
              </w:rPr>
              <w:t>(760,515</w:t>
            </w:r>
          </w:p>
        </w:tc>
        <w:tc>
          <w:tcPr>
            <w:tcW w:w="50" w:type="pct"/>
            <w:shd w:val="clear" w:color="auto" w:fill="FFFFFF"/>
            <w:tcMar>
              <w:top w:w="0" w:type="dxa"/>
              <w:left w:w="0" w:type="dxa"/>
              <w:bottom w:w="15" w:type="dxa"/>
              <w:right w:w="0" w:type="dxa"/>
            </w:tcMar>
            <w:vAlign w:val="bottom"/>
            <w:hideMark/>
          </w:tcPr>
          <w:p w14:paraId="5FB3045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1BA38F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02796B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9CE05F5" w14:textId="77777777" w:rsidR="00000000" w:rsidRDefault="0053651E">
            <w:pPr>
              <w:jc w:val="right"/>
              <w:rPr>
                <w:rFonts w:eastAsia="Times New Roman"/>
                <w:sz w:val="20"/>
                <w:szCs w:val="20"/>
              </w:rPr>
            </w:pPr>
            <w:r>
              <w:rPr>
                <w:rFonts w:eastAsia="Times New Roman"/>
                <w:sz w:val="20"/>
                <w:szCs w:val="20"/>
              </w:rPr>
              <w:t>(812,196</w:t>
            </w:r>
          </w:p>
        </w:tc>
        <w:tc>
          <w:tcPr>
            <w:tcW w:w="50" w:type="pct"/>
            <w:shd w:val="clear" w:color="auto" w:fill="FFFFFF"/>
            <w:tcMar>
              <w:top w:w="0" w:type="dxa"/>
              <w:left w:w="0" w:type="dxa"/>
              <w:bottom w:w="15" w:type="dxa"/>
              <w:right w:w="0" w:type="dxa"/>
            </w:tcMar>
            <w:vAlign w:val="bottom"/>
            <w:hideMark/>
          </w:tcPr>
          <w:p w14:paraId="4FC75E2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E74937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4A92D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CEF8AE2" w14:textId="77777777" w:rsidR="00000000" w:rsidRDefault="0053651E">
            <w:pPr>
              <w:jc w:val="right"/>
              <w:rPr>
                <w:rFonts w:eastAsia="Times New Roman"/>
                <w:sz w:val="20"/>
                <w:szCs w:val="20"/>
              </w:rPr>
            </w:pPr>
            <w:r>
              <w:rPr>
                <w:rFonts w:eastAsia="Times New Roman"/>
                <w:sz w:val="20"/>
                <w:szCs w:val="20"/>
              </w:rPr>
              <w:t>(863,355</w:t>
            </w:r>
          </w:p>
        </w:tc>
        <w:tc>
          <w:tcPr>
            <w:tcW w:w="50" w:type="pct"/>
            <w:shd w:val="clear" w:color="auto" w:fill="FFFFFF"/>
            <w:tcMar>
              <w:top w:w="0" w:type="dxa"/>
              <w:left w:w="0" w:type="dxa"/>
              <w:bottom w:w="15" w:type="dxa"/>
              <w:right w:w="0" w:type="dxa"/>
            </w:tcMar>
            <w:vAlign w:val="bottom"/>
            <w:hideMark/>
          </w:tcPr>
          <w:p w14:paraId="1CAFDEF7" w14:textId="77777777" w:rsidR="00000000" w:rsidRDefault="0053651E">
            <w:pPr>
              <w:rPr>
                <w:rFonts w:eastAsia="Times New Roman"/>
                <w:sz w:val="20"/>
                <w:szCs w:val="20"/>
              </w:rPr>
            </w:pPr>
            <w:r>
              <w:rPr>
                <w:rFonts w:eastAsia="Times New Roman"/>
                <w:sz w:val="20"/>
                <w:szCs w:val="20"/>
              </w:rPr>
              <w:t>)</w:t>
            </w:r>
          </w:p>
        </w:tc>
      </w:tr>
      <w:tr w:rsidR="00000000" w14:paraId="58296873" w14:textId="77777777">
        <w:trPr>
          <w:divId w:val="639576273"/>
          <w:tblCellSpacing w:w="0" w:type="dxa"/>
        </w:trPr>
        <w:tc>
          <w:tcPr>
            <w:tcW w:w="0" w:type="auto"/>
            <w:shd w:val="clear" w:color="auto" w:fill="CCEEFF"/>
            <w:vAlign w:val="bottom"/>
            <w:hideMark/>
          </w:tcPr>
          <w:p w14:paraId="5C0A4EC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7CC2E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D912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C737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B66B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8AF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F51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45B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BBD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22E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BC6E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D8DF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1DA87" w14:textId="77777777" w:rsidR="00000000" w:rsidRDefault="0053651E">
            <w:pPr>
              <w:rPr>
                <w:rFonts w:eastAsia="Times New Roman"/>
                <w:sz w:val="20"/>
                <w:szCs w:val="20"/>
              </w:rPr>
            </w:pPr>
            <w:r>
              <w:rPr>
                <w:rFonts w:eastAsia="Times New Roman"/>
                <w:sz w:val="20"/>
                <w:szCs w:val="20"/>
              </w:rPr>
              <w:t> </w:t>
            </w:r>
          </w:p>
        </w:tc>
      </w:tr>
      <w:tr w:rsidR="00000000" w14:paraId="0E5A2B1D" w14:textId="77777777">
        <w:trPr>
          <w:divId w:val="639576273"/>
          <w:tblCellSpacing w:w="0" w:type="dxa"/>
        </w:trPr>
        <w:tc>
          <w:tcPr>
            <w:tcW w:w="0" w:type="auto"/>
            <w:shd w:val="clear" w:color="auto" w:fill="FFFFFF"/>
            <w:vAlign w:val="bottom"/>
            <w:hideMark/>
          </w:tcPr>
          <w:p w14:paraId="4798E3E9" w14:textId="77777777" w:rsidR="00000000" w:rsidRDefault="0053651E">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4F6C3D3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674F2C0"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F9150B8"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FFFFFF"/>
            <w:tcMar>
              <w:top w:w="0" w:type="dxa"/>
              <w:left w:w="0" w:type="dxa"/>
              <w:bottom w:w="15" w:type="dxa"/>
              <w:right w:w="0" w:type="dxa"/>
            </w:tcMar>
            <w:vAlign w:val="bottom"/>
            <w:hideMark/>
          </w:tcPr>
          <w:p w14:paraId="14D279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931C6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BB619A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402DAE9" w14:textId="77777777" w:rsidR="00000000" w:rsidRDefault="0053651E">
            <w:pPr>
              <w:jc w:val="right"/>
              <w:rPr>
                <w:rFonts w:eastAsia="Times New Roman"/>
                <w:sz w:val="20"/>
                <w:szCs w:val="20"/>
              </w:rPr>
            </w:pPr>
            <w:r>
              <w:rPr>
                <w:rFonts w:eastAsia="Times New Roman"/>
                <w:sz w:val="20"/>
                <w:szCs w:val="20"/>
              </w:rPr>
              <w:t>229,840</w:t>
            </w:r>
          </w:p>
        </w:tc>
        <w:tc>
          <w:tcPr>
            <w:tcW w:w="50" w:type="pct"/>
            <w:shd w:val="clear" w:color="auto" w:fill="FFFFFF"/>
            <w:tcMar>
              <w:top w:w="0" w:type="dxa"/>
              <w:left w:w="0" w:type="dxa"/>
              <w:bottom w:w="15" w:type="dxa"/>
              <w:right w:w="0" w:type="dxa"/>
            </w:tcMar>
            <w:vAlign w:val="bottom"/>
            <w:hideMark/>
          </w:tcPr>
          <w:p w14:paraId="1C94DB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C172C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95C5F28"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7BB63D7" w14:textId="77777777" w:rsidR="00000000" w:rsidRDefault="0053651E">
            <w:pPr>
              <w:jc w:val="right"/>
              <w:rPr>
                <w:rFonts w:eastAsia="Times New Roman"/>
                <w:sz w:val="20"/>
                <w:szCs w:val="20"/>
              </w:rPr>
            </w:pPr>
            <w:r>
              <w:rPr>
                <w:rFonts w:eastAsia="Times New Roman"/>
                <w:sz w:val="20"/>
                <w:szCs w:val="20"/>
              </w:rPr>
              <w:t>93,538</w:t>
            </w:r>
          </w:p>
        </w:tc>
        <w:tc>
          <w:tcPr>
            <w:tcW w:w="50" w:type="pct"/>
            <w:shd w:val="clear" w:color="auto" w:fill="FFFFFF"/>
            <w:tcMar>
              <w:top w:w="0" w:type="dxa"/>
              <w:left w:w="0" w:type="dxa"/>
              <w:bottom w:w="15" w:type="dxa"/>
              <w:right w:w="0" w:type="dxa"/>
            </w:tcMar>
            <w:vAlign w:val="bottom"/>
            <w:hideMark/>
          </w:tcPr>
          <w:p w14:paraId="5AF1EE92" w14:textId="77777777" w:rsidR="00000000" w:rsidRDefault="0053651E">
            <w:pPr>
              <w:rPr>
                <w:rFonts w:eastAsia="Times New Roman"/>
                <w:sz w:val="20"/>
                <w:szCs w:val="20"/>
              </w:rPr>
            </w:pPr>
            <w:r>
              <w:rPr>
                <w:rFonts w:eastAsia="Times New Roman"/>
                <w:sz w:val="20"/>
                <w:szCs w:val="20"/>
              </w:rPr>
              <w:t> </w:t>
            </w:r>
          </w:p>
        </w:tc>
      </w:tr>
      <w:tr w:rsidR="00000000" w14:paraId="11C1BD6A" w14:textId="77777777">
        <w:trPr>
          <w:divId w:val="639576273"/>
          <w:tblCellSpacing w:w="0" w:type="dxa"/>
        </w:trPr>
        <w:tc>
          <w:tcPr>
            <w:tcW w:w="0" w:type="auto"/>
            <w:shd w:val="clear" w:color="auto" w:fill="CCEEFF"/>
            <w:vAlign w:val="bottom"/>
            <w:hideMark/>
          </w:tcPr>
          <w:p w14:paraId="3434A35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C30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ED8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FF5F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EC51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592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16FB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79B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ACC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924AF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1E05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8F6F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C78838" w14:textId="77777777" w:rsidR="00000000" w:rsidRDefault="0053651E">
            <w:pPr>
              <w:rPr>
                <w:rFonts w:eastAsia="Times New Roman"/>
                <w:sz w:val="20"/>
                <w:szCs w:val="20"/>
              </w:rPr>
            </w:pPr>
            <w:r>
              <w:rPr>
                <w:rFonts w:eastAsia="Times New Roman"/>
                <w:sz w:val="20"/>
                <w:szCs w:val="20"/>
              </w:rPr>
              <w:t> </w:t>
            </w:r>
          </w:p>
        </w:tc>
      </w:tr>
      <w:tr w:rsidR="00000000" w14:paraId="532136A6" w14:textId="77777777">
        <w:trPr>
          <w:divId w:val="639576273"/>
          <w:tblCellSpacing w:w="0" w:type="dxa"/>
        </w:trPr>
        <w:tc>
          <w:tcPr>
            <w:tcW w:w="0" w:type="auto"/>
            <w:shd w:val="clear" w:color="auto" w:fill="FFFFFF"/>
            <w:vAlign w:val="bottom"/>
            <w:hideMark/>
          </w:tcPr>
          <w:p w14:paraId="508C42A8" w14:textId="77777777" w:rsidR="00000000" w:rsidRDefault="0053651E">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14:paraId="2FE5F4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F051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6EB075" w14:textId="77777777" w:rsidR="00000000" w:rsidRDefault="0053651E">
            <w:pPr>
              <w:jc w:val="right"/>
              <w:rPr>
                <w:rFonts w:eastAsia="Times New Roman"/>
                <w:sz w:val="20"/>
                <w:szCs w:val="20"/>
              </w:rPr>
            </w:pPr>
            <w:r>
              <w:rPr>
                <w:rFonts w:eastAsia="Times New Roman"/>
                <w:sz w:val="20"/>
                <w:szCs w:val="20"/>
              </w:rPr>
              <w:t>477,587</w:t>
            </w:r>
          </w:p>
        </w:tc>
        <w:tc>
          <w:tcPr>
            <w:tcW w:w="50" w:type="pct"/>
            <w:shd w:val="clear" w:color="auto" w:fill="FFFFFF"/>
            <w:vAlign w:val="bottom"/>
            <w:hideMark/>
          </w:tcPr>
          <w:p w14:paraId="127457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4E22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96B66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4E1354F" w14:textId="77777777" w:rsidR="00000000" w:rsidRDefault="0053651E">
            <w:pPr>
              <w:jc w:val="right"/>
              <w:rPr>
                <w:rFonts w:eastAsia="Times New Roman"/>
                <w:sz w:val="20"/>
                <w:szCs w:val="20"/>
              </w:rPr>
            </w:pPr>
            <w:r>
              <w:rPr>
                <w:rFonts w:eastAsia="Times New Roman"/>
                <w:sz w:val="20"/>
                <w:szCs w:val="20"/>
              </w:rPr>
              <w:t>582,406</w:t>
            </w:r>
          </w:p>
        </w:tc>
        <w:tc>
          <w:tcPr>
            <w:tcW w:w="50" w:type="pct"/>
            <w:shd w:val="clear" w:color="auto" w:fill="FFFFFF"/>
            <w:vAlign w:val="bottom"/>
            <w:hideMark/>
          </w:tcPr>
          <w:p w14:paraId="7EC6FD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E4D9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665D9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2209231" w14:textId="77777777" w:rsidR="00000000" w:rsidRDefault="0053651E">
            <w:pPr>
              <w:jc w:val="right"/>
              <w:rPr>
                <w:rFonts w:eastAsia="Times New Roman"/>
                <w:sz w:val="20"/>
                <w:szCs w:val="20"/>
              </w:rPr>
            </w:pPr>
            <w:r>
              <w:rPr>
                <w:rFonts w:eastAsia="Times New Roman"/>
                <w:sz w:val="20"/>
                <w:szCs w:val="20"/>
              </w:rPr>
              <w:t>431,017</w:t>
            </w:r>
          </w:p>
        </w:tc>
        <w:tc>
          <w:tcPr>
            <w:tcW w:w="50" w:type="pct"/>
            <w:shd w:val="clear" w:color="auto" w:fill="FFFFFF"/>
            <w:vAlign w:val="bottom"/>
            <w:hideMark/>
          </w:tcPr>
          <w:p w14:paraId="769527B5" w14:textId="77777777" w:rsidR="00000000" w:rsidRDefault="0053651E">
            <w:pPr>
              <w:rPr>
                <w:rFonts w:eastAsia="Times New Roman"/>
                <w:sz w:val="20"/>
                <w:szCs w:val="20"/>
              </w:rPr>
            </w:pPr>
            <w:r>
              <w:rPr>
                <w:rFonts w:eastAsia="Times New Roman"/>
                <w:sz w:val="20"/>
                <w:szCs w:val="20"/>
              </w:rPr>
              <w:t> </w:t>
            </w:r>
          </w:p>
        </w:tc>
      </w:tr>
      <w:tr w:rsidR="00000000" w14:paraId="4A4E33AA" w14:textId="77777777">
        <w:trPr>
          <w:divId w:val="639576273"/>
          <w:tblCellSpacing w:w="0" w:type="dxa"/>
        </w:trPr>
        <w:tc>
          <w:tcPr>
            <w:tcW w:w="0" w:type="auto"/>
            <w:shd w:val="clear" w:color="auto" w:fill="CCEEFF"/>
            <w:vAlign w:val="bottom"/>
            <w:hideMark/>
          </w:tcPr>
          <w:p w14:paraId="3C3A6D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02FD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933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716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F72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C00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B4E0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F5D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AF17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8E5F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8B2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F7B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14843" w14:textId="77777777" w:rsidR="00000000" w:rsidRDefault="0053651E">
            <w:pPr>
              <w:rPr>
                <w:rFonts w:eastAsia="Times New Roman"/>
                <w:sz w:val="20"/>
                <w:szCs w:val="20"/>
              </w:rPr>
            </w:pPr>
            <w:r>
              <w:rPr>
                <w:rFonts w:eastAsia="Times New Roman"/>
                <w:sz w:val="20"/>
                <w:szCs w:val="20"/>
              </w:rPr>
              <w:t> </w:t>
            </w:r>
          </w:p>
        </w:tc>
      </w:tr>
      <w:tr w:rsidR="00000000" w14:paraId="29CABFF2" w14:textId="77777777">
        <w:trPr>
          <w:divId w:val="639576273"/>
          <w:tblCellSpacing w:w="0" w:type="dxa"/>
        </w:trPr>
        <w:tc>
          <w:tcPr>
            <w:tcW w:w="0" w:type="auto"/>
            <w:shd w:val="clear" w:color="auto" w:fill="FFFFFF"/>
            <w:vAlign w:val="bottom"/>
            <w:hideMark/>
          </w:tcPr>
          <w:p w14:paraId="3520EE61" w14:textId="77777777" w:rsidR="00000000" w:rsidRDefault="0053651E">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14:paraId="4B65CF1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757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6BE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986E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1AF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7D9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C1A6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351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F1C6E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7F8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AA123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9F00C" w14:textId="77777777" w:rsidR="00000000" w:rsidRDefault="0053651E">
            <w:pPr>
              <w:rPr>
                <w:rFonts w:eastAsia="Times New Roman"/>
                <w:sz w:val="20"/>
                <w:szCs w:val="20"/>
              </w:rPr>
            </w:pPr>
            <w:r>
              <w:rPr>
                <w:rFonts w:eastAsia="Times New Roman"/>
                <w:sz w:val="20"/>
                <w:szCs w:val="20"/>
              </w:rPr>
              <w:t> </w:t>
            </w:r>
          </w:p>
        </w:tc>
      </w:tr>
      <w:tr w:rsidR="00000000" w14:paraId="196E0763" w14:textId="77777777">
        <w:trPr>
          <w:divId w:val="639576273"/>
          <w:tblCellSpacing w:w="0" w:type="dxa"/>
        </w:trPr>
        <w:tc>
          <w:tcPr>
            <w:tcW w:w="0" w:type="auto"/>
            <w:shd w:val="clear" w:color="auto" w:fill="CCEEFF"/>
            <w:vAlign w:val="bottom"/>
            <w:hideMark/>
          </w:tcPr>
          <w:p w14:paraId="62327A9B" w14:textId="77777777" w:rsidR="00000000" w:rsidRDefault="0053651E">
            <w:pPr>
              <w:pStyle w:val="a3"/>
              <w:spacing w:before="0" w:beforeAutospacing="0" w:after="0" w:afterAutospacing="0"/>
              <w:ind w:left="720" w:hanging="180"/>
              <w:rPr>
                <w:sz w:val="20"/>
                <w:szCs w:val="20"/>
              </w:rPr>
            </w:pPr>
            <w:r>
              <w:rPr>
                <w:sz w:val="20"/>
                <w:szCs w:val="20"/>
              </w:rPr>
              <w:t>Other income, net</w:t>
            </w:r>
          </w:p>
        </w:tc>
        <w:tc>
          <w:tcPr>
            <w:tcW w:w="50" w:type="pct"/>
            <w:shd w:val="clear" w:color="auto" w:fill="CCEEFF"/>
            <w:vAlign w:val="bottom"/>
            <w:hideMark/>
          </w:tcPr>
          <w:p w14:paraId="459688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FB366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261D6BE" w14:textId="77777777" w:rsidR="00000000" w:rsidRDefault="0053651E">
            <w:pPr>
              <w:jc w:val="right"/>
              <w:rPr>
                <w:rFonts w:eastAsia="Times New Roman"/>
                <w:sz w:val="20"/>
                <w:szCs w:val="20"/>
              </w:rPr>
            </w:pPr>
            <w:r>
              <w:rPr>
                <w:rFonts w:eastAsia="Times New Roman"/>
                <w:sz w:val="20"/>
                <w:szCs w:val="20"/>
              </w:rPr>
              <w:t>11,814</w:t>
            </w:r>
          </w:p>
        </w:tc>
        <w:tc>
          <w:tcPr>
            <w:tcW w:w="50" w:type="pct"/>
            <w:shd w:val="clear" w:color="auto" w:fill="CCEEFF"/>
            <w:vAlign w:val="bottom"/>
            <w:hideMark/>
          </w:tcPr>
          <w:p w14:paraId="0E78170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775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FDDE6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C4AE88B" w14:textId="77777777" w:rsidR="00000000" w:rsidRDefault="0053651E">
            <w:pPr>
              <w:jc w:val="right"/>
              <w:rPr>
                <w:rFonts w:eastAsia="Times New Roman"/>
                <w:sz w:val="20"/>
                <w:szCs w:val="20"/>
              </w:rPr>
            </w:pPr>
            <w:r>
              <w:rPr>
                <w:rFonts w:eastAsia="Times New Roman"/>
                <w:sz w:val="20"/>
                <w:szCs w:val="20"/>
              </w:rPr>
              <w:t>13,041</w:t>
            </w:r>
          </w:p>
        </w:tc>
        <w:tc>
          <w:tcPr>
            <w:tcW w:w="50" w:type="pct"/>
            <w:shd w:val="clear" w:color="auto" w:fill="CCEEFF"/>
            <w:vAlign w:val="bottom"/>
            <w:hideMark/>
          </w:tcPr>
          <w:p w14:paraId="20C7FA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DD4B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B6CA7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583263A" w14:textId="77777777" w:rsidR="00000000" w:rsidRDefault="0053651E">
            <w:pPr>
              <w:jc w:val="right"/>
              <w:rPr>
                <w:rFonts w:eastAsia="Times New Roman"/>
                <w:sz w:val="20"/>
                <w:szCs w:val="20"/>
              </w:rPr>
            </w:pPr>
            <w:r>
              <w:rPr>
                <w:rFonts w:eastAsia="Times New Roman"/>
                <w:sz w:val="20"/>
                <w:szCs w:val="20"/>
              </w:rPr>
              <w:t>2,559</w:t>
            </w:r>
          </w:p>
        </w:tc>
        <w:tc>
          <w:tcPr>
            <w:tcW w:w="50" w:type="pct"/>
            <w:shd w:val="clear" w:color="auto" w:fill="CCEEFF"/>
            <w:vAlign w:val="bottom"/>
            <w:hideMark/>
          </w:tcPr>
          <w:p w14:paraId="435E72FC" w14:textId="77777777" w:rsidR="00000000" w:rsidRDefault="0053651E">
            <w:pPr>
              <w:rPr>
                <w:rFonts w:eastAsia="Times New Roman"/>
                <w:sz w:val="20"/>
                <w:szCs w:val="20"/>
              </w:rPr>
            </w:pPr>
            <w:r>
              <w:rPr>
                <w:rFonts w:eastAsia="Times New Roman"/>
                <w:sz w:val="20"/>
                <w:szCs w:val="20"/>
              </w:rPr>
              <w:t> </w:t>
            </w:r>
          </w:p>
        </w:tc>
      </w:tr>
      <w:tr w:rsidR="00000000" w14:paraId="7C23E592" w14:textId="77777777">
        <w:trPr>
          <w:divId w:val="639576273"/>
          <w:tblCellSpacing w:w="0" w:type="dxa"/>
        </w:trPr>
        <w:tc>
          <w:tcPr>
            <w:tcW w:w="0" w:type="auto"/>
            <w:shd w:val="clear" w:color="auto" w:fill="FFFFFF"/>
            <w:vAlign w:val="bottom"/>
            <w:hideMark/>
          </w:tcPr>
          <w:p w14:paraId="2D1E32A3" w14:textId="77777777" w:rsidR="00000000" w:rsidRDefault="0053651E">
            <w:pPr>
              <w:pStyle w:val="a3"/>
              <w:spacing w:before="0" w:beforeAutospacing="0" w:after="0" w:afterAutospacing="0"/>
              <w:ind w:left="720" w:hanging="180"/>
              <w:rPr>
                <w:sz w:val="20"/>
                <w:szCs w:val="20"/>
              </w:rPr>
            </w:pPr>
            <w:r>
              <w:rPr>
                <w:sz w:val="20"/>
                <w:szCs w:val="20"/>
              </w:rPr>
              <w:t>Interest expense</w:t>
            </w:r>
          </w:p>
        </w:tc>
        <w:tc>
          <w:tcPr>
            <w:tcW w:w="50" w:type="pct"/>
            <w:shd w:val="clear" w:color="auto" w:fill="FFFFFF"/>
            <w:vAlign w:val="bottom"/>
            <w:hideMark/>
          </w:tcPr>
          <w:p w14:paraId="7A8970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B1B88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E012B87" w14:textId="77777777" w:rsidR="00000000" w:rsidRDefault="0053651E">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14:paraId="5DEF7FA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80130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BE558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E3F1AF" w14:textId="77777777" w:rsidR="00000000" w:rsidRDefault="0053651E">
            <w:pPr>
              <w:jc w:val="right"/>
              <w:rPr>
                <w:rFonts w:eastAsia="Times New Roman"/>
                <w:sz w:val="20"/>
                <w:szCs w:val="20"/>
              </w:rPr>
            </w:pPr>
            <w:r>
              <w:rPr>
                <w:rFonts w:eastAsia="Times New Roman"/>
                <w:sz w:val="20"/>
                <w:szCs w:val="20"/>
              </w:rPr>
              <w:t>(183,339</w:t>
            </w:r>
          </w:p>
        </w:tc>
        <w:tc>
          <w:tcPr>
            <w:tcW w:w="50" w:type="pct"/>
            <w:shd w:val="clear" w:color="auto" w:fill="FFFFFF"/>
            <w:vAlign w:val="bottom"/>
            <w:hideMark/>
          </w:tcPr>
          <w:p w14:paraId="53BBB81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3922B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94778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BB2DBE" w14:textId="77777777" w:rsidR="00000000" w:rsidRDefault="0053651E">
            <w:pPr>
              <w:jc w:val="right"/>
              <w:rPr>
                <w:rFonts w:eastAsia="Times New Roman"/>
                <w:sz w:val="20"/>
                <w:szCs w:val="20"/>
              </w:rPr>
            </w:pPr>
            <w:r>
              <w:rPr>
                <w:rFonts w:eastAsia="Times New Roman"/>
                <w:sz w:val="20"/>
                <w:szCs w:val="20"/>
              </w:rPr>
              <w:t>(191,956</w:t>
            </w:r>
          </w:p>
        </w:tc>
        <w:tc>
          <w:tcPr>
            <w:tcW w:w="50" w:type="pct"/>
            <w:shd w:val="clear" w:color="auto" w:fill="FFFFFF"/>
            <w:vAlign w:val="bottom"/>
            <w:hideMark/>
          </w:tcPr>
          <w:p w14:paraId="5AD6C3D7" w14:textId="77777777" w:rsidR="00000000" w:rsidRDefault="0053651E">
            <w:pPr>
              <w:rPr>
                <w:rFonts w:eastAsia="Times New Roman"/>
                <w:sz w:val="20"/>
                <w:szCs w:val="20"/>
              </w:rPr>
            </w:pPr>
            <w:r>
              <w:rPr>
                <w:rFonts w:eastAsia="Times New Roman"/>
                <w:sz w:val="20"/>
                <w:szCs w:val="20"/>
              </w:rPr>
              <w:t>)</w:t>
            </w:r>
          </w:p>
        </w:tc>
      </w:tr>
      <w:tr w:rsidR="00000000" w14:paraId="78B73713" w14:textId="77777777">
        <w:trPr>
          <w:divId w:val="639576273"/>
          <w:tblCellSpacing w:w="0" w:type="dxa"/>
        </w:trPr>
        <w:tc>
          <w:tcPr>
            <w:tcW w:w="0" w:type="auto"/>
            <w:shd w:val="clear" w:color="auto" w:fill="CCEEFF"/>
            <w:vAlign w:val="bottom"/>
            <w:hideMark/>
          </w:tcPr>
          <w:p w14:paraId="082B0369" w14:textId="77777777" w:rsidR="00000000" w:rsidRDefault="0053651E">
            <w:pPr>
              <w:pStyle w:val="a3"/>
              <w:spacing w:before="0" w:beforeAutospacing="0" w:after="0" w:afterAutospacing="0"/>
              <w:ind w:left="720" w:hanging="180"/>
              <w:rPr>
                <w:sz w:val="20"/>
                <w:szCs w:val="20"/>
              </w:rPr>
            </w:pPr>
            <w:r>
              <w:rPr>
                <w:sz w:val="20"/>
                <w:szCs w:val="20"/>
              </w:rPr>
              <w:t>Early extinguishment of debt charges</w:t>
            </w:r>
          </w:p>
        </w:tc>
        <w:tc>
          <w:tcPr>
            <w:tcW w:w="50" w:type="pct"/>
            <w:shd w:val="clear" w:color="auto" w:fill="CCEEFF"/>
            <w:vAlign w:val="bottom"/>
            <w:hideMark/>
          </w:tcPr>
          <w:p w14:paraId="752E7F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EC9F1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9F688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97AE2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4E78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6F945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69BA3A8"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14:paraId="3BE21ED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CC65B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A6853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F51F515" w14:textId="77777777" w:rsidR="00000000" w:rsidRDefault="0053651E">
            <w:pPr>
              <w:jc w:val="right"/>
              <w:rPr>
                <w:rFonts w:eastAsia="Times New Roman"/>
                <w:sz w:val="20"/>
                <w:szCs w:val="20"/>
              </w:rPr>
            </w:pPr>
            <w:r>
              <w:rPr>
                <w:rFonts w:eastAsia="Times New Roman"/>
                <w:sz w:val="20"/>
                <w:szCs w:val="20"/>
              </w:rPr>
              <w:t>(1,753</w:t>
            </w:r>
          </w:p>
        </w:tc>
        <w:tc>
          <w:tcPr>
            <w:tcW w:w="50" w:type="pct"/>
            <w:shd w:val="clear" w:color="auto" w:fill="CCEEFF"/>
            <w:vAlign w:val="bottom"/>
            <w:hideMark/>
          </w:tcPr>
          <w:p w14:paraId="66341FDC" w14:textId="77777777" w:rsidR="00000000" w:rsidRDefault="0053651E">
            <w:pPr>
              <w:rPr>
                <w:rFonts w:eastAsia="Times New Roman"/>
                <w:sz w:val="20"/>
                <w:szCs w:val="20"/>
              </w:rPr>
            </w:pPr>
            <w:r>
              <w:rPr>
                <w:rFonts w:eastAsia="Times New Roman"/>
                <w:sz w:val="20"/>
                <w:szCs w:val="20"/>
              </w:rPr>
              <w:t>)</w:t>
            </w:r>
          </w:p>
        </w:tc>
      </w:tr>
      <w:tr w:rsidR="00000000" w14:paraId="30C0654A" w14:textId="77777777">
        <w:trPr>
          <w:divId w:val="639576273"/>
          <w:tblCellSpacing w:w="0" w:type="dxa"/>
        </w:trPr>
        <w:tc>
          <w:tcPr>
            <w:tcW w:w="0" w:type="auto"/>
            <w:shd w:val="clear" w:color="auto" w:fill="FFFFFF"/>
            <w:vAlign w:val="bottom"/>
            <w:hideMark/>
          </w:tcPr>
          <w:p w14:paraId="27C8D3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E5E42E7"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1397846"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4C805E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89714A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7014608"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6E86D2F"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DB17A7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CB411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31524A2"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D2B17D7"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93E8D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4FD16FF2" w14:textId="77777777" w:rsidR="00000000" w:rsidRDefault="0053651E">
            <w:pPr>
              <w:rPr>
                <w:rFonts w:eastAsia="Times New Roman"/>
                <w:sz w:val="20"/>
                <w:szCs w:val="20"/>
              </w:rPr>
            </w:pPr>
            <w:r>
              <w:rPr>
                <w:rFonts w:eastAsia="Times New Roman"/>
                <w:sz w:val="20"/>
                <w:szCs w:val="20"/>
              </w:rPr>
              <w:t> </w:t>
            </w:r>
          </w:p>
        </w:tc>
      </w:tr>
      <w:tr w:rsidR="00000000" w14:paraId="0672C0AC" w14:textId="77777777">
        <w:trPr>
          <w:divId w:val="639576273"/>
          <w:tblCellSpacing w:w="0" w:type="dxa"/>
        </w:trPr>
        <w:tc>
          <w:tcPr>
            <w:tcW w:w="0" w:type="auto"/>
            <w:shd w:val="clear" w:color="auto" w:fill="CCEEFF"/>
            <w:vAlign w:val="bottom"/>
            <w:hideMark/>
          </w:tcPr>
          <w:p w14:paraId="5FFAA192" w14:textId="77777777" w:rsidR="00000000" w:rsidRDefault="0053651E">
            <w:pPr>
              <w:pStyle w:val="a3"/>
              <w:spacing w:before="0" w:beforeAutospacing="0" w:after="0" w:afterAutospacing="0"/>
              <w:ind w:left="180" w:hanging="180"/>
              <w:rPr>
                <w:sz w:val="20"/>
                <w:szCs w:val="20"/>
              </w:rPr>
            </w:pPr>
            <w:r>
              <w:rPr>
                <w:sz w:val="20"/>
                <w:szCs w:val="20"/>
              </w:rPr>
              <w:t>Income before income taxes, net, equity in income of joint ventures, net, gain on change in control of joint venture interests and equity in income from other real estate investments, net</w:t>
            </w:r>
          </w:p>
        </w:tc>
        <w:tc>
          <w:tcPr>
            <w:tcW w:w="50" w:type="pct"/>
            <w:tcBorders>
              <w:bottom w:val="nil"/>
            </w:tcBorders>
            <w:shd w:val="clear" w:color="auto" w:fill="CCEEFF"/>
            <w:vAlign w:val="bottom"/>
            <w:hideMark/>
          </w:tcPr>
          <w:p w14:paraId="2D15482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47D4859"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754D4BCE" w14:textId="77777777" w:rsidR="00000000" w:rsidRDefault="0053651E">
            <w:pPr>
              <w:jc w:val="right"/>
              <w:rPr>
                <w:rFonts w:eastAsia="Times New Roman"/>
                <w:sz w:val="20"/>
                <w:szCs w:val="20"/>
              </w:rPr>
            </w:pPr>
            <w:r>
              <w:rPr>
                <w:rFonts w:eastAsia="Times New Roman"/>
                <w:sz w:val="20"/>
                <w:szCs w:val="20"/>
              </w:rPr>
              <w:t>312,006</w:t>
            </w:r>
          </w:p>
        </w:tc>
        <w:tc>
          <w:tcPr>
            <w:tcW w:w="50" w:type="pct"/>
            <w:tcBorders>
              <w:bottom w:val="nil"/>
            </w:tcBorders>
            <w:shd w:val="clear" w:color="auto" w:fill="CCEEFF"/>
            <w:vAlign w:val="bottom"/>
            <w:hideMark/>
          </w:tcPr>
          <w:p w14:paraId="316216F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B19038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9A982E0"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670E98A0" w14:textId="77777777" w:rsidR="00000000" w:rsidRDefault="0053651E">
            <w:pPr>
              <w:jc w:val="right"/>
              <w:rPr>
                <w:rFonts w:eastAsia="Times New Roman"/>
                <w:sz w:val="20"/>
                <w:szCs w:val="20"/>
              </w:rPr>
            </w:pPr>
            <w:r>
              <w:rPr>
                <w:rFonts w:eastAsia="Times New Roman"/>
                <w:sz w:val="20"/>
                <w:szCs w:val="20"/>
              </w:rPr>
              <w:t>399,346</w:t>
            </w:r>
          </w:p>
        </w:tc>
        <w:tc>
          <w:tcPr>
            <w:tcW w:w="50" w:type="pct"/>
            <w:tcBorders>
              <w:bottom w:val="nil"/>
            </w:tcBorders>
            <w:shd w:val="clear" w:color="auto" w:fill="CCEEFF"/>
            <w:vAlign w:val="bottom"/>
            <w:hideMark/>
          </w:tcPr>
          <w:p w14:paraId="3602166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921626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0C9CB9C"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3894FB9C" w14:textId="77777777" w:rsidR="00000000" w:rsidRDefault="0053651E">
            <w:pPr>
              <w:jc w:val="right"/>
              <w:rPr>
                <w:rFonts w:eastAsia="Times New Roman"/>
                <w:sz w:val="20"/>
                <w:szCs w:val="20"/>
              </w:rPr>
            </w:pPr>
            <w:r>
              <w:rPr>
                <w:rFonts w:eastAsia="Times New Roman"/>
                <w:sz w:val="20"/>
                <w:szCs w:val="20"/>
              </w:rPr>
              <w:t>239,867</w:t>
            </w:r>
          </w:p>
        </w:tc>
        <w:tc>
          <w:tcPr>
            <w:tcW w:w="50" w:type="pct"/>
            <w:tcBorders>
              <w:bottom w:val="nil"/>
            </w:tcBorders>
            <w:shd w:val="clear" w:color="auto" w:fill="CCEEFF"/>
            <w:vAlign w:val="bottom"/>
            <w:hideMark/>
          </w:tcPr>
          <w:p w14:paraId="468564A4" w14:textId="77777777" w:rsidR="00000000" w:rsidRDefault="0053651E">
            <w:pPr>
              <w:rPr>
                <w:rFonts w:eastAsia="Times New Roman"/>
                <w:sz w:val="20"/>
                <w:szCs w:val="20"/>
              </w:rPr>
            </w:pPr>
            <w:r>
              <w:rPr>
                <w:rFonts w:eastAsia="Times New Roman"/>
                <w:sz w:val="20"/>
                <w:szCs w:val="20"/>
              </w:rPr>
              <w:t> </w:t>
            </w:r>
          </w:p>
        </w:tc>
      </w:tr>
      <w:tr w:rsidR="00000000" w14:paraId="01BB1A9B" w14:textId="77777777">
        <w:trPr>
          <w:divId w:val="639576273"/>
          <w:tblCellSpacing w:w="0" w:type="dxa"/>
        </w:trPr>
        <w:tc>
          <w:tcPr>
            <w:tcW w:w="0" w:type="auto"/>
            <w:shd w:val="clear" w:color="auto" w:fill="FFFFFF"/>
            <w:vAlign w:val="bottom"/>
            <w:hideMark/>
          </w:tcPr>
          <w:p w14:paraId="7B5638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F45F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C78B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70BA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A5660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486A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1AFA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99A2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A9F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653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E611F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4B8F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9E88C" w14:textId="77777777" w:rsidR="00000000" w:rsidRDefault="0053651E">
            <w:pPr>
              <w:rPr>
                <w:rFonts w:eastAsia="Times New Roman"/>
                <w:sz w:val="20"/>
                <w:szCs w:val="20"/>
              </w:rPr>
            </w:pPr>
            <w:r>
              <w:rPr>
                <w:rFonts w:eastAsia="Times New Roman"/>
                <w:sz w:val="20"/>
                <w:szCs w:val="20"/>
              </w:rPr>
              <w:t> </w:t>
            </w:r>
          </w:p>
        </w:tc>
      </w:tr>
      <w:tr w:rsidR="00000000" w14:paraId="1624ADE9" w14:textId="77777777">
        <w:trPr>
          <w:divId w:val="639576273"/>
          <w:tblCellSpacing w:w="0" w:type="dxa"/>
        </w:trPr>
        <w:tc>
          <w:tcPr>
            <w:tcW w:w="0" w:type="auto"/>
            <w:shd w:val="clear" w:color="auto" w:fill="CCEEFF"/>
            <w:vAlign w:val="bottom"/>
            <w:hideMark/>
          </w:tcPr>
          <w:p w14:paraId="01F85453" w14:textId="77777777" w:rsidR="00000000" w:rsidRDefault="0053651E">
            <w:pPr>
              <w:pStyle w:val="a3"/>
              <w:spacing w:before="0" w:beforeAutospacing="0" w:after="0" w:afterAutospacing="0"/>
              <w:ind w:left="720" w:hanging="180"/>
              <w:rPr>
                <w:sz w:val="20"/>
                <w:szCs w:val="20"/>
              </w:rPr>
            </w:pPr>
            <w:r>
              <w:rPr>
                <w:sz w:val="20"/>
                <w:szCs w:val="20"/>
              </w:rPr>
              <w:t>Benefit/(provision) for income taxes, net</w:t>
            </w:r>
          </w:p>
        </w:tc>
        <w:tc>
          <w:tcPr>
            <w:tcW w:w="50" w:type="pct"/>
            <w:shd w:val="clear" w:color="auto" w:fill="CCEEFF"/>
            <w:vAlign w:val="bottom"/>
            <w:hideMark/>
          </w:tcPr>
          <w:p w14:paraId="2EC7A7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70F46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5D7DCB" w14:textId="77777777" w:rsidR="00000000" w:rsidRDefault="0053651E">
            <w:pPr>
              <w:jc w:val="right"/>
              <w:rPr>
                <w:rFonts w:eastAsia="Times New Roman"/>
                <w:sz w:val="20"/>
                <w:szCs w:val="20"/>
              </w:rPr>
            </w:pPr>
            <w:r>
              <w:rPr>
                <w:rFonts w:eastAsia="Times New Roman"/>
                <w:sz w:val="20"/>
                <w:szCs w:val="20"/>
              </w:rPr>
              <w:t>3,317</w:t>
            </w:r>
          </w:p>
        </w:tc>
        <w:tc>
          <w:tcPr>
            <w:tcW w:w="50" w:type="pct"/>
            <w:shd w:val="clear" w:color="auto" w:fill="CCEEFF"/>
            <w:vAlign w:val="bottom"/>
            <w:hideMark/>
          </w:tcPr>
          <w:p w14:paraId="21AFB5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C676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C7C50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EDE6673" w14:textId="77777777" w:rsidR="00000000" w:rsidRDefault="0053651E">
            <w:pPr>
              <w:jc w:val="right"/>
              <w:rPr>
                <w:rFonts w:eastAsia="Times New Roman"/>
                <w:sz w:val="20"/>
                <w:szCs w:val="20"/>
              </w:rPr>
            </w:pPr>
            <w:r>
              <w:rPr>
                <w:rFonts w:eastAsia="Times New Roman"/>
                <w:sz w:val="20"/>
                <w:szCs w:val="20"/>
              </w:rPr>
              <w:t>(1,600</w:t>
            </w:r>
          </w:p>
        </w:tc>
        <w:tc>
          <w:tcPr>
            <w:tcW w:w="50" w:type="pct"/>
            <w:shd w:val="clear" w:color="auto" w:fill="CCEEFF"/>
            <w:vAlign w:val="bottom"/>
            <w:hideMark/>
          </w:tcPr>
          <w:p w14:paraId="450D198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29827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3152B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93E124F" w14:textId="77777777" w:rsidR="00000000" w:rsidRDefault="0053651E">
            <w:pPr>
              <w:jc w:val="right"/>
              <w:rPr>
                <w:rFonts w:eastAsia="Times New Roman"/>
                <w:sz w:val="20"/>
                <w:szCs w:val="20"/>
              </w:rPr>
            </w:pPr>
            <w:r>
              <w:rPr>
                <w:rFonts w:eastAsia="Times New Roman"/>
                <w:sz w:val="20"/>
                <w:szCs w:val="20"/>
              </w:rPr>
              <w:t>880</w:t>
            </w:r>
          </w:p>
        </w:tc>
        <w:tc>
          <w:tcPr>
            <w:tcW w:w="50" w:type="pct"/>
            <w:shd w:val="clear" w:color="auto" w:fill="CCEEFF"/>
            <w:vAlign w:val="bottom"/>
            <w:hideMark/>
          </w:tcPr>
          <w:p w14:paraId="5D5161E0" w14:textId="77777777" w:rsidR="00000000" w:rsidRDefault="0053651E">
            <w:pPr>
              <w:rPr>
                <w:rFonts w:eastAsia="Times New Roman"/>
                <w:sz w:val="20"/>
                <w:szCs w:val="20"/>
              </w:rPr>
            </w:pPr>
            <w:r>
              <w:rPr>
                <w:rFonts w:eastAsia="Times New Roman"/>
                <w:sz w:val="20"/>
                <w:szCs w:val="20"/>
              </w:rPr>
              <w:t> </w:t>
            </w:r>
          </w:p>
        </w:tc>
      </w:tr>
      <w:tr w:rsidR="00000000" w14:paraId="6441C91E" w14:textId="77777777">
        <w:trPr>
          <w:divId w:val="639576273"/>
          <w:tblCellSpacing w:w="0" w:type="dxa"/>
        </w:trPr>
        <w:tc>
          <w:tcPr>
            <w:tcW w:w="0" w:type="auto"/>
            <w:shd w:val="clear" w:color="auto" w:fill="FFFFFF"/>
            <w:vAlign w:val="bottom"/>
            <w:hideMark/>
          </w:tcPr>
          <w:p w14:paraId="18308DD4" w14:textId="77777777" w:rsidR="00000000" w:rsidRDefault="0053651E">
            <w:pPr>
              <w:pStyle w:val="a3"/>
              <w:spacing w:before="0" w:beforeAutospacing="0" w:after="0" w:afterAutospacing="0"/>
              <w:ind w:left="720" w:hanging="180"/>
              <w:rPr>
                <w:sz w:val="20"/>
                <w:szCs w:val="20"/>
              </w:rPr>
            </w:pPr>
            <w:r>
              <w:rPr>
                <w:sz w:val="20"/>
                <w:szCs w:val="20"/>
              </w:rPr>
              <w:t>Equity in income of joint ventures, net</w:t>
            </w:r>
          </w:p>
        </w:tc>
        <w:tc>
          <w:tcPr>
            <w:tcW w:w="50" w:type="pct"/>
            <w:shd w:val="clear" w:color="auto" w:fill="FFFFFF"/>
            <w:vAlign w:val="bottom"/>
            <w:hideMark/>
          </w:tcPr>
          <w:p w14:paraId="19BDAA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4C4C1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60FB4A5" w14:textId="77777777" w:rsidR="00000000" w:rsidRDefault="0053651E">
            <w:pPr>
              <w:jc w:val="right"/>
              <w:rPr>
                <w:rFonts w:eastAsia="Times New Roman"/>
                <w:sz w:val="20"/>
                <w:szCs w:val="20"/>
              </w:rPr>
            </w:pPr>
            <w:r>
              <w:rPr>
                <w:rFonts w:eastAsia="Times New Roman"/>
                <w:sz w:val="20"/>
                <w:szCs w:val="20"/>
              </w:rPr>
              <w:t>72,162</w:t>
            </w:r>
          </w:p>
        </w:tc>
        <w:tc>
          <w:tcPr>
            <w:tcW w:w="50" w:type="pct"/>
            <w:shd w:val="clear" w:color="auto" w:fill="FFFFFF"/>
            <w:vAlign w:val="bottom"/>
            <w:hideMark/>
          </w:tcPr>
          <w:p w14:paraId="1391F0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D031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02491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8BA2FA7" w14:textId="77777777" w:rsidR="00000000" w:rsidRDefault="0053651E">
            <w:pPr>
              <w:jc w:val="right"/>
              <w:rPr>
                <w:rFonts w:eastAsia="Times New Roman"/>
                <w:sz w:val="20"/>
                <w:szCs w:val="20"/>
              </w:rPr>
            </w:pPr>
            <w:r>
              <w:rPr>
                <w:rFonts w:eastAsia="Times New Roman"/>
                <w:sz w:val="20"/>
                <w:szCs w:val="20"/>
              </w:rPr>
              <w:t>71,617</w:t>
            </w:r>
          </w:p>
        </w:tc>
        <w:tc>
          <w:tcPr>
            <w:tcW w:w="50" w:type="pct"/>
            <w:shd w:val="clear" w:color="auto" w:fill="FFFFFF"/>
            <w:vAlign w:val="bottom"/>
            <w:hideMark/>
          </w:tcPr>
          <w:p w14:paraId="09C2D3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3EEA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C4EC6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7AE66F7" w14:textId="77777777" w:rsidR="00000000" w:rsidRDefault="0053651E">
            <w:pPr>
              <w:jc w:val="right"/>
              <w:rPr>
                <w:rFonts w:eastAsia="Times New Roman"/>
                <w:sz w:val="20"/>
                <w:szCs w:val="20"/>
              </w:rPr>
            </w:pPr>
            <w:r>
              <w:rPr>
                <w:rFonts w:eastAsia="Times New Roman"/>
                <w:sz w:val="20"/>
                <w:szCs w:val="20"/>
              </w:rPr>
              <w:t>60,763</w:t>
            </w:r>
          </w:p>
        </w:tc>
        <w:tc>
          <w:tcPr>
            <w:tcW w:w="50" w:type="pct"/>
            <w:shd w:val="clear" w:color="auto" w:fill="FFFFFF"/>
            <w:vAlign w:val="bottom"/>
            <w:hideMark/>
          </w:tcPr>
          <w:p w14:paraId="68B0DE01" w14:textId="77777777" w:rsidR="00000000" w:rsidRDefault="0053651E">
            <w:pPr>
              <w:rPr>
                <w:rFonts w:eastAsia="Times New Roman"/>
                <w:sz w:val="20"/>
                <w:szCs w:val="20"/>
              </w:rPr>
            </w:pPr>
            <w:r>
              <w:rPr>
                <w:rFonts w:eastAsia="Times New Roman"/>
                <w:sz w:val="20"/>
                <w:szCs w:val="20"/>
              </w:rPr>
              <w:t> </w:t>
            </w:r>
          </w:p>
        </w:tc>
      </w:tr>
      <w:tr w:rsidR="00000000" w14:paraId="6626EE4A" w14:textId="77777777">
        <w:trPr>
          <w:divId w:val="639576273"/>
          <w:tblCellSpacing w:w="0" w:type="dxa"/>
        </w:trPr>
        <w:tc>
          <w:tcPr>
            <w:tcW w:w="0" w:type="auto"/>
            <w:shd w:val="clear" w:color="auto" w:fill="CCEEFF"/>
            <w:vAlign w:val="bottom"/>
            <w:hideMark/>
          </w:tcPr>
          <w:p w14:paraId="4ACD6E4C" w14:textId="77777777" w:rsidR="00000000" w:rsidRDefault="0053651E">
            <w:pPr>
              <w:pStyle w:val="a3"/>
              <w:spacing w:before="0" w:beforeAutospacing="0" w:after="0" w:afterAutospacing="0"/>
              <w:ind w:left="720" w:hanging="180"/>
              <w:rPr>
                <w:sz w:val="20"/>
                <w:szCs w:val="20"/>
              </w:rPr>
            </w:pPr>
            <w:r>
              <w:rPr>
                <w:sz w:val="20"/>
                <w:szCs w:val="20"/>
              </w:rPr>
              <w:t>Gain on change in control of joint venture interests</w:t>
            </w:r>
          </w:p>
        </w:tc>
        <w:tc>
          <w:tcPr>
            <w:tcW w:w="50" w:type="pct"/>
            <w:shd w:val="clear" w:color="auto" w:fill="CCEEFF"/>
            <w:vAlign w:val="bottom"/>
            <w:hideMark/>
          </w:tcPr>
          <w:p w14:paraId="460D30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14191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513F51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9AECD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1062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981A2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B2F755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6B5BF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8E1D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0736F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D57946" w14:textId="77777777" w:rsidR="00000000" w:rsidRDefault="0053651E">
            <w:pPr>
              <w:jc w:val="right"/>
              <w:rPr>
                <w:rFonts w:eastAsia="Times New Roman"/>
                <w:sz w:val="20"/>
                <w:szCs w:val="20"/>
              </w:rPr>
            </w:pPr>
            <w:r>
              <w:rPr>
                <w:rFonts w:eastAsia="Times New Roman"/>
                <w:sz w:val="20"/>
                <w:szCs w:val="20"/>
              </w:rPr>
              <w:t>71,160</w:t>
            </w:r>
          </w:p>
        </w:tc>
        <w:tc>
          <w:tcPr>
            <w:tcW w:w="50" w:type="pct"/>
            <w:shd w:val="clear" w:color="auto" w:fill="CCEEFF"/>
            <w:vAlign w:val="bottom"/>
            <w:hideMark/>
          </w:tcPr>
          <w:p w14:paraId="539A6BD0" w14:textId="77777777" w:rsidR="00000000" w:rsidRDefault="0053651E">
            <w:pPr>
              <w:rPr>
                <w:rFonts w:eastAsia="Times New Roman"/>
                <w:sz w:val="20"/>
                <w:szCs w:val="20"/>
              </w:rPr>
            </w:pPr>
            <w:r>
              <w:rPr>
                <w:rFonts w:eastAsia="Times New Roman"/>
                <w:sz w:val="20"/>
                <w:szCs w:val="20"/>
              </w:rPr>
              <w:t> </w:t>
            </w:r>
          </w:p>
        </w:tc>
      </w:tr>
      <w:tr w:rsidR="00000000" w14:paraId="20E5BBF1" w14:textId="77777777">
        <w:trPr>
          <w:divId w:val="639576273"/>
          <w:tblCellSpacing w:w="0" w:type="dxa"/>
        </w:trPr>
        <w:tc>
          <w:tcPr>
            <w:tcW w:w="0" w:type="auto"/>
            <w:shd w:val="clear" w:color="auto" w:fill="FFFFFF"/>
            <w:vAlign w:val="bottom"/>
            <w:hideMark/>
          </w:tcPr>
          <w:p w14:paraId="7E908404" w14:textId="77777777" w:rsidR="00000000" w:rsidRDefault="0053651E">
            <w:pPr>
              <w:pStyle w:val="a3"/>
              <w:spacing w:before="0" w:beforeAutospacing="0" w:after="0" w:afterAutospacing="0"/>
              <w:ind w:left="720" w:hanging="180"/>
              <w:rPr>
                <w:sz w:val="20"/>
                <w:szCs w:val="20"/>
              </w:rPr>
            </w:pPr>
            <w:r>
              <w:rPr>
                <w:sz w:val="20"/>
                <w:szCs w:val="20"/>
              </w:rPr>
              <w:t>Equity in income of other real estate investments, net</w:t>
            </w:r>
          </w:p>
        </w:tc>
        <w:tc>
          <w:tcPr>
            <w:tcW w:w="50" w:type="pct"/>
            <w:shd w:val="clear" w:color="auto" w:fill="FFFFFF"/>
            <w:vAlign w:val="bottom"/>
            <w:hideMark/>
          </w:tcPr>
          <w:p w14:paraId="092586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9E847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F4C245D" w14:textId="77777777" w:rsidR="00000000" w:rsidRDefault="0053651E">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14:paraId="271BF5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B56A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593F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4997B77" w14:textId="77777777" w:rsidR="00000000" w:rsidRDefault="0053651E">
            <w:pPr>
              <w:jc w:val="right"/>
              <w:rPr>
                <w:rFonts w:eastAsia="Times New Roman"/>
                <w:sz w:val="20"/>
                <w:szCs w:val="20"/>
              </w:rPr>
            </w:pPr>
            <w:r>
              <w:rPr>
                <w:rFonts w:eastAsia="Times New Roman"/>
                <w:sz w:val="20"/>
                <w:szCs w:val="20"/>
              </w:rPr>
              <w:t>29,100</w:t>
            </w:r>
          </w:p>
        </w:tc>
        <w:tc>
          <w:tcPr>
            <w:tcW w:w="50" w:type="pct"/>
            <w:shd w:val="clear" w:color="auto" w:fill="FFFFFF"/>
            <w:vAlign w:val="bottom"/>
            <w:hideMark/>
          </w:tcPr>
          <w:p w14:paraId="2F2241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43FA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FFC23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CB0583" w14:textId="77777777" w:rsidR="00000000" w:rsidRDefault="0053651E">
            <w:pPr>
              <w:jc w:val="right"/>
              <w:rPr>
                <w:rFonts w:eastAsia="Times New Roman"/>
                <w:sz w:val="20"/>
                <w:szCs w:val="20"/>
              </w:rPr>
            </w:pPr>
            <w:r>
              <w:rPr>
                <w:rFonts w:eastAsia="Times New Roman"/>
                <w:sz w:val="20"/>
                <w:szCs w:val="20"/>
              </w:rPr>
              <w:t>67,001</w:t>
            </w:r>
          </w:p>
        </w:tc>
        <w:tc>
          <w:tcPr>
            <w:tcW w:w="50" w:type="pct"/>
            <w:shd w:val="clear" w:color="auto" w:fill="FFFFFF"/>
            <w:vAlign w:val="bottom"/>
            <w:hideMark/>
          </w:tcPr>
          <w:p w14:paraId="279F2F49" w14:textId="77777777" w:rsidR="00000000" w:rsidRDefault="0053651E">
            <w:pPr>
              <w:rPr>
                <w:rFonts w:eastAsia="Times New Roman"/>
                <w:sz w:val="20"/>
                <w:szCs w:val="20"/>
              </w:rPr>
            </w:pPr>
            <w:r>
              <w:rPr>
                <w:rFonts w:eastAsia="Times New Roman"/>
                <w:sz w:val="20"/>
                <w:szCs w:val="20"/>
              </w:rPr>
              <w:t> </w:t>
            </w:r>
          </w:p>
        </w:tc>
      </w:tr>
      <w:tr w:rsidR="00000000" w14:paraId="77C0A929" w14:textId="77777777">
        <w:trPr>
          <w:divId w:val="639576273"/>
          <w:tblCellSpacing w:w="0" w:type="dxa"/>
        </w:trPr>
        <w:tc>
          <w:tcPr>
            <w:tcW w:w="0" w:type="auto"/>
            <w:shd w:val="clear" w:color="auto" w:fill="CCEEFF"/>
            <w:vAlign w:val="bottom"/>
            <w:hideMark/>
          </w:tcPr>
          <w:p w14:paraId="2867DDC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3B3CAE0"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37AB3F7"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556D4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F18E2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08C5A159"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20CB7640"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884417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4CFCE9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33458D4"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A40BA26"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03204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9E24010" w14:textId="77777777" w:rsidR="00000000" w:rsidRDefault="0053651E">
            <w:pPr>
              <w:rPr>
                <w:rFonts w:eastAsia="Times New Roman"/>
                <w:sz w:val="20"/>
                <w:szCs w:val="20"/>
              </w:rPr>
            </w:pPr>
            <w:r>
              <w:rPr>
                <w:rFonts w:eastAsia="Times New Roman"/>
                <w:sz w:val="20"/>
                <w:szCs w:val="20"/>
              </w:rPr>
              <w:t> </w:t>
            </w:r>
          </w:p>
        </w:tc>
      </w:tr>
      <w:tr w:rsidR="00000000" w14:paraId="6CBE643C" w14:textId="77777777">
        <w:trPr>
          <w:divId w:val="639576273"/>
          <w:tblCellSpacing w:w="0" w:type="dxa"/>
        </w:trPr>
        <w:tc>
          <w:tcPr>
            <w:tcW w:w="0" w:type="auto"/>
            <w:shd w:val="clear" w:color="auto" w:fill="FFFFFF"/>
            <w:vAlign w:val="bottom"/>
            <w:hideMark/>
          </w:tcPr>
          <w:p w14:paraId="352673C5" w14:textId="77777777" w:rsidR="00000000" w:rsidRDefault="0053651E">
            <w:pPr>
              <w:pStyle w:val="a3"/>
              <w:spacing w:before="0" w:beforeAutospacing="0" w:after="0" w:afterAutospacing="0"/>
              <w:ind w:left="900" w:hanging="180"/>
              <w:rPr>
                <w:sz w:val="20"/>
                <w:szCs w:val="20"/>
              </w:rPr>
            </w:pPr>
            <w:r>
              <w:rPr>
                <w:sz w:val="20"/>
                <w:szCs w:val="20"/>
              </w:rPr>
              <w:t>Net income</w:t>
            </w:r>
          </w:p>
        </w:tc>
        <w:tc>
          <w:tcPr>
            <w:tcW w:w="50" w:type="pct"/>
            <w:shd w:val="clear" w:color="auto" w:fill="FFFFFF"/>
            <w:vAlign w:val="bottom"/>
            <w:hideMark/>
          </w:tcPr>
          <w:p w14:paraId="1F3419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BE0BF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DD838F"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14:paraId="7A0CB8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091F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0669A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30F8D66" w14:textId="77777777" w:rsidR="00000000" w:rsidRDefault="0053651E">
            <w:pPr>
              <w:jc w:val="right"/>
              <w:rPr>
                <w:rFonts w:eastAsia="Times New Roman"/>
                <w:sz w:val="20"/>
                <w:szCs w:val="20"/>
              </w:rPr>
            </w:pPr>
            <w:r>
              <w:rPr>
                <w:rFonts w:eastAsia="Times New Roman"/>
                <w:sz w:val="20"/>
                <w:szCs w:val="20"/>
              </w:rPr>
              <w:t>498,463</w:t>
            </w:r>
          </w:p>
        </w:tc>
        <w:tc>
          <w:tcPr>
            <w:tcW w:w="50" w:type="pct"/>
            <w:shd w:val="clear" w:color="auto" w:fill="FFFFFF"/>
            <w:vAlign w:val="bottom"/>
            <w:hideMark/>
          </w:tcPr>
          <w:p w14:paraId="46B04D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8ECB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6B21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2BB8767" w14:textId="77777777" w:rsidR="00000000" w:rsidRDefault="0053651E">
            <w:pPr>
              <w:jc w:val="right"/>
              <w:rPr>
                <w:rFonts w:eastAsia="Times New Roman"/>
                <w:sz w:val="20"/>
                <w:szCs w:val="20"/>
              </w:rPr>
            </w:pPr>
            <w:r>
              <w:rPr>
                <w:rFonts w:eastAsia="Times New Roman"/>
                <w:sz w:val="20"/>
                <w:szCs w:val="20"/>
              </w:rPr>
              <w:t>439,671</w:t>
            </w:r>
          </w:p>
        </w:tc>
        <w:tc>
          <w:tcPr>
            <w:tcW w:w="50" w:type="pct"/>
            <w:shd w:val="clear" w:color="auto" w:fill="FFFFFF"/>
            <w:vAlign w:val="bottom"/>
            <w:hideMark/>
          </w:tcPr>
          <w:p w14:paraId="1F467334" w14:textId="77777777" w:rsidR="00000000" w:rsidRDefault="0053651E">
            <w:pPr>
              <w:rPr>
                <w:rFonts w:eastAsia="Times New Roman"/>
                <w:sz w:val="20"/>
                <w:szCs w:val="20"/>
              </w:rPr>
            </w:pPr>
            <w:r>
              <w:rPr>
                <w:rFonts w:eastAsia="Times New Roman"/>
                <w:sz w:val="20"/>
                <w:szCs w:val="20"/>
              </w:rPr>
              <w:t> </w:t>
            </w:r>
          </w:p>
        </w:tc>
      </w:tr>
      <w:tr w:rsidR="00000000" w14:paraId="4108AC4E" w14:textId="77777777">
        <w:trPr>
          <w:divId w:val="639576273"/>
          <w:tblCellSpacing w:w="0" w:type="dxa"/>
        </w:trPr>
        <w:tc>
          <w:tcPr>
            <w:tcW w:w="0" w:type="auto"/>
            <w:shd w:val="clear" w:color="auto" w:fill="CCEEFF"/>
            <w:vAlign w:val="bottom"/>
            <w:hideMark/>
          </w:tcPr>
          <w:p w14:paraId="5F1843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3D4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6D9B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B324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8382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3FCA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11C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159D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4028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FAF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57B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016C8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C4610" w14:textId="77777777" w:rsidR="00000000" w:rsidRDefault="0053651E">
            <w:pPr>
              <w:rPr>
                <w:rFonts w:eastAsia="Times New Roman"/>
                <w:sz w:val="20"/>
                <w:szCs w:val="20"/>
              </w:rPr>
            </w:pPr>
            <w:r>
              <w:rPr>
                <w:rFonts w:eastAsia="Times New Roman"/>
                <w:sz w:val="20"/>
                <w:szCs w:val="20"/>
              </w:rPr>
              <w:t> </w:t>
            </w:r>
          </w:p>
        </w:tc>
      </w:tr>
      <w:tr w:rsidR="00000000" w14:paraId="58500623" w14:textId="77777777">
        <w:trPr>
          <w:divId w:val="639576273"/>
          <w:tblCellSpacing w:w="0" w:type="dxa"/>
        </w:trPr>
        <w:tc>
          <w:tcPr>
            <w:tcW w:w="0" w:type="auto"/>
            <w:shd w:val="clear" w:color="auto" w:fill="FFFFFF"/>
            <w:vAlign w:val="bottom"/>
            <w:hideMark/>
          </w:tcPr>
          <w:p w14:paraId="04C6F3AC" w14:textId="77777777" w:rsidR="00000000" w:rsidRDefault="0053651E">
            <w:pPr>
              <w:pStyle w:val="a3"/>
              <w:spacing w:before="0" w:beforeAutospacing="0" w:after="0" w:afterAutospacing="0"/>
              <w:ind w:left="720" w:hanging="180"/>
              <w:rPr>
                <w:sz w:val="20"/>
                <w:szCs w:val="20"/>
              </w:rPr>
            </w:pPr>
            <w:r>
              <w:rPr>
                <w:sz w:val="20"/>
                <w:szCs w:val="20"/>
              </w:rPr>
              <w:t>Net income attributable to noncontrolling interests</w:t>
            </w:r>
          </w:p>
        </w:tc>
        <w:tc>
          <w:tcPr>
            <w:tcW w:w="50" w:type="pct"/>
            <w:shd w:val="clear" w:color="auto" w:fill="FFFFFF"/>
            <w:vAlign w:val="bottom"/>
            <w:hideMark/>
          </w:tcPr>
          <w:p w14:paraId="5F7EBDF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4A7437"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F592065" w14:textId="77777777" w:rsidR="00000000" w:rsidRDefault="0053651E">
            <w:pPr>
              <w:jc w:val="right"/>
              <w:rPr>
                <w:rFonts w:eastAsia="Times New Roman"/>
                <w:sz w:val="20"/>
                <w:szCs w:val="20"/>
              </w:rPr>
            </w:pPr>
            <w:r>
              <w:rPr>
                <w:rFonts w:eastAsia="Times New Roman"/>
                <w:sz w:val="20"/>
                <w:szCs w:val="20"/>
              </w:rPr>
              <w:t>(2,956</w:t>
            </w:r>
          </w:p>
        </w:tc>
        <w:tc>
          <w:tcPr>
            <w:tcW w:w="50" w:type="pct"/>
            <w:shd w:val="clear" w:color="auto" w:fill="FFFFFF"/>
            <w:tcMar>
              <w:top w:w="0" w:type="dxa"/>
              <w:left w:w="0" w:type="dxa"/>
              <w:bottom w:w="15" w:type="dxa"/>
              <w:right w:w="0" w:type="dxa"/>
            </w:tcMar>
            <w:vAlign w:val="bottom"/>
            <w:hideMark/>
          </w:tcPr>
          <w:p w14:paraId="493CA84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7112AC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8A2CC7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88BBA18" w14:textId="77777777" w:rsidR="00000000" w:rsidRDefault="0053651E">
            <w:pPr>
              <w:jc w:val="right"/>
              <w:rPr>
                <w:rFonts w:eastAsia="Times New Roman"/>
                <w:sz w:val="20"/>
                <w:szCs w:val="20"/>
              </w:rPr>
            </w:pPr>
            <w:r>
              <w:rPr>
                <w:rFonts w:eastAsia="Times New Roman"/>
                <w:sz w:val="20"/>
                <w:szCs w:val="20"/>
              </w:rPr>
              <w:t>(668</w:t>
            </w:r>
          </w:p>
        </w:tc>
        <w:tc>
          <w:tcPr>
            <w:tcW w:w="50" w:type="pct"/>
            <w:shd w:val="clear" w:color="auto" w:fill="FFFFFF"/>
            <w:tcMar>
              <w:top w:w="0" w:type="dxa"/>
              <w:left w:w="0" w:type="dxa"/>
              <w:bottom w:w="15" w:type="dxa"/>
              <w:right w:w="0" w:type="dxa"/>
            </w:tcMar>
            <w:vAlign w:val="bottom"/>
            <w:hideMark/>
          </w:tcPr>
          <w:p w14:paraId="736EE6A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093C73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04EA9D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4D6E95D" w14:textId="77777777" w:rsidR="00000000" w:rsidRDefault="0053651E">
            <w:pPr>
              <w:jc w:val="right"/>
              <w:rPr>
                <w:rFonts w:eastAsia="Times New Roman"/>
                <w:sz w:val="20"/>
                <w:szCs w:val="20"/>
              </w:rPr>
            </w:pPr>
            <w:r>
              <w:rPr>
                <w:rFonts w:eastAsia="Times New Roman"/>
                <w:sz w:val="20"/>
                <w:szCs w:val="20"/>
              </w:rPr>
              <w:t>(13,596</w:t>
            </w:r>
          </w:p>
        </w:tc>
        <w:tc>
          <w:tcPr>
            <w:tcW w:w="50" w:type="pct"/>
            <w:shd w:val="clear" w:color="auto" w:fill="FFFFFF"/>
            <w:tcMar>
              <w:top w:w="0" w:type="dxa"/>
              <w:left w:w="0" w:type="dxa"/>
              <w:bottom w:w="15" w:type="dxa"/>
              <w:right w:w="0" w:type="dxa"/>
            </w:tcMar>
            <w:vAlign w:val="bottom"/>
            <w:hideMark/>
          </w:tcPr>
          <w:p w14:paraId="63C35991" w14:textId="77777777" w:rsidR="00000000" w:rsidRDefault="0053651E">
            <w:pPr>
              <w:rPr>
                <w:rFonts w:eastAsia="Times New Roman"/>
                <w:sz w:val="20"/>
                <w:szCs w:val="20"/>
              </w:rPr>
            </w:pPr>
            <w:r>
              <w:rPr>
                <w:rFonts w:eastAsia="Times New Roman"/>
                <w:sz w:val="20"/>
                <w:szCs w:val="20"/>
              </w:rPr>
              <w:t>)</w:t>
            </w:r>
          </w:p>
        </w:tc>
      </w:tr>
      <w:tr w:rsidR="00000000" w14:paraId="3CA65626" w14:textId="77777777">
        <w:trPr>
          <w:divId w:val="639576273"/>
          <w:tblCellSpacing w:w="0" w:type="dxa"/>
        </w:trPr>
        <w:tc>
          <w:tcPr>
            <w:tcW w:w="0" w:type="auto"/>
            <w:shd w:val="clear" w:color="auto" w:fill="CCEEFF"/>
            <w:vAlign w:val="bottom"/>
            <w:hideMark/>
          </w:tcPr>
          <w:p w14:paraId="11084D3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75B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D798A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76E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3EA7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6D1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F219D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6E7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70D7B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112E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AF6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4435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C1CB7" w14:textId="77777777" w:rsidR="00000000" w:rsidRDefault="0053651E">
            <w:pPr>
              <w:rPr>
                <w:rFonts w:eastAsia="Times New Roman"/>
                <w:sz w:val="20"/>
                <w:szCs w:val="20"/>
              </w:rPr>
            </w:pPr>
            <w:r>
              <w:rPr>
                <w:rFonts w:eastAsia="Times New Roman"/>
                <w:sz w:val="20"/>
                <w:szCs w:val="20"/>
              </w:rPr>
              <w:t> </w:t>
            </w:r>
          </w:p>
        </w:tc>
      </w:tr>
      <w:tr w:rsidR="00000000" w14:paraId="04912C2E" w14:textId="77777777">
        <w:trPr>
          <w:divId w:val="639576273"/>
          <w:tblCellSpacing w:w="0" w:type="dxa"/>
        </w:trPr>
        <w:tc>
          <w:tcPr>
            <w:tcW w:w="0" w:type="auto"/>
            <w:shd w:val="clear" w:color="auto" w:fill="FFFFFF"/>
            <w:vAlign w:val="bottom"/>
            <w:hideMark/>
          </w:tcPr>
          <w:p w14:paraId="5443B616" w14:textId="77777777" w:rsidR="00000000" w:rsidRDefault="0053651E">
            <w:pPr>
              <w:pStyle w:val="a3"/>
              <w:spacing w:before="0" w:beforeAutospacing="0" w:after="0" w:afterAutospacing="0"/>
              <w:ind w:left="900" w:hanging="180"/>
              <w:rPr>
                <w:sz w:val="20"/>
                <w:szCs w:val="20"/>
              </w:rPr>
            </w:pPr>
            <w:r>
              <w:rPr>
                <w:sz w:val="20"/>
                <w:szCs w:val="20"/>
              </w:rPr>
              <w:t>Net income attributable to the Company</w:t>
            </w:r>
          </w:p>
        </w:tc>
        <w:tc>
          <w:tcPr>
            <w:tcW w:w="50" w:type="pct"/>
            <w:shd w:val="clear" w:color="auto" w:fill="FFFFFF"/>
            <w:vAlign w:val="bottom"/>
            <w:hideMark/>
          </w:tcPr>
          <w:p w14:paraId="44AD52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3DBAF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3A4EE8" w14:textId="77777777" w:rsidR="00000000" w:rsidRDefault="0053651E">
            <w:pPr>
              <w:jc w:val="right"/>
              <w:rPr>
                <w:rFonts w:eastAsia="Times New Roman"/>
                <w:sz w:val="20"/>
                <w:szCs w:val="20"/>
              </w:rPr>
            </w:pPr>
            <w:r>
              <w:rPr>
                <w:rFonts w:eastAsia="Times New Roman"/>
                <w:sz w:val="20"/>
                <w:szCs w:val="20"/>
              </w:rPr>
              <w:t>410,605</w:t>
            </w:r>
          </w:p>
        </w:tc>
        <w:tc>
          <w:tcPr>
            <w:tcW w:w="50" w:type="pct"/>
            <w:shd w:val="clear" w:color="auto" w:fill="FFFFFF"/>
            <w:vAlign w:val="bottom"/>
            <w:hideMark/>
          </w:tcPr>
          <w:p w14:paraId="6EF1BE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1698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D8F80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AB0CE4E" w14:textId="77777777" w:rsidR="00000000" w:rsidRDefault="0053651E">
            <w:pPr>
              <w:jc w:val="right"/>
              <w:rPr>
                <w:rFonts w:eastAsia="Times New Roman"/>
                <w:sz w:val="20"/>
                <w:szCs w:val="20"/>
              </w:rPr>
            </w:pPr>
            <w:r>
              <w:rPr>
                <w:rFonts w:eastAsia="Times New Roman"/>
                <w:sz w:val="20"/>
                <w:szCs w:val="20"/>
              </w:rPr>
              <w:t>497,795</w:t>
            </w:r>
          </w:p>
        </w:tc>
        <w:tc>
          <w:tcPr>
            <w:tcW w:w="50" w:type="pct"/>
            <w:shd w:val="clear" w:color="auto" w:fill="FFFFFF"/>
            <w:vAlign w:val="bottom"/>
            <w:hideMark/>
          </w:tcPr>
          <w:p w14:paraId="1BE780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3578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59263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01AFBAC" w14:textId="77777777" w:rsidR="00000000" w:rsidRDefault="0053651E">
            <w:pPr>
              <w:jc w:val="right"/>
              <w:rPr>
                <w:rFonts w:eastAsia="Times New Roman"/>
                <w:sz w:val="20"/>
                <w:szCs w:val="20"/>
              </w:rPr>
            </w:pPr>
            <w:r>
              <w:rPr>
                <w:rFonts w:eastAsia="Times New Roman"/>
                <w:sz w:val="20"/>
                <w:szCs w:val="20"/>
              </w:rPr>
              <w:t>426,075</w:t>
            </w:r>
          </w:p>
        </w:tc>
        <w:tc>
          <w:tcPr>
            <w:tcW w:w="50" w:type="pct"/>
            <w:shd w:val="clear" w:color="auto" w:fill="FFFFFF"/>
            <w:vAlign w:val="bottom"/>
            <w:hideMark/>
          </w:tcPr>
          <w:p w14:paraId="7635AF40" w14:textId="77777777" w:rsidR="00000000" w:rsidRDefault="0053651E">
            <w:pPr>
              <w:rPr>
                <w:rFonts w:eastAsia="Times New Roman"/>
                <w:sz w:val="20"/>
                <w:szCs w:val="20"/>
              </w:rPr>
            </w:pPr>
            <w:r>
              <w:rPr>
                <w:rFonts w:eastAsia="Times New Roman"/>
                <w:sz w:val="20"/>
                <w:szCs w:val="20"/>
              </w:rPr>
              <w:t> </w:t>
            </w:r>
          </w:p>
        </w:tc>
      </w:tr>
      <w:tr w:rsidR="00000000" w14:paraId="50094382" w14:textId="77777777">
        <w:trPr>
          <w:divId w:val="639576273"/>
          <w:tblCellSpacing w:w="0" w:type="dxa"/>
        </w:trPr>
        <w:tc>
          <w:tcPr>
            <w:tcW w:w="0" w:type="auto"/>
            <w:shd w:val="clear" w:color="auto" w:fill="CCEEFF"/>
            <w:vAlign w:val="bottom"/>
            <w:hideMark/>
          </w:tcPr>
          <w:p w14:paraId="505892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BC9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1B84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89D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A03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580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7388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17E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B134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F2B4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D53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0EC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790C2" w14:textId="77777777" w:rsidR="00000000" w:rsidRDefault="0053651E">
            <w:pPr>
              <w:rPr>
                <w:rFonts w:eastAsia="Times New Roman"/>
                <w:sz w:val="20"/>
                <w:szCs w:val="20"/>
              </w:rPr>
            </w:pPr>
            <w:r>
              <w:rPr>
                <w:rFonts w:eastAsia="Times New Roman"/>
                <w:sz w:val="20"/>
                <w:szCs w:val="20"/>
              </w:rPr>
              <w:t> </w:t>
            </w:r>
          </w:p>
        </w:tc>
      </w:tr>
      <w:tr w:rsidR="00000000" w14:paraId="329B8F67" w14:textId="77777777">
        <w:trPr>
          <w:divId w:val="639576273"/>
          <w:tblCellSpacing w:w="0" w:type="dxa"/>
        </w:trPr>
        <w:tc>
          <w:tcPr>
            <w:tcW w:w="0" w:type="auto"/>
            <w:shd w:val="clear" w:color="auto" w:fill="FFFFFF"/>
            <w:vAlign w:val="bottom"/>
            <w:hideMark/>
          </w:tcPr>
          <w:p w14:paraId="0E6FB4B0" w14:textId="77777777" w:rsidR="00000000" w:rsidRDefault="0053651E">
            <w:pPr>
              <w:pStyle w:val="a3"/>
              <w:spacing w:before="0" w:beforeAutospacing="0" w:after="0" w:afterAutospacing="0"/>
              <w:ind w:left="720" w:hanging="180"/>
              <w:rPr>
                <w:sz w:val="20"/>
                <w:szCs w:val="20"/>
              </w:rPr>
            </w:pPr>
            <w:r>
              <w:rPr>
                <w:sz w:val="20"/>
                <w:szCs w:val="20"/>
              </w:rPr>
              <w:t>Preferred stock redemption charges</w:t>
            </w:r>
          </w:p>
        </w:tc>
        <w:tc>
          <w:tcPr>
            <w:tcW w:w="50" w:type="pct"/>
            <w:shd w:val="clear" w:color="auto" w:fill="FFFFFF"/>
            <w:vAlign w:val="bottom"/>
            <w:hideMark/>
          </w:tcPr>
          <w:p w14:paraId="6E736A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DBC4A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613E73F" w14:textId="77777777" w:rsidR="00000000" w:rsidRDefault="0053651E">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14:paraId="749B5F0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798CB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B5B77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4CEB9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2F798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54A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5B59B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8D0683" w14:textId="77777777" w:rsidR="00000000" w:rsidRDefault="0053651E">
            <w:pPr>
              <w:jc w:val="right"/>
              <w:rPr>
                <w:rFonts w:eastAsia="Times New Roman"/>
                <w:sz w:val="20"/>
                <w:szCs w:val="20"/>
              </w:rPr>
            </w:pPr>
            <w:r>
              <w:rPr>
                <w:rFonts w:eastAsia="Times New Roman"/>
                <w:sz w:val="20"/>
                <w:szCs w:val="20"/>
              </w:rPr>
              <w:t>(7,014</w:t>
            </w:r>
          </w:p>
        </w:tc>
        <w:tc>
          <w:tcPr>
            <w:tcW w:w="50" w:type="pct"/>
            <w:shd w:val="clear" w:color="auto" w:fill="FFFFFF"/>
            <w:vAlign w:val="bottom"/>
            <w:hideMark/>
          </w:tcPr>
          <w:p w14:paraId="713FAB4D" w14:textId="77777777" w:rsidR="00000000" w:rsidRDefault="0053651E">
            <w:pPr>
              <w:rPr>
                <w:rFonts w:eastAsia="Times New Roman"/>
                <w:sz w:val="20"/>
                <w:szCs w:val="20"/>
              </w:rPr>
            </w:pPr>
            <w:r>
              <w:rPr>
                <w:rFonts w:eastAsia="Times New Roman"/>
                <w:sz w:val="20"/>
                <w:szCs w:val="20"/>
              </w:rPr>
              <w:t>)</w:t>
            </w:r>
          </w:p>
        </w:tc>
      </w:tr>
      <w:tr w:rsidR="00000000" w14:paraId="53B5A671" w14:textId="77777777">
        <w:trPr>
          <w:divId w:val="639576273"/>
          <w:tblCellSpacing w:w="0" w:type="dxa"/>
        </w:trPr>
        <w:tc>
          <w:tcPr>
            <w:tcW w:w="0" w:type="auto"/>
            <w:shd w:val="clear" w:color="auto" w:fill="CCEEFF"/>
            <w:vAlign w:val="bottom"/>
            <w:hideMark/>
          </w:tcPr>
          <w:p w14:paraId="14D92196" w14:textId="77777777" w:rsidR="00000000" w:rsidRDefault="0053651E">
            <w:pPr>
              <w:pStyle w:val="a3"/>
              <w:spacing w:before="0" w:beforeAutospacing="0" w:after="0" w:afterAutospacing="0"/>
              <w:ind w:left="720" w:hanging="180"/>
              <w:rPr>
                <w:sz w:val="20"/>
                <w:szCs w:val="20"/>
              </w:rPr>
            </w:pPr>
            <w:r>
              <w:rPr>
                <w:sz w:val="20"/>
                <w:szCs w:val="20"/>
              </w:rPr>
              <w:t>Preferred dividends</w:t>
            </w:r>
          </w:p>
        </w:tc>
        <w:tc>
          <w:tcPr>
            <w:tcW w:w="50" w:type="pct"/>
            <w:shd w:val="clear" w:color="auto" w:fill="CCEEFF"/>
            <w:vAlign w:val="bottom"/>
            <w:hideMark/>
          </w:tcPr>
          <w:p w14:paraId="68EA2F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34559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1C570B5" w14:textId="77777777" w:rsidR="00000000" w:rsidRDefault="0053651E">
            <w:pPr>
              <w:jc w:val="right"/>
              <w:rPr>
                <w:rFonts w:eastAsia="Times New Roman"/>
                <w:sz w:val="20"/>
                <w:szCs w:val="20"/>
              </w:rPr>
            </w:pPr>
            <w:r>
              <w:rPr>
                <w:rFonts w:eastAsia="Times New Roman"/>
                <w:sz w:val="20"/>
                <w:szCs w:val="20"/>
              </w:rPr>
              <w:t>(52,089</w:t>
            </w:r>
          </w:p>
        </w:tc>
        <w:tc>
          <w:tcPr>
            <w:tcW w:w="50" w:type="pct"/>
            <w:shd w:val="clear" w:color="auto" w:fill="CCEEFF"/>
            <w:vAlign w:val="bottom"/>
            <w:hideMark/>
          </w:tcPr>
          <w:p w14:paraId="2E818F3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B602B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6E53B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8E0431" w14:textId="77777777" w:rsidR="00000000" w:rsidRDefault="0053651E">
            <w:pPr>
              <w:jc w:val="right"/>
              <w:rPr>
                <w:rFonts w:eastAsia="Times New Roman"/>
                <w:sz w:val="20"/>
                <w:szCs w:val="20"/>
              </w:rPr>
            </w:pPr>
            <w:r>
              <w:rPr>
                <w:rFonts w:eastAsia="Times New Roman"/>
                <w:sz w:val="20"/>
                <w:szCs w:val="20"/>
              </w:rPr>
              <w:t>(58,191</w:t>
            </w:r>
          </w:p>
        </w:tc>
        <w:tc>
          <w:tcPr>
            <w:tcW w:w="50" w:type="pct"/>
            <w:shd w:val="clear" w:color="auto" w:fill="CCEEFF"/>
            <w:vAlign w:val="bottom"/>
            <w:hideMark/>
          </w:tcPr>
          <w:p w14:paraId="6543C9E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4A597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7E1B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C5B3A05" w14:textId="77777777" w:rsidR="00000000" w:rsidRDefault="0053651E">
            <w:pPr>
              <w:jc w:val="right"/>
              <w:rPr>
                <w:rFonts w:eastAsia="Times New Roman"/>
                <w:sz w:val="20"/>
                <w:szCs w:val="20"/>
              </w:rPr>
            </w:pPr>
            <w:r>
              <w:rPr>
                <w:rFonts w:eastAsia="Times New Roman"/>
                <w:sz w:val="20"/>
                <w:szCs w:val="20"/>
              </w:rPr>
              <w:t>(46,600</w:t>
            </w:r>
          </w:p>
        </w:tc>
        <w:tc>
          <w:tcPr>
            <w:tcW w:w="50" w:type="pct"/>
            <w:shd w:val="clear" w:color="auto" w:fill="CCEEFF"/>
            <w:vAlign w:val="bottom"/>
            <w:hideMark/>
          </w:tcPr>
          <w:p w14:paraId="72CD940D" w14:textId="77777777" w:rsidR="00000000" w:rsidRDefault="0053651E">
            <w:pPr>
              <w:rPr>
                <w:rFonts w:eastAsia="Times New Roman"/>
                <w:sz w:val="20"/>
                <w:szCs w:val="20"/>
              </w:rPr>
            </w:pPr>
            <w:r>
              <w:rPr>
                <w:rFonts w:eastAsia="Times New Roman"/>
                <w:sz w:val="20"/>
                <w:szCs w:val="20"/>
              </w:rPr>
              <w:t>)</w:t>
            </w:r>
          </w:p>
        </w:tc>
      </w:tr>
      <w:tr w:rsidR="00000000" w14:paraId="6172DE28" w14:textId="77777777">
        <w:trPr>
          <w:divId w:val="639576273"/>
          <w:tblCellSpacing w:w="0" w:type="dxa"/>
        </w:trPr>
        <w:tc>
          <w:tcPr>
            <w:tcW w:w="0" w:type="auto"/>
            <w:shd w:val="clear" w:color="auto" w:fill="FFFFFF"/>
            <w:vAlign w:val="bottom"/>
            <w:hideMark/>
          </w:tcPr>
          <w:p w14:paraId="7ABF10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EE105E2"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9AB73A9"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180FB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C4E86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B7D36CB"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DAC059A"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B5FC88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49CA5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894837A"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484B7F6" w14:textId="77777777" w:rsidR="00000000" w:rsidRDefault="0053651E">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2922DA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CED94D1" w14:textId="77777777" w:rsidR="00000000" w:rsidRDefault="0053651E">
            <w:pPr>
              <w:rPr>
                <w:rFonts w:eastAsia="Times New Roman"/>
                <w:sz w:val="20"/>
                <w:szCs w:val="20"/>
              </w:rPr>
            </w:pPr>
            <w:r>
              <w:rPr>
                <w:rFonts w:eastAsia="Times New Roman"/>
                <w:sz w:val="20"/>
                <w:szCs w:val="20"/>
              </w:rPr>
              <w:t> </w:t>
            </w:r>
          </w:p>
        </w:tc>
      </w:tr>
      <w:tr w:rsidR="00000000" w14:paraId="1E3FB5AB" w14:textId="77777777">
        <w:trPr>
          <w:divId w:val="639576273"/>
          <w:tblCellSpacing w:w="0" w:type="dxa"/>
        </w:trPr>
        <w:tc>
          <w:tcPr>
            <w:tcW w:w="0" w:type="auto"/>
            <w:shd w:val="clear" w:color="auto" w:fill="CCEEFF"/>
            <w:vAlign w:val="bottom"/>
            <w:hideMark/>
          </w:tcPr>
          <w:p w14:paraId="0EC18245" w14:textId="77777777" w:rsidR="00000000" w:rsidRDefault="0053651E">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CCEEFF"/>
            <w:vAlign w:val="bottom"/>
            <w:hideMark/>
          </w:tcPr>
          <w:p w14:paraId="30AF4D7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3B6AC7"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27C3601" w14:textId="77777777" w:rsidR="00000000" w:rsidRDefault="0053651E">
            <w:pPr>
              <w:jc w:val="right"/>
              <w:rPr>
                <w:rFonts w:eastAsia="Times New Roman"/>
                <w:sz w:val="20"/>
                <w:szCs w:val="20"/>
              </w:rPr>
            </w:pPr>
            <w:r>
              <w:rPr>
                <w:rFonts w:eastAsia="Times New Roman"/>
                <w:sz w:val="20"/>
                <w:szCs w:val="20"/>
              </w:rPr>
              <w:t>339,988</w:t>
            </w:r>
          </w:p>
        </w:tc>
        <w:tc>
          <w:tcPr>
            <w:tcW w:w="50" w:type="pct"/>
            <w:shd w:val="clear" w:color="auto" w:fill="CCEEFF"/>
            <w:tcMar>
              <w:top w:w="0" w:type="dxa"/>
              <w:left w:w="0" w:type="dxa"/>
              <w:bottom w:w="45" w:type="dxa"/>
              <w:right w:w="0" w:type="dxa"/>
            </w:tcMar>
            <w:vAlign w:val="bottom"/>
            <w:hideMark/>
          </w:tcPr>
          <w:p w14:paraId="423072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A34E1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EF7978E"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B7DFC33" w14:textId="77777777" w:rsidR="00000000" w:rsidRDefault="0053651E">
            <w:pPr>
              <w:jc w:val="right"/>
              <w:rPr>
                <w:rFonts w:eastAsia="Times New Roman"/>
                <w:sz w:val="20"/>
                <w:szCs w:val="20"/>
              </w:rPr>
            </w:pPr>
            <w:r>
              <w:rPr>
                <w:rFonts w:eastAsia="Times New Roman"/>
                <w:sz w:val="20"/>
                <w:szCs w:val="20"/>
              </w:rPr>
              <w:t>439,604</w:t>
            </w:r>
          </w:p>
        </w:tc>
        <w:tc>
          <w:tcPr>
            <w:tcW w:w="50" w:type="pct"/>
            <w:shd w:val="clear" w:color="auto" w:fill="CCEEFF"/>
            <w:tcMar>
              <w:top w:w="0" w:type="dxa"/>
              <w:left w:w="0" w:type="dxa"/>
              <w:bottom w:w="45" w:type="dxa"/>
              <w:right w:w="0" w:type="dxa"/>
            </w:tcMar>
            <w:vAlign w:val="bottom"/>
            <w:hideMark/>
          </w:tcPr>
          <w:p w14:paraId="5B4113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9BF9D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CCD40FD"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9432278" w14:textId="77777777" w:rsidR="00000000" w:rsidRDefault="0053651E">
            <w:pPr>
              <w:jc w:val="right"/>
              <w:rPr>
                <w:rFonts w:eastAsia="Times New Roman"/>
                <w:sz w:val="20"/>
                <w:szCs w:val="20"/>
              </w:rPr>
            </w:pPr>
            <w:r>
              <w:rPr>
                <w:rFonts w:eastAsia="Times New Roman"/>
                <w:sz w:val="20"/>
                <w:szCs w:val="20"/>
              </w:rPr>
              <w:t>372,461</w:t>
            </w:r>
          </w:p>
        </w:tc>
        <w:tc>
          <w:tcPr>
            <w:tcW w:w="50" w:type="pct"/>
            <w:shd w:val="clear" w:color="auto" w:fill="CCEEFF"/>
            <w:tcMar>
              <w:top w:w="0" w:type="dxa"/>
              <w:left w:w="0" w:type="dxa"/>
              <w:bottom w:w="45" w:type="dxa"/>
              <w:right w:w="0" w:type="dxa"/>
            </w:tcMar>
            <w:vAlign w:val="bottom"/>
            <w:hideMark/>
          </w:tcPr>
          <w:p w14:paraId="4F8E3979" w14:textId="77777777" w:rsidR="00000000" w:rsidRDefault="0053651E">
            <w:pPr>
              <w:rPr>
                <w:rFonts w:eastAsia="Times New Roman"/>
                <w:sz w:val="20"/>
                <w:szCs w:val="20"/>
              </w:rPr>
            </w:pPr>
            <w:r>
              <w:rPr>
                <w:rFonts w:eastAsia="Times New Roman"/>
                <w:sz w:val="20"/>
                <w:szCs w:val="20"/>
              </w:rPr>
              <w:t> </w:t>
            </w:r>
          </w:p>
        </w:tc>
      </w:tr>
      <w:tr w:rsidR="00000000" w14:paraId="1D2C0F62" w14:textId="77777777">
        <w:trPr>
          <w:divId w:val="639576273"/>
          <w:tblCellSpacing w:w="0" w:type="dxa"/>
        </w:trPr>
        <w:tc>
          <w:tcPr>
            <w:tcW w:w="0" w:type="auto"/>
            <w:shd w:val="clear" w:color="auto" w:fill="FFFFFF"/>
            <w:vAlign w:val="bottom"/>
            <w:hideMark/>
          </w:tcPr>
          <w:p w14:paraId="0D292B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1DB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F6C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CC684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A4EA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840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FDA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B24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33FD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5862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87EF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B28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03D49" w14:textId="77777777" w:rsidR="00000000" w:rsidRDefault="0053651E">
            <w:pPr>
              <w:rPr>
                <w:rFonts w:eastAsia="Times New Roman"/>
                <w:sz w:val="20"/>
                <w:szCs w:val="20"/>
              </w:rPr>
            </w:pPr>
            <w:r>
              <w:rPr>
                <w:rFonts w:eastAsia="Times New Roman"/>
                <w:sz w:val="20"/>
                <w:szCs w:val="20"/>
              </w:rPr>
              <w:t> </w:t>
            </w:r>
          </w:p>
        </w:tc>
      </w:tr>
      <w:tr w:rsidR="00000000" w14:paraId="4DDE0420" w14:textId="77777777">
        <w:trPr>
          <w:divId w:val="639576273"/>
          <w:tblCellSpacing w:w="0" w:type="dxa"/>
        </w:trPr>
        <w:tc>
          <w:tcPr>
            <w:tcW w:w="0" w:type="auto"/>
            <w:shd w:val="clear" w:color="auto" w:fill="CCEEFF"/>
            <w:vAlign w:val="bottom"/>
            <w:hideMark/>
          </w:tcPr>
          <w:p w14:paraId="3E56F1CD" w14:textId="77777777" w:rsidR="00000000" w:rsidRDefault="0053651E">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14:paraId="28871F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C0721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6F50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2678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B88E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FE95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C7D6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068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A446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F994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7516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A500D" w14:textId="77777777" w:rsidR="00000000" w:rsidRDefault="0053651E">
            <w:pPr>
              <w:rPr>
                <w:rFonts w:eastAsia="Times New Roman"/>
                <w:sz w:val="20"/>
                <w:szCs w:val="20"/>
              </w:rPr>
            </w:pPr>
            <w:r>
              <w:rPr>
                <w:rFonts w:eastAsia="Times New Roman"/>
                <w:sz w:val="20"/>
                <w:szCs w:val="20"/>
              </w:rPr>
              <w:t> </w:t>
            </w:r>
          </w:p>
        </w:tc>
      </w:tr>
      <w:tr w:rsidR="00000000" w14:paraId="6AE94002" w14:textId="77777777">
        <w:trPr>
          <w:divId w:val="639576273"/>
          <w:tblCellSpacing w:w="0" w:type="dxa"/>
        </w:trPr>
        <w:tc>
          <w:tcPr>
            <w:tcW w:w="0" w:type="auto"/>
            <w:shd w:val="clear" w:color="auto" w:fill="FFFFFF"/>
            <w:vAlign w:val="bottom"/>
            <w:hideMark/>
          </w:tcPr>
          <w:p w14:paraId="59510DC6" w14:textId="77777777" w:rsidR="00000000" w:rsidRDefault="0053651E">
            <w:pPr>
              <w:pStyle w:val="a3"/>
              <w:spacing w:before="0" w:beforeAutospacing="0" w:after="0" w:afterAutospacing="0"/>
              <w:ind w:left="720" w:hanging="180"/>
              <w:rPr>
                <w:sz w:val="20"/>
                <w:szCs w:val="20"/>
              </w:rPr>
            </w:pPr>
            <w:r>
              <w:rPr>
                <w:sz w:val="20"/>
                <w:szCs w:val="20"/>
              </w:rPr>
              <w:t>Net income available to the Company's common shareholders:</w:t>
            </w:r>
          </w:p>
        </w:tc>
        <w:tc>
          <w:tcPr>
            <w:tcW w:w="0" w:type="auto"/>
            <w:shd w:val="clear" w:color="auto" w:fill="FFFFFF"/>
            <w:vAlign w:val="bottom"/>
            <w:hideMark/>
          </w:tcPr>
          <w:p w14:paraId="158A501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EDF5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BD34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25BC4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526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FFC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C07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778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3A8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6B7A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0F91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06BED" w14:textId="77777777" w:rsidR="00000000" w:rsidRDefault="0053651E">
            <w:pPr>
              <w:rPr>
                <w:rFonts w:eastAsia="Times New Roman"/>
                <w:sz w:val="20"/>
                <w:szCs w:val="20"/>
              </w:rPr>
            </w:pPr>
            <w:r>
              <w:rPr>
                <w:rFonts w:eastAsia="Times New Roman"/>
                <w:sz w:val="20"/>
                <w:szCs w:val="20"/>
              </w:rPr>
              <w:t> </w:t>
            </w:r>
          </w:p>
        </w:tc>
      </w:tr>
      <w:tr w:rsidR="00000000" w14:paraId="23307EC3" w14:textId="77777777">
        <w:trPr>
          <w:divId w:val="639576273"/>
          <w:tblCellSpacing w:w="0" w:type="dxa"/>
        </w:trPr>
        <w:tc>
          <w:tcPr>
            <w:tcW w:w="0" w:type="auto"/>
            <w:shd w:val="clear" w:color="auto" w:fill="CCEEFF"/>
            <w:vAlign w:val="bottom"/>
            <w:hideMark/>
          </w:tcPr>
          <w:p w14:paraId="11496F8F" w14:textId="77777777" w:rsidR="00000000" w:rsidRDefault="0053651E">
            <w:pPr>
              <w:pStyle w:val="a3"/>
              <w:spacing w:before="0" w:beforeAutospacing="0" w:after="0" w:afterAutospacing="0"/>
              <w:ind w:left="900" w:hanging="180"/>
              <w:rPr>
                <w:sz w:val="20"/>
                <w:szCs w:val="20"/>
              </w:rPr>
            </w:pPr>
            <w:r>
              <w:rPr>
                <w:sz w:val="20"/>
                <w:szCs w:val="20"/>
              </w:rPr>
              <w:t>-Basic</w:t>
            </w:r>
          </w:p>
        </w:tc>
        <w:tc>
          <w:tcPr>
            <w:tcW w:w="50" w:type="pct"/>
            <w:shd w:val="clear" w:color="auto" w:fill="CCEEFF"/>
            <w:vAlign w:val="bottom"/>
            <w:hideMark/>
          </w:tcPr>
          <w:p w14:paraId="49498AE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562A479"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44C86A7"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14:paraId="16D6A6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C0996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EC931D9"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78A253B"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CCEEFF"/>
            <w:tcMar>
              <w:top w:w="0" w:type="dxa"/>
              <w:left w:w="0" w:type="dxa"/>
              <w:bottom w:w="45" w:type="dxa"/>
              <w:right w:w="0" w:type="dxa"/>
            </w:tcMar>
            <w:vAlign w:val="bottom"/>
            <w:hideMark/>
          </w:tcPr>
          <w:p w14:paraId="29C302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3B405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11F8486"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12BD063"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CCEEFF"/>
            <w:tcMar>
              <w:top w:w="0" w:type="dxa"/>
              <w:left w:w="0" w:type="dxa"/>
              <w:bottom w:w="45" w:type="dxa"/>
              <w:right w:w="0" w:type="dxa"/>
            </w:tcMar>
            <w:vAlign w:val="bottom"/>
            <w:hideMark/>
          </w:tcPr>
          <w:p w14:paraId="28E63949" w14:textId="77777777" w:rsidR="00000000" w:rsidRDefault="0053651E">
            <w:pPr>
              <w:rPr>
                <w:rFonts w:eastAsia="Times New Roman"/>
                <w:sz w:val="20"/>
                <w:szCs w:val="20"/>
              </w:rPr>
            </w:pPr>
            <w:r>
              <w:rPr>
                <w:rFonts w:eastAsia="Times New Roman"/>
                <w:sz w:val="20"/>
                <w:szCs w:val="20"/>
              </w:rPr>
              <w:t> </w:t>
            </w:r>
          </w:p>
        </w:tc>
      </w:tr>
      <w:tr w:rsidR="00000000" w14:paraId="617892BC" w14:textId="77777777">
        <w:trPr>
          <w:divId w:val="639576273"/>
          <w:tblCellSpacing w:w="0" w:type="dxa"/>
        </w:trPr>
        <w:tc>
          <w:tcPr>
            <w:tcW w:w="0" w:type="auto"/>
            <w:shd w:val="clear" w:color="auto" w:fill="FFFFFF"/>
            <w:vAlign w:val="bottom"/>
            <w:hideMark/>
          </w:tcPr>
          <w:p w14:paraId="167BBF22" w14:textId="77777777" w:rsidR="00000000" w:rsidRDefault="0053651E">
            <w:pPr>
              <w:pStyle w:val="a3"/>
              <w:spacing w:before="0" w:beforeAutospacing="0" w:after="0" w:afterAutospacing="0"/>
              <w:ind w:left="900" w:hanging="180"/>
              <w:rPr>
                <w:sz w:val="20"/>
                <w:szCs w:val="20"/>
              </w:rPr>
            </w:pPr>
            <w:r>
              <w:rPr>
                <w:sz w:val="20"/>
                <w:szCs w:val="20"/>
              </w:rPr>
              <w:t>-Diluted</w:t>
            </w:r>
          </w:p>
        </w:tc>
        <w:tc>
          <w:tcPr>
            <w:tcW w:w="50" w:type="pct"/>
            <w:shd w:val="clear" w:color="auto" w:fill="FFFFFF"/>
            <w:vAlign w:val="bottom"/>
            <w:hideMark/>
          </w:tcPr>
          <w:p w14:paraId="246028F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81116C7"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2A391DA"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14:paraId="381F55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3036F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5BA9C91"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3154EE7"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FFFFFF"/>
            <w:tcMar>
              <w:top w:w="0" w:type="dxa"/>
              <w:left w:w="0" w:type="dxa"/>
              <w:bottom w:w="45" w:type="dxa"/>
              <w:right w:w="0" w:type="dxa"/>
            </w:tcMar>
            <w:vAlign w:val="bottom"/>
            <w:hideMark/>
          </w:tcPr>
          <w:p w14:paraId="0380C0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71138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606C51B"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CC49D4F"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FFFFFF"/>
            <w:tcMar>
              <w:top w:w="0" w:type="dxa"/>
              <w:left w:w="0" w:type="dxa"/>
              <w:bottom w:w="45" w:type="dxa"/>
              <w:right w:w="0" w:type="dxa"/>
            </w:tcMar>
            <w:vAlign w:val="bottom"/>
            <w:hideMark/>
          </w:tcPr>
          <w:p w14:paraId="1DD3CD52" w14:textId="77777777" w:rsidR="00000000" w:rsidRDefault="0053651E">
            <w:pPr>
              <w:rPr>
                <w:rFonts w:eastAsia="Times New Roman"/>
                <w:sz w:val="20"/>
                <w:szCs w:val="20"/>
              </w:rPr>
            </w:pPr>
            <w:r>
              <w:rPr>
                <w:rFonts w:eastAsia="Times New Roman"/>
                <w:sz w:val="20"/>
                <w:szCs w:val="20"/>
              </w:rPr>
              <w:t> </w:t>
            </w:r>
          </w:p>
        </w:tc>
      </w:tr>
      <w:tr w:rsidR="00000000" w14:paraId="498DA3D3" w14:textId="77777777">
        <w:trPr>
          <w:divId w:val="639576273"/>
          <w:tblCellSpacing w:w="0" w:type="dxa"/>
        </w:trPr>
        <w:tc>
          <w:tcPr>
            <w:tcW w:w="0" w:type="auto"/>
            <w:shd w:val="clear" w:color="auto" w:fill="CCEEFF"/>
            <w:vAlign w:val="bottom"/>
            <w:hideMark/>
          </w:tcPr>
          <w:p w14:paraId="69A22F3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ACAB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FB7F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1E8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EB26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F0F9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58B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1FA0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7F89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956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8D5C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E340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E7FE7" w14:textId="77777777" w:rsidR="00000000" w:rsidRDefault="0053651E">
            <w:pPr>
              <w:rPr>
                <w:rFonts w:eastAsia="Times New Roman"/>
                <w:sz w:val="20"/>
                <w:szCs w:val="20"/>
              </w:rPr>
            </w:pPr>
            <w:r>
              <w:rPr>
                <w:rFonts w:eastAsia="Times New Roman"/>
                <w:sz w:val="20"/>
                <w:szCs w:val="20"/>
              </w:rPr>
              <w:t> </w:t>
            </w:r>
          </w:p>
        </w:tc>
      </w:tr>
      <w:tr w:rsidR="00000000" w14:paraId="5C9C2F22" w14:textId="77777777">
        <w:trPr>
          <w:divId w:val="639576273"/>
          <w:tblCellSpacing w:w="0" w:type="dxa"/>
        </w:trPr>
        <w:tc>
          <w:tcPr>
            <w:tcW w:w="0" w:type="auto"/>
            <w:shd w:val="clear" w:color="auto" w:fill="FFFFFF"/>
            <w:vAlign w:val="bottom"/>
            <w:hideMark/>
          </w:tcPr>
          <w:p w14:paraId="59D2A680" w14:textId="77777777" w:rsidR="00000000" w:rsidRDefault="0053651E">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14:paraId="014A55F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0B9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980B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C5DC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6D40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F0F7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97D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50DE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641A4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15E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2D33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E2E8A" w14:textId="77777777" w:rsidR="00000000" w:rsidRDefault="0053651E">
            <w:pPr>
              <w:rPr>
                <w:rFonts w:eastAsia="Times New Roman"/>
                <w:sz w:val="20"/>
                <w:szCs w:val="20"/>
              </w:rPr>
            </w:pPr>
            <w:r>
              <w:rPr>
                <w:rFonts w:eastAsia="Times New Roman"/>
                <w:sz w:val="20"/>
                <w:szCs w:val="20"/>
              </w:rPr>
              <w:t> </w:t>
            </w:r>
          </w:p>
        </w:tc>
      </w:tr>
      <w:tr w:rsidR="00000000" w14:paraId="56DE9B8D" w14:textId="77777777">
        <w:trPr>
          <w:divId w:val="639576273"/>
          <w:tblCellSpacing w:w="0" w:type="dxa"/>
        </w:trPr>
        <w:tc>
          <w:tcPr>
            <w:tcW w:w="0" w:type="auto"/>
            <w:shd w:val="clear" w:color="auto" w:fill="CCEEFF"/>
            <w:vAlign w:val="bottom"/>
            <w:hideMark/>
          </w:tcPr>
          <w:p w14:paraId="6EC924BC" w14:textId="77777777" w:rsidR="00000000" w:rsidRDefault="0053651E">
            <w:pPr>
              <w:pStyle w:val="a3"/>
              <w:spacing w:before="0" w:beforeAutospacing="0" w:after="0" w:afterAutospacing="0"/>
              <w:ind w:left="900" w:hanging="180"/>
              <w:rPr>
                <w:sz w:val="20"/>
                <w:szCs w:val="20"/>
              </w:rPr>
            </w:pPr>
            <w:r>
              <w:rPr>
                <w:sz w:val="20"/>
                <w:szCs w:val="20"/>
              </w:rPr>
              <w:t>-Basic</w:t>
            </w:r>
          </w:p>
        </w:tc>
        <w:tc>
          <w:tcPr>
            <w:tcW w:w="50" w:type="pct"/>
            <w:shd w:val="clear" w:color="auto" w:fill="CCEEFF"/>
            <w:vAlign w:val="bottom"/>
            <w:hideMark/>
          </w:tcPr>
          <w:p w14:paraId="3593240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8D9F163"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0C0E62CC" w14:textId="77777777" w:rsidR="00000000" w:rsidRDefault="0053651E">
            <w:pPr>
              <w:jc w:val="right"/>
              <w:rPr>
                <w:rFonts w:eastAsia="Times New Roman"/>
                <w:sz w:val="20"/>
                <w:szCs w:val="20"/>
              </w:rPr>
            </w:pPr>
            <w:r>
              <w:rPr>
                <w:rFonts w:eastAsia="Times New Roman"/>
                <w:sz w:val="20"/>
                <w:szCs w:val="20"/>
              </w:rPr>
              <w:t>420,370</w:t>
            </w:r>
          </w:p>
        </w:tc>
        <w:tc>
          <w:tcPr>
            <w:tcW w:w="50" w:type="pct"/>
            <w:shd w:val="clear" w:color="auto" w:fill="CCEEFF"/>
            <w:tcMar>
              <w:top w:w="0" w:type="dxa"/>
              <w:left w:w="0" w:type="dxa"/>
              <w:bottom w:w="45" w:type="dxa"/>
              <w:right w:w="0" w:type="dxa"/>
            </w:tcMar>
            <w:vAlign w:val="bottom"/>
            <w:hideMark/>
          </w:tcPr>
          <w:p w14:paraId="1EF0DA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0C172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FE2326C"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23B55CF6" w14:textId="77777777" w:rsidR="00000000" w:rsidRDefault="0053651E">
            <w:pPr>
              <w:jc w:val="right"/>
              <w:rPr>
                <w:rFonts w:eastAsia="Times New Roman"/>
                <w:sz w:val="20"/>
                <w:szCs w:val="20"/>
              </w:rPr>
            </w:pPr>
            <w:r>
              <w:rPr>
                <w:rFonts w:eastAsia="Times New Roman"/>
                <w:sz w:val="20"/>
                <w:szCs w:val="20"/>
              </w:rPr>
              <w:t>420,641</w:t>
            </w:r>
          </w:p>
        </w:tc>
        <w:tc>
          <w:tcPr>
            <w:tcW w:w="50" w:type="pct"/>
            <w:shd w:val="clear" w:color="auto" w:fill="CCEEFF"/>
            <w:tcMar>
              <w:top w:w="0" w:type="dxa"/>
              <w:left w:w="0" w:type="dxa"/>
              <w:bottom w:w="45" w:type="dxa"/>
              <w:right w:w="0" w:type="dxa"/>
            </w:tcMar>
            <w:vAlign w:val="bottom"/>
            <w:hideMark/>
          </w:tcPr>
          <w:p w14:paraId="7FBC09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C2A66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5770840"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62844DB3" w14:textId="77777777" w:rsidR="00000000" w:rsidRDefault="0053651E">
            <w:pPr>
              <w:jc w:val="right"/>
              <w:rPr>
                <w:rFonts w:eastAsia="Times New Roman"/>
                <w:sz w:val="20"/>
                <w:szCs w:val="20"/>
              </w:rPr>
            </w:pPr>
            <w:r>
              <w:rPr>
                <w:rFonts w:eastAsia="Times New Roman"/>
                <w:sz w:val="20"/>
                <w:szCs w:val="20"/>
              </w:rPr>
              <w:t>423,614</w:t>
            </w:r>
          </w:p>
        </w:tc>
        <w:tc>
          <w:tcPr>
            <w:tcW w:w="50" w:type="pct"/>
            <w:shd w:val="clear" w:color="auto" w:fill="CCEEFF"/>
            <w:tcMar>
              <w:top w:w="0" w:type="dxa"/>
              <w:left w:w="0" w:type="dxa"/>
              <w:bottom w:w="45" w:type="dxa"/>
              <w:right w:w="0" w:type="dxa"/>
            </w:tcMar>
            <w:vAlign w:val="bottom"/>
            <w:hideMark/>
          </w:tcPr>
          <w:p w14:paraId="08A5ACB0" w14:textId="77777777" w:rsidR="00000000" w:rsidRDefault="0053651E">
            <w:pPr>
              <w:rPr>
                <w:rFonts w:eastAsia="Times New Roman"/>
                <w:sz w:val="20"/>
                <w:szCs w:val="20"/>
              </w:rPr>
            </w:pPr>
            <w:r>
              <w:rPr>
                <w:rFonts w:eastAsia="Times New Roman"/>
                <w:sz w:val="20"/>
                <w:szCs w:val="20"/>
              </w:rPr>
              <w:t> </w:t>
            </w:r>
          </w:p>
        </w:tc>
      </w:tr>
      <w:tr w:rsidR="00000000" w14:paraId="7C2991C8" w14:textId="77777777">
        <w:trPr>
          <w:divId w:val="639576273"/>
          <w:tblCellSpacing w:w="0" w:type="dxa"/>
        </w:trPr>
        <w:tc>
          <w:tcPr>
            <w:tcW w:w="0" w:type="auto"/>
            <w:shd w:val="clear" w:color="auto" w:fill="FFFFFF"/>
            <w:vAlign w:val="bottom"/>
            <w:hideMark/>
          </w:tcPr>
          <w:p w14:paraId="3502523B" w14:textId="77777777" w:rsidR="00000000" w:rsidRDefault="0053651E">
            <w:pPr>
              <w:pStyle w:val="a3"/>
              <w:spacing w:before="0" w:beforeAutospacing="0" w:after="0" w:afterAutospacing="0"/>
              <w:ind w:left="900" w:hanging="180"/>
              <w:rPr>
                <w:sz w:val="20"/>
                <w:szCs w:val="20"/>
              </w:rPr>
            </w:pPr>
            <w:r>
              <w:rPr>
                <w:sz w:val="20"/>
                <w:szCs w:val="20"/>
              </w:rPr>
              <w:t>-Diluted</w:t>
            </w:r>
          </w:p>
        </w:tc>
        <w:tc>
          <w:tcPr>
            <w:tcW w:w="50" w:type="pct"/>
            <w:shd w:val="clear" w:color="auto" w:fill="FFFFFF"/>
            <w:vAlign w:val="bottom"/>
            <w:hideMark/>
          </w:tcPr>
          <w:p w14:paraId="35196B6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399985"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5BC35403" w14:textId="77777777" w:rsidR="00000000" w:rsidRDefault="0053651E">
            <w:pPr>
              <w:jc w:val="right"/>
              <w:rPr>
                <w:rFonts w:eastAsia="Times New Roman"/>
                <w:sz w:val="20"/>
                <w:szCs w:val="20"/>
              </w:rPr>
            </w:pPr>
            <w:r>
              <w:rPr>
                <w:rFonts w:eastAsia="Times New Roman"/>
                <w:sz w:val="20"/>
                <w:szCs w:val="20"/>
              </w:rPr>
              <w:t>421,799</w:t>
            </w:r>
          </w:p>
        </w:tc>
        <w:tc>
          <w:tcPr>
            <w:tcW w:w="50" w:type="pct"/>
            <w:shd w:val="clear" w:color="auto" w:fill="FFFFFF"/>
            <w:tcMar>
              <w:top w:w="0" w:type="dxa"/>
              <w:left w:w="0" w:type="dxa"/>
              <w:bottom w:w="45" w:type="dxa"/>
              <w:right w:w="0" w:type="dxa"/>
            </w:tcMar>
            <w:vAlign w:val="bottom"/>
            <w:hideMark/>
          </w:tcPr>
          <w:p w14:paraId="6F7AE8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48C29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75F14B8"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75AAB134" w14:textId="77777777" w:rsidR="00000000" w:rsidRDefault="0053651E">
            <w:pPr>
              <w:jc w:val="right"/>
              <w:rPr>
                <w:rFonts w:eastAsia="Times New Roman"/>
                <w:sz w:val="20"/>
                <w:szCs w:val="20"/>
              </w:rPr>
            </w:pPr>
            <w:r>
              <w:rPr>
                <w:rFonts w:eastAsia="Times New Roman"/>
                <w:sz w:val="20"/>
                <w:szCs w:val="20"/>
              </w:rPr>
              <w:t>421,379</w:t>
            </w:r>
          </w:p>
        </w:tc>
        <w:tc>
          <w:tcPr>
            <w:tcW w:w="50" w:type="pct"/>
            <w:shd w:val="clear" w:color="auto" w:fill="FFFFFF"/>
            <w:tcMar>
              <w:top w:w="0" w:type="dxa"/>
              <w:left w:w="0" w:type="dxa"/>
              <w:bottom w:w="45" w:type="dxa"/>
              <w:right w:w="0" w:type="dxa"/>
            </w:tcMar>
            <w:vAlign w:val="bottom"/>
            <w:hideMark/>
          </w:tcPr>
          <w:p w14:paraId="305D1A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C85E9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7E1784E"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4FD1440B" w14:textId="77777777" w:rsidR="00000000" w:rsidRDefault="0053651E">
            <w:pPr>
              <w:jc w:val="right"/>
              <w:rPr>
                <w:rFonts w:eastAsia="Times New Roman"/>
                <w:sz w:val="20"/>
                <w:szCs w:val="20"/>
              </w:rPr>
            </w:pPr>
            <w:r>
              <w:rPr>
                <w:rFonts w:eastAsia="Times New Roman"/>
                <w:sz w:val="20"/>
                <w:szCs w:val="20"/>
              </w:rPr>
              <w:t>424,019</w:t>
            </w:r>
          </w:p>
        </w:tc>
        <w:tc>
          <w:tcPr>
            <w:tcW w:w="50" w:type="pct"/>
            <w:shd w:val="clear" w:color="auto" w:fill="FFFFFF"/>
            <w:tcMar>
              <w:top w:w="0" w:type="dxa"/>
              <w:left w:w="0" w:type="dxa"/>
              <w:bottom w:w="45" w:type="dxa"/>
              <w:right w:w="0" w:type="dxa"/>
            </w:tcMar>
            <w:vAlign w:val="bottom"/>
            <w:hideMark/>
          </w:tcPr>
          <w:p w14:paraId="2A2C2F91" w14:textId="77777777" w:rsidR="00000000" w:rsidRDefault="0053651E">
            <w:pPr>
              <w:rPr>
                <w:rFonts w:eastAsia="Times New Roman"/>
                <w:sz w:val="20"/>
                <w:szCs w:val="20"/>
              </w:rPr>
            </w:pPr>
            <w:r>
              <w:rPr>
                <w:rFonts w:eastAsia="Times New Roman"/>
                <w:sz w:val="20"/>
                <w:szCs w:val="20"/>
              </w:rPr>
              <w:t> </w:t>
            </w:r>
          </w:p>
        </w:tc>
      </w:tr>
    </w:tbl>
    <w:p w14:paraId="61CAAA21" w14:textId="77777777" w:rsidR="00000000" w:rsidRDefault="0053651E">
      <w:pPr>
        <w:pStyle w:val="a3"/>
        <w:spacing w:before="0" w:beforeAutospacing="0" w:after="0" w:afterAutospacing="0"/>
        <w:rPr>
          <w:sz w:val="20"/>
          <w:szCs w:val="20"/>
        </w:rPr>
      </w:pPr>
      <w:r>
        <w:rPr>
          <w:sz w:val="20"/>
          <w:szCs w:val="20"/>
        </w:rPr>
        <w:t> </w:t>
      </w:r>
    </w:p>
    <w:p w14:paraId="36ED9339" w14:textId="77777777" w:rsidR="00000000" w:rsidRDefault="0053651E">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5335C660" w14:textId="77777777" w:rsidR="00000000" w:rsidRDefault="0053651E">
      <w:pPr>
        <w:pStyle w:val="a3"/>
        <w:spacing w:before="0" w:beforeAutospacing="0" w:after="0" w:afterAutospacing="0"/>
        <w:rPr>
          <w:sz w:val="20"/>
          <w:szCs w:val="20"/>
        </w:rPr>
      </w:pPr>
      <w:r>
        <w:rPr>
          <w:sz w:val="20"/>
          <w:szCs w:val="20"/>
        </w:rPr>
        <w:t> </w:t>
      </w:r>
    </w:p>
    <w:p w14:paraId="51083474" w14:textId="77777777" w:rsidR="00000000" w:rsidRDefault="0053651E">
      <w:pPr>
        <w:jc w:val="center"/>
        <w:divId w:val="1694649272"/>
        <w:rPr>
          <w:rFonts w:eastAsia="Times New Roman"/>
          <w:sz w:val="20"/>
          <w:szCs w:val="20"/>
        </w:rPr>
      </w:pPr>
      <w:r>
        <w:rPr>
          <w:rFonts w:eastAsia="Times New Roman"/>
          <w:sz w:val="20"/>
          <w:szCs w:val="20"/>
        </w:rPr>
        <w:t xml:space="preserve">45 </w:t>
      </w:r>
    </w:p>
    <w:p w14:paraId="42D12F57" w14:textId="77777777" w:rsidR="00000000" w:rsidRDefault="0053651E">
      <w:pPr>
        <w:divId w:val="1694649272"/>
        <w:rPr>
          <w:rFonts w:eastAsia="Times New Roman"/>
          <w:sz w:val="20"/>
          <w:szCs w:val="20"/>
        </w:rPr>
      </w:pPr>
      <w:r>
        <w:rPr>
          <w:rFonts w:eastAsia="Times New Roman"/>
          <w:sz w:val="20"/>
          <w:szCs w:val="20"/>
        </w:rPr>
        <w:pict w14:anchorId="7F0DA211">
          <v:rect id="_x0000_i1076" style="width:0;height:1.5pt" o:hralign="center" o:hrstd="t" o:hr="t" fillcolor="#a0a0a0" stroked="f"/>
        </w:pict>
      </w:r>
    </w:p>
    <w:p w14:paraId="6E11F757" w14:textId="77777777" w:rsidR="00000000" w:rsidRDefault="0053651E">
      <w:pPr>
        <w:divId w:val="16946492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24AC389" w14:textId="77777777" w:rsidR="00000000" w:rsidRDefault="0053651E">
      <w:pPr>
        <w:divId w:val="1949041991"/>
        <w:rPr>
          <w:rFonts w:eastAsia="Times New Roman"/>
          <w:sz w:val="20"/>
          <w:szCs w:val="20"/>
        </w:rPr>
      </w:pPr>
      <w:r>
        <w:rPr>
          <w:rFonts w:eastAsia="Times New Roman"/>
          <w:sz w:val="20"/>
          <w:szCs w:val="20"/>
        </w:rPr>
        <w:t xml:space="preserve">  </w:t>
      </w:r>
    </w:p>
    <w:p w14:paraId="493C2D38" w14:textId="77777777" w:rsidR="00000000" w:rsidRDefault="0053651E">
      <w:pPr>
        <w:pStyle w:val="a3"/>
        <w:spacing w:before="0" w:beforeAutospacing="0" w:after="0" w:afterAutospacing="0"/>
        <w:rPr>
          <w:sz w:val="20"/>
          <w:szCs w:val="20"/>
        </w:rPr>
      </w:pPr>
      <w:r>
        <w:rPr>
          <w:sz w:val="20"/>
          <w:szCs w:val="20"/>
        </w:rPr>
        <w:t> </w:t>
      </w:r>
    </w:p>
    <w:p w14:paraId="249F9E01"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A7D4BFB" w14:textId="77777777" w:rsidR="00000000" w:rsidRDefault="0053651E">
      <w:pPr>
        <w:pStyle w:val="a3"/>
        <w:spacing w:before="0" w:beforeAutospacing="0" w:after="0" w:afterAutospacing="0"/>
        <w:jc w:val="center"/>
        <w:rPr>
          <w:sz w:val="20"/>
          <w:szCs w:val="20"/>
        </w:rPr>
      </w:pPr>
      <w:r>
        <w:rPr>
          <w:sz w:val="20"/>
          <w:szCs w:val="20"/>
        </w:rPr>
        <w:t>CONSOLIDATED STAT</w:t>
      </w:r>
      <w:r>
        <w:rPr>
          <w:sz w:val="20"/>
          <w:szCs w:val="20"/>
        </w:rPr>
        <w:t>EMENTS OF COMPREHENSIVE INCOME</w:t>
      </w:r>
    </w:p>
    <w:p w14:paraId="53D897D3" w14:textId="77777777" w:rsidR="00000000" w:rsidRDefault="0053651E">
      <w:pPr>
        <w:pStyle w:val="a3"/>
        <w:spacing w:before="0" w:beforeAutospacing="0" w:after="0" w:afterAutospacing="0"/>
        <w:jc w:val="center"/>
        <w:rPr>
          <w:sz w:val="20"/>
          <w:szCs w:val="20"/>
        </w:rPr>
      </w:pPr>
      <w:r>
        <w:rPr>
          <w:sz w:val="20"/>
          <w:szCs w:val="20"/>
        </w:rPr>
        <w:t>(in thousands)</w:t>
      </w:r>
    </w:p>
    <w:p w14:paraId="374569F9" w14:textId="77777777" w:rsidR="00000000" w:rsidRDefault="0053651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14:paraId="759B9A79" w14:textId="77777777">
        <w:trPr>
          <w:divId w:val="778068377"/>
          <w:tblCellSpacing w:w="0" w:type="dxa"/>
        </w:trPr>
        <w:tc>
          <w:tcPr>
            <w:tcW w:w="0" w:type="auto"/>
            <w:vAlign w:val="bottom"/>
            <w:hideMark/>
          </w:tcPr>
          <w:p w14:paraId="7CFF33A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56D3800" w14:textId="77777777" w:rsidR="00000000" w:rsidRDefault="0053651E">
            <w:pPr>
              <w:rPr>
                <w:rFonts w:eastAsia="Times New Roman"/>
                <w:sz w:val="20"/>
                <w:szCs w:val="20"/>
              </w:rPr>
            </w:pPr>
            <w:r>
              <w:rPr>
                <w:rFonts w:eastAsia="Times New Roman"/>
                <w:sz w:val="20"/>
                <w:szCs w:val="20"/>
              </w:rPr>
              <w:t> </w:t>
            </w:r>
          </w:p>
        </w:tc>
        <w:tc>
          <w:tcPr>
            <w:tcW w:w="0" w:type="auto"/>
            <w:gridSpan w:val="10"/>
            <w:vAlign w:val="bottom"/>
            <w:hideMark/>
          </w:tcPr>
          <w:p w14:paraId="2A0A49F8"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14:paraId="67C46D22" w14:textId="77777777" w:rsidR="00000000" w:rsidRDefault="0053651E">
            <w:pPr>
              <w:rPr>
                <w:rFonts w:eastAsia="Times New Roman"/>
                <w:sz w:val="20"/>
                <w:szCs w:val="20"/>
              </w:rPr>
            </w:pPr>
            <w:r>
              <w:rPr>
                <w:rFonts w:eastAsia="Times New Roman"/>
                <w:sz w:val="20"/>
                <w:szCs w:val="20"/>
              </w:rPr>
              <w:t> </w:t>
            </w:r>
          </w:p>
        </w:tc>
      </w:tr>
      <w:tr w:rsidR="00000000" w14:paraId="48B412CF" w14:textId="77777777">
        <w:trPr>
          <w:divId w:val="778068377"/>
          <w:tblCellSpacing w:w="0" w:type="dxa"/>
        </w:trPr>
        <w:tc>
          <w:tcPr>
            <w:tcW w:w="0" w:type="auto"/>
            <w:vAlign w:val="bottom"/>
            <w:hideMark/>
          </w:tcPr>
          <w:p w14:paraId="6D820E1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163653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2DE4BD"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4ACFBA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B3E289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A78E8F"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914C0C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C34F21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638BEC9"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29FC2214" w14:textId="77777777" w:rsidR="00000000" w:rsidRDefault="0053651E">
            <w:pPr>
              <w:rPr>
                <w:rFonts w:eastAsia="Times New Roman"/>
                <w:sz w:val="20"/>
                <w:szCs w:val="20"/>
              </w:rPr>
            </w:pPr>
            <w:r>
              <w:rPr>
                <w:rFonts w:eastAsia="Times New Roman"/>
                <w:sz w:val="20"/>
                <w:szCs w:val="20"/>
              </w:rPr>
              <w:t> </w:t>
            </w:r>
          </w:p>
        </w:tc>
      </w:tr>
      <w:tr w:rsidR="00000000" w14:paraId="179C191D" w14:textId="77777777">
        <w:trPr>
          <w:divId w:val="778068377"/>
          <w:tblCellSpacing w:w="0" w:type="dxa"/>
        </w:trPr>
        <w:tc>
          <w:tcPr>
            <w:tcW w:w="0" w:type="auto"/>
            <w:vAlign w:val="bottom"/>
            <w:hideMark/>
          </w:tcPr>
          <w:p w14:paraId="3F427C3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4A4553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F654BB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C174CC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4E9543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64FDD3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0E5E1F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E1AA50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F3B12A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8487C1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FCC96B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6BF55C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549B471" w14:textId="77777777" w:rsidR="00000000" w:rsidRDefault="0053651E">
            <w:pPr>
              <w:rPr>
                <w:rFonts w:eastAsia="Times New Roman"/>
                <w:sz w:val="20"/>
                <w:szCs w:val="20"/>
              </w:rPr>
            </w:pPr>
            <w:r>
              <w:rPr>
                <w:rFonts w:eastAsia="Times New Roman"/>
                <w:sz w:val="20"/>
                <w:szCs w:val="20"/>
              </w:rPr>
              <w:t> </w:t>
            </w:r>
          </w:p>
        </w:tc>
      </w:tr>
      <w:tr w:rsidR="00000000" w14:paraId="51795414" w14:textId="77777777">
        <w:trPr>
          <w:divId w:val="778068377"/>
          <w:tblCellSpacing w:w="0" w:type="dxa"/>
        </w:trPr>
        <w:tc>
          <w:tcPr>
            <w:tcW w:w="2750" w:type="pct"/>
            <w:shd w:val="clear" w:color="auto" w:fill="CCEEFF"/>
            <w:vAlign w:val="bottom"/>
            <w:hideMark/>
          </w:tcPr>
          <w:p w14:paraId="5A7C1AA4" w14:textId="77777777" w:rsidR="00000000" w:rsidRDefault="0053651E">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6616ECC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858687" w14:textId="77777777" w:rsidR="00000000" w:rsidRDefault="0053651E">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5586976C"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CCEEFF"/>
            <w:tcMar>
              <w:top w:w="0" w:type="dxa"/>
              <w:left w:w="0" w:type="dxa"/>
              <w:bottom w:w="15" w:type="dxa"/>
              <w:right w:w="0" w:type="dxa"/>
            </w:tcMar>
            <w:vAlign w:val="bottom"/>
            <w:hideMark/>
          </w:tcPr>
          <w:p w14:paraId="276BF4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9A81B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96FE46A" w14:textId="77777777" w:rsidR="00000000" w:rsidRDefault="0053651E">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249A6531" w14:textId="77777777" w:rsidR="00000000" w:rsidRDefault="0053651E">
            <w:pPr>
              <w:jc w:val="right"/>
              <w:rPr>
                <w:rFonts w:eastAsia="Times New Roman"/>
                <w:sz w:val="20"/>
                <w:szCs w:val="20"/>
              </w:rPr>
            </w:pPr>
            <w:r>
              <w:rPr>
                <w:rFonts w:eastAsia="Times New Roman"/>
                <w:sz w:val="20"/>
                <w:szCs w:val="20"/>
              </w:rPr>
              <w:t>498,463</w:t>
            </w:r>
          </w:p>
        </w:tc>
        <w:tc>
          <w:tcPr>
            <w:tcW w:w="50" w:type="pct"/>
            <w:shd w:val="clear" w:color="auto" w:fill="CCEEFF"/>
            <w:tcMar>
              <w:top w:w="0" w:type="dxa"/>
              <w:left w:w="0" w:type="dxa"/>
              <w:bottom w:w="15" w:type="dxa"/>
              <w:right w:w="0" w:type="dxa"/>
            </w:tcMar>
            <w:vAlign w:val="bottom"/>
            <w:hideMark/>
          </w:tcPr>
          <w:p w14:paraId="5228C2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BA56B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79E208C" w14:textId="77777777" w:rsidR="00000000" w:rsidRDefault="0053651E">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585361D1" w14:textId="77777777" w:rsidR="00000000" w:rsidRDefault="0053651E">
            <w:pPr>
              <w:jc w:val="right"/>
              <w:rPr>
                <w:rFonts w:eastAsia="Times New Roman"/>
                <w:sz w:val="20"/>
                <w:szCs w:val="20"/>
              </w:rPr>
            </w:pPr>
            <w:r>
              <w:rPr>
                <w:rFonts w:eastAsia="Times New Roman"/>
                <w:sz w:val="20"/>
                <w:szCs w:val="20"/>
              </w:rPr>
              <w:t>439,671</w:t>
            </w:r>
          </w:p>
        </w:tc>
        <w:tc>
          <w:tcPr>
            <w:tcW w:w="50" w:type="pct"/>
            <w:shd w:val="clear" w:color="auto" w:fill="CCEEFF"/>
            <w:tcMar>
              <w:top w:w="0" w:type="dxa"/>
              <w:left w:w="0" w:type="dxa"/>
              <w:bottom w:w="15" w:type="dxa"/>
              <w:right w:w="0" w:type="dxa"/>
            </w:tcMar>
            <w:vAlign w:val="bottom"/>
            <w:hideMark/>
          </w:tcPr>
          <w:p w14:paraId="11DC74CB" w14:textId="77777777" w:rsidR="00000000" w:rsidRDefault="0053651E">
            <w:pPr>
              <w:rPr>
                <w:rFonts w:eastAsia="Times New Roman"/>
                <w:sz w:val="20"/>
                <w:szCs w:val="20"/>
              </w:rPr>
            </w:pPr>
            <w:r>
              <w:rPr>
                <w:rFonts w:eastAsia="Times New Roman"/>
                <w:sz w:val="20"/>
                <w:szCs w:val="20"/>
              </w:rPr>
              <w:t> </w:t>
            </w:r>
          </w:p>
        </w:tc>
      </w:tr>
      <w:tr w:rsidR="00000000" w14:paraId="58C7F3AD" w14:textId="77777777">
        <w:trPr>
          <w:divId w:val="778068377"/>
          <w:tblCellSpacing w:w="0" w:type="dxa"/>
        </w:trPr>
        <w:tc>
          <w:tcPr>
            <w:tcW w:w="0" w:type="auto"/>
            <w:shd w:val="clear" w:color="auto" w:fill="FFFFFF"/>
            <w:vAlign w:val="bottom"/>
            <w:hideMark/>
          </w:tcPr>
          <w:p w14:paraId="369B7648" w14:textId="77777777" w:rsidR="00000000" w:rsidRDefault="0053651E">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14:paraId="05157B0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D91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D69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BDAB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22CB9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843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D1BC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FB67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8329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29EE2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113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C835B" w14:textId="77777777" w:rsidR="00000000" w:rsidRDefault="0053651E">
            <w:pPr>
              <w:rPr>
                <w:rFonts w:eastAsia="Times New Roman"/>
                <w:sz w:val="20"/>
                <w:szCs w:val="20"/>
              </w:rPr>
            </w:pPr>
            <w:r>
              <w:rPr>
                <w:rFonts w:eastAsia="Times New Roman"/>
                <w:sz w:val="20"/>
                <w:szCs w:val="20"/>
              </w:rPr>
              <w:t> </w:t>
            </w:r>
          </w:p>
        </w:tc>
      </w:tr>
      <w:tr w:rsidR="00000000" w14:paraId="0A3C28BE" w14:textId="77777777">
        <w:trPr>
          <w:divId w:val="778068377"/>
          <w:tblCellSpacing w:w="0" w:type="dxa"/>
        </w:trPr>
        <w:tc>
          <w:tcPr>
            <w:tcW w:w="0" w:type="auto"/>
            <w:shd w:val="clear" w:color="auto" w:fill="CCEEFF"/>
            <w:vAlign w:val="bottom"/>
            <w:hideMark/>
          </w:tcPr>
          <w:p w14:paraId="09DC27D7" w14:textId="77777777" w:rsidR="00000000" w:rsidRDefault="0053651E">
            <w:pPr>
              <w:pStyle w:val="a3"/>
              <w:spacing w:before="0" w:beforeAutospacing="0" w:after="0" w:afterAutospacing="0"/>
              <w:ind w:left="180"/>
              <w:rPr>
                <w:sz w:val="20"/>
                <w:szCs w:val="20"/>
              </w:rPr>
            </w:pPr>
            <w:r>
              <w:rPr>
                <w:sz w:val="20"/>
                <w:szCs w:val="20"/>
              </w:rPr>
              <w:t>Change in unrealized gains/losses related to available-for-sale securities</w:t>
            </w:r>
          </w:p>
        </w:tc>
        <w:tc>
          <w:tcPr>
            <w:tcW w:w="50" w:type="pct"/>
            <w:shd w:val="clear" w:color="auto" w:fill="CCEEFF"/>
            <w:vAlign w:val="bottom"/>
            <w:hideMark/>
          </w:tcPr>
          <w:p w14:paraId="5DF11D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0497E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94456C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C2E7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2B17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29545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955B0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5D127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E745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634F2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E0F984" w14:textId="77777777" w:rsidR="00000000" w:rsidRDefault="0053651E">
            <w:pPr>
              <w:jc w:val="right"/>
              <w:rPr>
                <w:rFonts w:eastAsia="Times New Roman"/>
                <w:sz w:val="20"/>
                <w:szCs w:val="20"/>
              </w:rPr>
            </w:pPr>
            <w:r>
              <w:rPr>
                <w:rFonts w:eastAsia="Times New Roman"/>
                <w:sz w:val="20"/>
                <w:szCs w:val="20"/>
              </w:rPr>
              <w:t>(1,542</w:t>
            </w:r>
          </w:p>
        </w:tc>
        <w:tc>
          <w:tcPr>
            <w:tcW w:w="50" w:type="pct"/>
            <w:shd w:val="clear" w:color="auto" w:fill="CCEEFF"/>
            <w:vAlign w:val="bottom"/>
            <w:hideMark/>
          </w:tcPr>
          <w:p w14:paraId="57D10F13" w14:textId="77777777" w:rsidR="00000000" w:rsidRDefault="0053651E">
            <w:pPr>
              <w:rPr>
                <w:rFonts w:eastAsia="Times New Roman"/>
                <w:sz w:val="20"/>
                <w:szCs w:val="20"/>
              </w:rPr>
            </w:pPr>
            <w:r>
              <w:rPr>
                <w:rFonts w:eastAsia="Times New Roman"/>
                <w:sz w:val="20"/>
                <w:szCs w:val="20"/>
              </w:rPr>
              <w:t>)</w:t>
            </w:r>
          </w:p>
        </w:tc>
      </w:tr>
      <w:tr w:rsidR="00000000" w14:paraId="011F40CF" w14:textId="77777777">
        <w:trPr>
          <w:divId w:val="778068377"/>
          <w:tblCellSpacing w:w="0" w:type="dxa"/>
        </w:trPr>
        <w:tc>
          <w:tcPr>
            <w:tcW w:w="0" w:type="auto"/>
            <w:shd w:val="clear" w:color="auto" w:fill="FFFFFF"/>
            <w:vAlign w:val="bottom"/>
            <w:hideMark/>
          </w:tcPr>
          <w:p w14:paraId="40F3B686" w14:textId="77777777" w:rsidR="00000000" w:rsidRDefault="0053651E">
            <w:pPr>
              <w:pStyle w:val="a3"/>
              <w:spacing w:before="0" w:beforeAutospacing="0" w:after="0" w:afterAutospacing="0"/>
              <w:ind w:left="180"/>
              <w:rPr>
                <w:sz w:val="20"/>
                <w:szCs w:val="20"/>
              </w:rPr>
            </w:pPr>
            <w:r>
              <w:rPr>
                <w:sz w:val="20"/>
                <w:szCs w:val="20"/>
              </w:rPr>
              <w:t>Change in unrealized value on interest rate swaps</w:t>
            </w:r>
          </w:p>
        </w:tc>
        <w:tc>
          <w:tcPr>
            <w:tcW w:w="50" w:type="pct"/>
            <w:shd w:val="clear" w:color="auto" w:fill="FFFFFF"/>
            <w:vAlign w:val="bottom"/>
            <w:hideMark/>
          </w:tcPr>
          <w:p w14:paraId="60AE00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5CF06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E80379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7E0E2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511D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F7ECE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D48B8D5" w14:textId="77777777" w:rsidR="00000000" w:rsidRDefault="0053651E">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14:paraId="39E785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F808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58368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2FBD6C" w14:textId="77777777" w:rsidR="00000000" w:rsidRDefault="0053651E">
            <w:pPr>
              <w:jc w:val="right"/>
              <w:rPr>
                <w:rFonts w:eastAsia="Times New Roman"/>
                <w:sz w:val="20"/>
                <w:szCs w:val="20"/>
              </w:rPr>
            </w:pPr>
            <w:r>
              <w:rPr>
                <w:rFonts w:eastAsia="Times New Roman"/>
                <w:sz w:val="20"/>
                <w:szCs w:val="20"/>
              </w:rPr>
              <w:t>631</w:t>
            </w:r>
          </w:p>
        </w:tc>
        <w:tc>
          <w:tcPr>
            <w:tcW w:w="50" w:type="pct"/>
            <w:shd w:val="clear" w:color="auto" w:fill="FFFFFF"/>
            <w:vAlign w:val="bottom"/>
            <w:hideMark/>
          </w:tcPr>
          <w:p w14:paraId="64829872" w14:textId="77777777" w:rsidR="00000000" w:rsidRDefault="0053651E">
            <w:pPr>
              <w:rPr>
                <w:rFonts w:eastAsia="Times New Roman"/>
                <w:sz w:val="20"/>
                <w:szCs w:val="20"/>
              </w:rPr>
            </w:pPr>
            <w:r>
              <w:rPr>
                <w:rFonts w:eastAsia="Times New Roman"/>
                <w:sz w:val="20"/>
                <w:szCs w:val="20"/>
              </w:rPr>
              <w:t> </w:t>
            </w:r>
          </w:p>
        </w:tc>
      </w:tr>
      <w:tr w:rsidR="00000000" w14:paraId="5E1F7E3C" w14:textId="77777777">
        <w:trPr>
          <w:divId w:val="778068377"/>
          <w:tblCellSpacing w:w="0" w:type="dxa"/>
        </w:trPr>
        <w:tc>
          <w:tcPr>
            <w:tcW w:w="0" w:type="auto"/>
            <w:shd w:val="clear" w:color="auto" w:fill="CCEEFF"/>
            <w:vAlign w:val="bottom"/>
            <w:hideMark/>
          </w:tcPr>
          <w:p w14:paraId="2705EE30" w14:textId="77777777" w:rsidR="00000000" w:rsidRDefault="0053651E">
            <w:pPr>
              <w:pStyle w:val="a3"/>
              <w:spacing w:before="0" w:beforeAutospacing="0" w:after="0" w:afterAutospacing="0"/>
              <w:ind w:left="180"/>
              <w:rPr>
                <w:sz w:val="20"/>
                <w:szCs w:val="20"/>
              </w:rPr>
            </w:pPr>
            <w:r>
              <w:rPr>
                <w:sz w:val="20"/>
                <w:szCs w:val="20"/>
              </w:rPr>
              <w:t>Change in foreign currency translation adjustments</w:t>
            </w:r>
          </w:p>
        </w:tc>
        <w:tc>
          <w:tcPr>
            <w:tcW w:w="50" w:type="pct"/>
            <w:shd w:val="clear" w:color="auto" w:fill="CCEEFF"/>
            <w:vAlign w:val="bottom"/>
            <w:hideMark/>
          </w:tcPr>
          <w:p w14:paraId="298F68A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ADA88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A269EB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6A4A5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6F295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91239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F0FABA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739F8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0A61A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7504E2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ED41BBE" w14:textId="77777777" w:rsidR="00000000" w:rsidRDefault="0053651E">
            <w:pPr>
              <w:jc w:val="right"/>
              <w:rPr>
                <w:rFonts w:eastAsia="Times New Roman"/>
                <w:sz w:val="20"/>
                <w:szCs w:val="20"/>
              </w:rPr>
            </w:pPr>
            <w:r>
              <w:rPr>
                <w:rFonts w:eastAsia="Times New Roman"/>
                <w:sz w:val="20"/>
                <w:szCs w:val="20"/>
              </w:rPr>
              <w:t>(6,335</w:t>
            </w:r>
          </w:p>
        </w:tc>
        <w:tc>
          <w:tcPr>
            <w:tcW w:w="50" w:type="pct"/>
            <w:shd w:val="clear" w:color="auto" w:fill="CCEEFF"/>
            <w:tcMar>
              <w:top w:w="0" w:type="dxa"/>
              <w:left w:w="0" w:type="dxa"/>
              <w:bottom w:w="15" w:type="dxa"/>
              <w:right w:w="0" w:type="dxa"/>
            </w:tcMar>
            <w:vAlign w:val="bottom"/>
            <w:hideMark/>
          </w:tcPr>
          <w:p w14:paraId="5A392A7A" w14:textId="77777777" w:rsidR="00000000" w:rsidRDefault="0053651E">
            <w:pPr>
              <w:rPr>
                <w:rFonts w:eastAsia="Times New Roman"/>
                <w:sz w:val="20"/>
                <w:szCs w:val="20"/>
              </w:rPr>
            </w:pPr>
            <w:r>
              <w:rPr>
                <w:rFonts w:eastAsia="Times New Roman"/>
                <w:sz w:val="20"/>
                <w:szCs w:val="20"/>
              </w:rPr>
              <w:t>)</w:t>
            </w:r>
          </w:p>
        </w:tc>
      </w:tr>
      <w:tr w:rsidR="00000000" w14:paraId="52BBA80E" w14:textId="77777777">
        <w:trPr>
          <w:divId w:val="778068377"/>
          <w:tblCellSpacing w:w="0" w:type="dxa"/>
        </w:trPr>
        <w:tc>
          <w:tcPr>
            <w:tcW w:w="0" w:type="auto"/>
            <w:shd w:val="clear" w:color="auto" w:fill="FFFFFF"/>
            <w:vAlign w:val="bottom"/>
            <w:hideMark/>
          </w:tcPr>
          <w:p w14:paraId="793A9D8F" w14:textId="77777777" w:rsidR="00000000" w:rsidRDefault="0053651E">
            <w:pPr>
              <w:pStyle w:val="a3"/>
              <w:spacing w:before="0" w:beforeAutospacing="0" w:after="0" w:afterAutospacing="0"/>
              <w:rPr>
                <w:sz w:val="20"/>
                <w:szCs w:val="20"/>
              </w:rPr>
            </w:pPr>
            <w:r>
              <w:rPr>
                <w:sz w:val="20"/>
                <w:szCs w:val="20"/>
              </w:rPr>
              <w:t>Other comprehensive income/(loss)</w:t>
            </w:r>
          </w:p>
        </w:tc>
        <w:tc>
          <w:tcPr>
            <w:tcW w:w="50" w:type="pct"/>
            <w:shd w:val="clear" w:color="auto" w:fill="FFFFFF"/>
            <w:vAlign w:val="bottom"/>
            <w:hideMark/>
          </w:tcPr>
          <w:p w14:paraId="58BB68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23F0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D89377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42128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13A6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DBF46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C3AFEC3" w14:textId="77777777" w:rsidR="00000000" w:rsidRDefault="0053651E">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14:paraId="0E4C4A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CAF5B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41387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920C012" w14:textId="77777777" w:rsidR="00000000" w:rsidRDefault="0053651E">
            <w:pPr>
              <w:jc w:val="right"/>
              <w:rPr>
                <w:rFonts w:eastAsia="Times New Roman"/>
                <w:sz w:val="20"/>
                <w:szCs w:val="20"/>
              </w:rPr>
            </w:pPr>
            <w:r>
              <w:rPr>
                <w:rFonts w:eastAsia="Times New Roman"/>
                <w:sz w:val="20"/>
                <w:szCs w:val="20"/>
              </w:rPr>
              <w:t>(7,246</w:t>
            </w:r>
          </w:p>
        </w:tc>
        <w:tc>
          <w:tcPr>
            <w:tcW w:w="50" w:type="pct"/>
            <w:shd w:val="clear" w:color="auto" w:fill="FFFFFF"/>
            <w:vAlign w:val="bottom"/>
            <w:hideMark/>
          </w:tcPr>
          <w:p w14:paraId="48752FE8" w14:textId="77777777" w:rsidR="00000000" w:rsidRDefault="0053651E">
            <w:pPr>
              <w:rPr>
                <w:rFonts w:eastAsia="Times New Roman"/>
                <w:sz w:val="20"/>
                <w:szCs w:val="20"/>
              </w:rPr>
            </w:pPr>
            <w:r>
              <w:rPr>
                <w:rFonts w:eastAsia="Times New Roman"/>
                <w:sz w:val="20"/>
                <w:szCs w:val="20"/>
              </w:rPr>
              <w:t>)</w:t>
            </w:r>
          </w:p>
        </w:tc>
      </w:tr>
      <w:tr w:rsidR="00000000" w14:paraId="0332BD8C" w14:textId="77777777">
        <w:trPr>
          <w:divId w:val="778068377"/>
          <w:tblCellSpacing w:w="0" w:type="dxa"/>
        </w:trPr>
        <w:tc>
          <w:tcPr>
            <w:tcW w:w="0" w:type="auto"/>
            <w:shd w:val="clear" w:color="auto" w:fill="CCEEFF"/>
            <w:vAlign w:val="bottom"/>
            <w:hideMark/>
          </w:tcPr>
          <w:p w14:paraId="042AF39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F74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300A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D96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0F2F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5FB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8445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2DAF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A6AD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D4E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7878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06D03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F5C40" w14:textId="77777777" w:rsidR="00000000" w:rsidRDefault="0053651E">
            <w:pPr>
              <w:rPr>
                <w:rFonts w:eastAsia="Times New Roman"/>
                <w:sz w:val="20"/>
                <w:szCs w:val="20"/>
              </w:rPr>
            </w:pPr>
            <w:r>
              <w:rPr>
                <w:rFonts w:eastAsia="Times New Roman"/>
                <w:sz w:val="20"/>
                <w:szCs w:val="20"/>
              </w:rPr>
              <w:t> </w:t>
            </w:r>
          </w:p>
        </w:tc>
      </w:tr>
      <w:tr w:rsidR="00000000" w14:paraId="3E4931F6" w14:textId="77777777">
        <w:trPr>
          <w:divId w:val="778068377"/>
          <w:tblCellSpacing w:w="0" w:type="dxa"/>
        </w:trPr>
        <w:tc>
          <w:tcPr>
            <w:tcW w:w="0" w:type="auto"/>
            <w:shd w:val="clear" w:color="auto" w:fill="FFFFFF"/>
            <w:vAlign w:val="bottom"/>
            <w:hideMark/>
          </w:tcPr>
          <w:p w14:paraId="4C9E6379" w14:textId="77777777" w:rsidR="00000000" w:rsidRDefault="0053651E">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14:paraId="735AFA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5AB6B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71F5994"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14:paraId="78BC3B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5150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89EF6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B319E3" w14:textId="77777777" w:rsidR="00000000" w:rsidRDefault="0053651E">
            <w:pPr>
              <w:jc w:val="right"/>
              <w:rPr>
                <w:rFonts w:eastAsia="Times New Roman"/>
                <w:sz w:val="20"/>
                <w:szCs w:val="20"/>
              </w:rPr>
            </w:pPr>
            <w:r>
              <w:rPr>
                <w:rFonts w:eastAsia="Times New Roman"/>
                <w:sz w:val="20"/>
                <w:szCs w:val="20"/>
              </w:rPr>
              <w:t>498,807</w:t>
            </w:r>
          </w:p>
        </w:tc>
        <w:tc>
          <w:tcPr>
            <w:tcW w:w="50" w:type="pct"/>
            <w:shd w:val="clear" w:color="auto" w:fill="FFFFFF"/>
            <w:vAlign w:val="bottom"/>
            <w:hideMark/>
          </w:tcPr>
          <w:p w14:paraId="01F50B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D59E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31D74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91BC5A3" w14:textId="77777777" w:rsidR="00000000" w:rsidRDefault="0053651E">
            <w:pPr>
              <w:jc w:val="right"/>
              <w:rPr>
                <w:rFonts w:eastAsia="Times New Roman"/>
                <w:sz w:val="20"/>
                <w:szCs w:val="20"/>
              </w:rPr>
            </w:pPr>
            <w:r>
              <w:rPr>
                <w:rFonts w:eastAsia="Times New Roman"/>
                <w:sz w:val="20"/>
                <w:szCs w:val="20"/>
              </w:rPr>
              <w:t>432,425</w:t>
            </w:r>
          </w:p>
        </w:tc>
        <w:tc>
          <w:tcPr>
            <w:tcW w:w="50" w:type="pct"/>
            <w:shd w:val="clear" w:color="auto" w:fill="FFFFFF"/>
            <w:vAlign w:val="bottom"/>
            <w:hideMark/>
          </w:tcPr>
          <w:p w14:paraId="2979BCB5" w14:textId="77777777" w:rsidR="00000000" w:rsidRDefault="0053651E">
            <w:pPr>
              <w:rPr>
                <w:rFonts w:eastAsia="Times New Roman"/>
                <w:sz w:val="20"/>
                <w:szCs w:val="20"/>
              </w:rPr>
            </w:pPr>
            <w:r>
              <w:rPr>
                <w:rFonts w:eastAsia="Times New Roman"/>
                <w:sz w:val="20"/>
                <w:szCs w:val="20"/>
              </w:rPr>
              <w:t> </w:t>
            </w:r>
          </w:p>
        </w:tc>
      </w:tr>
      <w:tr w:rsidR="00000000" w14:paraId="0B02A6C8" w14:textId="77777777">
        <w:trPr>
          <w:divId w:val="778068377"/>
          <w:tblCellSpacing w:w="0" w:type="dxa"/>
        </w:trPr>
        <w:tc>
          <w:tcPr>
            <w:tcW w:w="0" w:type="auto"/>
            <w:shd w:val="clear" w:color="auto" w:fill="CCEEFF"/>
            <w:vAlign w:val="bottom"/>
            <w:hideMark/>
          </w:tcPr>
          <w:p w14:paraId="190E8BC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509D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842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9DD1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4893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1AB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1D10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C99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C4B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73069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FF1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7C2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DD64A" w14:textId="77777777" w:rsidR="00000000" w:rsidRDefault="0053651E">
            <w:pPr>
              <w:rPr>
                <w:rFonts w:eastAsia="Times New Roman"/>
                <w:sz w:val="20"/>
                <w:szCs w:val="20"/>
              </w:rPr>
            </w:pPr>
            <w:r>
              <w:rPr>
                <w:rFonts w:eastAsia="Times New Roman"/>
                <w:sz w:val="20"/>
                <w:szCs w:val="20"/>
              </w:rPr>
              <w:t> </w:t>
            </w:r>
          </w:p>
        </w:tc>
      </w:tr>
      <w:tr w:rsidR="00000000" w14:paraId="721F69D2" w14:textId="77777777">
        <w:trPr>
          <w:divId w:val="778068377"/>
          <w:tblCellSpacing w:w="0" w:type="dxa"/>
        </w:trPr>
        <w:tc>
          <w:tcPr>
            <w:tcW w:w="0" w:type="auto"/>
            <w:shd w:val="clear" w:color="auto" w:fill="FFFFFF"/>
            <w:vAlign w:val="bottom"/>
            <w:hideMark/>
          </w:tcPr>
          <w:p w14:paraId="7FC50E95" w14:textId="77777777" w:rsidR="00000000" w:rsidRDefault="0053651E">
            <w:pPr>
              <w:pStyle w:val="a3"/>
              <w:spacing w:before="0" w:beforeAutospacing="0" w:after="0" w:afterAutospacing="0"/>
              <w:rPr>
                <w:sz w:val="20"/>
                <w:szCs w:val="20"/>
              </w:rPr>
            </w:pPr>
            <w:r>
              <w:rPr>
                <w:sz w:val="20"/>
                <w:szCs w:val="20"/>
              </w:rPr>
              <w:t>Comprehensive income attributable to noncontrolling interests</w:t>
            </w:r>
          </w:p>
        </w:tc>
        <w:tc>
          <w:tcPr>
            <w:tcW w:w="50" w:type="pct"/>
            <w:shd w:val="clear" w:color="auto" w:fill="FFFFFF"/>
            <w:vAlign w:val="bottom"/>
            <w:hideMark/>
          </w:tcPr>
          <w:p w14:paraId="45CD78B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69CF7C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EDB157D" w14:textId="77777777" w:rsidR="00000000" w:rsidRDefault="0053651E">
            <w:pPr>
              <w:jc w:val="right"/>
              <w:rPr>
                <w:rFonts w:eastAsia="Times New Roman"/>
                <w:sz w:val="20"/>
                <w:szCs w:val="20"/>
              </w:rPr>
            </w:pPr>
            <w:r>
              <w:rPr>
                <w:rFonts w:eastAsia="Times New Roman"/>
                <w:sz w:val="20"/>
                <w:szCs w:val="20"/>
              </w:rPr>
              <w:t>(2,956</w:t>
            </w:r>
          </w:p>
        </w:tc>
        <w:tc>
          <w:tcPr>
            <w:tcW w:w="50" w:type="pct"/>
            <w:shd w:val="clear" w:color="auto" w:fill="FFFFFF"/>
            <w:tcMar>
              <w:top w:w="0" w:type="dxa"/>
              <w:left w:w="0" w:type="dxa"/>
              <w:bottom w:w="15" w:type="dxa"/>
              <w:right w:w="0" w:type="dxa"/>
            </w:tcMar>
            <w:vAlign w:val="bottom"/>
            <w:hideMark/>
          </w:tcPr>
          <w:p w14:paraId="35D4483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BE3E7F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468AC0"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A45E567" w14:textId="77777777" w:rsidR="00000000" w:rsidRDefault="0053651E">
            <w:pPr>
              <w:jc w:val="right"/>
              <w:rPr>
                <w:rFonts w:eastAsia="Times New Roman"/>
                <w:sz w:val="20"/>
                <w:szCs w:val="20"/>
              </w:rPr>
            </w:pPr>
            <w:r>
              <w:rPr>
                <w:rFonts w:eastAsia="Times New Roman"/>
                <w:sz w:val="20"/>
                <w:szCs w:val="20"/>
              </w:rPr>
              <w:t>(668</w:t>
            </w:r>
          </w:p>
        </w:tc>
        <w:tc>
          <w:tcPr>
            <w:tcW w:w="50" w:type="pct"/>
            <w:shd w:val="clear" w:color="auto" w:fill="FFFFFF"/>
            <w:tcMar>
              <w:top w:w="0" w:type="dxa"/>
              <w:left w:w="0" w:type="dxa"/>
              <w:bottom w:w="15" w:type="dxa"/>
              <w:right w:w="0" w:type="dxa"/>
            </w:tcMar>
            <w:vAlign w:val="bottom"/>
            <w:hideMark/>
          </w:tcPr>
          <w:p w14:paraId="167E91B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0A8BF2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4BABC79"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ADD3E5A" w14:textId="77777777" w:rsidR="00000000" w:rsidRDefault="0053651E">
            <w:pPr>
              <w:jc w:val="right"/>
              <w:rPr>
                <w:rFonts w:eastAsia="Times New Roman"/>
                <w:sz w:val="20"/>
                <w:szCs w:val="20"/>
              </w:rPr>
            </w:pPr>
            <w:r>
              <w:rPr>
                <w:rFonts w:eastAsia="Times New Roman"/>
                <w:sz w:val="20"/>
                <w:szCs w:val="20"/>
              </w:rPr>
              <w:t>(13,596</w:t>
            </w:r>
          </w:p>
        </w:tc>
        <w:tc>
          <w:tcPr>
            <w:tcW w:w="50" w:type="pct"/>
            <w:shd w:val="clear" w:color="auto" w:fill="FFFFFF"/>
            <w:tcMar>
              <w:top w:w="0" w:type="dxa"/>
              <w:left w:w="0" w:type="dxa"/>
              <w:bottom w:w="15" w:type="dxa"/>
              <w:right w:w="0" w:type="dxa"/>
            </w:tcMar>
            <w:vAlign w:val="bottom"/>
            <w:hideMark/>
          </w:tcPr>
          <w:p w14:paraId="14ADFF14" w14:textId="77777777" w:rsidR="00000000" w:rsidRDefault="0053651E">
            <w:pPr>
              <w:rPr>
                <w:rFonts w:eastAsia="Times New Roman"/>
                <w:sz w:val="20"/>
                <w:szCs w:val="20"/>
              </w:rPr>
            </w:pPr>
            <w:r>
              <w:rPr>
                <w:rFonts w:eastAsia="Times New Roman"/>
                <w:sz w:val="20"/>
                <w:szCs w:val="20"/>
              </w:rPr>
              <w:t>)</w:t>
            </w:r>
          </w:p>
        </w:tc>
      </w:tr>
      <w:tr w:rsidR="00000000" w14:paraId="36E29E3E" w14:textId="77777777">
        <w:trPr>
          <w:divId w:val="778068377"/>
          <w:tblCellSpacing w:w="0" w:type="dxa"/>
        </w:trPr>
        <w:tc>
          <w:tcPr>
            <w:tcW w:w="0" w:type="auto"/>
            <w:shd w:val="clear" w:color="auto" w:fill="CCEEFF"/>
            <w:vAlign w:val="bottom"/>
            <w:hideMark/>
          </w:tcPr>
          <w:p w14:paraId="3A2B890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4FF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A0E6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170B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089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D9F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2D653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0130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76B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2BC90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B2BD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5EAAD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C7648" w14:textId="77777777" w:rsidR="00000000" w:rsidRDefault="0053651E">
            <w:pPr>
              <w:rPr>
                <w:rFonts w:eastAsia="Times New Roman"/>
                <w:sz w:val="20"/>
                <w:szCs w:val="20"/>
              </w:rPr>
            </w:pPr>
            <w:r>
              <w:rPr>
                <w:rFonts w:eastAsia="Times New Roman"/>
                <w:sz w:val="20"/>
                <w:szCs w:val="20"/>
              </w:rPr>
              <w:t> </w:t>
            </w:r>
          </w:p>
        </w:tc>
      </w:tr>
      <w:tr w:rsidR="00000000" w14:paraId="5F65F8C3" w14:textId="77777777">
        <w:trPr>
          <w:divId w:val="778068377"/>
          <w:tblCellSpacing w:w="0" w:type="dxa"/>
        </w:trPr>
        <w:tc>
          <w:tcPr>
            <w:tcW w:w="0" w:type="auto"/>
            <w:shd w:val="clear" w:color="auto" w:fill="FFFFFF"/>
            <w:vAlign w:val="bottom"/>
            <w:hideMark/>
          </w:tcPr>
          <w:p w14:paraId="2EDD948E" w14:textId="77777777" w:rsidR="00000000" w:rsidRDefault="0053651E">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14:paraId="0598D1D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2B81A06"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BCB32FD" w14:textId="77777777" w:rsidR="00000000" w:rsidRDefault="0053651E">
            <w:pPr>
              <w:jc w:val="right"/>
              <w:rPr>
                <w:rFonts w:eastAsia="Times New Roman"/>
                <w:sz w:val="20"/>
                <w:szCs w:val="20"/>
              </w:rPr>
            </w:pPr>
            <w:r>
              <w:rPr>
                <w:rFonts w:eastAsia="Times New Roman"/>
                <w:sz w:val="20"/>
                <w:szCs w:val="20"/>
              </w:rPr>
              <w:t>410,605</w:t>
            </w:r>
          </w:p>
        </w:tc>
        <w:tc>
          <w:tcPr>
            <w:tcW w:w="50" w:type="pct"/>
            <w:shd w:val="clear" w:color="auto" w:fill="FFFFFF"/>
            <w:tcMar>
              <w:top w:w="0" w:type="dxa"/>
              <w:left w:w="0" w:type="dxa"/>
              <w:bottom w:w="45" w:type="dxa"/>
              <w:right w:w="0" w:type="dxa"/>
            </w:tcMar>
            <w:vAlign w:val="bottom"/>
            <w:hideMark/>
          </w:tcPr>
          <w:p w14:paraId="3D7019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9AE47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13B1035"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1E98177" w14:textId="77777777" w:rsidR="00000000" w:rsidRDefault="0053651E">
            <w:pPr>
              <w:jc w:val="right"/>
              <w:rPr>
                <w:rFonts w:eastAsia="Times New Roman"/>
                <w:sz w:val="20"/>
                <w:szCs w:val="20"/>
              </w:rPr>
            </w:pPr>
            <w:r>
              <w:rPr>
                <w:rFonts w:eastAsia="Times New Roman"/>
                <w:sz w:val="20"/>
                <w:szCs w:val="20"/>
              </w:rPr>
              <w:t>498,139</w:t>
            </w:r>
          </w:p>
        </w:tc>
        <w:tc>
          <w:tcPr>
            <w:tcW w:w="50" w:type="pct"/>
            <w:shd w:val="clear" w:color="auto" w:fill="FFFFFF"/>
            <w:tcMar>
              <w:top w:w="0" w:type="dxa"/>
              <w:left w:w="0" w:type="dxa"/>
              <w:bottom w:w="45" w:type="dxa"/>
              <w:right w:w="0" w:type="dxa"/>
            </w:tcMar>
            <w:vAlign w:val="bottom"/>
            <w:hideMark/>
          </w:tcPr>
          <w:p w14:paraId="2618A5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96941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DBCDDBA"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192DD18" w14:textId="77777777" w:rsidR="00000000" w:rsidRDefault="0053651E">
            <w:pPr>
              <w:jc w:val="right"/>
              <w:rPr>
                <w:rFonts w:eastAsia="Times New Roman"/>
                <w:sz w:val="20"/>
                <w:szCs w:val="20"/>
              </w:rPr>
            </w:pPr>
            <w:r>
              <w:rPr>
                <w:rFonts w:eastAsia="Times New Roman"/>
                <w:sz w:val="20"/>
                <w:szCs w:val="20"/>
              </w:rPr>
              <w:t>418,829</w:t>
            </w:r>
          </w:p>
        </w:tc>
        <w:tc>
          <w:tcPr>
            <w:tcW w:w="50" w:type="pct"/>
            <w:shd w:val="clear" w:color="auto" w:fill="FFFFFF"/>
            <w:tcMar>
              <w:top w:w="0" w:type="dxa"/>
              <w:left w:w="0" w:type="dxa"/>
              <w:bottom w:w="45" w:type="dxa"/>
              <w:right w:w="0" w:type="dxa"/>
            </w:tcMar>
            <w:vAlign w:val="bottom"/>
            <w:hideMark/>
          </w:tcPr>
          <w:p w14:paraId="2A38C839" w14:textId="77777777" w:rsidR="00000000" w:rsidRDefault="0053651E">
            <w:pPr>
              <w:rPr>
                <w:rFonts w:eastAsia="Times New Roman"/>
                <w:sz w:val="20"/>
                <w:szCs w:val="20"/>
              </w:rPr>
            </w:pPr>
            <w:r>
              <w:rPr>
                <w:rFonts w:eastAsia="Times New Roman"/>
                <w:sz w:val="20"/>
                <w:szCs w:val="20"/>
              </w:rPr>
              <w:t> </w:t>
            </w:r>
          </w:p>
        </w:tc>
      </w:tr>
    </w:tbl>
    <w:p w14:paraId="66054AAC" w14:textId="77777777" w:rsidR="00000000" w:rsidRDefault="0053651E">
      <w:pPr>
        <w:pStyle w:val="a3"/>
        <w:spacing w:before="0" w:beforeAutospacing="0" w:after="0" w:afterAutospacing="0"/>
        <w:rPr>
          <w:sz w:val="20"/>
          <w:szCs w:val="20"/>
        </w:rPr>
      </w:pPr>
      <w:r>
        <w:rPr>
          <w:sz w:val="20"/>
          <w:szCs w:val="20"/>
        </w:rPr>
        <w:t> </w:t>
      </w:r>
    </w:p>
    <w:p w14:paraId="740E8FA8" w14:textId="77777777" w:rsidR="00000000" w:rsidRDefault="0053651E">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6DAA24CD" w14:textId="77777777" w:rsidR="00000000" w:rsidRDefault="0053651E">
      <w:pPr>
        <w:pStyle w:val="a3"/>
        <w:spacing w:before="0" w:beforeAutospacing="0" w:after="0" w:afterAutospacing="0"/>
        <w:jc w:val="center"/>
        <w:rPr>
          <w:sz w:val="20"/>
          <w:szCs w:val="20"/>
        </w:rPr>
      </w:pPr>
      <w:r>
        <w:rPr>
          <w:sz w:val="20"/>
          <w:szCs w:val="20"/>
        </w:rPr>
        <w:t> </w:t>
      </w:r>
    </w:p>
    <w:p w14:paraId="3352C795" w14:textId="77777777" w:rsidR="00000000" w:rsidRDefault="0053651E">
      <w:pPr>
        <w:jc w:val="center"/>
        <w:divId w:val="1016809957"/>
        <w:rPr>
          <w:rFonts w:eastAsia="Times New Roman"/>
          <w:sz w:val="20"/>
          <w:szCs w:val="20"/>
        </w:rPr>
      </w:pPr>
      <w:r>
        <w:rPr>
          <w:rFonts w:eastAsia="Times New Roman"/>
          <w:sz w:val="20"/>
          <w:szCs w:val="20"/>
        </w:rPr>
        <w:t xml:space="preserve">46 </w:t>
      </w:r>
    </w:p>
    <w:p w14:paraId="09BF6364" w14:textId="77777777" w:rsidR="00000000" w:rsidRDefault="0053651E">
      <w:pPr>
        <w:divId w:val="1016809957"/>
        <w:rPr>
          <w:rFonts w:eastAsia="Times New Roman"/>
          <w:sz w:val="20"/>
          <w:szCs w:val="20"/>
        </w:rPr>
      </w:pPr>
      <w:r>
        <w:rPr>
          <w:rFonts w:eastAsia="Times New Roman"/>
          <w:sz w:val="20"/>
          <w:szCs w:val="20"/>
        </w:rPr>
        <w:pict w14:anchorId="490F6ACC">
          <v:rect id="_x0000_i1077" style="width:0;height:1.5pt" o:hralign="center" o:hrstd="t" o:hr="t" fillcolor="#a0a0a0" stroked="f"/>
        </w:pict>
      </w:r>
    </w:p>
    <w:p w14:paraId="0E54B904" w14:textId="77777777" w:rsidR="00000000" w:rsidRDefault="0053651E">
      <w:pPr>
        <w:divId w:val="10168099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34A7F14" w14:textId="77777777" w:rsidR="00000000" w:rsidRDefault="0053651E">
      <w:pPr>
        <w:divId w:val="1941251878"/>
        <w:rPr>
          <w:rFonts w:eastAsia="Times New Roman"/>
          <w:sz w:val="20"/>
          <w:szCs w:val="20"/>
        </w:rPr>
      </w:pPr>
      <w:r>
        <w:rPr>
          <w:rFonts w:eastAsia="Times New Roman"/>
          <w:sz w:val="20"/>
          <w:szCs w:val="20"/>
        </w:rPr>
        <w:t xml:space="preserve">  </w:t>
      </w:r>
    </w:p>
    <w:p w14:paraId="3BFA1E0C" w14:textId="77777777" w:rsidR="00000000" w:rsidRDefault="0053651E">
      <w:pPr>
        <w:pStyle w:val="a3"/>
        <w:spacing w:before="0" w:beforeAutospacing="0" w:after="0" w:afterAutospacing="0"/>
        <w:rPr>
          <w:sz w:val="20"/>
          <w:szCs w:val="20"/>
        </w:rPr>
      </w:pPr>
      <w:r>
        <w:rPr>
          <w:sz w:val="20"/>
          <w:szCs w:val="20"/>
        </w:rPr>
        <w:t> </w:t>
      </w:r>
    </w:p>
    <w:p w14:paraId="055F8EE6"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DF9CD8B" w14:textId="77777777" w:rsidR="00000000" w:rsidRDefault="0053651E">
      <w:pPr>
        <w:pStyle w:val="a3"/>
        <w:spacing w:before="0" w:beforeAutospacing="0" w:after="0" w:afterAutospacing="0"/>
        <w:jc w:val="center"/>
        <w:rPr>
          <w:sz w:val="20"/>
          <w:szCs w:val="20"/>
        </w:rPr>
      </w:pPr>
      <w:r>
        <w:rPr>
          <w:sz w:val="20"/>
          <w:szCs w:val="20"/>
        </w:rPr>
        <w:t>CONSOLIDATED STATEMENTS OF CHANGES IN EQUITY</w:t>
      </w:r>
    </w:p>
    <w:p w14:paraId="334F2BFB" w14:textId="77777777" w:rsidR="00000000" w:rsidRDefault="0053651E">
      <w:pPr>
        <w:pStyle w:val="a3"/>
        <w:spacing w:before="0" w:beforeAutospacing="0" w:after="0" w:afterAutospacing="0"/>
        <w:jc w:val="center"/>
        <w:rPr>
          <w:sz w:val="20"/>
          <w:szCs w:val="20"/>
        </w:rPr>
      </w:pPr>
      <w:r>
        <w:rPr>
          <w:sz w:val="20"/>
          <w:szCs w:val="20"/>
        </w:rPr>
        <w:t>For the Years Ended December 31, 2019, 2018 and 2017</w:t>
      </w:r>
    </w:p>
    <w:p w14:paraId="7F5717E4" w14:textId="77777777" w:rsidR="00000000" w:rsidRDefault="0053651E">
      <w:pPr>
        <w:pStyle w:val="a3"/>
        <w:spacing w:before="0" w:beforeAutospacing="0" w:after="0" w:afterAutospacing="0"/>
        <w:jc w:val="center"/>
        <w:rPr>
          <w:sz w:val="20"/>
          <w:szCs w:val="20"/>
        </w:rPr>
      </w:pPr>
      <w:r>
        <w:rPr>
          <w:sz w:val="20"/>
          <w:szCs w:val="20"/>
        </w:rPr>
        <w:t>(in thousands) </w:t>
      </w:r>
    </w:p>
    <w:p w14:paraId="4B3C929E" w14:textId="77777777" w:rsidR="00000000" w:rsidRDefault="0053651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5"/>
        <w:gridCol w:w="40"/>
        <w:gridCol w:w="108"/>
        <w:gridCol w:w="964"/>
        <w:gridCol w:w="54"/>
        <w:gridCol w:w="40"/>
        <w:gridCol w:w="134"/>
        <w:gridCol w:w="933"/>
        <w:gridCol w:w="54"/>
        <w:gridCol w:w="40"/>
        <w:gridCol w:w="88"/>
        <w:gridCol w:w="349"/>
        <w:gridCol w:w="56"/>
        <w:gridCol w:w="55"/>
        <w:gridCol w:w="113"/>
        <w:gridCol w:w="448"/>
        <w:gridCol w:w="54"/>
        <w:gridCol w:w="40"/>
        <w:gridCol w:w="40"/>
        <w:gridCol w:w="520"/>
        <w:gridCol w:w="54"/>
        <w:gridCol w:w="40"/>
        <w:gridCol w:w="113"/>
        <w:gridCol w:w="448"/>
        <w:gridCol w:w="54"/>
        <w:gridCol w:w="40"/>
        <w:gridCol w:w="80"/>
        <w:gridCol w:w="640"/>
        <w:gridCol w:w="54"/>
        <w:gridCol w:w="40"/>
        <w:gridCol w:w="156"/>
        <w:gridCol w:w="778"/>
        <w:gridCol w:w="54"/>
        <w:gridCol w:w="40"/>
        <w:gridCol w:w="148"/>
        <w:gridCol w:w="884"/>
        <w:gridCol w:w="54"/>
        <w:gridCol w:w="40"/>
        <w:gridCol w:w="80"/>
        <w:gridCol w:w="640"/>
        <w:gridCol w:w="54"/>
      </w:tblGrid>
      <w:tr w:rsidR="00000000" w14:paraId="5F8A601E" w14:textId="77777777">
        <w:trPr>
          <w:divId w:val="1059287255"/>
          <w:tblCellSpacing w:w="0" w:type="dxa"/>
        </w:trPr>
        <w:tc>
          <w:tcPr>
            <w:tcW w:w="950" w:type="pct"/>
            <w:vAlign w:val="bottom"/>
            <w:hideMark/>
          </w:tcPr>
          <w:p w14:paraId="6DD19CEC"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1D7E0EA9"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080525DE" w14:textId="77777777" w:rsidR="00000000" w:rsidRDefault="0053651E">
            <w:pPr>
              <w:jc w:val="center"/>
              <w:rPr>
                <w:rFonts w:eastAsia="Times New Roman"/>
                <w:sz w:val="16"/>
                <w:szCs w:val="16"/>
              </w:rPr>
            </w:pPr>
            <w:r>
              <w:rPr>
                <w:rFonts w:eastAsia="Times New Roman"/>
                <w:b/>
                <w:bCs/>
                <w:sz w:val="16"/>
                <w:szCs w:val="16"/>
              </w:rPr>
              <w:t>Cumulative</w:t>
            </w:r>
          </w:p>
        </w:tc>
        <w:tc>
          <w:tcPr>
            <w:tcW w:w="50" w:type="pct"/>
            <w:vAlign w:val="bottom"/>
            <w:hideMark/>
          </w:tcPr>
          <w:p w14:paraId="488A592A"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7E8B7DD7"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48679C4A" w14:textId="77777777" w:rsidR="00000000" w:rsidRDefault="0053651E">
            <w:pPr>
              <w:pStyle w:val="a3"/>
              <w:spacing w:before="0" w:beforeAutospacing="0" w:after="0" w:afterAutospacing="0"/>
              <w:jc w:val="center"/>
              <w:rPr>
                <w:sz w:val="16"/>
                <w:szCs w:val="16"/>
              </w:rPr>
            </w:pPr>
            <w:r>
              <w:rPr>
                <w:b/>
                <w:bCs/>
                <w:sz w:val="16"/>
                <w:szCs w:val="16"/>
              </w:rPr>
              <w:t>Accumulated</w:t>
            </w:r>
          </w:p>
        </w:tc>
        <w:tc>
          <w:tcPr>
            <w:tcW w:w="50" w:type="pct"/>
            <w:vAlign w:val="bottom"/>
            <w:hideMark/>
          </w:tcPr>
          <w:p w14:paraId="49E38E09"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9CCD03A"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015D1C90"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6C1D6B78"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3FB0CC69"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7C9EBA39"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705B13FE"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711AD7B4"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2DD20BE7"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6E1F6BF7"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467DD4C5"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64587516"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3090BFEF"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3C1FFFBA"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2A25C7C"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19C2D9B1"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63260A34"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456261DB"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6A50D6CA"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3A4CE11E"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32651EA8"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6C55D5F1"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3FD6042" w14:textId="77777777" w:rsidR="00000000" w:rsidRDefault="0053651E">
            <w:pPr>
              <w:rPr>
                <w:rFonts w:eastAsia="Times New Roman"/>
                <w:sz w:val="16"/>
                <w:szCs w:val="16"/>
              </w:rPr>
            </w:pPr>
            <w:r>
              <w:rPr>
                <w:rFonts w:eastAsia="Times New Roman"/>
                <w:b/>
                <w:bCs/>
                <w:sz w:val="16"/>
                <w:szCs w:val="16"/>
              </w:rPr>
              <w:t> </w:t>
            </w:r>
          </w:p>
        </w:tc>
        <w:tc>
          <w:tcPr>
            <w:tcW w:w="250" w:type="pct"/>
            <w:vAlign w:val="bottom"/>
            <w:hideMark/>
          </w:tcPr>
          <w:p w14:paraId="1A62986C"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537E35E9"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2BE6FAD8"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57320A15" w14:textId="77777777" w:rsidR="00000000" w:rsidRDefault="0053651E">
            <w:pPr>
              <w:rPr>
                <w:rFonts w:eastAsia="Times New Roman"/>
                <w:sz w:val="16"/>
                <w:szCs w:val="16"/>
              </w:rPr>
            </w:pPr>
            <w:r>
              <w:rPr>
                <w:rFonts w:eastAsia="Times New Roman"/>
                <w:b/>
                <w:bCs/>
                <w:sz w:val="16"/>
                <w:szCs w:val="16"/>
              </w:rPr>
              <w:t> </w:t>
            </w:r>
          </w:p>
        </w:tc>
        <w:tc>
          <w:tcPr>
            <w:tcW w:w="300" w:type="pct"/>
            <w:vAlign w:val="bottom"/>
            <w:hideMark/>
          </w:tcPr>
          <w:p w14:paraId="35B9AAC3"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2ED8BA3B"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4B6D3689"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7D1FC16"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0DC0BB6D"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35E2F97F" w14:textId="77777777" w:rsidR="00000000" w:rsidRDefault="0053651E">
            <w:pPr>
              <w:rPr>
                <w:rFonts w:eastAsia="Times New Roman"/>
                <w:sz w:val="16"/>
                <w:szCs w:val="16"/>
              </w:rPr>
            </w:pPr>
            <w:r>
              <w:rPr>
                <w:rFonts w:eastAsia="Times New Roman"/>
                <w:b/>
                <w:bCs/>
                <w:sz w:val="16"/>
                <w:szCs w:val="16"/>
              </w:rPr>
              <w:t> </w:t>
            </w:r>
          </w:p>
        </w:tc>
      </w:tr>
      <w:tr w:rsidR="00000000" w14:paraId="50D5ABCD" w14:textId="77777777">
        <w:trPr>
          <w:divId w:val="1059287255"/>
          <w:tblCellSpacing w:w="0" w:type="dxa"/>
        </w:trPr>
        <w:tc>
          <w:tcPr>
            <w:tcW w:w="950" w:type="pct"/>
            <w:vAlign w:val="bottom"/>
            <w:hideMark/>
          </w:tcPr>
          <w:p w14:paraId="5A9636B7"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4FBDDFD3"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42407738" w14:textId="77777777" w:rsidR="00000000" w:rsidRDefault="0053651E">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3E2A89D1"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00F5F50A"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76C63980" w14:textId="77777777" w:rsidR="00000000" w:rsidRDefault="0053651E">
            <w:pPr>
              <w:pStyle w:val="a3"/>
              <w:spacing w:before="0" w:beforeAutospacing="0" w:after="0" w:afterAutospacing="0"/>
              <w:jc w:val="center"/>
              <w:rPr>
                <w:sz w:val="16"/>
                <w:szCs w:val="16"/>
              </w:rPr>
            </w:pPr>
            <w:r>
              <w:rPr>
                <w:b/>
                <w:bCs/>
                <w:sz w:val="16"/>
                <w:szCs w:val="16"/>
              </w:rPr>
              <w:t>Other</w:t>
            </w:r>
          </w:p>
        </w:tc>
        <w:tc>
          <w:tcPr>
            <w:tcW w:w="50" w:type="pct"/>
            <w:vAlign w:val="bottom"/>
            <w:hideMark/>
          </w:tcPr>
          <w:p w14:paraId="2D98DE89"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5C9DF686"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3075AD5"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3C34634A"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40D1D36B"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4CA878ED"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7633F9C1"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43016344"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2749EED0"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5A5B6380"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7F04F957"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7CDE889F"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002C2C15"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39A3DFE5"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5ED12BDB"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198C6CB8"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3B33817F"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41FBB6E2"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70A3DC75"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594D64F8"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092770AA"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4919D2D1"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7EB98A71" w14:textId="77777777" w:rsidR="00000000" w:rsidRDefault="0053651E">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2F010E2F"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5689E1BC"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02A5E023" w14:textId="77777777" w:rsidR="00000000" w:rsidRDefault="0053651E">
            <w:pPr>
              <w:rPr>
                <w:rFonts w:eastAsia="Times New Roman"/>
                <w:sz w:val="16"/>
                <w:szCs w:val="16"/>
              </w:rPr>
            </w:pPr>
            <w:r>
              <w:rPr>
                <w:rFonts w:eastAsia="Times New Roman"/>
                <w:b/>
                <w:bCs/>
                <w:sz w:val="16"/>
                <w:szCs w:val="16"/>
              </w:rPr>
              <w:t> </w:t>
            </w:r>
          </w:p>
        </w:tc>
        <w:tc>
          <w:tcPr>
            <w:tcW w:w="300" w:type="pct"/>
            <w:vAlign w:val="bottom"/>
            <w:hideMark/>
          </w:tcPr>
          <w:p w14:paraId="30945557"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459AAE0B" w14:textId="77777777" w:rsidR="00000000" w:rsidRDefault="0053651E">
            <w:pPr>
              <w:rPr>
                <w:rFonts w:eastAsia="Times New Roman"/>
                <w:sz w:val="16"/>
                <w:szCs w:val="16"/>
              </w:rPr>
            </w:pPr>
            <w:r>
              <w:rPr>
                <w:rFonts w:eastAsia="Times New Roman"/>
                <w:b/>
                <w:bCs/>
                <w:sz w:val="16"/>
                <w:szCs w:val="16"/>
              </w:rPr>
              <w:t> </w:t>
            </w:r>
          </w:p>
        </w:tc>
        <w:tc>
          <w:tcPr>
            <w:tcW w:w="50" w:type="pct"/>
            <w:vAlign w:val="bottom"/>
            <w:hideMark/>
          </w:tcPr>
          <w:p w14:paraId="5A13B8C2"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41A3BF5F" w14:textId="77777777" w:rsidR="00000000" w:rsidRDefault="0053651E">
            <w:pPr>
              <w:rPr>
                <w:rFonts w:eastAsia="Times New Roman"/>
                <w:sz w:val="16"/>
                <w:szCs w:val="16"/>
              </w:rPr>
            </w:pPr>
            <w:r>
              <w:rPr>
                <w:rFonts w:eastAsia="Times New Roman"/>
                <w:b/>
                <w:bCs/>
                <w:sz w:val="16"/>
                <w:szCs w:val="16"/>
              </w:rPr>
              <w:t> </w:t>
            </w:r>
          </w:p>
        </w:tc>
        <w:tc>
          <w:tcPr>
            <w:tcW w:w="200" w:type="pct"/>
            <w:vAlign w:val="bottom"/>
            <w:hideMark/>
          </w:tcPr>
          <w:p w14:paraId="41F171A2" w14:textId="77777777" w:rsidR="00000000" w:rsidRDefault="0053651E">
            <w:pPr>
              <w:jc w:val="center"/>
              <w:rPr>
                <w:rFonts w:eastAsia="Times New Roman"/>
                <w:sz w:val="16"/>
                <w:szCs w:val="16"/>
              </w:rPr>
            </w:pPr>
            <w:r>
              <w:rPr>
                <w:rFonts w:eastAsia="Times New Roman"/>
                <w:b/>
                <w:bCs/>
                <w:sz w:val="16"/>
                <w:szCs w:val="16"/>
              </w:rPr>
              <w:t> </w:t>
            </w:r>
          </w:p>
        </w:tc>
        <w:tc>
          <w:tcPr>
            <w:tcW w:w="50" w:type="pct"/>
            <w:vAlign w:val="bottom"/>
            <w:hideMark/>
          </w:tcPr>
          <w:p w14:paraId="66A130B0" w14:textId="77777777" w:rsidR="00000000" w:rsidRDefault="0053651E">
            <w:pPr>
              <w:rPr>
                <w:rFonts w:eastAsia="Times New Roman"/>
                <w:sz w:val="16"/>
                <w:szCs w:val="16"/>
              </w:rPr>
            </w:pPr>
            <w:r>
              <w:rPr>
                <w:rFonts w:eastAsia="Times New Roman"/>
                <w:b/>
                <w:bCs/>
                <w:sz w:val="16"/>
                <w:szCs w:val="16"/>
              </w:rPr>
              <w:t> </w:t>
            </w:r>
          </w:p>
        </w:tc>
      </w:tr>
      <w:tr w:rsidR="00000000" w14:paraId="1CB750AA" w14:textId="77777777">
        <w:trPr>
          <w:divId w:val="1059287255"/>
          <w:tblCellSpacing w:w="0" w:type="dxa"/>
        </w:trPr>
        <w:tc>
          <w:tcPr>
            <w:tcW w:w="950" w:type="pct"/>
            <w:vAlign w:val="bottom"/>
            <w:hideMark/>
          </w:tcPr>
          <w:p w14:paraId="302CA579"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BD4F02B"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730E79F5" w14:textId="77777777" w:rsidR="00000000" w:rsidRDefault="0053651E">
            <w:pPr>
              <w:pStyle w:val="a3"/>
              <w:spacing w:before="0" w:beforeAutospacing="0" w:after="0" w:afterAutospacing="0"/>
              <w:jc w:val="center"/>
              <w:rPr>
                <w:sz w:val="16"/>
                <w:szCs w:val="16"/>
              </w:rPr>
            </w:pPr>
            <w:r>
              <w:rPr>
                <w:b/>
                <w:bCs/>
                <w:sz w:val="16"/>
                <w:szCs w:val="16"/>
              </w:rPr>
              <w:t xml:space="preserve">Excess of Net </w:t>
            </w:r>
          </w:p>
        </w:tc>
        <w:tc>
          <w:tcPr>
            <w:tcW w:w="50" w:type="pct"/>
            <w:vAlign w:val="bottom"/>
            <w:hideMark/>
          </w:tcPr>
          <w:p w14:paraId="0D69B221"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2AE354DC"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6E3B5097" w14:textId="77777777" w:rsidR="00000000" w:rsidRDefault="0053651E">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14:paraId="748F946F"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433E4F99" w14:textId="77777777" w:rsidR="00000000" w:rsidRDefault="0053651E">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4880825D" w14:textId="77777777" w:rsidR="00000000" w:rsidRDefault="0053651E">
            <w:pPr>
              <w:pStyle w:val="a3"/>
              <w:spacing w:before="0" w:beforeAutospacing="0" w:after="0" w:afterAutospacing="0"/>
              <w:jc w:val="center"/>
              <w:rPr>
                <w:sz w:val="16"/>
                <w:szCs w:val="16"/>
              </w:rPr>
            </w:pPr>
            <w:r>
              <w:rPr>
                <w:b/>
                <w:bCs/>
                <w:sz w:val="16"/>
                <w:szCs w:val="16"/>
              </w:rPr>
              <w:t>Preferred Stock</w:t>
            </w:r>
          </w:p>
        </w:tc>
        <w:tc>
          <w:tcPr>
            <w:tcW w:w="50" w:type="pct"/>
            <w:vAlign w:val="bottom"/>
            <w:hideMark/>
          </w:tcPr>
          <w:p w14:paraId="05160534"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38D24015" w14:textId="77777777" w:rsidR="00000000" w:rsidRDefault="0053651E">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74F13533" w14:textId="77777777" w:rsidR="00000000" w:rsidRDefault="0053651E">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14:paraId="6492E1FB"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71F44F25"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448D2D09" w14:textId="77777777" w:rsidR="00000000" w:rsidRDefault="0053651E">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77059000"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2B72591F"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5CD1BD52" w14:textId="77777777" w:rsidR="00000000" w:rsidRDefault="0053651E">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7558E26E"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6DF38886"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32C9728B" w14:textId="77777777" w:rsidR="00000000" w:rsidRDefault="0053651E">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753C0DB1" w14:textId="77777777" w:rsidR="00000000" w:rsidRDefault="0053651E">
            <w:pPr>
              <w:rPr>
                <w:rFonts w:eastAsia="Times New Roman"/>
                <w:sz w:val="16"/>
                <w:szCs w:val="16"/>
              </w:rPr>
            </w:pPr>
            <w:r>
              <w:rPr>
                <w:rFonts w:eastAsia="Times New Roman"/>
                <w:sz w:val="16"/>
                <w:szCs w:val="16"/>
              </w:rPr>
              <w:t> </w:t>
            </w:r>
          </w:p>
        </w:tc>
        <w:tc>
          <w:tcPr>
            <w:tcW w:w="50" w:type="pct"/>
            <w:vAlign w:val="bottom"/>
            <w:hideMark/>
          </w:tcPr>
          <w:p w14:paraId="1BE63F48" w14:textId="77777777" w:rsidR="00000000" w:rsidRDefault="0053651E">
            <w:pPr>
              <w:rPr>
                <w:rFonts w:eastAsia="Times New Roman"/>
                <w:sz w:val="16"/>
                <w:szCs w:val="16"/>
              </w:rPr>
            </w:pPr>
            <w:r>
              <w:rPr>
                <w:rFonts w:eastAsia="Times New Roman"/>
                <w:sz w:val="16"/>
                <w:szCs w:val="16"/>
              </w:rPr>
              <w:t> </w:t>
            </w:r>
          </w:p>
        </w:tc>
        <w:tc>
          <w:tcPr>
            <w:tcW w:w="50" w:type="pct"/>
            <w:gridSpan w:val="2"/>
            <w:vAlign w:val="bottom"/>
            <w:hideMark/>
          </w:tcPr>
          <w:p w14:paraId="6B1669EC" w14:textId="77777777" w:rsidR="00000000" w:rsidRDefault="0053651E">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55EA687C" w14:textId="77777777" w:rsidR="00000000" w:rsidRDefault="0053651E">
            <w:pPr>
              <w:rPr>
                <w:rFonts w:eastAsia="Times New Roman"/>
                <w:sz w:val="16"/>
                <w:szCs w:val="16"/>
              </w:rPr>
            </w:pPr>
            <w:r>
              <w:rPr>
                <w:rFonts w:eastAsia="Times New Roman"/>
                <w:sz w:val="16"/>
                <w:szCs w:val="16"/>
              </w:rPr>
              <w:t> </w:t>
            </w:r>
          </w:p>
        </w:tc>
      </w:tr>
      <w:tr w:rsidR="00000000" w14:paraId="28912600" w14:textId="77777777">
        <w:trPr>
          <w:divId w:val="1059287255"/>
          <w:tblCellSpacing w:w="0" w:type="dxa"/>
        </w:trPr>
        <w:tc>
          <w:tcPr>
            <w:tcW w:w="950" w:type="pct"/>
            <w:vAlign w:val="bottom"/>
            <w:hideMark/>
          </w:tcPr>
          <w:p w14:paraId="3F9E47A6" w14:textId="77777777" w:rsidR="00000000" w:rsidRDefault="0053651E">
            <w:pPr>
              <w:rPr>
                <w:rFonts w:eastAsia="Times New Roman"/>
                <w:sz w:val="16"/>
                <w:szCs w:val="16"/>
              </w:rPr>
            </w:pPr>
            <w:r>
              <w:rPr>
                <w:rFonts w:eastAsia="Times New Roman"/>
                <w:sz w:val="16"/>
                <w:szCs w:val="16"/>
              </w:rPr>
              <w:t> </w:t>
            </w:r>
          </w:p>
        </w:tc>
        <w:tc>
          <w:tcPr>
            <w:tcW w:w="50" w:type="pct"/>
            <w:tcMar>
              <w:top w:w="0" w:type="dxa"/>
              <w:left w:w="0" w:type="dxa"/>
              <w:bottom w:w="15" w:type="dxa"/>
              <w:right w:w="0" w:type="dxa"/>
            </w:tcMar>
            <w:vAlign w:val="bottom"/>
            <w:hideMark/>
          </w:tcPr>
          <w:p w14:paraId="362F867E"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8476BC9" w14:textId="77777777" w:rsidR="00000000" w:rsidRDefault="0053651E">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14:paraId="46FED9F5"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9FC60F9"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221098D" w14:textId="77777777" w:rsidR="00000000" w:rsidRDefault="0053651E">
            <w:pPr>
              <w:pStyle w:val="a3"/>
              <w:spacing w:before="0" w:beforeAutospacing="0" w:after="0" w:afterAutospacing="0"/>
              <w:jc w:val="center"/>
              <w:rPr>
                <w:sz w:val="16"/>
                <w:szCs w:val="16"/>
              </w:rPr>
            </w:pPr>
            <w:r>
              <w:rPr>
                <w:b/>
                <w:bCs/>
                <w:sz w:val="16"/>
                <w:szCs w:val="16"/>
              </w:rPr>
              <w:t>Income /(Loss)</w:t>
            </w:r>
          </w:p>
        </w:tc>
        <w:tc>
          <w:tcPr>
            <w:tcW w:w="50" w:type="pct"/>
            <w:tcBorders>
              <w:bottom w:val="single" w:sz="6" w:space="0" w:color="000000"/>
            </w:tcBorders>
            <w:vAlign w:val="bottom"/>
            <w:hideMark/>
          </w:tcPr>
          <w:p w14:paraId="68781893"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2539BA3"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C86AD0F" w14:textId="77777777" w:rsidR="00000000" w:rsidRDefault="0053651E">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15A9E10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12BB04D"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417481F" w14:textId="77777777" w:rsidR="00000000" w:rsidRDefault="0053651E">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3C36B86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A4D6465"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6113EC6" w14:textId="77777777" w:rsidR="00000000" w:rsidRDefault="0053651E">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7EA201B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8292792"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DDFCE33" w14:textId="77777777" w:rsidR="00000000" w:rsidRDefault="0053651E">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1DF6634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04B7216"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96480EC" w14:textId="77777777" w:rsidR="00000000" w:rsidRDefault="0053651E">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5FB2A9C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4286BDE"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DBF1A68" w14:textId="77777777" w:rsidR="00000000" w:rsidRDefault="0053651E">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2765042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95D86D0"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409C54F" w14:textId="77777777" w:rsidR="00000000" w:rsidRDefault="0053651E">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45E3492E"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B7B4F9D" w14:textId="77777777" w:rsidR="00000000" w:rsidRDefault="0053651E">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4AA1514" w14:textId="77777777" w:rsidR="00000000" w:rsidRDefault="0053651E">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0BF747FB" w14:textId="77777777" w:rsidR="00000000" w:rsidRDefault="0053651E">
            <w:pPr>
              <w:rPr>
                <w:rFonts w:eastAsia="Times New Roman"/>
                <w:sz w:val="16"/>
                <w:szCs w:val="16"/>
              </w:rPr>
            </w:pPr>
            <w:r>
              <w:rPr>
                <w:rFonts w:eastAsia="Times New Roman"/>
                <w:sz w:val="16"/>
                <w:szCs w:val="16"/>
              </w:rPr>
              <w:t> </w:t>
            </w:r>
          </w:p>
        </w:tc>
      </w:tr>
      <w:tr w:rsidR="0053651E" w14:paraId="080FF512" w14:textId="77777777">
        <w:trPr>
          <w:divId w:val="1059287255"/>
          <w:tblCellSpacing w:w="0" w:type="dxa"/>
        </w:trPr>
        <w:tc>
          <w:tcPr>
            <w:tcW w:w="950" w:type="pct"/>
            <w:shd w:val="clear" w:color="auto" w:fill="CCEEFF"/>
            <w:vAlign w:val="bottom"/>
            <w:hideMark/>
          </w:tcPr>
          <w:p w14:paraId="636BA238" w14:textId="77777777" w:rsidR="00000000" w:rsidRDefault="0053651E">
            <w:pPr>
              <w:pStyle w:val="a3"/>
              <w:spacing w:before="0" w:beforeAutospacing="0" w:after="0" w:afterAutospacing="0"/>
              <w:rPr>
                <w:sz w:val="16"/>
                <w:szCs w:val="16"/>
              </w:rPr>
            </w:pPr>
            <w:r>
              <w:rPr>
                <w:sz w:val="16"/>
                <w:szCs w:val="16"/>
              </w:rPr>
              <w:t>Balance, January 1, 2017</w:t>
            </w:r>
          </w:p>
        </w:tc>
        <w:tc>
          <w:tcPr>
            <w:tcW w:w="50" w:type="pct"/>
            <w:shd w:val="clear" w:color="auto" w:fill="CCEEFF"/>
            <w:vAlign w:val="bottom"/>
            <w:hideMark/>
          </w:tcPr>
          <w:p w14:paraId="333B1E7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0D09E1" w14:textId="77777777" w:rsidR="00000000" w:rsidRDefault="0053651E">
            <w:pPr>
              <w:rPr>
                <w:rFonts w:eastAsia="Times New Roman"/>
                <w:sz w:val="16"/>
                <w:szCs w:val="16"/>
              </w:rPr>
            </w:pPr>
            <w:r>
              <w:rPr>
                <w:rFonts w:eastAsia="Times New Roman"/>
                <w:sz w:val="16"/>
                <w:szCs w:val="16"/>
              </w:rPr>
              <w:t>$</w:t>
            </w:r>
          </w:p>
        </w:tc>
        <w:tc>
          <w:tcPr>
            <w:tcW w:w="450" w:type="pct"/>
            <w:shd w:val="clear" w:color="auto" w:fill="CCEEFF"/>
            <w:vAlign w:val="bottom"/>
            <w:hideMark/>
          </w:tcPr>
          <w:p w14:paraId="5540FB97" w14:textId="77777777" w:rsidR="00000000" w:rsidRDefault="0053651E">
            <w:pPr>
              <w:jc w:val="right"/>
              <w:rPr>
                <w:rFonts w:eastAsia="Times New Roman"/>
                <w:sz w:val="16"/>
                <w:szCs w:val="16"/>
              </w:rPr>
            </w:pPr>
            <w:r>
              <w:rPr>
                <w:rFonts w:eastAsia="Times New Roman"/>
                <w:sz w:val="16"/>
                <w:szCs w:val="16"/>
              </w:rPr>
              <w:t>(676,867</w:t>
            </w:r>
          </w:p>
        </w:tc>
        <w:tc>
          <w:tcPr>
            <w:tcW w:w="50" w:type="pct"/>
            <w:shd w:val="clear" w:color="auto" w:fill="CCEEFF"/>
            <w:vAlign w:val="bottom"/>
            <w:hideMark/>
          </w:tcPr>
          <w:p w14:paraId="3900BDA0"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6C7780E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9A3A8C" w14:textId="77777777" w:rsidR="00000000" w:rsidRDefault="0053651E">
            <w:pPr>
              <w:rPr>
                <w:rFonts w:eastAsia="Times New Roman"/>
                <w:sz w:val="16"/>
                <w:szCs w:val="16"/>
              </w:rPr>
            </w:pPr>
            <w:r>
              <w:rPr>
                <w:rFonts w:eastAsia="Times New Roman"/>
                <w:sz w:val="16"/>
                <w:szCs w:val="16"/>
              </w:rPr>
              <w:t>$</w:t>
            </w:r>
          </w:p>
        </w:tc>
        <w:tc>
          <w:tcPr>
            <w:tcW w:w="350" w:type="pct"/>
            <w:shd w:val="clear" w:color="auto" w:fill="CCEEFF"/>
            <w:vAlign w:val="bottom"/>
            <w:hideMark/>
          </w:tcPr>
          <w:p w14:paraId="1AC4F217" w14:textId="77777777" w:rsidR="00000000" w:rsidRDefault="0053651E">
            <w:pPr>
              <w:jc w:val="right"/>
              <w:rPr>
                <w:rFonts w:eastAsia="Times New Roman"/>
                <w:sz w:val="16"/>
                <w:szCs w:val="16"/>
              </w:rPr>
            </w:pPr>
            <w:r>
              <w:rPr>
                <w:rFonts w:eastAsia="Times New Roman"/>
                <w:sz w:val="16"/>
                <w:szCs w:val="16"/>
              </w:rPr>
              <w:t>5,766</w:t>
            </w:r>
          </w:p>
        </w:tc>
        <w:tc>
          <w:tcPr>
            <w:tcW w:w="50" w:type="pct"/>
            <w:shd w:val="clear" w:color="auto" w:fill="CCEEFF"/>
            <w:vAlign w:val="bottom"/>
            <w:hideMark/>
          </w:tcPr>
          <w:p w14:paraId="10881F0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1BB5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1A33E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B468BED" w14:textId="77777777" w:rsidR="00000000" w:rsidRDefault="0053651E">
            <w:pPr>
              <w:jc w:val="right"/>
              <w:rPr>
                <w:rFonts w:eastAsia="Times New Roman"/>
                <w:sz w:val="16"/>
                <w:szCs w:val="16"/>
              </w:rPr>
            </w:pPr>
            <w:r>
              <w:rPr>
                <w:rFonts w:eastAsia="Times New Roman"/>
                <w:sz w:val="16"/>
                <w:szCs w:val="16"/>
              </w:rPr>
              <w:t>32</w:t>
            </w:r>
          </w:p>
        </w:tc>
        <w:tc>
          <w:tcPr>
            <w:tcW w:w="50" w:type="pct"/>
            <w:shd w:val="clear" w:color="auto" w:fill="CCEEFF"/>
            <w:vAlign w:val="bottom"/>
            <w:hideMark/>
          </w:tcPr>
          <w:p w14:paraId="7C72B67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D017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170379" w14:textId="77777777" w:rsidR="00000000" w:rsidRDefault="0053651E">
            <w:pPr>
              <w:rPr>
                <w:rFonts w:eastAsia="Times New Roman"/>
                <w:sz w:val="16"/>
                <w:szCs w:val="16"/>
              </w:rPr>
            </w:pPr>
            <w:r>
              <w:rPr>
                <w:rFonts w:eastAsia="Times New Roman"/>
                <w:sz w:val="16"/>
                <w:szCs w:val="16"/>
              </w:rPr>
              <w:t>$</w:t>
            </w:r>
          </w:p>
        </w:tc>
        <w:tc>
          <w:tcPr>
            <w:tcW w:w="200" w:type="pct"/>
            <w:shd w:val="clear" w:color="auto" w:fill="CCEEFF"/>
            <w:vAlign w:val="bottom"/>
            <w:hideMark/>
          </w:tcPr>
          <w:p w14:paraId="3EED3424" w14:textId="77777777" w:rsidR="00000000" w:rsidRDefault="0053651E">
            <w:pPr>
              <w:jc w:val="right"/>
              <w:rPr>
                <w:rFonts w:eastAsia="Times New Roman"/>
                <w:sz w:val="16"/>
                <w:szCs w:val="16"/>
              </w:rPr>
            </w:pPr>
            <w:r>
              <w:rPr>
                <w:rFonts w:eastAsia="Times New Roman"/>
                <w:sz w:val="16"/>
                <w:szCs w:val="16"/>
              </w:rPr>
              <w:t>32</w:t>
            </w:r>
          </w:p>
        </w:tc>
        <w:tc>
          <w:tcPr>
            <w:tcW w:w="50" w:type="pct"/>
            <w:shd w:val="clear" w:color="auto" w:fill="CCEEFF"/>
            <w:vAlign w:val="bottom"/>
            <w:hideMark/>
          </w:tcPr>
          <w:p w14:paraId="2CF6143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72FC6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4963D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7871A86" w14:textId="77777777" w:rsidR="00000000" w:rsidRDefault="0053651E">
            <w:pPr>
              <w:jc w:val="right"/>
              <w:rPr>
                <w:rFonts w:eastAsia="Times New Roman"/>
                <w:sz w:val="16"/>
                <w:szCs w:val="16"/>
              </w:rPr>
            </w:pPr>
            <w:r>
              <w:rPr>
                <w:rFonts w:eastAsia="Times New Roman"/>
                <w:sz w:val="16"/>
                <w:szCs w:val="16"/>
              </w:rPr>
              <w:t>425,034</w:t>
            </w:r>
          </w:p>
        </w:tc>
        <w:tc>
          <w:tcPr>
            <w:tcW w:w="50" w:type="pct"/>
            <w:shd w:val="clear" w:color="auto" w:fill="CCEEFF"/>
            <w:vAlign w:val="bottom"/>
            <w:hideMark/>
          </w:tcPr>
          <w:p w14:paraId="2511591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940C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BB9320" w14:textId="77777777" w:rsidR="00000000" w:rsidRDefault="0053651E">
            <w:pPr>
              <w:rPr>
                <w:rFonts w:eastAsia="Times New Roman"/>
                <w:sz w:val="16"/>
                <w:szCs w:val="16"/>
              </w:rPr>
            </w:pPr>
            <w:r>
              <w:rPr>
                <w:rFonts w:eastAsia="Times New Roman"/>
                <w:sz w:val="16"/>
                <w:szCs w:val="16"/>
              </w:rPr>
              <w:t>$</w:t>
            </w:r>
          </w:p>
        </w:tc>
        <w:tc>
          <w:tcPr>
            <w:tcW w:w="200" w:type="pct"/>
            <w:shd w:val="clear" w:color="auto" w:fill="CCEEFF"/>
            <w:vAlign w:val="bottom"/>
            <w:hideMark/>
          </w:tcPr>
          <w:p w14:paraId="26080220" w14:textId="77777777" w:rsidR="00000000" w:rsidRDefault="0053651E">
            <w:pPr>
              <w:jc w:val="right"/>
              <w:rPr>
                <w:rFonts w:eastAsia="Times New Roman"/>
                <w:sz w:val="16"/>
                <w:szCs w:val="16"/>
              </w:rPr>
            </w:pPr>
            <w:r>
              <w:rPr>
                <w:rFonts w:eastAsia="Times New Roman"/>
                <w:sz w:val="16"/>
                <w:szCs w:val="16"/>
              </w:rPr>
              <w:t>4,250</w:t>
            </w:r>
          </w:p>
        </w:tc>
        <w:tc>
          <w:tcPr>
            <w:tcW w:w="50" w:type="pct"/>
            <w:shd w:val="clear" w:color="auto" w:fill="CCEEFF"/>
            <w:vAlign w:val="bottom"/>
            <w:hideMark/>
          </w:tcPr>
          <w:p w14:paraId="1C4654C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2E1C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0435F1" w14:textId="77777777" w:rsidR="00000000" w:rsidRDefault="0053651E">
            <w:pPr>
              <w:rPr>
                <w:rFonts w:eastAsia="Times New Roman"/>
                <w:sz w:val="16"/>
                <w:szCs w:val="16"/>
              </w:rPr>
            </w:pPr>
            <w:r>
              <w:rPr>
                <w:rFonts w:eastAsia="Times New Roman"/>
                <w:sz w:val="16"/>
                <w:szCs w:val="16"/>
              </w:rPr>
              <w:t>$</w:t>
            </w:r>
          </w:p>
        </w:tc>
        <w:tc>
          <w:tcPr>
            <w:tcW w:w="200" w:type="pct"/>
            <w:shd w:val="clear" w:color="auto" w:fill="CCEEFF"/>
            <w:vAlign w:val="bottom"/>
            <w:hideMark/>
          </w:tcPr>
          <w:p w14:paraId="499643EE" w14:textId="77777777" w:rsidR="00000000" w:rsidRDefault="0053651E">
            <w:pPr>
              <w:jc w:val="right"/>
              <w:rPr>
                <w:rFonts w:eastAsia="Times New Roman"/>
                <w:sz w:val="16"/>
                <w:szCs w:val="16"/>
              </w:rPr>
            </w:pPr>
            <w:r>
              <w:rPr>
                <w:rFonts w:eastAsia="Times New Roman"/>
                <w:sz w:val="16"/>
                <w:szCs w:val="16"/>
              </w:rPr>
              <w:t>5,922,958</w:t>
            </w:r>
          </w:p>
        </w:tc>
        <w:tc>
          <w:tcPr>
            <w:tcW w:w="50" w:type="pct"/>
            <w:shd w:val="clear" w:color="auto" w:fill="CCEEFF"/>
            <w:vAlign w:val="bottom"/>
            <w:hideMark/>
          </w:tcPr>
          <w:p w14:paraId="24B8D22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633A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C51EAC" w14:textId="77777777" w:rsidR="00000000" w:rsidRDefault="0053651E">
            <w:pPr>
              <w:rPr>
                <w:rFonts w:eastAsia="Times New Roman"/>
                <w:sz w:val="16"/>
                <w:szCs w:val="16"/>
              </w:rPr>
            </w:pPr>
            <w:r>
              <w:rPr>
                <w:rFonts w:eastAsia="Times New Roman"/>
                <w:sz w:val="16"/>
                <w:szCs w:val="16"/>
              </w:rPr>
              <w:t>$</w:t>
            </w:r>
          </w:p>
        </w:tc>
        <w:tc>
          <w:tcPr>
            <w:tcW w:w="250" w:type="pct"/>
            <w:shd w:val="clear" w:color="auto" w:fill="CCEEFF"/>
            <w:vAlign w:val="bottom"/>
            <w:hideMark/>
          </w:tcPr>
          <w:p w14:paraId="4336735E" w14:textId="77777777" w:rsidR="00000000" w:rsidRDefault="0053651E">
            <w:pPr>
              <w:jc w:val="right"/>
              <w:rPr>
                <w:rFonts w:eastAsia="Times New Roman"/>
                <w:sz w:val="16"/>
                <w:szCs w:val="16"/>
              </w:rPr>
            </w:pPr>
            <w:r>
              <w:rPr>
                <w:rFonts w:eastAsia="Times New Roman"/>
                <w:sz w:val="16"/>
                <w:szCs w:val="16"/>
              </w:rPr>
              <w:t>5,256,139</w:t>
            </w:r>
          </w:p>
        </w:tc>
        <w:tc>
          <w:tcPr>
            <w:tcW w:w="50" w:type="pct"/>
            <w:shd w:val="clear" w:color="auto" w:fill="CCEEFF"/>
            <w:vAlign w:val="bottom"/>
            <w:hideMark/>
          </w:tcPr>
          <w:p w14:paraId="1AF4B08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25A4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2C6FED" w14:textId="77777777" w:rsidR="00000000" w:rsidRDefault="0053651E">
            <w:pPr>
              <w:rPr>
                <w:rFonts w:eastAsia="Times New Roman"/>
                <w:sz w:val="16"/>
                <w:szCs w:val="16"/>
              </w:rPr>
            </w:pPr>
            <w:r>
              <w:rPr>
                <w:rFonts w:eastAsia="Times New Roman"/>
                <w:sz w:val="16"/>
                <w:szCs w:val="16"/>
              </w:rPr>
              <w:t>$</w:t>
            </w:r>
          </w:p>
        </w:tc>
        <w:tc>
          <w:tcPr>
            <w:tcW w:w="300" w:type="pct"/>
            <w:shd w:val="clear" w:color="auto" w:fill="CCEEFF"/>
            <w:vAlign w:val="bottom"/>
            <w:hideMark/>
          </w:tcPr>
          <w:p w14:paraId="1ECE851B" w14:textId="77777777" w:rsidR="00000000" w:rsidRDefault="0053651E">
            <w:pPr>
              <w:jc w:val="right"/>
              <w:rPr>
                <w:rFonts w:eastAsia="Times New Roman"/>
                <w:sz w:val="16"/>
                <w:szCs w:val="16"/>
              </w:rPr>
            </w:pPr>
            <w:r>
              <w:rPr>
                <w:rFonts w:eastAsia="Times New Roman"/>
                <w:sz w:val="16"/>
                <w:szCs w:val="16"/>
              </w:rPr>
              <w:t>146,735</w:t>
            </w:r>
          </w:p>
        </w:tc>
        <w:tc>
          <w:tcPr>
            <w:tcW w:w="50" w:type="pct"/>
            <w:shd w:val="clear" w:color="auto" w:fill="CCEEFF"/>
            <w:vAlign w:val="bottom"/>
            <w:hideMark/>
          </w:tcPr>
          <w:p w14:paraId="73D5248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E6AF4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DEE9AB" w14:textId="77777777" w:rsidR="00000000" w:rsidRDefault="0053651E">
            <w:pPr>
              <w:rPr>
                <w:rFonts w:eastAsia="Times New Roman"/>
                <w:sz w:val="16"/>
                <w:szCs w:val="16"/>
              </w:rPr>
            </w:pPr>
            <w:r>
              <w:rPr>
                <w:rFonts w:eastAsia="Times New Roman"/>
                <w:sz w:val="16"/>
                <w:szCs w:val="16"/>
              </w:rPr>
              <w:t>$</w:t>
            </w:r>
          </w:p>
        </w:tc>
        <w:tc>
          <w:tcPr>
            <w:tcW w:w="200" w:type="pct"/>
            <w:shd w:val="clear" w:color="auto" w:fill="CCEEFF"/>
            <w:vAlign w:val="bottom"/>
            <w:hideMark/>
          </w:tcPr>
          <w:p w14:paraId="60B72BC5" w14:textId="77777777" w:rsidR="00000000" w:rsidRDefault="0053651E">
            <w:pPr>
              <w:jc w:val="right"/>
              <w:rPr>
                <w:rFonts w:eastAsia="Times New Roman"/>
                <w:sz w:val="16"/>
                <w:szCs w:val="16"/>
              </w:rPr>
            </w:pPr>
            <w:r>
              <w:rPr>
                <w:rFonts w:eastAsia="Times New Roman"/>
                <w:sz w:val="16"/>
                <w:szCs w:val="16"/>
              </w:rPr>
              <w:t>5,402,874</w:t>
            </w:r>
          </w:p>
        </w:tc>
        <w:tc>
          <w:tcPr>
            <w:tcW w:w="50" w:type="pct"/>
            <w:shd w:val="clear" w:color="auto" w:fill="CCEEFF"/>
            <w:vAlign w:val="bottom"/>
            <w:hideMark/>
          </w:tcPr>
          <w:p w14:paraId="6E171F12" w14:textId="77777777" w:rsidR="00000000" w:rsidRDefault="0053651E">
            <w:pPr>
              <w:rPr>
                <w:rFonts w:eastAsia="Times New Roman"/>
                <w:sz w:val="16"/>
                <w:szCs w:val="16"/>
              </w:rPr>
            </w:pPr>
            <w:r>
              <w:rPr>
                <w:rFonts w:eastAsia="Times New Roman"/>
                <w:sz w:val="16"/>
                <w:szCs w:val="16"/>
              </w:rPr>
              <w:t> </w:t>
            </w:r>
          </w:p>
        </w:tc>
      </w:tr>
      <w:tr w:rsidR="0053651E" w14:paraId="7D090941" w14:textId="77777777">
        <w:trPr>
          <w:divId w:val="1059287255"/>
          <w:tblCellSpacing w:w="0" w:type="dxa"/>
        </w:trPr>
        <w:tc>
          <w:tcPr>
            <w:tcW w:w="950" w:type="pct"/>
            <w:shd w:val="clear" w:color="auto" w:fill="FFFFFF"/>
            <w:vAlign w:val="bottom"/>
            <w:hideMark/>
          </w:tcPr>
          <w:p w14:paraId="67396D02" w14:textId="77777777" w:rsidR="00000000" w:rsidRDefault="0053651E">
            <w:pPr>
              <w:pStyle w:val="a3"/>
              <w:spacing w:before="0" w:beforeAutospacing="0" w:after="0" w:afterAutospacing="0"/>
              <w:ind w:left="180" w:hanging="180"/>
              <w:rPr>
                <w:sz w:val="16"/>
                <w:szCs w:val="16"/>
              </w:rPr>
            </w:pPr>
            <w:r>
              <w:rPr>
                <w:sz w:val="16"/>
                <w:szCs w:val="16"/>
              </w:rPr>
              <w:t>Contributions/deemed contributions from noncontrolling interests</w:t>
            </w:r>
          </w:p>
        </w:tc>
        <w:tc>
          <w:tcPr>
            <w:tcW w:w="50" w:type="pct"/>
            <w:shd w:val="clear" w:color="auto" w:fill="FFFFFF"/>
            <w:vAlign w:val="bottom"/>
            <w:hideMark/>
          </w:tcPr>
          <w:p w14:paraId="2117CBC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F17A45"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52EC6EE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6752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D42C3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B163FF"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2355E69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17BBDC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2BE7A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6327F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5012C6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9109C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62A9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FEA14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F7D7E8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C6CC0A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28F5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50E10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D6CFC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DED91C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FF727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D7F96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787D61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12CD2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9531E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A9237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8C197C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5E916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A0CFDC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6F9F85"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84772F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811D8F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BDBC9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F901E4"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7CA462C" w14:textId="77777777" w:rsidR="00000000" w:rsidRDefault="0053651E">
            <w:pPr>
              <w:jc w:val="right"/>
              <w:rPr>
                <w:rFonts w:eastAsia="Times New Roman"/>
                <w:sz w:val="16"/>
                <w:szCs w:val="16"/>
              </w:rPr>
            </w:pPr>
            <w:r>
              <w:rPr>
                <w:rFonts w:eastAsia="Times New Roman"/>
                <w:sz w:val="16"/>
                <w:szCs w:val="16"/>
              </w:rPr>
              <w:t>48,877</w:t>
            </w:r>
          </w:p>
        </w:tc>
        <w:tc>
          <w:tcPr>
            <w:tcW w:w="50" w:type="pct"/>
            <w:shd w:val="clear" w:color="auto" w:fill="FFFFFF"/>
            <w:vAlign w:val="bottom"/>
            <w:hideMark/>
          </w:tcPr>
          <w:p w14:paraId="45F2BE4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79AD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F8C18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C2517E3" w14:textId="77777777" w:rsidR="00000000" w:rsidRDefault="0053651E">
            <w:pPr>
              <w:jc w:val="right"/>
              <w:rPr>
                <w:rFonts w:eastAsia="Times New Roman"/>
                <w:sz w:val="16"/>
                <w:szCs w:val="16"/>
              </w:rPr>
            </w:pPr>
            <w:r>
              <w:rPr>
                <w:rFonts w:eastAsia="Times New Roman"/>
                <w:sz w:val="16"/>
                <w:szCs w:val="16"/>
              </w:rPr>
              <w:t>48,877</w:t>
            </w:r>
          </w:p>
        </w:tc>
        <w:tc>
          <w:tcPr>
            <w:tcW w:w="50" w:type="pct"/>
            <w:shd w:val="clear" w:color="auto" w:fill="FFFFFF"/>
            <w:vAlign w:val="bottom"/>
            <w:hideMark/>
          </w:tcPr>
          <w:p w14:paraId="061209A7" w14:textId="77777777" w:rsidR="00000000" w:rsidRDefault="0053651E">
            <w:pPr>
              <w:rPr>
                <w:rFonts w:eastAsia="Times New Roman"/>
                <w:sz w:val="16"/>
                <w:szCs w:val="16"/>
              </w:rPr>
            </w:pPr>
            <w:r>
              <w:rPr>
                <w:rFonts w:eastAsia="Times New Roman"/>
                <w:sz w:val="16"/>
                <w:szCs w:val="16"/>
              </w:rPr>
              <w:t> </w:t>
            </w:r>
          </w:p>
        </w:tc>
      </w:tr>
      <w:tr w:rsidR="0053651E" w14:paraId="41BA5FF7" w14:textId="77777777">
        <w:trPr>
          <w:divId w:val="1059287255"/>
          <w:tblCellSpacing w:w="0" w:type="dxa"/>
        </w:trPr>
        <w:tc>
          <w:tcPr>
            <w:tcW w:w="950" w:type="pct"/>
            <w:shd w:val="clear" w:color="auto" w:fill="CCEEFF"/>
            <w:vAlign w:val="bottom"/>
            <w:hideMark/>
          </w:tcPr>
          <w:p w14:paraId="5EB50EA7" w14:textId="77777777" w:rsidR="00000000" w:rsidRDefault="0053651E">
            <w:pPr>
              <w:pStyle w:val="a3"/>
              <w:spacing w:before="0" w:beforeAutospacing="0" w:after="0" w:afterAutospacing="0"/>
              <w:rPr>
                <w:sz w:val="16"/>
                <w:szCs w:val="16"/>
              </w:rPr>
            </w:pPr>
            <w:r>
              <w:rPr>
                <w:sz w:val="16"/>
                <w:szCs w:val="16"/>
              </w:rPr>
              <w:t>Comprehensive income:</w:t>
            </w:r>
          </w:p>
        </w:tc>
        <w:tc>
          <w:tcPr>
            <w:tcW w:w="50" w:type="pct"/>
            <w:shd w:val="clear" w:color="auto" w:fill="CCEEFF"/>
            <w:vAlign w:val="bottom"/>
            <w:hideMark/>
          </w:tcPr>
          <w:p w14:paraId="6300093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6F4A9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2F8C7B9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6EEE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CD2F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93F9F7"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2AE961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5062D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ECE5A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32910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1F1B7B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20E38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C5B7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149AE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A87325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A1E8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6EB91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C0066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4C306E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EC58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14DA1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FFB49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CBFF7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97D8C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6335C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13396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48E3F5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21EB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4B5BA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090319"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2C8844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88CDA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472CC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8EB532"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6CA419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44070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CDFC4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53B86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FD669B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A25596" w14:textId="77777777" w:rsidR="00000000" w:rsidRDefault="0053651E">
            <w:pPr>
              <w:rPr>
                <w:rFonts w:eastAsia="Times New Roman"/>
                <w:sz w:val="16"/>
                <w:szCs w:val="16"/>
              </w:rPr>
            </w:pPr>
            <w:r>
              <w:rPr>
                <w:rFonts w:eastAsia="Times New Roman"/>
                <w:sz w:val="16"/>
                <w:szCs w:val="16"/>
              </w:rPr>
              <w:t> </w:t>
            </w:r>
          </w:p>
        </w:tc>
      </w:tr>
      <w:tr w:rsidR="0053651E" w14:paraId="152F7234" w14:textId="77777777">
        <w:trPr>
          <w:divId w:val="1059287255"/>
          <w:tblCellSpacing w:w="0" w:type="dxa"/>
        </w:trPr>
        <w:tc>
          <w:tcPr>
            <w:tcW w:w="950" w:type="pct"/>
            <w:shd w:val="clear" w:color="auto" w:fill="FFFFFF"/>
            <w:vAlign w:val="bottom"/>
            <w:hideMark/>
          </w:tcPr>
          <w:p w14:paraId="260065F7" w14:textId="77777777" w:rsidR="00000000" w:rsidRDefault="0053651E">
            <w:pPr>
              <w:pStyle w:val="a3"/>
              <w:spacing w:before="0" w:beforeAutospacing="0" w:after="0" w:afterAutospacing="0"/>
              <w:ind w:left="540" w:hanging="180"/>
              <w:rPr>
                <w:sz w:val="16"/>
                <w:szCs w:val="16"/>
              </w:rPr>
            </w:pPr>
            <w:r>
              <w:rPr>
                <w:sz w:val="16"/>
                <w:szCs w:val="16"/>
              </w:rPr>
              <w:t>Net income</w:t>
            </w:r>
          </w:p>
        </w:tc>
        <w:tc>
          <w:tcPr>
            <w:tcW w:w="50" w:type="pct"/>
            <w:shd w:val="clear" w:color="auto" w:fill="FFFFFF"/>
            <w:vAlign w:val="bottom"/>
            <w:hideMark/>
          </w:tcPr>
          <w:p w14:paraId="785489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27F1A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D6DBD20" w14:textId="77777777" w:rsidR="00000000" w:rsidRDefault="0053651E">
            <w:pPr>
              <w:jc w:val="right"/>
              <w:rPr>
                <w:rFonts w:eastAsia="Times New Roman"/>
                <w:sz w:val="16"/>
                <w:szCs w:val="16"/>
              </w:rPr>
            </w:pPr>
            <w:r>
              <w:rPr>
                <w:rFonts w:eastAsia="Times New Roman"/>
                <w:sz w:val="16"/>
                <w:szCs w:val="16"/>
              </w:rPr>
              <w:t>426,075</w:t>
            </w:r>
          </w:p>
        </w:tc>
        <w:tc>
          <w:tcPr>
            <w:tcW w:w="50" w:type="pct"/>
            <w:shd w:val="clear" w:color="auto" w:fill="FFFFFF"/>
            <w:vAlign w:val="bottom"/>
            <w:hideMark/>
          </w:tcPr>
          <w:p w14:paraId="35FD565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E5CF5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4F71D3"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63CEA13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90B949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506E5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A6321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6DC431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B06C60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E82AB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BAF04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4A129D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5CFDB1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1549C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BC9FF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05117C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208FED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261D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396A9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0BADB6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B80C3C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E2B7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9A2C8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6ABEE4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E1A19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01F3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DCE731"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59E0497" w14:textId="77777777" w:rsidR="00000000" w:rsidRDefault="0053651E">
            <w:pPr>
              <w:jc w:val="right"/>
              <w:rPr>
                <w:rFonts w:eastAsia="Times New Roman"/>
                <w:sz w:val="16"/>
                <w:szCs w:val="16"/>
              </w:rPr>
            </w:pPr>
            <w:r>
              <w:rPr>
                <w:rFonts w:eastAsia="Times New Roman"/>
                <w:sz w:val="16"/>
                <w:szCs w:val="16"/>
              </w:rPr>
              <w:t>426,075</w:t>
            </w:r>
          </w:p>
        </w:tc>
        <w:tc>
          <w:tcPr>
            <w:tcW w:w="50" w:type="pct"/>
            <w:shd w:val="clear" w:color="auto" w:fill="FFFFFF"/>
            <w:vAlign w:val="bottom"/>
            <w:hideMark/>
          </w:tcPr>
          <w:p w14:paraId="0A22DAC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2F62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2D725EE"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2D6E869" w14:textId="77777777" w:rsidR="00000000" w:rsidRDefault="0053651E">
            <w:pPr>
              <w:jc w:val="right"/>
              <w:rPr>
                <w:rFonts w:eastAsia="Times New Roman"/>
                <w:sz w:val="16"/>
                <w:szCs w:val="16"/>
              </w:rPr>
            </w:pPr>
            <w:r>
              <w:rPr>
                <w:rFonts w:eastAsia="Times New Roman"/>
                <w:sz w:val="16"/>
                <w:szCs w:val="16"/>
              </w:rPr>
              <w:t>13,596</w:t>
            </w:r>
          </w:p>
        </w:tc>
        <w:tc>
          <w:tcPr>
            <w:tcW w:w="50" w:type="pct"/>
            <w:shd w:val="clear" w:color="auto" w:fill="FFFFFF"/>
            <w:vAlign w:val="bottom"/>
            <w:hideMark/>
          </w:tcPr>
          <w:p w14:paraId="699EF2E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D8DA2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354B3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293DA18" w14:textId="77777777" w:rsidR="00000000" w:rsidRDefault="0053651E">
            <w:pPr>
              <w:jc w:val="right"/>
              <w:rPr>
                <w:rFonts w:eastAsia="Times New Roman"/>
                <w:sz w:val="16"/>
                <w:szCs w:val="16"/>
              </w:rPr>
            </w:pPr>
            <w:r>
              <w:rPr>
                <w:rFonts w:eastAsia="Times New Roman"/>
                <w:sz w:val="16"/>
                <w:szCs w:val="16"/>
              </w:rPr>
              <w:t>439,671</w:t>
            </w:r>
          </w:p>
        </w:tc>
        <w:tc>
          <w:tcPr>
            <w:tcW w:w="50" w:type="pct"/>
            <w:shd w:val="clear" w:color="auto" w:fill="FFFFFF"/>
            <w:vAlign w:val="bottom"/>
            <w:hideMark/>
          </w:tcPr>
          <w:p w14:paraId="5D22A561" w14:textId="77777777" w:rsidR="00000000" w:rsidRDefault="0053651E">
            <w:pPr>
              <w:rPr>
                <w:rFonts w:eastAsia="Times New Roman"/>
                <w:sz w:val="16"/>
                <w:szCs w:val="16"/>
              </w:rPr>
            </w:pPr>
            <w:r>
              <w:rPr>
                <w:rFonts w:eastAsia="Times New Roman"/>
                <w:sz w:val="16"/>
                <w:szCs w:val="16"/>
              </w:rPr>
              <w:t> </w:t>
            </w:r>
          </w:p>
        </w:tc>
      </w:tr>
      <w:tr w:rsidR="0053651E" w14:paraId="328B4721" w14:textId="77777777">
        <w:trPr>
          <w:divId w:val="1059287255"/>
          <w:tblCellSpacing w:w="0" w:type="dxa"/>
        </w:trPr>
        <w:tc>
          <w:tcPr>
            <w:tcW w:w="950" w:type="pct"/>
            <w:shd w:val="clear" w:color="auto" w:fill="CCEEFF"/>
            <w:vAlign w:val="bottom"/>
            <w:hideMark/>
          </w:tcPr>
          <w:p w14:paraId="583CE0F3" w14:textId="77777777" w:rsidR="00000000" w:rsidRDefault="0053651E">
            <w:pPr>
              <w:pStyle w:val="a3"/>
              <w:spacing w:before="0" w:beforeAutospacing="0" w:after="0" w:afterAutospacing="0"/>
              <w:ind w:left="540" w:hanging="180"/>
              <w:rPr>
                <w:sz w:val="16"/>
                <w:szCs w:val="16"/>
              </w:rPr>
            </w:pPr>
            <w:r>
              <w:rPr>
                <w:sz w:val="16"/>
                <w:szCs w:val="16"/>
              </w:rPr>
              <w:t>Other comprehensive income:</w:t>
            </w:r>
          </w:p>
        </w:tc>
        <w:tc>
          <w:tcPr>
            <w:tcW w:w="50" w:type="pct"/>
            <w:shd w:val="clear" w:color="auto" w:fill="CCEEFF"/>
            <w:vAlign w:val="bottom"/>
            <w:hideMark/>
          </w:tcPr>
          <w:p w14:paraId="328E9CA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1B7181"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BDE315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188BE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BC3C4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61CA22"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18945F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2959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5D87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2467C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2AE508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5421F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AA7A8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043A9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6484C1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9C89D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5FE0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42FC5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FD879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C60E5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20B0B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2739A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FDBED8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34F5F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CBEF7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AED56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93D2E6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29ED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8637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093FB8"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7DE37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0BE7A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C1F34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9E4122"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B35A69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43F4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FC15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C278B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19DB80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A9E38D" w14:textId="77777777" w:rsidR="00000000" w:rsidRDefault="0053651E">
            <w:pPr>
              <w:rPr>
                <w:rFonts w:eastAsia="Times New Roman"/>
                <w:sz w:val="16"/>
                <w:szCs w:val="16"/>
              </w:rPr>
            </w:pPr>
            <w:r>
              <w:rPr>
                <w:rFonts w:eastAsia="Times New Roman"/>
                <w:sz w:val="16"/>
                <w:szCs w:val="16"/>
              </w:rPr>
              <w:t> </w:t>
            </w:r>
          </w:p>
        </w:tc>
      </w:tr>
      <w:tr w:rsidR="0053651E" w14:paraId="2673C432" w14:textId="77777777">
        <w:trPr>
          <w:divId w:val="1059287255"/>
          <w:tblCellSpacing w:w="0" w:type="dxa"/>
        </w:trPr>
        <w:tc>
          <w:tcPr>
            <w:tcW w:w="950" w:type="pct"/>
            <w:shd w:val="clear" w:color="auto" w:fill="FFFFFF"/>
            <w:vAlign w:val="bottom"/>
            <w:hideMark/>
          </w:tcPr>
          <w:p w14:paraId="24348B97" w14:textId="77777777" w:rsidR="00000000" w:rsidRDefault="0053651E">
            <w:pPr>
              <w:pStyle w:val="a3"/>
              <w:spacing w:before="0" w:beforeAutospacing="0" w:after="0" w:afterAutospacing="0"/>
              <w:ind w:left="900" w:hanging="180"/>
              <w:rPr>
                <w:sz w:val="16"/>
                <w:szCs w:val="16"/>
              </w:rPr>
            </w:pPr>
            <w:r>
              <w:rPr>
                <w:sz w:val="16"/>
                <w:szCs w:val="16"/>
              </w:rPr>
              <w:t>Change in unrealized gains/losses on marketable securities</w:t>
            </w:r>
          </w:p>
        </w:tc>
        <w:tc>
          <w:tcPr>
            <w:tcW w:w="50" w:type="pct"/>
            <w:shd w:val="clear" w:color="auto" w:fill="FFFFFF"/>
            <w:vAlign w:val="bottom"/>
            <w:hideMark/>
          </w:tcPr>
          <w:p w14:paraId="0EDBE81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6371BB"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730ECF5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A348C6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FC136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804BA7"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DE31038" w14:textId="77777777" w:rsidR="00000000" w:rsidRDefault="0053651E">
            <w:pPr>
              <w:jc w:val="right"/>
              <w:rPr>
                <w:rFonts w:eastAsia="Times New Roman"/>
                <w:sz w:val="16"/>
                <w:szCs w:val="16"/>
              </w:rPr>
            </w:pPr>
            <w:r>
              <w:rPr>
                <w:rFonts w:eastAsia="Times New Roman"/>
                <w:sz w:val="16"/>
                <w:szCs w:val="16"/>
              </w:rPr>
              <w:t>(1,542</w:t>
            </w:r>
          </w:p>
        </w:tc>
        <w:tc>
          <w:tcPr>
            <w:tcW w:w="50" w:type="pct"/>
            <w:shd w:val="clear" w:color="auto" w:fill="FFFFFF"/>
            <w:vAlign w:val="bottom"/>
            <w:hideMark/>
          </w:tcPr>
          <w:p w14:paraId="6AF22A47"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74CE23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907FD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185966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CE8B15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E7ECA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6DEC2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D08695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BDB65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085CD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DE003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DBB179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D85055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2B0D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A1D21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C05B90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29871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4EBB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73E8D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9B93E1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29040C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125A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3806C0"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A67D1DC" w14:textId="77777777" w:rsidR="00000000" w:rsidRDefault="0053651E">
            <w:pPr>
              <w:jc w:val="right"/>
              <w:rPr>
                <w:rFonts w:eastAsia="Times New Roman"/>
                <w:sz w:val="16"/>
                <w:szCs w:val="16"/>
              </w:rPr>
            </w:pPr>
            <w:r>
              <w:rPr>
                <w:rFonts w:eastAsia="Times New Roman"/>
                <w:sz w:val="16"/>
                <w:szCs w:val="16"/>
              </w:rPr>
              <w:t>(1,542</w:t>
            </w:r>
          </w:p>
        </w:tc>
        <w:tc>
          <w:tcPr>
            <w:tcW w:w="50" w:type="pct"/>
            <w:shd w:val="clear" w:color="auto" w:fill="FFFFFF"/>
            <w:vAlign w:val="bottom"/>
            <w:hideMark/>
          </w:tcPr>
          <w:p w14:paraId="0BEAC429"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487407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45131C"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2FADC0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CD7137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1294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DE3246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DF8A2DD"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1,542</w:t>
            </w:r>
          </w:p>
        </w:tc>
        <w:tc>
          <w:tcPr>
            <w:tcW w:w="50" w:type="pct"/>
            <w:shd w:val="clear" w:color="auto" w:fill="FFFFFF"/>
            <w:vAlign w:val="bottom"/>
            <w:hideMark/>
          </w:tcPr>
          <w:p w14:paraId="468CE681" w14:textId="77777777" w:rsidR="00000000" w:rsidRDefault="0053651E">
            <w:pPr>
              <w:rPr>
                <w:rFonts w:eastAsia="Times New Roman"/>
                <w:sz w:val="16"/>
                <w:szCs w:val="16"/>
              </w:rPr>
            </w:pPr>
            <w:r>
              <w:rPr>
                <w:rFonts w:eastAsia="Times New Roman"/>
                <w:sz w:val="16"/>
                <w:szCs w:val="16"/>
              </w:rPr>
              <w:t>)</w:t>
            </w:r>
          </w:p>
        </w:tc>
      </w:tr>
      <w:tr w:rsidR="0053651E" w14:paraId="0B2D97E3" w14:textId="77777777">
        <w:trPr>
          <w:divId w:val="1059287255"/>
          <w:tblCellSpacing w:w="0" w:type="dxa"/>
        </w:trPr>
        <w:tc>
          <w:tcPr>
            <w:tcW w:w="950" w:type="pct"/>
            <w:shd w:val="clear" w:color="auto" w:fill="CCEEFF"/>
            <w:vAlign w:val="bottom"/>
            <w:hideMark/>
          </w:tcPr>
          <w:p w14:paraId="423A8A21" w14:textId="77777777" w:rsidR="00000000" w:rsidRDefault="0053651E">
            <w:pPr>
              <w:pStyle w:val="a3"/>
              <w:spacing w:before="0" w:beforeAutospacing="0" w:after="0" w:afterAutospacing="0"/>
              <w:ind w:left="900" w:hanging="180"/>
              <w:rPr>
                <w:sz w:val="16"/>
                <w:szCs w:val="16"/>
              </w:rPr>
            </w:pPr>
            <w:r>
              <w:rPr>
                <w:sz w:val="16"/>
                <w:szCs w:val="16"/>
              </w:rPr>
              <w:t>Change in unrealized value on interest rate swaps</w:t>
            </w:r>
          </w:p>
        </w:tc>
        <w:tc>
          <w:tcPr>
            <w:tcW w:w="50" w:type="pct"/>
            <w:shd w:val="clear" w:color="auto" w:fill="CCEEFF"/>
            <w:vAlign w:val="bottom"/>
            <w:hideMark/>
          </w:tcPr>
          <w:p w14:paraId="5AD1F7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07DF64"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7D11EA8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35FFA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11C5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CF8039"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0B76E932" w14:textId="77777777" w:rsidR="00000000" w:rsidRDefault="0053651E">
            <w:pPr>
              <w:jc w:val="right"/>
              <w:rPr>
                <w:rFonts w:eastAsia="Times New Roman"/>
                <w:sz w:val="16"/>
                <w:szCs w:val="16"/>
              </w:rPr>
            </w:pPr>
            <w:r>
              <w:rPr>
                <w:rFonts w:eastAsia="Times New Roman"/>
                <w:sz w:val="16"/>
                <w:szCs w:val="16"/>
              </w:rPr>
              <w:t>631</w:t>
            </w:r>
          </w:p>
        </w:tc>
        <w:tc>
          <w:tcPr>
            <w:tcW w:w="50" w:type="pct"/>
            <w:shd w:val="clear" w:color="auto" w:fill="CCEEFF"/>
            <w:vAlign w:val="bottom"/>
            <w:hideMark/>
          </w:tcPr>
          <w:p w14:paraId="6BDCD88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6B00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EC7EF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4D041B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2476F8B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2FF3B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A4D97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C388AD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03369A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699F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26939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CF7D0A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7A0C929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60E2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D2D10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CA93E0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3BE4A0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2A7EC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4F684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C600B3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B9A0E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27305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76C9AE"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A240202" w14:textId="77777777" w:rsidR="00000000" w:rsidRDefault="0053651E">
            <w:pPr>
              <w:jc w:val="right"/>
              <w:rPr>
                <w:rFonts w:eastAsia="Times New Roman"/>
                <w:sz w:val="16"/>
                <w:szCs w:val="16"/>
              </w:rPr>
            </w:pPr>
            <w:r>
              <w:rPr>
                <w:rFonts w:eastAsia="Times New Roman"/>
                <w:sz w:val="16"/>
                <w:szCs w:val="16"/>
              </w:rPr>
              <w:t>631</w:t>
            </w:r>
          </w:p>
        </w:tc>
        <w:tc>
          <w:tcPr>
            <w:tcW w:w="50" w:type="pct"/>
            <w:shd w:val="clear" w:color="auto" w:fill="CCEEFF"/>
            <w:vAlign w:val="bottom"/>
            <w:hideMark/>
          </w:tcPr>
          <w:p w14:paraId="626DF2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0A4C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30D90B"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20357E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55042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051C6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1FEC3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1B6E947" w14:textId="77777777" w:rsidR="00000000" w:rsidRDefault="0053651E">
            <w:pPr>
              <w:jc w:val="right"/>
              <w:rPr>
                <w:rFonts w:eastAsia="Times New Roman"/>
                <w:sz w:val="16"/>
                <w:szCs w:val="16"/>
              </w:rPr>
            </w:pPr>
            <w:r>
              <w:rPr>
                <w:rFonts w:eastAsia="Times New Roman"/>
                <w:sz w:val="16"/>
                <w:szCs w:val="16"/>
              </w:rPr>
              <w:t>631</w:t>
            </w:r>
          </w:p>
        </w:tc>
        <w:tc>
          <w:tcPr>
            <w:tcW w:w="50" w:type="pct"/>
            <w:shd w:val="clear" w:color="auto" w:fill="CCEEFF"/>
            <w:vAlign w:val="bottom"/>
            <w:hideMark/>
          </w:tcPr>
          <w:p w14:paraId="41203211" w14:textId="77777777" w:rsidR="00000000" w:rsidRDefault="0053651E">
            <w:pPr>
              <w:rPr>
                <w:rFonts w:eastAsia="Times New Roman"/>
                <w:sz w:val="16"/>
                <w:szCs w:val="16"/>
              </w:rPr>
            </w:pPr>
            <w:r>
              <w:rPr>
                <w:rFonts w:eastAsia="Times New Roman"/>
                <w:sz w:val="16"/>
                <w:szCs w:val="16"/>
              </w:rPr>
              <w:t> </w:t>
            </w:r>
          </w:p>
        </w:tc>
      </w:tr>
      <w:tr w:rsidR="0053651E" w14:paraId="3C99AE81" w14:textId="77777777">
        <w:trPr>
          <w:divId w:val="1059287255"/>
          <w:tblCellSpacing w:w="0" w:type="dxa"/>
        </w:trPr>
        <w:tc>
          <w:tcPr>
            <w:tcW w:w="950" w:type="pct"/>
            <w:shd w:val="clear" w:color="auto" w:fill="FFFFFF"/>
            <w:vAlign w:val="bottom"/>
            <w:hideMark/>
          </w:tcPr>
          <w:p w14:paraId="6F288D8B" w14:textId="77777777" w:rsidR="00000000" w:rsidRDefault="0053651E">
            <w:pPr>
              <w:pStyle w:val="a3"/>
              <w:spacing w:before="0" w:beforeAutospacing="0" w:after="0" w:afterAutospacing="0"/>
              <w:ind w:left="900" w:hanging="180"/>
              <w:rPr>
                <w:sz w:val="16"/>
                <w:szCs w:val="16"/>
              </w:rPr>
            </w:pPr>
            <w:r>
              <w:rPr>
                <w:sz w:val="16"/>
                <w:szCs w:val="16"/>
              </w:rPr>
              <w:t>Change in foreign currency translation adjustments</w:t>
            </w:r>
          </w:p>
        </w:tc>
        <w:tc>
          <w:tcPr>
            <w:tcW w:w="50" w:type="pct"/>
            <w:shd w:val="clear" w:color="auto" w:fill="FFFFFF"/>
            <w:vAlign w:val="bottom"/>
            <w:hideMark/>
          </w:tcPr>
          <w:p w14:paraId="01CB028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2D111E"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2FF6937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18394A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EB418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3ED1D6"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804ABC5" w14:textId="77777777" w:rsidR="00000000" w:rsidRDefault="0053651E">
            <w:pPr>
              <w:jc w:val="right"/>
              <w:rPr>
                <w:rFonts w:eastAsia="Times New Roman"/>
                <w:sz w:val="16"/>
                <w:szCs w:val="16"/>
              </w:rPr>
            </w:pPr>
            <w:r>
              <w:rPr>
                <w:rFonts w:eastAsia="Times New Roman"/>
                <w:sz w:val="16"/>
                <w:szCs w:val="16"/>
              </w:rPr>
              <w:t>(6,335</w:t>
            </w:r>
          </w:p>
        </w:tc>
        <w:tc>
          <w:tcPr>
            <w:tcW w:w="50" w:type="pct"/>
            <w:shd w:val="clear" w:color="auto" w:fill="FFFFFF"/>
            <w:vAlign w:val="bottom"/>
            <w:hideMark/>
          </w:tcPr>
          <w:p w14:paraId="663EAB23"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0D38404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05854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8D5FCA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744B98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35626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0DFCB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DA3C6E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12530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080C7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D3BBD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DD9722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9FC4C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02713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BE779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4FFAF0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EB90F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2433C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E27AE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9910F0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CFAAB6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8F68D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B4C2D6"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8A36C54" w14:textId="77777777" w:rsidR="00000000" w:rsidRDefault="0053651E">
            <w:pPr>
              <w:jc w:val="right"/>
              <w:rPr>
                <w:rFonts w:eastAsia="Times New Roman"/>
                <w:sz w:val="16"/>
                <w:szCs w:val="16"/>
              </w:rPr>
            </w:pPr>
            <w:r>
              <w:rPr>
                <w:rFonts w:eastAsia="Times New Roman"/>
                <w:sz w:val="16"/>
                <w:szCs w:val="16"/>
              </w:rPr>
              <w:t>(6,335</w:t>
            </w:r>
          </w:p>
        </w:tc>
        <w:tc>
          <w:tcPr>
            <w:tcW w:w="50" w:type="pct"/>
            <w:shd w:val="clear" w:color="auto" w:fill="FFFFFF"/>
            <w:vAlign w:val="bottom"/>
            <w:hideMark/>
          </w:tcPr>
          <w:p w14:paraId="207F8B2A"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580A8A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5DD1C3"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544E78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F73F18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0591B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B348B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6F928F0" w14:textId="77777777" w:rsidR="00000000" w:rsidRDefault="0053651E">
            <w:pPr>
              <w:jc w:val="right"/>
              <w:rPr>
                <w:rFonts w:eastAsia="Times New Roman"/>
                <w:sz w:val="16"/>
                <w:szCs w:val="16"/>
              </w:rPr>
            </w:pPr>
            <w:r>
              <w:rPr>
                <w:rFonts w:eastAsia="Times New Roman"/>
                <w:sz w:val="16"/>
                <w:szCs w:val="16"/>
              </w:rPr>
              <w:t>(6,335</w:t>
            </w:r>
          </w:p>
        </w:tc>
        <w:tc>
          <w:tcPr>
            <w:tcW w:w="50" w:type="pct"/>
            <w:shd w:val="clear" w:color="auto" w:fill="FFFFFF"/>
            <w:vAlign w:val="bottom"/>
            <w:hideMark/>
          </w:tcPr>
          <w:p w14:paraId="5FA44937" w14:textId="77777777" w:rsidR="00000000" w:rsidRDefault="0053651E">
            <w:pPr>
              <w:rPr>
                <w:rFonts w:eastAsia="Times New Roman"/>
                <w:sz w:val="16"/>
                <w:szCs w:val="16"/>
              </w:rPr>
            </w:pPr>
            <w:r>
              <w:rPr>
                <w:rFonts w:eastAsia="Times New Roman"/>
                <w:sz w:val="16"/>
                <w:szCs w:val="16"/>
              </w:rPr>
              <w:t>)</w:t>
            </w:r>
          </w:p>
        </w:tc>
      </w:tr>
      <w:tr w:rsidR="0053651E" w14:paraId="012323E0" w14:textId="77777777">
        <w:trPr>
          <w:divId w:val="1059287255"/>
          <w:tblCellSpacing w:w="0" w:type="dxa"/>
        </w:trPr>
        <w:tc>
          <w:tcPr>
            <w:tcW w:w="950" w:type="pct"/>
            <w:shd w:val="clear" w:color="auto" w:fill="CCEEFF"/>
            <w:vAlign w:val="bottom"/>
            <w:hideMark/>
          </w:tcPr>
          <w:p w14:paraId="6EC85770" w14:textId="77777777" w:rsidR="00000000" w:rsidRDefault="0053651E">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16CF55F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214BA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375F3F1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C0473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C56D6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0319DA"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803AFB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077D79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95AD5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27D05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771D0B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45FB34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6E4FC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F6CDE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746A7A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9AB87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A37E6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341E4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F7AC88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46D015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D88BD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7A9EC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52973E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24F852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B44A7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9A7A0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B47FF2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413BC1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23275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A98A9A"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A3706C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0C733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ACB3D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7AFA44"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8DFFC62" w14:textId="77777777" w:rsidR="00000000" w:rsidRDefault="0053651E">
            <w:pPr>
              <w:jc w:val="right"/>
              <w:rPr>
                <w:rFonts w:eastAsia="Times New Roman"/>
                <w:sz w:val="16"/>
                <w:szCs w:val="16"/>
              </w:rPr>
            </w:pPr>
            <w:r>
              <w:rPr>
                <w:rFonts w:eastAsia="Times New Roman"/>
                <w:sz w:val="16"/>
                <w:szCs w:val="16"/>
              </w:rPr>
              <w:t>(1,297</w:t>
            </w:r>
          </w:p>
        </w:tc>
        <w:tc>
          <w:tcPr>
            <w:tcW w:w="50" w:type="pct"/>
            <w:shd w:val="clear" w:color="auto" w:fill="CCEEFF"/>
            <w:vAlign w:val="bottom"/>
            <w:hideMark/>
          </w:tcPr>
          <w:p w14:paraId="73E23B34"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4906208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1B48A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0BE94BE" w14:textId="77777777" w:rsidR="00000000" w:rsidRDefault="0053651E">
            <w:pPr>
              <w:jc w:val="right"/>
              <w:rPr>
                <w:rFonts w:eastAsia="Times New Roman"/>
                <w:sz w:val="16"/>
                <w:szCs w:val="16"/>
              </w:rPr>
            </w:pPr>
            <w:r>
              <w:rPr>
                <w:rFonts w:eastAsia="Times New Roman"/>
                <w:sz w:val="16"/>
                <w:szCs w:val="16"/>
              </w:rPr>
              <w:t>(1,297</w:t>
            </w:r>
          </w:p>
        </w:tc>
        <w:tc>
          <w:tcPr>
            <w:tcW w:w="50" w:type="pct"/>
            <w:shd w:val="clear" w:color="auto" w:fill="CCEEFF"/>
            <w:vAlign w:val="bottom"/>
            <w:hideMark/>
          </w:tcPr>
          <w:p w14:paraId="1A5D1CB6" w14:textId="77777777" w:rsidR="00000000" w:rsidRDefault="0053651E">
            <w:pPr>
              <w:rPr>
                <w:rFonts w:eastAsia="Times New Roman"/>
                <w:sz w:val="16"/>
                <w:szCs w:val="16"/>
              </w:rPr>
            </w:pPr>
            <w:r>
              <w:rPr>
                <w:rFonts w:eastAsia="Times New Roman"/>
                <w:sz w:val="16"/>
                <w:szCs w:val="16"/>
              </w:rPr>
              <w:t>)</w:t>
            </w:r>
          </w:p>
        </w:tc>
      </w:tr>
      <w:tr w:rsidR="0053651E" w14:paraId="1B3C5B4D" w14:textId="77777777">
        <w:trPr>
          <w:divId w:val="1059287255"/>
          <w:tblCellSpacing w:w="0" w:type="dxa"/>
        </w:trPr>
        <w:tc>
          <w:tcPr>
            <w:tcW w:w="950" w:type="pct"/>
            <w:shd w:val="clear" w:color="auto" w:fill="FFFFFF"/>
            <w:vAlign w:val="bottom"/>
            <w:hideMark/>
          </w:tcPr>
          <w:p w14:paraId="3C23ECDE" w14:textId="77777777" w:rsidR="00000000" w:rsidRDefault="0053651E">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4942C5B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A88E5F"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5A6A9A84" w14:textId="77777777" w:rsidR="00000000" w:rsidRDefault="0053651E">
            <w:pPr>
              <w:jc w:val="right"/>
              <w:rPr>
                <w:rFonts w:eastAsia="Times New Roman"/>
                <w:sz w:val="16"/>
                <w:szCs w:val="16"/>
              </w:rPr>
            </w:pPr>
            <w:r>
              <w:rPr>
                <w:rFonts w:eastAsia="Times New Roman"/>
                <w:sz w:val="16"/>
                <w:szCs w:val="16"/>
              </w:rPr>
              <w:t>(510,545</w:t>
            </w:r>
          </w:p>
        </w:tc>
        <w:tc>
          <w:tcPr>
            <w:tcW w:w="50" w:type="pct"/>
            <w:shd w:val="clear" w:color="auto" w:fill="FFFFFF"/>
            <w:vAlign w:val="bottom"/>
            <w:hideMark/>
          </w:tcPr>
          <w:p w14:paraId="46B6A926"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883DF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24591A"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B7B005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8C9689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BE584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4D531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779752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98FEA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2322A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F58D2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634F06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7F7742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30337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325B4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DE49BE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63E5A2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14F3C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D8742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9EBEC3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AD26FF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1E637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D9EAE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115554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A74F82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5FEF7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7199CB"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425CF32" w14:textId="77777777" w:rsidR="00000000" w:rsidRDefault="0053651E">
            <w:pPr>
              <w:jc w:val="right"/>
              <w:rPr>
                <w:rFonts w:eastAsia="Times New Roman"/>
                <w:sz w:val="16"/>
                <w:szCs w:val="16"/>
              </w:rPr>
            </w:pPr>
            <w:r>
              <w:rPr>
                <w:rFonts w:eastAsia="Times New Roman"/>
                <w:sz w:val="16"/>
                <w:szCs w:val="16"/>
              </w:rPr>
              <w:t>(510,545</w:t>
            </w:r>
          </w:p>
        </w:tc>
        <w:tc>
          <w:tcPr>
            <w:tcW w:w="50" w:type="pct"/>
            <w:shd w:val="clear" w:color="auto" w:fill="FFFFFF"/>
            <w:vAlign w:val="bottom"/>
            <w:hideMark/>
          </w:tcPr>
          <w:p w14:paraId="198A91D3"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74090B4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0211B6"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C6E3D1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29C01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BB296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30B96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B455B7E" w14:textId="77777777" w:rsidR="00000000" w:rsidRDefault="0053651E">
            <w:pPr>
              <w:jc w:val="right"/>
              <w:rPr>
                <w:rFonts w:eastAsia="Times New Roman"/>
                <w:sz w:val="16"/>
                <w:szCs w:val="16"/>
              </w:rPr>
            </w:pPr>
            <w:r>
              <w:rPr>
                <w:rFonts w:eastAsia="Times New Roman"/>
                <w:sz w:val="16"/>
                <w:szCs w:val="16"/>
              </w:rPr>
              <w:t>(510,545</w:t>
            </w:r>
          </w:p>
        </w:tc>
        <w:tc>
          <w:tcPr>
            <w:tcW w:w="50" w:type="pct"/>
            <w:shd w:val="clear" w:color="auto" w:fill="FFFFFF"/>
            <w:vAlign w:val="bottom"/>
            <w:hideMark/>
          </w:tcPr>
          <w:p w14:paraId="7ED3B7BA" w14:textId="77777777" w:rsidR="00000000" w:rsidRDefault="0053651E">
            <w:pPr>
              <w:rPr>
                <w:rFonts w:eastAsia="Times New Roman"/>
                <w:sz w:val="16"/>
                <w:szCs w:val="16"/>
              </w:rPr>
            </w:pPr>
            <w:r>
              <w:rPr>
                <w:rFonts w:eastAsia="Times New Roman"/>
                <w:sz w:val="16"/>
                <w:szCs w:val="16"/>
              </w:rPr>
              <w:t>)</w:t>
            </w:r>
          </w:p>
        </w:tc>
      </w:tr>
      <w:tr w:rsidR="0053651E" w14:paraId="0B1F591E" w14:textId="77777777">
        <w:trPr>
          <w:divId w:val="1059287255"/>
          <w:tblCellSpacing w:w="0" w:type="dxa"/>
        </w:trPr>
        <w:tc>
          <w:tcPr>
            <w:tcW w:w="950" w:type="pct"/>
            <w:shd w:val="clear" w:color="auto" w:fill="CCEEFF"/>
            <w:vAlign w:val="bottom"/>
            <w:hideMark/>
          </w:tcPr>
          <w:p w14:paraId="75874ED8" w14:textId="77777777" w:rsidR="00000000" w:rsidRDefault="0053651E">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62E8A54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1AB6D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25E4581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413BD2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4D2CE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BFA328"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5E3133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3641A9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5CD9E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1FBAC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F4DFC1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DCC482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FA007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1142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89EC8C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884A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9F58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125F3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CDCB16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098E9B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E20B3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D6239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220181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448379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88908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1D5AE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434450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44963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8C60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6D7E65"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96967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17792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8E7A1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EED0C6"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0CBFEB1" w14:textId="77777777" w:rsidR="00000000" w:rsidRDefault="0053651E">
            <w:pPr>
              <w:jc w:val="right"/>
              <w:rPr>
                <w:rFonts w:eastAsia="Times New Roman"/>
                <w:sz w:val="16"/>
                <w:szCs w:val="16"/>
              </w:rPr>
            </w:pPr>
            <w:r>
              <w:rPr>
                <w:rFonts w:eastAsia="Times New Roman"/>
                <w:sz w:val="16"/>
                <w:szCs w:val="16"/>
              </w:rPr>
              <w:t>(13,995</w:t>
            </w:r>
          </w:p>
        </w:tc>
        <w:tc>
          <w:tcPr>
            <w:tcW w:w="50" w:type="pct"/>
            <w:shd w:val="clear" w:color="auto" w:fill="CCEEFF"/>
            <w:vAlign w:val="bottom"/>
            <w:hideMark/>
          </w:tcPr>
          <w:p w14:paraId="6CF6A011"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4C67AF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BA121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D5419C0" w14:textId="77777777" w:rsidR="00000000" w:rsidRDefault="0053651E">
            <w:pPr>
              <w:jc w:val="right"/>
              <w:rPr>
                <w:rFonts w:eastAsia="Times New Roman"/>
                <w:sz w:val="16"/>
                <w:szCs w:val="16"/>
              </w:rPr>
            </w:pPr>
            <w:r>
              <w:rPr>
                <w:rFonts w:eastAsia="Times New Roman"/>
                <w:sz w:val="16"/>
                <w:szCs w:val="16"/>
              </w:rPr>
              <w:t>(13,995</w:t>
            </w:r>
          </w:p>
        </w:tc>
        <w:tc>
          <w:tcPr>
            <w:tcW w:w="50" w:type="pct"/>
            <w:shd w:val="clear" w:color="auto" w:fill="CCEEFF"/>
            <w:vAlign w:val="bottom"/>
            <w:hideMark/>
          </w:tcPr>
          <w:p w14:paraId="5E6CB317" w14:textId="77777777" w:rsidR="00000000" w:rsidRDefault="0053651E">
            <w:pPr>
              <w:rPr>
                <w:rFonts w:eastAsia="Times New Roman"/>
                <w:sz w:val="16"/>
                <w:szCs w:val="16"/>
              </w:rPr>
            </w:pPr>
            <w:r>
              <w:rPr>
                <w:rFonts w:eastAsia="Times New Roman"/>
                <w:sz w:val="16"/>
                <w:szCs w:val="16"/>
              </w:rPr>
              <w:t>)</w:t>
            </w:r>
          </w:p>
        </w:tc>
      </w:tr>
      <w:tr w:rsidR="0053651E" w14:paraId="41BE4F8B" w14:textId="77777777">
        <w:trPr>
          <w:divId w:val="1059287255"/>
          <w:tblCellSpacing w:w="0" w:type="dxa"/>
        </w:trPr>
        <w:tc>
          <w:tcPr>
            <w:tcW w:w="950" w:type="pct"/>
            <w:shd w:val="clear" w:color="auto" w:fill="FFFFFF"/>
            <w:vAlign w:val="bottom"/>
            <w:hideMark/>
          </w:tcPr>
          <w:p w14:paraId="4CAA8C9E" w14:textId="77777777" w:rsidR="00000000" w:rsidRDefault="0053651E">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14:paraId="45E1767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8BAB98"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0A42CEA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FF580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E1D41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919F38"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6095D14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E8B6C6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C9DDA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48C81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F315A1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5A43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EDBD9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8EE41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D0C32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2DAD07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7C01E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62D0B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0EED561" w14:textId="77777777" w:rsidR="00000000" w:rsidRDefault="0053651E">
            <w:pPr>
              <w:jc w:val="right"/>
              <w:rPr>
                <w:rFonts w:eastAsia="Times New Roman"/>
                <w:sz w:val="16"/>
                <w:szCs w:val="16"/>
              </w:rPr>
            </w:pPr>
            <w:r>
              <w:rPr>
                <w:rFonts w:eastAsia="Times New Roman"/>
                <w:sz w:val="16"/>
                <w:szCs w:val="16"/>
              </w:rPr>
              <w:t>776</w:t>
            </w:r>
          </w:p>
        </w:tc>
        <w:tc>
          <w:tcPr>
            <w:tcW w:w="50" w:type="pct"/>
            <w:shd w:val="clear" w:color="auto" w:fill="FFFFFF"/>
            <w:vAlign w:val="bottom"/>
            <w:hideMark/>
          </w:tcPr>
          <w:p w14:paraId="657CA13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42611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92F8E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B62CDFE" w14:textId="77777777" w:rsidR="00000000" w:rsidRDefault="0053651E">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7885659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9713F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E4E67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E6AE609" w14:textId="77777777" w:rsidR="00000000" w:rsidRDefault="0053651E">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0607A996"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F01897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02F631"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1AB818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B95F09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3AA55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E6036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91E3A0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7A3DDD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81E0F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A01A2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A1738E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7EE0839" w14:textId="77777777" w:rsidR="00000000" w:rsidRDefault="0053651E">
            <w:pPr>
              <w:rPr>
                <w:rFonts w:eastAsia="Times New Roman"/>
                <w:sz w:val="16"/>
                <w:szCs w:val="16"/>
              </w:rPr>
            </w:pPr>
            <w:r>
              <w:rPr>
                <w:rFonts w:eastAsia="Times New Roman"/>
                <w:sz w:val="16"/>
                <w:szCs w:val="16"/>
              </w:rPr>
              <w:t> </w:t>
            </w:r>
          </w:p>
        </w:tc>
      </w:tr>
      <w:tr w:rsidR="0053651E" w14:paraId="2C0297D0" w14:textId="77777777">
        <w:trPr>
          <w:divId w:val="1059287255"/>
          <w:tblCellSpacing w:w="0" w:type="dxa"/>
        </w:trPr>
        <w:tc>
          <w:tcPr>
            <w:tcW w:w="950" w:type="pct"/>
            <w:shd w:val="clear" w:color="auto" w:fill="CCEEFF"/>
            <w:vAlign w:val="bottom"/>
            <w:hideMark/>
          </w:tcPr>
          <w:p w14:paraId="3CFE635C" w14:textId="77777777" w:rsidR="00000000" w:rsidRDefault="0053651E">
            <w:pPr>
              <w:pStyle w:val="a3"/>
              <w:spacing w:before="0" w:beforeAutospacing="0" w:after="0" w:afterAutospacing="0"/>
              <w:rPr>
                <w:sz w:val="16"/>
                <w:szCs w:val="16"/>
              </w:rPr>
            </w:pPr>
            <w:r>
              <w:rPr>
                <w:sz w:val="16"/>
                <w:szCs w:val="16"/>
              </w:rPr>
              <w:t>Issuance of preferred stock</w:t>
            </w:r>
          </w:p>
        </w:tc>
        <w:tc>
          <w:tcPr>
            <w:tcW w:w="50" w:type="pct"/>
            <w:shd w:val="clear" w:color="auto" w:fill="CCEEFF"/>
            <w:vAlign w:val="bottom"/>
            <w:hideMark/>
          </w:tcPr>
          <w:p w14:paraId="06368E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02A271"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5E1EC7C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DE216F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9727F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E517B4"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39CB409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5799F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E5BF6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ECFC6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39CE745" w14:textId="77777777" w:rsidR="00000000" w:rsidRDefault="0053651E">
            <w:pPr>
              <w:jc w:val="right"/>
              <w:rPr>
                <w:rFonts w:eastAsia="Times New Roman"/>
                <w:sz w:val="16"/>
                <w:szCs w:val="16"/>
              </w:rPr>
            </w:pPr>
            <w:r>
              <w:rPr>
                <w:rFonts w:eastAsia="Times New Roman"/>
                <w:sz w:val="16"/>
                <w:szCs w:val="16"/>
              </w:rPr>
              <w:t>18</w:t>
            </w:r>
          </w:p>
        </w:tc>
        <w:tc>
          <w:tcPr>
            <w:tcW w:w="50" w:type="pct"/>
            <w:shd w:val="clear" w:color="auto" w:fill="CCEEFF"/>
            <w:vAlign w:val="bottom"/>
            <w:hideMark/>
          </w:tcPr>
          <w:p w14:paraId="45611D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BD61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5FAB6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E3F8C00" w14:textId="77777777" w:rsidR="00000000" w:rsidRDefault="0053651E">
            <w:pPr>
              <w:jc w:val="right"/>
              <w:rPr>
                <w:rFonts w:eastAsia="Times New Roman"/>
                <w:sz w:val="16"/>
                <w:szCs w:val="16"/>
              </w:rPr>
            </w:pPr>
            <w:r>
              <w:rPr>
                <w:rFonts w:eastAsia="Times New Roman"/>
                <w:sz w:val="16"/>
                <w:szCs w:val="16"/>
              </w:rPr>
              <w:t>18</w:t>
            </w:r>
          </w:p>
        </w:tc>
        <w:tc>
          <w:tcPr>
            <w:tcW w:w="50" w:type="pct"/>
            <w:shd w:val="clear" w:color="auto" w:fill="CCEEFF"/>
            <w:vAlign w:val="bottom"/>
            <w:hideMark/>
          </w:tcPr>
          <w:p w14:paraId="26EA9FF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07708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75459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7FC459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4069C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ADE05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854D2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5ED337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7DD6BA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788BD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996F3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C4CDFC9" w14:textId="77777777" w:rsidR="00000000" w:rsidRDefault="0053651E">
            <w:pPr>
              <w:jc w:val="right"/>
              <w:rPr>
                <w:rFonts w:eastAsia="Times New Roman"/>
                <w:sz w:val="16"/>
                <w:szCs w:val="16"/>
              </w:rPr>
            </w:pPr>
            <w:r>
              <w:rPr>
                <w:rFonts w:eastAsia="Times New Roman"/>
                <w:sz w:val="16"/>
                <w:szCs w:val="16"/>
              </w:rPr>
              <w:t>439,401</w:t>
            </w:r>
          </w:p>
        </w:tc>
        <w:tc>
          <w:tcPr>
            <w:tcW w:w="50" w:type="pct"/>
            <w:shd w:val="clear" w:color="auto" w:fill="CCEEFF"/>
            <w:vAlign w:val="bottom"/>
            <w:hideMark/>
          </w:tcPr>
          <w:p w14:paraId="7C31E21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BB251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8A6E5F"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7B900E3" w14:textId="77777777" w:rsidR="00000000" w:rsidRDefault="0053651E">
            <w:pPr>
              <w:jc w:val="right"/>
              <w:rPr>
                <w:rFonts w:eastAsia="Times New Roman"/>
                <w:sz w:val="16"/>
                <w:szCs w:val="16"/>
              </w:rPr>
            </w:pPr>
            <w:r>
              <w:rPr>
                <w:rFonts w:eastAsia="Times New Roman"/>
                <w:sz w:val="16"/>
                <w:szCs w:val="16"/>
              </w:rPr>
              <w:t>439,419</w:t>
            </w:r>
          </w:p>
        </w:tc>
        <w:tc>
          <w:tcPr>
            <w:tcW w:w="50" w:type="pct"/>
            <w:shd w:val="clear" w:color="auto" w:fill="CCEEFF"/>
            <w:vAlign w:val="bottom"/>
            <w:hideMark/>
          </w:tcPr>
          <w:p w14:paraId="1F63DE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4E68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02DA56"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47EE2B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2CC7FA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49856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8F9D8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D9C21F5" w14:textId="77777777" w:rsidR="00000000" w:rsidRDefault="0053651E">
            <w:pPr>
              <w:jc w:val="right"/>
              <w:rPr>
                <w:rFonts w:eastAsia="Times New Roman"/>
                <w:sz w:val="16"/>
                <w:szCs w:val="16"/>
              </w:rPr>
            </w:pPr>
            <w:r>
              <w:rPr>
                <w:rFonts w:eastAsia="Times New Roman"/>
                <w:sz w:val="16"/>
                <w:szCs w:val="16"/>
              </w:rPr>
              <w:t>439,419</w:t>
            </w:r>
          </w:p>
        </w:tc>
        <w:tc>
          <w:tcPr>
            <w:tcW w:w="50" w:type="pct"/>
            <w:shd w:val="clear" w:color="auto" w:fill="CCEEFF"/>
            <w:vAlign w:val="bottom"/>
            <w:hideMark/>
          </w:tcPr>
          <w:p w14:paraId="79CF97E1" w14:textId="77777777" w:rsidR="00000000" w:rsidRDefault="0053651E">
            <w:pPr>
              <w:rPr>
                <w:rFonts w:eastAsia="Times New Roman"/>
                <w:sz w:val="16"/>
                <w:szCs w:val="16"/>
              </w:rPr>
            </w:pPr>
            <w:r>
              <w:rPr>
                <w:rFonts w:eastAsia="Times New Roman"/>
                <w:sz w:val="16"/>
                <w:szCs w:val="16"/>
              </w:rPr>
              <w:t> </w:t>
            </w:r>
          </w:p>
        </w:tc>
      </w:tr>
      <w:tr w:rsidR="0053651E" w14:paraId="192EB4AB" w14:textId="77777777">
        <w:trPr>
          <w:divId w:val="1059287255"/>
          <w:tblCellSpacing w:w="0" w:type="dxa"/>
        </w:trPr>
        <w:tc>
          <w:tcPr>
            <w:tcW w:w="950" w:type="pct"/>
            <w:shd w:val="clear" w:color="auto" w:fill="FFFFFF"/>
            <w:vAlign w:val="bottom"/>
            <w:hideMark/>
          </w:tcPr>
          <w:p w14:paraId="7A86D0D0" w14:textId="77777777" w:rsidR="00000000" w:rsidRDefault="0053651E">
            <w:pPr>
              <w:pStyle w:val="a3"/>
              <w:spacing w:before="0" w:beforeAutospacing="0" w:after="0" w:afterAutospacing="0"/>
              <w:rPr>
                <w:sz w:val="16"/>
                <w:szCs w:val="16"/>
              </w:rPr>
            </w:pPr>
            <w:r>
              <w:rPr>
                <w:sz w:val="16"/>
                <w:szCs w:val="16"/>
              </w:rPr>
              <w:t>Surrender of restricted stock</w:t>
            </w:r>
          </w:p>
        </w:tc>
        <w:tc>
          <w:tcPr>
            <w:tcW w:w="50" w:type="pct"/>
            <w:shd w:val="clear" w:color="auto" w:fill="FFFFFF"/>
            <w:vAlign w:val="bottom"/>
            <w:hideMark/>
          </w:tcPr>
          <w:p w14:paraId="2105BBF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09BFA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509AB2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EF8CA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8F5B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C804B2"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369051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EF4464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39CBB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4A14D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50F17D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F1327E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EE2EE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8AC62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EE0F61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74E09C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DAEC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BBE49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73E614F" w14:textId="77777777" w:rsidR="00000000" w:rsidRDefault="0053651E">
            <w:pPr>
              <w:jc w:val="right"/>
              <w:rPr>
                <w:rFonts w:eastAsia="Times New Roman"/>
                <w:sz w:val="16"/>
                <w:szCs w:val="16"/>
              </w:rPr>
            </w:pPr>
            <w:r>
              <w:rPr>
                <w:rFonts w:eastAsia="Times New Roman"/>
                <w:sz w:val="16"/>
                <w:szCs w:val="16"/>
              </w:rPr>
              <w:t>(248</w:t>
            </w:r>
          </w:p>
        </w:tc>
        <w:tc>
          <w:tcPr>
            <w:tcW w:w="50" w:type="pct"/>
            <w:shd w:val="clear" w:color="auto" w:fill="FFFFFF"/>
            <w:vAlign w:val="bottom"/>
            <w:hideMark/>
          </w:tcPr>
          <w:p w14:paraId="6F27DA5B"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6F0B9E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190C5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7FC3B21" w14:textId="77777777" w:rsidR="00000000" w:rsidRDefault="0053651E">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14:paraId="127537AF"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35E5EE1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ECE1E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AA3D93A" w14:textId="77777777" w:rsidR="00000000" w:rsidRDefault="0053651E">
            <w:pPr>
              <w:jc w:val="right"/>
              <w:rPr>
                <w:rFonts w:eastAsia="Times New Roman"/>
                <w:sz w:val="16"/>
                <w:szCs w:val="16"/>
              </w:rPr>
            </w:pPr>
            <w:r>
              <w:rPr>
                <w:rFonts w:eastAsia="Times New Roman"/>
                <w:sz w:val="16"/>
                <w:szCs w:val="16"/>
              </w:rPr>
              <w:t>(5,697</w:t>
            </w:r>
          </w:p>
        </w:tc>
        <w:tc>
          <w:tcPr>
            <w:tcW w:w="50" w:type="pct"/>
            <w:shd w:val="clear" w:color="auto" w:fill="FFFFFF"/>
            <w:vAlign w:val="bottom"/>
            <w:hideMark/>
          </w:tcPr>
          <w:p w14:paraId="6AD14C47"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7A68213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CE8077"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8230E1B" w14:textId="77777777" w:rsidR="00000000" w:rsidRDefault="0053651E">
            <w:pPr>
              <w:jc w:val="right"/>
              <w:rPr>
                <w:rFonts w:eastAsia="Times New Roman"/>
                <w:sz w:val="16"/>
                <w:szCs w:val="16"/>
              </w:rPr>
            </w:pPr>
            <w:r>
              <w:rPr>
                <w:rFonts w:eastAsia="Times New Roman"/>
                <w:sz w:val="16"/>
                <w:szCs w:val="16"/>
              </w:rPr>
              <w:t>(5,699</w:t>
            </w:r>
          </w:p>
        </w:tc>
        <w:tc>
          <w:tcPr>
            <w:tcW w:w="50" w:type="pct"/>
            <w:shd w:val="clear" w:color="auto" w:fill="FFFFFF"/>
            <w:vAlign w:val="bottom"/>
            <w:hideMark/>
          </w:tcPr>
          <w:p w14:paraId="13E0D01E"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329CCC1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4F5DBC"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3CBD00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CF8C1D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30FD0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6861B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77997B2" w14:textId="77777777" w:rsidR="00000000" w:rsidRDefault="0053651E">
            <w:pPr>
              <w:jc w:val="right"/>
              <w:rPr>
                <w:rFonts w:eastAsia="Times New Roman"/>
                <w:sz w:val="16"/>
                <w:szCs w:val="16"/>
              </w:rPr>
            </w:pPr>
            <w:r>
              <w:rPr>
                <w:rFonts w:eastAsia="Times New Roman"/>
                <w:sz w:val="16"/>
                <w:szCs w:val="16"/>
              </w:rPr>
              <w:t>(5,699</w:t>
            </w:r>
          </w:p>
        </w:tc>
        <w:tc>
          <w:tcPr>
            <w:tcW w:w="50" w:type="pct"/>
            <w:shd w:val="clear" w:color="auto" w:fill="FFFFFF"/>
            <w:vAlign w:val="bottom"/>
            <w:hideMark/>
          </w:tcPr>
          <w:p w14:paraId="0EBD8F4A" w14:textId="77777777" w:rsidR="00000000" w:rsidRDefault="0053651E">
            <w:pPr>
              <w:rPr>
                <w:rFonts w:eastAsia="Times New Roman"/>
                <w:sz w:val="16"/>
                <w:szCs w:val="16"/>
              </w:rPr>
            </w:pPr>
            <w:r>
              <w:rPr>
                <w:rFonts w:eastAsia="Times New Roman"/>
                <w:sz w:val="16"/>
                <w:szCs w:val="16"/>
              </w:rPr>
              <w:t>)</w:t>
            </w:r>
          </w:p>
        </w:tc>
      </w:tr>
      <w:tr w:rsidR="0053651E" w14:paraId="225E06F0" w14:textId="77777777">
        <w:trPr>
          <w:divId w:val="1059287255"/>
          <w:tblCellSpacing w:w="0" w:type="dxa"/>
        </w:trPr>
        <w:tc>
          <w:tcPr>
            <w:tcW w:w="950" w:type="pct"/>
            <w:shd w:val="clear" w:color="auto" w:fill="CCEEFF"/>
            <w:vAlign w:val="bottom"/>
            <w:hideMark/>
          </w:tcPr>
          <w:p w14:paraId="2FD5D319" w14:textId="77777777" w:rsidR="00000000" w:rsidRDefault="0053651E">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CCEEFF"/>
            <w:vAlign w:val="bottom"/>
            <w:hideMark/>
          </w:tcPr>
          <w:p w14:paraId="39102A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4676E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764B540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2E2820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A3347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207E9D"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7FA62E8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55363D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2AA39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D2F2A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0B3FB3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3B91AE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4A43B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15CDD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28616E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289FE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8B963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0FB83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E1BF5B1" w14:textId="77777777" w:rsidR="00000000" w:rsidRDefault="0053651E">
            <w:pPr>
              <w:jc w:val="right"/>
              <w:rPr>
                <w:rFonts w:eastAsia="Times New Roman"/>
                <w:sz w:val="16"/>
                <w:szCs w:val="16"/>
              </w:rPr>
            </w:pPr>
            <w:r>
              <w:rPr>
                <w:rFonts w:eastAsia="Times New Roman"/>
                <w:sz w:val="16"/>
                <w:szCs w:val="16"/>
              </w:rPr>
              <w:t>84</w:t>
            </w:r>
          </w:p>
        </w:tc>
        <w:tc>
          <w:tcPr>
            <w:tcW w:w="50" w:type="pct"/>
            <w:shd w:val="clear" w:color="auto" w:fill="CCEEFF"/>
            <w:vAlign w:val="bottom"/>
            <w:hideMark/>
          </w:tcPr>
          <w:p w14:paraId="11AD78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068AB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03CF3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A324BA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68DF0A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5546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8FB8C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CB0CF0F" w14:textId="77777777" w:rsidR="00000000" w:rsidRDefault="0053651E">
            <w:pPr>
              <w:jc w:val="right"/>
              <w:rPr>
                <w:rFonts w:eastAsia="Times New Roman"/>
                <w:sz w:val="16"/>
                <w:szCs w:val="16"/>
              </w:rPr>
            </w:pPr>
            <w:r>
              <w:rPr>
                <w:rFonts w:eastAsia="Times New Roman"/>
                <w:sz w:val="16"/>
                <w:szCs w:val="16"/>
              </w:rPr>
              <w:t>1,526</w:t>
            </w:r>
          </w:p>
        </w:tc>
        <w:tc>
          <w:tcPr>
            <w:tcW w:w="50" w:type="pct"/>
            <w:shd w:val="clear" w:color="auto" w:fill="CCEEFF"/>
            <w:vAlign w:val="bottom"/>
            <w:hideMark/>
          </w:tcPr>
          <w:p w14:paraId="06045C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65083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F9AB07"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B232573" w14:textId="77777777" w:rsidR="00000000" w:rsidRDefault="0053651E">
            <w:pPr>
              <w:jc w:val="right"/>
              <w:rPr>
                <w:rFonts w:eastAsia="Times New Roman"/>
                <w:sz w:val="16"/>
                <w:szCs w:val="16"/>
              </w:rPr>
            </w:pPr>
            <w:r>
              <w:rPr>
                <w:rFonts w:eastAsia="Times New Roman"/>
                <w:sz w:val="16"/>
                <w:szCs w:val="16"/>
              </w:rPr>
              <w:t>1,526</w:t>
            </w:r>
          </w:p>
        </w:tc>
        <w:tc>
          <w:tcPr>
            <w:tcW w:w="50" w:type="pct"/>
            <w:shd w:val="clear" w:color="auto" w:fill="CCEEFF"/>
            <w:vAlign w:val="bottom"/>
            <w:hideMark/>
          </w:tcPr>
          <w:p w14:paraId="0E609B0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2709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B64710"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2D0EDB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43CEC4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408B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28FA9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A22759B" w14:textId="77777777" w:rsidR="00000000" w:rsidRDefault="0053651E">
            <w:pPr>
              <w:jc w:val="right"/>
              <w:rPr>
                <w:rFonts w:eastAsia="Times New Roman"/>
                <w:sz w:val="16"/>
                <w:szCs w:val="16"/>
              </w:rPr>
            </w:pPr>
            <w:r>
              <w:rPr>
                <w:rFonts w:eastAsia="Times New Roman"/>
                <w:sz w:val="16"/>
                <w:szCs w:val="16"/>
              </w:rPr>
              <w:t>1,526</w:t>
            </w:r>
          </w:p>
        </w:tc>
        <w:tc>
          <w:tcPr>
            <w:tcW w:w="50" w:type="pct"/>
            <w:shd w:val="clear" w:color="auto" w:fill="CCEEFF"/>
            <w:vAlign w:val="bottom"/>
            <w:hideMark/>
          </w:tcPr>
          <w:p w14:paraId="070693BA" w14:textId="77777777" w:rsidR="00000000" w:rsidRDefault="0053651E">
            <w:pPr>
              <w:rPr>
                <w:rFonts w:eastAsia="Times New Roman"/>
                <w:sz w:val="16"/>
                <w:szCs w:val="16"/>
              </w:rPr>
            </w:pPr>
            <w:r>
              <w:rPr>
                <w:rFonts w:eastAsia="Times New Roman"/>
                <w:sz w:val="16"/>
                <w:szCs w:val="16"/>
              </w:rPr>
              <w:t> </w:t>
            </w:r>
          </w:p>
        </w:tc>
      </w:tr>
      <w:tr w:rsidR="0053651E" w14:paraId="13773A9B" w14:textId="77777777">
        <w:trPr>
          <w:divId w:val="1059287255"/>
          <w:tblCellSpacing w:w="0" w:type="dxa"/>
        </w:trPr>
        <w:tc>
          <w:tcPr>
            <w:tcW w:w="950" w:type="pct"/>
            <w:shd w:val="clear" w:color="auto" w:fill="FFFFFF"/>
            <w:vAlign w:val="bottom"/>
            <w:hideMark/>
          </w:tcPr>
          <w:p w14:paraId="0C3CD9CA" w14:textId="77777777" w:rsidR="00000000" w:rsidRDefault="0053651E">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14:paraId="157BE17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8660B6"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5A38F9F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6DA36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574D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57932B"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6B58B3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DA9EE4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280A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33BDA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DFFA5A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383E14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6604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D4476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C3329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77FF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85502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614DE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8F646F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B0C9C6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D8601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EA982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2DB4B6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1E7D22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7717E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DD206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2303F2C" w14:textId="77777777" w:rsidR="00000000" w:rsidRDefault="0053651E">
            <w:pPr>
              <w:jc w:val="right"/>
              <w:rPr>
                <w:rFonts w:eastAsia="Times New Roman"/>
                <w:sz w:val="16"/>
                <w:szCs w:val="16"/>
              </w:rPr>
            </w:pPr>
            <w:r>
              <w:rPr>
                <w:rFonts w:eastAsia="Times New Roman"/>
                <w:sz w:val="16"/>
                <w:szCs w:val="16"/>
              </w:rPr>
              <w:t>18,983</w:t>
            </w:r>
          </w:p>
        </w:tc>
        <w:tc>
          <w:tcPr>
            <w:tcW w:w="50" w:type="pct"/>
            <w:shd w:val="clear" w:color="auto" w:fill="FFFFFF"/>
            <w:vAlign w:val="bottom"/>
            <w:hideMark/>
          </w:tcPr>
          <w:p w14:paraId="2FF4403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5077E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142D9C"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B2693F5" w14:textId="77777777" w:rsidR="00000000" w:rsidRDefault="0053651E">
            <w:pPr>
              <w:jc w:val="right"/>
              <w:rPr>
                <w:rFonts w:eastAsia="Times New Roman"/>
                <w:sz w:val="16"/>
                <w:szCs w:val="16"/>
              </w:rPr>
            </w:pPr>
            <w:r>
              <w:rPr>
                <w:rFonts w:eastAsia="Times New Roman"/>
                <w:sz w:val="16"/>
                <w:szCs w:val="16"/>
              </w:rPr>
              <w:t>18,983</w:t>
            </w:r>
          </w:p>
        </w:tc>
        <w:tc>
          <w:tcPr>
            <w:tcW w:w="50" w:type="pct"/>
            <w:shd w:val="clear" w:color="auto" w:fill="FFFFFF"/>
            <w:vAlign w:val="bottom"/>
            <w:hideMark/>
          </w:tcPr>
          <w:p w14:paraId="4207197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69911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EF5660"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1D17DD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CD64AB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FD60F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7DC1B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57C749A" w14:textId="77777777" w:rsidR="00000000" w:rsidRDefault="0053651E">
            <w:pPr>
              <w:jc w:val="right"/>
              <w:rPr>
                <w:rFonts w:eastAsia="Times New Roman"/>
                <w:sz w:val="16"/>
                <w:szCs w:val="16"/>
              </w:rPr>
            </w:pPr>
            <w:r>
              <w:rPr>
                <w:rFonts w:eastAsia="Times New Roman"/>
                <w:sz w:val="16"/>
                <w:szCs w:val="16"/>
              </w:rPr>
              <w:t>18,983</w:t>
            </w:r>
          </w:p>
        </w:tc>
        <w:tc>
          <w:tcPr>
            <w:tcW w:w="50" w:type="pct"/>
            <w:shd w:val="clear" w:color="auto" w:fill="FFFFFF"/>
            <w:vAlign w:val="bottom"/>
            <w:hideMark/>
          </w:tcPr>
          <w:p w14:paraId="6291EE7E" w14:textId="77777777" w:rsidR="00000000" w:rsidRDefault="0053651E">
            <w:pPr>
              <w:rPr>
                <w:rFonts w:eastAsia="Times New Roman"/>
                <w:sz w:val="16"/>
                <w:szCs w:val="16"/>
              </w:rPr>
            </w:pPr>
            <w:r>
              <w:rPr>
                <w:rFonts w:eastAsia="Times New Roman"/>
                <w:sz w:val="16"/>
                <w:szCs w:val="16"/>
              </w:rPr>
              <w:t> </w:t>
            </w:r>
          </w:p>
        </w:tc>
      </w:tr>
      <w:tr w:rsidR="0053651E" w14:paraId="76D41CFA" w14:textId="77777777">
        <w:trPr>
          <w:divId w:val="1059287255"/>
          <w:tblCellSpacing w:w="0" w:type="dxa"/>
        </w:trPr>
        <w:tc>
          <w:tcPr>
            <w:tcW w:w="950" w:type="pct"/>
            <w:shd w:val="clear" w:color="auto" w:fill="CCEEFF"/>
            <w:vAlign w:val="bottom"/>
            <w:hideMark/>
          </w:tcPr>
          <w:p w14:paraId="60101630" w14:textId="77777777" w:rsidR="00000000" w:rsidRDefault="0053651E">
            <w:pPr>
              <w:pStyle w:val="a3"/>
              <w:spacing w:before="0" w:beforeAutospacing="0" w:after="0" w:afterAutospacing="0"/>
              <w:rPr>
                <w:sz w:val="16"/>
                <w:szCs w:val="16"/>
              </w:rPr>
            </w:pPr>
            <w:r>
              <w:rPr>
                <w:sz w:val="16"/>
                <w:szCs w:val="16"/>
              </w:rPr>
              <w:t>Redemption of preferred stock</w:t>
            </w:r>
          </w:p>
        </w:tc>
        <w:tc>
          <w:tcPr>
            <w:tcW w:w="50" w:type="pct"/>
            <w:shd w:val="clear" w:color="auto" w:fill="CCEEFF"/>
            <w:vAlign w:val="bottom"/>
            <w:hideMark/>
          </w:tcPr>
          <w:p w14:paraId="64300D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70740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F1EEF2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0C98C1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1183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DFC121"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6C0107D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E96E9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7B1E0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3D1BC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75EDA7C" w14:textId="77777777" w:rsidR="00000000" w:rsidRDefault="0053651E">
            <w:pPr>
              <w:jc w:val="right"/>
              <w:rPr>
                <w:rFonts w:eastAsia="Times New Roman"/>
                <w:sz w:val="16"/>
                <w:szCs w:val="16"/>
              </w:rPr>
            </w:pPr>
            <w:r>
              <w:rPr>
                <w:rFonts w:eastAsia="Times New Roman"/>
                <w:sz w:val="16"/>
                <w:szCs w:val="16"/>
              </w:rPr>
              <w:t>(9</w:t>
            </w:r>
          </w:p>
        </w:tc>
        <w:tc>
          <w:tcPr>
            <w:tcW w:w="50" w:type="pct"/>
            <w:shd w:val="clear" w:color="auto" w:fill="CCEEFF"/>
            <w:vAlign w:val="bottom"/>
            <w:hideMark/>
          </w:tcPr>
          <w:p w14:paraId="1CF0AE4D"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585B7EF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23808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206CC54" w14:textId="77777777" w:rsidR="00000000" w:rsidRDefault="0053651E">
            <w:pPr>
              <w:jc w:val="right"/>
              <w:rPr>
                <w:rFonts w:eastAsia="Times New Roman"/>
                <w:sz w:val="16"/>
                <w:szCs w:val="16"/>
              </w:rPr>
            </w:pPr>
            <w:r>
              <w:rPr>
                <w:rFonts w:eastAsia="Times New Roman"/>
                <w:sz w:val="16"/>
                <w:szCs w:val="16"/>
              </w:rPr>
              <w:t>(9</w:t>
            </w:r>
          </w:p>
        </w:tc>
        <w:tc>
          <w:tcPr>
            <w:tcW w:w="50" w:type="pct"/>
            <w:shd w:val="clear" w:color="auto" w:fill="CCEEFF"/>
            <w:vAlign w:val="bottom"/>
            <w:hideMark/>
          </w:tcPr>
          <w:p w14:paraId="09D99413"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7B12638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8249C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0562A3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49D89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A327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21234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25287F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338269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2C55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E669A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16F32BC" w14:textId="77777777" w:rsidR="00000000" w:rsidRDefault="0053651E">
            <w:pPr>
              <w:jc w:val="right"/>
              <w:rPr>
                <w:rFonts w:eastAsia="Times New Roman"/>
                <w:sz w:val="16"/>
                <w:szCs w:val="16"/>
              </w:rPr>
            </w:pPr>
            <w:r>
              <w:rPr>
                <w:rFonts w:eastAsia="Times New Roman"/>
                <w:sz w:val="16"/>
                <w:szCs w:val="16"/>
              </w:rPr>
              <w:t>(224,991</w:t>
            </w:r>
          </w:p>
        </w:tc>
        <w:tc>
          <w:tcPr>
            <w:tcW w:w="50" w:type="pct"/>
            <w:shd w:val="clear" w:color="auto" w:fill="CCEEFF"/>
            <w:vAlign w:val="bottom"/>
            <w:hideMark/>
          </w:tcPr>
          <w:p w14:paraId="11FA29B2"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451E4B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439CC2"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AE192D8"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225,000</w:t>
            </w:r>
          </w:p>
        </w:tc>
        <w:tc>
          <w:tcPr>
            <w:tcW w:w="50" w:type="pct"/>
            <w:shd w:val="clear" w:color="auto" w:fill="CCEEFF"/>
            <w:vAlign w:val="bottom"/>
            <w:hideMark/>
          </w:tcPr>
          <w:p w14:paraId="1ACB568A"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05C3BF7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949E61"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D8CD5E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EF65FD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C6EC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7D3B8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D61CA04" w14:textId="77777777" w:rsidR="00000000" w:rsidRDefault="0053651E">
            <w:pPr>
              <w:jc w:val="right"/>
              <w:rPr>
                <w:rFonts w:eastAsia="Times New Roman"/>
                <w:sz w:val="16"/>
                <w:szCs w:val="16"/>
              </w:rPr>
            </w:pPr>
            <w:r>
              <w:rPr>
                <w:rFonts w:eastAsia="Times New Roman"/>
                <w:sz w:val="16"/>
                <w:szCs w:val="16"/>
              </w:rPr>
              <w:t>(225,000</w:t>
            </w:r>
          </w:p>
        </w:tc>
        <w:tc>
          <w:tcPr>
            <w:tcW w:w="50" w:type="pct"/>
            <w:shd w:val="clear" w:color="auto" w:fill="CCEEFF"/>
            <w:vAlign w:val="bottom"/>
            <w:hideMark/>
          </w:tcPr>
          <w:p w14:paraId="1B8FCDBA" w14:textId="77777777" w:rsidR="00000000" w:rsidRDefault="0053651E">
            <w:pPr>
              <w:rPr>
                <w:rFonts w:eastAsia="Times New Roman"/>
                <w:sz w:val="16"/>
                <w:szCs w:val="16"/>
              </w:rPr>
            </w:pPr>
            <w:r>
              <w:rPr>
                <w:rFonts w:eastAsia="Times New Roman"/>
                <w:sz w:val="16"/>
                <w:szCs w:val="16"/>
              </w:rPr>
              <w:t>)</w:t>
            </w:r>
          </w:p>
        </w:tc>
      </w:tr>
      <w:tr w:rsidR="0053651E" w14:paraId="2E048B21" w14:textId="77777777">
        <w:trPr>
          <w:divId w:val="1059287255"/>
          <w:tblCellSpacing w:w="0" w:type="dxa"/>
        </w:trPr>
        <w:tc>
          <w:tcPr>
            <w:tcW w:w="950" w:type="pct"/>
            <w:shd w:val="clear" w:color="auto" w:fill="FFFFFF"/>
            <w:vAlign w:val="bottom"/>
            <w:hideMark/>
          </w:tcPr>
          <w:p w14:paraId="42689CCE" w14:textId="77777777" w:rsidR="00000000" w:rsidRDefault="0053651E">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FFFFFF"/>
            <w:tcMar>
              <w:top w:w="0" w:type="dxa"/>
              <w:left w:w="0" w:type="dxa"/>
              <w:bottom w:w="15" w:type="dxa"/>
              <w:right w:w="0" w:type="dxa"/>
            </w:tcMar>
            <w:vAlign w:val="bottom"/>
            <w:hideMark/>
          </w:tcPr>
          <w:p w14:paraId="42545996"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8FDA5A9"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FFFFFF"/>
            <w:vAlign w:val="bottom"/>
            <w:hideMark/>
          </w:tcPr>
          <w:p w14:paraId="75C919E2"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3EF2FCF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ADF985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EE38703"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14:paraId="39BF5648"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7C5DD9F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7803326"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C36FEDD"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74DC37C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FFFFFF"/>
            <w:vAlign w:val="bottom"/>
            <w:hideMark/>
          </w:tcPr>
          <w:p w14:paraId="3F53CE4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D1DCB5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B0FB0DC"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3400CE5A"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1DF911C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72C239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35EFE78"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1E5549E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FFFFFF"/>
            <w:vAlign w:val="bottom"/>
            <w:hideMark/>
          </w:tcPr>
          <w:p w14:paraId="490072E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1445E1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6DB2460"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400F464D"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2508C021"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BBF88C1"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DEE3AFD"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1759E4D0" w14:textId="77777777" w:rsidR="00000000" w:rsidRDefault="0053651E">
            <w:pPr>
              <w:jc w:val="right"/>
              <w:rPr>
                <w:rFonts w:eastAsia="Times New Roman"/>
                <w:sz w:val="16"/>
                <w:szCs w:val="16"/>
              </w:rPr>
            </w:pPr>
            <w:r>
              <w:rPr>
                <w:rFonts w:eastAsia="Times New Roman"/>
                <w:sz w:val="16"/>
                <w:szCs w:val="16"/>
              </w:rPr>
              <w:t>592</w:t>
            </w:r>
          </w:p>
        </w:tc>
        <w:tc>
          <w:tcPr>
            <w:tcW w:w="50" w:type="pct"/>
            <w:tcBorders>
              <w:bottom w:val="single" w:sz="6" w:space="0" w:color="000000"/>
            </w:tcBorders>
            <w:shd w:val="clear" w:color="auto" w:fill="FFFFFF"/>
            <w:vAlign w:val="bottom"/>
            <w:hideMark/>
          </w:tcPr>
          <w:p w14:paraId="6EABBE6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DB544A6"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E176142" w14:textId="77777777" w:rsidR="00000000" w:rsidRDefault="0053651E">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21FAE95C" w14:textId="77777777" w:rsidR="00000000" w:rsidRDefault="0053651E">
            <w:pPr>
              <w:jc w:val="right"/>
              <w:rPr>
                <w:rFonts w:eastAsia="Times New Roman"/>
                <w:sz w:val="16"/>
                <w:szCs w:val="16"/>
              </w:rPr>
            </w:pPr>
            <w:r>
              <w:rPr>
                <w:rFonts w:eastAsia="Times New Roman"/>
                <w:sz w:val="16"/>
                <w:szCs w:val="16"/>
              </w:rPr>
              <w:t>592</w:t>
            </w:r>
          </w:p>
        </w:tc>
        <w:tc>
          <w:tcPr>
            <w:tcW w:w="50" w:type="pct"/>
            <w:shd w:val="clear" w:color="auto" w:fill="FFFFFF"/>
            <w:vAlign w:val="bottom"/>
            <w:hideMark/>
          </w:tcPr>
          <w:p w14:paraId="31D733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E86773"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9D56A71"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2B61255A" w14:textId="77777777" w:rsidR="00000000" w:rsidRDefault="0053651E">
            <w:pPr>
              <w:jc w:val="right"/>
              <w:rPr>
                <w:rFonts w:eastAsia="Times New Roman"/>
                <w:sz w:val="16"/>
                <w:szCs w:val="16"/>
              </w:rPr>
            </w:pPr>
            <w:r>
              <w:rPr>
                <w:rFonts w:eastAsia="Times New Roman"/>
                <w:sz w:val="16"/>
                <w:szCs w:val="16"/>
              </w:rPr>
              <w:t>(66,013</w:t>
            </w:r>
          </w:p>
        </w:tc>
        <w:tc>
          <w:tcPr>
            <w:tcW w:w="50" w:type="pct"/>
            <w:shd w:val="clear" w:color="auto" w:fill="FFFFFF"/>
            <w:vAlign w:val="bottom"/>
            <w:hideMark/>
          </w:tcPr>
          <w:p w14:paraId="48E2BF4B"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3DD172AB"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728DC78"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659EB2F8" w14:textId="77777777" w:rsidR="00000000" w:rsidRDefault="0053651E">
            <w:pPr>
              <w:jc w:val="right"/>
              <w:rPr>
                <w:rFonts w:eastAsia="Times New Roman"/>
                <w:sz w:val="16"/>
                <w:szCs w:val="16"/>
              </w:rPr>
            </w:pPr>
            <w:r>
              <w:rPr>
                <w:rFonts w:eastAsia="Times New Roman"/>
                <w:sz w:val="16"/>
                <w:szCs w:val="16"/>
              </w:rPr>
              <w:t>(65,421</w:t>
            </w:r>
          </w:p>
        </w:tc>
        <w:tc>
          <w:tcPr>
            <w:tcW w:w="50" w:type="pct"/>
            <w:shd w:val="clear" w:color="auto" w:fill="FFFFFF"/>
            <w:tcMar>
              <w:top w:w="0" w:type="dxa"/>
              <w:left w:w="0" w:type="dxa"/>
              <w:bottom w:w="15" w:type="dxa"/>
              <w:right w:w="0" w:type="dxa"/>
            </w:tcMar>
            <w:vAlign w:val="bottom"/>
            <w:hideMark/>
          </w:tcPr>
          <w:p w14:paraId="1444C9F5" w14:textId="77777777" w:rsidR="00000000" w:rsidRDefault="0053651E">
            <w:pPr>
              <w:rPr>
                <w:rFonts w:eastAsia="Times New Roman"/>
                <w:sz w:val="16"/>
                <w:szCs w:val="16"/>
              </w:rPr>
            </w:pPr>
            <w:r>
              <w:rPr>
                <w:rFonts w:eastAsia="Times New Roman"/>
                <w:sz w:val="16"/>
                <w:szCs w:val="16"/>
              </w:rPr>
              <w:t>)</w:t>
            </w:r>
          </w:p>
        </w:tc>
      </w:tr>
      <w:tr w:rsidR="0053651E" w14:paraId="099228A6" w14:textId="77777777">
        <w:trPr>
          <w:divId w:val="1059287255"/>
          <w:tblCellSpacing w:w="0" w:type="dxa"/>
        </w:trPr>
        <w:tc>
          <w:tcPr>
            <w:tcW w:w="950" w:type="pct"/>
            <w:shd w:val="clear" w:color="auto" w:fill="CCEEFF"/>
            <w:vAlign w:val="bottom"/>
            <w:hideMark/>
          </w:tcPr>
          <w:p w14:paraId="7F5A43A1" w14:textId="77777777" w:rsidR="00000000" w:rsidRDefault="0053651E">
            <w:pPr>
              <w:pStyle w:val="a3"/>
              <w:spacing w:before="0" w:beforeAutospacing="0" w:after="0" w:afterAutospacing="0"/>
              <w:rPr>
                <w:sz w:val="16"/>
                <w:szCs w:val="16"/>
              </w:rPr>
            </w:pPr>
            <w:r>
              <w:rPr>
                <w:sz w:val="16"/>
                <w:szCs w:val="16"/>
              </w:rPr>
              <w:t>Balance, December 31, 2017</w:t>
            </w:r>
          </w:p>
        </w:tc>
        <w:tc>
          <w:tcPr>
            <w:tcW w:w="50" w:type="pct"/>
            <w:tcBorders>
              <w:bottom w:val="nil"/>
            </w:tcBorders>
            <w:shd w:val="clear" w:color="auto" w:fill="CCEEFF"/>
            <w:vAlign w:val="bottom"/>
            <w:hideMark/>
          </w:tcPr>
          <w:p w14:paraId="44E1851A"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1ABC1BFA" w14:textId="77777777" w:rsidR="00000000" w:rsidRDefault="0053651E">
            <w:pPr>
              <w:rPr>
                <w:rFonts w:eastAsia="Times New Roman"/>
                <w:sz w:val="16"/>
                <w:szCs w:val="16"/>
              </w:rPr>
            </w:pPr>
            <w:r>
              <w:rPr>
                <w:rFonts w:eastAsia="Times New Roman"/>
                <w:sz w:val="16"/>
                <w:szCs w:val="16"/>
              </w:rPr>
              <w:t> </w:t>
            </w:r>
          </w:p>
        </w:tc>
        <w:tc>
          <w:tcPr>
            <w:tcW w:w="450" w:type="pct"/>
            <w:tcBorders>
              <w:bottom w:val="nil"/>
            </w:tcBorders>
            <w:shd w:val="clear" w:color="auto" w:fill="CCEEFF"/>
            <w:vAlign w:val="bottom"/>
            <w:hideMark/>
          </w:tcPr>
          <w:p w14:paraId="3D89FE04" w14:textId="77777777" w:rsidR="00000000" w:rsidRDefault="0053651E">
            <w:pPr>
              <w:jc w:val="right"/>
              <w:rPr>
                <w:rFonts w:eastAsia="Times New Roman"/>
                <w:sz w:val="16"/>
                <w:szCs w:val="16"/>
              </w:rPr>
            </w:pPr>
            <w:r>
              <w:rPr>
                <w:rFonts w:eastAsia="Times New Roman"/>
                <w:sz w:val="16"/>
                <w:szCs w:val="16"/>
              </w:rPr>
              <w:t>(761,337</w:t>
            </w:r>
          </w:p>
        </w:tc>
        <w:tc>
          <w:tcPr>
            <w:tcW w:w="50" w:type="pct"/>
            <w:tcBorders>
              <w:bottom w:val="nil"/>
            </w:tcBorders>
            <w:shd w:val="clear" w:color="auto" w:fill="CCEEFF"/>
            <w:vAlign w:val="bottom"/>
            <w:hideMark/>
          </w:tcPr>
          <w:p w14:paraId="71E2C222" w14:textId="77777777" w:rsidR="00000000" w:rsidRDefault="0053651E">
            <w:pPr>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14:paraId="233E74A9"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2E0E36DC" w14:textId="77777777" w:rsidR="00000000" w:rsidRDefault="0053651E">
            <w:pPr>
              <w:rPr>
                <w:rFonts w:eastAsia="Times New Roman"/>
                <w:sz w:val="16"/>
                <w:szCs w:val="16"/>
              </w:rPr>
            </w:pPr>
            <w:r>
              <w:rPr>
                <w:rFonts w:eastAsia="Times New Roman"/>
                <w:sz w:val="16"/>
                <w:szCs w:val="16"/>
              </w:rPr>
              <w:t> </w:t>
            </w:r>
          </w:p>
        </w:tc>
        <w:tc>
          <w:tcPr>
            <w:tcW w:w="350" w:type="pct"/>
            <w:tcBorders>
              <w:bottom w:val="nil"/>
            </w:tcBorders>
            <w:shd w:val="clear" w:color="auto" w:fill="CCEEFF"/>
            <w:vAlign w:val="bottom"/>
            <w:hideMark/>
          </w:tcPr>
          <w:p w14:paraId="725B69FD" w14:textId="77777777" w:rsidR="00000000" w:rsidRDefault="0053651E">
            <w:pPr>
              <w:jc w:val="right"/>
              <w:rPr>
                <w:rFonts w:eastAsia="Times New Roman"/>
                <w:sz w:val="16"/>
                <w:szCs w:val="16"/>
              </w:rPr>
            </w:pPr>
            <w:r>
              <w:rPr>
                <w:rFonts w:eastAsia="Times New Roman"/>
                <w:sz w:val="16"/>
                <w:szCs w:val="16"/>
              </w:rPr>
              <w:t>(1,480</w:t>
            </w:r>
          </w:p>
        </w:tc>
        <w:tc>
          <w:tcPr>
            <w:tcW w:w="50" w:type="pct"/>
            <w:tcBorders>
              <w:bottom w:val="nil"/>
            </w:tcBorders>
            <w:shd w:val="clear" w:color="auto" w:fill="CCEEFF"/>
            <w:vAlign w:val="bottom"/>
            <w:hideMark/>
          </w:tcPr>
          <w:p w14:paraId="37FE0778" w14:textId="77777777" w:rsidR="00000000" w:rsidRDefault="0053651E">
            <w:pPr>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14:paraId="27716A7A"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450E82AB"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58B7A460" w14:textId="77777777" w:rsidR="00000000" w:rsidRDefault="0053651E">
            <w:pPr>
              <w:jc w:val="right"/>
              <w:rPr>
                <w:rFonts w:eastAsia="Times New Roman"/>
                <w:sz w:val="16"/>
                <w:szCs w:val="16"/>
              </w:rPr>
            </w:pPr>
            <w:r>
              <w:rPr>
                <w:rFonts w:eastAsia="Times New Roman"/>
                <w:sz w:val="16"/>
                <w:szCs w:val="16"/>
              </w:rPr>
              <w:t>41</w:t>
            </w:r>
          </w:p>
        </w:tc>
        <w:tc>
          <w:tcPr>
            <w:tcW w:w="50" w:type="pct"/>
            <w:tcBorders>
              <w:bottom w:val="nil"/>
            </w:tcBorders>
            <w:shd w:val="clear" w:color="auto" w:fill="CCEEFF"/>
            <w:vAlign w:val="bottom"/>
            <w:hideMark/>
          </w:tcPr>
          <w:p w14:paraId="1829D0F1"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17416DC4"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441CC53B"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1EC737C9" w14:textId="77777777" w:rsidR="00000000" w:rsidRDefault="0053651E">
            <w:pPr>
              <w:jc w:val="right"/>
              <w:rPr>
                <w:rFonts w:eastAsia="Times New Roman"/>
                <w:sz w:val="16"/>
                <w:szCs w:val="16"/>
              </w:rPr>
            </w:pPr>
            <w:r>
              <w:rPr>
                <w:rFonts w:eastAsia="Times New Roman"/>
                <w:sz w:val="16"/>
                <w:szCs w:val="16"/>
              </w:rPr>
              <w:t>41</w:t>
            </w:r>
          </w:p>
        </w:tc>
        <w:tc>
          <w:tcPr>
            <w:tcW w:w="50" w:type="pct"/>
            <w:tcBorders>
              <w:bottom w:val="nil"/>
            </w:tcBorders>
            <w:shd w:val="clear" w:color="auto" w:fill="CCEEFF"/>
            <w:vAlign w:val="bottom"/>
            <w:hideMark/>
          </w:tcPr>
          <w:p w14:paraId="5BB3DB3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1DED5B2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35CE5A95"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4875CC30" w14:textId="77777777" w:rsidR="00000000" w:rsidRDefault="0053651E">
            <w:pPr>
              <w:jc w:val="right"/>
              <w:rPr>
                <w:rFonts w:eastAsia="Times New Roman"/>
                <w:sz w:val="16"/>
                <w:szCs w:val="16"/>
              </w:rPr>
            </w:pPr>
            <w:r>
              <w:rPr>
                <w:rFonts w:eastAsia="Times New Roman"/>
                <w:sz w:val="16"/>
                <w:szCs w:val="16"/>
              </w:rPr>
              <w:t>425,646</w:t>
            </w:r>
          </w:p>
        </w:tc>
        <w:tc>
          <w:tcPr>
            <w:tcW w:w="50" w:type="pct"/>
            <w:tcBorders>
              <w:bottom w:val="nil"/>
            </w:tcBorders>
            <w:shd w:val="clear" w:color="auto" w:fill="CCEEFF"/>
            <w:vAlign w:val="bottom"/>
            <w:hideMark/>
          </w:tcPr>
          <w:p w14:paraId="6A2720E8"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7A264B74"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2A29A5EA"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1ACED6C1" w14:textId="77777777" w:rsidR="00000000" w:rsidRDefault="0053651E">
            <w:pPr>
              <w:jc w:val="right"/>
              <w:rPr>
                <w:rFonts w:eastAsia="Times New Roman"/>
                <w:sz w:val="16"/>
                <w:szCs w:val="16"/>
              </w:rPr>
            </w:pPr>
            <w:r>
              <w:rPr>
                <w:rFonts w:eastAsia="Times New Roman"/>
                <w:sz w:val="16"/>
                <w:szCs w:val="16"/>
              </w:rPr>
              <w:t>4,256</w:t>
            </w:r>
          </w:p>
        </w:tc>
        <w:tc>
          <w:tcPr>
            <w:tcW w:w="50" w:type="pct"/>
            <w:tcBorders>
              <w:bottom w:val="nil"/>
            </w:tcBorders>
            <w:shd w:val="clear" w:color="auto" w:fill="CCEEFF"/>
            <w:vAlign w:val="bottom"/>
            <w:hideMark/>
          </w:tcPr>
          <w:p w14:paraId="0C116E4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13C13EB1"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778EC10C"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3A90E4C4" w14:textId="77777777" w:rsidR="00000000" w:rsidRDefault="0053651E">
            <w:pPr>
              <w:jc w:val="right"/>
              <w:rPr>
                <w:rFonts w:eastAsia="Times New Roman"/>
                <w:sz w:val="16"/>
                <w:szCs w:val="16"/>
              </w:rPr>
            </w:pPr>
            <w:r>
              <w:rPr>
                <w:rFonts w:eastAsia="Times New Roman"/>
                <w:sz w:val="16"/>
                <w:szCs w:val="16"/>
              </w:rPr>
              <w:t>6,152,764</w:t>
            </w:r>
          </w:p>
        </w:tc>
        <w:tc>
          <w:tcPr>
            <w:tcW w:w="50" w:type="pct"/>
            <w:tcBorders>
              <w:bottom w:val="nil"/>
            </w:tcBorders>
            <w:shd w:val="clear" w:color="auto" w:fill="CCEEFF"/>
            <w:vAlign w:val="bottom"/>
            <w:hideMark/>
          </w:tcPr>
          <w:p w14:paraId="63A51356"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4EE3A5CE"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0E5CA854" w14:textId="77777777" w:rsidR="00000000" w:rsidRDefault="0053651E">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14:paraId="13B265DA" w14:textId="77777777" w:rsidR="00000000" w:rsidRDefault="0053651E">
            <w:pPr>
              <w:jc w:val="right"/>
              <w:rPr>
                <w:rFonts w:eastAsia="Times New Roman"/>
                <w:sz w:val="16"/>
                <w:szCs w:val="16"/>
              </w:rPr>
            </w:pPr>
            <w:r>
              <w:rPr>
                <w:rFonts w:eastAsia="Times New Roman"/>
                <w:sz w:val="16"/>
                <w:szCs w:val="16"/>
              </w:rPr>
              <w:t>5,394,244</w:t>
            </w:r>
          </w:p>
        </w:tc>
        <w:tc>
          <w:tcPr>
            <w:tcW w:w="50" w:type="pct"/>
            <w:tcBorders>
              <w:bottom w:val="nil"/>
            </w:tcBorders>
            <w:shd w:val="clear" w:color="auto" w:fill="CCEEFF"/>
            <w:vAlign w:val="bottom"/>
            <w:hideMark/>
          </w:tcPr>
          <w:p w14:paraId="3DFA0CA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3CC51054"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6F104B4B" w14:textId="77777777" w:rsidR="00000000" w:rsidRDefault="0053651E">
            <w:pPr>
              <w:rPr>
                <w:rFonts w:eastAsia="Times New Roman"/>
                <w:sz w:val="16"/>
                <w:szCs w:val="16"/>
              </w:rPr>
            </w:pPr>
            <w:r>
              <w:rPr>
                <w:rFonts w:eastAsia="Times New Roman"/>
                <w:sz w:val="16"/>
                <w:szCs w:val="16"/>
              </w:rPr>
              <w:t> </w:t>
            </w:r>
          </w:p>
        </w:tc>
        <w:tc>
          <w:tcPr>
            <w:tcW w:w="300" w:type="pct"/>
            <w:tcBorders>
              <w:bottom w:val="nil"/>
            </w:tcBorders>
            <w:shd w:val="clear" w:color="auto" w:fill="CCEEFF"/>
            <w:vAlign w:val="bottom"/>
            <w:hideMark/>
          </w:tcPr>
          <w:p w14:paraId="5F2561D9" w14:textId="77777777" w:rsidR="00000000" w:rsidRDefault="0053651E">
            <w:pPr>
              <w:jc w:val="right"/>
              <w:rPr>
                <w:rFonts w:eastAsia="Times New Roman"/>
                <w:sz w:val="16"/>
                <w:szCs w:val="16"/>
              </w:rPr>
            </w:pPr>
            <w:r>
              <w:rPr>
                <w:rFonts w:eastAsia="Times New Roman"/>
                <w:sz w:val="16"/>
                <w:szCs w:val="16"/>
              </w:rPr>
              <w:t>127,903</w:t>
            </w:r>
          </w:p>
        </w:tc>
        <w:tc>
          <w:tcPr>
            <w:tcW w:w="50" w:type="pct"/>
            <w:tcBorders>
              <w:bottom w:val="nil"/>
            </w:tcBorders>
            <w:shd w:val="clear" w:color="auto" w:fill="CCEEFF"/>
            <w:vAlign w:val="bottom"/>
            <w:hideMark/>
          </w:tcPr>
          <w:p w14:paraId="3827A75C"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644C52FB"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14:paraId="5F1849DD"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CCEEFF"/>
            <w:vAlign w:val="bottom"/>
            <w:hideMark/>
          </w:tcPr>
          <w:p w14:paraId="41D68597" w14:textId="77777777" w:rsidR="00000000" w:rsidRDefault="0053651E">
            <w:pPr>
              <w:jc w:val="right"/>
              <w:rPr>
                <w:rFonts w:eastAsia="Times New Roman"/>
                <w:sz w:val="16"/>
                <w:szCs w:val="16"/>
              </w:rPr>
            </w:pPr>
            <w:r>
              <w:rPr>
                <w:rFonts w:eastAsia="Times New Roman"/>
                <w:sz w:val="16"/>
                <w:szCs w:val="16"/>
              </w:rPr>
              <w:t>5,522,147</w:t>
            </w:r>
          </w:p>
        </w:tc>
        <w:tc>
          <w:tcPr>
            <w:tcW w:w="50" w:type="pct"/>
            <w:tcBorders>
              <w:bottom w:val="nil"/>
            </w:tcBorders>
            <w:shd w:val="clear" w:color="auto" w:fill="CCEEFF"/>
            <w:vAlign w:val="bottom"/>
            <w:hideMark/>
          </w:tcPr>
          <w:p w14:paraId="5DCFD7AE" w14:textId="77777777" w:rsidR="00000000" w:rsidRDefault="0053651E">
            <w:pPr>
              <w:rPr>
                <w:rFonts w:eastAsia="Times New Roman"/>
                <w:sz w:val="16"/>
                <w:szCs w:val="16"/>
              </w:rPr>
            </w:pPr>
            <w:r>
              <w:rPr>
                <w:rFonts w:eastAsia="Times New Roman"/>
                <w:sz w:val="16"/>
                <w:szCs w:val="16"/>
              </w:rPr>
              <w:t> </w:t>
            </w:r>
          </w:p>
        </w:tc>
      </w:tr>
      <w:tr w:rsidR="0053651E" w14:paraId="546BF04F" w14:textId="77777777">
        <w:trPr>
          <w:divId w:val="1059287255"/>
          <w:tblCellSpacing w:w="0" w:type="dxa"/>
        </w:trPr>
        <w:tc>
          <w:tcPr>
            <w:tcW w:w="950" w:type="pct"/>
            <w:shd w:val="clear" w:color="auto" w:fill="FFFFFF"/>
            <w:vAlign w:val="bottom"/>
            <w:hideMark/>
          </w:tcPr>
          <w:p w14:paraId="472E14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C766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B4D40E"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53811D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10A57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A9A47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1682CE"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5A4E7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43FC6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381C8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ABE1C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1007A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A596B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80B35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6D727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0CC1E5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B589E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797F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2A829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5DFF39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914F9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A7E66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3E788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A3741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AA73E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2CFFA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59170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7D5C54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FD3AA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C03C6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D97762"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1C5C7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75701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591AC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6660D9"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E9E432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8396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2D8F5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DE1A12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3EF274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C1F8A0" w14:textId="77777777" w:rsidR="00000000" w:rsidRDefault="0053651E">
            <w:pPr>
              <w:rPr>
                <w:rFonts w:eastAsia="Times New Roman"/>
                <w:sz w:val="16"/>
                <w:szCs w:val="16"/>
              </w:rPr>
            </w:pPr>
            <w:r>
              <w:rPr>
                <w:rFonts w:eastAsia="Times New Roman"/>
                <w:sz w:val="16"/>
                <w:szCs w:val="16"/>
              </w:rPr>
              <w:t> </w:t>
            </w:r>
          </w:p>
        </w:tc>
      </w:tr>
      <w:tr w:rsidR="0053651E" w14:paraId="570F86DB" w14:textId="77777777">
        <w:trPr>
          <w:divId w:val="1059287255"/>
          <w:tblCellSpacing w:w="0" w:type="dxa"/>
        </w:trPr>
        <w:tc>
          <w:tcPr>
            <w:tcW w:w="950" w:type="pct"/>
            <w:shd w:val="clear" w:color="auto" w:fill="CCEEFF"/>
            <w:vAlign w:val="bottom"/>
            <w:hideMark/>
          </w:tcPr>
          <w:p w14:paraId="4BEEECE7" w14:textId="77777777" w:rsidR="00000000" w:rsidRDefault="0053651E">
            <w:pPr>
              <w:pStyle w:val="a3"/>
              <w:spacing w:before="0" w:beforeAutospacing="0" w:after="0" w:afterAutospacing="0"/>
              <w:ind w:left="180" w:hanging="180"/>
              <w:rPr>
                <w:sz w:val="16"/>
                <w:szCs w:val="16"/>
              </w:rPr>
            </w:pPr>
            <w:r>
              <w:rPr>
                <w:sz w:val="16"/>
                <w:szCs w:val="16"/>
              </w:rPr>
              <w:t>Impact of change in accounting principles</w:t>
            </w:r>
          </w:p>
        </w:tc>
        <w:tc>
          <w:tcPr>
            <w:tcW w:w="50" w:type="pct"/>
            <w:shd w:val="clear" w:color="auto" w:fill="CCEEFF"/>
            <w:vAlign w:val="bottom"/>
            <w:hideMark/>
          </w:tcPr>
          <w:p w14:paraId="28032A7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80FB3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1B311FC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9BF53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1C4C5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A8EF36"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0BEDA30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9487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2CB28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C8BF7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C658E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23F0D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DC367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212C9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2B8AF1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22DAF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36A04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B085C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0850E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135C5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CA7F6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87B73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28C96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734DC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7AB8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054A7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905843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AE813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A09E7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EBC92C"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491483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8C5EC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1C578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57879A"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2F9EE7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3D5A8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C732C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3E38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46D30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F8E900" w14:textId="77777777" w:rsidR="00000000" w:rsidRDefault="0053651E">
            <w:pPr>
              <w:rPr>
                <w:rFonts w:eastAsia="Times New Roman"/>
                <w:sz w:val="16"/>
                <w:szCs w:val="16"/>
              </w:rPr>
            </w:pPr>
            <w:r>
              <w:rPr>
                <w:rFonts w:eastAsia="Times New Roman"/>
                <w:sz w:val="16"/>
                <w:szCs w:val="16"/>
              </w:rPr>
              <w:t> </w:t>
            </w:r>
          </w:p>
        </w:tc>
      </w:tr>
      <w:tr w:rsidR="0053651E" w14:paraId="7EC4EDAA" w14:textId="77777777">
        <w:trPr>
          <w:divId w:val="1059287255"/>
          <w:tblCellSpacing w:w="0" w:type="dxa"/>
        </w:trPr>
        <w:tc>
          <w:tcPr>
            <w:tcW w:w="950" w:type="pct"/>
            <w:shd w:val="clear" w:color="auto" w:fill="FFFFFF"/>
            <w:vAlign w:val="bottom"/>
            <w:hideMark/>
          </w:tcPr>
          <w:p w14:paraId="09B561F1" w14:textId="77777777" w:rsidR="00000000" w:rsidRDefault="0053651E">
            <w:pPr>
              <w:pStyle w:val="a3"/>
              <w:spacing w:before="0" w:beforeAutospacing="0" w:after="0" w:afterAutospacing="0"/>
              <w:ind w:left="540" w:hanging="180"/>
              <w:rPr>
                <w:sz w:val="16"/>
                <w:szCs w:val="16"/>
              </w:rPr>
            </w:pPr>
            <w:r>
              <w:rPr>
                <w:sz w:val="16"/>
                <w:szCs w:val="16"/>
              </w:rPr>
              <w:t>ASU 2017-05 (1)</w:t>
            </w:r>
          </w:p>
        </w:tc>
        <w:tc>
          <w:tcPr>
            <w:tcW w:w="50" w:type="pct"/>
            <w:shd w:val="clear" w:color="auto" w:fill="FFFFFF"/>
            <w:vAlign w:val="bottom"/>
            <w:hideMark/>
          </w:tcPr>
          <w:p w14:paraId="0E7B20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AD337F"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239D61B6" w14:textId="77777777" w:rsidR="00000000" w:rsidRDefault="0053651E">
            <w:pPr>
              <w:jc w:val="right"/>
              <w:rPr>
                <w:rFonts w:eastAsia="Times New Roman"/>
                <w:sz w:val="16"/>
                <w:szCs w:val="16"/>
              </w:rPr>
            </w:pPr>
            <w:r>
              <w:rPr>
                <w:rFonts w:eastAsia="Times New Roman"/>
                <w:sz w:val="16"/>
                <w:szCs w:val="16"/>
              </w:rPr>
              <w:t>8,098</w:t>
            </w:r>
          </w:p>
        </w:tc>
        <w:tc>
          <w:tcPr>
            <w:tcW w:w="50" w:type="pct"/>
            <w:shd w:val="clear" w:color="auto" w:fill="FFFFFF"/>
            <w:vAlign w:val="bottom"/>
            <w:hideMark/>
          </w:tcPr>
          <w:p w14:paraId="67BA3D0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C46BC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6734D2"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261FE1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45D42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C911F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C1E9C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E33072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16A57CE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B512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A65DC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F68B4B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EEADD3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35CB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D8F15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AB0277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2E7FB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9A9A4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1D557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66538A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43B713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73A2F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41042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B4A0FC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34C58E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FB695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040246"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ED80A9A" w14:textId="77777777" w:rsidR="00000000" w:rsidRDefault="0053651E">
            <w:pPr>
              <w:jc w:val="right"/>
              <w:rPr>
                <w:rFonts w:eastAsia="Times New Roman"/>
                <w:sz w:val="16"/>
                <w:szCs w:val="16"/>
              </w:rPr>
            </w:pPr>
            <w:r>
              <w:rPr>
                <w:rFonts w:eastAsia="Times New Roman"/>
                <w:sz w:val="16"/>
                <w:szCs w:val="16"/>
              </w:rPr>
              <w:t>8,098</w:t>
            </w:r>
          </w:p>
        </w:tc>
        <w:tc>
          <w:tcPr>
            <w:tcW w:w="50" w:type="pct"/>
            <w:shd w:val="clear" w:color="auto" w:fill="FFFFFF"/>
            <w:vAlign w:val="bottom"/>
            <w:hideMark/>
          </w:tcPr>
          <w:p w14:paraId="111B814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3A3CC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3A97E7"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2E24B3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E6B5B3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96FA3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0AC4E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630F4CF" w14:textId="77777777" w:rsidR="00000000" w:rsidRDefault="0053651E">
            <w:pPr>
              <w:jc w:val="right"/>
              <w:rPr>
                <w:rFonts w:eastAsia="Times New Roman"/>
                <w:sz w:val="16"/>
                <w:szCs w:val="16"/>
              </w:rPr>
            </w:pPr>
            <w:r>
              <w:rPr>
                <w:rFonts w:eastAsia="Times New Roman"/>
                <w:sz w:val="16"/>
                <w:szCs w:val="16"/>
              </w:rPr>
              <w:t>8,098</w:t>
            </w:r>
          </w:p>
        </w:tc>
        <w:tc>
          <w:tcPr>
            <w:tcW w:w="50" w:type="pct"/>
            <w:shd w:val="clear" w:color="auto" w:fill="FFFFFF"/>
            <w:vAlign w:val="bottom"/>
            <w:hideMark/>
          </w:tcPr>
          <w:p w14:paraId="4F2CA50E" w14:textId="77777777" w:rsidR="00000000" w:rsidRDefault="0053651E">
            <w:pPr>
              <w:rPr>
                <w:rFonts w:eastAsia="Times New Roman"/>
                <w:sz w:val="16"/>
                <w:szCs w:val="16"/>
              </w:rPr>
            </w:pPr>
            <w:r>
              <w:rPr>
                <w:rFonts w:eastAsia="Times New Roman"/>
                <w:sz w:val="16"/>
                <w:szCs w:val="16"/>
              </w:rPr>
              <w:t> </w:t>
            </w:r>
          </w:p>
        </w:tc>
      </w:tr>
      <w:tr w:rsidR="0053651E" w14:paraId="7B682BAF" w14:textId="77777777">
        <w:trPr>
          <w:divId w:val="1059287255"/>
          <w:tblCellSpacing w:w="0" w:type="dxa"/>
        </w:trPr>
        <w:tc>
          <w:tcPr>
            <w:tcW w:w="950" w:type="pct"/>
            <w:shd w:val="clear" w:color="auto" w:fill="CCEEFF"/>
            <w:vAlign w:val="bottom"/>
            <w:hideMark/>
          </w:tcPr>
          <w:p w14:paraId="63DE7BF5" w14:textId="77777777" w:rsidR="00000000" w:rsidRDefault="0053651E">
            <w:pPr>
              <w:pStyle w:val="a3"/>
              <w:spacing w:before="0" w:beforeAutospacing="0" w:after="0" w:afterAutospacing="0"/>
              <w:ind w:left="540" w:hanging="180"/>
              <w:rPr>
                <w:sz w:val="16"/>
                <w:szCs w:val="16"/>
              </w:rPr>
            </w:pPr>
            <w:r>
              <w:rPr>
                <w:sz w:val="16"/>
                <w:szCs w:val="16"/>
              </w:rPr>
              <w:t>ASU 2016-01 (1)</w:t>
            </w:r>
          </w:p>
        </w:tc>
        <w:tc>
          <w:tcPr>
            <w:tcW w:w="50" w:type="pct"/>
            <w:shd w:val="clear" w:color="auto" w:fill="CCEEFF"/>
            <w:tcMar>
              <w:top w:w="0" w:type="dxa"/>
              <w:left w:w="0" w:type="dxa"/>
              <w:bottom w:w="15" w:type="dxa"/>
              <w:right w:w="0" w:type="dxa"/>
            </w:tcMar>
            <w:vAlign w:val="bottom"/>
            <w:hideMark/>
          </w:tcPr>
          <w:p w14:paraId="694640B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72E9197"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CCEEFF"/>
            <w:vAlign w:val="bottom"/>
            <w:hideMark/>
          </w:tcPr>
          <w:p w14:paraId="60941C27" w14:textId="77777777" w:rsidR="00000000" w:rsidRDefault="0053651E">
            <w:pPr>
              <w:jc w:val="right"/>
              <w:rPr>
                <w:rFonts w:eastAsia="Times New Roman"/>
                <w:sz w:val="16"/>
                <w:szCs w:val="16"/>
              </w:rPr>
            </w:pPr>
            <w:r>
              <w:rPr>
                <w:rFonts w:eastAsia="Times New Roman"/>
                <w:sz w:val="16"/>
                <w:szCs w:val="16"/>
              </w:rPr>
              <w:t>(1,136</w:t>
            </w:r>
          </w:p>
        </w:tc>
        <w:tc>
          <w:tcPr>
            <w:tcW w:w="50" w:type="pct"/>
            <w:tcBorders>
              <w:bottom w:val="single" w:sz="6" w:space="0" w:color="000000"/>
            </w:tcBorders>
            <w:shd w:val="clear" w:color="auto" w:fill="CCEEFF"/>
            <w:vAlign w:val="bottom"/>
            <w:hideMark/>
          </w:tcPr>
          <w:p w14:paraId="2D08FD41" w14:textId="77777777" w:rsidR="00000000" w:rsidRDefault="0053651E">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CE86E7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BE2D2DB"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14:paraId="17BFC632" w14:textId="77777777" w:rsidR="00000000" w:rsidRDefault="0053651E">
            <w:pPr>
              <w:jc w:val="right"/>
              <w:rPr>
                <w:rFonts w:eastAsia="Times New Roman"/>
                <w:sz w:val="16"/>
                <w:szCs w:val="16"/>
              </w:rPr>
            </w:pPr>
            <w:r>
              <w:rPr>
                <w:rFonts w:eastAsia="Times New Roman"/>
                <w:sz w:val="16"/>
                <w:szCs w:val="16"/>
              </w:rPr>
              <w:t>1,136</w:t>
            </w:r>
          </w:p>
        </w:tc>
        <w:tc>
          <w:tcPr>
            <w:tcW w:w="50" w:type="pct"/>
            <w:tcBorders>
              <w:bottom w:val="single" w:sz="6" w:space="0" w:color="000000"/>
            </w:tcBorders>
            <w:shd w:val="clear" w:color="auto" w:fill="CCEEFF"/>
            <w:vAlign w:val="bottom"/>
            <w:hideMark/>
          </w:tcPr>
          <w:p w14:paraId="33232D3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789F0D7"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1E956DA"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5FB5AE8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57F46560"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5E1FDE6"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9D63B37"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AAAA4F2"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F8683F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681B9C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9C1DF36"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4D9D10A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1D93CD8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A4164A0"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9BE3620"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212F47F6"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DE87625"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A0931B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DC65117"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1C21BDFE"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5827C8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9F15823"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ACEF68F" w14:textId="77777777" w:rsidR="00000000" w:rsidRDefault="0053651E">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40D5762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821DA4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C0C80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FC60795"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1B1DDFE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424909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CBD69B"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BF4EBC6"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E05E14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tcMar>
              <w:top w:w="0" w:type="dxa"/>
              <w:left w:w="0" w:type="dxa"/>
              <w:bottom w:w="15" w:type="dxa"/>
              <w:right w:w="0" w:type="dxa"/>
            </w:tcMar>
            <w:vAlign w:val="bottom"/>
            <w:hideMark/>
          </w:tcPr>
          <w:p w14:paraId="129F1152" w14:textId="77777777" w:rsidR="00000000" w:rsidRDefault="0053651E">
            <w:pPr>
              <w:rPr>
                <w:rFonts w:eastAsia="Times New Roman"/>
                <w:sz w:val="16"/>
                <w:szCs w:val="16"/>
              </w:rPr>
            </w:pPr>
            <w:r>
              <w:rPr>
                <w:rFonts w:eastAsia="Times New Roman"/>
                <w:sz w:val="16"/>
                <w:szCs w:val="16"/>
              </w:rPr>
              <w:t> </w:t>
            </w:r>
          </w:p>
        </w:tc>
      </w:tr>
      <w:tr w:rsidR="0053651E" w14:paraId="4DF85AF7" w14:textId="77777777">
        <w:trPr>
          <w:divId w:val="1059287255"/>
          <w:tblCellSpacing w:w="0" w:type="dxa"/>
        </w:trPr>
        <w:tc>
          <w:tcPr>
            <w:tcW w:w="950" w:type="pct"/>
            <w:shd w:val="clear" w:color="auto" w:fill="FFFFFF"/>
            <w:vAlign w:val="bottom"/>
            <w:hideMark/>
          </w:tcPr>
          <w:p w14:paraId="6660E1EA" w14:textId="77777777" w:rsidR="00000000" w:rsidRDefault="0053651E">
            <w:pPr>
              <w:pStyle w:val="a3"/>
              <w:spacing w:before="0" w:beforeAutospacing="0" w:after="0" w:afterAutospacing="0"/>
              <w:ind w:left="180" w:hanging="180"/>
              <w:rPr>
                <w:sz w:val="16"/>
                <w:szCs w:val="16"/>
              </w:rPr>
            </w:pPr>
            <w:r>
              <w:rPr>
                <w:sz w:val="16"/>
                <w:szCs w:val="16"/>
              </w:rPr>
              <w:t>Balance, January 1, 2018, as adjusted</w:t>
            </w:r>
          </w:p>
        </w:tc>
        <w:tc>
          <w:tcPr>
            <w:tcW w:w="50" w:type="pct"/>
            <w:tcBorders>
              <w:bottom w:val="nil"/>
            </w:tcBorders>
            <w:shd w:val="clear" w:color="auto" w:fill="FFFFFF"/>
            <w:vAlign w:val="bottom"/>
            <w:hideMark/>
          </w:tcPr>
          <w:p w14:paraId="2DC7CC43"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4F402A6" w14:textId="77777777" w:rsidR="00000000" w:rsidRDefault="0053651E">
            <w:pPr>
              <w:rPr>
                <w:rFonts w:eastAsia="Times New Roman"/>
                <w:sz w:val="16"/>
                <w:szCs w:val="16"/>
              </w:rPr>
            </w:pPr>
            <w:r>
              <w:rPr>
                <w:rFonts w:eastAsia="Times New Roman"/>
                <w:sz w:val="16"/>
                <w:szCs w:val="16"/>
              </w:rPr>
              <w:t> </w:t>
            </w:r>
          </w:p>
        </w:tc>
        <w:tc>
          <w:tcPr>
            <w:tcW w:w="450" w:type="pct"/>
            <w:tcBorders>
              <w:bottom w:val="nil"/>
            </w:tcBorders>
            <w:shd w:val="clear" w:color="auto" w:fill="FFFFFF"/>
            <w:vAlign w:val="bottom"/>
            <w:hideMark/>
          </w:tcPr>
          <w:p w14:paraId="0016921F" w14:textId="77777777" w:rsidR="00000000" w:rsidRDefault="0053651E">
            <w:pPr>
              <w:jc w:val="right"/>
              <w:rPr>
                <w:rFonts w:eastAsia="Times New Roman"/>
                <w:sz w:val="16"/>
                <w:szCs w:val="16"/>
              </w:rPr>
            </w:pPr>
            <w:r>
              <w:rPr>
                <w:rFonts w:eastAsia="Times New Roman"/>
                <w:sz w:val="16"/>
                <w:szCs w:val="16"/>
              </w:rPr>
              <w:t>(754,375</w:t>
            </w:r>
          </w:p>
        </w:tc>
        <w:tc>
          <w:tcPr>
            <w:tcW w:w="50" w:type="pct"/>
            <w:tcBorders>
              <w:bottom w:val="nil"/>
            </w:tcBorders>
            <w:shd w:val="clear" w:color="auto" w:fill="FFFFFF"/>
            <w:vAlign w:val="bottom"/>
            <w:hideMark/>
          </w:tcPr>
          <w:p w14:paraId="7CF04D61" w14:textId="77777777" w:rsidR="00000000" w:rsidRDefault="0053651E">
            <w:pPr>
              <w:rPr>
                <w:rFonts w:eastAsia="Times New Roman"/>
                <w:sz w:val="16"/>
                <w:szCs w:val="16"/>
              </w:rPr>
            </w:pPr>
            <w:r>
              <w:rPr>
                <w:rFonts w:eastAsia="Times New Roman"/>
                <w:sz w:val="16"/>
                <w:szCs w:val="16"/>
              </w:rPr>
              <w:t>)</w:t>
            </w:r>
          </w:p>
        </w:tc>
        <w:tc>
          <w:tcPr>
            <w:tcW w:w="50" w:type="pct"/>
            <w:tcBorders>
              <w:bottom w:val="nil"/>
            </w:tcBorders>
            <w:shd w:val="clear" w:color="auto" w:fill="FFFFFF"/>
            <w:vAlign w:val="bottom"/>
            <w:hideMark/>
          </w:tcPr>
          <w:p w14:paraId="29D58331"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7F16C723" w14:textId="77777777" w:rsidR="00000000" w:rsidRDefault="0053651E">
            <w:pPr>
              <w:rPr>
                <w:rFonts w:eastAsia="Times New Roman"/>
                <w:sz w:val="16"/>
                <w:szCs w:val="16"/>
              </w:rPr>
            </w:pPr>
            <w:r>
              <w:rPr>
                <w:rFonts w:eastAsia="Times New Roman"/>
                <w:sz w:val="16"/>
                <w:szCs w:val="16"/>
              </w:rPr>
              <w:t> </w:t>
            </w:r>
          </w:p>
        </w:tc>
        <w:tc>
          <w:tcPr>
            <w:tcW w:w="350" w:type="pct"/>
            <w:tcBorders>
              <w:bottom w:val="nil"/>
            </w:tcBorders>
            <w:shd w:val="clear" w:color="auto" w:fill="FFFFFF"/>
            <w:vAlign w:val="bottom"/>
            <w:hideMark/>
          </w:tcPr>
          <w:p w14:paraId="27E28FD7" w14:textId="77777777" w:rsidR="00000000" w:rsidRDefault="0053651E">
            <w:pPr>
              <w:jc w:val="right"/>
              <w:rPr>
                <w:rFonts w:eastAsia="Times New Roman"/>
                <w:sz w:val="16"/>
                <w:szCs w:val="16"/>
              </w:rPr>
            </w:pPr>
            <w:r>
              <w:rPr>
                <w:rFonts w:eastAsia="Times New Roman"/>
                <w:sz w:val="16"/>
                <w:szCs w:val="16"/>
              </w:rPr>
              <w:t>(344</w:t>
            </w:r>
          </w:p>
        </w:tc>
        <w:tc>
          <w:tcPr>
            <w:tcW w:w="50" w:type="pct"/>
            <w:tcBorders>
              <w:bottom w:val="nil"/>
            </w:tcBorders>
            <w:shd w:val="clear" w:color="auto" w:fill="FFFFFF"/>
            <w:vAlign w:val="bottom"/>
            <w:hideMark/>
          </w:tcPr>
          <w:p w14:paraId="39B4E3FA" w14:textId="77777777" w:rsidR="00000000" w:rsidRDefault="0053651E">
            <w:pPr>
              <w:rPr>
                <w:rFonts w:eastAsia="Times New Roman"/>
                <w:sz w:val="16"/>
                <w:szCs w:val="16"/>
              </w:rPr>
            </w:pPr>
            <w:r>
              <w:rPr>
                <w:rFonts w:eastAsia="Times New Roman"/>
                <w:sz w:val="16"/>
                <w:szCs w:val="16"/>
              </w:rPr>
              <w:t>)</w:t>
            </w:r>
          </w:p>
        </w:tc>
        <w:tc>
          <w:tcPr>
            <w:tcW w:w="50" w:type="pct"/>
            <w:tcBorders>
              <w:bottom w:val="nil"/>
            </w:tcBorders>
            <w:shd w:val="clear" w:color="auto" w:fill="FFFFFF"/>
            <w:vAlign w:val="bottom"/>
            <w:hideMark/>
          </w:tcPr>
          <w:p w14:paraId="6B9AC27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2B2418FE"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22DF8B30" w14:textId="77777777" w:rsidR="00000000" w:rsidRDefault="0053651E">
            <w:pPr>
              <w:jc w:val="right"/>
              <w:rPr>
                <w:rFonts w:eastAsia="Times New Roman"/>
                <w:sz w:val="16"/>
                <w:szCs w:val="16"/>
              </w:rPr>
            </w:pPr>
            <w:r>
              <w:rPr>
                <w:rFonts w:eastAsia="Times New Roman"/>
                <w:sz w:val="16"/>
                <w:szCs w:val="16"/>
              </w:rPr>
              <w:t>41</w:t>
            </w:r>
          </w:p>
        </w:tc>
        <w:tc>
          <w:tcPr>
            <w:tcW w:w="50" w:type="pct"/>
            <w:tcBorders>
              <w:bottom w:val="nil"/>
            </w:tcBorders>
            <w:shd w:val="clear" w:color="auto" w:fill="FFFFFF"/>
            <w:vAlign w:val="bottom"/>
            <w:hideMark/>
          </w:tcPr>
          <w:p w14:paraId="74EB6BC7"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0692AC1B"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3E13032"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3102C455" w14:textId="77777777" w:rsidR="00000000" w:rsidRDefault="0053651E">
            <w:pPr>
              <w:jc w:val="right"/>
              <w:rPr>
                <w:rFonts w:eastAsia="Times New Roman"/>
                <w:sz w:val="16"/>
                <w:szCs w:val="16"/>
              </w:rPr>
            </w:pPr>
            <w:r>
              <w:rPr>
                <w:rFonts w:eastAsia="Times New Roman"/>
                <w:sz w:val="16"/>
                <w:szCs w:val="16"/>
              </w:rPr>
              <w:t>41</w:t>
            </w:r>
          </w:p>
        </w:tc>
        <w:tc>
          <w:tcPr>
            <w:tcW w:w="50" w:type="pct"/>
            <w:tcBorders>
              <w:bottom w:val="nil"/>
            </w:tcBorders>
            <w:shd w:val="clear" w:color="auto" w:fill="FFFFFF"/>
            <w:vAlign w:val="bottom"/>
            <w:hideMark/>
          </w:tcPr>
          <w:p w14:paraId="5232C65F"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00F10E0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3AB391AF"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15E8C570" w14:textId="77777777" w:rsidR="00000000" w:rsidRDefault="0053651E">
            <w:pPr>
              <w:jc w:val="right"/>
              <w:rPr>
                <w:rFonts w:eastAsia="Times New Roman"/>
                <w:sz w:val="16"/>
                <w:szCs w:val="16"/>
              </w:rPr>
            </w:pPr>
            <w:r>
              <w:rPr>
                <w:rFonts w:eastAsia="Times New Roman"/>
                <w:sz w:val="16"/>
                <w:szCs w:val="16"/>
              </w:rPr>
              <w:t>425,646</w:t>
            </w:r>
          </w:p>
        </w:tc>
        <w:tc>
          <w:tcPr>
            <w:tcW w:w="50" w:type="pct"/>
            <w:tcBorders>
              <w:bottom w:val="nil"/>
            </w:tcBorders>
            <w:shd w:val="clear" w:color="auto" w:fill="FFFFFF"/>
            <w:vAlign w:val="bottom"/>
            <w:hideMark/>
          </w:tcPr>
          <w:p w14:paraId="1DEB16FB"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5EDD64F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E781486"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0FB857FC" w14:textId="77777777" w:rsidR="00000000" w:rsidRDefault="0053651E">
            <w:pPr>
              <w:jc w:val="right"/>
              <w:rPr>
                <w:rFonts w:eastAsia="Times New Roman"/>
                <w:sz w:val="16"/>
                <w:szCs w:val="16"/>
              </w:rPr>
            </w:pPr>
            <w:r>
              <w:rPr>
                <w:rFonts w:eastAsia="Times New Roman"/>
                <w:sz w:val="16"/>
                <w:szCs w:val="16"/>
              </w:rPr>
              <w:t>4,256</w:t>
            </w:r>
          </w:p>
        </w:tc>
        <w:tc>
          <w:tcPr>
            <w:tcW w:w="50" w:type="pct"/>
            <w:tcBorders>
              <w:bottom w:val="nil"/>
            </w:tcBorders>
            <w:shd w:val="clear" w:color="auto" w:fill="FFFFFF"/>
            <w:vAlign w:val="bottom"/>
            <w:hideMark/>
          </w:tcPr>
          <w:p w14:paraId="2E142967"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56851980"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B302F79"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129A04FC" w14:textId="77777777" w:rsidR="00000000" w:rsidRDefault="0053651E">
            <w:pPr>
              <w:jc w:val="right"/>
              <w:rPr>
                <w:rFonts w:eastAsia="Times New Roman"/>
                <w:sz w:val="16"/>
                <w:szCs w:val="16"/>
              </w:rPr>
            </w:pPr>
            <w:r>
              <w:rPr>
                <w:rFonts w:eastAsia="Times New Roman"/>
                <w:sz w:val="16"/>
                <w:szCs w:val="16"/>
              </w:rPr>
              <w:t>6,152,764</w:t>
            </w:r>
          </w:p>
        </w:tc>
        <w:tc>
          <w:tcPr>
            <w:tcW w:w="50" w:type="pct"/>
            <w:tcBorders>
              <w:bottom w:val="nil"/>
            </w:tcBorders>
            <w:shd w:val="clear" w:color="auto" w:fill="FFFFFF"/>
            <w:vAlign w:val="bottom"/>
            <w:hideMark/>
          </w:tcPr>
          <w:p w14:paraId="39BDEAB9"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5E2975E"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20D5DB06" w14:textId="77777777" w:rsidR="00000000" w:rsidRDefault="0053651E">
            <w:pPr>
              <w:rPr>
                <w:rFonts w:eastAsia="Times New Roman"/>
                <w:sz w:val="16"/>
                <w:szCs w:val="16"/>
              </w:rPr>
            </w:pPr>
            <w:r>
              <w:rPr>
                <w:rFonts w:eastAsia="Times New Roman"/>
                <w:sz w:val="16"/>
                <w:szCs w:val="16"/>
              </w:rPr>
              <w:t> </w:t>
            </w:r>
          </w:p>
        </w:tc>
        <w:tc>
          <w:tcPr>
            <w:tcW w:w="250" w:type="pct"/>
            <w:tcBorders>
              <w:bottom w:val="nil"/>
            </w:tcBorders>
            <w:shd w:val="clear" w:color="auto" w:fill="FFFFFF"/>
            <w:vAlign w:val="bottom"/>
            <w:hideMark/>
          </w:tcPr>
          <w:p w14:paraId="474041E8" w14:textId="77777777" w:rsidR="00000000" w:rsidRDefault="0053651E">
            <w:pPr>
              <w:jc w:val="right"/>
              <w:rPr>
                <w:rFonts w:eastAsia="Times New Roman"/>
                <w:sz w:val="16"/>
                <w:szCs w:val="16"/>
              </w:rPr>
            </w:pPr>
            <w:r>
              <w:rPr>
                <w:rFonts w:eastAsia="Times New Roman"/>
                <w:sz w:val="16"/>
                <w:szCs w:val="16"/>
              </w:rPr>
              <w:t>5,402,342</w:t>
            </w:r>
          </w:p>
        </w:tc>
        <w:tc>
          <w:tcPr>
            <w:tcW w:w="50" w:type="pct"/>
            <w:tcBorders>
              <w:bottom w:val="nil"/>
            </w:tcBorders>
            <w:shd w:val="clear" w:color="auto" w:fill="FFFFFF"/>
            <w:vAlign w:val="bottom"/>
            <w:hideMark/>
          </w:tcPr>
          <w:p w14:paraId="072D3B20"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D41E5EE"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141EDB37" w14:textId="77777777" w:rsidR="00000000" w:rsidRDefault="0053651E">
            <w:pPr>
              <w:rPr>
                <w:rFonts w:eastAsia="Times New Roman"/>
                <w:sz w:val="16"/>
                <w:szCs w:val="16"/>
              </w:rPr>
            </w:pPr>
            <w:r>
              <w:rPr>
                <w:rFonts w:eastAsia="Times New Roman"/>
                <w:sz w:val="16"/>
                <w:szCs w:val="16"/>
              </w:rPr>
              <w:t> </w:t>
            </w:r>
          </w:p>
        </w:tc>
        <w:tc>
          <w:tcPr>
            <w:tcW w:w="300" w:type="pct"/>
            <w:tcBorders>
              <w:bottom w:val="nil"/>
            </w:tcBorders>
            <w:shd w:val="clear" w:color="auto" w:fill="FFFFFF"/>
            <w:vAlign w:val="bottom"/>
            <w:hideMark/>
          </w:tcPr>
          <w:p w14:paraId="7ECC9B47" w14:textId="77777777" w:rsidR="00000000" w:rsidRDefault="0053651E">
            <w:pPr>
              <w:jc w:val="right"/>
              <w:rPr>
                <w:rFonts w:eastAsia="Times New Roman"/>
                <w:sz w:val="16"/>
                <w:szCs w:val="16"/>
              </w:rPr>
            </w:pPr>
            <w:r>
              <w:rPr>
                <w:rFonts w:eastAsia="Times New Roman"/>
                <w:sz w:val="16"/>
                <w:szCs w:val="16"/>
              </w:rPr>
              <w:t>127,903</w:t>
            </w:r>
          </w:p>
        </w:tc>
        <w:tc>
          <w:tcPr>
            <w:tcW w:w="50" w:type="pct"/>
            <w:tcBorders>
              <w:bottom w:val="nil"/>
            </w:tcBorders>
            <w:shd w:val="clear" w:color="auto" w:fill="FFFFFF"/>
            <w:vAlign w:val="bottom"/>
            <w:hideMark/>
          </w:tcPr>
          <w:p w14:paraId="0A6DEBE1"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35FEDE98"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0DAE4E7B"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73056F51" w14:textId="77777777" w:rsidR="00000000" w:rsidRDefault="0053651E">
            <w:pPr>
              <w:jc w:val="right"/>
              <w:rPr>
                <w:rFonts w:eastAsia="Times New Roman"/>
                <w:sz w:val="16"/>
                <w:szCs w:val="16"/>
              </w:rPr>
            </w:pPr>
            <w:r>
              <w:rPr>
                <w:rFonts w:eastAsia="Times New Roman"/>
                <w:sz w:val="16"/>
                <w:szCs w:val="16"/>
              </w:rPr>
              <w:t>5,530,245</w:t>
            </w:r>
          </w:p>
        </w:tc>
        <w:tc>
          <w:tcPr>
            <w:tcW w:w="50" w:type="pct"/>
            <w:tcBorders>
              <w:bottom w:val="nil"/>
            </w:tcBorders>
            <w:shd w:val="clear" w:color="auto" w:fill="FFFFFF"/>
            <w:vAlign w:val="bottom"/>
            <w:hideMark/>
          </w:tcPr>
          <w:p w14:paraId="328C5DD4" w14:textId="77777777" w:rsidR="00000000" w:rsidRDefault="0053651E">
            <w:pPr>
              <w:rPr>
                <w:rFonts w:eastAsia="Times New Roman"/>
                <w:sz w:val="16"/>
                <w:szCs w:val="16"/>
              </w:rPr>
            </w:pPr>
            <w:r>
              <w:rPr>
                <w:rFonts w:eastAsia="Times New Roman"/>
                <w:sz w:val="16"/>
                <w:szCs w:val="16"/>
              </w:rPr>
              <w:t> </w:t>
            </w:r>
          </w:p>
        </w:tc>
      </w:tr>
      <w:tr w:rsidR="0053651E" w14:paraId="601130DC" w14:textId="77777777">
        <w:trPr>
          <w:divId w:val="1059287255"/>
          <w:tblCellSpacing w:w="0" w:type="dxa"/>
        </w:trPr>
        <w:tc>
          <w:tcPr>
            <w:tcW w:w="950" w:type="pct"/>
            <w:shd w:val="clear" w:color="auto" w:fill="CCEEFF"/>
            <w:vAlign w:val="bottom"/>
            <w:hideMark/>
          </w:tcPr>
          <w:p w14:paraId="4BC6A47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A0A1A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657801"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36B9820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BDFA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4D021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551898"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09D77E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0EB0E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A5D7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482E5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F25F92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D507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95E5B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99E55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D00D27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96E33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969F0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607DC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7C717C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E84C9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CF1D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9DB13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1A45B3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4CAE9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D2AD9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5B93A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23BBD1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D2E6C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EBAFE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C78AA2"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31E234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3CE8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A346B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DD6BF9"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483E27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947D4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96B22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3E812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5EC907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6F68B8" w14:textId="77777777" w:rsidR="00000000" w:rsidRDefault="0053651E">
            <w:pPr>
              <w:rPr>
                <w:rFonts w:eastAsia="Times New Roman"/>
                <w:sz w:val="16"/>
                <w:szCs w:val="16"/>
              </w:rPr>
            </w:pPr>
            <w:r>
              <w:rPr>
                <w:rFonts w:eastAsia="Times New Roman"/>
                <w:sz w:val="16"/>
                <w:szCs w:val="16"/>
              </w:rPr>
              <w:t> </w:t>
            </w:r>
          </w:p>
        </w:tc>
      </w:tr>
      <w:tr w:rsidR="0053651E" w14:paraId="5CC18D81" w14:textId="77777777">
        <w:trPr>
          <w:divId w:val="1059287255"/>
          <w:tblCellSpacing w:w="0" w:type="dxa"/>
        </w:trPr>
        <w:tc>
          <w:tcPr>
            <w:tcW w:w="950" w:type="pct"/>
            <w:shd w:val="clear" w:color="auto" w:fill="FFFFFF"/>
            <w:vAlign w:val="bottom"/>
            <w:hideMark/>
          </w:tcPr>
          <w:p w14:paraId="0E8C55D8" w14:textId="77777777" w:rsidR="00000000" w:rsidRDefault="0053651E">
            <w:pPr>
              <w:pStyle w:val="a3"/>
              <w:spacing w:before="0" w:beforeAutospacing="0" w:after="0" w:afterAutospacing="0"/>
              <w:ind w:left="180" w:hanging="180"/>
              <w:rPr>
                <w:sz w:val="16"/>
                <w:szCs w:val="16"/>
              </w:rPr>
            </w:pPr>
            <w:r>
              <w:rPr>
                <w:sz w:val="16"/>
                <w:szCs w:val="16"/>
              </w:rPr>
              <w:t>Contributions/deemed contributions from noncontrolling interests</w:t>
            </w:r>
          </w:p>
        </w:tc>
        <w:tc>
          <w:tcPr>
            <w:tcW w:w="50" w:type="pct"/>
            <w:shd w:val="clear" w:color="auto" w:fill="FFFFFF"/>
            <w:vAlign w:val="bottom"/>
            <w:hideMark/>
          </w:tcPr>
          <w:p w14:paraId="38C604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B500AE"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7DE7D2B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18CEAC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18158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FEED8D"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2EC30A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A148A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04FF9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CF172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EB738C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60B45A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7BD31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5DCE6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FC4365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56550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DD17F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ED301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C5B395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2B303F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AADF7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4C74F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62FD4D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404FCE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67A1C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B64A6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451159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5B69A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3FB3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CE194B"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CAD0C0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5B2D10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095EF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8C313E"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F4A14BA" w14:textId="77777777" w:rsidR="00000000" w:rsidRDefault="0053651E">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14:paraId="080A117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4DD43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D3C3E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80E96E1" w14:textId="77777777" w:rsidR="00000000" w:rsidRDefault="0053651E">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14:paraId="62BF3783" w14:textId="77777777" w:rsidR="00000000" w:rsidRDefault="0053651E">
            <w:pPr>
              <w:rPr>
                <w:rFonts w:eastAsia="Times New Roman"/>
                <w:sz w:val="16"/>
                <w:szCs w:val="16"/>
              </w:rPr>
            </w:pPr>
            <w:r>
              <w:rPr>
                <w:rFonts w:eastAsia="Times New Roman"/>
                <w:sz w:val="16"/>
                <w:szCs w:val="16"/>
              </w:rPr>
              <w:t> </w:t>
            </w:r>
          </w:p>
        </w:tc>
      </w:tr>
      <w:tr w:rsidR="0053651E" w14:paraId="107BEF31" w14:textId="77777777">
        <w:trPr>
          <w:divId w:val="1059287255"/>
          <w:tblCellSpacing w:w="0" w:type="dxa"/>
        </w:trPr>
        <w:tc>
          <w:tcPr>
            <w:tcW w:w="950" w:type="pct"/>
            <w:shd w:val="clear" w:color="auto" w:fill="CCEEFF"/>
            <w:vAlign w:val="bottom"/>
            <w:hideMark/>
          </w:tcPr>
          <w:p w14:paraId="085E83CE" w14:textId="77777777" w:rsidR="00000000" w:rsidRDefault="0053651E">
            <w:pPr>
              <w:pStyle w:val="a3"/>
              <w:spacing w:before="0" w:beforeAutospacing="0" w:after="0" w:afterAutospacing="0"/>
              <w:rPr>
                <w:sz w:val="16"/>
                <w:szCs w:val="16"/>
              </w:rPr>
            </w:pPr>
            <w:r>
              <w:rPr>
                <w:sz w:val="16"/>
                <w:szCs w:val="16"/>
              </w:rPr>
              <w:t>Comprehensive income:</w:t>
            </w:r>
          </w:p>
        </w:tc>
        <w:tc>
          <w:tcPr>
            <w:tcW w:w="50" w:type="pct"/>
            <w:shd w:val="clear" w:color="auto" w:fill="CCEEFF"/>
            <w:vAlign w:val="bottom"/>
            <w:hideMark/>
          </w:tcPr>
          <w:p w14:paraId="2CF3259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F4FA34"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7F2F5E2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3BE00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0E28B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3CA27C"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2A325D1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2B1B3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C00C9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AF96C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2384AA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94B3E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C6401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96964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B0F809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C55BE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62889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1F48D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839881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25BD9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E7BD7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5BABF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4E0DC5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72365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9AC8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0B834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AB77F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989E7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046FF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47E858"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8A91F6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25BAE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8051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D62C7A"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D752E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90FFE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B733A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45D14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07B81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1BD9B5" w14:textId="77777777" w:rsidR="00000000" w:rsidRDefault="0053651E">
            <w:pPr>
              <w:rPr>
                <w:rFonts w:eastAsia="Times New Roman"/>
                <w:sz w:val="16"/>
                <w:szCs w:val="16"/>
              </w:rPr>
            </w:pPr>
            <w:r>
              <w:rPr>
                <w:rFonts w:eastAsia="Times New Roman"/>
                <w:sz w:val="16"/>
                <w:szCs w:val="16"/>
              </w:rPr>
              <w:t> </w:t>
            </w:r>
          </w:p>
        </w:tc>
      </w:tr>
      <w:tr w:rsidR="0053651E" w14:paraId="467ABB68" w14:textId="77777777">
        <w:trPr>
          <w:divId w:val="1059287255"/>
          <w:tblCellSpacing w:w="0" w:type="dxa"/>
        </w:trPr>
        <w:tc>
          <w:tcPr>
            <w:tcW w:w="950" w:type="pct"/>
            <w:shd w:val="clear" w:color="auto" w:fill="FFFFFF"/>
            <w:vAlign w:val="bottom"/>
            <w:hideMark/>
          </w:tcPr>
          <w:p w14:paraId="7D93D6A1" w14:textId="77777777" w:rsidR="00000000" w:rsidRDefault="0053651E">
            <w:pPr>
              <w:pStyle w:val="a3"/>
              <w:spacing w:before="0" w:beforeAutospacing="0" w:after="0" w:afterAutospacing="0"/>
              <w:ind w:left="540" w:hanging="180"/>
              <w:rPr>
                <w:sz w:val="16"/>
                <w:szCs w:val="16"/>
              </w:rPr>
            </w:pPr>
            <w:r>
              <w:rPr>
                <w:sz w:val="16"/>
                <w:szCs w:val="16"/>
              </w:rPr>
              <w:t>Net income</w:t>
            </w:r>
          </w:p>
        </w:tc>
        <w:tc>
          <w:tcPr>
            <w:tcW w:w="50" w:type="pct"/>
            <w:shd w:val="clear" w:color="auto" w:fill="FFFFFF"/>
            <w:vAlign w:val="bottom"/>
            <w:hideMark/>
          </w:tcPr>
          <w:p w14:paraId="2B9DE8A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F34CC5"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07D5164F" w14:textId="77777777" w:rsidR="00000000" w:rsidRDefault="0053651E">
            <w:pPr>
              <w:jc w:val="right"/>
              <w:rPr>
                <w:rFonts w:eastAsia="Times New Roman"/>
                <w:sz w:val="16"/>
                <w:szCs w:val="16"/>
              </w:rPr>
            </w:pPr>
            <w:r>
              <w:rPr>
                <w:rFonts w:eastAsia="Times New Roman"/>
                <w:sz w:val="16"/>
                <w:szCs w:val="16"/>
              </w:rPr>
              <w:t>497,795</w:t>
            </w:r>
          </w:p>
        </w:tc>
        <w:tc>
          <w:tcPr>
            <w:tcW w:w="50" w:type="pct"/>
            <w:shd w:val="clear" w:color="auto" w:fill="FFFFFF"/>
            <w:vAlign w:val="bottom"/>
            <w:hideMark/>
          </w:tcPr>
          <w:p w14:paraId="14C5880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00384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7BDD6D"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62EA6C2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643C79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4BF6B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45B48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F2BB99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B7CE38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307E1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61207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527BB0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03F5C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D9F87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1D4B2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0D8651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18ABFC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0FFF9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CC961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4A6316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6C2998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88D11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C9712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C061E2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1BF0E1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8B647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9ADFBD"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786155A" w14:textId="77777777" w:rsidR="00000000" w:rsidRDefault="0053651E">
            <w:pPr>
              <w:jc w:val="right"/>
              <w:rPr>
                <w:rFonts w:eastAsia="Times New Roman"/>
                <w:sz w:val="16"/>
                <w:szCs w:val="16"/>
              </w:rPr>
            </w:pPr>
            <w:r>
              <w:rPr>
                <w:rFonts w:eastAsia="Times New Roman"/>
                <w:sz w:val="16"/>
                <w:szCs w:val="16"/>
              </w:rPr>
              <w:t>497,795</w:t>
            </w:r>
          </w:p>
        </w:tc>
        <w:tc>
          <w:tcPr>
            <w:tcW w:w="50" w:type="pct"/>
            <w:shd w:val="clear" w:color="auto" w:fill="FFFFFF"/>
            <w:vAlign w:val="bottom"/>
            <w:hideMark/>
          </w:tcPr>
          <w:p w14:paraId="2DEDE04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C2FC8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5ED255"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8B7FA6C" w14:textId="77777777" w:rsidR="00000000" w:rsidRDefault="0053651E">
            <w:pPr>
              <w:jc w:val="right"/>
              <w:rPr>
                <w:rFonts w:eastAsia="Times New Roman"/>
                <w:sz w:val="16"/>
                <w:szCs w:val="16"/>
              </w:rPr>
            </w:pPr>
            <w:r>
              <w:rPr>
                <w:rFonts w:eastAsia="Times New Roman"/>
                <w:sz w:val="16"/>
                <w:szCs w:val="16"/>
              </w:rPr>
              <w:t>668</w:t>
            </w:r>
          </w:p>
        </w:tc>
        <w:tc>
          <w:tcPr>
            <w:tcW w:w="50" w:type="pct"/>
            <w:shd w:val="clear" w:color="auto" w:fill="FFFFFF"/>
            <w:vAlign w:val="bottom"/>
            <w:hideMark/>
          </w:tcPr>
          <w:p w14:paraId="650EB8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BBB5D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3BD4B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E5D5C7B" w14:textId="77777777" w:rsidR="00000000" w:rsidRDefault="0053651E">
            <w:pPr>
              <w:jc w:val="right"/>
              <w:rPr>
                <w:rFonts w:eastAsia="Times New Roman"/>
                <w:sz w:val="16"/>
                <w:szCs w:val="16"/>
              </w:rPr>
            </w:pPr>
            <w:r>
              <w:rPr>
                <w:rFonts w:eastAsia="Times New Roman"/>
                <w:sz w:val="16"/>
                <w:szCs w:val="16"/>
              </w:rPr>
              <w:t>498,463</w:t>
            </w:r>
          </w:p>
        </w:tc>
        <w:tc>
          <w:tcPr>
            <w:tcW w:w="50" w:type="pct"/>
            <w:shd w:val="clear" w:color="auto" w:fill="FFFFFF"/>
            <w:vAlign w:val="bottom"/>
            <w:hideMark/>
          </w:tcPr>
          <w:p w14:paraId="3EB1CFB9" w14:textId="77777777" w:rsidR="00000000" w:rsidRDefault="0053651E">
            <w:pPr>
              <w:rPr>
                <w:rFonts w:eastAsia="Times New Roman"/>
                <w:sz w:val="16"/>
                <w:szCs w:val="16"/>
              </w:rPr>
            </w:pPr>
            <w:r>
              <w:rPr>
                <w:rFonts w:eastAsia="Times New Roman"/>
                <w:sz w:val="16"/>
                <w:szCs w:val="16"/>
              </w:rPr>
              <w:t> </w:t>
            </w:r>
          </w:p>
        </w:tc>
      </w:tr>
      <w:tr w:rsidR="0053651E" w14:paraId="128FA1D5" w14:textId="77777777">
        <w:trPr>
          <w:divId w:val="1059287255"/>
          <w:tblCellSpacing w:w="0" w:type="dxa"/>
        </w:trPr>
        <w:tc>
          <w:tcPr>
            <w:tcW w:w="950" w:type="pct"/>
            <w:shd w:val="clear" w:color="auto" w:fill="CCEEFF"/>
            <w:vAlign w:val="bottom"/>
            <w:hideMark/>
          </w:tcPr>
          <w:p w14:paraId="6D745E65" w14:textId="77777777" w:rsidR="00000000" w:rsidRDefault="0053651E">
            <w:pPr>
              <w:pStyle w:val="a3"/>
              <w:spacing w:before="0" w:beforeAutospacing="0" w:after="0" w:afterAutospacing="0"/>
              <w:ind w:left="540" w:hanging="180"/>
              <w:rPr>
                <w:sz w:val="16"/>
                <w:szCs w:val="16"/>
              </w:rPr>
            </w:pPr>
            <w:r>
              <w:rPr>
                <w:sz w:val="16"/>
                <w:szCs w:val="16"/>
              </w:rPr>
              <w:t>Other comprehensive income:</w:t>
            </w:r>
          </w:p>
        </w:tc>
        <w:tc>
          <w:tcPr>
            <w:tcW w:w="50" w:type="pct"/>
            <w:shd w:val="clear" w:color="auto" w:fill="CCEEFF"/>
            <w:vAlign w:val="bottom"/>
            <w:hideMark/>
          </w:tcPr>
          <w:p w14:paraId="24562BD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DBFD1F"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A8A3B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2B6B4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BFD9B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0F0CAD"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6B663D9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5588A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68042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74EAD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56238A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247D3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E48E4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3432A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28930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0634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0D669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24919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3F1D0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E61F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48BA5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21F71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410485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B484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41959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157B2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9218BA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F8AB9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DB92B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98BF5E"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4F22B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87293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4529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5DA87F"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515DC4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AFE52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F7222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E6C86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7A20C4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BDCDDE" w14:textId="77777777" w:rsidR="00000000" w:rsidRDefault="0053651E">
            <w:pPr>
              <w:rPr>
                <w:rFonts w:eastAsia="Times New Roman"/>
                <w:sz w:val="16"/>
                <w:szCs w:val="16"/>
              </w:rPr>
            </w:pPr>
            <w:r>
              <w:rPr>
                <w:rFonts w:eastAsia="Times New Roman"/>
                <w:sz w:val="16"/>
                <w:szCs w:val="16"/>
              </w:rPr>
              <w:t> </w:t>
            </w:r>
          </w:p>
        </w:tc>
      </w:tr>
      <w:tr w:rsidR="0053651E" w14:paraId="53444DFC" w14:textId="77777777">
        <w:trPr>
          <w:divId w:val="1059287255"/>
          <w:tblCellSpacing w:w="0" w:type="dxa"/>
        </w:trPr>
        <w:tc>
          <w:tcPr>
            <w:tcW w:w="950" w:type="pct"/>
            <w:shd w:val="clear" w:color="auto" w:fill="FFFFFF"/>
            <w:vAlign w:val="bottom"/>
            <w:hideMark/>
          </w:tcPr>
          <w:p w14:paraId="2B40163D" w14:textId="77777777" w:rsidR="00000000" w:rsidRDefault="0053651E">
            <w:pPr>
              <w:pStyle w:val="a3"/>
              <w:spacing w:before="0" w:beforeAutospacing="0" w:after="0" w:afterAutospacing="0"/>
              <w:ind w:left="900" w:hanging="180"/>
              <w:rPr>
                <w:sz w:val="16"/>
                <w:szCs w:val="16"/>
              </w:rPr>
            </w:pPr>
            <w:r>
              <w:rPr>
                <w:sz w:val="16"/>
                <w:szCs w:val="16"/>
              </w:rPr>
              <w:t>Change in unrealized value on interest rate swaps</w:t>
            </w:r>
          </w:p>
        </w:tc>
        <w:tc>
          <w:tcPr>
            <w:tcW w:w="50" w:type="pct"/>
            <w:shd w:val="clear" w:color="auto" w:fill="FFFFFF"/>
            <w:vAlign w:val="bottom"/>
            <w:hideMark/>
          </w:tcPr>
          <w:p w14:paraId="54A1DBE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7F1506"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06565FA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AA110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0EF8C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6A650C"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31B36224" w14:textId="77777777" w:rsidR="00000000" w:rsidRDefault="0053651E">
            <w:pPr>
              <w:jc w:val="right"/>
              <w:rPr>
                <w:rFonts w:eastAsia="Times New Roman"/>
                <w:sz w:val="16"/>
                <w:szCs w:val="16"/>
              </w:rPr>
            </w:pPr>
            <w:r>
              <w:rPr>
                <w:rFonts w:eastAsia="Times New Roman"/>
                <w:sz w:val="16"/>
                <w:szCs w:val="16"/>
              </w:rPr>
              <w:t>344</w:t>
            </w:r>
          </w:p>
        </w:tc>
        <w:tc>
          <w:tcPr>
            <w:tcW w:w="50" w:type="pct"/>
            <w:shd w:val="clear" w:color="auto" w:fill="FFFFFF"/>
            <w:vAlign w:val="bottom"/>
            <w:hideMark/>
          </w:tcPr>
          <w:p w14:paraId="49C8BE5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3A0E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5C853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B6ED83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16694B9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8492C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FFB05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41DB1F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41CDF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883AA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3EE70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2326AB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333A5A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67991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69E16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CF7F2D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2B3F0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1EAA9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84418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4D2682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6F27C0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8D0D0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3ABD3C"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57A76E6" w14:textId="77777777" w:rsidR="00000000" w:rsidRDefault="0053651E">
            <w:pPr>
              <w:jc w:val="right"/>
              <w:rPr>
                <w:rFonts w:eastAsia="Times New Roman"/>
                <w:sz w:val="16"/>
                <w:szCs w:val="16"/>
              </w:rPr>
            </w:pPr>
            <w:r>
              <w:rPr>
                <w:rFonts w:eastAsia="Times New Roman"/>
                <w:sz w:val="16"/>
                <w:szCs w:val="16"/>
              </w:rPr>
              <w:t>344</w:t>
            </w:r>
          </w:p>
        </w:tc>
        <w:tc>
          <w:tcPr>
            <w:tcW w:w="50" w:type="pct"/>
            <w:shd w:val="clear" w:color="auto" w:fill="FFFFFF"/>
            <w:vAlign w:val="bottom"/>
            <w:hideMark/>
          </w:tcPr>
          <w:p w14:paraId="46300FB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D71E1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A95C6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34B8AC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418C61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7374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3937D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320612A" w14:textId="77777777" w:rsidR="00000000" w:rsidRDefault="0053651E">
            <w:pPr>
              <w:jc w:val="right"/>
              <w:rPr>
                <w:rFonts w:eastAsia="Times New Roman"/>
                <w:sz w:val="16"/>
                <w:szCs w:val="16"/>
              </w:rPr>
            </w:pPr>
            <w:r>
              <w:rPr>
                <w:rFonts w:eastAsia="Times New Roman"/>
                <w:sz w:val="16"/>
                <w:szCs w:val="16"/>
              </w:rPr>
              <w:t>344</w:t>
            </w:r>
          </w:p>
        </w:tc>
        <w:tc>
          <w:tcPr>
            <w:tcW w:w="50" w:type="pct"/>
            <w:shd w:val="clear" w:color="auto" w:fill="FFFFFF"/>
            <w:vAlign w:val="bottom"/>
            <w:hideMark/>
          </w:tcPr>
          <w:p w14:paraId="1C3C603A" w14:textId="77777777" w:rsidR="00000000" w:rsidRDefault="0053651E">
            <w:pPr>
              <w:rPr>
                <w:rFonts w:eastAsia="Times New Roman"/>
                <w:sz w:val="16"/>
                <w:szCs w:val="16"/>
              </w:rPr>
            </w:pPr>
            <w:r>
              <w:rPr>
                <w:rFonts w:eastAsia="Times New Roman"/>
                <w:sz w:val="16"/>
                <w:szCs w:val="16"/>
              </w:rPr>
              <w:t> </w:t>
            </w:r>
          </w:p>
        </w:tc>
      </w:tr>
      <w:tr w:rsidR="0053651E" w14:paraId="7413DA1C" w14:textId="77777777">
        <w:trPr>
          <w:divId w:val="1059287255"/>
          <w:tblCellSpacing w:w="0" w:type="dxa"/>
        </w:trPr>
        <w:tc>
          <w:tcPr>
            <w:tcW w:w="950" w:type="pct"/>
            <w:shd w:val="clear" w:color="auto" w:fill="CCEEFF"/>
            <w:vAlign w:val="bottom"/>
            <w:hideMark/>
          </w:tcPr>
          <w:p w14:paraId="7E70B03C" w14:textId="77777777" w:rsidR="00000000" w:rsidRDefault="0053651E">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4425D9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036BF4"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D51795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9A992D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741D5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95C85A"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7B33FE4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4AFFF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F64DD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152B8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9341F5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0FA2BD5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45CA8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7791C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207F8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C7FCC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3A6A9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17F12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48B5E4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1ABAB7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DDFB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13AB3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99B5E3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79D4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E7482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C79FF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04F94A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805A12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05408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88196F"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744943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CF7A4A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737E7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C6999A"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DFFA002" w14:textId="77777777" w:rsidR="00000000" w:rsidRDefault="0053651E">
            <w:pPr>
              <w:jc w:val="right"/>
              <w:rPr>
                <w:rFonts w:eastAsia="Times New Roman"/>
                <w:sz w:val="16"/>
                <w:szCs w:val="16"/>
              </w:rPr>
            </w:pPr>
            <w:r>
              <w:rPr>
                <w:rFonts w:eastAsia="Times New Roman"/>
                <w:sz w:val="16"/>
                <w:szCs w:val="16"/>
              </w:rPr>
              <w:t>(373</w:t>
            </w:r>
          </w:p>
        </w:tc>
        <w:tc>
          <w:tcPr>
            <w:tcW w:w="50" w:type="pct"/>
            <w:shd w:val="clear" w:color="auto" w:fill="CCEEFF"/>
            <w:vAlign w:val="bottom"/>
            <w:hideMark/>
          </w:tcPr>
          <w:p w14:paraId="12AA3842"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273CF30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45009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A350DB4" w14:textId="77777777" w:rsidR="00000000" w:rsidRDefault="0053651E">
            <w:pPr>
              <w:jc w:val="right"/>
              <w:rPr>
                <w:rFonts w:eastAsia="Times New Roman"/>
                <w:sz w:val="16"/>
                <w:szCs w:val="16"/>
              </w:rPr>
            </w:pPr>
            <w:r>
              <w:rPr>
                <w:rFonts w:eastAsia="Times New Roman"/>
                <w:sz w:val="16"/>
                <w:szCs w:val="16"/>
              </w:rPr>
              <w:t>(373</w:t>
            </w:r>
          </w:p>
        </w:tc>
        <w:tc>
          <w:tcPr>
            <w:tcW w:w="50" w:type="pct"/>
            <w:shd w:val="clear" w:color="auto" w:fill="CCEEFF"/>
            <w:vAlign w:val="bottom"/>
            <w:hideMark/>
          </w:tcPr>
          <w:p w14:paraId="205B929A" w14:textId="77777777" w:rsidR="00000000" w:rsidRDefault="0053651E">
            <w:pPr>
              <w:rPr>
                <w:rFonts w:eastAsia="Times New Roman"/>
                <w:sz w:val="16"/>
                <w:szCs w:val="16"/>
              </w:rPr>
            </w:pPr>
            <w:r>
              <w:rPr>
                <w:rFonts w:eastAsia="Times New Roman"/>
                <w:sz w:val="16"/>
                <w:szCs w:val="16"/>
              </w:rPr>
              <w:t>)</w:t>
            </w:r>
          </w:p>
        </w:tc>
      </w:tr>
      <w:tr w:rsidR="0053651E" w14:paraId="4F90C0C5" w14:textId="77777777">
        <w:trPr>
          <w:divId w:val="1059287255"/>
          <w:tblCellSpacing w:w="0" w:type="dxa"/>
        </w:trPr>
        <w:tc>
          <w:tcPr>
            <w:tcW w:w="950" w:type="pct"/>
            <w:shd w:val="clear" w:color="auto" w:fill="FFFFFF"/>
            <w:vAlign w:val="bottom"/>
            <w:hideMark/>
          </w:tcPr>
          <w:p w14:paraId="38A35EE8" w14:textId="77777777" w:rsidR="00000000" w:rsidRDefault="0053651E">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6E7CB2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CAC9F9"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EB3269B" w14:textId="77777777" w:rsidR="00000000" w:rsidRDefault="0053651E">
            <w:pPr>
              <w:jc w:val="right"/>
              <w:rPr>
                <w:rFonts w:eastAsia="Times New Roman"/>
                <w:sz w:val="16"/>
                <w:szCs w:val="16"/>
              </w:rPr>
            </w:pPr>
            <w:r>
              <w:rPr>
                <w:rFonts w:eastAsia="Times New Roman"/>
                <w:sz w:val="16"/>
                <w:szCs w:val="16"/>
              </w:rPr>
              <w:t>(531,127</w:t>
            </w:r>
          </w:p>
        </w:tc>
        <w:tc>
          <w:tcPr>
            <w:tcW w:w="50" w:type="pct"/>
            <w:shd w:val="clear" w:color="auto" w:fill="FFFFFF"/>
            <w:vAlign w:val="bottom"/>
            <w:hideMark/>
          </w:tcPr>
          <w:p w14:paraId="79DCD748"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283BD03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B030A4"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746C8D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192A7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21A4F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C1FEE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05DC59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871A5C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F22D4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C07A3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E1CDC3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438A36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E0E76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1A3D7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FB529B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40F2F3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9459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4700F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9FCF39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81A15C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C1CA4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7B04E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E77E15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80CB52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8D63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2ADA35"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001E5CA" w14:textId="77777777" w:rsidR="00000000" w:rsidRDefault="0053651E">
            <w:pPr>
              <w:jc w:val="right"/>
              <w:rPr>
                <w:rFonts w:eastAsia="Times New Roman"/>
                <w:sz w:val="16"/>
                <w:szCs w:val="16"/>
              </w:rPr>
            </w:pPr>
            <w:r>
              <w:rPr>
                <w:rFonts w:eastAsia="Times New Roman"/>
                <w:sz w:val="16"/>
                <w:szCs w:val="16"/>
              </w:rPr>
              <w:t>(531,127</w:t>
            </w:r>
          </w:p>
        </w:tc>
        <w:tc>
          <w:tcPr>
            <w:tcW w:w="50" w:type="pct"/>
            <w:shd w:val="clear" w:color="auto" w:fill="FFFFFF"/>
            <w:vAlign w:val="bottom"/>
            <w:hideMark/>
          </w:tcPr>
          <w:p w14:paraId="23D95B9D"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49C58B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047E02"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062F38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259C5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EACF8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29454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9540565" w14:textId="77777777" w:rsidR="00000000" w:rsidRDefault="0053651E">
            <w:pPr>
              <w:jc w:val="right"/>
              <w:rPr>
                <w:rFonts w:eastAsia="Times New Roman"/>
                <w:sz w:val="16"/>
                <w:szCs w:val="16"/>
              </w:rPr>
            </w:pPr>
            <w:r>
              <w:rPr>
                <w:rFonts w:eastAsia="Times New Roman"/>
                <w:sz w:val="16"/>
                <w:szCs w:val="16"/>
              </w:rPr>
              <w:t>(531,127</w:t>
            </w:r>
          </w:p>
        </w:tc>
        <w:tc>
          <w:tcPr>
            <w:tcW w:w="50" w:type="pct"/>
            <w:shd w:val="clear" w:color="auto" w:fill="FFFFFF"/>
            <w:vAlign w:val="bottom"/>
            <w:hideMark/>
          </w:tcPr>
          <w:p w14:paraId="175FC18B" w14:textId="77777777" w:rsidR="00000000" w:rsidRDefault="0053651E">
            <w:pPr>
              <w:rPr>
                <w:rFonts w:eastAsia="Times New Roman"/>
                <w:sz w:val="16"/>
                <w:szCs w:val="16"/>
              </w:rPr>
            </w:pPr>
            <w:r>
              <w:rPr>
                <w:rFonts w:eastAsia="Times New Roman"/>
                <w:sz w:val="16"/>
                <w:szCs w:val="16"/>
              </w:rPr>
              <w:t>)</w:t>
            </w:r>
          </w:p>
        </w:tc>
      </w:tr>
      <w:tr w:rsidR="0053651E" w14:paraId="3DF9A406" w14:textId="77777777">
        <w:trPr>
          <w:divId w:val="1059287255"/>
          <w:tblCellSpacing w:w="0" w:type="dxa"/>
        </w:trPr>
        <w:tc>
          <w:tcPr>
            <w:tcW w:w="950" w:type="pct"/>
            <w:shd w:val="clear" w:color="auto" w:fill="CCEEFF"/>
            <w:vAlign w:val="bottom"/>
            <w:hideMark/>
          </w:tcPr>
          <w:p w14:paraId="7F402625" w14:textId="77777777" w:rsidR="00000000" w:rsidRDefault="0053651E">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5B045ED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B637B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56834AE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DC81D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6CEDD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EE274E"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366A41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3B1EE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17B7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D97F4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6F3834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701250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1F526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CFEAA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76903D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2C4674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BA0B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671D8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5E43C2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2FE5617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D9DBC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D0C27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8C2693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54C209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8B8CC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A5CB6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B77E41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176F5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C3FEF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1A6E4E"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6066ED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FD80DE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99DC7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AB85A3"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232B833" w14:textId="77777777" w:rsidR="00000000" w:rsidRDefault="0053651E">
            <w:pPr>
              <w:jc w:val="right"/>
              <w:rPr>
                <w:rFonts w:eastAsia="Times New Roman"/>
                <w:sz w:val="16"/>
                <w:szCs w:val="16"/>
              </w:rPr>
            </w:pPr>
            <w:r>
              <w:rPr>
                <w:rFonts w:eastAsia="Times New Roman"/>
                <w:sz w:val="16"/>
                <w:szCs w:val="16"/>
              </w:rPr>
              <w:t>(2,663</w:t>
            </w:r>
          </w:p>
        </w:tc>
        <w:tc>
          <w:tcPr>
            <w:tcW w:w="50" w:type="pct"/>
            <w:shd w:val="clear" w:color="auto" w:fill="CCEEFF"/>
            <w:vAlign w:val="bottom"/>
            <w:hideMark/>
          </w:tcPr>
          <w:p w14:paraId="7ED14B46"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3E41B8F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618B0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B1EBD2C" w14:textId="77777777" w:rsidR="00000000" w:rsidRDefault="0053651E">
            <w:pPr>
              <w:jc w:val="right"/>
              <w:rPr>
                <w:rFonts w:eastAsia="Times New Roman"/>
                <w:sz w:val="16"/>
                <w:szCs w:val="16"/>
              </w:rPr>
            </w:pPr>
            <w:r>
              <w:rPr>
                <w:rFonts w:eastAsia="Times New Roman"/>
                <w:sz w:val="16"/>
                <w:szCs w:val="16"/>
              </w:rPr>
              <w:t>(2,663</w:t>
            </w:r>
          </w:p>
        </w:tc>
        <w:tc>
          <w:tcPr>
            <w:tcW w:w="50" w:type="pct"/>
            <w:shd w:val="clear" w:color="auto" w:fill="CCEEFF"/>
            <w:vAlign w:val="bottom"/>
            <w:hideMark/>
          </w:tcPr>
          <w:p w14:paraId="354BF4C3" w14:textId="77777777" w:rsidR="00000000" w:rsidRDefault="0053651E">
            <w:pPr>
              <w:rPr>
                <w:rFonts w:eastAsia="Times New Roman"/>
                <w:sz w:val="16"/>
                <w:szCs w:val="16"/>
              </w:rPr>
            </w:pPr>
            <w:r>
              <w:rPr>
                <w:rFonts w:eastAsia="Times New Roman"/>
                <w:sz w:val="16"/>
                <w:szCs w:val="16"/>
              </w:rPr>
              <w:t>)</w:t>
            </w:r>
          </w:p>
        </w:tc>
      </w:tr>
      <w:tr w:rsidR="0053651E" w14:paraId="265620E6" w14:textId="77777777">
        <w:trPr>
          <w:divId w:val="1059287255"/>
          <w:tblCellSpacing w:w="0" w:type="dxa"/>
        </w:trPr>
        <w:tc>
          <w:tcPr>
            <w:tcW w:w="950" w:type="pct"/>
            <w:shd w:val="clear" w:color="auto" w:fill="FFFFFF"/>
            <w:vAlign w:val="bottom"/>
            <w:hideMark/>
          </w:tcPr>
          <w:p w14:paraId="2D164316" w14:textId="77777777" w:rsidR="00000000" w:rsidRDefault="0053651E">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FFFFFF"/>
            <w:vAlign w:val="bottom"/>
            <w:hideMark/>
          </w:tcPr>
          <w:p w14:paraId="4A1872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F5BA83"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C00F9E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7EC86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DA58C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8CA9D4"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C5BF44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EB6D52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1B39B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81FC8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7C1487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D05E86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B0A15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2A40D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D05BDA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049E28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D83F84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AD7E40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754BA6A" w14:textId="77777777" w:rsidR="00000000" w:rsidRDefault="0053651E">
            <w:pPr>
              <w:jc w:val="right"/>
              <w:rPr>
                <w:rFonts w:eastAsia="Times New Roman"/>
                <w:sz w:val="16"/>
                <w:szCs w:val="16"/>
              </w:rPr>
            </w:pPr>
            <w:r>
              <w:rPr>
                <w:rFonts w:eastAsia="Times New Roman"/>
                <w:sz w:val="16"/>
                <w:szCs w:val="16"/>
              </w:rPr>
              <w:t>1,101</w:t>
            </w:r>
          </w:p>
        </w:tc>
        <w:tc>
          <w:tcPr>
            <w:tcW w:w="50" w:type="pct"/>
            <w:shd w:val="clear" w:color="auto" w:fill="FFFFFF"/>
            <w:vAlign w:val="bottom"/>
            <w:hideMark/>
          </w:tcPr>
          <w:p w14:paraId="5880395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25A23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CCF45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1C79290" w14:textId="77777777" w:rsidR="00000000" w:rsidRDefault="0053651E">
            <w:pPr>
              <w:jc w:val="right"/>
              <w:rPr>
                <w:rFonts w:eastAsia="Times New Roman"/>
                <w:sz w:val="16"/>
                <w:szCs w:val="16"/>
              </w:rPr>
            </w:pPr>
            <w:r>
              <w:rPr>
                <w:rFonts w:eastAsia="Times New Roman"/>
                <w:sz w:val="16"/>
                <w:szCs w:val="16"/>
              </w:rPr>
              <w:t>11</w:t>
            </w:r>
          </w:p>
        </w:tc>
        <w:tc>
          <w:tcPr>
            <w:tcW w:w="50" w:type="pct"/>
            <w:shd w:val="clear" w:color="auto" w:fill="FFFFFF"/>
            <w:vAlign w:val="bottom"/>
            <w:hideMark/>
          </w:tcPr>
          <w:p w14:paraId="104E850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52ABA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90B39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7455920" w14:textId="77777777" w:rsidR="00000000" w:rsidRDefault="0053651E">
            <w:pPr>
              <w:jc w:val="right"/>
              <w:rPr>
                <w:rFonts w:eastAsia="Times New Roman"/>
                <w:sz w:val="16"/>
                <w:szCs w:val="16"/>
              </w:rPr>
            </w:pPr>
            <w:r>
              <w:rPr>
                <w:rFonts w:eastAsia="Times New Roman"/>
                <w:sz w:val="16"/>
                <w:szCs w:val="16"/>
              </w:rPr>
              <w:t>(11</w:t>
            </w:r>
          </w:p>
        </w:tc>
        <w:tc>
          <w:tcPr>
            <w:tcW w:w="50" w:type="pct"/>
            <w:shd w:val="clear" w:color="auto" w:fill="FFFFFF"/>
            <w:vAlign w:val="bottom"/>
            <w:hideMark/>
          </w:tcPr>
          <w:p w14:paraId="3A791B35"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5315A06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B6D186"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391008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CE4F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C04F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A99B42"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AB5F1C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108CE4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DE977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64AA7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FED281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828F546" w14:textId="77777777" w:rsidR="00000000" w:rsidRDefault="0053651E">
            <w:pPr>
              <w:rPr>
                <w:rFonts w:eastAsia="Times New Roman"/>
                <w:sz w:val="16"/>
                <w:szCs w:val="16"/>
              </w:rPr>
            </w:pPr>
            <w:r>
              <w:rPr>
                <w:rFonts w:eastAsia="Times New Roman"/>
                <w:sz w:val="16"/>
                <w:szCs w:val="16"/>
              </w:rPr>
              <w:t> </w:t>
            </w:r>
          </w:p>
        </w:tc>
      </w:tr>
      <w:tr w:rsidR="0053651E" w14:paraId="121F7760" w14:textId="77777777">
        <w:trPr>
          <w:divId w:val="1059287255"/>
          <w:tblCellSpacing w:w="0" w:type="dxa"/>
        </w:trPr>
        <w:tc>
          <w:tcPr>
            <w:tcW w:w="950" w:type="pct"/>
            <w:shd w:val="clear" w:color="auto" w:fill="CCEEFF"/>
            <w:vAlign w:val="bottom"/>
            <w:hideMark/>
          </w:tcPr>
          <w:p w14:paraId="5138E04F" w14:textId="77777777" w:rsidR="00000000" w:rsidRDefault="0053651E">
            <w:pPr>
              <w:pStyle w:val="a3"/>
              <w:spacing w:before="0" w:beforeAutospacing="0" w:after="0" w:afterAutospacing="0"/>
              <w:ind w:left="180" w:hanging="180"/>
              <w:rPr>
                <w:sz w:val="16"/>
                <w:szCs w:val="16"/>
              </w:rPr>
            </w:pPr>
            <w:r>
              <w:rPr>
                <w:sz w:val="16"/>
                <w:szCs w:val="16"/>
              </w:rPr>
              <w:t>Issuance of preferred stock</w:t>
            </w:r>
          </w:p>
        </w:tc>
        <w:tc>
          <w:tcPr>
            <w:tcW w:w="50" w:type="pct"/>
            <w:shd w:val="clear" w:color="auto" w:fill="CCEEFF"/>
            <w:vAlign w:val="bottom"/>
            <w:hideMark/>
          </w:tcPr>
          <w:p w14:paraId="0E021E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66571C"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2B286C5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8D1350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EC1BD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F50031"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A151FA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76C514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7754E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00233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253C8E6" w14:textId="77777777" w:rsidR="00000000" w:rsidRDefault="0053651E">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14:paraId="434F0A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464C6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ED95B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6942FFF" w14:textId="77777777" w:rsidR="00000000" w:rsidRDefault="0053651E">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14:paraId="7E01FFC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BF8E8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CC95D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B9DDC3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215BB7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C49D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EA046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FB6D1D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39CB4F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D83B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6520C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1A80E59" w14:textId="77777777" w:rsidR="00000000" w:rsidRDefault="0053651E">
            <w:pPr>
              <w:jc w:val="right"/>
              <w:rPr>
                <w:rFonts w:eastAsia="Times New Roman"/>
                <w:sz w:val="16"/>
                <w:szCs w:val="16"/>
              </w:rPr>
            </w:pPr>
            <w:r>
              <w:rPr>
                <w:rFonts w:eastAsia="Times New Roman"/>
                <w:sz w:val="16"/>
                <w:szCs w:val="16"/>
              </w:rPr>
              <w:t>33,112</w:t>
            </w:r>
          </w:p>
        </w:tc>
        <w:tc>
          <w:tcPr>
            <w:tcW w:w="50" w:type="pct"/>
            <w:shd w:val="clear" w:color="auto" w:fill="CCEEFF"/>
            <w:vAlign w:val="bottom"/>
            <w:hideMark/>
          </w:tcPr>
          <w:p w14:paraId="773B36C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B2922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9E55E9"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B52A0C4" w14:textId="77777777" w:rsidR="00000000" w:rsidRDefault="0053651E">
            <w:pPr>
              <w:jc w:val="right"/>
              <w:rPr>
                <w:rFonts w:eastAsia="Times New Roman"/>
                <w:sz w:val="16"/>
                <w:szCs w:val="16"/>
              </w:rPr>
            </w:pPr>
            <w:r>
              <w:rPr>
                <w:rFonts w:eastAsia="Times New Roman"/>
                <w:sz w:val="16"/>
                <w:szCs w:val="16"/>
              </w:rPr>
              <w:t>33,114</w:t>
            </w:r>
          </w:p>
        </w:tc>
        <w:tc>
          <w:tcPr>
            <w:tcW w:w="50" w:type="pct"/>
            <w:shd w:val="clear" w:color="auto" w:fill="CCEEFF"/>
            <w:vAlign w:val="bottom"/>
            <w:hideMark/>
          </w:tcPr>
          <w:p w14:paraId="6BEE3FD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14F81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7F9A65"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B530C6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C1095A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4907C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BBF91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D4FD01C" w14:textId="77777777" w:rsidR="00000000" w:rsidRDefault="0053651E">
            <w:pPr>
              <w:jc w:val="right"/>
              <w:rPr>
                <w:rFonts w:eastAsia="Times New Roman"/>
                <w:sz w:val="16"/>
                <w:szCs w:val="16"/>
              </w:rPr>
            </w:pPr>
            <w:r>
              <w:rPr>
                <w:rFonts w:eastAsia="Times New Roman"/>
                <w:sz w:val="16"/>
                <w:szCs w:val="16"/>
              </w:rPr>
              <w:t>33,114</w:t>
            </w:r>
          </w:p>
        </w:tc>
        <w:tc>
          <w:tcPr>
            <w:tcW w:w="50" w:type="pct"/>
            <w:shd w:val="clear" w:color="auto" w:fill="CCEEFF"/>
            <w:vAlign w:val="bottom"/>
            <w:hideMark/>
          </w:tcPr>
          <w:p w14:paraId="19EF731A" w14:textId="77777777" w:rsidR="00000000" w:rsidRDefault="0053651E">
            <w:pPr>
              <w:rPr>
                <w:rFonts w:eastAsia="Times New Roman"/>
                <w:sz w:val="16"/>
                <w:szCs w:val="16"/>
              </w:rPr>
            </w:pPr>
            <w:r>
              <w:rPr>
                <w:rFonts w:eastAsia="Times New Roman"/>
                <w:sz w:val="16"/>
                <w:szCs w:val="16"/>
              </w:rPr>
              <w:t> </w:t>
            </w:r>
          </w:p>
        </w:tc>
      </w:tr>
      <w:tr w:rsidR="0053651E" w14:paraId="0CD1883E" w14:textId="77777777">
        <w:trPr>
          <w:divId w:val="1059287255"/>
          <w:tblCellSpacing w:w="0" w:type="dxa"/>
        </w:trPr>
        <w:tc>
          <w:tcPr>
            <w:tcW w:w="950" w:type="pct"/>
            <w:shd w:val="clear" w:color="auto" w:fill="FFFFFF"/>
            <w:vAlign w:val="bottom"/>
            <w:hideMark/>
          </w:tcPr>
          <w:p w14:paraId="5C3369ED" w14:textId="77777777" w:rsidR="00000000" w:rsidRDefault="0053651E">
            <w:pPr>
              <w:pStyle w:val="a3"/>
              <w:spacing w:before="0" w:beforeAutospacing="0" w:after="0" w:afterAutospacing="0"/>
              <w:ind w:left="180" w:hanging="180"/>
              <w:rPr>
                <w:sz w:val="16"/>
                <w:szCs w:val="16"/>
              </w:rPr>
            </w:pPr>
            <w:r>
              <w:rPr>
                <w:sz w:val="16"/>
                <w:szCs w:val="16"/>
              </w:rPr>
              <w:t>Repurchase of common stock</w:t>
            </w:r>
          </w:p>
        </w:tc>
        <w:tc>
          <w:tcPr>
            <w:tcW w:w="50" w:type="pct"/>
            <w:shd w:val="clear" w:color="auto" w:fill="FFFFFF"/>
            <w:vAlign w:val="bottom"/>
            <w:hideMark/>
          </w:tcPr>
          <w:p w14:paraId="3B7390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8C8AAD"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39B0E4D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248E0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CE16A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474CB3"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03562E9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C454B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7679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2220C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54FD36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26EB65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570F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0291C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49E94B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2BD31F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337F2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A165D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BCBBF52" w14:textId="77777777" w:rsidR="00000000" w:rsidRDefault="0053651E">
            <w:pPr>
              <w:jc w:val="right"/>
              <w:rPr>
                <w:rFonts w:eastAsia="Times New Roman"/>
                <w:sz w:val="16"/>
                <w:szCs w:val="16"/>
              </w:rPr>
            </w:pPr>
            <w:r>
              <w:rPr>
                <w:rFonts w:eastAsia="Times New Roman"/>
                <w:sz w:val="16"/>
                <w:szCs w:val="16"/>
              </w:rPr>
              <w:t>(5,100</w:t>
            </w:r>
          </w:p>
        </w:tc>
        <w:tc>
          <w:tcPr>
            <w:tcW w:w="50" w:type="pct"/>
            <w:shd w:val="clear" w:color="auto" w:fill="FFFFFF"/>
            <w:vAlign w:val="bottom"/>
            <w:hideMark/>
          </w:tcPr>
          <w:p w14:paraId="42776FB3"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7B0507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068BB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52BC6C7" w14:textId="77777777" w:rsidR="00000000" w:rsidRDefault="0053651E">
            <w:pPr>
              <w:jc w:val="right"/>
              <w:rPr>
                <w:rFonts w:eastAsia="Times New Roman"/>
                <w:sz w:val="16"/>
                <w:szCs w:val="16"/>
              </w:rPr>
            </w:pPr>
            <w:r>
              <w:rPr>
                <w:rFonts w:eastAsia="Times New Roman"/>
                <w:sz w:val="16"/>
                <w:szCs w:val="16"/>
              </w:rPr>
              <w:t>(51</w:t>
            </w:r>
          </w:p>
        </w:tc>
        <w:tc>
          <w:tcPr>
            <w:tcW w:w="50" w:type="pct"/>
            <w:shd w:val="clear" w:color="auto" w:fill="FFFFFF"/>
            <w:vAlign w:val="bottom"/>
            <w:hideMark/>
          </w:tcPr>
          <w:p w14:paraId="4B757019"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735A44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059EE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7AE0C84" w14:textId="77777777" w:rsidR="00000000" w:rsidRDefault="0053651E">
            <w:pPr>
              <w:jc w:val="right"/>
              <w:rPr>
                <w:rFonts w:eastAsia="Times New Roman"/>
                <w:sz w:val="16"/>
                <w:szCs w:val="16"/>
              </w:rPr>
            </w:pPr>
            <w:r>
              <w:rPr>
                <w:rFonts w:eastAsia="Times New Roman"/>
                <w:sz w:val="16"/>
                <w:szCs w:val="16"/>
              </w:rPr>
              <w:t>(75,075</w:t>
            </w:r>
          </w:p>
        </w:tc>
        <w:tc>
          <w:tcPr>
            <w:tcW w:w="50" w:type="pct"/>
            <w:shd w:val="clear" w:color="auto" w:fill="FFFFFF"/>
            <w:vAlign w:val="bottom"/>
            <w:hideMark/>
          </w:tcPr>
          <w:p w14:paraId="0B22DC74"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536FFF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BB9EEB"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ACC5E55" w14:textId="77777777" w:rsidR="00000000" w:rsidRDefault="0053651E">
            <w:pPr>
              <w:jc w:val="right"/>
              <w:rPr>
                <w:rFonts w:eastAsia="Times New Roman"/>
                <w:sz w:val="16"/>
                <w:szCs w:val="16"/>
              </w:rPr>
            </w:pPr>
            <w:r>
              <w:rPr>
                <w:rFonts w:eastAsia="Times New Roman"/>
                <w:sz w:val="16"/>
                <w:szCs w:val="16"/>
              </w:rPr>
              <w:t>(75,126</w:t>
            </w:r>
          </w:p>
        </w:tc>
        <w:tc>
          <w:tcPr>
            <w:tcW w:w="50" w:type="pct"/>
            <w:shd w:val="clear" w:color="auto" w:fill="FFFFFF"/>
            <w:vAlign w:val="bottom"/>
            <w:hideMark/>
          </w:tcPr>
          <w:p w14:paraId="6D4BCF39"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1059B0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D7BC69"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E63ED25"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A8D9E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17A9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CF139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72FF54E" w14:textId="77777777" w:rsidR="00000000" w:rsidRDefault="0053651E">
            <w:pPr>
              <w:jc w:val="right"/>
              <w:rPr>
                <w:rFonts w:eastAsia="Times New Roman"/>
                <w:sz w:val="16"/>
                <w:szCs w:val="16"/>
              </w:rPr>
            </w:pPr>
            <w:r>
              <w:rPr>
                <w:rFonts w:eastAsia="Times New Roman"/>
                <w:sz w:val="16"/>
                <w:szCs w:val="16"/>
              </w:rPr>
              <w:t>(75,126</w:t>
            </w:r>
          </w:p>
        </w:tc>
        <w:tc>
          <w:tcPr>
            <w:tcW w:w="50" w:type="pct"/>
            <w:shd w:val="clear" w:color="auto" w:fill="FFFFFF"/>
            <w:vAlign w:val="bottom"/>
            <w:hideMark/>
          </w:tcPr>
          <w:p w14:paraId="75E27C90" w14:textId="77777777" w:rsidR="00000000" w:rsidRDefault="0053651E">
            <w:pPr>
              <w:rPr>
                <w:rFonts w:eastAsia="Times New Roman"/>
                <w:sz w:val="16"/>
                <w:szCs w:val="16"/>
              </w:rPr>
            </w:pPr>
            <w:r>
              <w:rPr>
                <w:rFonts w:eastAsia="Times New Roman"/>
                <w:sz w:val="16"/>
                <w:szCs w:val="16"/>
              </w:rPr>
              <w:t>)</w:t>
            </w:r>
          </w:p>
        </w:tc>
      </w:tr>
      <w:tr w:rsidR="0053651E" w14:paraId="68B9715A" w14:textId="77777777">
        <w:trPr>
          <w:divId w:val="1059287255"/>
          <w:tblCellSpacing w:w="0" w:type="dxa"/>
        </w:trPr>
        <w:tc>
          <w:tcPr>
            <w:tcW w:w="950" w:type="pct"/>
            <w:shd w:val="clear" w:color="auto" w:fill="CCEEFF"/>
            <w:vAlign w:val="bottom"/>
            <w:hideMark/>
          </w:tcPr>
          <w:p w14:paraId="5D64639A" w14:textId="77777777" w:rsidR="00000000" w:rsidRDefault="0053651E">
            <w:pPr>
              <w:pStyle w:val="a3"/>
              <w:spacing w:before="0" w:beforeAutospacing="0" w:after="0" w:afterAutospacing="0"/>
              <w:rPr>
                <w:sz w:val="16"/>
                <w:szCs w:val="16"/>
              </w:rPr>
            </w:pPr>
            <w:r>
              <w:rPr>
                <w:sz w:val="16"/>
                <w:szCs w:val="16"/>
              </w:rPr>
              <w:t>Surrender of restricted stock</w:t>
            </w:r>
          </w:p>
        </w:tc>
        <w:tc>
          <w:tcPr>
            <w:tcW w:w="50" w:type="pct"/>
            <w:shd w:val="clear" w:color="auto" w:fill="CCEEFF"/>
            <w:vAlign w:val="bottom"/>
            <w:hideMark/>
          </w:tcPr>
          <w:p w14:paraId="6F4DE3C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29666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149333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03D88C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B46F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354981"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2351C53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30873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52337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8E177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8269D3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C69822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B1BBE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81475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99A623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2B7C09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65039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47159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615017F" w14:textId="77777777" w:rsidR="00000000" w:rsidRDefault="0053651E">
            <w:pPr>
              <w:jc w:val="right"/>
              <w:rPr>
                <w:rFonts w:eastAsia="Times New Roman"/>
                <w:sz w:val="16"/>
                <w:szCs w:val="16"/>
              </w:rPr>
            </w:pPr>
            <w:r>
              <w:rPr>
                <w:rFonts w:eastAsia="Times New Roman"/>
                <w:sz w:val="16"/>
                <w:szCs w:val="16"/>
              </w:rPr>
              <w:t>(300</w:t>
            </w:r>
          </w:p>
        </w:tc>
        <w:tc>
          <w:tcPr>
            <w:tcW w:w="50" w:type="pct"/>
            <w:shd w:val="clear" w:color="auto" w:fill="CCEEFF"/>
            <w:vAlign w:val="bottom"/>
            <w:hideMark/>
          </w:tcPr>
          <w:p w14:paraId="1EE760B2"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2D75545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3293D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45E2B9E" w14:textId="77777777" w:rsidR="00000000" w:rsidRDefault="0053651E">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14:paraId="5BBC330D"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5DFF4DD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5B16D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870940"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4,357</w:t>
            </w:r>
          </w:p>
        </w:tc>
        <w:tc>
          <w:tcPr>
            <w:tcW w:w="50" w:type="pct"/>
            <w:shd w:val="clear" w:color="auto" w:fill="CCEEFF"/>
            <w:vAlign w:val="bottom"/>
            <w:hideMark/>
          </w:tcPr>
          <w:p w14:paraId="4A7A8E01"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5AA6873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9E346E"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D4E2591" w14:textId="77777777" w:rsidR="00000000" w:rsidRDefault="0053651E">
            <w:pPr>
              <w:jc w:val="right"/>
              <w:rPr>
                <w:rFonts w:eastAsia="Times New Roman"/>
                <w:sz w:val="16"/>
                <w:szCs w:val="16"/>
              </w:rPr>
            </w:pPr>
            <w:r>
              <w:rPr>
                <w:rFonts w:eastAsia="Times New Roman"/>
                <w:sz w:val="16"/>
                <w:szCs w:val="16"/>
              </w:rPr>
              <w:t>(4,360</w:t>
            </w:r>
          </w:p>
        </w:tc>
        <w:tc>
          <w:tcPr>
            <w:tcW w:w="50" w:type="pct"/>
            <w:shd w:val="clear" w:color="auto" w:fill="CCEEFF"/>
            <w:vAlign w:val="bottom"/>
            <w:hideMark/>
          </w:tcPr>
          <w:p w14:paraId="6A04220F"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3B9B995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56EDDB"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0EFD46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BB5730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0B93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28CD1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64F98E1" w14:textId="77777777" w:rsidR="00000000" w:rsidRDefault="0053651E">
            <w:pPr>
              <w:jc w:val="right"/>
              <w:rPr>
                <w:rFonts w:eastAsia="Times New Roman"/>
                <w:sz w:val="16"/>
                <w:szCs w:val="16"/>
              </w:rPr>
            </w:pPr>
            <w:r>
              <w:rPr>
                <w:rFonts w:eastAsia="Times New Roman"/>
                <w:sz w:val="16"/>
                <w:szCs w:val="16"/>
              </w:rPr>
              <w:t>(4,360</w:t>
            </w:r>
          </w:p>
        </w:tc>
        <w:tc>
          <w:tcPr>
            <w:tcW w:w="50" w:type="pct"/>
            <w:shd w:val="clear" w:color="auto" w:fill="CCEEFF"/>
            <w:vAlign w:val="bottom"/>
            <w:hideMark/>
          </w:tcPr>
          <w:p w14:paraId="16A8E72D" w14:textId="77777777" w:rsidR="00000000" w:rsidRDefault="0053651E">
            <w:pPr>
              <w:rPr>
                <w:rFonts w:eastAsia="Times New Roman"/>
                <w:sz w:val="16"/>
                <w:szCs w:val="16"/>
              </w:rPr>
            </w:pPr>
            <w:r>
              <w:rPr>
                <w:rFonts w:eastAsia="Times New Roman"/>
                <w:sz w:val="16"/>
                <w:szCs w:val="16"/>
              </w:rPr>
              <w:t>)</w:t>
            </w:r>
          </w:p>
        </w:tc>
      </w:tr>
      <w:tr w:rsidR="0053651E" w14:paraId="411F8DF3" w14:textId="77777777">
        <w:trPr>
          <w:divId w:val="1059287255"/>
          <w:tblCellSpacing w:w="0" w:type="dxa"/>
        </w:trPr>
        <w:tc>
          <w:tcPr>
            <w:tcW w:w="950" w:type="pct"/>
            <w:shd w:val="clear" w:color="auto" w:fill="FFFFFF"/>
            <w:vAlign w:val="bottom"/>
            <w:hideMark/>
          </w:tcPr>
          <w:p w14:paraId="2D3E78E4" w14:textId="77777777" w:rsidR="00000000" w:rsidRDefault="0053651E">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14:paraId="50B08B9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E7BB48"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18087F1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8FF74B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2D332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10FCA5"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6B921B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74FC9F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03EA1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373FC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296989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6680C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BD26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8610D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93FD7F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14C5DB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B3360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2C858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60A9355" w14:textId="77777777" w:rsidR="00000000" w:rsidRDefault="0053651E">
            <w:pPr>
              <w:jc w:val="right"/>
              <w:rPr>
                <w:rFonts w:eastAsia="Times New Roman"/>
                <w:sz w:val="16"/>
                <w:szCs w:val="16"/>
              </w:rPr>
            </w:pPr>
            <w:r>
              <w:rPr>
                <w:rFonts w:eastAsia="Times New Roman"/>
                <w:sz w:val="16"/>
                <w:szCs w:val="16"/>
              </w:rPr>
              <w:t>42</w:t>
            </w:r>
          </w:p>
        </w:tc>
        <w:tc>
          <w:tcPr>
            <w:tcW w:w="50" w:type="pct"/>
            <w:shd w:val="clear" w:color="auto" w:fill="FFFFFF"/>
            <w:vAlign w:val="bottom"/>
            <w:hideMark/>
          </w:tcPr>
          <w:p w14:paraId="3EC30C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B7148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9C6F3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1646754" w14:textId="77777777" w:rsidR="00000000" w:rsidRDefault="0053651E">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23DCD8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5C69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402D0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70C23A9" w14:textId="77777777" w:rsidR="00000000" w:rsidRDefault="0053651E">
            <w:pPr>
              <w:jc w:val="right"/>
              <w:rPr>
                <w:rFonts w:eastAsia="Times New Roman"/>
                <w:sz w:val="16"/>
                <w:szCs w:val="16"/>
              </w:rPr>
            </w:pPr>
            <w:r>
              <w:rPr>
                <w:rFonts w:eastAsia="Times New Roman"/>
                <w:sz w:val="16"/>
                <w:szCs w:val="16"/>
              </w:rPr>
              <w:t>591</w:t>
            </w:r>
          </w:p>
        </w:tc>
        <w:tc>
          <w:tcPr>
            <w:tcW w:w="50" w:type="pct"/>
            <w:shd w:val="clear" w:color="auto" w:fill="FFFFFF"/>
            <w:vAlign w:val="bottom"/>
            <w:hideMark/>
          </w:tcPr>
          <w:p w14:paraId="47C0D4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997F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AF8761"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AE98562" w14:textId="77777777" w:rsidR="00000000" w:rsidRDefault="0053651E">
            <w:pPr>
              <w:jc w:val="right"/>
              <w:rPr>
                <w:rFonts w:eastAsia="Times New Roman"/>
                <w:sz w:val="16"/>
                <w:szCs w:val="16"/>
              </w:rPr>
            </w:pPr>
            <w:r>
              <w:rPr>
                <w:rFonts w:eastAsia="Times New Roman"/>
                <w:sz w:val="16"/>
                <w:szCs w:val="16"/>
              </w:rPr>
              <w:t>592</w:t>
            </w:r>
          </w:p>
        </w:tc>
        <w:tc>
          <w:tcPr>
            <w:tcW w:w="50" w:type="pct"/>
            <w:shd w:val="clear" w:color="auto" w:fill="FFFFFF"/>
            <w:vAlign w:val="bottom"/>
            <w:hideMark/>
          </w:tcPr>
          <w:p w14:paraId="0BAEBEB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D762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ED710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E16DCC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E20D5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A8783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19742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9890A21" w14:textId="77777777" w:rsidR="00000000" w:rsidRDefault="0053651E">
            <w:pPr>
              <w:jc w:val="right"/>
              <w:rPr>
                <w:rFonts w:eastAsia="Times New Roman"/>
                <w:sz w:val="16"/>
                <w:szCs w:val="16"/>
              </w:rPr>
            </w:pPr>
            <w:r>
              <w:rPr>
                <w:rFonts w:eastAsia="Times New Roman"/>
                <w:sz w:val="16"/>
                <w:szCs w:val="16"/>
              </w:rPr>
              <w:t>592</w:t>
            </w:r>
          </w:p>
        </w:tc>
        <w:tc>
          <w:tcPr>
            <w:tcW w:w="50" w:type="pct"/>
            <w:shd w:val="clear" w:color="auto" w:fill="FFFFFF"/>
            <w:vAlign w:val="bottom"/>
            <w:hideMark/>
          </w:tcPr>
          <w:p w14:paraId="39565C4B" w14:textId="77777777" w:rsidR="00000000" w:rsidRDefault="0053651E">
            <w:pPr>
              <w:rPr>
                <w:rFonts w:eastAsia="Times New Roman"/>
                <w:sz w:val="16"/>
                <w:szCs w:val="16"/>
              </w:rPr>
            </w:pPr>
            <w:r>
              <w:rPr>
                <w:rFonts w:eastAsia="Times New Roman"/>
                <w:sz w:val="16"/>
                <w:szCs w:val="16"/>
              </w:rPr>
              <w:t> </w:t>
            </w:r>
          </w:p>
        </w:tc>
      </w:tr>
      <w:tr w:rsidR="0053651E" w14:paraId="1433CAF7" w14:textId="77777777">
        <w:trPr>
          <w:divId w:val="1059287255"/>
          <w:tblCellSpacing w:w="0" w:type="dxa"/>
        </w:trPr>
        <w:tc>
          <w:tcPr>
            <w:tcW w:w="950" w:type="pct"/>
            <w:shd w:val="clear" w:color="auto" w:fill="CCEEFF"/>
            <w:vAlign w:val="bottom"/>
            <w:hideMark/>
          </w:tcPr>
          <w:p w14:paraId="729581E9" w14:textId="77777777" w:rsidR="00000000" w:rsidRDefault="0053651E">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14:paraId="6CA5B14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8F6895"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37ABE9F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93C117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7696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68A901"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1A284B2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6D6FA9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5774C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26CF0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9E215B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168E2B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CDF4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2C756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3A1E87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60A9A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582B0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77857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947B22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6E8A0AB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C9B6B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737927"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9FB8B8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223D8D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4359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D0143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7A4B4E9" w14:textId="77777777" w:rsidR="00000000" w:rsidRDefault="0053651E">
            <w:pPr>
              <w:jc w:val="right"/>
              <w:rPr>
                <w:rFonts w:eastAsia="Times New Roman"/>
                <w:sz w:val="16"/>
                <w:szCs w:val="16"/>
              </w:rPr>
            </w:pPr>
            <w:r>
              <w:rPr>
                <w:rFonts w:eastAsia="Times New Roman"/>
                <w:sz w:val="16"/>
                <w:szCs w:val="16"/>
              </w:rPr>
              <w:t>16,548</w:t>
            </w:r>
          </w:p>
        </w:tc>
        <w:tc>
          <w:tcPr>
            <w:tcW w:w="50" w:type="pct"/>
            <w:shd w:val="clear" w:color="auto" w:fill="CCEEFF"/>
            <w:vAlign w:val="bottom"/>
            <w:hideMark/>
          </w:tcPr>
          <w:p w14:paraId="24BD1F3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627EC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A597CB"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ABD0CE0" w14:textId="77777777" w:rsidR="00000000" w:rsidRDefault="0053651E">
            <w:pPr>
              <w:jc w:val="right"/>
              <w:rPr>
                <w:rFonts w:eastAsia="Times New Roman"/>
                <w:sz w:val="16"/>
                <w:szCs w:val="16"/>
              </w:rPr>
            </w:pPr>
            <w:r>
              <w:rPr>
                <w:rFonts w:eastAsia="Times New Roman"/>
                <w:sz w:val="16"/>
                <w:szCs w:val="16"/>
              </w:rPr>
              <w:t>16,548</w:t>
            </w:r>
          </w:p>
        </w:tc>
        <w:tc>
          <w:tcPr>
            <w:tcW w:w="50" w:type="pct"/>
            <w:shd w:val="clear" w:color="auto" w:fill="CCEEFF"/>
            <w:vAlign w:val="bottom"/>
            <w:hideMark/>
          </w:tcPr>
          <w:p w14:paraId="71A3EE2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F5176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8FA95B"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B60C0D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9D35F4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FA4EC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AC0B8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843ADA3" w14:textId="77777777" w:rsidR="00000000" w:rsidRDefault="0053651E">
            <w:pPr>
              <w:jc w:val="right"/>
              <w:rPr>
                <w:rFonts w:eastAsia="Times New Roman"/>
                <w:sz w:val="16"/>
                <w:szCs w:val="16"/>
              </w:rPr>
            </w:pPr>
            <w:r>
              <w:rPr>
                <w:rFonts w:eastAsia="Times New Roman"/>
                <w:sz w:val="16"/>
                <w:szCs w:val="16"/>
              </w:rPr>
              <w:t>16,548</w:t>
            </w:r>
          </w:p>
        </w:tc>
        <w:tc>
          <w:tcPr>
            <w:tcW w:w="50" w:type="pct"/>
            <w:shd w:val="clear" w:color="auto" w:fill="CCEEFF"/>
            <w:vAlign w:val="bottom"/>
            <w:hideMark/>
          </w:tcPr>
          <w:p w14:paraId="77690D65" w14:textId="77777777" w:rsidR="00000000" w:rsidRDefault="0053651E">
            <w:pPr>
              <w:rPr>
                <w:rFonts w:eastAsia="Times New Roman"/>
                <w:sz w:val="16"/>
                <w:szCs w:val="16"/>
              </w:rPr>
            </w:pPr>
            <w:r>
              <w:rPr>
                <w:rFonts w:eastAsia="Times New Roman"/>
                <w:sz w:val="16"/>
                <w:szCs w:val="16"/>
              </w:rPr>
              <w:t> </w:t>
            </w:r>
          </w:p>
        </w:tc>
      </w:tr>
      <w:tr w:rsidR="0053651E" w14:paraId="69DFAB55" w14:textId="77777777">
        <w:trPr>
          <w:divId w:val="1059287255"/>
          <w:tblCellSpacing w:w="0" w:type="dxa"/>
        </w:trPr>
        <w:tc>
          <w:tcPr>
            <w:tcW w:w="950" w:type="pct"/>
            <w:shd w:val="clear" w:color="auto" w:fill="FFFFFF"/>
            <w:vAlign w:val="bottom"/>
            <w:hideMark/>
          </w:tcPr>
          <w:p w14:paraId="21FE0F2B" w14:textId="77777777" w:rsidR="00000000" w:rsidRDefault="0053651E">
            <w:pPr>
              <w:pStyle w:val="a3"/>
              <w:spacing w:before="0" w:beforeAutospacing="0" w:after="0" w:afterAutospacing="0"/>
              <w:ind w:left="180" w:hanging="180"/>
              <w:rPr>
                <w:sz w:val="16"/>
                <w:szCs w:val="16"/>
              </w:rPr>
            </w:pPr>
            <w:r>
              <w:rPr>
                <w:sz w:val="16"/>
                <w:szCs w:val="16"/>
              </w:rPr>
              <w:t>Acquisition/deconsolidation of noncontrolling interests</w:t>
            </w:r>
          </w:p>
        </w:tc>
        <w:tc>
          <w:tcPr>
            <w:tcW w:w="50" w:type="pct"/>
            <w:shd w:val="clear" w:color="auto" w:fill="FFFFFF"/>
            <w:vAlign w:val="bottom"/>
            <w:hideMark/>
          </w:tcPr>
          <w:p w14:paraId="2A98A94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A20B24"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0C92267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DDA7A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9B319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CAF9B9"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ADB160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1EA0D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2213D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6059C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C60067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AE6179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24EE6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D9BAE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AE33A0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A370FA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5FD74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D28A5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811493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A32FC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1EF00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EB697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43A4FD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C16329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9EAC6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47FEE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90B7CF9" w14:textId="77777777" w:rsidR="00000000" w:rsidRDefault="0053651E">
            <w:pPr>
              <w:jc w:val="right"/>
              <w:rPr>
                <w:rFonts w:eastAsia="Times New Roman"/>
                <w:sz w:val="16"/>
                <w:szCs w:val="16"/>
              </w:rPr>
            </w:pPr>
            <w:r>
              <w:rPr>
                <w:rFonts w:eastAsia="Times New Roman"/>
                <w:sz w:val="16"/>
                <w:szCs w:val="16"/>
              </w:rPr>
              <w:t>1,203</w:t>
            </w:r>
          </w:p>
        </w:tc>
        <w:tc>
          <w:tcPr>
            <w:tcW w:w="50" w:type="pct"/>
            <w:shd w:val="clear" w:color="auto" w:fill="FFFFFF"/>
            <w:vAlign w:val="bottom"/>
            <w:hideMark/>
          </w:tcPr>
          <w:p w14:paraId="78C6431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095D2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4805ED"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1181DA2" w14:textId="77777777" w:rsidR="00000000" w:rsidRDefault="0053651E">
            <w:pPr>
              <w:jc w:val="right"/>
              <w:rPr>
                <w:rFonts w:eastAsia="Times New Roman"/>
                <w:sz w:val="16"/>
                <w:szCs w:val="16"/>
              </w:rPr>
            </w:pPr>
            <w:r>
              <w:rPr>
                <w:rFonts w:eastAsia="Times New Roman"/>
                <w:sz w:val="16"/>
                <w:szCs w:val="16"/>
              </w:rPr>
              <w:t>1,203</w:t>
            </w:r>
          </w:p>
        </w:tc>
        <w:tc>
          <w:tcPr>
            <w:tcW w:w="50" w:type="pct"/>
            <w:shd w:val="clear" w:color="auto" w:fill="FFFFFF"/>
            <w:vAlign w:val="bottom"/>
            <w:hideMark/>
          </w:tcPr>
          <w:p w14:paraId="65357CB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FF0A9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454774"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AD2DA66" w14:textId="77777777" w:rsidR="00000000" w:rsidRDefault="0053651E">
            <w:pPr>
              <w:jc w:val="right"/>
              <w:rPr>
                <w:rFonts w:eastAsia="Times New Roman"/>
                <w:sz w:val="16"/>
                <w:szCs w:val="16"/>
              </w:rPr>
            </w:pPr>
            <w:r>
              <w:rPr>
                <w:rFonts w:eastAsia="Times New Roman"/>
                <w:sz w:val="16"/>
                <w:szCs w:val="16"/>
              </w:rPr>
              <w:t>(48,395</w:t>
            </w:r>
          </w:p>
        </w:tc>
        <w:tc>
          <w:tcPr>
            <w:tcW w:w="50" w:type="pct"/>
            <w:shd w:val="clear" w:color="auto" w:fill="FFFFFF"/>
            <w:vAlign w:val="bottom"/>
            <w:hideMark/>
          </w:tcPr>
          <w:p w14:paraId="761149CD"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10493A0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430E0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7D2DCD" w14:textId="77777777" w:rsidR="00000000" w:rsidRDefault="0053651E">
            <w:pPr>
              <w:jc w:val="right"/>
              <w:rPr>
                <w:rFonts w:eastAsia="Times New Roman"/>
                <w:sz w:val="16"/>
                <w:szCs w:val="16"/>
              </w:rPr>
            </w:pPr>
            <w:r>
              <w:rPr>
                <w:rFonts w:eastAsia="Times New Roman"/>
                <w:sz w:val="16"/>
                <w:szCs w:val="16"/>
              </w:rPr>
              <w:t>(47,192</w:t>
            </w:r>
          </w:p>
        </w:tc>
        <w:tc>
          <w:tcPr>
            <w:tcW w:w="50" w:type="pct"/>
            <w:shd w:val="clear" w:color="auto" w:fill="FFFFFF"/>
            <w:vAlign w:val="bottom"/>
            <w:hideMark/>
          </w:tcPr>
          <w:p w14:paraId="0C5311D4" w14:textId="77777777" w:rsidR="00000000" w:rsidRDefault="0053651E">
            <w:pPr>
              <w:rPr>
                <w:rFonts w:eastAsia="Times New Roman"/>
                <w:sz w:val="16"/>
                <w:szCs w:val="16"/>
              </w:rPr>
            </w:pPr>
            <w:r>
              <w:rPr>
                <w:rFonts w:eastAsia="Times New Roman"/>
                <w:sz w:val="16"/>
                <w:szCs w:val="16"/>
              </w:rPr>
              <w:t>)</w:t>
            </w:r>
          </w:p>
        </w:tc>
      </w:tr>
      <w:tr w:rsidR="0053651E" w14:paraId="53122486" w14:textId="77777777">
        <w:trPr>
          <w:divId w:val="1059287255"/>
          <w:tblCellSpacing w:w="0" w:type="dxa"/>
        </w:trPr>
        <w:tc>
          <w:tcPr>
            <w:tcW w:w="950" w:type="pct"/>
            <w:shd w:val="clear" w:color="auto" w:fill="CCEEFF"/>
            <w:vAlign w:val="bottom"/>
            <w:hideMark/>
          </w:tcPr>
          <w:p w14:paraId="44BCDA5C" w14:textId="77777777" w:rsidR="00000000" w:rsidRDefault="0053651E">
            <w:pPr>
              <w:pStyle w:val="a3"/>
              <w:spacing w:before="0" w:beforeAutospacing="0" w:after="0" w:afterAutospacing="0"/>
              <w:ind w:left="180" w:hanging="180"/>
              <w:rPr>
                <w:sz w:val="16"/>
                <w:szCs w:val="16"/>
              </w:rPr>
            </w:pPr>
            <w:r>
              <w:rPr>
                <w:sz w:val="16"/>
                <w:szCs w:val="16"/>
              </w:rPr>
              <w:t>Adjustment of redeemable noncontrolling interests to estimated fair value</w:t>
            </w:r>
          </w:p>
        </w:tc>
        <w:tc>
          <w:tcPr>
            <w:tcW w:w="50" w:type="pct"/>
            <w:shd w:val="clear" w:color="auto" w:fill="CCEEFF"/>
            <w:tcMar>
              <w:top w:w="0" w:type="dxa"/>
              <w:left w:w="0" w:type="dxa"/>
              <w:bottom w:w="15" w:type="dxa"/>
              <w:right w:w="0" w:type="dxa"/>
            </w:tcMar>
            <w:vAlign w:val="bottom"/>
            <w:hideMark/>
          </w:tcPr>
          <w:p w14:paraId="1C11C647"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0F056E0"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CCEEFF"/>
            <w:vAlign w:val="bottom"/>
            <w:hideMark/>
          </w:tcPr>
          <w:p w14:paraId="4F41BB59"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7BD156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EBFD7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767BCA2"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14:paraId="71BC7D19"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71817A6"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25026FB"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7F41F55"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B62E9E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4CB41DA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4E28EA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28831C0"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DE987B6"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3083FC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E83E6C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53A05B7"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1DF9FCA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1A5E2481"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8AB252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8BE3804"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4477D748"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48AB93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8F0B845"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5D9EC81"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74530EF7" w14:textId="77777777" w:rsidR="00000000" w:rsidRDefault="0053651E">
            <w:pPr>
              <w:jc w:val="right"/>
              <w:rPr>
                <w:rFonts w:eastAsia="Times New Roman"/>
                <w:sz w:val="16"/>
                <w:szCs w:val="16"/>
              </w:rPr>
            </w:pPr>
            <w:r>
              <w:rPr>
                <w:rFonts w:eastAsia="Times New Roman"/>
                <w:sz w:val="16"/>
                <w:szCs w:val="16"/>
              </w:rPr>
              <w:t>(7,521</w:t>
            </w:r>
          </w:p>
        </w:tc>
        <w:tc>
          <w:tcPr>
            <w:tcW w:w="50" w:type="pct"/>
            <w:tcBorders>
              <w:bottom w:val="single" w:sz="6" w:space="0" w:color="000000"/>
            </w:tcBorders>
            <w:shd w:val="clear" w:color="auto" w:fill="CCEEFF"/>
            <w:vAlign w:val="bottom"/>
            <w:hideMark/>
          </w:tcPr>
          <w:p w14:paraId="31720E78" w14:textId="77777777" w:rsidR="00000000" w:rsidRDefault="0053651E">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FA1EB6E"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1D1D300" w14:textId="77777777" w:rsidR="00000000" w:rsidRDefault="0053651E">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69985A2C" w14:textId="77777777" w:rsidR="00000000" w:rsidRDefault="0053651E">
            <w:pPr>
              <w:jc w:val="right"/>
              <w:rPr>
                <w:rFonts w:eastAsia="Times New Roman"/>
                <w:sz w:val="16"/>
                <w:szCs w:val="16"/>
              </w:rPr>
            </w:pPr>
            <w:r>
              <w:rPr>
                <w:rFonts w:eastAsia="Times New Roman"/>
                <w:sz w:val="16"/>
                <w:szCs w:val="16"/>
              </w:rPr>
              <w:t>(7,521</w:t>
            </w:r>
          </w:p>
        </w:tc>
        <w:tc>
          <w:tcPr>
            <w:tcW w:w="50" w:type="pct"/>
            <w:shd w:val="clear" w:color="auto" w:fill="CCEEFF"/>
            <w:vAlign w:val="bottom"/>
            <w:hideMark/>
          </w:tcPr>
          <w:p w14:paraId="14C84C84"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632C181A"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DA58778"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424AE14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DB072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2843D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4BEC7FF"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560B7360" w14:textId="77777777" w:rsidR="00000000" w:rsidRDefault="0053651E">
            <w:pPr>
              <w:jc w:val="right"/>
              <w:rPr>
                <w:rFonts w:eastAsia="Times New Roman"/>
                <w:sz w:val="16"/>
                <w:szCs w:val="16"/>
              </w:rPr>
            </w:pPr>
            <w:r>
              <w:rPr>
                <w:rFonts w:eastAsia="Times New Roman"/>
                <w:sz w:val="16"/>
                <w:szCs w:val="16"/>
              </w:rPr>
              <w:t>(7,521</w:t>
            </w:r>
          </w:p>
        </w:tc>
        <w:tc>
          <w:tcPr>
            <w:tcW w:w="50" w:type="pct"/>
            <w:shd w:val="clear" w:color="auto" w:fill="CCEEFF"/>
            <w:tcMar>
              <w:top w:w="0" w:type="dxa"/>
              <w:left w:w="0" w:type="dxa"/>
              <w:bottom w:w="15" w:type="dxa"/>
              <w:right w:w="0" w:type="dxa"/>
            </w:tcMar>
            <w:vAlign w:val="bottom"/>
            <w:hideMark/>
          </w:tcPr>
          <w:p w14:paraId="10561FE4" w14:textId="77777777" w:rsidR="00000000" w:rsidRDefault="0053651E">
            <w:pPr>
              <w:rPr>
                <w:rFonts w:eastAsia="Times New Roman"/>
                <w:sz w:val="16"/>
                <w:szCs w:val="16"/>
              </w:rPr>
            </w:pPr>
            <w:r>
              <w:rPr>
                <w:rFonts w:eastAsia="Times New Roman"/>
                <w:sz w:val="16"/>
                <w:szCs w:val="16"/>
              </w:rPr>
              <w:t>)</w:t>
            </w:r>
          </w:p>
        </w:tc>
      </w:tr>
      <w:tr w:rsidR="0053651E" w14:paraId="21C80A83" w14:textId="77777777">
        <w:trPr>
          <w:divId w:val="1059287255"/>
          <w:tblCellSpacing w:w="0" w:type="dxa"/>
        </w:trPr>
        <w:tc>
          <w:tcPr>
            <w:tcW w:w="950" w:type="pct"/>
            <w:shd w:val="clear" w:color="auto" w:fill="FFFFFF"/>
            <w:vAlign w:val="bottom"/>
            <w:hideMark/>
          </w:tcPr>
          <w:p w14:paraId="7A101972" w14:textId="77777777" w:rsidR="00000000" w:rsidRDefault="0053651E">
            <w:pPr>
              <w:pStyle w:val="a3"/>
              <w:spacing w:before="0" w:beforeAutospacing="0" w:after="0" w:afterAutospacing="0"/>
              <w:ind w:left="180" w:hanging="180"/>
              <w:rPr>
                <w:sz w:val="16"/>
                <w:szCs w:val="16"/>
              </w:rPr>
            </w:pPr>
            <w:r>
              <w:rPr>
                <w:sz w:val="16"/>
                <w:szCs w:val="16"/>
              </w:rPr>
              <w:t>Balance, December 31, 2018</w:t>
            </w:r>
          </w:p>
        </w:tc>
        <w:tc>
          <w:tcPr>
            <w:tcW w:w="50" w:type="pct"/>
            <w:tcBorders>
              <w:bottom w:val="nil"/>
            </w:tcBorders>
            <w:shd w:val="clear" w:color="auto" w:fill="FFFFFF"/>
            <w:vAlign w:val="bottom"/>
            <w:hideMark/>
          </w:tcPr>
          <w:p w14:paraId="56AD126A"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8A84AD8" w14:textId="77777777" w:rsidR="00000000" w:rsidRDefault="0053651E">
            <w:pPr>
              <w:rPr>
                <w:rFonts w:eastAsia="Times New Roman"/>
                <w:sz w:val="16"/>
                <w:szCs w:val="16"/>
              </w:rPr>
            </w:pPr>
            <w:r>
              <w:rPr>
                <w:rFonts w:eastAsia="Times New Roman"/>
                <w:sz w:val="16"/>
                <w:szCs w:val="16"/>
              </w:rPr>
              <w:t> </w:t>
            </w:r>
          </w:p>
        </w:tc>
        <w:tc>
          <w:tcPr>
            <w:tcW w:w="450" w:type="pct"/>
            <w:tcBorders>
              <w:bottom w:val="nil"/>
            </w:tcBorders>
            <w:shd w:val="clear" w:color="auto" w:fill="FFFFFF"/>
            <w:vAlign w:val="bottom"/>
            <w:hideMark/>
          </w:tcPr>
          <w:p w14:paraId="7B4C0E3E" w14:textId="77777777" w:rsidR="00000000" w:rsidRDefault="0053651E">
            <w:pPr>
              <w:jc w:val="right"/>
              <w:rPr>
                <w:rFonts w:eastAsia="Times New Roman"/>
                <w:sz w:val="16"/>
                <w:szCs w:val="16"/>
              </w:rPr>
            </w:pPr>
            <w:r>
              <w:rPr>
                <w:rFonts w:eastAsia="Times New Roman"/>
                <w:sz w:val="16"/>
                <w:szCs w:val="16"/>
              </w:rPr>
              <w:t>(787,707</w:t>
            </w:r>
          </w:p>
        </w:tc>
        <w:tc>
          <w:tcPr>
            <w:tcW w:w="50" w:type="pct"/>
            <w:tcBorders>
              <w:bottom w:val="nil"/>
            </w:tcBorders>
            <w:shd w:val="clear" w:color="auto" w:fill="FFFFFF"/>
            <w:vAlign w:val="bottom"/>
            <w:hideMark/>
          </w:tcPr>
          <w:p w14:paraId="2FCB4F32" w14:textId="77777777" w:rsidR="00000000" w:rsidRDefault="0053651E">
            <w:pPr>
              <w:rPr>
                <w:rFonts w:eastAsia="Times New Roman"/>
                <w:sz w:val="16"/>
                <w:szCs w:val="16"/>
              </w:rPr>
            </w:pPr>
            <w:r>
              <w:rPr>
                <w:rFonts w:eastAsia="Times New Roman"/>
                <w:sz w:val="16"/>
                <w:szCs w:val="16"/>
              </w:rPr>
              <w:t>)</w:t>
            </w:r>
          </w:p>
        </w:tc>
        <w:tc>
          <w:tcPr>
            <w:tcW w:w="50" w:type="pct"/>
            <w:tcBorders>
              <w:bottom w:val="nil"/>
            </w:tcBorders>
            <w:shd w:val="clear" w:color="auto" w:fill="FFFFFF"/>
            <w:vAlign w:val="bottom"/>
            <w:hideMark/>
          </w:tcPr>
          <w:p w14:paraId="25A9EF9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0358E65F" w14:textId="77777777" w:rsidR="00000000" w:rsidRDefault="0053651E">
            <w:pPr>
              <w:rPr>
                <w:rFonts w:eastAsia="Times New Roman"/>
                <w:sz w:val="16"/>
                <w:szCs w:val="16"/>
              </w:rPr>
            </w:pPr>
            <w:r>
              <w:rPr>
                <w:rFonts w:eastAsia="Times New Roman"/>
                <w:sz w:val="16"/>
                <w:szCs w:val="16"/>
              </w:rPr>
              <w:t> </w:t>
            </w:r>
          </w:p>
        </w:tc>
        <w:tc>
          <w:tcPr>
            <w:tcW w:w="350" w:type="pct"/>
            <w:tcBorders>
              <w:bottom w:val="nil"/>
            </w:tcBorders>
            <w:shd w:val="clear" w:color="auto" w:fill="FFFFFF"/>
            <w:vAlign w:val="bottom"/>
            <w:hideMark/>
          </w:tcPr>
          <w:p w14:paraId="048A89AE"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nil"/>
            </w:tcBorders>
            <w:shd w:val="clear" w:color="auto" w:fill="FFFFFF"/>
            <w:vAlign w:val="bottom"/>
            <w:hideMark/>
          </w:tcPr>
          <w:p w14:paraId="51D09068"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940C876"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5557392C"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0E3932D1" w14:textId="77777777" w:rsidR="00000000" w:rsidRDefault="0053651E">
            <w:pPr>
              <w:jc w:val="right"/>
              <w:rPr>
                <w:rFonts w:eastAsia="Times New Roman"/>
                <w:sz w:val="16"/>
                <w:szCs w:val="16"/>
              </w:rPr>
            </w:pPr>
            <w:r>
              <w:rPr>
                <w:rFonts w:eastAsia="Times New Roman"/>
                <w:sz w:val="16"/>
                <w:szCs w:val="16"/>
              </w:rPr>
              <w:t>43</w:t>
            </w:r>
          </w:p>
        </w:tc>
        <w:tc>
          <w:tcPr>
            <w:tcW w:w="50" w:type="pct"/>
            <w:tcBorders>
              <w:bottom w:val="nil"/>
            </w:tcBorders>
            <w:shd w:val="clear" w:color="auto" w:fill="FFFFFF"/>
            <w:vAlign w:val="bottom"/>
            <w:hideMark/>
          </w:tcPr>
          <w:p w14:paraId="435F29A2"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34CCFE0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373AF62A"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6C0280FF" w14:textId="77777777" w:rsidR="00000000" w:rsidRDefault="0053651E">
            <w:pPr>
              <w:jc w:val="right"/>
              <w:rPr>
                <w:rFonts w:eastAsia="Times New Roman"/>
                <w:sz w:val="16"/>
                <w:szCs w:val="16"/>
              </w:rPr>
            </w:pPr>
            <w:r>
              <w:rPr>
                <w:rFonts w:eastAsia="Times New Roman"/>
                <w:sz w:val="16"/>
                <w:szCs w:val="16"/>
              </w:rPr>
              <w:t>43</w:t>
            </w:r>
          </w:p>
        </w:tc>
        <w:tc>
          <w:tcPr>
            <w:tcW w:w="50" w:type="pct"/>
            <w:tcBorders>
              <w:bottom w:val="nil"/>
            </w:tcBorders>
            <w:shd w:val="clear" w:color="auto" w:fill="FFFFFF"/>
            <w:vAlign w:val="bottom"/>
            <w:hideMark/>
          </w:tcPr>
          <w:p w14:paraId="371BAB60"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3B8A5BB7"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5ED4D27"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3BB5AA8F" w14:textId="77777777" w:rsidR="00000000" w:rsidRDefault="0053651E">
            <w:pPr>
              <w:jc w:val="right"/>
              <w:rPr>
                <w:rFonts w:eastAsia="Times New Roman"/>
                <w:sz w:val="16"/>
                <w:szCs w:val="16"/>
              </w:rPr>
            </w:pPr>
            <w:r>
              <w:rPr>
                <w:rFonts w:eastAsia="Times New Roman"/>
                <w:sz w:val="16"/>
                <w:szCs w:val="16"/>
              </w:rPr>
              <w:t>421,389</w:t>
            </w:r>
          </w:p>
        </w:tc>
        <w:tc>
          <w:tcPr>
            <w:tcW w:w="50" w:type="pct"/>
            <w:tcBorders>
              <w:bottom w:val="nil"/>
            </w:tcBorders>
            <w:shd w:val="clear" w:color="auto" w:fill="FFFFFF"/>
            <w:vAlign w:val="bottom"/>
            <w:hideMark/>
          </w:tcPr>
          <w:p w14:paraId="435CFE2D"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18FD019"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52F416C"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60EDAD1D" w14:textId="77777777" w:rsidR="00000000" w:rsidRDefault="0053651E">
            <w:pPr>
              <w:jc w:val="right"/>
              <w:rPr>
                <w:rFonts w:eastAsia="Times New Roman"/>
                <w:sz w:val="16"/>
                <w:szCs w:val="16"/>
              </w:rPr>
            </w:pPr>
            <w:r>
              <w:rPr>
                <w:rFonts w:eastAsia="Times New Roman"/>
                <w:sz w:val="16"/>
                <w:szCs w:val="16"/>
              </w:rPr>
              <w:t>4,214</w:t>
            </w:r>
          </w:p>
        </w:tc>
        <w:tc>
          <w:tcPr>
            <w:tcW w:w="50" w:type="pct"/>
            <w:tcBorders>
              <w:bottom w:val="nil"/>
            </w:tcBorders>
            <w:shd w:val="clear" w:color="auto" w:fill="FFFFFF"/>
            <w:vAlign w:val="bottom"/>
            <w:hideMark/>
          </w:tcPr>
          <w:p w14:paraId="19172C6C"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290FDA84"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03EC508" w14:textId="77777777" w:rsidR="00000000" w:rsidRDefault="0053651E">
            <w:pPr>
              <w:rPr>
                <w:rFonts w:eastAsia="Times New Roman"/>
                <w:sz w:val="16"/>
                <w:szCs w:val="16"/>
              </w:rPr>
            </w:pPr>
            <w:r>
              <w:rPr>
                <w:rFonts w:eastAsia="Times New Roman"/>
                <w:sz w:val="16"/>
                <w:szCs w:val="16"/>
              </w:rPr>
              <w:t>$</w:t>
            </w:r>
          </w:p>
        </w:tc>
        <w:tc>
          <w:tcPr>
            <w:tcW w:w="200" w:type="pct"/>
            <w:tcBorders>
              <w:bottom w:val="nil"/>
            </w:tcBorders>
            <w:shd w:val="clear" w:color="auto" w:fill="FFFFFF"/>
            <w:vAlign w:val="bottom"/>
            <w:hideMark/>
          </w:tcPr>
          <w:p w14:paraId="63199DE5" w14:textId="77777777" w:rsidR="00000000" w:rsidRDefault="0053651E">
            <w:pPr>
              <w:jc w:val="right"/>
              <w:rPr>
                <w:rFonts w:eastAsia="Times New Roman"/>
                <w:sz w:val="16"/>
                <w:szCs w:val="16"/>
              </w:rPr>
            </w:pPr>
            <w:r>
              <w:rPr>
                <w:rFonts w:eastAsia="Times New Roman"/>
                <w:sz w:val="16"/>
                <w:szCs w:val="16"/>
              </w:rPr>
              <w:t>6,117,254</w:t>
            </w:r>
          </w:p>
        </w:tc>
        <w:tc>
          <w:tcPr>
            <w:tcW w:w="50" w:type="pct"/>
            <w:tcBorders>
              <w:bottom w:val="nil"/>
            </w:tcBorders>
            <w:shd w:val="clear" w:color="auto" w:fill="FFFFFF"/>
            <w:vAlign w:val="bottom"/>
            <w:hideMark/>
          </w:tcPr>
          <w:p w14:paraId="68CB39CC"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57753E9E"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7F028BC" w14:textId="77777777" w:rsidR="00000000" w:rsidRDefault="0053651E">
            <w:pPr>
              <w:rPr>
                <w:rFonts w:eastAsia="Times New Roman"/>
                <w:sz w:val="16"/>
                <w:szCs w:val="16"/>
              </w:rPr>
            </w:pPr>
            <w:r>
              <w:rPr>
                <w:rFonts w:eastAsia="Times New Roman"/>
                <w:sz w:val="16"/>
                <w:szCs w:val="16"/>
              </w:rPr>
              <w:t> </w:t>
            </w:r>
          </w:p>
        </w:tc>
        <w:tc>
          <w:tcPr>
            <w:tcW w:w="250" w:type="pct"/>
            <w:tcBorders>
              <w:bottom w:val="nil"/>
            </w:tcBorders>
            <w:shd w:val="clear" w:color="auto" w:fill="FFFFFF"/>
            <w:vAlign w:val="bottom"/>
            <w:hideMark/>
          </w:tcPr>
          <w:p w14:paraId="63579F5E" w14:textId="77777777" w:rsidR="00000000" w:rsidRDefault="0053651E">
            <w:pPr>
              <w:jc w:val="right"/>
              <w:rPr>
                <w:rFonts w:eastAsia="Times New Roman"/>
                <w:sz w:val="16"/>
                <w:szCs w:val="16"/>
              </w:rPr>
            </w:pPr>
            <w:r>
              <w:rPr>
                <w:rFonts w:eastAsia="Times New Roman"/>
                <w:sz w:val="16"/>
                <w:szCs w:val="16"/>
              </w:rPr>
              <w:t>5,333,804</w:t>
            </w:r>
          </w:p>
        </w:tc>
        <w:tc>
          <w:tcPr>
            <w:tcW w:w="50" w:type="pct"/>
            <w:tcBorders>
              <w:bottom w:val="nil"/>
            </w:tcBorders>
            <w:shd w:val="clear" w:color="auto" w:fill="FFFFFF"/>
            <w:vAlign w:val="bottom"/>
            <w:hideMark/>
          </w:tcPr>
          <w:p w14:paraId="3389C8A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47E32035"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6F5768EB" w14:textId="77777777" w:rsidR="00000000" w:rsidRDefault="0053651E">
            <w:pPr>
              <w:rPr>
                <w:rFonts w:eastAsia="Times New Roman"/>
                <w:sz w:val="16"/>
                <w:szCs w:val="16"/>
              </w:rPr>
            </w:pPr>
            <w:r>
              <w:rPr>
                <w:rFonts w:eastAsia="Times New Roman"/>
                <w:sz w:val="16"/>
                <w:szCs w:val="16"/>
              </w:rPr>
              <w:t> </w:t>
            </w:r>
          </w:p>
        </w:tc>
        <w:tc>
          <w:tcPr>
            <w:tcW w:w="300" w:type="pct"/>
            <w:tcBorders>
              <w:bottom w:val="nil"/>
            </w:tcBorders>
            <w:shd w:val="clear" w:color="auto" w:fill="FFFFFF"/>
            <w:vAlign w:val="bottom"/>
            <w:hideMark/>
          </w:tcPr>
          <w:p w14:paraId="0760ED25" w14:textId="77777777" w:rsidR="00000000" w:rsidRDefault="0053651E">
            <w:pPr>
              <w:jc w:val="right"/>
              <w:rPr>
                <w:rFonts w:eastAsia="Times New Roman"/>
                <w:sz w:val="16"/>
                <w:szCs w:val="16"/>
              </w:rPr>
            </w:pPr>
            <w:r>
              <w:rPr>
                <w:rFonts w:eastAsia="Times New Roman"/>
                <w:sz w:val="16"/>
                <w:szCs w:val="16"/>
              </w:rPr>
              <w:t>77,249</w:t>
            </w:r>
          </w:p>
        </w:tc>
        <w:tc>
          <w:tcPr>
            <w:tcW w:w="50" w:type="pct"/>
            <w:tcBorders>
              <w:bottom w:val="nil"/>
            </w:tcBorders>
            <w:shd w:val="clear" w:color="auto" w:fill="FFFFFF"/>
            <w:vAlign w:val="bottom"/>
            <w:hideMark/>
          </w:tcPr>
          <w:p w14:paraId="2C765BF7"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53B2DD0F" w14:textId="77777777" w:rsidR="00000000" w:rsidRDefault="0053651E">
            <w:pPr>
              <w:rPr>
                <w:rFonts w:eastAsia="Times New Roman"/>
                <w:sz w:val="16"/>
                <w:szCs w:val="16"/>
              </w:rPr>
            </w:pPr>
            <w:r>
              <w:rPr>
                <w:rFonts w:eastAsia="Times New Roman"/>
                <w:sz w:val="16"/>
                <w:szCs w:val="16"/>
              </w:rPr>
              <w:t> </w:t>
            </w:r>
          </w:p>
        </w:tc>
        <w:tc>
          <w:tcPr>
            <w:tcW w:w="50" w:type="pct"/>
            <w:tcBorders>
              <w:bottom w:val="nil"/>
            </w:tcBorders>
            <w:shd w:val="clear" w:color="auto" w:fill="FFFFFF"/>
            <w:vAlign w:val="bottom"/>
            <w:hideMark/>
          </w:tcPr>
          <w:p w14:paraId="0FD7697C" w14:textId="77777777" w:rsidR="00000000" w:rsidRDefault="0053651E">
            <w:pPr>
              <w:rPr>
                <w:rFonts w:eastAsia="Times New Roman"/>
                <w:sz w:val="16"/>
                <w:szCs w:val="16"/>
              </w:rPr>
            </w:pPr>
            <w:r>
              <w:rPr>
                <w:rFonts w:eastAsia="Times New Roman"/>
                <w:sz w:val="16"/>
                <w:szCs w:val="16"/>
              </w:rPr>
              <w:t> </w:t>
            </w:r>
          </w:p>
        </w:tc>
        <w:tc>
          <w:tcPr>
            <w:tcW w:w="200" w:type="pct"/>
            <w:tcBorders>
              <w:bottom w:val="nil"/>
            </w:tcBorders>
            <w:shd w:val="clear" w:color="auto" w:fill="FFFFFF"/>
            <w:vAlign w:val="bottom"/>
            <w:hideMark/>
          </w:tcPr>
          <w:p w14:paraId="55F67623" w14:textId="77777777" w:rsidR="00000000" w:rsidRDefault="0053651E">
            <w:pPr>
              <w:jc w:val="right"/>
              <w:rPr>
                <w:rFonts w:eastAsia="Times New Roman"/>
                <w:sz w:val="16"/>
                <w:szCs w:val="16"/>
              </w:rPr>
            </w:pPr>
            <w:r>
              <w:rPr>
                <w:rFonts w:eastAsia="Times New Roman"/>
                <w:sz w:val="16"/>
                <w:szCs w:val="16"/>
              </w:rPr>
              <w:t>5,411,053</w:t>
            </w:r>
          </w:p>
        </w:tc>
        <w:tc>
          <w:tcPr>
            <w:tcW w:w="50" w:type="pct"/>
            <w:tcBorders>
              <w:bottom w:val="nil"/>
            </w:tcBorders>
            <w:shd w:val="clear" w:color="auto" w:fill="FFFFFF"/>
            <w:vAlign w:val="bottom"/>
            <w:hideMark/>
          </w:tcPr>
          <w:p w14:paraId="6B1F107A" w14:textId="77777777" w:rsidR="00000000" w:rsidRDefault="0053651E">
            <w:pPr>
              <w:rPr>
                <w:rFonts w:eastAsia="Times New Roman"/>
                <w:sz w:val="16"/>
                <w:szCs w:val="16"/>
              </w:rPr>
            </w:pPr>
            <w:r>
              <w:rPr>
                <w:rFonts w:eastAsia="Times New Roman"/>
                <w:sz w:val="16"/>
                <w:szCs w:val="16"/>
              </w:rPr>
              <w:t> </w:t>
            </w:r>
          </w:p>
        </w:tc>
      </w:tr>
      <w:tr w:rsidR="0053651E" w14:paraId="310D2AE9" w14:textId="77777777">
        <w:trPr>
          <w:divId w:val="1059287255"/>
          <w:tblCellSpacing w:w="0" w:type="dxa"/>
        </w:trPr>
        <w:tc>
          <w:tcPr>
            <w:tcW w:w="950" w:type="pct"/>
            <w:shd w:val="clear" w:color="auto" w:fill="CCEEFF"/>
            <w:vAlign w:val="bottom"/>
            <w:hideMark/>
          </w:tcPr>
          <w:p w14:paraId="1248168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95628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F1D04C"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2D0EC2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01116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065A5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C489FB"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7CEE3BD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7BC41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1F47C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12775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F780A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4568B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D0448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E19A0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9DFC8C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255A6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09C88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5EDC3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D3285B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409A9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7870C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8B197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D5C091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D6DA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97C3E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4255E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BE707A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1CEE4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EEE40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ADC0A5"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CC4627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0257F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F60FA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C245F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703E51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783F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1E83C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B2AFA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20885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032E1F" w14:textId="77777777" w:rsidR="00000000" w:rsidRDefault="0053651E">
            <w:pPr>
              <w:rPr>
                <w:rFonts w:eastAsia="Times New Roman"/>
                <w:sz w:val="16"/>
                <w:szCs w:val="16"/>
              </w:rPr>
            </w:pPr>
            <w:r>
              <w:rPr>
                <w:rFonts w:eastAsia="Times New Roman"/>
                <w:sz w:val="16"/>
                <w:szCs w:val="16"/>
              </w:rPr>
              <w:t> </w:t>
            </w:r>
          </w:p>
        </w:tc>
      </w:tr>
      <w:tr w:rsidR="0053651E" w14:paraId="23F171E4" w14:textId="77777777">
        <w:trPr>
          <w:divId w:val="1059287255"/>
          <w:tblCellSpacing w:w="0" w:type="dxa"/>
        </w:trPr>
        <w:tc>
          <w:tcPr>
            <w:tcW w:w="950" w:type="pct"/>
            <w:shd w:val="clear" w:color="auto" w:fill="FFFFFF"/>
            <w:vAlign w:val="bottom"/>
            <w:hideMark/>
          </w:tcPr>
          <w:p w14:paraId="613409B4" w14:textId="77777777" w:rsidR="00000000" w:rsidRDefault="0053651E">
            <w:pPr>
              <w:pStyle w:val="a3"/>
              <w:spacing w:before="0" w:beforeAutospacing="0" w:after="0" w:afterAutospacing="0"/>
              <w:ind w:left="180" w:hanging="180"/>
              <w:rPr>
                <w:sz w:val="16"/>
                <w:szCs w:val="16"/>
              </w:rPr>
            </w:pPr>
            <w:r>
              <w:rPr>
                <w:sz w:val="16"/>
                <w:szCs w:val="16"/>
              </w:rPr>
              <w:t>Net Income attributable to the Company</w:t>
            </w:r>
          </w:p>
        </w:tc>
        <w:tc>
          <w:tcPr>
            <w:tcW w:w="50" w:type="pct"/>
            <w:shd w:val="clear" w:color="auto" w:fill="FFFFFF"/>
            <w:vAlign w:val="bottom"/>
            <w:hideMark/>
          </w:tcPr>
          <w:p w14:paraId="24652F2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CEF988"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1747B4BE" w14:textId="77777777" w:rsidR="00000000" w:rsidRDefault="0053651E">
            <w:pPr>
              <w:jc w:val="right"/>
              <w:rPr>
                <w:rFonts w:eastAsia="Times New Roman"/>
                <w:sz w:val="16"/>
                <w:szCs w:val="16"/>
              </w:rPr>
            </w:pPr>
            <w:r>
              <w:rPr>
                <w:rFonts w:eastAsia="Times New Roman"/>
                <w:sz w:val="16"/>
                <w:szCs w:val="16"/>
              </w:rPr>
              <w:t>410,605</w:t>
            </w:r>
          </w:p>
        </w:tc>
        <w:tc>
          <w:tcPr>
            <w:tcW w:w="50" w:type="pct"/>
            <w:shd w:val="clear" w:color="auto" w:fill="FFFFFF"/>
            <w:vAlign w:val="bottom"/>
            <w:hideMark/>
          </w:tcPr>
          <w:p w14:paraId="34EDAAC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BE42C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14B0FF"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6D7054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1F211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9E77A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619AF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B829FE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D3DB7F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C73E0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A4187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B4C743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F131EA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8C8B4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C7A75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6C77B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B38CA7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BD341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843AE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8D4CD5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6D6747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40099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BC134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D3CAAE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B75B33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69278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1DA108"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9B7A504" w14:textId="77777777" w:rsidR="00000000" w:rsidRDefault="0053651E">
            <w:pPr>
              <w:jc w:val="right"/>
              <w:rPr>
                <w:rFonts w:eastAsia="Times New Roman"/>
                <w:sz w:val="16"/>
                <w:szCs w:val="16"/>
              </w:rPr>
            </w:pPr>
            <w:r>
              <w:rPr>
                <w:rFonts w:eastAsia="Times New Roman"/>
                <w:sz w:val="16"/>
                <w:szCs w:val="16"/>
              </w:rPr>
              <w:t>410,605</w:t>
            </w:r>
          </w:p>
        </w:tc>
        <w:tc>
          <w:tcPr>
            <w:tcW w:w="50" w:type="pct"/>
            <w:shd w:val="clear" w:color="auto" w:fill="FFFFFF"/>
            <w:vAlign w:val="bottom"/>
            <w:hideMark/>
          </w:tcPr>
          <w:p w14:paraId="4542870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4426E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959807"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6F62726" w14:textId="77777777" w:rsidR="00000000" w:rsidRDefault="0053651E">
            <w:pPr>
              <w:jc w:val="right"/>
              <w:rPr>
                <w:rFonts w:eastAsia="Times New Roman"/>
                <w:sz w:val="16"/>
                <w:szCs w:val="16"/>
              </w:rPr>
            </w:pPr>
            <w:r>
              <w:rPr>
                <w:rFonts w:eastAsia="Times New Roman"/>
                <w:sz w:val="16"/>
                <w:szCs w:val="16"/>
              </w:rPr>
              <w:t>2,956</w:t>
            </w:r>
          </w:p>
        </w:tc>
        <w:tc>
          <w:tcPr>
            <w:tcW w:w="50" w:type="pct"/>
            <w:shd w:val="clear" w:color="auto" w:fill="FFFFFF"/>
            <w:vAlign w:val="bottom"/>
            <w:hideMark/>
          </w:tcPr>
          <w:p w14:paraId="1C48B8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CD270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5F0B3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3EF8E1" w14:textId="77777777" w:rsidR="00000000" w:rsidRDefault="0053651E">
            <w:pPr>
              <w:jc w:val="right"/>
              <w:rPr>
                <w:rFonts w:eastAsia="Times New Roman"/>
                <w:sz w:val="16"/>
                <w:szCs w:val="16"/>
              </w:rPr>
            </w:pPr>
            <w:r>
              <w:rPr>
                <w:rFonts w:eastAsia="Times New Roman"/>
                <w:sz w:val="16"/>
                <w:szCs w:val="16"/>
              </w:rPr>
              <w:t>413,561</w:t>
            </w:r>
          </w:p>
        </w:tc>
        <w:tc>
          <w:tcPr>
            <w:tcW w:w="50" w:type="pct"/>
            <w:shd w:val="clear" w:color="auto" w:fill="FFFFFF"/>
            <w:vAlign w:val="bottom"/>
            <w:hideMark/>
          </w:tcPr>
          <w:p w14:paraId="1CDEA1CA" w14:textId="77777777" w:rsidR="00000000" w:rsidRDefault="0053651E">
            <w:pPr>
              <w:rPr>
                <w:rFonts w:eastAsia="Times New Roman"/>
                <w:sz w:val="16"/>
                <w:szCs w:val="16"/>
              </w:rPr>
            </w:pPr>
            <w:r>
              <w:rPr>
                <w:rFonts w:eastAsia="Times New Roman"/>
                <w:sz w:val="16"/>
                <w:szCs w:val="16"/>
              </w:rPr>
              <w:t> </w:t>
            </w:r>
          </w:p>
        </w:tc>
      </w:tr>
      <w:tr w:rsidR="0053651E" w14:paraId="414CC2D7" w14:textId="77777777">
        <w:trPr>
          <w:divId w:val="1059287255"/>
          <w:tblCellSpacing w:w="0" w:type="dxa"/>
        </w:trPr>
        <w:tc>
          <w:tcPr>
            <w:tcW w:w="950" w:type="pct"/>
            <w:shd w:val="clear" w:color="auto" w:fill="CCEEFF"/>
            <w:vAlign w:val="bottom"/>
            <w:hideMark/>
          </w:tcPr>
          <w:p w14:paraId="00AAF174" w14:textId="77777777" w:rsidR="00000000" w:rsidRDefault="0053651E">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38FD966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7FCE26"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0914803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28793E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42ABA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C14897"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500AB7E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63DD3B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F0C3B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90227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386D57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6B7425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77F76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5B7D1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8DBB90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056D05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8337F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0654C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3EEEE3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034CB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7C71C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2609D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F53F3B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2BA7EE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A2B38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CD9BC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5DD1BE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E84FA4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829C4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B26739"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E2ED33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569D93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BE226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3C036C"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65C0CE4" w14:textId="77777777" w:rsidR="00000000" w:rsidRDefault="0053651E">
            <w:pPr>
              <w:jc w:val="right"/>
              <w:rPr>
                <w:rFonts w:eastAsia="Times New Roman"/>
                <w:sz w:val="16"/>
                <w:szCs w:val="16"/>
              </w:rPr>
            </w:pPr>
            <w:r>
              <w:rPr>
                <w:rFonts w:eastAsia="Times New Roman"/>
                <w:sz w:val="16"/>
                <w:szCs w:val="16"/>
              </w:rPr>
              <w:t>(358</w:t>
            </w:r>
          </w:p>
        </w:tc>
        <w:tc>
          <w:tcPr>
            <w:tcW w:w="50" w:type="pct"/>
            <w:shd w:val="clear" w:color="auto" w:fill="CCEEFF"/>
            <w:vAlign w:val="bottom"/>
            <w:hideMark/>
          </w:tcPr>
          <w:p w14:paraId="74676BAE"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3E9ADEC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61802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57DA49D" w14:textId="77777777" w:rsidR="00000000" w:rsidRDefault="0053651E">
            <w:pPr>
              <w:jc w:val="right"/>
              <w:rPr>
                <w:rFonts w:eastAsia="Times New Roman"/>
                <w:sz w:val="16"/>
                <w:szCs w:val="16"/>
              </w:rPr>
            </w:pPr>
            <w:r>
              <w:rPr>
                <w:rFonts w:eastAsia="Times New Roman"/>
                <w:sz w:val="16"/>
                <w:szCs w:val="16"/>
              </w:rPr>
              <w:t>(358</w:t>
            </w:r>
          </w:p>
        </w:tc>
        <w:tc>
          <w:tcPr>
            <w:tcW w:w="50" w:type="pct"/>
            <w:shd w:val="clear" w:color="auto" w:fill="CCEEFF"/>
            <w:vAlign w:val="bottom"/>
            <w:hideMark/>
          </w:tcPr>
          <w:p w14:paraId="70211C6F" w14:textId="77777777" w:rsidR="00000000" w:rsidRDefault="0053651E">
            <w:pPr>
              <w:rPr>
                <w:rFonts w:eastAsia="Times New Roman"/>
                <w:sz w:val="16"/>
                <w:szCs w:val="16"/>
              </w:rPr>
            </w:pPr>
            <w:r>
              <w:rPr>
                <w:rFonts w:eastAsia="Times New Roman"/>
                <w:sz w:val="16"/>
                <w:szCs w:val="16"/>
              </w:rPr>
              <w:t>)</w:t>
            </w:r>
          </w:p>
        </w:tc>
      </w:tr>
      <w:tr w:rsidR="0053651E" w14:paraId="4BBD5E74" w14:textId="77777777">
        <w:trPr>
          <w:divId w:val="1059287255"/>
          <w:tblCellSpacing w:w="0" w:type="dxa"/>
        </w:trPr>
        <w:tc>
          <w:tcPr>
            <w:tcW w:w="950" w:type="pct"/>
            <w:shd w:val="clear" w:color="auto" w:fill="FFFFFF"/>
            <w:vAlign w:val="bottom"/>
            <w:hideMark/>
          </w:tcPr>
          <w:p w14:paraId="38DB76F7" w14:textId="77777777" w:rsidR="00000000" w:rsidRDefault="0053651E">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566FB8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114680"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0CCA4E8E" w14:textId="77777777" w:rsidR="00000000" w:rsidRDefault="0053651E">
            <w:pPr>
              <w:jc w:val="right"/>
              <w:rPr>
                <w:rFonts w:eastAsia="Times New Roman"/>
                <w:sz w:val="16"/>
                <w:szCs w:val="16"/>
              </w:rPr>
            </w:pPr>
            <w:r>
              <w:rPr>
                <w:rFonts w:eastAsia="Times New Roman"/>
                <w:sz w:val="16"/>
                <w:szCs w:val="16"/>
              </w:rPr>
              <w:t>(527,577</w:t>
            </w:r>
          </w:p>
        </w:tc>
        <w:tc>
          <w:tcPr>
            <w:tcW w:w="50" w:type="pct"/>
            <w:shd w:val="clear" w:color="auto" w:fill="FFFFFF"/>
            <w:vAlign w:val="bottom"/>
            <w:hideMark/>
          </w:tcPr>
          <w:p w14:paraId="48345DF3"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1C050E3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0027A2"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65FD33C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DB8A03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E7B4B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0D0D6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1C6F29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7854849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6F352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56D7B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49F147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5E1433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DD80D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A44703"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4543E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E4B2B5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CB9A4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EB5E0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D84101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E69DD0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5148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64E84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D30BDA4"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1E83D7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8A752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BDA6EC"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5B97D54" w14:textId="77777777" w:rsidR="00000000" w:rsidRDefault="0053651E">
            <w:pPr>
              <w:jc w:val="right"/>
              <w:rPr>
                <w:rFonts w:eastAsia="Times New Roman"/>
                <w:sz w:val="16"/>
                <w:szCs w:val="16"/>
              </w:rPr>
            </w:pPr>
            <w:r>
              <w:rPr>
                <w:rFonts w:eastAsia="Times New Roman"/>
                <w:sz w:val="16"/>
                <w:szCs w:val="16"/>
              </w:rPr>
              <w:t>(527,577</w:t>
            </w:r>
          </w:p>
        </w:tc>
        <w:tc>
          <w:tcPr>
            <w:tcW w:w="50" w:type="pct"/>
            <w:shd w:val="clear" w:color="auto" w:fill="FFFFFF"/>
            <w:vAlign w:val="bottom"/>
            <w:hideMark/>
          </w:tcPr>
          <w:p w14:paraId="6809F84C"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6187745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86392B"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C4BF61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92DD26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ECF29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2431E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59C101D" w14:textId="77777777" w:rsidR="00000000" w:rsidRDefault="0053651E">
            <w:pPr>
              <w:jc w:val="right"/>
              <w:rPr>
                <w:rFonts w:eastAsia="Times New Roman"/>
                <w:sz w:val="16"/>
                <w:szCs w:val="16"/>
              </w:rPr>
            </w:pPr>
            <w:r>
              <w:rPr>
                <w:rFonts w:eastAsia="Times New Roman"/>
                <w:sz w:val="16"/>
                <w:szCs w:val="16"/>
              </w:rPr>
              <w:t>(527,577</w:t>
            </w:r>
          </w:p>
        </w:tc>
        <w:tc>
          <w:tcPr>
            <w:tcW w:w="50" w:type="pct"/>
            <w:shd w:val="clear" w:color="auto" w:fill="FFFFFF"/>
            <w:vAlign w:val="bottom"/>
            <w:hideMark/>
          </w:tcPr>
          <w:p w14:paraId="0F22F929" w14:textId="77777777" w:rsidR="00000000" w:rsidRDefault="0053651E">
            <w:pPr>
              <w:rPr>
                <w:rFonts w:eastAsia="Times New Roman"/>
                <w:sz w:val="16"/>
                <w:szCs w:val="16"/>
              </w:rPr>
            </w:pPr>
            <w:r>
              <w:rPr>
                <w:rFonts w:eastAsia="Times New Roman"/>
                <w:sz w:val="16"/>
                <w:szCs w:val="16"/>
              </w:rPr>
              <w:t>)</w:t>
            </w:r>
          </w:p>
        </w:tc>
      </w:tr>
      <w:tr w:rsidR="0053651E" w14:paraId="53765AEE" w14:textId="77777777">
        <w:trPr>
          <w:divId w:val="1059287255"/>
          <w:tblCellSpacing w:w="0" w:type="dxa"/>
        </w:trPr>
        <w:tc>
          <w:tcPr>
            <w:tcW w:w="950" w:type="pct"/>
            <w:shd w:val="clear" w:color="auto" w:fill="CCEEFF"/>
            <w:vAlign w:val="bottom"/>
            <w:hideMark/>
          </w:tcPr>
          <w:p w14:paraId="3ADD69B3" w14:textId="77777777" w:rsidR="00000000" w:rsidRDefault="0053651E">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5B2CBE8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9664AF"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AA1826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113F0A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02E9B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CDD9AB"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63243F1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094A07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DC79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228B6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94B70C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7E321A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3AC6C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E94D0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3E273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8726E7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04F28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D9AF9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33104D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A92E08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BB842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C9134C"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7F6299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9A7788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C79CA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D067D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22C620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BBA300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D0D22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1A4388"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89DA8C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36185A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5064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299BD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94D4734" w14:textId="77777777" w:rsidR="00000000" w:rsidRDefault="0053651E">
            <w:pPr>
              <w:jc w:val="right"/>
              <w:rPr>
                <w:rFonts w:eastAsia="Times New Roman"/>
                <w:sz w:val="16"/>
                <w:szCs w:val="16"/>
              </w:rPr>
            </w:pPr>
            <w:r>
              <w:rPr>
                <w:rFonts w:eastAsia="Times New Roman"/>
                <w:sz w:val="16"/>
                <w:szCs w:val="16"/>
              </w:rPr>
              <w:t>(10,638</w:t>
            </w:r>
          </w:p>
        </w:tc>
        <w:tc>
          <w:tcPr>
            <w:tcW w:w="50" w:type="pct"/>
            <w:shd w:val="clear" w:color="auto" w:fill="CCEEFF"/>
            <w:vAlign w:val="bottom"/>
            <w:hideMark/>
          </w:tcPr>
          <w:p w14:paraId="74B1482A"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502A6EE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ECEF9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AAFD6EF" w14:textId="77777777" w:rsidR="00000000" w:rsidRDefault="0053651E">
            <w:pPr>
              <w:jc w:val="right"/>
              <w:rPr>
                <w:rFonts w:eastAsia="Times New Roman"/>
                <w:sz w:val="16"/>
                <w:szCs w:val="16"/>
              </w:rPr>
            </w:pPr>
            <w:r>
              <w:rPr>
                <w:rFonts w:eastAsia="Times New Roman"/>
                <w:sz w:val="16"/>
                <w:szCs w:val="16"/>
              </w:rPr>
              <w:t>(10,638</w:t>
            </w:r>
          </w:p>
        </w:tc>
        <w:tc>
          <w:tcPr>
            <w:tcW w:w="50" w:type="pct"/>
            <w:shd w:val="clear" w:color="auto" w:fill="CCEEFF"/>
            <w:vAlign w:val="bottom"/>
            <w:hideMark/>
          </w:tcPr>
          <w:p w14:paraId="56D56451" w14:textId="77777777" w:rsidR="00000000" w:rsidRDefault="0053651E">
            <w:pPr>
              <w:rPr>
                <w:rFonts w:eastAsia="Times New Roman"/>
                <w:sz w:val="16"/>
                <w:szCs w:val="16"/>
              </w:rPr>
            </w:pPr>
            <w:r>
              <w:rPr>
                <w:rFonts w:eastAsia="Times New Roman"/>
                <w:sz w:val="16"/>
                <w:szCs w:val="16"/>
              </w:rPr>
              <w:t>)</w:t>
            </w:r>
          </w:p>
        </w:tc>
      </w:tr>
      <w:tr w:rsidR="0053651E" w14:paraId="42DB3076" w14:textId="77777777">
        <w:trPr>
          <w:divId w:val="1059287255"/>
          <w:tblCellSpacing w:w="0" w:type="dxa"/>
        </w:trPr>
        <w:tc>
          <w:tcPr>
            <w:tcW w:w="950" w:type="pct"/>
            <w:shd w:val="clear" w:color="auto" w:fill="FFFFFF"/>
            <w:vAlign w:val="bottom"/>
            <w:hideMark/>
          </w:tcPr>
          <w:p w14:paraId="7E8B3EB0" w14:textId="77777777" w:rsidR="00000000" w:rsidRDefault="0053651E">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FFFFFF"/>
            <w:vAlign w:val="bottom"/>
            <w:hideMark/>
          </w:tcPr>
          <w:p w14:paraId="3EF0EB2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7A5C3C"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6031498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DDFABA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C9AC3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E0A5CE"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44591E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BFBEC8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AD5F5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3063B5"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36DBFF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46A3CD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AC392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1A5AFA"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20E45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AE3B37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67E2D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766EC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284C13A" w14:textId="77777777" w:rsidR="00000000" w:rsidRDefault="0053651E">
            <w:pPr>
              <w:jc w:val="right"/>
              <w:rPr>
                <w:rFonts w:eastAsia="Times New Roman"/>
                <w:sz w:val="16"/>
                <w:szCs w:val="16"/>
              </w:rPr>
            </w:pPr>
            <w:r>
              <w:rPr>
                <w:rFonts w:eastAsia="Times New Roman"/>
                <w:sz w:val="16"/>
                <w:szCs w:val="16"/>
              </w:rPr>
              <w:t>10,398</w:t>
            </w:r>
          </w:p>
        </w:tc>
        <w:tc>
          <w:tcPr>
            <w:tcW w:w="50" w:type="pct"/>
            <w:shd w:val="clear" w:color="auto" w:fill="FFFFFF"/>
            <w:vAlign w:val="bottom"/>
            <w:hideMark/>
          </w:tcPr>
          <w:p w14:paraId="19F5AE5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2E9C3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2AFA6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FD57C97" w14:textId="77777777" w:rsidR="00000000" w:rsidRDefault="0053651E">
            <w:pPr>
              <w:jc w:val="right"/>
              <w:rPr>
                <w:rFonts w:eastAsia="Times New Roman"/>
                <w:sz w:val="16"/>
                <w:szCs w:val="16"/>
              </w:rPr>
            </w:pPr>
            <w:r>
              <w:rPr>
                <w:rFonts w:eastAsia="Times New Roman"/>
                <w:sz w:val="16"/>
                <w:szCs w:val="16"/>
              </w:rPr>
              <w:t>105</w:t>
            </w:r>
          </w:p>
        </w:tc>
        <w:tc>
          <w:tcPr>
            <w:tcW w:w="50" w:type="pct"/>
            <w:shd w:val="clear" w:color="auto" w:fill="FFFFFF"/>
            <w:vAlign w:val="bottom"/>
            <w:hideMark/>
          </w:tcPr>
          <w:p w14:paraId="2C19883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8AA9B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9EFE7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2943122" w14:textId="77777777" w:rsidR="00000000" w:rsidRDefault="0053651E">
            <w:pPr>
              <w:jc w:val="right"/>
              <w:rPr>
                <w:rFonts w:eastAsia="Times New Roman"/>
                <w:sz w:val="16"/>
                <w:szCs w:val="16"/>
              </w:rPr>
            </w:pPr>
            <w:r>
              <w:rPr>
                <w:rFonts w:eastAsia="Times New Roman"/>
                <w:sz w:val="16"/>
                <w:szCs w:val="16"/>
              </w:rPr>
              <w:t>200,028</w:t>
            </w:r>
          </w:p>
        </w:tc>
        <w:tc>
          <w:tcPr>
            <w:tcW w:w="50" w:type="pct"/>
            <w:shd w:val="clear" w:color="auto" w:fill="FFFFFF"/>
            <w:vAlign w:val="bottom"/>
            <w:hideMark/>
          </w:tcPr>
          <w:p w14:paraId="4A2DB76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E199E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DAD2B8"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0D2AA79" w14:textId="77777777" w:rsidR="00000000" w:rsidRDefault="0053651E">
            <w:pPr>
              <w:jc w:val="right"/>
              <w:rPr>
                <w:rFonts w:eastAsia="Times New Roman"/>
                <w:sz w:val="16"/>
                <w:szCs w:val="16"/>
              </w:rPr>
            </w:pPr>
            <w:r>
              <w:rPr>
                <w:rFonts w:eastAsia="Times New Roman"/>
                <w:sz w:val="16"/>
                <w:szCs w:val="16"/>
              </w:rPr>
              <w:t>200,133</w:t>
            </w:r>
          </w:p>
        </w:tc>
        <w:tc>
          <w:tcPr>
            <w:tcW w:w="50" w:type="pct"/>
            <w:shd w:val="clear" w:color="auto" w:fill="FFFFFF"/>
            <w:vAlign w:val="bottom"/>
            <w:hideMark/>
          </w:tcPr>
          <w:p w14:paraId="7CE29E5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E0C31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A9741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0D87B2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BF9D3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28165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EC9E5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68261CE" w14:textId="77777777" w:rsidR="00000000" w:rsidRDefault="0053651E">
            <w:pPr>
              <w:jc w:val="right"/>
              <w:rPr>
                <w:rFonts w:eastAsia="Times New Roman"/>
                <w:sz w:val="16"/>
                <w:szCs w:val="16"/>
              </w:rPr>
            </w:pPr>
            <w:r>
              <w:rPr>
                <w:rFonts w:eastAsia="Times New Roman"/>
                <w:sz w:val="16"/>
                <w:szCs w:val="16"/>
              </w:rPr>
              <w:t>200,133</w:t>
            </w:r>
          </w:p>
        </w:tc>
        <w:tc>
          <w:tcPr>
            <w:tcW w:w="50" w:type="pct"/>
            <w:shd w:val="clear" w:color="auto" w:fill="FFFFFF"/>
            <w:vAlign w:val="bottom"/>
            <w:hideMark/>
          </w:tcPr>
          <w:p w14:paraId="22EEEBDD" w14:textId="77777777" w:rsidR="00000000" w:rsidRDefault="0053651E">
            <w:pPr>
              <w:rPr>
                <w:rFonts w:eastAsia="Times New Roman"/>
                <w:sz w:val="16"/>
                <w:szCs w:val="16"/>
              </w:rPr>
            </w:pPr>
            <w:r>
              <w:rPr>
                <w:rFonts w:eastAsia="Times New Roman"/>
                <w:sz w:val="16"/>
                <w:szCs w:val="16"/>
              </w:rPr>
              <w:t> </w:t>
            </w:r>
          </w:p>
        </w:tc>
      </w:tr>
      <w:tr w:rsidR="0053651E" w14:paraId="0C47383E" w14:textId="77777777">
        <w:trPr>
          <w:divId w:val="1059287255"/>
          <w:tblCellSpacing w:w="0" w:type="dxa"/>
        </w:trPr>
        <w:tc>
          <w:tcPr>
            <w:tcW w:w="950" w:type="pct"/>
            <w:shd w:val="clear" w:color="auto" w:fill="CCEEFF"/>
            <w:vAlign w:val="bottom"/>
            <w:hideMark/>
          </w:tcPr>
          <w:p w14:paraId="6DDEFB07" w14:textId="77777777" w:rsidR="00000000" w:rsidRDefault="0053651E">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14:paraId="1E51256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1546AD"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0D45154C"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E4EAB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218AE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D97E13"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62C6A2C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95F7A2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DDAC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37C93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C2F099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38EB75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1CA9A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A60B3E"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80A28C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8CA6F2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16C20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1E230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4322B31" w14:textId="77777777" w:rsidR="00000000" w:rsidRDefault="0053651E">
            <w:pPr>
              <w:jc w:val="right"/>
              <w:rPr>
                <w:rFonts w:eastAsia="Times New Roman"/>
                <w:sz w:val="16"/>
                <w:szCs w:val="16"/>
              </w:rPr>
            </w:pPr>
            <w:r>
              <w:rPr>
                <w:rFonts w:eastAsia="Times New Roman"/>
                <w:sz w:val="16"/>
                <w:szCs w:val="16"/>
              </w:rPr>
              <w:t>(242</w:t>
            </w:r>
          </w:p>
        </w:tc>
        <w:tc>
          <w:tcPr>
            <w:tcW w:w="50" w:type="pct"/>
            <w:shd w:val="clear" w:color="auto" w:fill="CCEEFF"/>
            <w:vAlign w:val="bottom"/>
            <w:hideMark/>
          </w:tcPr>
          <w:p w14:paraId="23AFCF5E"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2AB3177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97698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2B71B5B" w14:textId="77777777" w:rsidR="00000000" w:rsidRDefault="0053651E">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14:paraId="55A15351"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29061B6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A56E5A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2B46B2B" w14:textId="77777777" w:rsidR="00000000" w:rsidRDefault="0053651E">
            <w:pPr>
              <w:jc w:val="right"/>
              <w:rPr>
                <w:rFonts w:eastAsia="Times New Roman"/>
                <w:sz w:val="16"/>
                <w:szCs w:val="16"/>
              </w:rPr>
            </w:pPr>
            <w:r>
              <w:rPr>
                <w:rFonts w:eastAsia="Times New Roman"/>
                <w:sz w:val="16"/>
                <w:szCs w:val="16"/>
              </w:rPr>
              <w:t>(4,027</w:t>
            </w:r>
          </w:p>
        </w:tc>
        <w:tc>
          <w:tcPr>
            <w:tcW w:w="50" w:type="pct"/>
            <w:shd w:val="clear" w:color="auto" w:fill="CCEEFF"/>
            <w:vAlign w:val="bottom"/>
            <w:hideMark/>
          </w:tcPr>
          <w:p w14:paraId="7E801900"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134C00A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C2A112"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6AA2087" w14:textId="77777777" w:rsidR="00000000" w:rsidRDefault="0053651E">
            <w:pPr>
              <w:jc w:val="right"/>
              <w:rPr>
                <w:rFonts w:eastAsia="Times New Roman"/>
                <w:sz w:val="16"/>
                <w:szCs w:val="16"/>
              </w:rPr>
            </w:pPr>
            <w:r>
              <w:rPr>
                <w:rFonts w:eastAsia="Times New Roman"/>
                <w:sz w:val="16"/>
                <w:szCs w:val="16"/>
              </w:rPr>
              <w:t>(4,030</w:t>
            </w:r>
          </w:p>
        </w:tc>
        <w:tc>
          <w:tcPr>
            <w:tcW w:w="50" w:type="pct"/>
            <w:shd w:val="clear" w:color="auto" w:fill="CCEEFF"/>
            <w:vAlign w:val="bottom"/>
            <w:hideMark/>
          </w:tcPr>
          <w:p w14:paraId="77AED7F2"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099F575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E5E118"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DF93CAB"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D995B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6ADA0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3AB4E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439E505" w14:textId="77777777" w:rsidR="00000000" w:rsidRDefault="0053651E">
            <w:pPr>
              <w:jc w:val="right"/>
              <w:rPr>
                <w:rFonts w:eastAsia="Times New Roman"/>
                <w:sz w:val="16"/>
                <w:szCs w:val="16"/>
              </w:rPr>
            </w:pPr>
            <w:r>
              <w:rPr>
                <w:rFonts w:eastAsia="Times New Roman"/>
                <w:sz w:val="16"/>
                <w:szCs w:val="16"/>
              </w:rPr>
              <w:t>(4,030</w:t>
            </w:r>
          </w:p>
        </w:tc>
        <w:tc>
          <w:tcPr>
            <w:tcW w:w="50" w:type="pct"/>
            <w:shd w:val="clear" w:color="auto" w:fill="CCEEFF"/>
            <w:vAlign w:val="bottom"/>
            <w:hideMark/>
          </w:tcPr>
          <w:p w14:paraId="2C13BD05" w14:textId="77777777" w:rsidR="00000000" w:rsidRDefault="0053651E">
            <w:pPr>
              <w:rPr>
                <w:rFonts w:eastAsia="Times New Roman"/>
                <w:sz w:val="16"/>
                <w:szCs w:val="16"/>
              </w:rPr>
            </w:pPr>
            <w:r>
              <w:rPr>
                <w:rFonts w:eastAsia="Times New Roman"/>
                <w:sz w:val="16"/>
                <w:szCs w:val="16"/>
              </w:rPr>
              <w:t>)</w:t>
            </w:r>
          </w:p>
        </w:tc>
      </w:tr>
      <w:tr w:rsidR="0053651E" w14:paraId="267F5FDB" w14:textId="77777777">
        <w:trPr>
          <w:divId w:val="1059287255"/>
          <w:tblCellSpacing w:w="0" w:type="dxa"/>
        </w:trPr>
        <w:tc>
          <w:tcPr>
            <w:tcW w:w="950" w:type="pct"/>
            <w:shd w:val="clear" w:color="auto" w:fill="FFFFFF"/>
            <w:vAlign w:val="bottom"/>
            <w:hideMark/>
          </w:tcPr>
          <w:p w14:paraId="23456AAE" w14:textId="77777777" w:rsidR="00000000" w:rsidRDefault="0053651E">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14:paraId="391A6BF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AD3CB2"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21FE6191"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F1B68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F4B52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D798E0"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110AA4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7607A7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482FC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5DD6B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A03C44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D8E043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44170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33729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FBF8337"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1199A9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4C62E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7A2B4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0DB1EF5" w14:textId="77777777" w:rsidR="00000000" w:rsidRDefault="0053651E">
            <w:pPr>
              <w:jc w:val="right"/>
              <w:rPr>
                <w:rFonts w:eastAsia="Times New Roman"/>
                <w:sz w:val="16"/>
                <w:szCs w:val="16"/>
              </w:rPr>
            </w:pPr>
            <w:r>
              <w:rPr>
                <w:rFonts w:eastAsia="Times New Roman"/>
                <w:sz w:val="16"/>
                <w:szCs w:val="16"/>
              </w:rPr>
              <w:t>269</w:t>
            </w:r>
          </w:p>
        </w:tc>
        <w:tc>
          <w:tcPr>
            <w:tcW w:w="50" w:type="pct"/>
            <w:shd w:val="clear" w:color="auto" w:fill="FFFFFF"/>
            <w:vAlign w:val="bottom"/>
            <w:hideMark/>
          </w:tcPr>
          <w:p w14:paraId="113F608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6674A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97110D"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E75F164" w14:textId="77777777" w:rsidR="00000000" w:rsidRDefault="0053651E">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14:paraId="0DBA891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29B8E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A8553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BD8B3EE" w14:textId="77777777" w:rsidR="00000000" w:rsidRDefault="0053651E">
            <w:pPr>
              <w:jc w:val="right"/>
              <w:rPr>
                <w:rFonts w:eastAsia="Times New Roman"/>
                <w:sz w:val="16"/>
                <w:szCs w:val="16"/>
              </w:rPr>
            </w:pPr>
            <w:r>
              <w:rPr>
                <w:rFonts w:eastAsia="Times New Roman"/>
                <w:sz w:val="16"/>
                <w:szCs w:val="16"/>
              </w:rPr>
              <w:t>3,878</w:t>
            </w:r>
          </w:p>
        </w:tc>
        <w:tc>
          <w:tcPr>
            <w:tcW w:w="50" w:type="pct"/>
            <w:shd w:val="clear" w:color="auto" w:fill="FFFFFF"/>
            <w:vAlign w:val="bottom"/>
            <w:hideMark/>
          </w:tcPr>
          <w:p w14:paraId="737B92B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B86DF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607853"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BF4D3D5" w14:textId="77777777" w:rsidR="00000000" w:rsidRDefault="0053651E">
            <w:pPr>
              <w:jc w:val="right"/>
              <w:rPr>
                <w:rFonts w:eastAsia="Times New Roman"/>
                <w:sz w:val="16"/>
                <w:szCs w:val="16"/>
              </w:rPr>
            </w:pPr>
            <w:r>
              <w:rPr>
                <w:rFonts w:eastAsia="Times New Roman"/>
                <w:sz w:val="16"/>
                <w:szCs w:val="16"/>
              </w:rPr>
              <w:t>3,880</w:t>
            </w:r>
          </w:p>
        </w:tc>
        <w:tc>
          <w:tcPr>
            <w:tcW w:w="50" w:type="pct"/>
            <w:shd w:val="clear" w:color="auto" w:fill="FFFFFF"/>
            <w:vAlign w:val="bottom"/>
            <w:hideMark/>
          </w:tcPr>
          <w:p w14:paraId="6A6F576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7855F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86DF3D"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42F005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2C4FD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FF9CD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316EC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8738D61" w14:textId="77777777" w:rsidR="00000000" w:rsidRDefault="0053651E">
            <w:pPr>
              <w:jc w:val="right"/>
              <w:rPr>
                <w:rFonts w:eastAsia="Times New Roman"/>
                <w:sz w:val="16"/>
                <w:szCs w:val="16"/>
              </w:rPr>
            </w:pPr>
            <w:r>
              <w:rPr>
                <w:rFonts w:eastAsia="Times New Roman"/>
                <w:sz w:val="16"/>
                <w:szCs w:val="16"/>
              </w:rPr>
              <w:t>3,880</w:t>
            </w:r>
          </w:p>
        </w:tc>
        <w:tc>
          <w:tcPr>
            <w:tcW w:w="50" w:type="pct"/>
            <w:shd w:val="clear" w:color="auto" w:fill="FFFFFF"/>
            <w:vAlign w:val="bottom"/>
            <w:hideMark/>
          </w:tcPr>
          <w:p w14:paraId="540387D9" w14:textId="77777777" w:rsidR="00000000" w:rsidRDefault="0053651E">
            <w:pPr>
              <w:rPr>
                <w:rFonts w:eastAsia="Times New Roman"/>
                <w:sz w:val="16"/>
                <w:szCs w:val="16"/>
              </w:rPr>
            </w:pPr>
            <w:r>
              <w:rPr>
                <w:rFonts w:eastAsia="Times New Roman"/>
                <w:sz w:val="16"/>
                <w:szCs w:val="16"/>
              </w:rPr>
              <w:t> </w:t>
            </w:r>
          </w:p>
        </w:tc>
      </w:tr>
      <w:tr w:rsidR="0053651E" w14:paraId="4793C7CB" w14:textId="77777777">
        <w:trPr>
          <w:divId w:val="1059287255"/>
          <w:tblCellSpacing w:w="0" w:type="dxa"/>
        </w:trPr>
        <w:tc>
          <w:tcPr>
            <w:tcW w:w="950" w:type="pct"/>
            <w:shd w:val="clear" w:color="auto" w:fill="CCEEFF"/>
            <w:vAlign w:val="bottom"/>
            <w:hideMark/>
          </w:tcPr>
          <w:p w14:paraId="7F8D2E18" w14:textId="77777777" w:rsidR="00000000" w:rsidRDefault="0053651E">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14:paraId="662E513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EFA18D"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1915528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20BB04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76663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3C1E53"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CCEEFF"/>
            <w:vAlign w:val="bottom"/>
            <w:hideMark/>
          </w:tcPr>
          <w:p w14:paraId="4F6447F8"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529CB8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731E5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5EDC7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83BE52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0CD28D3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80497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8FA6A2"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9F88279"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DB22BD4"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4855F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176296"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52DFD9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20676A2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60D04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2434A0"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B03B45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82B569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A67E0F"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3EC1C4"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19C5E83" w14:textId="77777777" w:rsidR="00000000" w:rsidRDefault="0053651E">
            <w:pPr>
              <w:jc w:val="right"/>
              <w:rPr>
                <w:rFonts w:eastAsia="Times New Roman"/>
                <w:sz w:val="16"/>
                <w:szCs w:val="16"/>
              </w:rPr>
            </w:pPr>
            <w:r>
              <w:rPr>
                <w:rFonts w:eastAsia="Times New Roman"/>
                <w:sz w:val="16"/>
                <w:szCs w:val="16"/>
              </w:rPr>
              <w:t>19,083</w:t>
            </w:r>
          </w:p>
        </w:tc>
        <w:tc>
          <w:tcPr>
            <w:tcW w:w="50" w:type="pct"/>
            <w:shd w:val="clear" w:color="auto" w:fill="CCEEFF"/>
            <w:vAlign w:val="bottom"/>
            <w:hideMark/>
          </w:tcPr>
          <w:p w14:paraId="36E2870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63F82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33E8BB"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3740B60" w14:textId="77777777" w:rsidR="00000000" w:rsidRDefault="0053651E">
            <w:pPr>
              <w:jc w:val="right"/>
              <w:rPr>
                <w:rFonts w:eastAsia="Times New Roman"/>
                <w:sz w:val="16"/>
                <w:szCs w:val="16"/>
              </w:rPr>
            </w:pPr>
            <w:r>
              <w:rPr>
                <w:rFonts w:eastAsia="Times New Roman"/>
                <w:sz w:val="16"/>
                <w:szCs w:val="16"/>
              </w:rPr>
              <w:t>19,083</w:t>
            </w:r>
          </w:p>
        </w:tc>
        <w:tc>
          <w:tcPr>
            <w:tcW w:w="50" w:type="pct"/>
            <w:shd w:val="clear" w:color="auto" w:fill="CCEEFF"/>
            <w:vAlign w:val="bottom"/>
            <w:hideMark/>
          </w:tcPr>
          <w:p w14:paraId="35E5399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E030C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BBF59E"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9CA987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C4921C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A1500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8888CB"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7F4A291" w14:textId="77777777" w:rsidR="00000000" w:rsidRDefault="0053651E">
            <w:pPr>
              <w:jc w:val="right"/>
              <w:rPr>
                <w:rFonts w:eastAsia="Times New Roman"/>
                <w:sz w:val="16"/>
                <w:szCs w:val="16"/>
              </w:rPr>
            </w:pPr>
            <w:r>
              <w:rPr>
                <w:rFonts w:eastAsia="Times New Roman"/>
                <w:sz w:val="16"/>
                <w:szCs w:val="16"/>
              </w:rPr>
              <w:t>19,083</w:t>
            </w:r>
          </w:p>
        </w:tc>
        <w:tc>
          <w:tcPr>
            <w:tcW w:w="50" w:type="pct"/>
            <w:shd w:val="clear" w:color="auto" w:fill="CCEEFF"/>
            <w:vAlign w:val="bottom"/>
            <w:hideMark/>
          </w:tcPr>
          <w:p w14:paraId="7F0D982C" w14:textId="77777777" w:rsidR="00000000" w:rsidRDefault="0053651E">
            <w:pPr>
              <w:rPr>
                <w:rFonts w:eastAsia="Times New Roman"/>
                <w:sz w:val="16"/>
                <w:szCs w:val="16"/>
              </w:rPr>
            </w:pPr>
            <w:r>
              <w:rPr>
                <w:rFonts w:eastAsia="Times New Roman"/>
                <w:sz w:val="16"/>
                <w:szCs w:val="16"/>
              </w:rPr>
              <w:t> </w:t>
            </w:r>
          </w:p>
        </w:tc>
      </w:tr>
      <w:tr w:rsidR="0053651E" w14:paraId="54977669" w14:textId="77777777">
        <w:trPr>
          <w:divId w:val="1059287255"/>
          <w:tblCellSpacing w:w="0" w:type="dxa"/>
        </w:trPr>
        <w:tc>
          <w:tcPr>
            <w:tcW w:w="950" w:type="pct"/>
            <w:shd w:val="clear" w:color="auto" w:fill="FFFFFF"/>
            <w:vAlign w:val="bottom"/>
            <w:hideMark/>
          </w:tcPr>
          <w:p w14:paraId="0B64A1AC" w14:textId="77777777" w:rsidR="00000000" w:rsidRDefault="0053651E">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FFFFFF"/>
            <w:vAlign w:val="bottom"/>
            <w:hideMark/>
          </w:tcPr>
          <w:p w14:paraId="2E9AFEAE"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291FB9"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FFFFFF"/>
            <w:vAlign w:val="bottom"/>
            <w:hideMark/>
          </w:tcPr>
          <w:p w14:paraId="43B2ACC3"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89A834A"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AB8E8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882A1C" w14:textId="77777777" w:rsidR="00000000" w:rsidRDefault="0053651E">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CC4562D"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32AECA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C61A62"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EF1FA1"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29D516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848EE9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F67266"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8F6E7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E8DF35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6BE4E1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C5B1D3"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43C8B8"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777DEE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CAE6C1B"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75FFC8"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E2696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7F38FA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5D9F83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134E7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B4E1F9"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F4DEBA5" w14:textId="77777777" w:rsidR="00000000" w:rsidRDefault="0053651E">
            <w:pPr>
              <w:jc w:val="right"/>
              <w:rPr>
                <w:rFonts w:eastAsia="Times New Roman"/>
                <w:sz w:val="16"/>
                <w:szCs w:val="16"/>
              </w:rPr>
            </w:pPr>
            <w:r>
              <w:rPr>
                <w:rFonts w:eastAsia="Times New Roman"/>
                <w:sz w:val="16"/>
                <w:szCs w:val="16"/>
              </w:rPr>
              <w:t>3,994</w:t>
            </w:r>
          </w:p>
        </w:tc>
        <w:tc>
          <w:tcPr>
            <w:tcW w:w="50" w:type="pct"/>
            <w:shd w:val="clear" w:color="auto" w:fill="FFFFFF"/>
            <w:vAlign w:val="bottom"/>
            <w:hideMark/>
          </w:tcPr>
          <w:p w14:paraId="5B55D8C7"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6A4135"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2544BD9" w14:textId="77777777" w:rsidR="00000000" w:rsidRDefault="0053651E">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6EE8325" w14:textId="77777777" w:rsidR="00000000" w:rsidRDefault="0053651E">
            <w:pPr>
              <w:jc w:val="right"/>
              <w:rPr>
                <w:rFonts w:eastAsia="Times New Roman"/>
                <w:sz w:val="16"/>
                <w:szCs w:val="16"/>
              </w:rPr>
            </w:pPr>
            <w:r>
              <w:rPr>
                <w:rFonts w:eastAsia="Times New Roman"/>
                <w:sz w:val="16"/>
                <w:szCs w:val="16"/>
              </w:rPr>
              <w:t>3,994</w:t>
            </w:r>
          </w:p>
        </w:tc>
        <w:tc>
          <w:tcPr>
            <w:tcW w:w="50" w:type="pct"/>
            <w:shd w:val="clear" w:color="auto" w:fill="FFFFFF"/>
            <w:vAlign w:val="bottom"/>
            <w:hideMark/>
          </w:tcPr>
          <w:p w14:paraId="472A0EF0"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8BE7A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41C82F" w14:textId="77777777" w:rsidR="00000000" w:rsidRDefault="0053651E">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BA96B80" w14:textId="77777777" w:rsidR="00000000" w:rsidRDefault="0053651E">
            <w:pPr>
              <w:jc w:val="right"/>
              <w:rPr>
                <w:rFonts w:eastAsia="Times New Roman"/>
                <w:sz w:val="16"/>
                <w:szCs w:val="16"/>
              </w:rPr>
            </w:pPr>
            <w:r>
              <w:rPr>
                <w:rFonts w:eastAsia="Times New Roman"/>
                <w:sz w:val="16"/>
                <w:szCs w:val="16"/>
              </w:rPr>
              <w:t>(5,194</w:t>
            </w:r>
          </w:p>
        </w:tc>
        <w:tc>
          <w:tcPr>
            <w:tcW w:w="50" w:type="pct"/>
            <w:shd w:val="clear" w:color="auto" w:fill="FFFFFF"/>
            <w:vAlign w:val="bottom"/>
            <w:hideMark/>
          </w:tcPr>
          <w:p w14:paraId="7D8DB85B" w14:textId="77777777" w:rsidR="00000000" w:rsidRDefault="0053651E">
            <w:pPr>
              <w:rPr>
                <w:rFonts w:eastAsia="Times New Roman"/>
                <w:sz w:val="16"/>
                <w:szCs w:val="16"/>
              </w:rPr>
            </w:pPr>
            <w:r>
              <w:rPr>
                <w:rFonts w:eastAsia="Times New Roman"/>
                <w:sz w:val="16"/>
                <w:szCs w:val="16"/>
              </w:rPr>
              <w:t>)</w:t>
            </w:r>
          </w:p>
        </w:tc>
        <w:tc>
          <w:tcPr>
            <w:tcW w:w="50" w:type="pct"/>
            <w:shd w:val="clear" w:color="auto" w:fill="FFFFFF"/>
            <w:vAlign w:val="bottom"/>
            <w:hideMark/>
          </w:tcPr>
          <w:p w14:paraId="40E6775D"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7E11CF" w14:textId="77777777" w:rsidR="00000000" w:rsidRDefault="0053651E">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37E2909" w14:textId="77777777" w:rsidR="00000000" w:rsidRDefault="0053651E">
            <w:pPr>
              <w:jc w:val="right"/>
              <w:rPr>
                <w:rFonts w:eastAsia="Times New Roman"/>
                <w:sz w:val="16"/>
                <w:szCs w:val="16"/>
              </w:rPr>
            </w:pPr>
            <w:r>
              <w:rPr>
                <w:rFonts w:eastAsia="Times New Roman"/>
                <w:sz w:val="16"/>
                <w:szCs w:val="16"/>
              </w:rPr>
              <w:t>(1,200</w:t>
            </w:r>
          </w:p>
        </w:tc>
        <w:tc>
          <w:tcPr>
            <w:tcW w:w="50" w:type="pct"/>
            <w:shd w:val="clear" w:color="auto" w:fill="FFFFFF"/>
            <w:vAlign w:val="bottom"/>
            <w:hideMark/>
          </w:tcPr>
          <w:p w14:paraId="29F91B42" w14:textId="77777777" w:rsidR="00000000" w:rsidRDefault="0053651E">
            <w:pPr>
              <w:rPr>
                <w:rFonts w:eastAsia="Times New Roman"/>
                <w:sz w:val="16"/>
                <w:szCs w:val="16"/>
              </w:rPr>
            </w:pPr>
            <w:r>
              <w:rPr>
                <w:rFonts w:eastAsia="Times New Roman"/>
                <w:sz w:val="16"/>
                <w:szCs w:val="16"/>
              </w:rPr>
              <w:t>)</w:t>
            </w:r>
          </w:p>
        </w:tc>
      </w:tr>
      <w:tr w:rsidR="0053651E" w14:paraId="78B4FC77" w14:textId="77777777">
        <w:trPr>
          <w:divId w:val="1059287255"/>
          <w:tblCellSpacing w:w="0" w:type="dxa"/>
        </w:trPr>
        <w:tc>
          <w:tcPr>
            <w:tcW w:w="950" w:type="pct"/>
            <w:shd w:val="clear" w:color="auto" w:fill="CCEEFF"/>
            <w:vAlign w:val="bottom"/>
            <w:hideMark/>
          </w:tcPr>
          <w:p w14:paraId="51A68644" w14:textId="77777777" w:rsidR="00000000" w:rsidRDefault="0053651E">
            <w:pPr>
              <w:pStyle w:val="a3"/>
              <w:spacing w:before="0" w:beforeAutospacing="0" w:after="0" w:afterAutospacing="0"/>
              <w:ind w:left="180" w:hanging="180"/>
              <w:rPr>
                <w:sz w:val="16"/>
                <w:szCs w:val="16"/>
              </w:rPr>
            </w:pPr>
            <w:r>
              <w:rPr>
                <w:sz w:val="16"/>
                <w:szCs w:val="16"/>
              </w:rPr>
              <w:t>Redemption of preferred stock</w:t>
            </w:r>
          </w:p>
        </w:tc>
        <w:tc>
          <w:tcPr>
            <w:tcW w:w="50" w:type="pct"/>
            <w:shd w:val="clear" w:color="auto" w:fill="CCEEFF"/>
            <w:tcMar>
              <w:top w:w="0" w:type="dxa"/>
              <w:left w:w="0" w:type="dxa"/>
              <w:bottom w:w="15" w:type="dxa"/>
              <w:right w:w="0" w:type="dxa"/>
            </w:tcMar>
            <w:vAlign w:val="bottom"/>
            <w:hideMark/>
          </w:tcPr>
          <w:p w14:paraId="7C79BCA9"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547970E"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CCEEFF"/>
            <w:vAlign w:val="bottom"/>
            <w:hideMark/>
          </w:tcPr>
          <w:p w14:paraId="067AD113"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0B38957"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2A8945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85091BF"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14:paraId="55F41DD5"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1295F3B"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B370EA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A3A3407"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75EAA0B8" w14:textId="77777777" w:rsidR="00000000" w:rsidRDefault="0053651E">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CCEEFF"/>
            <w:vAlign w:val="bottom"/>
            <w:hideMark/>
          </w:tcPr>
          <w:p w14:paraId="4524AB2E" w14:textId="77777777" w:rsidR="00000000" w:rsidRDefault="0053651E">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AC7D2C3"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EED4E84"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0EA0954" w14:textId="77777777" w:rsidR="00000000" w:rsidRDefault="0053651E">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CCEEFF"/>
            <w:vAlign w:val="bottom"/>
            <w:hideMark/>
          </w:tcPr>
          <w:p w14:paraId="2D749A28" w14:textId="77777777" w:rsidR="00000000" w:rsidRDefault="0053651E">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D4AC4A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8680583"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79A860F5"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B9C8632"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ED51B48"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084814E"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5661799B"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4831B3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4B7894F"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01B796F"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90E7A14" w14:textId="77777777" w:rsidR="00000000" w:rsidRDefault="0053651E">
            <w:pPr>
              <w:jc w:val="right"/>
              <w:rPr>
                <w:rFonts w:eastAsia="Times New Roman"/>
                <w:sz w:val="16"/>
                <w:szCs w:val="16"/>
              </w:rPr>
            </w:pPr>
            <w:r>
              <w:rPr>
                <w:rFonts w:eastAsia="Times New Roman"/>
                <w:sz w:val="16"/>
                <w:szCs w:val="16"/>
              </w:rPr>
              <w:t>(574,977</w:t>
            </w:r>
          </w:p>
        </w:tc>
        <w:tc>
          <w:tcPr>
            <w:tcW w:w="50" w:type="pct"/>
            <w:tcBorders>
              <w:bottom w:val="single" w:sz="6" w:space="0" w:color="000000"/>
            </w:tcBorders>
            <w:shd w:val="clear" w:color="auto" w:fill="CCEEFF"/>
            <w:vAlign w:val="bottom"/>
            <w:hideMark/>
          </w:tcPr>
          <w:p w14:paraId="6B6E3AB0" w14:textId="77777777" w:rsidR="00000000" w:rsidRDefault="0053651E">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ECE6194"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E825D7B" w14:textId="77777777" w:rsidR="00000000" w:rsidRDefault="0053651E">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7A49151E" w14:textId="77777777" w:rsidR="00000000" w:rsidRDefault="0053651E">
            <w:pPr>
              <w:jc w:val="right"/>
              <w:rPr>
                <w:rFonts w:eastAsia="Times New Roman"/>
                <w:sz w:val="16"/>
                <w:szCs w:val="16"/>
              </w:rPr>
            </w:pPr>
            <w:r>
              <w:rPr>
                <w:rFonts w:eastAsia="Times New Roman"/>
                <w:sz w:val="16"/>
                <w:szCs w:val="16"/>
              </w:rPr>
              <w:t>(575,000</w:t>
            </w:r>
          </w:p>
        </w:tc>
        <w:tc>
          <w:tcPr>
            <w:tcW w:w="50" w:type="pct"/>
            <w:shd w:val="clear" w:color="auto" w:fill="CCEEFF"/>
            <w:vAlign w:val="bottom"/>
            <w:hideMark/>
          </w:tcPr>
          <w:p w14:paraId="60BC0D24" w14:textId="77777777" w:rsidR="00000000" w:rsidRDefault="0053651E">
            <w:pPr>
              <w:rPr>
                <w:rFonts w:eastAsia="Times New Roman"/>
                <w:sz w:val="16"/>
                <w:szCs w:val="16"/>
              </w:rPr>
            </w:pPr>
            <w:r>
              <w:rPr>
                <w:rFonts w:eastAsia="Times New Roman"/>
                <w:sz w:val="16"/>
                <w:szCs w:val="16"/>
              </w:rPr>
              <w:t>)</w:t>
            </w:r>
          </w:p>
        </w:tc>
        <w:tc>
          <w:tcPr>
            <w:tcW w:w="50" w:type="pct"/>
            <w:shd w:val="clear" w:color="auto" w:fill="CCEEFF"/>
            <w:vAlign w:val="bottom"/>
            <w:hideMark/>
          </w:tcPr>
          <w:p w14:paraId="295117FD"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7120CB1"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7A7DBC9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4B8C1F9" w14:textId="77777777" w:rsidR="00000000" w:rsidRDefault="0053651E">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F6547B"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B13E985" w14:textId="77777777" w:rsidR="00000000" w:rsidRDefault="0053651E">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55F27074" w14:textId="77777777" w:rsidR="00000000" w:rsidRDefault="0053651E">
            <w:pPr>
              <w:jc w:val="right"/>
              <w:rPr>
                <w:rFonts w:eastAsia="Times New Roman"/>
                <w:sz w:val="16"/>
                <w:szCs w:val="16"/>
              </w:rPr>
            </w:pPr>
            <w:r>
              <w:rPr>
                <w:rFonts w:eastAsia="Times New Roman"/>
                <w:sz w:val="16"/>
                <w:szCs w:val="16"/>
              </w:rPr>
              <w:t>(575,000</w:t>
            </w:r>
          </w:p>
        </w:tc>
        <w:tc>
          <w:tcPr>
            <w:tcW w:w="50" w:type="pct"/>
            <w:shd w:val="clear" w:color="auto" w:fill="CCEEFF"/>
            <w:tcMar>
              <w:top w:w="0" w:type="dxa"/>
              <w:left w:w="0" w:type="dxa"/>
              <w:bottom w:w="15" w:type="dxa"/>
              <w:right w:w="0" w:type="dxa"/>
            </w:tcMar>
            <w:vAlign w:val="bottom"/>
            <w:hideMark/>
          </w:tcPr>
          <w:p w14:paraId="50D0E383" w14:textId="77777777" w:rsidR="00000000" w:rsidRDefault="0053651E">
            <w:pPr>
              <w:rPr>
                <w:rFonts w:eastAsia="Times New Roman"/>
                <w:sz w:val="16"/>
                <w:szCs w:val="16"/>
              </w:rPr>
            </w:pPr>
            <w:r>
              <w:rPr>
                <w:rFonts w:eastAsia="Times New Roman"/>
                <w:sz w:val="16"/>
                <w:szCs w:val="16"/>
              </w:rPr>
              <w:t>)</w:t>
            </w:r>
          </w:p>
        </w:tc>
      </w:tr>
      <w:tr w:rsidR="0053651E" w14:paraId="5AB77572" w14:textId="77777777">
        <w:trPr>
          <w:divId w:val="1059287255"/>
          <w:tblCellSpacing w:w="0" w:type="dxa"/>
        </w:trPr>
        <w:tc>
          <w:tcPr>
            <w:tcW w:w="950" w:type="pct"/>
            <w:shd w:val="clear" w:color="auto" w:fill="FFFFFF"/>
            <w:vAlign w:val="bottom"/>
            <w:hideMark/>
          </w:tcPr>
          <w:p w14:paraId="5246664D" w14:textId="77777777" w:rsidR="00000000" w:rsidRDefault="0053651E">
            <w:pPr>
              <w:pStyle w:val="a3"/>
              <w:spacing w:before="0" w:beforeAutospacing="0" w:after="0" w:afterAutospacing="0"/>
              <w:ind w:left="180" w:hanging="180"/>
              <w:rPr>
                <w:sz w:val="16"/>
                <w:szCs w:val="16"/>
              </w:rPr>
            </w:pPr>
            <w:r>
              <w:rPr>
                <w:sz w:val="16"/>
                <w:szCs w:val="16"/>
              </w:rPr>
              <w:t>Balance, December 31, 2019</w:t>
            </w:r>
          </w:p>
        </w:tc>
        <w:tc>
          <w:tcPr>
            <w:tcW w:w="50" w:type="pct"/>
            <w:shd w:val="clear" w:color="auto" w:fill="FFFFFF"/>
            <w:tcMar>
              <w:top w:w="0" w:type="dxa"/>
              <w:left w:w="0" w:type="dxa"/>
              <w:bottom w:w="45" w:type="dxa"/>
              <w:right w:w="0" w:type="dxa"/>
            </w:tcMar>
            <w:vAlign w:val="bottom"/>
            <w:hideMark/>
          </w:tcPr>
          <w:p w14:paraId="71CF8896"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1B7E2EB" w14:textId="77777777" w:rsidR="00000000" w:rsidRDefault="0053651E">
            <w:pPr>
              <w:rPr>
                <w:rFonts w:eastAsia="Times New Roman"/>
                <w:sz w:val="16"/>
                <w:szCs w:val="16"/>
              </w:rPr>
            </w:pPr>
            <w:r>
              <w:rPr>
                <w:rFonts w:eastAsia="Times New Roman"/>
                <w:sz w:val="16"/>
                <w:szCs w:val="16"/>
              </w:rPr>
              <w:t>$</w:t>
            </w:r>
          </w:p>
        </w:tc>
        <w:tc>
          <w:tcPr>
            <w:tcW w:w="450" w:type="pct"/>
            <w:tcBorders>
              <w:bottom w:val="double" w:sz="6" w:space="0" w:color="000000"/>
            </w:tcBorders>
            <w:shd w:val="clear" w:color="auto" w:fill="FFFFFF"/>
            <w:vAlign w:val="bottom"/>
            <w:hideMark/>
          </w:tcPr>
          <w:p w14:paraId="46893819" w14:textId="77777777" w:rsidR="00000000" w:rsidRDefault="0053651E">
            <w:pPr>
              <w:jc w:val="right"/>
              <w:rPr>
                <w:rFonts w:eastAsia="Times New Roman"/>
                <w:sz w:val="16"/>
                <w:szCs w:val="16"/>
              </w:rPr>
            </w:pPr>
            <w:r>
              <w:rPr>
                <w:rFonts w:eastAsia="Times New Roman"/>
                <w:sz w:val="16"/>
                <w:szCs w:val="16"/>
              </w:rPr>
              <w:t>(904,679</w:t>
            </w:r>
          </w:p>
        </w:tc>
        <w:tc>
          <w:tcPr>
            <w:tcW w:w="50" w:type="pct"/>
            <w:tcBorders>
              <w:bottom w:val="double" w:sz="6" w:space="0" w:color="000000"/>
            </w:tcBorders>
            <w:shd w:val="clear" w:color="auto" w:fill="FFFFFF"/>
            <w:vAlign w:val="bottom"/>
            <w:hideMark/>
          </w:tcPr>
          <w:p w14:paraId="1939F20C" w14:textId="77777777" w:rsidR="00000000" w:rsidRDefault="0053651E">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5F077D77"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D652688" w14:textId="77777777" w:rsidR="00000000" w:rsidRDefault="0053651E">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FFFFFF"/>
            <w:vAlign w:val="bottom"/>
            <w:hideMark/>
          </w:tcPr>
          <w:p w14:paraId="6C840340" w14:textId="77777777" w:rsidR="00000000" w:rsidRDefault="0053651E">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1F7D91E8"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F533B3D"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714515A" w14:textId="77777777" w:rsidR="00000000" w:rsidRDefault="0053651E">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5181BA64" w14:textId="77777777" w:rsidR="00000000" w:rsidRDefault="0053651E">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78D88037"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4BBC1C8"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205DC9D" w14:textId="77777777" w:rsidR="00000000" w:rsidRDefault="0053651E">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45ED4D66" w14:textId="77777777" w:rsidR="00000000" w:rsidRDefault="0053651E">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3BBF1E24"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DF42DFC"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B94ED66" w14:textId="77777777" w:rsidR="00000000" w:rsidRDefault="0053651E">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6B641527" w14:textId="77777777" w:rsidR="00000000" w:rsidRDefault="0053651E">
            <w:pPr>
              <w:jc w:val="right"/>
              <w:rPr>
                <w:rFonts w:eastAsia="Times New Roman"/>
                <w:sz w:val="16"/>
                <w:szCs w:val="16"/>
              </w:rPr>
            </w:pPr>
            <w:r>
              <w:rPr>
                <w:rFonts w:eastAsia="Times New Roman"/>
                <w:sz w:val="16"/>
                <w:szCs w:val="16"/>
              </w:rPr>
              <w:t>431,814</w:t>
            </w:r>
          </w:p>
        </w:tc>
        <w:tc>
          <w:tcPr>
            <w:tcW w:w="50" w:type="pct"/>
            <w:tcBorders>
              <w:bottom w:val="double" w:sz="6" w:space="0" w:color="000000"/>
            </w:tcBorders>
            <w:shd w:val="clear" w:color="auto" w:fill="FFFFFF"/>
            <w:vAlign w:val="bottom"/>
            <w:hideMark/>
          </w:tcPr>
          <w:p w14:paraId="798C74B9"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C66CB47"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E913631" w14:textId="77777777" w:rsidR="00000000" w:rsidRDefault="0053651E">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13D8AFA6" w14:textId="77777777" w:rsidR="00000000" w:rsidRDefault="0053651E">
            <w:pPr>
              <w:jc w:val="right"/>
              <w:rPr>
                <w:rFonts w:eastAsia="Times New Roman"/>
                <w:sz w:val="16"/>
                <w:szCs w:val="16"/>
              </w:rPr>
            </w:pPr>
            <w:r>
              <w:rPr>
                <w:rFonts w:eastAsia="Times New Roman"/>
                <w:sz w:val="16"/>
                <w:szCs w:val="16"/>
              </w:rPr>
              <w:t>4,318</w:t>
            </w:r>
          </w:p>
        </w:tc>
        <w:tc>
          <w:tcPr>
            <w:tcW w:w="50" w:type="pct"/>
            <w:tcBorders>
              <w:bottom w:val="double" w:sz="6" w:space="0" w:color="000000"/>
            </w:tcBorders>
            <w:shd w:val="clear" w:color="auto" w:fill="FFFFFF"/>
            <w:vAlign w:val="bottom"/>
            <w:hideMark/>
          </w:tcPr>
          <w:p w14:paraId="7AD72F78"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C450954"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F83A35F" w14:textId="77777777" w:rsidR="00000000" w:rsidRDefault="0053651E">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281F54C5" w14:textId="77777777" w:rsidR="00000000" w:rsidRDefault="0053651E">
            <w:pPr>
              <w:jc w:val="right"/>
              <w:rPr>
                <w:rFonts w:eastAsia="Times New Roman"/>
                <w:sz w:val="16"/>
                <w:szCs w:val="16"/>
              </w:rPr>
            </w:pPr>
            <w:r>
              <w:rPr>
                <w:rFonts w:eastAsia="Times New Roman"/>
                <w:sz w:val="16"/>
                <w:szCs w:val="16"/>
              </w:rPr>
              <w:t>5,765,233</w:t>
            </w:r>
          </w:p>
        </w:tc>
        <w:tc>
          <w:tcPr>
            <w:tcW w:w="50" w:type="pct"/>
            <w:tcBorders>
              <w:bottom w:val="double" w:sz="6" w:space="0" w:color="000000"/>
            </w:tcBorders>
            <w:shd w:val="clear" w:color="auto" w:fill="FFFFFF"/>
            <w:vAlign w:val="bottom"/>
            <w:hideMark/>
          </w:tcPr>
          <w:p w14:paraId="5503DAB6"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FEA6D75"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F75E637" w14:textId="77777777" w:rsidR="00000000" w:rsidRDefault="0053651E">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90D951C" w14:textId="77777777" w:rsidR="00000000" w:rsidRDefault="0053651E">
            <w:pPr>
              <w:jc w:val="right"/>
              <w:rPr>
                <w:rFonts w:eastAsia="Times New Roman"/>
                <w:sz w:val="16"/>
                <w:szCs w:val="16"/>
              </w:rPr>
            </w:pPr>
            <w:r>
              <w:rPr>
                <w:rFonts w:eastAsia="Times New Roman"/>
                <w:sz w:val="16"/>
                <w:szCs w:val="16"/>
              </w:rPr>
              <w:t>4,864,892</w:t>
            </w:r>
          </w:p>
        </w:tc>
        <w:tc>
          <w:tcPr>
            <w:tcW w:w="50" w:type="pct"/>
            <w:shd w:val="clear" w:color="auto" w:fill="FFFFFF"/>
            <w:vAlign w:val="bottom"/>
            <w:hideMark/>
          </w:tcPr>
          <w:p w14:paraId="791E37CC"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4F8B24"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199ABA2" w14:textId="77777777" w:rsidR="00000000" w:rsidRDefault="0053651E">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F5A5199" w14:textId="77777777" w:rsidR="00000000" w:rsidRDefault="0053651E">
            <w:pPr>
              <w:jc w:val="right"/>
              <w:rPr>
                <w:rFonts w:eastAsia="Times New Roman"/>
                <w:sz w:val="16"/>
                <w:szCs w:val="16"/>
              </w:rPr>
            </w:pPr>
            <w:r>
              <w:rPr>
                <w:rFonts w:eastAsia="Times New Roman"/>
                <w:sz w:val="16"/>
                <w:szCs w:val="16"/>
              </w:rPr>
              <w:t>64,015</w:t>
            </w:r>
          </w:p>
        </w:tc>
        <w:tc>
          <w:tcPr>
            <w:tcW w:w="50" w:type="pct"/>
            <w:shd w:val="clear" w:color="auto" w:fill="FFFFFF"/>
            <w:vAlign w:val="bottom"/>
            <w:hideMark/>
          </w:tcPr>
          <w:p w14:paraId="26F93C11" w14:textId="77777777" w:rsidR="00000000" w:rsidRDefault="0053651E">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8217B7" w14:textId="77777777" w:rsidR="00000000" w:rsidRDefault="0053651E">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3D4A285" w14:textId="77777777" w:rsidR="00000000" w:rsidRDefault="0053651E">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5F6B9664" w14:textId="77777777" w:rsidR="00000000" w:rsidRDefault="0053651E">
            <w:pPr>
              <w:jc w:val="right"/>
              <w:rPr>
                <w:rFonts w:eastAsia="Times New Roman"/>
                <w:sz w:val="16"/>
                <w:szCs w:val="16"/>
              </w:rPr>
            </w:pPr>
            <w:r>
              <w:rPr>
                <w:rFonts w:eastAsia="Times New Roman"/>
                <w:sz w:val="16"/>
                <w:szCs w:val="16"/>
              </w:rPr>
              <w:t>4,928,907</w:t>
            </w:r>
          </w:p>
        </w:tc>
        <w:tc>
          <w:tcPr>
            <w:tcW w:w="50" w:type="pct"/>
            <w:shd w:val="clear" w:color="auto" w:fill="FFFFFF"/>
            <w:tcMar>
              <w:top w:w="0" w:type="dxa"/>
              <w:left w:w="0" w:type="dxa"/>
              <w:bottom w:w="45" w:type="dxa"/>
              <w:right w:w="0" w:type="dxa"/>
            </w:tcMar>
            <w:vAlign w:val="bottom"/>
            <w:hideMark/>
          </w:tcPr>
          <w:p w14:paraId="3D755E82" w14:textId="77777777" w:rsidR="00000000" w:rsidRDefault="0053651E">
            <w:pPr>
              <w:rPr>
                <w:rFonts w:eastAsia="Times New Roman"/>
                <w:sz w:val="16"/>
                <w:szCs w:val="16"/>
              </w:rPr>
            </w:pPr>
            <w:r>
              <w:rPr>
                <w:rFonts w:eastAsia="Times New Roman"/>
                <w:sz w:val="16"/>
                <w:szCs w:val="16"/>
              </w:rPr>
              <w:t> </w:t>
            </w:r>
          </w:p>
        </w:tc>
      </w:tr>
    </w:tbl>
    <w:p w14:paraId="4B21768C"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831C5C2" w14:textId="77777777">
        <w:trPr>
          <w:tblCellSpacing w:w="0" w:type="dxa"/>
        </w:trPr>
        <w:tc>
          <w:tcPr>
            <w:tcW w:w="360" w:type="dxa"/>
            <w:hideMark/>
          </w:tcPr>
          <w:p w14:paraId="5DCDB46C" w14:textId="77777777" w:rsidR="00000000" w:rsidRDefault="0053651E">
            <w:pPr>
              <w:rPr>
                <w:rFonts w:eastAsia="Times New Roman"/>
              </w:rPr>
            </w:pPr>
            <w:r>
              <w:rPr>
                <w:rFonts w:eastAsia="Times New Roman"/>
              </w:rPr>
              <w:t> </w:t>
            </w:r>
          </w:p>
        </w:tc>
        <w:tc>
          <w:tcPr>
            <w:tcW w:w="360" w:type="dxa"/>
            <w:hideMark/>
          </w:tcPr>
          <w:p w14:paraId="378F6BBA" w14:textId="77777777" w:rsidR="00000000" w:rsidRDefault="0053651E">
            <w:pPr>
              <w:pStyle w:val="a3"/>
              <w:spacing w:before="0" w:beforeAutospacing="0" w:after="0" w:afterAutospacing="0"/>
              <w:rPr>
                <w:sz w:val="20"/>
                <w:szCs w:val="20"/>
              </w:rPr>
            </w:pPr>
            <w:r>
              <w:rPr>
                <w:sz w:val="20"/>
                <w:szCs w:val="20"/>
              </w:rPr>
              <w:t>(1)</w:t>
            </w:r>
          </w:p>
        </w:tc>
        <w:tc>
          <w:tcPr>
            <w:tcW w:w="0" w:type="auto"/>
            <w:hideMark/>
          </w:tcPr>
          <w:p w14:paraId="142485E8" w14:textId="77777777" w:rsidR="00000000" w:rsidRDefault="0053651E">
            <w:pPr>
              <w:pStyle w:val="a3"/>
              <w:spacing w:before="0" w:beforeAutospacing="0" w:after="0" w:afterAutospacing="0"/>
              <w:rPr>
                <w:sz w:val="20"/>
                <w:szCs w:val="20"/>
              </w:rPr>
            </w:pPr>
            <w:r>
              <w:rPr>
                <w:sz w:val="20"/>
                <w:szCs w:val="20"/>
              </w:rPr>
              <w:t>Represents the impact of change in accounting principles for its respective Accounting Standard Updates ("ASU").  See Footnote 1 of the Notes to the Consolidated Financial Statements for additional disclosure.</w:t>
            </w:r>
          </w:p>
        </w:tc>
      </w:tr>
    </w:tbl>
    <w:p w14:paraId="087C9153" w14:textId="77777777" w:rsidR="00000000" w:rsidRDefault="0053651E">
      <w:pPr>
        <w:pStyle w:val="a3"/>
        <w:spacing w:before="0" w:beforeAutospacing="0" w:after="0" w:afterAutospacing="0"/>
        <w:rPr>
          <w:sz w:val="20"/>
          <w:szCs w:val="20"/>
        </w:rPr>
      </w:pPr>
      <w:r>
        <w:rPr>
          <w:sz w:val="20"/>
          <w:szCs w:val="20"/>
        </w:rPr>
        <w:t> </w:t>
      </w:r>
    </w:p>
    <w:p w14:paraId="2DDFDB92" w14:textId="77777777" w:rsidR="00000000" w:rsidRDefault="0053651E">
      <w:pPr>
        <w:pStyle w:val="a3"/>
        <w:spacing w:before="0" w:beforeAutospacing="0" w:after="0" w:afterAutospacing="0"/>
        <w:jc w:val="center"/>
        <w:rPr>
          <w:sz w:val="20"/>
          <w:szCs w:val="20"/>
        </w:rPr>
      </w:pPr>
      <w:r>
        <w:rPr>
          <w:sz w:val="20"/>
          <w:szCs w:val="20"/>
        </w:rPr>
        <w:t>The accompanying notes are an integral part</w:t>
      </w:r>
      <w:r>
        <w:rPr>
          <w:sz w:val="20"/>
          <w:szCs w:val="20"/>
        </w:rPr>
        <w:t xml:space="preserve"> of these consolidated financial statements.</w:t>
      </w:r>
    </w:p>
    <w:p w14:paraId="7FF72F46" w14:textId="77777777" w:rsidR="00000000" w:rsidRDefault="0053651E">
      <w:pPr>
        <w:pStyle w:val="a3"/>
        <w:spacing w:before="0" w:beforeAutospacing="0" w:after="0" w:afterAutospacing="0"/>
        <w:jc w:val="center"/>
        <w:rPr>
          <w:sz w:val="20"/>
          <w:szCs w:val="20"/>
        </w:rPr>
      </w:pPr>
      <w:r>
        <w:rPr>
          <w:sz w:val="20"/>
          <w:szCs w:val="20"/>
        </w:rPr>
        <w:t> </w:t>
      </w:r>
    </w:p>
    <w:p w14:paraId="48DD9C52" w14:textId="77777777" w:rsidR="00000000" w:rsidRDefault="0053651E">
      <w:pPr>
        <w:jc w:val="center"/>
        <w:divId w:val="866143987"/>
        <w:rPr>
          <w:rFonts w:eastAsia="Times New Roman"/>
          <w:sz w:val="20"/>
          <w:szCs w:val="20"/>
        </w:rPr>
      </w:pPr>
      <w:r>
        <w:rPr>
          <w:rFonts w:eastAsia="Times New Roman"/>
          <w:sz w:val="20"/>
          <w:szCs w:val="20"/>
        </w:rPr>
        <w:t xml:space="preserve">47 </w:t>
      </w:r>
    </w:p>
    <w:p w14:paraId="78C2D46C" w14:textId="77777777" w:rsidR="00000000" w:rsidRDefault="0053651E">
      <w:pPr>
        <w:divId w:val="866143987"/>
        <w:rPr>
          <w:rFonts w:eastAsia="Times New Roman"/>
          <w:sz w:val="20"/>
          <w:szCs w:val="20"/>
        </w:rPr>
      </w:pPr>
      <w:r>
        <w:rPr>
          <w:rFonts w:eastAsia="Times New Roman"/>
          <w:sz w:val="20"/>
          <w:szCs w:val="20"/>
        </w:rPr>
        <w:pict w14:anchorId="6F81016D">
          <v:rect id="_x0000_i1078" style="width:0;height:1.5pt" o:hralign="center" o:hrstd="t" o:hr="t" fillcolor="#a0a0a0" stroked="f"/>
        </w:pict>
      </w:r>
    </w:p>
    <w:p w14:paraId="655C1CE2" w14:textId="77777777" w:rsidR="00000000" w:rsidRDefault="0053651E">
      <w:pPr>
        <w:divId w:val="8661439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9CCE870" w14:textId="77777777" w:rsidR="00000000" w:rsidRDefault="0053651E">
      <w:pPr>
        <w:divId w:val="1737584322"/>
        <w:rPr>
          <w:rFonts w:eastAsia="Times New Roman"/>
          <w:sz w:val="20"/>
          <w:szCs w:val="20"/>
        </w:rPr>
      </w:pPr>
      <w:r>
        <w:rPr>
          <w:rFonts w:eastAsia="Times New Roman"/>
          <w:sz w:val="20"/>
          <w:szCs w:val="20"/>
        </w:rPr>
        <w:t xml:space="preserve">  </w:t>
      </w:r>
    </w:p>
    <w:p w14:paraId="64FDDE76" w14:textId="77777777" w:rsidR="00000000" w:rsidRDefault="0053651E">
      <w:pPr>
        <w:pStyle w:val="a3"/>
        <w:spacing w:before="0" w:beforeAutospacing="0" w:after="0" w:afterAutospacing="0"/>
        <w:rPr>
          <w:sz w:val="20"/>
          <w:szCs w:val="20"/>
        </w:rPr>
      </w:pPr>
      <w:r>
        <w:rPr>
          <w:sz w:val="20"/>
          <w:szCs w:val="20"/>
        </w:rPr>
        <w:t> </w:t>
      </w:r>
    </w:p>
    <w:p w14:paraId="7A4C4388"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5AC7C379" w14:textId="77777777" w:rsidR="00000000" w:rsidRDefault="0053651E">
      <w:pPr>
        <w:pStyle w:val="a3"/>
        <w:spacing w:before="0" w:beforeAutospacing="0" w:after="0" w:afterAutospacing="0"/>
        <w:jc w:val="center"/>
        <w:rPr>
          <w:sz w:val="20"/>
          <w:szCs w:val="20"/>
        </w:rPr>
      </w:pPr>
      <w:r>
        <w:rPr>
          <w:sz w:val="20"/>
          <w:szCs w:val="20"/>
        </w:rPr>
        <w:t>CONSOLIDATED STATEMENTS OF CASH FLOWS</w:t>
      </w:r>
    </w:p>
    <w:p w14:paraId="3CA2D798" w14:textId="77777777" w:rsidR="00000000" w:rsidRDefault="0053651E">
      <w:pPr>
        <w:pStyle w:val="a3"/>
        <w:spacing w:before="0" w:beforeAutospacing="0" w:after="0" w:afterAutospacing="0"/>
        <w:jc w:val="center"/>
        <w:rPr>
          <w:sz w:val="20"/>
          <w:szCs w:val="20"/>
        </w:rPr>
      </w:pPr>
      <w:r>
        <w:rPr>
          <w:sz w:val="20"/>
          <w:szCs w:val="20"/>
        </w:rPr>
        <w:t>(in thousands)</w:t>
      </w:r>
    </w:p>
    <w:p w14:paraId="4E35A581" w14:textId="77777777" w:rsidR="00000000" w:rsidRDefault="0053651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14:paraId="3C2B680E" w14:textId="77777777">
        <w:trPr>
          <w:divId w:val="83963851"/>
          <w:tblCellSpacing w:w="0" w:type="dxa"/>
        </w:trPr>
        <w:tc>
          <w:tcPr>
            <w:tcW w:w="0" w:type="auto"/>
            <w:vAlign w:val="bottom"/>
            <w:hideMark/>
          </w:tcPr>
          <w:p w14:paraId="7B1B240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B42C68F" w14:textId="77777777" w:rsidR="00000000" w:rsidRDefault="0053651E">
            <w:pPr>
              <w:rPr>
                <w:rFonts w:eastAsia="Times New Roman"/>
                <w:sz w:val="20"/>
                <w:szCs w:val="20"/>
              </w:rPr>
            </w:pPr>
            <w:r>
              <w:rPr>
                <w:rFonts w:eastAsia="Times New Roman"/>
                <w:sz w:val="20"/>
                <w:szCs w:val="20"/>
              </w:rPr>
              <w:t> </w:t>
            </w:r>
          </w:p>
        </w:tc>
        <w:tc>
          <w:tcPr>
            <w:tcW w:w="0" w:type="auto"/>
            <w:gridSpan w:val="10"/>
            <w:vAlign w:val="bottom"/>
            <w:hideMark/>
          </w:tcPr>
          <w:p w14:paraId="2BC852DD"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14:paraId="3F1FA5E0" w14:textId="77777777" w:rsidR="00000000" w:rsidRDefault="0053651E">
            <w:pPr>
              <w:rPr>
                <w:rFonts w:eastAsia="Times New Roman"/>
                <w:sz w:val="20"/>
                <w:szCs w:val="20"/>
              </w:rPr>
            </w:pPr>
            <w:r>
              <w:rPr>
                <w:rFonts w:eastAsia="Times New Roman"/>
                <w:sz w:val="20"/>
                <w:szCs w:val="20"/>
              </w:rPr>
              <w:t> </w:t>
            </w:r>
          </w:p>
        </w:tc>
      </w:tr>
      <w:tr w:rsidR="00000000" w14:paraId="6E52108C" w14:textId="77777777">
        <w:trPr>
          <w:divId w:val="83963851"/>
          <w:tblCellSpacing w:w="0" w:type="dxa"/>
        </w:trPr>
        <w:tc>
          <w:tcPr>
            <w:tcW w:w="0" w:type="auto"/>
            <w:vAlign w:val="bottom"/>
            <w:hideMark/>
          </w:tcPr>
          <w:p w14:paraId="6843A73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672E9C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17F80B7"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379A4E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CB8032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A5D5D8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AD9ACF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BCCED6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BB4288"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0DF44043" w14:textId="77777777" w:rsidR="00000000" w:rsidRDefault="0053651E">
            <w:pPr>
              <w:rPr>
                <w:rFonts w:eastAsia="Times New Roman"/>
                <w:sz w:val="20"/>
                <w:szCs w:val="20"/>
              </w:rPr>
            </w:pPr>
            <w:r>
              <w:rPr>
                <w:rFonts w:eastAsia="Times New Roman"/>
                <w:sz w:val="20"/>
                <w:szCs w:val="20"/>
              </w:rPr>
              <w:t> </w:t>
            </w:r>
          </w:p>
        </w:tc>
      </w:tr>
      <w:tr w:rsidR="00000000" w14:paraId="37CF97D3" w14:textId="77777777">
        <w:trPr>
          <w:divId w:val="83963851"/>
          <w:tblCellSpacing w:w="0" w:type="dxa"/>
        </w:trPr>
        <w:tc>
          <w:tcPr>
            <w:tcW w:w="0" w:type="auto"/>
            <w:vAlign w:val="bottom"/>
            <w:hideMark/>
          </w:tcPr>
          <w:p w14:paraId="5D51AC4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14A8BA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3DBCB6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215EF9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E94C21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BE7484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2CC5D6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528063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B82747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6BB044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FA0B63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37C522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369402B" w14:textId="77777777" w:rsidR="00000000" w:rsidRDefault="0053651E">
            <w:pPr>
              <w:rPr>
                <w:rFonts w:eastAsia="Times New Roman"/>
                <w:sz w:val="20"/>
                <w:szCs w:val="20"/>
              </w:rPr>
            </w:pPr>
            <w:r>
              <w:rPr>
                <w:rFonts w:eastAsia="Times New Roman"/>
                <w:sz w:val="20"/>
                <w:szCs w:val="20"/>
              </w:rPr>
              <w:t> </w:t>
            </w:r>
          </w:p>
        </w:tc>
      </w:tr>
      <w:tr w:rsidR="00000000" w14:paraId="5B035AD9" w14:textId="77777777">
        <w:trPr>
          <w:divId w:val="83963851"/>
          <w:tblCellSpacing w:w="0" w:type="dxa"/>
        </w:trPr>
        <w:tc>
          <w:tcPr>
            <w:tcW w:w="2750" w:type="pct"/>
            <w:shd w:val="clear" w:color="auto" w:fill="CCEEFF"/>
            <w:vAlign w:val="bottom"/>
            <w:hideMark/>
          </w:tcPr>
          <w:p w14:paraId="32004A34" w14:textId="77777777" w:rsidR="00000000" w:rsidRDefault="0053651E">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502B6A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0D6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C73E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7D8C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560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1A7C6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3264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047B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4CDE4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F706C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CAFB3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47CC6" w14:textId="77777777" w:rsidR="00000000" w:rsidRDefault="0053651E">
            <w:pPr>
              <w:rPr>
                <w:rFonts w:eastAsia="Times New Roman"/>
                <w:sz w:val="20"/>
                <w:szCs w:val="20"/>
              </w:rPr>
            </w:pPr>
            <w:r>
              <w:rPr>
                <w:rFonts w:eastAsia="Times New Roman"/>
                <w:sz w:val="20"/>
                <w:szCs w:val="20"/>
              </w:rPr>
              <w:t> </w:t>
            </w:r>
          </w:p>
        </w:tc>
      </w:tr>
      <w:tr w:rsidR="00000000" w14:paraId="2C6271B7" w14:textId="77777777">
        <w:trPr>
          <w:divId w:val="83963851"/>
          <w:tblCellSpacing w:w="0" w:type="dxa"/>
        </w:trPr>
        <w:tc>
          <w:tcPr>
            <w:tcW w:w="0" w:type="auto"/>
            <w:shd w:val="clear" w:color="auto" w:fill="FFFFFF"/>
            <w:vAlign w:val="bottom"/>
            <w:hideMark/>
          </w:tcPr>
          <w:p w14:paraId="2AC10E88" w14:textId="77777777" w:rsidR="00000000" w:rsidRDefault="0053651E">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4B574D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535560"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6AFF3D42" w14:textId="77777777" w:rsidR="00000000" w:rsidRDefault="0053651E">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14:paraId="5CDDF0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6820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B78D69"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2EB8CA57" w14:textId="77777777" w:rsidR="00000000" w:rsidRDefault="0053651E">
            <w:pPr>
              <w:jc w:val="right"/>
              <w:rPr>
                <w:rFonts w:eastAsia="Times New Roman"/>
                <w:sz w:val="20"/>
                <w:szCs w:val="20"/>
              </w:rPr>
            </w:pPr>
            <w:r>
              <w:rPr>
                <w:rFonts w:eastAsia="Times New Roman"/>
                <w:sz w:val="20"/>
                <w:szCs w:val="20"/>
              </w:rPr>
              <w:t>498,463</w:t>
            </w:r>
          </w:p>
        </w:tc>
        <w:tc>
          <w:tcPr>
            <w:tcW w:w="50" w:type="pct"/>
            <w:shd w:val="clear" w:color="auto" w:fill="FFFFFF"/>
            <w:vAlign w:val="bottom"/>
            <w:hideMark/>
          </w:tcPr>
          <w:p w14:paraId="023733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B577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B6B9F4"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03089C90" w14:textId="77777777" w:rsidR="00000000" w:rsidRDefault="0053651E">
            <w:pPr>
              <w:jc w:val="right"/>
              <w:rPr>
                <w:rFonts w:eastAsia="Times New Roman"/>
                <w:sz w:val="20"/>
                <w:szCs w:val="20"/>
              </w:rPr>
            </w:pPr>
            <w:r>
              <w:rPr>
                <w:rFonts w:eastAsia="Times New Roman"/>
                <w:sz w:val="20"/>
                <w:szCs w:val="20"/>
              </w:rPr>
              <w:t>439,671</w:t>
            </w:r>
          </w:p>
        </w:tc>
        <w:tc>
          <w:tcPr>
            <w:tcW w:w="50" w:type="pct"/>
            <w:shd w:val="clear" w:color="auto" w:fill="FFFFFF"/>
            <w:vAlign w:val="bottom"/>
            <w:hideMark/>
          </w:tcPr>
          <w:p w14:paraId="7C6AE865" w14:textId="77777777" w:rsidR="00000000" w:rsidRDefault="0053651E">
            <w:pPr>
              <w:rPr>
                <w:rFonts w:eastAsia="Times New Roman"/>
                <w:sz w:val="20"/>
                <w:szCs w:val="20"/>
              </w:rPr>
            </w:pPr>
            <w:r>
              <w:rPr>
                <w:rFonts w:eastAsia="Times New Roman"/>
                <w:sz w:val="20"/>
                <w:szCs w:val="20"/>
              </w:rPr>
              <w:t> </w:t>
            </w:r>
          </w:p>
        </w:tc>
      </w:tr>
      <w:tr w:rsidR="00000000" w14:paraId="47826949" w14:textId="77777777">
        <w:trPr>
          <w:divId w:val="83963851"/>
          <w:tblCellSpacing w:w="0" w:type="dxa"/>
        </w:trPr>
        <w:tc>
          <w:tcPr>
            <w:tcW w:w="0" w:type="auto"/>
            <w:shd w:val="clear" w:color="auto" w:fill="CCEEFF"/>
            <w:vAlign w:val="bottom"/>
            <w:hideMark/>
          </w:tcPr>
          <w:p w14:paraId="57B1502C" w14:textId="77777777" w:rsidR="00000000" w:rsidRDefault="0053651E">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485D87E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322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CC3B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BFD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B55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944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FF2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1A7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327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8B3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FFCE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550A8C" w14:textId="77777777" w:rsidR="00000000" w:rsidRDefault="0053651E">
            <w:pPr>
              <w:rPr>
                <w:rFonts w:eastAsia="Times New Roman"/>
                <w:sz w:val="20"/>
                <w:szCs w:val="20"/>
              </w:rPr>
            </w:pPr>
            <w:r>
              <w:rPr>
                <w:rFonts w:eastAsia="Times New Roman"/>
                <w:sz w:val="20"/>
                <w:szCs w:val="20"/>
              </w:rPr>
              <w:t> </w:t>
            </w:r>
          </w:p>
        </w:tc>
      </w:tr>
      <w:tr w:rsidR="00000000" w14:paraId="1D4BE853" w14:textId="77777777">
        <w:trPr>
          <w:divId w:val="83963851"/>
          <w:tblCellSpacing w:w="0" w:type="dxa"/>
        </w:trPr>
        <w:tc>
          <w:tcPr>
            <w:tcW w:w="0" w:type="auto"/>
            <w:shd w:val="clear" w:color="auto" w:fill="FFFFFF"/>
            <w:vAlign w:val="bottom"/>
            <w:hideMark/>
          </w:tcPr>
          <w:p w14:paraId="710DF9D9" w14:textId="77777777" w:rsidR="00000000" w:rsidRDefault="0053651E">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4036DB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A250F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086486" w14:textId="77777777" w:rsidR="00000000" w:rsidRDefault="0053651E">
            <w:pPr>
              <w:jc w:val="right"/>
              <w:rPr>
                <w:rFonts w:eastAsia="Times New Roman"/>
                <w:sz w:val="20"/>
                <w:szCs w:val="20"/>
              </w:rPr>
            </w:pPr>
            <w:r>
              <w:rPr>
                <w:rFonts w:eastAsia="Times New Roman"/>
                <w:sz w:val="20"/>
                <w:szCs w:val="20"/>
              </w:rPr>
              <w:t>277,879</w:t>
            </w:r>
          </w:p>
        </w:tc>
        <w:tc>
          <w:tcPr>
            <w:tcW w:w="50" w:type="pct"/>
            <w:shd w:val="clear" w:color="auto" w:fill="FFFFFF"/>
            <w:vAlign w:val="bottom"/>
            <w:hideMark/>
          </w:tcPr>
          <w:p w14:paraId="3E0558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1754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10EC9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4514B12" w14:textId="77777777" w:rsidR="00000000" w:rsidRDefault="0053651E">
            <w:pPr>
              <w:jc w:val="right"/>
              <w:rPr>
                <w:rFonts w:eastAsia="Times New Roman"/>
                <w:sz w:val="20"/>
                <w:szCs w:val="20"/>
              </w:rPr>
            </w:pPr>
            <w:r>
              <w:rPr>
                <w:rFonts w:eastAsia="Times New Roman"/>
                <w:sz w:val="20"/>
                <w:szCs w:val="20"/>
              </w:rPr>
              <w:t>310,380</w:t>
            </w:r>
          </w:p>
        </w:tc>
        <w:tc>
          <w:tcPr>
            <w:tcW w:w="50" w:type="pct"/>
            <w:shd w:val="clear" w:color="auto" w:fill="FFFFFF"/>
            <w:vAlign w:val="bottom"/>
            <w:hideMark/>
          </w:tcPr>
          <w:p w14:paraId="6DB9F9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986B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4F540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581C0A" w14:textId="77777777" w:rsidR="00000000" w:rsidRDefault="0053651E">
            <w:pPr>
              <w:jc w:val="right"/>
              <w:rPr>
                <w:rFonts w:eastAsia="Times New Roman"/>
                <w:sz w:val="20"/>
                <w:szCs w:val="20"/>
              </w:rPr>
            </w:pPr>
            <w:r>
              <w:rPr>
                <w:rFonts w:eastAsia="Times New Roman"/>
                <w:sz w:val="20"/>
                <w:szCs w:val="20"/>
              </w:rPr>
              <w:t>360,811</w:t>
            </w:r>
          </w:p>
        </w:tc>
        <w:tc>
          <w:tcPr>
            <w:tcW w:w="50" w:type="pct"/>
            <w:shd w:val="clear" w:color="auto" w:fill="FFFFFF"/>
            <w:vAlign w:val="bottom"/>
            <w:hideMark/>
          </w:tcPr>
          <w:p w14:paraId="713870CA" w14:textId="77777777" w:rsidR="00000000" w:rsidRDefault="0053651E">
            <w:pPr>
              <w:rPr>
                <w:rFonts w:eastAsia="Times New Roman"/>
                <w:sz w:val="20"/>
                <w:szCs w:val="20"/>
              </w:rPr>
            </w:pPr>
            <w:r>
              <w:rPr>
                <w:rFonts w:eastAsia="Times New Roman"/>
                <w:sz w:val="20"/>
                <w:szCs w:val="20"/>
              </w:rPr>
              <w:t> </w:t>
            </w:r>
          </w:p>
        </w:tc>
      </w:tr>
      <w:tr w:rsidR="00000000" w14:paraId="6CE62450" w14:textId="77777777">
        <w:trPr>
          <w:divId w:val="83963851"/>
          <w:tblCellSpacing w:w="0" w:type="dxa"/>
        </w:trPr>
        <w:tc>
          <w:tcPr>
            <w:tcW w:w="0" w:type="auto"/>
            <w:shd w:val="clear" w:color="auto" w:fill="CCEEFF"/>
            <w:vAlign w:val="bottom"/>
            <w:hideMark/>
          </w:tcPr>
          <w:p w14:paraId="041C8435" w14:textId="77777777" w:rsidR="00000000" w:rsidRDefault="0053651E">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5508A6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F1976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4AE041" w14:textId="77777777" w:rsidR="00000000" w:rsidRDefault="0053651E">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14:paraId="4589E5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98E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478DA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113F64" w14:textId="77777777" w:rsidR="00000000" w:rsidRDefault="0053651E">
            <w:pPr>
              <w:jc w:val="right"/>
              <w:rPr>
                <w:rFonts w:eastAsia="Times New Roman"/>
                <w:sz w:val="20"/>
                <w:szCs w:val="20"/>
              </w:rPr>
            </w:pPr>
            <w:r>
              <w:rPr>
                <w:rFonts w:eastAsia="Times New Roman"/>
                <w:sz w:val="20"/>
                <w:szCs w:val="20"/>
              </w:rPr>
              <w:t>79,207</w:t>
            </w:r>
          </w:p>
        </w:tc>
        <w:tc>
          <w:tcPr>
            <w:tcW w:w="50" w:type="pct"/>
            <w:shd w:val="clear" w:color="auto" w:fill="CCEEFF"/>
            <w:vAlign w:val="bottom"/>
            <w:hideMark/>
          </w:tcPr>
          <w:p w14:paraId="1FB9BA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2F76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D74CE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4AD74AF" w14:textId="77777777" w:rsidR="00000000" w:rsidRDefault="0053651E">
            <w:pPr>
              <w:jc w:val="right"/>
              <w:rPr>
                <w:rFonts w:eastAsia="Times New Roman"/>
                <w:sz w:val="20"/>
                <w:szCs w:val="20"/>
              </w:rPr>
            </w:pPr>
            <w:r>
              <w:rPr>
                <w:rFonts w:eastAsia="Times New Roman"/>
                <w:sz w:val="20"/>
                <w:szCs w:val="20"/>
              </w:rPr>
              <w:t>67,331</w:t>
            </w:r>
          </w:p>
        </w:tc>
        <w:tc>
          <w:tcPr>
            <w:tcW w:w="50" w:type="pct"/>
            <w:shd w:val="clear" w:color="auto" w:fill="CCEEFF"/>
            <w:vAlign w:val="bottom"/>
            <w:hideMark/>
          </w:tcPr>
          <w:p w14:paraId="6D623DB4" w14:textId="77777777" w:rsidR="00000000" w:rsidRDefault="0053651E">
            <w:pPr>
              <w:rPr>
                <w:rFonts w:eastAsia="Times New Roman"/>
                <w:sz w:val="20"/>
                <w:szCs w:val="20"/>
              </w:rPr>
            </w:pPr>
            <w:r>
              <w:rPr>
                <w:rFonts w:eastAsia="Times New Roman"/>
                <w:sz w:val="20"/>
                <w:szCs w:val="20"/>
              </w:rPr>
              <w:t> </w:t>
            </w:r>
          </w:p>
        </w:tc>
      </w:tr>
      <w:tr w:rsidR="00000000" w14:paraId="2F30740B" w14:textId="77777777">
        <w:trPr>
          <w:divId w:val="83963851"/>
          <w:tblCellSpacing w:w="0" w:type="dxa"/>
        </w:trPr>
        <w:tc>
          <w:tcPr>
            <w:tcW w:w="0" w:type="auto"/>
            <w:shd w:val="clear" w:color="auto" w:fill="FFFFFF"/>
            <w:vAlign w:val="bottom"/>
            <w:hideMark/>
          </w:tcPr>
          <w:p w14:paraId="540C1011" w14:textId="77777777" w:rsidR="00000000" w:rsidRDefault="0053651E">
            <w:pPr>
              <w:pStyle w:val="a3"/>
              <w:spacing w:before="0" w:beforeAutospacing="0" w:after="0" w:afterAutospacing="0"/>
              <w:ind w:left="360"/>
              <w:rPr>
                <w:sz w:val="20"/>
                <w:szCs w:val="20"/>
              </w:rPr>
            </w:pPr>
            <w:r>
              <w:rPr>
                <w:sz w:val="20"/>
                <w:szCs w:val="20"/>
              </w:rPr>
              <w:t>Deferred taxes</w:t>
            </w:r>
          </w:p>
        </w:tc>
        <w:tc>
          <w:tcPr>
            <w:tcW w:w="50" w:type="pct"/>
            <w:shd w:val="clear" w:color="auto" w:fill="FFFFFF"/>
            <w:vAlign w:val="bottom"/>
            <w:hideMark/>
          </w:tcPr>
          <w:p w14:paraId="6DD131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6590E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C7418B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CE55D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375D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0ED8B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9D341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AE4D6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FBA1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5EBD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0157DE8" w14:textId="77777777" w:rsidR="00000000" w:rsidRDefault="0053651E">
            <w:pPr>
              <w:jc w:val="right"/>
              <w:rPr>
                <w:rFonts w:eastAsia="Times New Roman"/>
                <w:sz w:val="20"/>
                <w:szCs w:val="20"/>
              </w:rPr>
            </w:pPr>
            <w:r>
              <w:rPr>
                <w:rFonts w:eastAsia="Times New Roman"/>
                <w:sz w:val="20"/>
                <w:szCs w:val="20"/>
              </w:rPr>
              <w:t>807</w:t>
            </w:r>
          </w:p>
        </w:tc>
        <w:tc>
          <w:tcPr>
            <w:tcW w:w="50" w:type="pct"/>
            <w:shd w:val="clear" w:color="auto" w:fill="FFFFFF"/>
            <w:vAlign w:val="bottom"/>
            <w:hideMark/>
          </w:tcPr>
          <w:p w14:paraId="038C0F37" w14:textId="77777777" w:rsidR="00000000" w:rsidRDefault="0053651E">
            <w:pPr>
              <w:rPr>
                <w:rFonts w:eastAsia="Times New Roman"/>
                <w:sz w:val="20"/>
                <w:szCs w:val="20"/>
              </w:rPr>
            </w:pPr>
            <w:r>
              <w:rPr>
                <w:rFonts w:eastAsia="Times New Roman"/>
                <w:sz w:val="20"/>
                <w:szCs w:val="20"/>
              </w:rPr>
              <w:t> </w:t>
            </w:r>
          </w:p>
        </w:tc>
      </w:tr>
      <w:tr w:rsidR="00000000" w14:paraId="5F369C84" w14:textId="77777777">
        <w:trPr>
          <w:divId w:val="83963851"/>
          <w:tblCellSpacing w:w="0" w:type="dxa"/>
        </w:trPr>
        <w:tc>
          <w:tcPr>
            <w:tcW w:w="0" w:type="auto"/>
            <w:shd w:val="clear" w:color="auto" w:fill="CCEEFF"/>
            <w:vAlign w:val="bottom"/>
            <w:hideMark/>
          </w:tcPr>
          <w:p w14:paraId="70E09346" w14:textId="77777777" w:rsidR="00000000" w:rsidRDefault="0053651E">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CCEEFF"/>
            <w:vAlign w:val="bottom"/>
            <w:hideMark/>
          </w:tcPr>
          <w:p w14:paraId="727ED6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0AC42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1341E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4D487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63C1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122D9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26B7A62" w14:textId="77777777" w:rsidR="00000000" w:rsidRDefault="0053651E">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14:paraId="1042BF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B91F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0BFC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DDF12D" w14:textId="77777777" w:rsidR="00000000" w:rsidRDefault="0053651E">
            <w:pPr>
              <w:jc w:val="right"/>
              <w:rPr>
                <w:rFonts w:eastAsia="Times New Roman"/>
                <w:sz w:val="20"/>
                <w:szCs w:val="20"/>
              </w:rPr>
            </w:pPr>
            <w:r>
              <w:rPr>
                <w:rFonts w:eastAsia="Times New Roman"/>
                <w:sz w:val="20"/>
                <w:szCs w:val="20"/>
              </w:rPr>
              <w:t>1,753</w:t>
            </w:r>
          </w:p>
        </w:tc>
        <w:tc>
          <w:tcPr>
            <w:tcW w:w="50" w:type="pct"/>
            <w:shd w:val="clear" w:color="auto" w:fill="CCEEFF"/>
            <w:vAlign w:val="bottom"/>
            <w:hideMark/>
          </w:tcPr>
          <w:p w14:paraId="637A2051" w14:textId="77777777" w:rsidR="00000000" w:rsidRDefault="0053651E">
            <w:pPr>
              <w:rPr>
                <w:rFonts w:eastAsia="Times New Roman"/>
                <w:sz w:val="20"/>
                <w:szCs w:val="20"/>
              </w:rPr>
            </w:pPr>
            <w:r>
              <w:rPr>
                <w:rFonts w:eastAsia="Times New Roman"/>
                <w:sz w:val="20"/>
                <w:szCs w:val="20"/>
              </w:rPr>
              <w:t> </w:t>
            </w:r>
          </w:p>
        </w:tc>
      </w:tr>
      <w:tr w:rsidR="00000000" w14:paraId="348F2C47" w14:textId="77777777">
        <w:trPr>
          <w:divId w:val="83963851"/>
          <w:tblCellSpacing w:w="0" w:type="dxa"/>
        </w:trPr>
        <w:tc>
          <w:tcPr>
            <w:tcW w:w="0" w:type="auto"/>
            <w:shd w:val="clear" w:color="auto" w:fill="FFFFFF"/>
            <w:vAlign w:val="bottom"/>
            <w:hideMark/>
          </w:tcPr>
          <w:p w14:paraId="4D1F4CAB" w14:textId="77777777" w:rsidR="00000000" w:rsidRDefault="0053651E">
            <w:pPr>
              <w:pStyle w:val="a3"/>
              <w:spacing w:before="0" w:beforeAutospacing="0" w:after="0" w:afterAutospacing="0"/>
              <w:ind w:left="360"/>
              <w:rPr>
                <w:sz w:val="20"/>
                <w:szCs w:val="20"/>
              </w:rPr>
            </w:pPr>
            <w:r>
              <w:rPr>
                <w:sz w:val="20"/>
                <w:szCs w:val="20"/>
              </w:rPr>
              <w:t>Equity award expense</w:t>
            </w:r>
          </w:p>
        </w:tc>
        <w:tc>
          <w:tcPr>
            <w:tcW w:w="50" w:type="pct"/>
            <w:shd w:val="clear" w:color="auto" w:fill="FFFFFF"/>
            <w:vAlign w:val="bottom"/>
            <w:hideMark/>
          </w:tcPr>
          <w:p w14:paraId="44CD18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C4BE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D68A586" w14:textId="77777777" w:rsidR="00000000" w:rsidRDefault="0053651E">
            <w:pPr>
              <w:jc w:val="right"/>
              <w:rPr>
                <w:rFonts w:eastAsia="Times New Roman"/>
                <w:sz w:val="20"/>
                <w:szCs w:val="20"/>
              </w:rPr>
            </w:pPr>
            <w:r>
              <w:rPr>
                <w:rFonts w:eastAsia="Times New Roman"/>
                <w:sz w:val="20"/>
                <w:szCs w:val="20"/>
              </w:rPr>
              <w:t>20,200</w:t>
            </w:r>
          </w:p>
        </w:tc>
        <w:tc>
          <w:tcPr>
            <w:tcW w:w="50" w:type="pct"/>
            <w:shd w:val="clear" w:color="auto" w:fill="FFFFFF"/>
            <w:vAlign w:val="bottom"/>
            <w:hideMark/>
          </w:tcPr>
          <w:p w14:paraId="72A2DF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7422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564ED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1AF228" w14:textId="77777777" w:rsidR="00000000" w:rsidRDefault="0053651E">
            <w:pPr>
              <w:jc w:val="right"/>
              <w:rPr>
                <w:rFonts w:eastAsia="Times New Roman"/>
                <w:sz w:val="20"/>
                <w:szCs w:val="20"/>
              </w:rPr>
            </w:pPr>
            <w:r>
              <w:rPr>
                <w:rFonts w:eastAsia="Times New Roman"/>
                <w:sz w:val="20"/>
                <w:szCs w:val="20"/>
              </w:rPr>
              <w:t>18,221</w:t>
            </w:r>
          </w:p>
        </w:tc>
        <w:tc>
          <w:tcPr>
            <w:tcW w:w="50" w:type="pct"/>
            <w:shd w:val="clear" w:color="auto" w:fill="FFFFFF"/>
            <w:vAlign w:val="bottom"/>
            <w:hideMark/>
          </w:tcPr>
          <w:p w14:paraId="79C8CB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4297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C4D4A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1EE914" w14:textId="77777777" w:rsidR="00000000" w:rsidRDefault="0053651E">
            <w:pPr>
              <w:jc w:val="right"/>
              <w:rPr>
                <w:rFonts w:eastAsia="Times New Roman"/>
                <w:sz w:val="20"/>
                <w:szCs w:val="20"/>
              </w:rPr>
            </w:pPr>
            <w:r>
              <w:rPr>
                <w:rFonts w:eastAsia="Times New Roman"/>
                <w:sz w:val="20"/>
                <w:szCs w:val="20"/>
              </w:rPr>
              <w:t>21,563</w:t>
            </w:r>
          </w:p>
        </w:tc>
        <w:tc>
          <w:tcPr>
            <w:tcW w:w="50" w:type="pct"/>
            <w:shd w:val="clear" w:color="auto" w:fill="FFFFFF"/>
            <w:vAlign w:val="bottom"/>
            <w:hideMark/>
          </w:tcPr>
          <w:p w14:paraId="6EE07902" w14:textId="77777777" w:rsidR="00000000" w:rsidRDefault="0053651E">
            <w:pPr>
              <w:rPr>
                <w:rFonts w:eastAsia="Times New Roman"/>
                <w:sz w:val="20"/>
                <w:szCs w:val="20"/>
              </w:rPr>
            </w:pPr>
            <w:r>
              <w:rPr>
                <w:rFonts w:eastAsia="Times New Roman"/>
                <w:sz w:val="20"/>
                <w:szCs w:val="20"/>
              </w:rPr>
              <w:t> </w:t>
            </w:r>
          </w:p>
        </w:tc>
      </w:tr>
      <w:tr w:rsidR="00000000" w14:paraId="47DB9A14" w14:textId="77777777">
        <w:trPr>
          <w:divId w:val="83963851"/>
          <w:tblCellSpacing w:w="0" w:type="dxa"/>
        </w:trPr>
        <w:tc>
          <w:tcPr>
            <w:tcW w:w="0" w:type="auto"/>
            <w:shd w:val="clear" w:color="auto" w:fill="CCEEFF"/>
            <w:vAlign w:val="bottom"/>
            <w:hideMark/>
          </w:tcPr>
          <w:p w14:paraId="73A25EA8" w14:textId="77777777" w:rsidR="00000000" w:rsidRDefault="0053651E">
            <w:pPr>
              <w:pStyle w:val="a3"/>
              <w:spacing w:before="0" w:beforeAutospacing="0" w:after="0" w:afterAutospacing="0"/>
              <w:ind w:left="360"/>
              <w:rPr>
                <w:sz w:val="20"/>
                <w:szCs w:val="20"/>
              </w:rPr>
            </w:pPr>
            <w:r>
              <w:rPr>
                <w:sz w:val="20"/>
                <w:szCs w:val="20"/>
              </w:rPr>
              <w:t>Gain on sale of properties/change in control of interests</w:t>
            </w:r>
          </w:p>
        </w:tc>
        <w:tc>
          <w:tcPr>
            <w:tcW w:w="50" w:type="pct"/>
            <w:shd w:val="clear" w:color="auto" w:fill="CCEEFF"/>
            <w:vAlign w:val="bottom"/>
            <w:hideMark/>
          </w:tcPr>
          <w:p w14:paraId="37163C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0BBE9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C9B2283" w14:textId="77777777" w:rsidR="00000000" w:rsidRDefault="0053651E">
            <w:pPr>
              <w:jc w:val="right"/>
              <w:rPr>
                <w:rFonts w:eastAsia="Times New Roman"/>
                <w:sz w:val="20"/>
                <w:szCs w:val="20"/>
              </w:rPr>
            </w:pPr>
            <w:r>
              <w:rPr>
                <w:rFonts w:eastAsia="Times New Roman"/>
                <w:sz w:val="20"/>
                <w:szCs w:val="20"/>
              </w:rPr>
              <w:t>(79,218</w:t>
            </w:r>
          </w:p>
        </w:tc>
        <w:tc>
          <w:tcPr>
            <w:tcW w:w="50" w:type="pct"/>
            <w:shd w:val="clear" w:color="auto" w:fill="CCEEFF"/>
            <w:vAlign w:val="bottom"/>
            <w:hideMark/>
          </w:tcPr>
          <w:p w14:paraId="2687C10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105D1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ED3F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6271F99" w14:textId="77777777" w:rsidR="00000000" w:rsidRDefault="0053651E">
            <w:pPr>
              <w:jc w:val="right"/>
              <w:rPr>
                <w:rFonts w:eastAsia="Times New Roman"/>
                <w:sz w:val="20"/>
                <w:szCs w:val="20"/>
              </w:rPr>
            </w:pPr>
            <w:r>
              <w:rPr>
                <w:rFonts w:eastAsia="Times New Roman"/>
                <w:sz w:val="20"/>
                <w:szCs w:val="20"/>
              </w:rPr>
              <w:t>(229,840</w:t>
            </w:r>
          </w:p>
        </w:tc>
        <w:tc>
          <w:tcPr>
            <w:tcW w:w="50" w:type="pct"/>
            <w:shd w:val="clear" w:color="auto" w:fill="CCEEFF"/>
            <w:vAlign w:val="bottom"/>
            <w:hideMark/>
          </w:tcPr>
          <w:p w14:paraId="65F3FB2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BF63D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9A15F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249E659" w14:textId="77777777" w:rsidR="00000000" w:rsidRDefault="0053651E">
            <w:pPr>
              <w:jc w:val="right"/>
              <w:rPr>
                <w:rFonts w:eastAsia="Times New Roman"/>
                <w:sz w:val="20"/>
                <w:szCs w:val="20"/>
              </w:rPr>
            </w:pPr>
            <w:r>
              <w:rPr>
                <w:rFonts w:eastAsia="Times New Roman"/>
                <w:sz w:val="20"/>
                <w:szCs w:val="20"/>
              </w:rPr>
              <w:t>(93,538</w:t>
            </w:r>
          </w:p>
        </w:tc>
        <w:tc>
          <w:tcPr>
            <w:tcW w:w="50" w:type="pct"/>
            <w:shd w:val="clear" w:color="auto" w:fill="CCEEFF"/>
            <w:vAlign w:val="bottom"/>
            <w:hideMark/>
          </w:tcPr>
          <w:p w14:paraId="6816A598" w14:textId="77777777" w:rsidR="00000000" w:rsidRDefault="0053651E">
            <w:pPr>
              <w:rPr>
                <w:rFonts w:eastAsia="Times New Roman"/>
                <w:sz w:val="20"/>
                <w:szCs w:val="20"/>
              </w:rPr>
            </w:pPr>
            <w:r>
              <w:rPr>
                <w:rFonts w:eastAsia="Times New Roman"/>
                <w:sz w:val="20"/>
                <w:szCs w:val="20"/>
              </w:rPr>
              <w:t>)</w:t>
            </w:r>
          </w:p>
        </w:tc>
      </w:tr>
      <w:tr w:rsidR="00000000" w14:paraId="48D115C3" w14:textId="77777777">
        <w:trPr>
          <w:divId w:val="83963851"/>
          <w:tblCellSpacing w:w="0" w:type="dxa"/>
        </w:trPr>
        <w:tc>
          <w:tcPr>
            <w:tcW w:w="0" w:type="auto"/>
            <w:shd w:val="clear" w:color="auto" w:fill="FFFFFF"/>
            <w:vAlign w:val="bottom"/>
            <w:hideMark/>
          </w:tcPr>
          <w:p w14:paraId="4EB2C449" w14:textId="77777777" w:rsidR="00000000" w:rsidRDefault="0053651E">
            <w:pPr>
              <w:pStyle w:val="a3"/>
              <w:spacing w:before="0" w:beforeAutospacing="0" w:after="0" w:afterAutospacing="0"/>
              <w:ind w:left="360"/>
              <w:rPr>
                <w:sz w:val="20"/>
                <w:szCs w:val="20"/>
              </w:rPr>
            </w:pPr>
            <w:r>
              <w:rPr>
                <w:sz w:val="20"/>
                <w:szCs w:val="20"/>
              </w:rPr>
              <w:t>Gain on change in control of joint venture interests</w:t>
            </w:r>
          </w:p>
        </w:tc>
        <w:tc>
          <w:tcPr>
            <w:tcW w:w="50" w:type="pct"/>
            <w:shd w:val="clear" w:color="auto" w:fill="FFFFFF"/>
            <w:vAlign w:val="bottom"/>
            <w:hideMark/>
          </w:tcPr>
          <w:p w14:paraId="3B2108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46500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D78C8A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DB76E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0CE8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3BE9B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8203D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6D970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B11C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F568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AC6844E" w14:textId="77777777" w:rsidR="00000000" w:rsidRDefault="0053651E">
            <w:pPr>
              <w:jc w:val="right"/>
              <w:rPr>
                <w:rFonts w:eastAsia="Times New Roman"/>
                <w:sz w:val="20"/>
                <w:szCs w:val="20"/>
              </w:rPr>
            </w:pPr>
            <w:r>
              <w:rPr>
                <w:rFonts w:eastAsia="Times New Roman"/>
                <w:sz w:val="20"/>
                <w:szCs w:val="20"/>
              </w:rPr>
              <w:t>(71,160</w:t>
            </w:r>
          </w:p>
        </w:tc>
        <w:tc>
          <w:tcPr>
            <w:tcW w:w="50" w:type="pct"/>
            <w:shd w:val="clear" w:color="auto" w:fill="FFFFFF"/>
            <w:vAlign w:val="bottom"/>
            <w:hideMark/>
          </w:tcPr>
          <w:p w14:paraId="6CCE7E53" w14:textId="77777777" w:rsidR="00000000" w:rsidRDefault="0053651E">
            <w:pPr>
              <w:rPr>
                <w:rFonts w:eastAsia="Times New Roman"/>
                <w:sz w:val="20"/>
                <w:szCs w:val="20"/>
              </w:rPr>
            </w:pPr>
            <w:r>
              <w:rPr>
                <w:rFonts w:eastAsia="Times New Roman"/>
                <w:sz w:val="20"/>
                <w:szCs w:val="20"/>
              </w:rPr>
              <w:t>)</w:t>
            </w:r>
          </w:p>
        </w:tc>
      </w:tr>
      <w:tr w:rsidR="00000000" w14:paraId="27D437E1" w14:textId="77777777">
        <w:trPr>
          <w:divId w:val="83963851"/>
          <w:tblCellSpacing w:w="0" w:type="dxa"/>
        </w:trPr>
        <w:tc>
          <w:tcPr>
            <w:tcW w:w="0" w:type="auto"/>
            <w:shd w:val="clear" w:color="auto" w:fill="CCEEFF"/>
            <w:vAlign w:val="bottom"/>
            <w:hideMark/>
          </w:tcPr>
          <w:p w14:paraId="183CAAFD" w14:textId="77777777" w:rsidR="00000000" w:rsidRDefault="0053651E">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14:paraId="6A787A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0F1B2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925679" w14:textId="77777777" w:rsidR="00000000" w:rsidRDefault="0053651E">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14:paraId="720C6AF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16FC4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BFC24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28C8B5D" w14:textId="77777777" w:rsidR="00000000" w:rsidRDefault="0053651E">
            <w:pPr>
              <w:jc w:val="right"/>
              <w:rPr>
                <w:rFonts w:eastAsia="Times New Roman"/>
                <w:sz w:val="20"/>
                <w:szCs w:val="20"/>
              </w:rPr>
            </w:pPr>
            <w:r>
              <w:rPr>
                <w:rFonts w:eastAsia="Times New Roman"/>
                <w:sz w:val="20"/>
                <w:szCs w:val="20"/>
              </w:rPr>
              <w:t>(71,617</w:t>
            </w:r>
          </w:p>
        </w:tc>
        <w:tc>
          <w:tcPr>
            <w:tcW w:w="50" w:type="pct"/>
            <w:shd w:val="clear" w:color="auto" w:fill="CCEEFF"/>
            <w:vAlign w:val="bottom"/>
            <w:hideMark/>
          </w:tcPr>
          <w:p w14:paraId="54CB2E6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1BFE1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29ECC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86CFFC2" w14:textId="77777777" w:rsidR="00000000" w:rsidRDefault="0053651E">
            <w:pPr>
              <w:jc w:val="right"/>
              <w:rPr>
                <w:rFonts w:eastAsia="Times New Roman"/>
                <w:sz w:val="20"/>
                <w:szCs w:val="20"/>
              </w:rPr>
            </w:pPr>
            <w:r>
              <w:rPr>
                <w:rFonts w:eastAsia="Times New Roman"/>
                <w:sz w:val="20"/>
                <w:szCs w:val="20"/>
              </w:rPr>
              <w:t>(60,763</w:t>
            </w:r>
          </w:p>
        </w:tc>
        <w:tc>
          <w:tcPr>
            <w:tcW w:w="50" w:type="pct"/>
            <w:shd w:val="clear" w:color="auto" w:fill="CCEEFF"/>
            <w:vAlign w:val="bottom"/>
            <w:hideMark/>
          </w:tcPr>
          <w:p w14:paraId="789C862C" w14:textId="77777777" w:rsidR="00000000" w:rsidRDefault="0053651E">
            <w:pPr>
              <w:rPr>
                <w:rFonts w:eastAsia="Times New Roman"/>
                <w:sz w:val="20"/>
                <w:szCs w:val="20"/>
              </w:rPr>
            </w:pPr>
            <w:r>
              <w:rPr>
                <w:rFonts w:eastAsia="Times New Roman"/>
                <w:sz w:val="20"/>
                <w:szCs w:val="20"/>
              </w:rPr>
              <w:t>)</w:t>
            </w:r>
          </w:p>
        </w:tc>
      </w:tr>
      <w:tr w:rsidR="00000000" w14:paraId="3FE7FE32" w14:textId="77777777">
        <w:trPr>
          <w:divId w:val="83963851"/>
          <w:tblCellSpacing w:w="0" w:type="dxa"/>
        </w:trPr>
        <w:tc>
          <w:tcPr>
            <w:tcW w:w="0" w:type="auto"/>
            <w:shd w:val="clear" w:color="auto" w:fill="FFFFFF"/>
            <w:vAlign w:val="bottom"/>
            <w:hideMark/>
          </w:tcPr>
          <w:p w14:paraId="137069D0" w14:textId="77777777" w:rsidR="00000000" w:rsidRDefault="0053651E">
            <w:pPr>
              <w:pStyle w:val="a3"/>
              <w:spacing w:before="0" w:beforeAutospacing="0" w:after="0" w:afterAutospacing="0"/>
              <w:ind w:left="360"/>
              <w:rPr>
                <w:sz w:val="20"/>
                <w:szCs w:val="20"/>
              </w:rPr>
            </w:pPr>
            <w:r>
              <w:rPr>
                <w:sz w:val="20"/>
                <w:szCs w:val="20"/>
              </w:rPr>
              <w:t>Equity in income from other real estate investments, net</w:t>
            </w:r>
          </w:p>
        </w:tc>
        <w:tc>
          <w:tcPr>
            <w:tcW w:w="50" w:type="pct"/>
            <w:shd w:val="clear" w:color="auto" w:fill="FFFFFF"/>
            <w:vAlign w:val="bottom"/>
            <w:hideMark/>
          </w:tcPr>
          <w:p w14:paraId="5A9817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C843D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8DE3C67" w14:textId="77777777" w:rsidR="00000000" w:rsidRDefault="0053651E">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14:paraId="00C0445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B0985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539AE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D6A6AA9" w14:textId="77777777" w:rsidR="00000000" w:rsidRDefault="0053651E">
            <w:pPr>
              <w:jc w:val="right"/>
              <w:rPr>
                <w:rFonts w:eastAsia="Times New Roman"/>
                <w:sz w:val="20"/>
                <w:szCs w:val="20"/>
              </w:rPr>
            </w:pPr>
            <w:r>
              <w:rPr>
                <w:rFonts w:eastAsia="Times New Roman"/>
                <w:sz w:val="20"/>
                <w:szCs w:val="20"/>
              </w:rPr>
              <w:t>(29,100</w:t>
            </w:r>
          </w:p>
        </w:tc>
        <w:tc>
          <w:tcPr>
            <w:tcW w:w="50" w:type="pct"/>
            <w:shd w:val="clear" w:color="auto" w:fill="FFFFFF"/>
            <w:vAlign w:val="bottom"/>
            <w:hideMark/>
          </w:tcPr>
          <w:p w14:paraId="468A879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B80C6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5A9ED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D8BCC81" w14:textId="77777777" w:rsidR="00000000" w:rsidRDefault="0053651E">
            <w:pPr>
              <w:jc w:val="right"/>
              <w:rPr>
                <w:rFonts w:eastAsia="Times New Roman"/>
                <w:sz w:val="20"/>
                <w:szCs w:val="20"/>
              </w:rPr>
            </w:pPr>
            <w:r>
              <w:rPr>
                <w:rFonts w:eastAsia="Times New Roman"/>
                <w:sz w:val="20"/>
                <w:szCs w:val="20"/>
              </w:rPr>
              <w:t>(67,001</w:t>
            </w:r>
          </w:p>
        </w:tc>
        <w:tc>
          <w:tcPr>
            <w:tcW w:w="50" w:type="pct"/>
            <w:shd w:val="clear" w:color="auto" w:fill="FFFFFF"/>
            <w:vAlign w:val="bottom"/>
            <w:hideMark/>
          </w:tcPr>
          <w:p w14:paraId="7731787B" w14:textId="77777777" w:rsidR="00000000" w:rsidRDefault="0053651E">
            <w:pPr>
              <w:rPr>
                <w:rFonts w:eastAsia="Times New Roman"/>
                <w:sz w:val="20"/>
                <w:szCs w:val="20"/>
              </w:rPr>
            </w:pPr>
            <w:r>
              <w:rPr>
                <w:rFonts w:eastAsia="Times New Roman"/>
                <w:sz w:val="20"/>
                <w:szCs w:val="20"/>
              </w:rPr>
              <w:t>)</w:t>
            </w:r>
          </w:p>
        </w:tc>
      </w:tr>
      <w:tr w:rsidR="00000000" w14:paraId="36BF927B" w14:textId="77777777">
        <w:trPr>
          <w:divId w:val="83963851"/>
          <w:tblCellSpacing w:w="0" w:type="dxa"/>
        </w:trPr>
        <w:tc>
          <w:tcPr>
            <w:tcW w:w="0" w:type="auto"/>
            <w:shd w:val="clear" w:color="auto" w:fill="CCEEFF"/>
            <w:vAlign w:val="bottom"/>
            <w:hideMark/>
          </w:tcPr>
          <w:p w14:paraId="420F9337" w14:textId="77777777" w:rsidR="00000000" w:rsidRDefault="0053651E">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CCEEFF"/>
            <w:vAlign w:val="bottom"/>
            <w:hideMark/>
          </w:tcPr>
          <w:p w14:paraId="6A8F70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E1C86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FD1FC6C" w14:textId="77777777" w:rsidR="00000000" w:rsidRDefault="0053651E">
            <w:pPr>
              <w:jc w:val="right"/>
              <w:rPr>
                <w:rFonts w:eastAsia="Times New Roman"/>
                <w:sz w:val="20"/>
                <w:szCs w:val="20"/>
              </w:rPr>
            </w:pPr>
            <w:r>
              <w:rPr>
                <w:rFonts w:eastAsia="Times New Roman"/>
                <w:sz w:val="20"/>
                <w:szCs w:val="20"/>
              </w:rPr>
              <w:t>93,877</w:t>
            </w:r>
          </w:p>
        </w:tc>
        <w:tc>
          <w:tcPr>
            <w:tcW w:w="50" w:type="pct"/>
            <w:shd w:val="clear" w:color="auto" w:fill="CCEEFF"/>
            <w:vAlign w:val="bottom"/>
            <w:hideMark/>
          </w:tcPr>
          <w:p w14:paraId="75CD8F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0255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93304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7AEED4E" w14:textId="77777777" w:rsidR="00000000" w:rsidRDefault="0053651E">
            <w:pPr>
              <w:jc w:val="right"/>
              <w:rPr>
                <w:rFonts w:eastAsia="Times New Roman"/>
                <w:sz w:val="20"/>
                <w:szCs w:val="20"/>
              </w:rPr>
            </w:pPr>
            <w:r>
              <w:rPr>
                <w:rFonts w:eastAsia="Times New Roman"/>
                <w:sz w:val="20"/>
                <w:szCs w:val="20"/>
              </w:rPr>
              <w:t>104,626</w:t>
            </w:r>
          </w:p>
        </w:tc>
        <w:tc>
          <w:tcPr>
            <w:tcW w:w="50" w:type="pct"/>
            <w:shd w:val="clear" w:color="auto" w:fill="CCEEFF"/>
            <w:vAlign w:val="bottom"/>
            <w:hideMark/>
          </w:tcPr>
          <w:p w14:paraId="5CD28C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556E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8A7DE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80C1507" w14:textId="77777777" w:rsidR="00000000" w:rsidRDefault="0053651E">
            <w:pPr>
              <w:jc w:val="right"/>
              <w:rPr>
                <w:rFonts w:eastAsia="Times New Roman"/>
                <w:sz w:val="20"/>
                <w:szCs w:val="20"/>
              </w:rPr>
            </w:pPr>
            <w:r>
              <w:rPr>
                <w:rFonts w:eastAsia="Times New Roman"/>
                <w:sz w:val="20"/>
                <w:szCs w:val="20"/>
              </w:rPr>
              <w:t>58,189</w:t>
            </w:r>
          </w:p>
        </w:tc>
        <w:tc>
          <w:tcPr>
            <w:tcW w:w="50" w:type="pct"/>
            <w:shd w:val="clear" w:color="auto" w:fill="CCEEFF"/>
            <w:vAlign w:val="bottom"/>
            <w:hideMark/>
          </w:tcPr>
          <w:p w14:paraId="628F83C9" w14:textId="77777777" w:rsidR="00000000" w:rsidRDefault="0053651E">
            <w:pPr>
              <w:rPr>
                <w:rFonts w:eastAsia="Times New Roman"/>
                <w:sz w:val="20"/>
                <w:szCs w:val="20"/>
              </w:rPr>
            </w:pPr>
            <w:r>
              <w:rPr>
                <w:rFonts w:eastAsia="Times New Roman"/>
                <w:sz w:val="20"/>
                <w:szCs w:val="20"/>
              </w:rPr>
              <w:t> </w:t>
            </w:r>
          </w:p>
        </w:tc>
      </w:tr>
      <w:tr w:rsidR="00000000" w14:paraId="091E6516" w14:textId="77777777">
        <w:trPr>
          <w:divId w:val="83963851"/>
          <w:tblCellSpacing w:w="0" w:type="dxa"/>
        </w:trPr>
        <w:tc>
          <w:tcPr>
            <w:tcW w:w="0" w:type="auto"/>
            <w:shd w:val="clear" w:color="auto" w:fill="FFFFFF"/>
            <w:vAlign w:val="bottom"/>
            <w:hideMark/>
          </w:tcPr>
          <w:p w14:paraId="6E635811" w14:textId="77777777" w:rsidR="00000000" w:rsidRDefault="0053651E">
            <w:pPr>
              <w:pStyle w:val="a3"/>
              <w:spacing w:before="0" w:beforeAutospacing="0" w:after="0" w:afterAutospacing="0"/>
              <w:ind w:left="360"/>
              <w:rPr>
                <w:sz w:val="20"/>
                <w:szCs w:val="20"/>
              </w:rPr>
            </w:pPr>
            <w:r>
              <w:rPr>
                <w:sz w:val="20"/>
                <w:szCs w:val="20"/>
              </w:rPr>
              <w:t>Change in accounts and notes receivable</w:t>
            </w:r>
          </w:p>
        </w:tc>
        <w:tc>
          <w:tcPr>
            <w:tcW w:w="50" w:type="pct"/>
            <w:shd w:val="clear" w:color="auto" w:fill="FFFFFF"/>
            <w:vAlign w:val="bottom"/>
            <w:hideMark/>
          </w:tcPr>
          <w:p w14:paraId="743666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11E1F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717B74C" w14:textId="77777777" w:rsidR="00000000" w:rsidRDefault="0053651E">
            <w:pPr>
              <w:jc w:val="right"/>
              <w:rPr>
                <w:rFonts w:eastAsia="Times New Roman"/>
                <w:sz w:val="20"/>
                <w:szCs w:val="20"/>
              </w:rPr>
            </w:pPr>
            <w:r>
              <w:rPr>
                <w:rFonts w:eastAsia="Times New Roman"/>
                <w:sz w:val="20"/>
                <w:szCs w:val="20"/>
              </w:rPr>
              <w:t>(34,160</w:t>
            </w:r>
          </w:p>
        </w:tc>
        <w:tc>
          <w:tcPr>
            <w:tcW w:w="50" w:type="pct"/>
            <w:shd w:val="clear" w:color="auto" w:fill="FFFFFF"/>
            <w:vAlign w:val="bottom"/>
            <w:hideMark/>
          </w:tcPr>
          <w:p w14:paraId="43DFB94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8D384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7CD2F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0B62015" w14:textId="77777777" w:rsidR="00000000" w:rsidRDefault="0053651E">
            <w:pPr>
              <w:jc w:val="right"/>
              <w:rPr>
                <w:rFonts w:eastAsia="Times New Roman"/>
                <w:sz w:val="20"/>
                <w:szCs w:val="20"/>
              </w:rPr>
            </w:pPr>
            <w:r>
              <w:rPr>
                <w:rFonts w:eastAsia="Times New Roman"/>
                <w:sz w:val="20"/>
                <w:szCs w:val="20"/>
              </w:rPr>
              <w:t>5,229</w:t>
            </w:r>
          </w:p>
        </w:tc>
        <w:tc>
          <w:tcPr>
            <w:tcW w:w="50" w:type="pct"/>
            <w:shd w:val="clear" w:color="auto" w:fill="FFFFFF"/>
            <w:vAlign w:val="bottom"/>
            <w:hideMark/>
          </w:tcPr>
          <w:p w14:paraId="65F96A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7D0B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2CC8A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1A0635" w14:textId="77777777" w:rsidR="00000000" w:rsidRDefault="0053651E">
            <w:pPr>
              <w:jc w:val="right"/>
              <w:rPr>
                <w:rFonts w:eastAsia="Times New Roman"/>
                <w:sz w:val="20"/>
                <w:szCs w:val="20"/>
              </w:rPr>
            </w:pPr>
            <w:r>
              <w:rPr>
                <w:rFonts w:eastAsia="Times New Roman"/>
                <w:sz w:val="20"/>
                <w:szCs w:val="20"/>
              </w:rPr>
              <w:t>(7,934</w:t>
            </w:r>
          </w:p>
        </w:tc>
        <w:tc>
          <w:tcPr>
            <w:tcW w:w="50" w:type="pct"/>
            <w:shd w:val="clear" w:color="auto" w:fill="FFFFFF"/>
            <w:vAlign w:val="bottom"/>
            <w:hideMark/>
          </w:tcPr>
          <w:p w14:paraId="626CF5CB" w14:textId="77777777" w:rsidR="00000000" w:rsidRDefault="0053651E">
            <w:pPr>
              <w:rPr>
                <w:rFonts w:eastAsia="Times New Roman"/>
                <w:sz w:val="20"/>
                <w:szCs w:val="20"/>
              </w:rPr>
            </w:pPr>
            <w:r>
              <w:rPr>
                <w:rFonts w:eastAsia="Times New Roman"/>
                <w:sz w:val="20"/>
                <w:szCs w:val="20"/>
              </w:rPr>
              <w:t>)</w:t>
            </w:r>
          </w:p>
        </w:tc>
      </w:tr>
      <w:tr w:rsidR="00000000" w14:paraId="199AD2F8" w14:textId="77777777">
        <w:trPr>
          <w:divId w:val="83963851"/>
          <w:tblCellSpacing w:w="0" w:type="dxa"/>
        </w:trPr>
        <w:tc>
          <w:tcPr>
            <w:tcW w:w="0" w:type="auto"/>
            <w:shd w:val="clear" w:color="auto" w:fill="CCEEFF"/>
            <w:vAlign w:val="bottom"/>
            <w:hideMark/>
          </w:tcPr>
          <w:p w14:paraId="6E18A587" w14:textId="77777777" w:rsidR="00000000" w:rsidRDefault="0053651E">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14:paraId="429310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DF4F0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E8B056" w14:textId="77777777" w:rsidR="00000000" w:rsidRDefault="0053651E">
            <w:pPr>
              <w:jc w:val="right"/>
              <w:rPr>
                <w:rFonts w:eastAsia="Times New Roman"/>
                <w:sz w:val="20"/>
                <w:szCs w:val="20"/>
              </w:rPr>
            </w:pPr>
            <w:r>
              <w:rPr>
                <w:rFonts w:eastAsia="Times New Roman"/>
                <w:sz w:val="20"/>
                <w:szCs w:val="20"/>
              </w:rPr>
              <w:t>(3,611</w:t>
            </w:r>
          </w:p>
        </w:tc>
        <w:tc>
          <w:tcPr>
            <w:tcW w:w="50" w:type="pct"/>
            <w:shd w:val="clear" w:color="auto" w:fill="CCEEFF"/>
            <w:vAlign w:val="bottom"/>
            <w:hideMark/>
          </w:tcPr>
          <w:p w14:paraId="34C1D4C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B0D4B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230D4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C17A5F" w14:textId="77777777" w:rsidR="00000000" w:rsidRDefault="0053651E">
            <w:pPr>
              <w:jc w:val="right"/>
              <w:rPr>
                <w:rFonts w:eastAsia="Times New Roman"/>
                <w:sz w:val="20"/>
                <w:szCs w:val="20"/>
              </w:rPr>
            </w:pPr>
            <w:r>
              <w:rPr>
                <w:rFonts w:eastAsia="Times New Roman"/>
                <w:sz w:val="20"/>
                <w:szCs w:val="20"/>
              </w:rPr>
              <w:t>(9,175</w:t>
            </w:r>
          </w:p>
        </w:tc>
        <w:tc>
          <w:tcPr>
            <w:tcW w:w="50" w:type="pct"/>
            <w:shd w:val="clear" w:color="auto" w:fill="CCEEFF"/>
            <w:vAlign w:val="bottom"/>
            <w:hideMark/>
          </w:tcPr>
          <w:p w14:paraId="0080419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361F9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A3141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45A7FE" w14:textId="77777777" w:rsidR="00000000" w:rsidRDefault="0053651E">
            <w:pPr>
              <w:jc w:val="right"/>
              <w:rPr>
                <w:rFonts w:eastAsia="Times New Roman"/>
                <w:sz w:val="20"/>
                <w:szCs w:val="20"/>
              </w:rPr>
            </w:pPr>
            <w:r>
              <w:rPr>
                <w:rFonts w:eastAsia="Times New Roman"/>
                <w:sz w:val="20"/>
                <w:szCs w:val="20"/>
              </w:rPr>
              <w:t>4,417</w:t>
            </w:r>
          </w:p>
        </w:tc>
        <w:tc>
          <w:tcPr>
            <w:tcW w:w="50" w:type="pct"/>
            <w:shd w:val="clear" w:color="auto" w:fill="CCEEFF"/>
            <w:vAlign w:val="bottom"/>
            <w:hideMark/>
          </w:tcPr>
          <w:p w14:paraId="7A4A909D" w14:textId="77777777" w:rsidR="00000000" w:rsidRDefault="0053651E">
            <w:pPr>
              <w:rPr>
                <w:rFonts w:eastAsia="Times New Roman"/>
                <w:sz w:val="20"/>
                <w:szCs w:val="20"/>
              </w:rPr>
            </w:pPr>
            <w:r>
              <w:rPr>
                <w:rFonts w:eastAsia="Times New Roman"/>
                <w:sz w:val="20"/>
                <w:szCs w:val="20"/>
              </w:rPr>
              <w:t> </w:t>
            </w:r>
          </w:p>
        </w:tc>
      </w:tr>
      <w:tr w:rsidR="00000000" w14:paraId="6DF294D9" w14:textId="77777777">
        <w:trPr>
          <w:divId w:val="83963851"/>
          <w:tblCellSpacing w:w="0" w:type="dxa"/>
        </w:trPr>
        <w:tc>
          <w:tcPr>
            <w:tcW w:w="0" w:type="auto"/>
            <w:shd w:val="clear" w:color="auto" w:fill="FFFFFF"/>
            <w:vAlign w:val="bottom"/>
            <w:hideMark/>
          </w:tcPr>
          <w:p w14:paraId="639C385A" w14:textId="77777777" w:rsidR="00000000" w:rsidRDefault="0053651E">
            <w:pPr>
              <w:pStyle w:val="a3"/>
              <w:spacing w:before="0" w:beforeAutospacing="0" w:after="0" w:afterAutospacing="0"/>
              <w:ind w:left="360"/>
              <w:rPr>
                <w:sz w:val="20"/>
                <w:szCs w:val="20"/>
              </w:rPr>
            </w:pPr>
            <w:r>
              <w:rPr>
                <w:sz w:val="20"/>
                <w:szCs w:val="20"/>
              </w:rPr>
              <w:t>Change in Canadian withholding tax receivable</w:t>
            </w:r>
          </w:p>
        </w:tc>
        <w:tc>
          <w:tcPr>
            <w:tcW w:w="50" w:type="pct"/>
            <w:shd w:val="clear" w:color="auto" w:fill="FFFFFF"/>
            <w:vAlign w:val="bottom"/>
            <w:hideMark/>
          </w:tcPr>
          <w:p w14:paraId="7B2AC0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31100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F403EF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EBBAD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8C4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87F8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50806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C5AA2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0E1E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A2CAA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4458040" w14:textId="77777777" w:rsidR="00000000" w:rsidRDefault="0053651E">
            <w:pPr>
              <w:jc w:val="right"/>
              <w:rPr>
                <w:rFonts w:eastAsia="Times New Roman"/>
                <w:sz w:val="20"/>
                <w:szCs w:val="20"/>
              </w:rPr>
            </w:pPr>
            <w:r>
              <w:rPr>
                <w:rFonts w:eastAsia="Times New Roman"/>
                <w:sz w:val="20"/>
                <w:szCs w:val="20"/>
              </w:rPr>
              <w:t>12,996</w:t>
            </w:r>
          </w:p>
        </w:tc>
        <w:tc>
          <w:tcPr>
            <w:tcW w:w="50" w:type="pct"/>
            <w:shd w:val="clear" w:color="auto" w:fill="FFFFFF"/>
            <w:vAlign w:val="bottom"/>
            <w:hideMark/>
          </w:tcPr>
          <w:p w14:paraId="7955DC55" w14:textId="77777777" w:rsidR="00000000" w:rsidRDefault="0053651E">
            <w:pPr>
              <w:rPr>
                <w:rFonts w:eastAsia="Times New Roman"/>
                <w:sz w:val="20"/>
                <w:szCs w:val="20"/>
              </w:rPr>
            </w:pPr>
            <w:r>
              <w:rPr>
                <w:rFonts w:eastAsia="Times New Roman"/>
                <w:sz w:val="20"/>
                <w:szCs w:val="20"/>
              </w:rPr>
              <w:t> </w:t>
            </w:r>
          </w:p>
        </w:tc>
      </w:tr>
      <w:tr w:rsidR="00000000" w14:paraId="69C284E4" w14:textId="77777777">
        <w:trPr>
          <w:divId w:val="83963851"/>
          <w:tblCellSpacing w:w="0" w:type="dxa"/>
        </w:trPr>
        <w:tc>
          <w:tcPr>
            <w:tcW w:w="0" w:type="auto"/>
            <w:shd w:val="clear" w:color="auto" w:fill="CCEEFF"/>
            <w:vAlign w:val="bottom"/>
            <w:hideMark/>
          </w:tcPr>
          <w:p w14:paraId="0E453F4C" w14:textId="77777777" w:rsidR="00000000" w:rsidRDefault="0053651E">
            <w:pPr>
              <w:pStyle w:val="a3"/>
              <w:spacing w:before="0" w:beforeAutospacing="0" w:after="0" w:afterAutospacing="0"/>
              <w:ind w:left="360"/>
              <w:rPr>
                <w:sz w:val="20"/>
                <w:szCs w:val="20"/>
              </w:rPr>
            </w:pPr>
            <w:r>
              <w:rPr>
                <w:sz w:val="20"/>
                <w:szCs w:val="20"/>
              </w:rPr>
              <w:t>Change in other operating assets and liabilities</w:t>
            </w:r>
          </w:p>
        </w:tc>
        <w:tc>
          <w:tcPr>
            <w:tcW w:w="50" w:type="pct"/>
            <w:shd w:val="clear" w:color="auto" w:fill="CCEEFF"/>
            <w:tcMar>
              <w:top w:w="0" w:type="dxa"/>
              <w:left w:w="0" w:type="dxa"/>
              <w:bottom w:w="15" w:type="dxa"/>
              <w:right w:w="0" w:type="dxa"/>
            </w:tcMar>
            <w:vAlign w:val="bottom"/>
            <w:hideMark/>
          </w:tcPr>
          <w:p w14:paraId="119A00D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C1EA40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E87604F" w14:textId="77777777" w:rsidR="00000000" w:rsidRDefault="0053651E">
            <w:pPr>
              <w:jc w:val="right"/>
              <w:rPr>
                <w:rFonts w:eastAsia="Times New Roman"/>
                <w:sz w:val="20"/>
                <w:szCs w:val="20"/>
              </w:rPr>
            </w:pPr>
            <w:r>
              <w:rPr>
                <w:rFonts w:eastAsia="Times New Roman"/>
                <w:sz w:val="20"/>
                <w:szCs w:val="20"/>
              </w:rPr>
              <w:t>(55,405</w:t>
            </w:r>
          </w:p>
        </w:tc>
        <w:tc>
          <w:tcPr>
            <w:tcW w:w="50" w:type="pct"/>
            <w:shd w:val="clear" w:color="auto" w:fill="CCEEFF"/>
            <w:tcMar>
              <w:top w:w="0" w:type="dxa"/>
              <w:left w:w="0" w:type="dxa"/>
              <w:bottom w:w="15" w:type="dxa"/>
              <w:right w:w="0" w:type="dxa"/>
            </w:tcMar>
            <w:vAlign w:val="bottom"/>
            <w:hideMark/>
          </w:tcPr>
          <w:p w14:paraId="4A86804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4F40BD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17828F4"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9C7E24C" w14:textId="77777777" w:rsidR="00000000" w:rsidRDefault="0053651E">
            <w:pPr>
              <w:jc w:val="right"/>
              <w:rPr>
                <w:rFonts w:eastAsia="Times New Roman"/>
                <w:sz w:val="20"/>
                <w:szCs w:val="20"/>
              </w:rPr>
            </w:pPr>
            <w:r>
              <w:rPr>
                <w:rFonts w:eastAsia="Times New Roman"/>
                <w:sz w:val="20"/>
                <w:szCs w:val="20"/>
              </w:rPr>
              <w:t>(51,220</w:t>
            </w:r>
          </w:p>
        </w:tc>
        <w:tc>
          <w:tcPr>
            <w:tcW w:w="50" w:type="pct"/>
            <w:shd w:val="clear" w:color="auto" w:fill="CCEEFF"/>
            <w:tcMar>
              <w:top w:w="0" w:type="dxa"/>
              <w:left w:w="0" w:type="dxa"/>
              <w:bottom w:w="15" w:type="dxa"/>
              <w:right w:w="0" w:type="dxa"/>
            </w:tcMar>
            <w:vAlign w:val="bottom"/>
            <w:hideMark/>
          </w:tcPr>
          <w:p w14:paraId="444146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732661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3826435"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C4B0A6A" w14:textId="77777777" w:rsidR="00000000" w:rsidRDefault="0053651E">
            <w:pPr>
              <w:jc w:val="right"/>
              <w:rPr>
                <w:rFonts w:eastAsia="Times New Roman"/>
                <w:sz w:val="20"/>
                <w:szCs w:val="20"/>
              </w:rPr>
            </w:pPr>
            <w:r>
              <w:rPr>
                <w:rFonts w:eastAsia="Times New Roman"/>
                <w:sz w:val="20"/>
                <w:szCs w:val="20"/>
              </w:rPr>
              <w:t>(52,961</w:t>
            </w:r>
          </w:p>
        </w:tc>
        <w:tc>
          <w:tcPr>
            <w:tcW w:w="50" w:type="pct"/>
            <w:shd w:val="clear" w:color="auto" w:fill="CCEEFF"/>
            <w:tcMar>
              <w:top w:w="0" w:type="dxa"/>
              <w:left w:w="0" w:type="dxa"/>
              <w:bottom w:w="15" w:type="dxa"/>
              <w:right w:w="0" w:type="dxa"/>
            </w:tcMar>
            <w:vAlign w:val="bottom"/>
            <w:hideMark/>
          </w:tcPr>
          <w:p w14:paraId="25DB5116" w14:textId="77777777" w:rsidR="00000000" w:rsidRDefault="0053651E">
            <w:pPr>
              <w:rPr>
                <w:rFonts w:eastAsia="Times New Roman"/>
                <w:sz w:val="20"/>
                <w:szCs w:val="20"/>
              </w:rPr>
            </w:pPr>
            <w:r>
              <w:rPr>
                <w:rFonts w:eastAsia="Times New Roman"/>
                <w:sz w:val="20"/>
                <w:szCs w:val="20"/>
              </w:rPr>
              <w:t>)</w:t>
            </w:r>
          </w:p>
        </w:tc>
      </w:tr>
      <w:tr w:rsidR="00000000" w14:paraId="4A0710C2" w14:textId="77777777">
        <w:trPr>
          <w:divId w:val="83963851"/>
          <w:tblCellSpacing w:w="0" w:type="dxa"/>
        </w:trPr>
        <w:tc>
          <w:tcPr>
            <w:tcW w:w="0" w:type="auto"/>
            <w:shd w:val="clear" w:color="auto" w:fill="FFFFFF"/>
            <w:vAlign w:val="bottom"/>
            <w:hideMark/>
          </w:tcPr>
          <w:p w14:paraId="66711F1A" w14:textId="77777777" w:rsidR="00000000" w:rsidRDefault="0053651E">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14:paraId="1CC3277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CD3C0D"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D8566F6" w14:textId="77777777" w:rsidR="00000000" w:rsidRDefault="0053651E">
            <w:pPr>
              <w:jc w:val="right"/>
              <w:rPr>
                <w:rFonts w:eastAsia="Times New Roman"/>
                <w:sz w:val="20"/>
                <w:szCs w:val="20"/>
              </w:rPr>
            </w:pPr>
            <w:r>
              <w:rPr>
                <w:rFonts w:eastAsia="Times New Roman"/>
                <w:sz w:val="20"/>
                <w:szCs w:val="20"/>
              </w:rPr>
              <w:t>583,628</w:t>
            </w:r>
          </w:p>
        </w:tc>
        <w:tc>
          <w:tcPr>
            <w:tcW w:w="50" w:type="pct"/>
            <w:shd w:val="clear" w:color="auto" w:fill="FFFFFF"/>
            <w:tcMar>
              <w:top w:w="0" w:type="dxa"/>
              <w:left w:w="0" w:type="dxa"/>
              <w:bottom w:w="15" w:type="dxa"/>
              <w:right w:w="0" w:type="dxa"/>
            </w:tcMar>
            <w:vAlign w:val="bottom"/>
            <w:hideMark/>
          </w:tcPr>
          <w:p w14:paraId="71CBB3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B5D25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0525042"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0DDBDDB" w14:textId="77777777" w:rsidR="00000000" w:rsidRDefault="0053651E">
            <w:pPr>
              <w:jc w:val="right"/>
              <w:rPr>
                <w:rFonts w:eastAsia="Times New Roman"/>
                <w:sz w:val="20"/>
                <w:szCs w:val="20"/>
              </w:rPr>
            </w:pPr>
            <w:r>
              <w:rPr>
                <w:rFonts w:eastAsia="Times New Roman"/>
                <w:sz w:val="20"/>
                <w:szCs w:val="20"/>
              </w:rPr>
              <w:t>637,936</w:t>
            </w:r>
          </w:p>
        </w:tc>
        <w:tc>
          <w:tcPr>
            <w:tcW w:w="50" w:type="pct"/>
            <w:shd w:val="clear" w:color="auto" w:fill="FFFFFF"/>
            <w:tcMar>
              <w:top w:w="0" w:type="dxa"/>
              <w:left w:w="0" w:type="dxa"/>
              <w:bottom w:w="15" w:type="dxa"/>
              <w:right w:w="0" w:type="dxa"/>
            </w:tcMar>
            <w:vAlign w:val="bottom"/>
            <w:hideMark/>
          </w:tcPr>
          <w:p w14:paraId="15C958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47584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411CD7F"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A053BBC" w14:textId="77777777" w:rsidR="00000000" w:rsidRDefault="0053651E">
            <w:pPr>
              <w:jc w:val="right"/>
              <w:rPr>
                <w:rFonts w:eastAsia="Times New Roman"/>
                <w:sz w:val="20"/>
                <w:szCs w:val="20"/>
              </w:rPr>
            </w:pPr>
            <w:r>
              <w:rPr>
                <w:rFonts w:eastAsia="Times New Roman"/>
                <w:sz w:val="20"/>
                <w:szCs w:val="20"/>
              </w:rPr>
              <w:t>614,181</w:t>
            </w:r>
          </w:p>
        </w:tc>
        <w:tc>
          <w:tcPr>
            <w:tcW w:w="50" w:type="pct"/>
            <w:shd w:val="clear" w:color="auto" w:fill="FFFFFF"/>
            <w:tcMar>
              <w:top w:w="0" w:type="dxa"/>
              <w:left w:w="0" w:type="dxa"/>
              <w:bottom w:w="15" w:type="dxa"/>
              <w:right w:w="0" w:type="dxa"/>
            </w:tcMar>
            <w:vAlign w:val="bottom"/>
            <w:hideMark/>
          </w:tcPr>
          <w:p w14:paraId="05D1506D" w14:textId="77777777" w:rsidR="00000000" w:rsidRDefault="0053651E">
            <w:pPr>
              <w:rPr>
                <w:rFonts w:eastAsia="Times New Roman"/>
                <w:sz w:val="20"/>
                <w:szCs w:val="20"/>
              </w:rPr>
            </w:pPr>
            <w:r>
              <w:rPr>
                <w:rFonts w:eastAsia="Times New Roman"/>
                <w:sz w:val="20"/>
                <w:szCs w:val="20"/>
              </w:rPr>
              <w:t> </w:t>
            </w:r>
          </w:p>
        </w:tc>
      </w:tr>
      <w:tr w:rsidR="00000000" w14:paraId="1B871938" w14:textId="77777777">
        <w:trPr>
          <w:divId w:val="83963851"/>
          <w:tblCellSpacing w:w="0" w:type="dxa"/>
        </w:trPr>
        <w:tc>
          <w:tcPr>
            <w:tcW w:w="0" w:type="auto"/>
            <w:shd w:val="clear" w:color="auto" w:fill="CCEEFF"/>
            <w:vAlign w:val="bottom"/>
            <w:hideMark/>
          </w:tcPr>
          <w:p w14:paraId="0C1AAD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F59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9CA7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90A5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DFC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CE3C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BB87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07F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F9C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79DF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B59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3633E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1744B" w14:textId="77777777" w:rsidR="00000000" w:rsidRDefault="0053651E">
            <w:pPr>
              <w:rPr>
                <w:rFonts w:eastAsia="Times New Roman"/>
                <w:sz w:val="20"/>
                <w:szCs w:val="20"/>
              </w:rPr>
            </w:pPr>
            <w:r>
              <w:rPr>
                <w:rFonts w:eastAsia="Times New Roman"/>
                <w:sz w:val="20"/>
                <w:szCs w:val="20"/>
              </w:rPr>
              <w:t> </w:t>
            </w:r>
          </w:p>
        </w:tc>
      </w:tr>
      <w:tr w:rsidR="00000000" w14:paraId="454D45E0" w14:textId="77777777">
        <w:trPr>
          <w:divId w:val="83963851"/>
          <w:tblCellSpacing w:w="0" w:type="dxa"/>
        </w:trPr>
        <w:tc>
          <w:tcPr>
            <w:tcW w:w="0" w:type="auto"/>
            <w:shd w:val="clear" w:color="auto" w:fill="FFFFFF"/>
            <w:vAlign w:val="bottom"/>
            <w:hideMark/>
          </w:tcPr>
          <w:p w14:paraId="28DF471F" w14:textId="77777777" w:rsidR="00000000" w:rsidRDefault="0053651E">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18B844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8338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DA11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99C5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9DA9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541BD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BDA8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BFA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827A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65F42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374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F820F" w14:textId="77777777" w:rsidR="00000000" w:rsidRDefault="0053651E">
            <w:pPr>
              <w:rPr>
                <w:rFonts w:eastAsia="Times New Roman"/>
                <w:sz w:val="20"/>
                <w:szCs w:val="20"/>
              </w:rPr>
            </w:pPr>
            <w:r>
              <w:rPr>
                <w:rFonts w:eastAsia="Times New Roman"/>
                <w:sz w:val="20"/>
                <w:szCs w:val="20"/>
              </w:rPr>
              <w:t> </w:t>
            </w:r>
          </w:p>
        </w:tc>
      </w:tr>
      <w:tr w:rsidR="00000000" w14:paraId="22B72121" w14:textId="77777777">
        <w:trPr>
          <w:divId w:val="83963851"/>
          <w:tblCellSpacing w:w="0" w:type="dxa"/>
        </w:trPr>
        <w:tc>
          <w:tcPr>
            <w:tcW w:w="0" w:type="auto"/>
            <w:shd w:val="clear" w:color="auto" w:fill="CCEEFF"/>
            <w:vAlign w:val="bottom"/>
            <w:hideMark/>
          </w:tcPr>
          <w:p w14:paraId="407E86B4" w14:textId="77777777" w:rsidR="00000000" w:rsidRDefault="0053651E">
            <w:pPr>
              <w:pStyle w:val="a3"/>
              <w:spacing w:before="0" w:beforeAutospacing="0" w:after="0" w:afterAutospacing="0"/>
              <w:ind w:left="360"/>
              <w:rPr>
                <w:sz w:val="20"/>
                <w:szCs w:val="20"/>
              </w:rPr>
            </w:pPr>
            <w:r>
              <w:rPr>
                <w:sz w:val="20"/>
                <w:szCs w:val="20"/>
              </w:rPr>
              <w:t>Acquisition of operating real estate and other related net assets</w:t>
            </w:r>
          </w:p>
        </w:tc>
        <w:tc>
          <w:tcPr>
            <w:tcW w:w="50" w:type="pct"/>
            <w:shd w:val="clear" w:color="auto" w:fill="CCEEFF"/>
            <w:vAlign w:val="bottom"/>
            <w:hideMark/>
          </w:tcPr>
          <w:p w14:paraId="510289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6397C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C17D10" w14:textId="77777777" w:rsidR="00000000" w:rsidRDefault="0053651E">
            <w:pPr>
              <w:jc w:val="right"/>
              <w:rPr>
                <w:rFonts w:eastAsia="Times New Roman"/>
                <w:sz w:val="20"/>
                <w:szCs w:val="20"/>
              </w:rPr>
            </w:pPr>
            <w:r>
              <w:rPr>
                <w:rFonts w:eastAsia="Times New Roman"/>
                <w:sz w:val="20"/>
                <w:szCs w:val="20"/>
              </w:rPr>
              <w:t>(1,957</w:t>
            </w:r>
          </w:p>
        </w:tc>
        <w:tc>
          <w:tcPr>
            <w:tcW w:w="50" w:type="pct"/>
            <w:shd w:val="clear" w:color="auto" w:fill="CCEEFF"/>
            <w:vAlign w:val="bottom"/>
            <w:hideMark/>
          </w:tcPr>
          <w:p w14:paraId="15E7A04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1FBEE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05EF3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B7E83B" w14:textId="77777777" w:rsidR="00000000" w:rsidRDefault="0053651E">
            <w:pPr>
              <w:jc w:val="right"/>
              <w:rPr>
                <w:rFonts w:eastAsia="Times New Roman"/>
                <w:sz w:val="20"/>
                <w:szCs w:val="20"/>
              </w:rPr>
            </w:pPr>
            <w:r>
              <w:rPr>
                <w:rFonts w:eastAsia="Times New Roman"/>
                <w:sz w:val="20"/>
                <w:szCs w:val="20"/>
              </w:rPr>
              <w:t>(5,407</w:t>
            </w:r>
          </w:p>
        </w:tc>
        <w:tc>
          <w:tcPr>
            <w:tcW w:w="50" w:type="pct"/>
            <w:shd w:val="clear" w:color="auto" w:fill="CCEEFF"/>
            <w:vAlign w:val="bottom"/>
            <w:hideMark/>
          </w:tcPr>
          <w:p w14:paraId="6154D69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EB8DFF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756F7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541BC16" w14:textId="77777777" w:rsidR="00000000" w:rsidRDefault="0053651E">
            <w:pPr>
              <w:jc w:val="right"/>
              <w:rPr>
                <w:rFonts w:eastAsia="Times New Roman"/>
                <w:sz w:val="20"/>
                <w:szCs w:val="20"/>
              </w:rPr>
            </w:pPr>
            <w:r>
              <w:rPr>
                <w:rFonts w:eastAsia="Times New Roman"/>
                <w:sz w:val="20"/>
                <w:szCs w:val="20"/>
              </w:rPr>
              <w:t>(153,854</w:t>
            </w:r>
          </w:p>
        </w:tc>
        <w:tc>
          <w:tcPr>
            <w:tcW w:w="50" w:type="pct"/>
            <w:shd w:val="clear" w:color="auto" w:fill="CCEEFF"/>
            <w:vAlign w:val="bottom"/>
            <w:hideMark/>
          </w:tcPr>
          <w:p w14:paraId="25D97701" w14:textId="77777777" w:rsidR="00000000" w:rsidRDefault="0053651E">
            <w:pPr>
              <w:rPr>
                <w:rFonts w:eastAsia="Times New Roman"/>
                <w:sz w:val="20"/>
                <w:szCs w:val="20"/>
              </w:rPr>
            </w:pPr>
            <w:r>
              <w:rPr>
                <w:rFonts w:eastAsia="Times New Roman"/>
                <w:sz w:val="20"/>
                <w:szCs w:val="20"/>
              </w:rPr>
              <w:t>)</w:t>
            </w:r>
          </w:p>
        </w:tc>
      </w:tr>
      <w:tr w:rsidR="00000000" w14:paraId="5E7C5CB7" w14:textId="77777777">
        <w:trPr>
          <w:divId w:val="83963851"/>
          <w:tblCellSpacing w:w="0" w:type="dxa"/>
        </w:trPr>
        <w:tc>
          <w:tcPr>
            <w:tcW w:w="0" w:type="auto"/>
            <w:shd w:val="clear" w:color="auto" w:fill="FFFFFF"/>
            <w:vAlign w:val="bottom"/>
            <w:hideMark/>
          </w:tcPr>
          <w:p w14:paraId="667EB891" w14:textId="77777777" w:rsidR="00000000" w:rsidRDefault="0053651E">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14:paraId="267B7A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0FD0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E98CBBE" w14:textId="77777777" w:rsidR="00000000" w:rsidRDefault="0053651E">
            <w:pPr>
              <w:jc w:val="right"/>
              <w:rPr>
                <w:rFonts w:eastAsia="Times New Roman"/>
                <w:sz w:val="20"/>
                <w:szCs w:val="20"/>
              </w:rPr>
            </w:pPr>
            <w:r>
              <w:rPr>
                <w:rFonts w:eastAsia="Times New Roman"/>
                <w:sz w:val="20"/>
                <w:szCs w:val="20"/>
              </w:rPr>
              <w:t>(324,821</w:t>
            </w:r>
          </w:p>
        </w:tc>
        <w:tc>
          <w:tcPr>
            <w:tcW w:w="50" w:type="pct"/>
            <w:shd w:val="clear" w:color="auto" w:fill="FFFFFF"/>
            <w:vAlign w:val="bottom"/>
            <w:hideMark/>
          </w:tcPr>
          <w:p w14:paraId="16CD00B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1A0DA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EE036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067E7C" w14:textId="77777777" w:rsidR="00000000" w:rsidRDefault="0053651E">
            <w:pPr>
              <w:jc w:val="right"/>
              <w:rPr>
                <w:rFonts w:eastAsia="Times New Roman"/>
                <w:sz w:val="20"/>
                <w:szCs w:val="20"/>
              </w:rPr>
            </w:pPr>
            <w:r>
              <w:rPr>
                <w:rFonts w:eastAsia="Times New Roman"/>
                <w:sz w:val="20"/>
                <w:szCs w:val="20"/>
              </w:rPr>
              <w:t>(290,874</w:t>
            </w:r>
          </w:p>
        </w:tc>
        <w:tc>
          <w:tcPr>
            <w:tcW w:w="50" w:type="pct"/>
            <w:shd w:val="clear" w:color="auto" w:fill="FFFFFF"/>
            <w:vAlign w:val="bottom"/>
            <w:hideMark/>
          </w:tcPr>
          <w:p w14:paraId="342F27A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00FF1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9E737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C02825" w14:textId="77777777" w:rsidR="00000000" w:rsidRDefault="0053651E">
            <w:pPr>
              <w:jc w:val="right"/>
              <w:rPr>
                <w:rFonts w:eastAsia="Times New Roman"/>
                <w:sz w:val="20"/>
                <w:szCs w:val="20"/>
              </w:rPr>
            </w:pPr>
            <w:r>
              <w:rPr>
                <w:rFonts w:eastAsia="Times New Roman"/>
                <w:sz w:val="20"/>
                <w:szCs w:val="20"/>
              </w:rPr>
              <w:t>(</w:t>
            </w:r>
            <w:r>
              <w:rPr>
                <w:rFonts w:eastAsia="Times New Roman"/>
                <w:sz w:val="20"/>
                <w:szCs w:val="20"/>
              </w:rPr>
              <w:t>206,800</w:t>
            </w:r>
          </w:p>
        </w:tc>
        <w:tc>
          <w:tcPr>
            <w:tcW w:w="50" w:type="pct"/>
            <w:shd w:val="clear" w:color="auto" w:fill="FFFFFF"/>
            <w:vAlign w:val="bottom"/>
            <w:hideMark/>
          </w:tcPr>
          <w:p w14:paraId="79D0E8B5" w14:textId="77777777" w:rsidR="00000000" w:rsidRDefault="0053651E">
            <w:pPr>
              <w:rPr>
                <w:rFonts w:eastAsia="Times New Roman"/>
                <w:sz w:val="20"/>
                <w:szCs w:val="20"/>
              </w:rPr>
            </w:pPr>
            <w:r>
              <w:rPr>
                <w:rFonts w:eastAsia="Times New Roman"/>
                <w:sz w:val="20"/>
                <w:szCs w:val="20"/>
              </w:rPr>
              <w:t>)</w:t>
            </w:r>
          </w:p>
        </w:tc>
      </w:tr>
      <w:tr w:rsidR="00000000" w14:paraId="7D9EF72F" w14:textId="77777777">
        <w:trPr>
          <w:divId w:val="83963851"/>
          <w:tblCellSpacing w:w="0" w:type="dxa"/>
        </w:trPr>
        <w:tc>
          <w:tcPr>
            <w:tcW w:w="0" w:type="auto"/>
            <w:shd w:val="clear" w:color="auto" w:fill="CCEEFF"/>
            <w:vAlign w:val="bottom"/>
            <w:hideMark/>
          </w:tcPr>
          <w:p w14:paraId="63FDC726" w14:textId="77777777" w:rsidR="00000000" w:rsidRDefault="0053651E">
            <w:pPr>
              <w:pStyle w:val="a3"/>
              <w:spacing w:before="0" w:beforeAutospacing="0" w:after="0" w:afterAutospacing="0"/>
              <w:ind w:left="360"/>
              <w:rPr>
                <w:sz w:val="20"/>
                <w:szCs w:val="20"/>
              </w:rPr>
            </w:pPr>
            <w:r>
              <w:rPr>
                <w:sz w:val="20"/>
                <w:szCs w:val="20"/>
              </w:rPr>
              <w:t>Acquisition of real estate under development</w:t>
            </w:r>
          </w:p>
        </w:tc>
        <w:tc>
          <w:tcPr>
            <w:tcW w:w="50" w:type="pct"/>
            <w:shd w:val="clear" w:color="auto" w:fill="CCEEFF"/>
            <w:vAlign w:val="bottom"/>
            <w:hideMark/>
          </w:tcPr>
          <w:p w14:paraId="19CDE1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5116D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E6DF9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B1BC2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F6EA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9EBD3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5CCE4C2" w14:textId="77777777" w:rsidR="00000000" w:rsidRDefault="0053651E">
            <w:pPr>
              <w:jc w:val="right"/>
              <w:rPr>
                <w:rFonts w:eastAsia="Times New Roman"/>
                <w:sz w:val="20"/>
                <w:szCs w:val="20"/>
              </w:rPr>
            </w:pPr>
            <w:r>
              <w:rPr>
                <w:rFonts w:eastAsia="Times New Roman"/>
                <w:sz w:val="20"/>
                <w:szCs w:val="20"/>
              </w:rPr>
              <w:t>(4,592</w:t>
            </w:r>
          </w:p>
        </w:tc>
        <w:tc>
          <w:tcPr>
            <w:tcW w:w="50" w:type="pct"/>
            <w:shd w:val="clear" w:color="auto" w:fill="CCEEFF"/>
            <w:vAlign w:val="bottom"/>
            <w:hideMark/>
          </w:tcPr>
          <w:p w14:paraId="4070A5C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C9522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67EC2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DC5D66" w14:textId="77777777" w:rsidR="00000000" w:rsidRDefault="0053651E">
            <w:pPr>
              <w:jc w:val="right"/>
              <w:rPr>
                <w:rFonts w:eastAsia="Times New Roman"/>
                <w:sz w:val="20"/>
                <w:szCs w:val="20"/>
              </w:rPr>
            </w:pPr>
            <w:r>
              <w:rPr>
                <w:rFonts w:eastAsia="Times New Roman"/>
                <w:sz w:val="20"/>
                <w:szCs w:val="20"/>
              </w:rPr>
              <w:t>(10,010</w:t>
            </w:r>
          </w:p>
        </w:tc>
        <w:tc>
          <w:tcPr>
            <w:tcW w:w="50" w:type="pct"/>
            <w:shd w:val="clear" w:color="auto" w:fill="CCEEFF"/>
            <w:vAlign w:val="bottom"/>
            <w:hideMark/>
          </w:tcPr>
          <w:p w14:paraId="39F81734" w14:textId="77777777" w:rsidR="00000000" w:rsidRDefault="0053651E">
            <w:pPr>
              <w:rPr>
                <w:rFonts w:eastAsia="Times New Roman"/>
                <w:sz w:val="20"/>
                <w:szCs w:val="20"/>
              </w:rPr>
            </w:pPr>
            <w:r>
              <w:rPr>
                <w:rFonts w:eastAsia="Times New Roman"/>
                <w:sz w:val="20"/>
                <w:szCs w:val="20"/>
              </w:rPr>
              <w:t>)</w:t>
            </w:r>
          </w:p>
        </w:tc>
      </w:tr>
      <w:tr w:rsidR="00000000" w14:paraId="2B9FB450" w14:textId="77777777">
        <w:trPr>
          <w:divId w:val="83963851"/>
          <w:tblCellSpacing w:w="0" w:type="dxa"/>
        </w:trPr>
        <w:tc>
          <w:tcPr>
            <w:tcW w:w="0" w:type="auto"/>
            <w:shd w:val="clear" w:color="auto" w:fill="FFFFFF"/>
            <w:vAlign w:val="bottom"/>
            <w:hideMark/>
          </w:tcPr>
          <w:p w14:paraId="567DC959" w14:textId="77777777" w:rsidR="00000000" w:rsidRDefault="0053651E">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FFFFFF"/>
            <w:vAlign w:val="bottom"/>
            <w:hideMark/>
          </w:tcPr>
          <w:p w14:paraId="32A23E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379B2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476B4E" w14:textId="77777777" w:rsidR="00000000" w:rsidRDefault="0053651E">
            <w:pPr>
              <w:jc w:val="right"/>
              <w:rPr>
                <w:rFonts w:eastAsia="Times New Roman"/>
                <w:sz w:val="20"/>
                <w:szCs w:val="20"/>
              </w:rPr>
            </w:pPr>
            <w:r>
              <w:rPr>
                <w:rFonts w:eastAsia="Times New Roman"/>
                <w:sz w:val="20"/>
                <w:szCs w:val="20"/>
              </w:rPr>
              <w:t>(118,841</w:t>
            </w:r>
          </w:p>
        </w:tc>
        <w:tc>
          <w:tcPr>
            <w:tcW w:w="50" w:type="pct"/>
            <w:shd w:val="clear" w:color="auto" w:fill="FFFFFF"/>
            <w:vAlign w:val="bottom"/>
            <w:hideMark/>
          </w:tcPr>
          <w:p w14:paraId="7BEC3DC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10B5F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6ADB9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A76EBF3" w14:textId="77777777" w:rsidR="00000000" w:rsidRDefault="0053651E">
            <w:pPr>
              <w:jc w:val="right"/>
              <w:rPr>
                <w:rFonts w:eastAsia="Times New Roman"/>
                <w:sz w:val="20"/>
                <w:szCs w:val="20"/>
              </w:rPr>
            </w:pPr>
            <w:r>
              <w:rPr>
                <w:rFonts w:eastAsia="Times New Roman"/>
                <w:sz w:val="20"/>
                <w:szCs w:val="20"/>
              </w:rPr>
              <w:t>(235,988</w:t>
            </w:r>
          </w:p>
        </w:tc>
        <w:tc>
          <w:tcPr>
            <w:tcW w:w="50" w:type="pct"/>
            <w:shd w:val="clear" w:color="auto" w:fill="FFFFFF"/>
            <w:vAlign w:val="bottom"/>
            <w:hideMark/>
          </w:tcPr>
          <w:p w14:paraId="4F4696A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20F5D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711B9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83BD987" w14:textId="77777777" w:rsidR="00000000" w:rsidRDefault="0053651E">
            <w:pPr>
              <w:jc w:val="right"/>
              <w:rPr>
                <w:rFonts w:eastAsia="Times New Roman"/>
                <w:sz w:val="20"/>
                <w:szCs w:val="20"/>
              </w:rPr>
            </w:pPr>
            <w:r>
              <w:rPr>
                <w:rFonts w:eastAsia="Times New Roman"/>
                <w:sz w:val="20"/>
                <w:szCs w:val="20"/>
              </w:rPr>
              <w:t>(160,257</w:t>
            </w:r>
          </w:p>
        </w:tc>
        <w:tc>
          <w:tcPr>
            <w:tcW w:w="50" w:type="pct"/>
            <w:shd w:val="clear" w:color="auto" w:fill="FFFFFF"/>
            <w:vAlign w:val="bottom"/>
            <w:hideMark/>
          </w:tcPr>
          <w:p w14:paraId="3B14E4F1" w14:textId="77777777" w:rsidR="00000000" w:rsidRDefault="0053651E">
            <w:pPr>
              <w:rPr>
                <w:rFonts w:eastAsia="Times New Roman"/>
                <w:sz w:val="20"/>
                <w:szCs w:val="20"/>
              </w:rPr>
            </w:pPr>
            <w:r>
              <w:rPr>
                <w:rFonts w:eastAsia="Times New Roman"/>
                <w:sz w:val="20"/>
                <w:szCs w:val="20"/>
              </w:rPr>
              <w:t>)</w:t>
            </w:r>
          </w:p>
        </w:tc>
      </w:tr>
      <w:tr w:rsidR="00000000" w14:paraId="420D487C" w14:textId="77777777">
        <w:trPr>
          <w:divId w:val="83963851"/>
          <w:tblCellSpacing w:w="0" w:type="dxa"/>
        </w:trPr>
        <w:tc>
          <w:tcPr>
            <w:tcW w:w="0" w:type="auto"/>
            <w:shd w:val="clear" w:color="auto" w:fill="CCEEFF"/>
            <w:vAlign w:val="bottom"/>
            <w:hideMark/>
          </w:tcPr>
          <w:p w14:paraId="28D534D6" w14:textId="77777777" w:rsidR="00000000" w:rsidRDefault="0053651E">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CCEEFF"/>
            <w:vAlign w:val="bottom"/>
            <w:hideMark/>
          </w:tcPr>
          <w:p w14:paraId="1658AC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CDD61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D9B79B1" w14:textId="77777777" w:rsidR="00000000" w:rsidRDefault="0053651E">
            <w:pPr>
              <w:jc w:val="right"/>
              <w:rPr>
                <w:rFonts w:eastAsia="Times New Roman"/>
                <w:sz w:val="20"/>
                <w:szCs w:val="20"/>
              </w:rPr>
            </w:pPr>
            <w:r>
              <w:rPr>
                <w:rFonts w:eastAsia="Times New Roman"/>
                <w:sz w:val="20"/>
                <w:szCs w:val="20"/>
              </w:rPr>
              <w:t>(244</w:t>
            </w:r>
          </w:p>
        </w:tc>
        <w:tc>
          <w:tcPr>
            <w:tcW w:w="50" w:type="pct"/>
            <w:shd w:val="clear" w:color="auto" w:fill="CCEEFF"/>
            <w:vAlign w:val="bottom"/>
            <w:hideMark/>
          </w:tcPr>
          <w:p w14:paraId="2098316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9ABF5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F3AC4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3259496" w14:textId="77777777" w:rsidR="00000000" w:rsidRDefault="0053651E">
            <w:pPr>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14:paraId="43C2021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4D68C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EA8F1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280110B" w14:textId="77777777" w:rsidR="00000000" w:rsidRDefault="0053651E">
            <w:pPr>
              <w:jc w:val="right"/>
              <w:rPr>
                <w:rFonts w:eastAsia="Times New Roman"/>
                <w:sz w:val="20"/>
                <w:szCs w:val="20"/>
              </w:rPr>
            </w:pPr>
            <w:r>
              <w:rPr>
                <w:rFonts w:eastAsia="Times New Roman"/>
                <w:sz w:val="20"/>
                <w:szCs w:val="20"/>
              </w:rPr>
              <w:t>(9,822</w:t>
            </w:r>
          </w:p>
        </w:tc>
        <w:tc>
          <w:tcPr>
            <w:tcW w:w="50" w:type="pct"/>
            <w:shd w:val="clear" w:color="auto" w:fill="CCEEFF"/>
            <w:vAlign w:val="bottom"/>
            <w:hideMark/>
          </w:tcPr>
          <w:p w14:paraId="061A8281" w14:textId="77777777" w:rsidR="00000000" w:rsidRDefault="0053651E">
            <w:pPr>
              <w:rPr>
                <w:rFonts w:eastAsia="Times New Roman"/>
                <w:sz w:val="20"/>
                <w:szCs w:val="20"/>
              </w:rPr>
            </w:pPr>
            <w:r>
              <w:rPr>
                <w:rFonts w:eastAsia="Times New Roman"/>
                <w:sz w:val="20"/>
                <w:szCs w:val="20"/>
              </w:rPr>
              <w:t>)</w:t>
            </w:r>
          </w:p>
        </w:tc>
      </w:tr>
      <w:tr w:rsidR="00000000" w14:paraId="2BB7DBD8" w14:textId="77777777">
        <w:trPr>
          <w:divId w:val="83963851"/>
          <w:tblCellSpacing w:w="0" w:type="dxa"/>
        </w:trPr>
        <w:tc>
          <w:tcPr>
            <w:tcW w:w="0" w:type="auto"/>
            <w:shd w:val="clear" w:color="auto" w:fill="FFFFFF"/>
            <w:vAlign w:val="bottom"/>
            <w:hideMark/>
          </w:tcPr>
          <w:p w14:paraId="12A2A1AB" w14:textId="77777777" w:rsidR="00000000" w:rsidRDefault="0053651E">
            <w:pPr>
              <w:pStyle w:val="a3"/>
              <w:spacing w:before="0" w:beforeAutospacing="0" w:after="0" w:afterAutospacing="0"/>
              <w:ind w:left="360"/>
              <w:rPr>
                <w:sz w:val="20"/>
                <w:szCs w:val="20"/>
              </w:rPr>
            </w:pPr>
            <w:r>
              <w:rPr>
                <w:sz w:val="20"/>
                <w:szCs w:val="20"/>
              </w:rPr>
              <w:t>Proceeds from sale/repayments of marketable securities</w:t>
            </w:r>
          </w:p>
        </w:tc>
        <w:tc>
          <w:tcPr>
            <w:tcW w:w="50" w:type="pct"/>
            <w:shd w:val="clear" w:color="auto" w:fill="FFFFFF"/>
            <w:vAlign w:val="bottom"/>
            <w:hideMark/>
          </w:tcPr>
          <w:p w14:paraId="0420E5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114B2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B7DB180" w14:textId="77777777" w:rsidR="00000000" w:rsidRDefault="0053651E">
            <w:pPr>
              <w:jc w:val="right"/>
              <w:rPr>
                <w:rFonts w:eastAsia="Times New Roman"/>
                <w:sz w:val="20"/>
                <w:szCs w:val="20"/>
              </w:rPr>
            </w:pPr>
            <w:r>
              <w:rPr>
                <w:rFonts w:eastAsia="Times New Roman"/>
                <w:sz w:val="20"/>
                <w:szCs w:val="20"/>
              </w:rPr>
              <w:t>2,023</w:t>
            </w:r>
          </w:p>
        </w:tc>
        <w:tc>
          <w:tcPr>
            <w:tcW w:w="50" w:type="pct"/>
            <w:shd w:val="clear" w:color="auto" w:fill="FFFFFF"/>
            <w:vAlign w:val="bottom"/>
            <w:hideMark/>
          </w:tcPr>
          <w:p w14:paraId="400F3F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F6E2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5E598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B9E2248" w14:textId="77777777" w:rsidR="00000000" w:rsidRDefault="0053651E">
            <w:pPr>
              <w:jc w:val="right"/>
              <w:rPr>
                <w:rFonts w:eastAsia="Times New Roman"/>
                <w:sz w:val="20"/>
                <w:szCs w:val="20"/>
              </w:rPr>
            </w:pPr>
            <w:r>
              <w:rPr>
                <w:rFonts w:eastAsia="Times New Roman"/>
                <w:sz w:val="20"/>
                <w:szCs w:val="20"/>
              </w:rPr>
              <w:t>957</w:t>
            </w:r>
          </w:p>
        </w:tc>
        <w:tc>
          <w:tcPr>
            <w:tcW w:w="50" w:type="pct"/>
            <w:shd w:val="clear" w:color="auto" w:fill="FFFFFF"/>
            <w:vAlign w:val="bottom"/>
            <w:hideMark/>
          </w:tcPr>
          <w:p w14:paraId="6C95F6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1E7E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DDE02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6EDD50C" w14:textId="77777777" w:rsidR="00000000" w:rsidRDefault="0053651E">
            <w:pPr>
              <w:jc w:val="right"/>
              <w:rPr>
                <w:rFonts w:eastAsia="Times New Roman"/>
                <w:sz w:val="20"/>
                <w:szCs w:val="20"/>
              </w:rPr>
            </w:pPr>
            <w:r>
              <w:rPr>
                <w:rFonts w:eastAsia="Times New Roman"/>
                <w:sz w:val="20"/>
                <w:szCs w:val="20"/>
              </w:rPr>
              <w:t>3,146</w:t>
            </w:r>
          </w:p>
        </w:tc>
        <w:tc>
          <w:tcPr>
            <w:tcW w:w="50" w:type="pct"/>
            <w:shd w:val="clear" w:color="auto" w:fill="FFFFFF"/>
            <w:vAlign w:val="bottom"/>
            <w:hideMark/>
          </w:tcPr>
          <w:p w14:paraId="0D12F7C4" w14:textId="77777777" w:rsidR="00000000" w:rsidRDefault="0053651E">
            <w:pPr>
              <w:rPr>
                <w:rFonts w:eastAsia="Times New Roman"/>
                <w:sz w:val="20"/>
                <w:szCs w:val="20"/>
              </w:rPr>
            </w:pPr>
            <w:r>
              <w:rPr>
                <w:rFonts w:eastAsia="Times New Roman"/>
                <w:sz w:val="20"/>
                <w:szCs w:val="20"/>
              </w:rPr>
              <w:t> </w:t>
            </w:r>
          </w:p>
        </w:tc>
      </w:tr>
      <w:tr w:rsidR="00000000" w14:paraId="46F4832B" w14:textId="77777777">
        <w:trPr>
          <w:divId w:val="83963851"/>
          <w:tblCellSpacing w:w="0" w:type="dxa"/>
        </w:trPr>
        <w:tc>
          <w:tcPr>
            <w:tcW w:w="0" w:type="auto"/>
            <w:shd w:val="clear" w:color="auto" w:fill="CCEEFF"/>
            <w:vAlign w:val="bottom"/>
            <w:hideMark/>
          </w:tcPr>
          <w:p w14:paraId="4779A571" w14:textId="77777777" w:rsidR="00000000" w:rsidRDefault="0053651E">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14:paraId="20CCAD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5665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6A33C7F" w14:textId="77777777" w:rsidR="00000000" w:rsidRDefault="0053651E">
            <w:pPr>
              <w:jc w:val="right"/>
              <w:rPr>
                <w:rFonts w:eastAsia="Times New Roman"/>
                <w:sz w:val="20"/>
                <w:szCs w:val="20"/>
              </w:rPr>
            </w:pPr>
            <w:r>
              <w:rPr>
                <w:rFonts w:eastAsia="Times New Roman"/>
                <w:sz w:val="20"/>
                <w:szCs w:val="20"/>
              </w:rPr>
              <w:t>(27,665</w:t>
            </w:r>
          </w:p>
        </w:tc>
        <w:tc>
          <w:tcPr>
            <w:tcW w:w="50" w:type="pct"/>
            <w:shd w:val="clear" w:color="auto" w:fill="CCEEFF"/>
            <w:vAlign w:val="bottom"/>
            <w:hideMark/>
          </w:tcPr>
          <w:p w14:paraId="3F548C6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99B5B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F692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4196A6" w14:textId="77777777" w:rsidR="00000000" w:rsidRDefault="0053651E">
            <w:pPr>
              <w:jc w:val="right"/>
              <w:rPr>
                <w:rFonts w:eastAsia="Times New Roman"/>
                <w:sz w:val="20"/>
                <w:szCs w:val="20"/>
              </w:rPr>
            </w:pPr>
            <w:r>
              <w:rPr>
                <w:rFonts w:eastAsia="Times New Roman"/>
                <w:sz w:val="20"/>
                <w:szCs w:val="20"/>
              </w:rPr>
              <w:t>(36,139</w:t>
            </w:r>
          </w:p>
        </w:tc>
        <w:tc>
          <w:tcPr>
            <w:tcW w:w="50" w:type="pct"/>
            <w:shd w:val="clear" w:color="auto" w:fill="CCEEFF"/>
            <w:vAlign w:val="bottom"/>
            <w:hideMark/>
          </w:tcPr>
          <w:p w14:paraId="793D087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57B87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04E09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929BB1A" w14:textId="77777777" w:rsidR="00000000" w:rsidRDefault="0053651E">
            <w:pPr>
              <w:jc w:val="right"/>
              <w:rPr>
                <w:rFonts w:eastAsia="Times New Roman"/>
                <w:sz w:val="20"/>
                <w:szCs w:val="20"/>
              </w:rPr>
            </w:pPr>
            <w:r>
              <w:rPr>
                <w:rFonts w:eastAsia="Times New Roman"/>
                <w:sz w:val="20"/>
                <w:szCs w:val="20"/>
              </w:rPr>
              <w:t>(35,291</w:t>
            </w:r>
          </w:p>
        </w:tc>
        <w:tc>
          <w:tcPr>
            <w:tcW w:w="50" w:type="pct"/>
            <w:shd w:val="clear" w:color="auto" w:fill="CCEEFF"/>
            <w:vAlign w:val="bottom"/>
            <w:hideMark/>
          </w:tcPr>
          <w:p w14:paraId="30FBCD02" w14:textId="77777777" w:rsidR="00000000" w:rsidRDefault="0053651E">
            <w:pPr>
              <w:rPr>
                <w:rFonts w:eastAsia="Times New Roman"/>
                <w:sz w:val="20"/>
                <w:szCs w:val="20"/>
              </w:rPr>
            </w:pPr>
            <w:r>
              <w:rPr>
                <w:rFonts w:eastAsia="Times New Roman"/>
                <w:sz w:val="20"/>
                <w:szCs w:val="20"/>
              </w:rPr>
              <w:t>)</w:t>
            </w:r>
          </w:p>
        </w:tc>
      </w:tr>
      <w:tr w:rsidR="00000000" w14:paraId="1BFCD9B0" w14:textId="77777777">
        <w:trPr>
          <w:divId w:val="83963851"/>
          <w:tblCellSpacing w:w="0" w:type="dxa"/>
        </w:trPr>
        <w:tc>
          <w:tcPr>
            <w:tcW w:w="0" w:type="auto"/>
            <w:shd w:val="clear" w:color="auto" w:fill="FFFFFF"/>
            <w:vAlign w:val="bottom"/>
            <w:hideMark/>
          </w:tcPr>
          <w:p w14:paraId="2D58E05D" w14:textId="77777777" w:rsidR="00000000" w:rsidRDefault="0053651E">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14:paraId="45A41E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25E49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CBF1239" w14:textId="77777777" w:rsidR="00000000" w:rsidRDefault="0053651E">
            <w:pPr>
              <w:jc w:val="right"/>
              <w:rPr>
                <w:rFonts w:eastAsia="Times New Roman"/>
                <w:sz w:val="20"/>
                <w:szCs w:val="20"/>
              </w:rPr>
            </w:pPr>
            <w:r>
              <w:rPr>
                <w:rFonts w:eastAsia="Times New Roman"/>
                <w:sz w:val="20"/>
                <w:szCs w:val="20"/>
              </w:rPr>
              <w:t>21,759</w:t>
            </w:r>
          </w:p>
        </w:tc>
        <w:tc>
          <w:tcPr>
            <w:tcW w:w="50" w:type="pct"/>
            <w:shd w:val="clear" w:color="auto" w:fill="FFFFFF"/>
            <w:vAlign w:val="bottom"/>
            <w:hideMark/>
          </w:tcPr>
          <w:p w14:paraId="492B1C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F8F2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8CE15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ACAB21" w14:textId="77777777" w:rsidR="00000000" w:rsidRDefault="0053651E">
            <w:pPr>
              <w:jc w:val="right"/>
              <w:rPr>
                <w:rFonts w:eastAsia="Times New Roman"/>
                <w:sz w:val="20"/>
                <w:szCs w:val="20"/>
              </w:rPr>
            </w:pPr>
            <w:r>
              <w:rPr>
                <w:rFonts w:eastAsia="Times New Roman"/>
                <w:sz w:val="20"/>
                <w:szCs w:val="20"/>
              </w:rPr>
              <w:t>21,127</w:t>
            </w:r>
          </w:p>
        </w:tc>
        <w:tc>
          <w:tcPr>
            <w:tcW w:w="50" w:type="pct"/>
            <w:shd w:val="clear" w:color="auto" w:fill="FFFFFF"/>
            <w:vAlign w:val="bottom"/>
            <w:hideMark/>
          </w:tcPr>
          <w:p w14:paraId="502DEE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2372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E6B5F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4DFCBAD" w14:textId="77777777" w:rsidR="00000000" w:rsidRDefault="0053651E">
            <w:pPr>
              <w:jc w:val="right"/>
              <w:rPr>
                <w:rFonts w:eastAsia="Times New Roman"/>
                <w:sz w:val="20"/>
                <w:szCs w:val="20"/>
              </w:rPr>
            </w:pPr>
            <w:r>
              <w:rPr>
                <w:rFonts w:eastAsia="Times New Roman"/>
                <w:sz w:val="20"/>
                <w:szCs w:val="20"/>
              </w:rPr>
              <w:t>55,839</w:t>
            </w:r>
          </w:p>
        </w:tc>
        <w:tc>
          <w:tcPr>
            <w:tcW w:w="50" w:type="pct"/>
            <w:shd w:val="clear" w:color="auto" w:fill="FFFFFF"/>
            <w:vAlign w:val="bottom"/>
            <w:hideMark/>
          </w:tcPr>
          <w:p w14:paraId="78958ADB" w14:textId="77777777" w:rsidR="00000000" w:rsidRDefault="0053651E">
            <w:pPr>
              <w:rPr>
                <w:rFonts w:eastAsia="Times New Roman"/>
                <w:sz w:val="20"/>
                <w:szCs w:val="20"/>
              </w:rPr>
            </w:pPr>
            <w:r>
              <w:rPr>
                <w:rFonts w:eastAsia="Times New Roman"/>
                <w:sz w:val="20"/>
                <w:szCs w:val="20"/>
              </w:rPr>
              <w:t> </w:t>
            </w:r>
          </w:p>
        </w:tc>
      </w:tr>
      <w:tr w:rsidR="00000000" w14:paraId="6A76436A" w14:textId="77777777">
        <w:trPr>
          <w:divId w:val="83963851"/>
          <w:tblCellSpacing w:w="0" w:type="dxa"/>
        </w:trPr>
        <w:tc>
          <w:tcPr>
            <w:tcW w:w="0" w:type="auto"/>
            <w:shd w:val="clear" w:color="auto" w:fill="CCEEFF"/>
            <w:vAlign w:val="bottom"/>
            <w:hideMark/>
          </w:tcPr>
          <w:p w14:paraId="4E37FE97" w14:textId="77777777" w:rsidR="00000000" w:rsidRDefault="0053651E">
            <w:pPr>
              <w:pStyle w:val="a3"/>
              <w:spacing w:before="0" w:beforeAutospacing="0" w:after="0" w:afterAutospacing="0"/>
              <w:ind w:left="360"/>
              <w:rPr>
                <w:sz w:val="20"/>
                <w:szCs w:val="20"/>
              </w:rPr>
            </w:pPr>
            <w:r>
              <w:rPr>
                <w:sz w:val="20"/>
                <w:szCs w:val="20"/>
              </w:rPr>
              <w:t>Investment in and advances to other real estate investments</w:t>
            </w:r>
          </w:p>
        </w:tc>
        <w:tc>
          <w:tcPr>
            <w:tcW w:w="50" w:type="pct"/>
            <w:shd w:val="clear" w:color="auto" w:fill="CCEEFF"/>
            <w:vAlign w:val="bottom"/>
            <w:hideMark/>
          </w:tcPr>
          <w:p w14:paraId="552ED5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D0B9B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27251B0" w14:textId="77777777" w:rsidR="00000000" w:rsidRDefault="0053651E">
            <w:pPr>
              <w:jc w:val="right"/>
              <w:rPr>
                <w:rFonts w:eastAsia="Times New Roman"/>
                <w:sz w:val="20"/>
                <w:szCs w:val="20"/>
              </w:rPr>
            </w:pPr>
            <w:r>
              <w:rPr>
                <w:rFonts w:eastAsia="Times New Roman"/>
                <w:sz w:val="20"/>
                <w:szCs w:val="20"/>
              </w:rPr>
              <w:t>(12,816</w:t>
            </w:r>
          </w:p>
        </w:tc>
        <w:tc>
          <w:tcPr>
            <w:tcW w:w="50" w:type="pct"/>
            <w:shd w:val="clear" w:color="auto" w:fill="CCEEFF"/>
            <w:vAlign w:val="bottom"/>
            <w:hideMark/>
          </w:tcPr>
          <w:p w14:paraId="56B4B87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E155E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6D48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6742EC2" w14:textId="77777777" w:rsidR="00000000" w:rsidRDefault="0053651E">
            <w:pPr>
              <w:jc w:val="right"/>
              <w:rPr>
                <w:rFonts w:eastAsia="Times New Roman"/>
                <w:sz w:val="20"/>
                <w:szCs w:val="20"/>
              </w:rPr>
            </w:pPr>
            <w:r>
              <w:rPr>
                <w:rFonts w:eastAsia="Times New Roman"/>
                <w:sz w:val="20"/>
                <w:szCs w:val="20"/>
              </w:rPr>
              <w:t>(524</w:t>
            </w:r>
          </w:p>
        </w:tc>
        <w:tc>
          <w:tcPr>
            <w:tcW w:w="50" w:type="pct"/>
            <w:shd w:val="clear" w:color="auto" w:fill="CCEEFF"/>
            <w:vAlign w:val="bottom"/>
            <w:hideMark/>
          </w:tcPr>
          <w:p w14:paraId="1232C20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049B8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3C33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7D534F4" w14:textId="77777777" w:rsidR="00000000" w:rsidRDefault="0053651E">
            <w:pPr>
              <w:jc w:val="right"/>
              <w:rPr>
                <w:rFonts w:eastAsia="Times New Roman"/>
                <w:sz w:val="20"/>
                <w:szCs w:val="20"/>
              </w:rPr>
            </w:pPr>
            <w:r>
              <w:rPr>
                <w:rFonts w:eastAsia="Times New Roman"/>
                <w:sz w:val="20"/>
                <w:szCs w:val="20"/>
              </w:rPr>
              <w:t>(666</w:t>
            </w:r>
          </w:p>
        </w:tc>
        <w:tc>
          <w:tcPr>
            <w:tcW w:w="50" w:type="pct"/>
            <w:shd w:val="clear" w:color="auto" w:fill="CCEEFF"/>
            <w:vAlign w:val="bottom"/>
            <w:hideMark/>
          </w:tcPr>
          <w:p w14:paraId="595D46E9" w14:textId="77777777" w:rsidR="00000000" w:rsidRDefault="0053651E">
            <w:pPr>
              <w:rPr>
                <w:rFonts w:eastAsia="Times New Roman"/>
                <w:sz w:val="20"/>
                <w:szCs w:val="20"/>
              </w:rPr>
            </w:pPr>
            <w:r>
              <w:rPr>
                <w:rFonts w:eastAsia="Times New Roman"/>
                <w:sz w:val="20"/>
                <w:szCs w:val="20"/>
              </w:rPr>
              <w:t>)</w:t>
            </w:r>
          </w:p>
        </w:tc>
      </w:tr>
      <w:tr w:rsidR="00000000" w14:paraId="44E7EEA7" w14:textId="77777777">
        <w:trPr>
          <w:divId w:val="83963851"/>
          <w:tblCellSpacing w:w="0" w:type="dxa"/>
        </w:trPr>
        <w:tc>
          <w:tcPr>
            <w:tcW w:w="0" w:type="auto"/>
            <w:shd w:val="clear" w:color="auto" w:fill="FFFFFF"/>
            <w:vAlign w:val="bottom"/>
            <w:hideMark/>
          </w:tcPr>
          <w:p w14:paraId="5605337D" w14:textId="77777777" w:rsidR="00000000" w:rsidRDefault="0053651E">
            <w:pPr>
              <w:pStyle w:val="a3"/>
              <w:spacing w:before="0" w:beforeAutospacing="0" w:after="0" w:afterAutospacing="0"/>
              <w:ind w:left="360"/>
              <w:rPr>
                <w:sz w:val="20"/>
                <w:szCs w:val="20"/>
              </w:rPr>
            </w:pPr>
            <w:r>
              <w:rPr>
                <w:sz w:val="20"/>
                <w:szCs w:val="20"/>
              </w:rPr>
              <w:t>Reimbursements of investments in and advances to other real estate investments</w:t>
            </w:r>
          </w:p>
        </w:tc>
        <w:tc>
          <w:tcPr>
            <w:tcW w:w="50" w:type="pct"/>
            <w:shd w:val="clear" w:color="auto" w:fill="FFFFFF"/>
            <w:vAlign w:val="bottom"/>
            <w:hideMark/>
          </w:tcPr>
          <w:p w14:paraId="209537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FE5D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A18B54" w14:textId="77777777" w:rsidR="00000000" w:rsidRDefault="0053651E">
            <w:pPr>
              <w:jc w:val="right"/>
              <w:rPr>
                <w:rFonts w:eastAsia="Times New Roman"/>
                <w:sz w:val="20"/>
                <w:szCs w:val="20"/>
              </w:rPr>
            </w:pPr>
            <w:r>
              <w:rPr>
                <w:rFonts w:eastAsia="Times New Roman"/>
                <w:sz w:val="20"/>
                <w:szCs w:val="20"/>
              </w:rPr>
              <w:t>5,960</w:t>
            </w:r>
          </w:p>
        </w:tc>
        <w:tc>
          <w:tcPr>
            <w:tcW w:w="50" w:type="pct"/>
            <w:shd w:val="clear" w:color="auto" w:fill="FFFFFF"/>
            <w:vAlign w:val="bottom"/>
            <w:hideMark/>
          </w:tcPr>
          <w:p w14:paraId="706AD2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2059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0D3E4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1AE297" w14:textId="77777777" w:rsidR="00000000" w:rsidRDefault="0053651E">
            <w:pPr>
              <w:jc w:val="right"/>
              <w:rPr>
                <w:rFonts w:eastAsia="Times New Roman"/>
                <w:sz w:val="20"/>
                <w:szCs w:val="20"/>
              </w:rPr>
            </w:pPr>
            <w:r>
              <w:rPr>
                <w:rFonts w:eastAsia="Times New Roman"/>
                <w:sz w:val="20"/>
                <w:szCs w:val="20"/>
              </w:rPr>
              <w:t>12,878</w:t>
            </w:r>
          </w:p>
        </w:tc>
        <w:tc>
          <w:tcPr>
            <w:tcW w:w="50" w:type="pct"/>
            <w:shd w:val="clear" w:color="auto" w:fill="FFFFFF"/>
            <w:vAlign w:val="bottom"/>
            <w:hideMark/>
          </w:tcPr>
          <w:p w14:paraId="127388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5057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27882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9E12B5" w14:textId="77777777" w:rsidR="00000000" w:rsidRDefault="0053651E">
            <w:pPr>
              <w:jc w:val="right"/>
              <w:rPr>
                <w:rFonts w:eastAsia="Times New Roman"/>
                <w:sz w:val="20"/>
                <w:szCs w:val="20"/>
              </w:rPr>
            </w:pPr>
            <w:r>
              <w:rPr>
                <w:rFonts w:eastAsia="Times New Roman"/>
                <w:sz w:val="20"/>
                <w:szCs w:val="20"/>
              </w:rPr>
              <w:t>40,709</w:t>
            </w:r>
          </w:p>
        </w:tc>
        <w:tc>
          <w:tcPr>
            <w:tcW w:w="50" w:type="pct"/>
            <w:shd w:val="clear" w:color="auto" w:fill="FFFFFF"/>
            <w:vAlign w:val="bottom"/>
            <w:hideMark/>
          </w:tcPr>
          <w:p w14:paraId="2C4096DA" w14:textId="77777777" w:rsidR="00000000" w:rsidRDefault="0053651E">
            <w:pPr>
              <w:rPr>
                <w:rFonts w:eastAsia="Times New Roman"/>
                <w:sz w:val="20"/>
                <w:szCs w:val="20"/>
              </w:rPr>
            </w:pPr>
            <w:r>
              <w:rPr>
                <w:rFonts w:eastAsia="Times New Roman"/>
                <w:sz w:val="20"/>
                <w:szCs w:val="20"/>
              </w:rPr>
              <w:t> </w:t>
            </w:r>
          </w:p>
        </w:tc>
      </w:tr>
      <w:tr w:rsidR="00000000" w14:paraId="62F87DB0" w14:textId="77777777">
        <w:trPr>
          <w:divId w:val="83963851"/>
          <w:tblCellSpacing w:w="0" w:type="dxa"/>
        </w:trPr>
        <w:tc>
          <w:tcPr>
            <w:tcW w:w="0" w:type="auto"/>
            <w:shd w:val="clear" w:color="auto" w:fill="CCEEFF"/>
            <w:vAlign w:val="bottom"/>
            <w:hideMark/>
          </w:tcPr>
          <w:p w14:paraId="10BB651F" w14:textId="77777777" w:rsidR="00000000" w:rsidRDefault="0053651E">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14:paraId="002311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6A1B9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B293AD" w14:textId="77777777" w:rsidR="00000000" w:rsidRDefault="0053651E">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14:paraId="76D8582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4BB61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95A3E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BCF6A9" w14:textId="77777777" w:rsidR="00000000" w:rsidRDefault="0053651E">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14:paraId="524F77E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DB7AF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1733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60CFF7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BB1117B" w14:textId="77777777" w:rsidR="00000000" w:rsidRDefault="0053651E">
            <w:pPr>
              <w:rPr>
                <w:rFonts w:eastAsia="Times New Roman"/>
                <w:sz w:val="20"/>
                <w:szCs w:val="20"/>
              </w:rPr>
            </w:pPr>
            <w:r>
              <w:rPr>
                <w:rFonts w:eastAsia="Times New Roman"/>
                <w:sz w:val="20"/>
                <w:szCs w:val="20"/>
              </w:rPr>
              <w:t> </w:t>
            </w:r>
          </w:p>
        </w:tc>
      </w:tr>
      <w:tr w:rsidR="00000000" w14:paraId="33A13F71" w14:textId="77777777">
        <w:trPr>
          <w:divId w:val="83963851"/>
          <w:tblCellSpacing w:w="0" w:type="dxa"/>
        </w:trPr>
        <w:tc>
          <w:tcPr>
            <w:tcW w:w="0" w:type="auto"/>
            <w:shd w:val="clear" w:color="auto" w:fill="FFFFFF"/>
            <w:vAlign w:val="bottom"/>
            <w:hideMark/>
          </w:tcPr>
          <w:p w14:paraId="71FAB941" w14:textId="77777777" w:rsidR="00000000" w:rsidRDefault="0053651E">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14:paraId="3AA1D7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C85D7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AB69E0F" w14:textId="77777777" w:rsidR="00000000" w:rsidRDefault="0053651E">
            <w:pPr>
              <w:jc w:val="right"/>
              <w:rPr>
                <w:rFonts w:eastAsia="Times New Roman"/>
                <w:sz w:val="20"/>
                <w:szCs w:val="20"/>
              </w:rPr>
            </w:pPr>
            <w:r>
              <w:rPr>
                <w:rFonts w:eastAsia="Times New Roman"/>
                <w:sz w:val="20"/>
                <w:szCs w:val="20"/>
              </w:rPr>
              <w:t>10,449</w:t>
            </w:r>
          </w:p>
        </w:tc>
        <w:tc>
          <w:tcPr>
            <w:tcW w:w="50" w:type="pct"/>
            <w:shd w:val="clear" w:color="auto" w:fill="FFFFFF"/>
            <w:vAlign w:val="bottom"/>
            <w:hideMark/>
          </w:tcPr>
          <w:p w14:paraId="0ADA7A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A593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114E8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BFEBBF4" w14:textId="77777777" w:rsidR="00000000" w:rsidRDefault="0053651E">
            <w:pPr>
              <w:jc w:val="right"/>
              <w:rPr>
                <w:rFonts w:eastAsia="Times New Roman"/>
                <w:sz w:val="20"/>
                <w:szCs w:val="20"/>
              </w:rPr>
            </w:pPr>
            <w:r>
              <w:rPr>
                <w:rFonts w:eastAsia="Times New Roman"/>
                <w:sz w:val="20"/>
                <w:szCs w:val="20"/>
              </w:rPr>
              <w:t>22,299</w:t>
            </w:r>
          </w:p>
        </w:tc>
        <w:tc>
          <w:tcPr>
            <w:tcW w:w="50" w:type="pct"/>
            <w:shd w:val="clear" w:color="auto" w:fill="FFFFFF"/>
            <w:vAlign w:val="bottom"/>
            <w:hideMark/>
          </w:tcPr>
          <w:p w14:paraId="567D65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8E0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76DD6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918C476" w14:textId="77777777" w:rsidR="00000000" w:rsidRDefault="0053651E">
            <w:pPr>
              <w:jc w:val="right"/>
              <w:rPr>
                <w:rFonts w:eastAsia="Times New Roman"/>
                <w:sz w:val="20"/>
                <w:szCs w:val="20"/>
              </w:rPr>
            </w:pPr>
            <w:r>
              <w:rPr>
                <w:rFonts w:eastAsia="Times New Roman"/>
                <w:sz w:val="20"/>
                <w:szCs w:val="20"/>
              </w:rPr>
              <w:t>1,405</w:t>
            </w:r>
          </w:p>
        </w:tc>
        <w:tc>
          <w:tcPr>
            <w:tcW w:w="50" w:type="pct"/>
            <w:shd w:val="clear" w:color="auto" w:fill="FFFFFF"/>
            <w:vAlign w:val="bottom"/>
            <w:hideMark/>
          </w:tcPr>
          <w:p w14:paraId="6635A900" w14:textId="77777777" w:rsidR="00000000" w:rsidRDefault="0053651E">
            <w:pPr>
              <w:rPr>
                <w:rFonts w:eastAsia="Times New Roman"/>
                <w:sz w:val="20"/>
                <w:szCs w:val="20"/>
              </w:rPr>
            </w:pPr>
            <w:r>
              <w:rPr>
                <w:rFonts w:eastAsia="Times New Roman"/>
                <w:sz w:val="20"/>
                <w:szCs w:val="20"/>
              </w:rPr>
              <w:t> </w:t>
            </w:r>
          </w:p>
        </w:tc>
      </w:tr>
      <w:tr w:rsidR="00000000" w14:paraId="1E88D384" w14:textId="77777777">
        <w:trPr>
          <w:divId w:val="83963851"/>
          <w:tblCellSpacing w:w="0" w:type="dxa"/>
        </w:trPr>
        <w:tc>
          <w:tcPr>
            <w:tcW w:w="0" w:type="auto"/>
            <w:shd w:val="clear" w:color="auto" w:fill="CCEEFF"/>
            <w:vAlign w:val="bottom"/>
            <w:hideMark/>
          </w:tcPr>
          <w:p w14:paraId="4C0B8EBE" w14:textId="77777777" w:rsidR="00000000" w:rsidRDefault="0053651E">
            <w:pPr>
              <w:pStyle w:val="a3"/>
              <w:spacing w:before="0" w:beforeAutospacing="0" w:after="0" w:afterAutospacing="0"/>
              <w:ind w:left="360"/>
              <w:rPr>
                <w:sz w:val="20"/>
                <w:szCs w:val="20"/>
              </w:rPr>
            </w:pPr>
            <w:r>
              <w:rPr>
                <w:sz w:val="20"/>
                <w:szCs w:val="20"/>
              </w:rPr>
              <w:t>Investment in other investments</w:t>
            </w:r>
          </w:p>
        </w:tc>
        <w:tc>
          <w:tcPr>
            <w:tcW w:w="50" w:type="pct"/>
            <w:shd w:val="clear" w:color="auto" w:fill="CCEEFF"/>
            <w:vAlign w:val="bottom"/>
            <w:hideMark/>
          </w:tcPr>
          <w:p w14:paraId="726FED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02EF6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AA7D82D" w14:textId="77777777" w:rsidR="00000000" w:rsidRDefault="0053651E">
            <w:pPr>
              <w:jc w:val="right"/>
              <w:rPr>
                <w:rFonts w:eastAsia="Times New Roman"/>
                <w:sz w:val="20"/>
                <w:szCs w:val="20"/>
              </w:rPr>
            </w:pPr>
            <w:r>
              <w:rPr>
                <w:rFonts w:eastAsia="Times New Roman"/>
                <w:sz w:val="20"/>
                <w:szCs w:val="20"/>
              </w:rPr>
              <w:t>(2,500</w:t>
            </w:r>
          </w:p>
        </w:tc>
        <w:tc>
          <w:tcPr>
            <w:tcW w:w="50" w:type="pct"/>
            <w:shd w:val="clear" w:color="auto" w:fill="CCEEFF"/>
            <w:vAlign w:val="bottom"/>
            <w:hideMark/>
          </w:tcPr>
          <w:p w14:paraId="241D1D4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BF9DC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8C156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1EE006" w14:textId="77777777" w:rsidR="00000000" w:rsidRDefault="0053651E">
            <w:pPr>
              <w:jc w:val="right"/>
              <w:rPr>
                <w:rFonts w:eastAsia="Times New Roman"/>
                <w:sz w:val="20"/>
                <w:szCs w:val="20"/>
              </w:rPr>
            </w:pPr>
            <w:r>
              <w:rPr>
                <w:rFonts w:eastAsia="Times New Roman"/>
                <w:sz w:val="20"/>
                <w:szCs w:val="20"/>
              </w:rPr>
              <w:t>(857</w:t>
            </w:r>
          </w:p>
        </w:tc>
        <w:tc>
          <w:tcPr>
            <w:tcW w:w="50" w:type="pct"/>
            <w:shd w:val="clear" w:color="auto" w:fill="CCEEFF"/>
            <w:vAlign w:val="bottom"/>
            <w:hideMark/>
          </w:tcPr>
          <w:p w14:paraId="73850F7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2AEEE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EFF80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0B66C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71F320" w14:textId="77777777" w:rsidR="00000000" w:rsidRDefault="0053651E">
            <w:pPr>
              <w:rPr>
                <w:rFonts w:eastAsia="Times New Roman"/>
                <w:sz w:val="20"/>
                <w:szCs w:val="20"/>
              </w:rPr>
            </w:pPr>
            <w:r>
              <w:rPr>
                <w:rFonts w:eastAsia="Times New Roman"/>
                <w:sz w:val="20"/>
                <w:szCs w:val="20"/>
              </w:rPr>
              <w:t> </w:t>
            </w:r>
          </w:p>
        </w:tc>
      </w:tr>
      <w:tr w:rsidR="00000000" w14:paraId="0E548967" w14:textId="77777777">
        <w:trPr>
          <w:divId w:val="83963851"/>
          <w:tblCellSpacing w:w="0" w:type="dxa"/>
        </w:trPr>
        <w:tc>
          <w:tcPr>
            <w:tcW w:w="0" w:type="auto"/>
            <w:shd w:val="clear" w:color="auto" w:fill="FFFFFF"/>
            <w:vAlign w:val="bottom"/>
            <w:hideMark/>
          </w:tcPr>
          <w:p w14:paraId="02272DF9" w14:textId="77777777" w:rsidR="00000000" w:rsidRDefault="0053651E">
            <w:pPr>
              <w:pStyle w:val="a3"/>
              <w:spacing w:before="0" w:beforeAutospacing="0" w:after="0" w:afterAutospacing="0"/>
              <w:ind w:left="360"/>
              <w:rPr>
                <w:sz w:val="20"/>
                <w:szCs w:val="20"/>
              </w:rPr>
            </w:pPr>
            <w:r>
              <w:rPr>
                <w:sz w:val="20"/>
                <w:szCs w:val="20"/>
              </w:rPr>
              <w:t>Proceeds from sale of operating properties</w:t>
            </w:r>
          </w:p>
        </w:tc>
        <w:tc>
          <w:tcPr>
            <w:tcW w:w="50" w:type="pct"/>
            <w:shd w:val="clear" w:color="auto" w:fill="FFFFFF"/>
            <w:vAlign w:val="bottom"/>
            <w:hideMark/>
          </w:tcPr>
          <w:p w14:paraId="341B53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677E6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8692DF9" w14:textId="77777777" w:rsidR="00000000" w:rsidRDefault="0053651E">
            <w:pPr>
              <w:jc w:val="right"/>
              <w:rPr>
                <w:rFonts w:eastAsia="Times New Roman"/>
                <w:sz w:val="20"/>
                <w:szCs w:val="20"/>
              </w:rPr>
            </w:pPr>
            <w:r>
              <w:rPr>
                <w:rFonts w:eastAsia="Times New Roman"/>
                <w:sz w:val="20"/>
                <w:szCs w:val="20"/>
              </w:rPr>
              <w:t>324,280</w:t>
            </w:r>
          </w:p>
        </w:tc>
        <w:tc>
          <w:tcPr>
            <w:tcW w:w="50" w:type="pct"/>
            <w:shd w:val="clear" w:color="auto" w:fill="FFFFFF"/>
            <w:vAlign w:val="bottom"/>
            <w:hideMark/>
          </w:tcPr>
          <w:p w14:paraId="7615B3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98D8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C48B1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191EBE" w14:textId="77777777" w:rsidR="00000000" w:rsidRDefault="0053651E">
            <w:pPr>
              <w:jc w:val="right"/>
              <w:rPr>
                <w:rFonts w:eastAsia="Times New Roman"/>
                <w:sz w:val="20"/>
                <w:szCs w:val="20"/>
              </w:rPr>
            </w:pPr>
            <w:r>
              <w:rPr>
                <w:rFonts w:eastAsia="Times New Roman"/>
                <w:sz w:val="20"/>
                <w:szCs w:val="20"/>
              </w:rPr>
              <w:t>754,731</w:t>
            </w:r>
          </w:p>
        </w:tc>
        <w:tc>
          <w:tcPr>
            <w:tcW w:w="50" w:type="pct"/>
            <w:shd w:val="clear" w:color="auto" w:fill="FFFFFF"/>
            <w:vAlign w:val="bottom"/>
            <w:hideMark/>
          </w:tcPr>
          <w:p w14:paraId="00BD1E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4D35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FF95A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61D648F" w14:textId="77777777" w:rsidR="00000000" w:rsidRDefault="0053651E">
            <w:pPr>
              <w:jc w:val="right"/>
              <w:rPr>
                <w:rFonts w:eastAsia="Times New Roman"/>
                <w:sz w:val="20"/>
                <w:szCs w:val="20"/>
              </w:rPr>
            </w:pPr>
            <w:r>
              <w:rPr>
                <w:rFonts w:eastAsia="Times New Roman"/>
                <w:sz w:val="20"/>
                <w:szCs w:val="20"/>
              </w:rPr>
              <w:t>181,321</w:t>
            </w:r>
          </w:p>
        </w:tc>
        <w:tc>
          <w:tcPr>
            <w:tcW w:w="50" w:type="pct"/>
            <w:shd w:val="clear" w:color="auto" w:fill="FFFFFF"/>
            <w:vAlign w:val="bottom"/>
            <w:hideMark/>
          </w:tcPr>
          <w:p w14:paraId="10A7BEEF" w14:textId="77777777" w:rsidR="00000000" w:rsidRDefault="0053651E">
            <w:pPr>
              <w:rPr>
                <w:rFonts w:eastAsia="Times New Roman"/>
                <w:sz w:val="20"/>
                <w:szCs w:val="20"/>
              </w:rPr>
            </w:pPr>
            <w:r>
              <w:rPr>
                <w:rFonts w:eastAsia="Times New Roman"/>
                <w:sz w:val="20"/>
                <w:szCs w:val="20"/>
              </w:rPr>
              <w:t> </w:t>
            </w:r>
          </w:p>
        </w:tc>
      </w:tr>
      <w:tr w:rsidR="00000000" w14:paraId="79F6FA50" w14:textId="77777777">
        <w:trPr>
          <w:divId w:val="83963851"/>
          <w:tblCellSpacing w:w="0" w:type="dxa"/>
        </w:trPr>
        <w:tc>
          <w:tcPr>
            <w:tcW w:w="0" w:type="auto"/>
            <w:shd w:val="clear" w:color="auto" w:fill="CCEEFF"/>
            <w:vAlign w:val="bottom"/>
            <w:hideMark/>
          </w:tcPr>
          <w:p w14:paraId="5C27FF32" w14:textId="77777777" w:rsidR="00000000" w:rsidRDefault="0053651E">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CCEEFF"/>
            <w:tcMar>
              <w:top w:w="0" w:type="dxa"/>
              <w:left w:w="0" w:type="dxa"/>
              <w:bottom w:w="15" w:type="dxa"/>
              <w:right w:w="0" w:type="dxa"/>
            </w:tcMar>
            <w:vAlign w:val="bottom"/>
            <w:hideMark/>
          </w:tcPr>
          <w:p w14:paraId="057605A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BC354AC"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F941A22" w14:textId="77777777" w:rsidR="00000000" w:rsidRDefault="0053651E">
            <w:pPr>
              <w:jc w:val="right"/>
              <w:rPr>
                <w:rFonts w:eastAsia="Times New Roman"/>
                <w:sz w:val="20"/>
                <w:szCs w:val="20"/>
              </w:rPr>
            </w:pPr>
            <w:r>
              <w:rPr>
                <w:rFonts w:eastAsia="Times New Roman"/>
                <w:sz w:val="20"/>
                <w:szCs w:val="20"/>
              </w:rPr>
              <w:t>4,000</w:t>
            </w:r>
          </w:p>
        </w:tc>
        <w:tc>
          <w:tcPr>
            <w:tcW w:w="50" w:type="pct"/>
            <w:shd w:val="clear" w:color="auto" w:fill="CCEEFF"/>
            <w:tcMar>
              <w:top w:w="0" w:type="dxa"/>
              <w:left w:w="0" w:type="dxa"/>
              <w:bottom w:w="15" w:type="dxa"/>
              <w:right w:w="0" w:type="dxa"/>
            </w:tcMar>
            <w:vAlign w:val="bottom"/>
            <w:hideMark/>
          </w:tcPr>
          <w:p w14:paraId="5FBB67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37B17E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4512DA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950F148" w14:textId="77777777" w:rsidR="00000000" w:rsidRDefault="0053651E">
            <w:pPr>
              <w:jc w:val="right"/>
              <w:rPr>
                <w:rFonts w:eastAsia="Times New Roman"/>
                <w:sz w:val="20"/>
                <w:szCs w:val="20"/>
              </w:rPr>
            </w:pPr>
            <w:r>
              <w:rPr>
                <w:rFonts w:eastAsia="Times New Roman"/>
                <w:sz w:val="20"/>
                <w:szCs w:val="20"/>
              </w:rPr>
              <w:t>16,222</w:t>
            </w:r>
          </w:p>
        </w:tc>
        <w:tc>
          <w:tcPr>
            <w:tcW w:w="50" w:type="pct"/>
            <w:shd w:val="clear" w:color="auto" w:fill="CCEEFF"/>
            <w:tcMar>
              <w:top w:w="0" w:type="dxa"/>
              <w:left w:w="0" w:type="dxa"/>
              <w:bottom w:w="15" w:type="dxa"/>
              <w:right w:w="0" w:type="dxa"/>
            </w:tcMar>
            <w:vAlign w:val="bottom"/>
            <w:hideMark/>
          </w:tcPr>
          <w:p w14:paraId="0144FE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EE6EF5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78E7AD"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55C9B9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CC984C3" w14:textId="77777777" w:rsidR="00000000" w:rsidRDefault="0053651E">
            <w:pPr>
              <w:rPr>
                <w:rFonts w:eastAsia="Times New Roman"/>
                <w:sz w:val="20"/>
                <w:szCs w:val="20"/>
              </w:rPr>
            </w:pPr>
            <w:r>
              <w:rPr>
                <w:rFonts w:eastAsia="Times New Roman"/>
                <w:sz w:val="20"/>
                <w:szCs w:val="20"/>
              </w:rPr>
              <w:t> </w:t>
            </w:r>
          </w:p>
        </w:tc>
      </w:tr>
      <w:tr w:rsidR="00000000" w14:paraId="69C6644E" w14:textId="77777777">
        <w:trPr>
          <w:divId w:val="83963851"/>
          <w:tblCellSpacing w:w="0" w:type="dxa"/>
        </w:trPr>
        <w:tc>
          <w:tcPr>
            <w:tcW w:w="0" w:type="auto"/>
            <w:shd w:val="clear" w:color="auto" w:fill="FFFFFF"/>
            <w:vAlign w:val="bottom"/>
            <w:hideMark/>
          </w:tcPr>
          <w:p w14:paraId="12EDC83A" w14:textId="77777777" w:rsidR="00000000" w:rsidRDefault="0053651E">
            <w:pPr>
              <w:pStyle w:val="a3"/>
              <w:spacing w:before="0" w:beforeAutospacing="0" w:after="0" w:afterAutospacing="0"/>
              <w:ind w:left="720"/>
              <w:rPr>
                <w:sz w:val="20"/>
                <w:szCs w:val="20"/>
              </w:rPr>
            </w:pPr>
            <w:r>
              <w:rPr>
                <w:sz w:val="20"/>
                <w:szCs w:val="20"/>
              </w:rPr>
              <w:t>Net cash flow provided by/(used for) investing activities</w:t>
            </w:r>
          </w:p>
        </w:tc>
        <w:tc>
          <w:tcPr>
            <w:tcW w:w="50" w:type="pct"/>
            <w:shd w:val="clear" w:color="auto" w:fill="FFFFFF"/>
            <w:vAlign w:val="bottom"/>
            <w:hideMark/>
          </w:tcPr>
          <w:p w14:paraId="4727019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E757B6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C0C5EC2" w14:textId="77777777" w:rsidR="00000000" w:rsidRDefault="0053651E">
            <w:pPr>
              <w:jc w:val="right"/>
              <w:rPr>
                <w:rFonts w:eastAsia="Times New Roman"/>
                <w:sz w:val="20"/>
                <w:szCs w:val="20"/>
              </w:rPr>
            </w:pPr>
            <w:r>
              <w:rPr>
                <w:rFonts w:eastAsia="Times New Roman"/>
                <w:sz w:val="20"/>
                <w:szCs w:val="20"/>
              </w:rPr>
              <w:t>(120,421</w:t>
            </w:r>
          </w:p>
        </w:tc>
        <w:tc>
          <w:tcPr>
            <w:tcW w:w="50" w:type="pct"/>
            <w:shd w:val="clear" w:color="auto" w:fill="FFFFFF"/>
            <w:tcMar>
              <w:top w:w="0" w:type="dxa"/>
              <w:left w:w="0" w:type="dxa"/>
              <w:bottom w:w="15" w:type="dxa"/>
              <w:right w:w="0" w:type="dxa"/>
            </w:tcMar>
            <w:vAlign w:val="bottom"/>
            <w:hideMark/>
          </w:tcPr>
          <w:p w14:paraId="419C1CB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D070D2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8F3A4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BBB6B5E" w14:textId="77777777" w:rsidR="00000000" w:rsidRDefault="0053651E">
            <w:pPr>
              <w:jc w:val="right"/>
              <w:rPr>
                <w:rFonts w:eastAsia="Times New Roman"/>
                <w:sz w:val="20"/>
                <w:szCs w:val="20"/>
              </w:rPr>
            </w:pPr>
            <w:r>
              <w:rPr>
                <w:rFonts w:eastAsia="Times New Roman"/>
                <w:sz w:val="20"/>
                <w:szCs w:val="20"/>
              </w:rPr>
              <w:t>253,645</w:t>
            </w:r>
          </w:p>
        </w:tc>
        <w:tc>
          <w:tcPr>
            <w:tcW w:w="50" w:type="pct"/>
            <w:shd w:val="clear" w:color="auto" w:fill="FFFFFF"/>
            <w:tcMar>
              <w:top w:w="0" w:type="dxa"/>
              <w:left w:w="0" w:type="dxa"/>
              <w:bottom w:w="15" w:type="dxa"/>
              <w:right w:w="0" w:type="dxa"/>
            </w:tcMar>
            <w:vAlign w:val="bottom"/>
            <w:hideMark/>
          </w:tcPr>
          <w:p w14:paraId="2012CA1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E0B9F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74BF7A0"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867915D" w14:textId="77777777" w:rsidR="00000000" w:rsidRDefault="0053651E">
            <w:pPr>
              <w:jc w:val="right"/>
              <w:rPr>
                <w:rFonts w:eastAsia="Times New Roman"/>
                <w:sz w:val="20"/>
                <w:szCs w:val="20"/>
              </w:rPr>
            </w:pPr>
            <w:r>
              <w:rPr>
                <w:rFonts w:eastAsia="Times New Roman"/>
                <w:sz w:val="20"/>
                <w:szCs w:val="20"/>
              </w:rPr>
              <w:t>(294,280</w:t>
            </w:r>
          </w:p>
        </w:tc>
        <w:tc>
          <w:tcPr>
            <w:tcW w:w="50" w:type="pct"/>
            <w:shd w:val="clear" w:color="auto" w:fill="FFFFFF"/>
            <w:tcMar>
              <w:top w:w="0" w:type="dxa"/>
              <w:left w:w="0" w:type="dxa"/>
              <w:bottom w:w="15" w:type="dxa"/>
              <w:right w:w="0" w:type="dxa"/>
            </w:tcMar>
            <w:vAlign w:val="bottom"/>
            <w:hideMark/>
          </w:tcPr>
          <w:p w14:paraId="48406744" w14:textId="77777777" w:rsidR="00000000" w:rsidRDefault="0053651E">
            <w:pPr>
              <w:rPr>
                <w:rFonts w:eastAsia="Times New Roman"/>
                <w:sz w:val="20"/>
                <w:szCs w:val="20"/>
              </w:rPr>
            </w:pPr>
            <w:r>
              <w:rPr>
                <w:rFonts w:eastAsia="Times New Roman"/>
                <w:sz w:val="20"/>
                <w:szCs w:val="20"/>
              </w:rPr>
              <w:t>)</w:t>
            </w:r>
          </w:p>
        </w:tc>
      </w:tr>
      <w:tr w:rsidR="00000000" w14:paraId="67C2620E" w14:textId="77777777">
        <w:trPr>
          <w:divId w:val="83963851"/>
          <w:tblCellSpacing w:w="0" w:type="dxa"/>
        </w:trPr>
        <w:tc>
          <w:tcPr>
            <w:tcW w:w="0" w:type="auto"/>
            <w:shd w:val="clear" w:color="auto" w:fill="CCEEFF"/>
            <w:vAlign w:val="bottom"/>
            <w:hideMark/>
          </w:tcPr>
          <w:p w14:paraId="7B0304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0532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310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693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928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41F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8931D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AC6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44C5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227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FA8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226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22F6F" w14:textId="77777777" w:rsidR="00000000" w:rsidRDefault="0053651E">
            <w:pPr>
              <w:rPr>
                <w:rFonts w:eastAsia="Times New Roman"/>
                <w:sz w:val="20"/>
                <w:szCs w:val="20"/>
              </w:rPr>
            </w:pPr>
            <w:r>
              <w:rPr>
                <w:rFonts w:eastAsia="Times New Roman"/>
                <w:sz w:val="20"/>
                <w:szCs w:val="20"/>
              </w:rPr>
              <w:t> </w:t>
            </w:r>
          </w:p>
        </w:tc>
      </w:tr>
      <w:tr w:rsidR="00000000" w14:paraId="6682B59F" w14:textId="77777777">
        <w:trPr>
          <w:divId w:val="83963851"/>
          <w:tblCellSpacing w:w="0" w:type="dxa"/>
        </w:trPr>
        <w:tc>
          <w:tcPr>
            <w:tcW w:w="0" w:type="auto"/>
            <w:shd w:val="clear" w:color="auto" w:fill="FFFFFF"/>
            <w:vAlign w:val="bottom"/>
            <w:hideMark/>
          </w:tcPr>
          <w:p w14:paraId="27389DC9" w14:textId="77777777" w:rsidR="00000000" w:rsidRDefault="0053651E">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14:paraId="4209F4A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C3D5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CAA1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001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2B46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73E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57DB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E55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593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7349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4B1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9C840D" w14:textId="77777777" w:rsidR="00000000" w:rsidRDefault="0053651E">
            <w:pPr>
              <w:rPr>
                <w:rFonts w:eastAsia="Times New Roman"/>
                <w:sz w:val="20"/>
                <w:szCs w:val="20"/>
              </w:rPr>
            </w:pPr>
            <w:r>
              <w:rPr>
                <w:rFonts w:eastAsia="Times New Roman"/>
                <w:sz w:val="20"/>
                <w:szCs w:val="20"/>
              </w:rPr>
              <w:t> </w:t>
            </w:r>
          </w:p>
        </w:tc>
      </w:tr>
      <w:tr w:rsidR="00000000" w14:paraId="5BFFDA78" w14:textId="77777777">
        <w:trPr>
          <w:divId w:val="83963851"/>
          <w:tblCellSpacing w:w="0" w:type="dxa"/>
        </w:trPr>
        <w:tc>
          <w:tcPr>
            <w:tcW w:w="0" w:type="auto"/>
            <w:shd w:val="clear" w:color="auto" w:fill="CCEEFF"/>
            <w:vAlign w:val="bottom"/>
            <w:hideMark/>
          </w:tcPr>
          <w:p w14:paraId="3F7E78DE" w14:textId="77777777" w:rsidR="00000000" w:rsidRDefault="0053651E">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CCEEFF"/>
            <w:vAlign w:val="bottom"/>
            <w:hideMark/>
          </w:tcPr>
          <w:p w14:paraId="71EFA9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55C0D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ED2A089" w14:textId="77777777" w:rsidR="00000000" w:rsidRDefault="0053651E">
            <w:pPr>
              <w:jc w:val="right"/>
              <w:rPr>
                <w:rFonts w:eastAsia="Times New Roman"/>
                <w:sz w:val="20"/>
                <w:szCs w:val="20"/>
              </w:rPr>
            </w:pPr>
            <w:r>
              <w:rPr>
                <w:rFonts w:eastAsia="Times New Roman"/>
                <w:sz w:val="20"/>
                <w:szCs w:val="20"/>
              </w:rPr>
              <w:t>(6,539</w:t>
            </w:r>
          </w:p>
        </w:tc>
        <w:tc>
          <w:tcPr>
            <w:tcW w:w="50" w:type="pct"/>
            <w:shd w:val="clear" w:color="auto" w:fill="CCEEFF"/>
            <w:vAlign w:val="bottom"/>
            <w:hideMark/>
          </w:tcPr>
          <w:p w14:paraId="716591B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09413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C42AA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FA5B2E5" w14:textId="77777777" w:rsidR="00000000" w:rsidRDefault="0053651E">
            <w:pPr>
              <w:jc w:val="right"/>
              <w:rPr>
                <w:rFonts w:eastAsia="Times New Roman"/>
                <w:sz w:val="20"/>
                <w:szCs w:val="20"/>
              </w:rPr>
            </w:pPr>
            <w:r>
              <w:rPr>
                <w:rFonts w:eastAsia="Times New Roman"/>
                <w:sz w:val="20"/>
                <w:szCs w:val="20"/>
              </w:rPr>
              <w:t>(204,746</w:t>
            </w:r>
          </w:p>
        </w:tc>
        <w:tc>
          <w:tcPr>
            <w:tcW w:w="50" w:type="pct"/>
            <w:shd w:val="clear" w:color="auto" w:fill="CCEEFF"/>
            <w:vAlign w:val="bottom"/>
            <w:hideMark/>
          </w:tcPr>
          <w:p w14:paraId="32CCCDB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5FBB2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F22ED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CFCF0F7" w14:textId="77777777" w:rsidR="00000000" w:rsidRDefault="0053651E">
            <w:pPr>
              <w:jc w:val="right"/>
              <w:rPr>
                <w:rFonts w:eastAsia="Times New Roman"/>
                <w:sz w:val="20"/>
                <w:szCs w:val="20"/>
              </w:rPr>
            </w:pPr>
            <w:r>
              <w:rPr>
                <w:rFonts w:eastAsia="Times New Roman"/>
                <w:sz w:val="20"/>
                <w:szCs w:val="20"/>
              </w:rPr>
              <w:t>(687,117</w:t>
            </w:r>
          </w:p>
        </w:tc>
        <w:tc>
          <w:tcPr>
            <w:tcW w:w="50" w:type="pct"/>
            <w:shd w:val="clear" w:color="auto" w:fill="CCEEFF"/>
            <w:vAlign w:val="bottom"/>
            <w:hideMark/>
          </w:tcPr>
          <w:p w14:paraId="5EB4DFF0" w14:textId="77777777" w:rsidR="00000000" w:rsidRDefault="0053651E">
            <w:pPr>
              <w:rPr>
                <w:rFonts w:eastAsia="Times New Roman"/>
                <w:sz w:val="20"/>
                <w:szCs w:val="20"/>
              </w:rPr>
            </w:pPr>
            <w:r>
              <w:rPr>
                <w:rFonts w:eastAsia="Times New Roman"/>
                <w:sz w:val="20"/>
                <w:szCs w:val="20"/>
              </w:rPr>
              <w:t>)</w:t>
            </w:r>
          </w:p>
        </w:tc>
      </w:tr>
      <w:tr w:rsidR="00000000" w14:paraId="3F00F6AE" w14:textId="77777777">
        <w:trPr>
          <w:divId w:val="83963851"/>
          <w:tblCellSpacing w:w="0" w:type="dxa"/>
        </w:trPr>
        <w:tc>
          <w:tcPr>
            <w:tcW w:w="0" w:type="auto"/>
            <w:shd w:val="clear" w:color="auto" w:fill="FFFFFF"/>
            <w:vAlign w:val="bottom"/>
            <w:hideMark/>
          </w:tcPr>
          <w:p w14:paraId="016D1719" w14:textId="77777777" w:rsidR="00000000" w:rsidRDefault="0053651E">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FFFFFF"/>
            <w:vAlign w:val="bottom"/>
            <w:hideMark/>
          </w:tcPr>
          <w:p w14:paraId="511BC3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39C92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0E79E9D" w14:textId="77777777" w:rsidR="00000000" w:rsidRDefault="0053651E">
            <w:pPr>
              <w:jc w:val="right"/>
              <w:rPr>
                <w:rFonts w:eastAsia="Times New Roman"/>
                <w:sz w:val="20"/>
                <w:szCs w:val="20"/>
              </w:rPr>
            </w:pPr>
            <w:r>
              <w:rPr>
                <w:rFonts w:eastAsia="Times New Roman"/>
                <w:sz w:val="20"/>
                <w:szCs w:val="20"/>
              </w:rPr>
              <w:t>(12,212</w:t>
            </w:r>
          </w:p>
        </w:tc>
        <w:tc>
          <w:tcPr>
            <w:tcW w:w="50" w:type="pct"/>
            <w:shd w:val="clear" w:color="auto" w:fill="FFFFFF"/>
            <w:vAlign w:val="bottom"/>
            <w:hideMark/>
          </w:tcPr>
          <w:p w14:paraId="20BCA9A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0C543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BAC16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99EEE5" w14:textId="77777777" w:rsidR="00000000" w:rsidRDefault="0053651E">
            <w:pPr>
              <w:jc w:val="right"/>
              <w:rPr>
                <w:rFonts w:eastAsia="Times New Roman"/>
                <w:sz w:val="20"/>
                <w:szCs w:val="20"/>
              </w:rPr>
            </w:pPr>
            <w:r>
              <w:rPr>
                <w:rFonts w:eastAsia="Times New Roman"/>
                <w:sz w:val="20"/>
                <w:szCs w:val="20"/>
              </w:rPr>
              <w:t>(13,113</w:t>
            </w:r>
          </w:p>
        </w:tc>
        <w:tc>
          <w:tcPr>
            <w:tcW w:w="50" w:type="pct"/>
            <w:shd w:val="clear" w:color="auto" w:fill="FFFFFF"/>
            <w:vAlign w:val="bottom"/>
            <w:hideMark/>
          </w:tcPr>
          <w:p w14:paraId="016EBD2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05BE1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D5A60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4F8558" w14:textId="77777777" w:rsidR="00000000" w:rsidRDefault="0053651E">
            <w:pPr>
              <w:jc w:val="right"/>
              <w:rPr>
                <w:rFonts w:eastAsia="Times New Roman"/>
                <w:sz w:val="20"/>
                <w:szCs w:val="20"/>
              </w:rPr>
            </w:pPr>
            <w:r>
              <w:rPr>
                <w:rFonts w:eastAsia="Times New Roman"/>
                <w:sz w:val="20"/>
                <w:szCs w:val="20"/>
              </w:rPr>
              <w:t>(15,186</w:t>
            </w:r>
          </w:p>
        </w:tc>
        <w:tc>
          <w:tcPr>
            <w:tcW w:w="50" w:type="pct"/>
            <w:shd w:val="clear" w:color="auto" w:fill="FFFFFF"/>
            <w:vAlign w:val="bottom"/>
            <w:hideMark/>
          </w:tcPr>
          <w:p w14:paraId="2FBB498A" w14:textId="77777777" w:rsidR="00000000" w:rsidRDefault="0053651E">
            <w:pPr>
              <w:rPr>
                <w:rFonts w:eastAsia="Times New Roman"/>
                <w:sz w:val="20"/>
                <w:szCs w:val="20"/>
              </w:rPr>
            </w:pPr>
            <w:r>
              <w:rPr>
                <w:rFonts w:eastAsia="Times New Roman"/>
                <w:sz w:val="20"/>
                <w:szCs w:val="20"/>
              </w:rPr>
              <w:t>)</w:t>
            </w:r>
          </w:p>
        </w:tc>
      </w:tr>
      <w:tr w:rsidR="00000000" w14:paraId="68E55D5F" w14:textId="77777777">
        <w:trPr>
          <w:divId w:val="83963851"/>
          <w:tblCellSpacing w:w="0" w:type="dxa"/>
        </w:trPr>
        <w:tc>
          <w:tcPr>
            <w:tcW w:w="0" w:type="auto"/>
            <w:shd w:val="clear" w:color="auto" w:fill="CCEEFF"/>
            <w:vAlign w:val="bottom"/>
            <w:hideMark/>
          </w:tcPr>
          <w:p w14:paraId="2304549B" w14:textId="77777777" w:rsidR="00000000" w:rsidRDefault="0053651E">
            <w:pPr>
              <w:pStyle w:val="a3"/>
              <w:spacing w:before="0" w:beforeAutospacing="0" w:after="0" w:afterAutospacing="0"/>
              <w:ind w:left="360"/>
              <w:rPr>
                <w:sz w:val="20"/>
                <w:szCs w:val="20"/>
              </w:rPr>
            </w:pPr>
            <w:r>
              <w:rPr>
                <w:sz w:val="20"/>
                <w:szCs w:val="20"/>
              </w:rPr>
              <w:t>Proceeds from mortgage and construction loan financings</w:t>
            </w:r>
          </w:p>
        </w:tc>
        <w:tc>
          <w:tcPr>
            <w:tcW w:w="50" w:type="pct"/>
            <w:shd w:val="clear" w:color="auto" w:fill="CCEEFF"/>
            <w:vAlign w:val="bottom"/>
            <w:hideMark/>
          </w:tcPr>
          <w:p w14:paraId="782E82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62401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4101B9" w14:textId="77777777" w:rsidR="00000000" w:rsidRDefault="0053651E">
            <w:pPr>
              <w:jc w:val="right"/>
              <w:rPr>
                <w:rFonts w:eastAsia="Times New Roman"/>
                <w:sz w:val="20"/>
                <w:szCs w:val="20"/>
              </w:rPr>
            </w:pPr>
            <w:r>
              <w:rPr>
                <w:rFonts w:eastAsia="Times New Roman"/>
                <w:sz w:val="20"/>
                <w:szCs w:val="20"/>
              </w:rPr>
              <w:t>16,028</w:t>
            </w:r>
          </w:p>
        </w:tc>
        <w:tc>
          <w:tcPr>
            <w:tcW w:w="50" w:type="pct"/>
            <w:shd w:val="clear" w:color="auto" w:fill="CCEEFF"/>
            <w:vAlign w:val="bottom"/>
            <w:hideMark/>
          </w:tcPr>
          <w:p w14:paraId="1FEC1A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CE24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54D19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FA0365" w14:textId="77777777" w:rsidR="00000000" w:rsidRDefault="0053651E">
            <w:pPr>
              <w:jc w:val="right"/>
              <w:rPr>
                <w:rFonts w:eastAsia="Times New Roman"/>
                <w:sz w:val="20"/>
                <w:szCs w:val="20"/>
              </w:rPr>
            </w:pPr>
            <w:r>
              <w:rPr>
                <w:rFonts w:eastAsia="Times New Roman"/>
                <w:sz w:val="20"/>
                <w:szCs w:val="20"/>
              </w:rPr>
              <w:t>50,972</w:t>
            </w:r>
          </w:p>
        </w:tc>
        <w:tc>
          <w:tcPr>
            <w:tcW w:w="50" w:type="pct"/>
            <w:shd w:val="clear" w:color="auto" w:fill="CCEEFF"/>
            <w:vAlign w:val="bottom"/>
            <w:hideMark/>
          </w:tcPr>
          <w:p w14:paraId="14611C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92EA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38576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B7EC5F2" w14:textId="77777777" w:rsidR="00000000" w:rsidRDefault="0053651E">
            <w:pPr>
              <w:jc w:val="right"/>
              <w:rPr>
                <w:rFonts w:eastAsia="Times New Roman"/>
                <w:sz w:val="20"/>
                <w:szCs w:val="20"/>
              </w:rPr>
            </w:pPr>
            <w:r>
              <w:rPr>
                <w:rFonts w:eastAsia="Times New Roman"/>
                <w:sz w:val="20"/>
                <w:szCs w:val="20"/>
              </w:rPr>
              <w:t>206,000</w:t>
            </w:r>
          </w:p>
        </w:tc>
        <w:tc>
          <w:tcPr>
            <w:tcW w:w="50" w:type="pct"/>
            <w:shd w:val="clear" w:color="auto" w:fill="CCEEFF"/>
            <w:vAlign w:val="bottom"/>
            <w:hideMark/>
          </w:tcPr>
          <w:p w14:paraId="697C841E" w14:textId="77777777" w:rsidR="00000000" w:rsidRDefault="0053651E">
            <w:pPr>
              <w:rPr>
                <w:rFonts w:eastAsia="Times New Roman"/>
                <w:sz w:val="20"/>
                <w:szCs w:val="20"/>
              </w:rPr>
            </w:pPr>
            <w:r>
              <w:rPr>
                <w:rFonts w:eastAsia="Times New Roman"/>
                <w:sz w:val="20"/>
                <w:szCs w:val="20"/>
              </w:rPr>
              <w:t> </w:t>
            </w:r>
          </w:p>
        </w:tc>
      </w:tr>
      <w:tr w:rsidR="00000000" w14:paraId="7174E9E9" w14:textId="77777777">
        <w:trPr>
          <w:divId w:val="83963851"/>
          <w:tblCellSpacing w:w="0" w:type="dxa"/>
        </w:trPr>
        <w:tc>
          <w:tcPr>
            <w:tcW w:w="0" w:type="auto"/>
            <w:shd w:val="clear" w:color="auto" w:fill="FFFFFF"/>
            <w:vAlign w:val="bottom"/>
            <w:hideMark/>
          </w:tcPr>
          <w:p w14:paraId="423BE39F" w14:textId="77777777" w:rsidR="00000000" w:rsidRDefault="0053651E">
            <w:pPr>
              <w:pStyle w:val="a3"/>
              <w:spacing w:before="0" w:beforeAutospacing="0" w:after="0" w:afterAutospacing="0"/>
              <w:ind w:left="360"/>
              <w:rPr>
                <w:sz w:val="20"/>
                <w:szCs w:val="20"/>
              </w:rPr>
            </w:pPr>
            <w:r>
              <w:rPr>
                <w:sz w:val="20"/>
                <w:szCs w:val="20"/>
              </w:rPr>
              <w:t>Proceeds/(repayments) under the unsecured revolving credit facility, net</w:t>
            </w:r>
          </w:p>
        </w:tc>
        <w:tc>
          <w:tcPr>
            <w:tcW w:w="50" w:type="pct"/>
            <w:shd w:val="clear" w:color="auto" w:fill="FFFFFF"/>
            <w:vAlign w:val="bottom"/>
            <w:hideMark/>
          </w:tcPr>
          <w:p w14:paraId="0E982A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8FF04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302C3EA" w14:textId="77777777" w:rsidR="00000000" w:rsidRDefault="0053651E">
            <w:pPr>
              <w:jc w:val="right"/>
              <w:rPr>
                <w:rFonts w:eastAsia="Times New Roman"/>
                <w:sz w:val="20"/>
                <w:szCs w:val="20"/>
              </w:rPr>
            </w:pPr>
            <w:r>
              <w:rPr>
                <w:rFonts w:eastAsia="Times New Roman"/>
                <w:sz w:val="20"/>
                <w:szCs w:val="20"/>
              </w:rPr>
              <w:t>100,000</w:t>
            </w:r>
          </w:p>
        </w:tc>
        <w:tc>
          <w:tcPr>
            <w:tcW w:w="50" w:type="pct"/>
            <w:shd w:val="clear" w:color="auto" w:fill="FFFFFF"/>
            <w:vAlign w:val="bottom"/>
            <w:hideMark/>
          </w:tcPr>
          <w:p w14:paraId="4C22D1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C398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CF0A9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1D68081" w14:textId="77777777" w:rsidR="00000000" w:rsidRDefault="0053651E">
            <w:pPr>
              <w:jc w:val="right"/>
              <w:rPr>
                <w:rFonts w:eastAsia="Times New Roman"/>
                <w:sz w:val="20"/>
                <w:szCs w:val="20"/>
              </w:rPr>
            </w:pPr>
            <w:r>
              <w:rPr>
                <w:rFonts w:eastAsia="Times New Roman"/>
                <w:sz w:val="20"/>
                <w:szCs w:val="20"/>
              </w:rPr>
              <w:t>92,254</w:t>
            </w:r>
          </w:p>
        </w:tc>
        <w:tc>
          <w:tcPr>
            <w:tcW w:w="50" w:type="pct"/>
            <w:shd w:val="clear" w:color="auto" w:fill="FFFFFF"/>
            <w:vAlign w:val="bottom"/>
            <w:hideMark/>
          </w:tcPr>
          <w:p w14:paraId="1D0C7E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4D75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8E402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54069D1" w14:textId="77777777" w:rsidR="00000000" w:rsidRDefault="0053651E">
            <w:pPr>
              <w:jc w:val="right"/>
              <w:rPr>
                <w:rFonts w:eastAsia="Times New Roman"/>
                <w:sz w:val="20"/>
                <w:szCs w:val="20"/>
              </w:rPr>
            </w:pPr>
            <w:r>
              <w:rPr>
                <w:rFonts w:eastAsia="Times New Roman"/>
                <w:sz w:val="20"/>
                <w:szCs w:val="20"/>
              </w:rPr>
              <w:t>(17,143</w:t>
            </w:r>
          </w:p>
        </w:tc>
        <w:tc>
          <w:tcPr>
            <w:tcW w:w="50" w:type="pct"/>
            <w:shd w:val="clear" w:color="auto" w:fill="FFFFFF"/>
            <w:vAlign w:val="bottom"/>
            <w:hideMark/>
          </w:tcPr>
          <w:p w14:paraId="7328709B" w14:textId="77777777" w:rsidR="00000000" w:rsidRDefault="0053651E">
            <w:pPr>
              <w:rPr>
                <w:rFonts w:eastAsia="Times New Roman"/>
                <w:sz w:val="20"/>
                <w:szCs w:val="20"/>
              </w:rPr>
            </w:pPr>
            <w:r>
              <w:rPr>
                <w:rFonts w:eastAsia="Times New Roman"/>
                <w:sz w:val="20"/>
                <w:szCs w:val="20"/>
              </w:rPr>
              <w:t>)</w:t>
            </w:r>
          </w:p>
        </w:tc>
      </w:tr>
      <w:tr w:rsidR="00000000" w14:paraId="5B14B308" w14:textId="77777777">
        <w:trPr>
          <w:divId w:val="83963851"/>
          <w:tblCellSpacing w:w="0" w:type="dxa"/>
        </w:trPr>
        <w:tc>
          <w:tcPr>
            <w:tcW w:w="0" w:type="auto"/>
            <w:shd w:val="clear" w:color="auto" w:fill="CCEEFF"/>
            <w:vAlign w:val="bottom"/>
            <w:hideMark/>
          </w:tcPr>
          <w:p w14:paraId="2D3E765F" w14:textId="77777777" w:rsidR="00000000" w:rsidRDefault="0053651E">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CCEEFF"/>
            <w:vAlign w:val="bottom"/>
            <w:hideMark/>
          </w:tcPr>
          <w:p w14:paraId="504FF5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BF04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8E77C9" w14:textId="77777777" w:rsidR="00000000" w:rsidRDefault="0053651E">
            <w:pPr>
              <w:jc w:val="right"/>
              <w:rPr>
                <w:rFonts w:eastAsia="Times New Roman"/>
                <w:sz w:val="20"/>
                <w:szCs w:val="20"/>
              </w:rPr>
            </w:pPr>
            <w:r>
              <w:rPr>
                <w:rFonts w:eastAsia="Times New Roman"/>
                <w:sz w:val="20"/>
                <w:szCs w:val="20"/>
              </w:rPr>
              <w:t>350,000</w:t>
            </w:r>
          </w:p>
        </w:tc>
        <w:tc>
          <w:tcPr>
            <w:tcW w:w="50" w:type="pct"/>
            <w:shd w:val="clear" w:color="auto" w:fill="CCEEFF"/>
            <w:vAlign w:val="bottom"/>
            <w:hideMark/>
          </w:tcPr>
          <w:p w14:paraId="319654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3878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6372D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63907A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4E78D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491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F17CA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473097" w14:textId="77777777" w:rsidR="00000000" w:rsidRDefault="0053651E">
            <w:pPr>
              <w:jc w:val="right"/>
              <w:rPr>
                <w:rFonts w:eastAsia="Times New Roman"/>
                <w:sz w:val="20"/>
                <w:szCs w:val="20"/>
              </w:rPr>
            </w:pPr>
            <w:r>
              <w:rPr>
                <w:rFonts w:eastAsia="Times New Roman"/>
                <w:sz w:val="20"/>
                <w:szCs w:val="20"/>
              </w:rPr>
              <w:t>1,250,000</w:t>
            </w:r>
          </w:p>
        </w:tc>
        <w:tc>
          <w:tcPr>
            <w:tcW w:w="50" w:type="pct"/>
            <w:shd w:val="clear" w:color="auto" w:fill="CCEEFF"/>
            <w:vAlign w:val="bottom"/>
            <w:hideMark/>
          </w:tcPr>
          <w:p w14:paraId="2C1FCD53" w14:textId="77777777" w:rsidR="00000000" w:rsidRDefault="0053651E">
            <w:pPr>
              <w:rPr>
                <w:rFonts w:eastAsia="Times New Roman"/>
                <w:sz w:val="20"/>
                <w:szCs w:val="20"/>
              </w:rPr>
            </w:pPr>
            <w:r>
              <w:rPr>
                <w:rFonts w:eastAsia="Times New Roman"/>
                <w:sz w:val="20"/>
                <w:szCs w:val="20"/>
              </w:rPr>
              <w:t> </w:t>
            </w:r>
          </w:p>
        </w:tc>
      </w:tr>
      <w:tr w:rsidR="00000000" w14:paraId="0A30227B" w14:textId="77777777">
        <w:trPr>
          <w:divId w:val="83963851"/>
          <w:tblCellSpacing w:w="0" w:type="dxa"/>
        </w:trPr>
        <w:tc>
          <w:tcPr>
            <w:tcW w:w="0" w:type="auto"/>
            <w:shd w:val="clear" w:color="auto" w:fill="FFFFFF"/>
            <w:vAlign w:val="bottom"/>
            <w:hideMark/>
          </w:tcPr>
          <w:p w14:paraId="4425177E" w14:textId="77777777" w:rsidR="00000000" w:rsidRDefault="0053651E">
            <w:pPr>
              <w:pStyle w:val="a3"/>
              <w:spacing w:before="0" w:beforeAutospacing="0" w:after="0" w:afterAutospacing="0"/>
              <w:ind w:left="360"/>
              <w:rPr>
                <w:sz w:val="20"/>
                <w:szCs w:val="20"/>
              </w:rPr>
            </w:pPr>
            <w:r>
              <w:rPr>
                <w:sz w:val="20"/>
                <w:szCs w:val="20"/>
              </w:rPr>
              <w:t>Repayments under unsecured notes/term loan</w:t>
            </w:r>
          </w:p>
        </w:tc>
        <w:tc>
          <w:tcPr>
            <w:tcW w:w="50" w:type="pct"/>
            <w:shd w:val="clear" w:color="auto" w:fill="FFFFFF"/>
            <w:vAlign w:val="bottom"/>
            <w:hideMark/>
          </w:tcPr>
          <w:p w14:paraId="5E0311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C6BF5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1A8807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85557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A92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C5B91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5A4F72" w14:textId="77777777" w:rsidR="00000000" w:rsidRDefault="0053651E">
            <w:pPr>
              <w:jc w:val="right"/>
              <w:rPr>
                <w:rFonts w:eastAsia="Times New Roman"/>
                <w:sz w:val="20"/>
                <w:szCs w:val="20"/>
              </w:rPr>
            </w:pPr>
            <w:r>
              <w:rPr>
                <w:rFonts w:eastAsia="Times New Roman"/>
                <w:sz w:val="20"/>
                <w:szCs w:val="20"/>
              </w:rPr>
              <w:t>(315,095</w:t>
            </w:r>
          </w:p>
        </w:tc>
        <w:tc>
          <w:tcPr>
            <w:tcW w:w="50" w:type="pct"/>
            <w:shd w:val="clear" w:color="auto" w:fill="FFFFFF"/>
            <w:vAlign w:val="bottom"/>
            <w:hideMark/>
          </w:tcPr>
          <w:p w14:paraId="3AA682C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0F41F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6D34D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9099B6" w14:textId="77777777" w:rsidR="00000000" w:rsidRDefault="0053651E">
            <w:pPr>
              <w:jc w:val="right"/>
              <w:rPr>
                <w:rFonts w:eastAsia="Times New Roman"/>
                <w:sz w:val="20"/>
                <w:szCs w:val="20"/>
              </w:rPr>
            </w:pPr>
            <w:r>
              <w:rPr>
                <w:rFonts w:eastAsia="Times New Roman"/>
                <w:sz w:val="20"/>
                <w:szCs w:val="20"/>
              </w:rPr>
              <w:t>(550,000</w:t>
            </w:r>
          </w:p>
        </w:tc>
        <w:tc>
          <w:tcPr>
            <w:tcW w:w="50" w:type="pct"/>
            <w:shd w:val="clear" w:color="auto" w:fill="FFFFFF"/>
            <w:vAlign w:val="bottom"/>
            <w:hideMark/>
          </w:tcPr>
          <w:p w14:paraId="2E6595CA" w14:textId="77777777" w:rsidR="00000000" w:rsidRDefault="0053651E">
            <w:pPr>
              <w:rPr>
                <w:rFonts w:eastAsia="Times New Roman"/>
                <w:sz w:val="20"/>
                <w:szCs w:val="20"/>
              </w:rPr>
            </w:pPr>
            <w:r>
              <w:rPr>
                <w:rFonts w:eastAsia="Times New Roman"/>
                <w:sz w:val="20"/>
                <w:szCs w:val="20"/>
              </w:rPr>
              <w:t>)</w:t>
            </w:r>
          </w:p>
        </w:tc>
      </w:tr>
      <w:tr w:rsidR="00000000" w14:paraId="3447451F" w14:textId="77777777">
        <w:trPr>
          <w:divId w:val="83963851"/>
          <w:tblCellSpacing w:w="0" w:type="dxa"/>
        </w:trPr>
        <w:tc>
          <w:tcPr>
            <w:tcW w:w="0" w:type="auto"/>
            <w:shd w:val="clear" w:color="auto" w:fill="CCEEFF"/>
            <w:vAlign w:val="bottom"/>
            <w:hideMark/>
          </w:tcPr>
          <w:p w14:paraId="73A76FB8" w14:textId="77777777" w:rsidR="00000000" w:rsidRDefault="0053651E">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14:paraId="7975D8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EDA43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FC1AED2" w14:textId="77777777" w:rsidR="00000000" w:rsidRDefault="0053651E">
            <w:pPr>
              <w:jc w:val="right"/>
              <w:rPr>
                <w:rFonts w:eastAsia="Times New Roman"/>
                <w:sz w:val="20"/>
                <w:szCs w:val="20"/>
              </w:rPr>
            </w:pPr>
            <w:r>
              <w:rPr>
                <w:rFonts w:eastAsia="Times New Roman"/>
                <w:sz w:val="20"/>
                <w:szCs w:val="20"/>
              </w:rPr>
              <w:t>(7,707</w:t>
            </w:r>
          </w:p>
        </w:tc>
        <w:tc>
          <w:tcPr>
            <w:tcW w:w="50" w:type="pct"/>
            <w:shd w:val="clear" w:color="auto" w:fill="CCEEFF"/>
            <w:vAlign w:val="bottom"/>
            <w:hideMark/>
          </w:tcPr>
          <w:p w14:paraId="145C63C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76D0A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342EC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5F4B9E8" w14:textId="77777777" w:rsidR="00000000" w:rsidRDefault="0053651E">
            <w:pPr>
              <w:jc w:val="right"/>
              <w:rPr>
                <w:rFonts w:eastAsia="Times New Roman"/>
                <w:sz w:val="20"/>
                <w:szCs w:val="20"/>
              </w:rPr>
            </w:pPr>
            <w:r>
              <w:rPr>
                <w:rFonts w:eastAsia="Times New Roman"/>
                <w:sz w:val="20"/>
                <w:szCs w:val="20"/>
              </w:rPr>
              <w:t>(1,221</w:t>
            </w:r>
          </w:p>
        </w:tc>
        <w:tc>
          <w:tcPr>
            <w:tcW w:w="50" w:type="pct"/>
            <w:shd w:val="clear" w:color="auto" w:fill="CCEEFF"/>
            <w:vAlign w:val="bottom"/>
            <w:hideMark/>
          </w:tcPr>
          <w:p w14:paraId="188CB2C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8B255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92827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A33B9C" w14:textId="77777777" w:rsidR="00000000" w:rsidRDefault="0053651E">
            <w:pPr>
              <w:jc w:val="right"/>
              <w:rPr>
                <w:rFonts w:eastAsia="Times New Roman"/>
                <w:sz w:val="20"/>
                <w:szCs w:val="20"/>
              </w:rPr>
            </w:pPr>
            <w:r>
              <w:rPr>
                <w:rFonts w:eastAsia="Times New Roman"/>
                <w:sz w:val="20"/>
                <w:szCs w:val="20"/>
              </w:rPr>
              <w:t>(23,305</w:t>
            </w:r>
          </w:p>
        </w:tc>
        <w:tc>
          <w:tcPr>
            <w:tcW w:w="50" w:type="pct"/>
            <w:shd w:val="clear" w:color="auto" w:fill="CCEEFF"/>
            <w:vAlign w:val="bottom"/>
            <w:hideMark/>
          </w:tcPr>
          <w:p w14:paraId="0032B49B" w14:textId="77777777" w:rsidR="00000000" w:rsidRDefault="0053651E">
            <w:pPr>
              <w:rPr>
                <w:rFonts w:eastAsia="Times New Roman"/>
                <w:sz w:val="20"/>
                <w:szCs w:val="20"/>
              </w:rPr>
            </w:pPr>
            <w:r>
              <w:rPr>
                <w:rFonts w:eastAsia="Times New Roman"/>
                <w:sz w:val="20"/>
                <w:szCs w:val="20"/>
              </w:rPr>
              <w:t>)</w:t>
            </w:r>
          </w:p>
        </w:tc>
      </w:tr>
      <w:tr w:rsidR="00000000" w14:paraId="3E377699" w14:textId="77777777">
        <w:trPr>
          <w:divId w:val="83963851"/>
          <w:tblCellSpacing w:w="0" w:type="dxa"/>
        </w:trPr>
        <w:tc>
          <w:tcPr>
            <w:tcW w:w="0" w:type="auto"/>
            <w:shd w:val="clear" w:color="auto" w:fill="FFFFFF"/>
            <w:vAlign w:val="bottom"/>
            <w:hideMark/>
          </w:tcPr>
          <w:p w14:paraId="2D33938D" w14:textId="77777777" w:rsidR="00000000" w:rsidRDefault="0053651E">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14:paraId="2EB04F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E8D16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AB73071" w14:textId="77777777" w:rsidR="00000000" w:rsidRDefault="0053651E">
            <w:pPr>
              <w:jc w:val="right"/>
              <w:rPr>
                <w:rFonts w:eastAsia="Times New Roman"/>
                <w:sz w:val="20"/>
                <w:szCs w:val="20"/>
              </w:rPr>
            </w:pPr>
            <w:r>
              <w:rPr>
                <w:rFonts w:eastAsia="Times New Roman"/>
                <w:sz w:val="20"/>
                <w:szCs w:val="20"/>
              </w:rPr>
              <w:t>(1,531</w:t>
            </w:r>
          </w:p>
        </w:tc>
        <w:tc>
          <w:tcPr>
            <w:tcW w:w="50" w:type="pct"/>
            <w:shd w:val="clear" w:color="auto" w:fill="FFFFFF"/>
            <w:vAlign w:val="bottom"/>
            <w:hideMark/>
          </w:tcPr>
          <w:p w14:paraId="70CA43D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A9901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DFEFE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C0435A7" w14:textId="77777777" w:rsidR="00000000" w:rsidRDefault="0053651E">
            <w:pPr>
              <w:jc w:val="right"/>
              <w:rPr>
                <w:rFonts w:eastAsia="Times New Roman"/>
                <w:sz w:val="20"/>
                <w:szCs w:val="20"/>
              </w:rPr>
            </w:pPr>
            <w:r>
              <w:rPr>
                <w:rFonts w:eastAsia="Times New Roman"/>
                <w:sz w:val="20"/>
                <w:szCs w:val="20"/>
              </w:rPr>
              <w:t>(13,308</w:t>
            </w:r>
          </w:p>
        </w:tc>
        <w:tc>
          <w:tcPr>
            <w:tcW w:w="50" w:type="pct"/>
            <w:shd w:val="clear" w:color="auto" w:fill="FFFFFF"/>
            <w:vAlign w:val="bottom"/>
            <w:hideMark/>
          </w:tcPr>
          <w:p w14:paraId="488B50D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3A9F8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A520B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BE4DD2E" w14:textId="77777777" w:rsidR="00000000" w:rsidRDefault="0053651E">
            <w:pPr>
              <w:jc w:val="right"/>
              <w:rPr>
                <w:rFonts w:eastAsia="Times New Roman"/>
                <w:sz w:val="20"/>
                <w:szCs w:val="20"/>
              </w:rPr>
            </w:pPr>
            <w:r>
              <w:rPr>
                <w:rFonts w:eastAsia="Times New Roman"/>
                <w:sz w:val="20"/>
                <w:szCs w:val="20"/>
              </w:rPr>
              <w:t>(2,631</w:t>
            </w:r>
          </w:p>
        </w:tc>
        <w:tc>
          <w:tcPr>
            <w:tcW w:w="50" w:type="pct"/>
            <w:shd w:val="clear" w:color="auto" w:fill="FFFFFF"/>
            <w:vAlign w:val="bottom"/>
            <w:hideMark/>
          </w:tcPr>
          <w:p w14:paraId="5605F93D" w14:textId="77777777" w:rsidR="00000000" w:rsidRDefault="0053651E">
            <w:pPr>
              <w:rPr>
                <w:rFonts w:eastAsia="Times New Roman"/>
                <w:sz w:val="20"/>
                <w:szCs w:val="20"/>
              </w:rPr>
            </w:pPr>
            <w:r>
              <w:rPr>
                <w:rFonts w:eastAsia="Times New Roman"/>
                <w:sz w:val="20"/>
                <w:szCs w:val="20"/>
              </w:rPr>
              <w:t>)</w:t>
            </w:r>
          </w:p>
        </w:tc>
      </w:tr>
      <w:tr w:rsidR="00000000" w14:paraId="09A7283B" w14:textId="77777777">
        <w:trPr>
          <w:divId w:val="83963851"/>
          <w:tblCellSpacing w:w="0" w:type="dxa"/>
        </w:trPr>
        <w:tc>
          <w:tcPr>
            <w:tcW w:w="0" w:type="auto"/>
            <w:shd w:val="clear" w:color="auto" w:fill="CCEEFF"/>
            <w:vAlign w:val="bottom"/>
            <w:hideMark/>
          </w:tcPr>
          <w:p w14:paraId="70CD9276" w14:textId="77777777" w:rsidR="00000000" w:rsidRDefault="0053651E">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CCEEFF"/>
            <w:vAlign w:val="bottom"/>
            <w:hideMark/>
          </w:tcPr>
          <w:p w14:paraId="1978B2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69846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909734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A9861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DD9A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AE01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C370A1" w14:textId="77777777" w:rsidR="00000000" w:rsidRDefault="0053651E">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14:paraId="60C492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3AD3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BF97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01F2F3E" w14:textId="77777777" w:rsidR="00000000" w:rsidRDefault="0053651E">
            <w:pPr>
              <w:jc w:val="right"/>
              <w:rPr>
                <w:rFonts w:eastAsia="Times New Roman"/>
                <w:sz w:val="20"/>
                <w:szCs w:val="20"/>
              </w:rPr>
            </w:pPr>
            <w:r>
              <w:rPr>
                <w:rFonts w:eastAsia="Times New Roman"/>
                <w:sz w:val="20"/>
                <w:szCs w:val="20"/>
              </w:rPr>
              <w:t>1,422</w:t>
            </w:r>
          </w:p>
        </w:tc>
        <w:tc>
          <w:tcPr>
            <w:tcW w:w="50" w:type="pct"/>
            <w:shd w:val="clear" w:color="auto" w:fill="CCEEFF"/>
            <w:vAlign w:val="bottom"/>
            <w:hideMark/>
          </w:tcPr>
          <w:p w14:paraId="6764308B" w14:textId="77777777" w:rsidR="00000000" w:rsidRDefault="0053651E">
            <w:pPr>
              <w:rPr>
                <w:rFonts w:eastAsia="Times New Roman"/>
                <w:sz w:val="20"/>
                <w:szCs w:val="20"/>
              </w:rPr>
            </w:pPr>
            <w:r>
              <w:rPr>
                <w:rFonts w:eastAsia="Times New Roman"/>
                <w:sz w:val="20"/>
                <w:szCs w:val="20"/>
              </w:rPr>
              <w:t> </w:t>
            </w:r>
          </w:p>
        </w:tc>
      </w:tr>
      <w:tr w:rsidR="00000000" w14:paraId="4974D935" w14:textId="77777777">
        <w:trPr>
          <w:divId w:val="83963851"/>
          <w:tblCellSpacing w:w="0" w:type="dxa"/>
        </w:trPr>
        <w:tc>
          <w:tcPr>
            <w:tcW w:w="0" w:type="auto"/>
            <w:shd w:val="clear" w:color="auto" w:fill="FFFFFF"/>
            <w:vAlign w:val="bottom"/>
            <w:hideMark/>
          </w:tcPr>
          <w:p w14:paraId="6CBF09D7" w14:textId="77777777" w:rsidR="00000000" w:rsidRDefault="0053651E">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14:paraId="77E975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5F5E1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AA9990" w14:textId="77777777" w:rsidR="00000000" w:rsidRDefault="0053651E">
            <w:pPr>
              <w:jc w:val="right"/>
              <w:rPr>
                <w:rFonts w:eastAsia="Times New Roman"/>
                <w:sz w:val="20"/>
                <w:szCs w:val="20"/>
              </w:rPr>
            </w:pPr>
            <w:r>
              <w:rPr>
                <w:rFonts w:eastAsia="Times New Roman"/>
                <w:sz w:val="20"/>
                <w:szCs w:val="20"/>
              </w:rPr>
              <w:t>(15,134</w:t>
            </w:r>
          </w:p>
        </w:tc>
        <w:tc>
          <w:tcPr>
            <w:tcW w:w="50" w:type="pct"/>
            <w:shd w:val="clear" w:color="auto" w:fill="FFFFFF"/>
            <w:vAlign w:val="bottom"/>
            <w:hideMark/>
          </w:tcPr>
          <w:p w14:paraId="3ED1FC0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8BEAD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0485E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6910019" w14:textId="77777777" w:rsidR="00000000" w:rsidRDefault="0053651E">
            <w:pPr>
              <w:jc w:val="right"/>
              <w:rPr>
                <w:rFonts w:eastAsia="Times New Roman"/>
                <w:sz w:val="20"/>
                <w:szCs w:val="20"/>
              </w:rPr>
            </w:pPr>
            <w:r>
              <w:rPr>
                <w:rFonts w:eastAsia="Times New Roman"/>
                <w:sz w:val="20"/>
                <w:szCs w:val="20"/>
              </w:rPr>
              <w:t>(6,660</w:t>
            </w:r>
          </w:p>
        </w:tc>
        <w:tc>
          <w:tcPr>
            <w:tcW w:w="50" w:type="pct"/>
            <w:shd w:val="clear" w:color="auto" w:fill="FFFFFF"/>
            <w:vAlign w:val="bottom"/>
            <w:hideMark/>
          </w:tcPr>
          <w:p w14:paraId="13BDA67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A8AF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74B8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7D24D0F" w14:textId="77777777" w:rsidR="00000000" w:rsidRDefault="0053651E">
            <w:pPr>
              <w:jc w:val="right"/>
              <w:rPr>
                <w:rFonts w:eastAsia="Times New Roman"/>
                <w:sz w:val="20"/>
                <w:szCs w:val="20"/>
              </w:rPr>
            </w:pPr>
            <w:r>
              <w:rPr>
                <w:rFonts w:eastAsia="Times New Roman"/>
                <w:sz w:val="20"/>
                <w:szCs w:val="20"/>
              </w:rPr>
              <w:t>(96,599</w:t>
            </w:r>
          </w:p>
        </w:tc>
        <w:tc>
          <w:tcPr>
            <w:tcW w:w="50" w:type="pct"/>
            <w:shd w:val="clear" w:color="auto" w:fill="FFFFFF"/>
            <w:vAlign w:val="bottom"/>
            <w:hideMark/>
          </w:tcPr>
          <w:p w14:paraId="69E320F9" w14:textId="77777777" w:rsidR="00000000" w:rsidRDefault="0053651E">
            <w:pPr>
              <w:rPr>
                <w:rFonts w:eastAsia="Times New Roman"/>
                <w:sz w:val="20"/>
                <w:szCs w:val="20"/>
              </w:rPr>
            </w:pPr>
            <w:r>
              <w:rPr>
                <w:rFonts w:eastAsia="Times New Roman"/>
                <w:sz w:val="20"/>
                <w:szCs w:val="20"/>
              </w:rPr>
              <w:t>)</w:t>
            </w:r>
          </w:p>
        </w:tc>
      </w:tr>
      <w:tr w:rsidR="00000000" w14:paraId="4DED7D36" w14:textId="77777777">
        <w:trPr>
          <w:divId w:val="83963851"/>
          <w:tblCellSpacing w:w="0" w:type="dxa"/>
        </w:trPr>
        <w:tc>
          <w:tcPr>
            <w:tcW w:w="0" w:type="auto"/>
            <w:shd w:val="clear" w:color="auto" w:fill="CCEEFF"/>
            <w:vAlign w:val="bottom"/>
            <w:hideMark/>
          </w:tcPr>
          <w:p w14:paraId="22BD9D8C" w14:textId="77777777" w:rsidR="00000000" w:rsidRDefault="0053651E">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14:paraId="5F51CE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76E76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C99752D" w14:textId="77777777" w:rsidR="00000000" w:rsidRDefault="0053651E">
            <w:pPr>
              <w:jc w:val="right"/>
              <w:rPr>
                <w:rFonts w:eastAsia="Times New Roman"/>
                <w:sz w:val="20"/>
                <w:szCs w:val="20"/>
              </w:rPr>
            </w:pPr>
            <w:r>
              <w:rPr>
                <w:rFonts w:eastAsia="Times New Roman"/>
                <w:sz w:val="20"/>
                <w:szCs w:val="20"/>
              </w:rPr>
              <w:t>(531,565</w:t>
            </w:r>
          </w:p>
        </w:tc>
        <w:tc>
          <w:tcPr>
            <w:tcW w:w="50" w:type="pct"/>
            <w:shd w:val="clear" w:color="auto" w:fill="CCEEFF"/>
            <w:vAlign w:val="bottom"/>
            <w:hideMark/>
          </w:tcPr>
          <w:p w14:paraId="36310FB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335E8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21A55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D0BFFE" w14:textId="77777777" w:rsidR="00000000" w:rsidRDefault="0053651E">
            <w:pPr>
              <w:jc w:val="right"/>
              <w:rPr>
                <w:rFonts w:eastAsia="Times New Roman"/>
                <w:sz w:val="20"/>
                <w:szCs w:val="20"/>
              </w:rPr>
            </w:pPr>
            <w:r>
              <w:rPr>
                <w:rFonts w:eastAsia="Times New Roman"/>
                <w:sz w:val="20"/>
                <w:szCs w:val="20"/>
              </w:rPr>
              <w:t>(529,756</w:t>
            </w:r>
          </w:p>
        </w:tc>
        <w:tc>
          <w:tcPr>
            <w:tcW w:w="50" w:type="pct"/>
            <w:shd w:val="clear" w:color="auto" w:fill="CCEEFF"/>
            <w:vAlign w:val="bottom"/>
            <w:hideMark/>
          </w:tcPr>
          <w:p w14:paraId="1A622E6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39A98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CEEA7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905F208" w14:textId="77777777" w:rsidR="00000000" w:rsidRDefault="0053651E">
            <w:pPr>
              <w:jc w:val="right"/>
              <w:rPr>
                <w:rFonts w:eastAsia="Times New Roman"/>
                <w:sz w:val="20"/>
                <w:szCs w:val="20"/>
              </w:rPr>
            </w:pPr>
            <w:r>
              <w:rPr>
                <w:rFonts w:eastAsia="Times New Roman"/>
                <w:sz w:val="20"/>
                <w:szCs w:val="20"/>
              </w:rPr>
              <w:t>(506,172</w:t>
            </w:r>
          </w:p>
        </w:tc>
        <w:tc>
          <w:tcPr>
            <w:tcW w:w="50" w:type="pct"/>
            <w:shd w:val="clear" w:color="auto" w:fill="CCEEFF"/>
            <w:vAlign w:val="bottom"/>
            <w:hideMark/>
          </w:tcPr>
          <w:p w14:paraId="04230117" w14:textId="77777777" w:rsidR="00000000" w:rsidRDefault="0053651E">
            <w:pPr>
              <w:rPr>
                <w:rFonts w:eastAsia="Times New Roman"/>
                <w:sz w:val="20"/>
                <w:szCs w:val="20"/>
              </w:rPr>
            </w:pPr>
            <w:r>
              <w:rPr>
                <w:rFonts w:eastAsia="Times New Roman"/>
                <w:sz w:val="20"/>
                <w:szCs w:val="20"/>
              </w:rPr>
              <w:t>)</w:t>
            </w:r>
          </w:p>
        </w:tc>
      </w:tr>
      <w:tr w:rsidR="00000000" w14:paraId="2F09789A" w14:textId="77777777">
        <w:trPr>
          <w:divId w:val="83963851"/>
          <w:tblCellSpacing w:w="0" w:type="dxa"/>
        </w:trPr>
        <w:tc>
          <w:tcPr>
            <w:tcW w:w="0" w:type="auto"/>
            <w:shd w:val="clear" w:color="auto" w:fill="FFFFFF"/>
            <w:vAlign w:val="bottom"/>
            <w:hideMark/>
          </w:tcPr>
          <w:p w14:paraId="2AE960C0" w14:textId="77777777" w:rsidR="00000000" w:rsidRDefault="0053651E">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14:paraId="563181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3AB28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AE0B8EC" w14:textId="77777777" w:rsidR="00000000" w:rsidRDefault="0053651E">
            <w:pPr>
              <w:jc w:val="right"/>
              <w:rPr>
                <w:rFonts w:eastAsia="Times New Roman"/>
                <w:sz w:val="20"/>
                <w:szCs w:val="20"/>
              </w:rPr>
            </w:pPr>
            <w:r>
              <w:rPr>
                <w:rFonts w:eastAsia="Times New Roman"/>
                <w:sz w:val="20"/>
                <w:szCs w:val="20"/>
              </w:rPr>
              <w:t>204,012</w:t>
            </w:r>
          </w:p>
        </w:tc>
        <w:tc>
          <w:tcPr>
            <w:tcW w:w="50" w:type="pct"/>
            <w:shd w:val="clear" w:color="auto" w:fill="FFFFFF"/>
            <w:vAlign w:val="bottom"/>
            <w:hideMark/>
          </w:tcPr>
          <w:p w14:paraId="3A22E6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E693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B3FAA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AA3718A" w14:textId="77777777" w:rsidR="00000000" w:rsidRDefault="0053651E">
            <w:pPr>
              <w:jc w:val="right"/>
              <w:rPr>
                <w:rFonts w:eastAsia="Times New Roman"/>
                <w:sz w:val="20"/>
                <w:szCs w:val="20"/>
              </w:rPr>
            </w:pPr>
            <w:r>
              <w:rPr>
                <w:rFonts w:eastAsia="Times New Roman"/>
                <w:sz w:val="20"/>
                <w:szCs w:val="20"/>
              </w:rPr>
              <w:t>33,705</w:t>
            </w:r>
          </w:p>
        </w:tc>
        <w:tc>
          <w:tcPr>
            <w:tcW w:w="50" w:type="pct"/>
            <w:shd w:val="clear" w:color="auto" w:fill="FFFFFF"/>
            <w:vAlign w:val="bottom"/>
            <w:hideMark/>
          </w:tcPr>
          <w:p w14:paraId="6B47C7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AB0F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8A884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9B3DAC" w14:textId="77777777" w:rsidR="00000000" w:rsidRDefault="0053651E">
            <w:pPr>
              <w:jc w:val="right"/>
              <w:rPr>
                <w:rFonts w:eastAsia="Times New Roman"/>
                <w:sz w:val="20"/>
                <w:szCs w:val="20"/>
              </w:rPr>
            </w:pPr>
            <w:r>
              <w:rPr>
                <w:rFonts w:eastAsia="Times New Roman"/>
                <w:sz w:val="20"/>
                <w:szCs w:val="20"/>
              </w:rPr>
              <w:t>440,946</w:t>
            </w:r>
          </w:p>
        </w:tc>
        <w:tc>
          <w:tcPr>
            <w:tcW w:w="50" w:type="pct"/>
            <w:shd w:val="clear" w:color="auto" w:fill="FFFFFF"/>
            <w:vAlign w:val="bottom"/>
            <w:hideMark/>
          </w:tcPr>
          <w:p w14:paraId="3399D191" w14:textId="77777777" w:rsidR="00000000" w:rsidRDefault="0053651E">
            <w:pPr>
              <w:rPr>
                <w:rFonts w:eastAsia="Times New Roman"/>
                <w:sz w:val="20"/>
                <w:szCs w:val="20"/>
              </w:rPr>
            </w:pPr>
            <w:r>
              <w:rPr>
                <w:rFonts w:eastAsia="Times New Roman"/>
                <w:sz w:val="20"/>
                <w:szCs w:val="20"/>
              </w:rPr>
              <w:t> </w:t>
            </w:r>
          </w:p>
        </w:tc>
      </w:tr>
      <w:tr w:rsidR="00000000" w14:paraId="2FD75C82" w14:textId="77777777">
        <w:trPr>
          <w:divId w:val="83963851"/>
          <w:tblCellSpacing w:w="0" w:type="dxa"/>
        </w:trPr>
        <w:tc>
          <w:tcPr>
            <w:tcW w:w="0" w:type="auto"/>
            <w:shd w:val="clear" w:color="auto" w:fill="CCEEFF"/>
            <w:vAlign w:val="bottom"/>
            <w:hideMark/>
          </w:tcPr>
          <w:p w14:paraId="19646604" w14:textId="77777777" w:rsidR="00000000" w:rsidRDefault="0053651E">
            <w:pPr>
              <w:pStyle w:val="a3"/>
              <w:spacing w:before="0" w:beforeAutospacing="0" w:after="0" w:afterAutospacing="0"/>
              <w:ind w:left="360"/>
              <w:rPr>
                <w:sz w:val="20"/>
                <w:szCs w:val="20"/>
              </w:rPr>
            </w:pPr>
            <w:r>
              <w:rPr>
                <w:sz w:val="20"/>
                <w:szCs w:val="20"/>
              </w:rPr>
              <w:t>Redemption of preferred stock</w:t>
            </w:r>
          </w:p>
        </w:tc>
        <w:tc>
          <w:tcPr>
            <w:tcW w:w="50" w:type="pct"/>
            <w:shd w:val="clear" w:color="auto" w:fill="CCEEFF"/>
            <w:vAlign w:val="bottom"/>
            <w:hideMark/>
          </w:tcPr>
          <w:p w14:paraId="3BAA78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DE9B0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7EF0A8E" w14:textId="77777777" w:rsidR="00000000" w:rsidRDefault="0053651E">
            <w:pPr>
              <w:jc w:val="right"/>
              <w:rPr>
                <w:rFonts w:eastAsia="Times New Roman"/>
                <w:sz w:val="20"/>
                <w:szCs w:val="20"/>
              </w:rPr>
            </w:pPr>
            <w:r>
              <w:rPr>
                <w:rFonts w:eastAsia="Times New Roman"/>
                <w:sz w:val="20"/>
                <w:szCs w:val="20"/>
              </w:rPr>
              <w:t>(575,000</w:t>
            </w:r>
          </w:p>
        </w:tc>
        <w:tc>
          <w:tcPr>
            <w:tcW w:w="50" w:type="pct"/>
            <w:shd w:val="clear" w:color="auto" w:fill="CCEEFF"/>
            <w:vAlign w:val="bottom"/>
            <w:hideMark/>
          </w:tcPr>
          <w:p w14:paraId="4874B25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FEA9B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66276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801C68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728E5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FB56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288AA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55CD5E2" w14:textId="77777777" w:rsidR="00000000" w:rsidRDefault="0053651E">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7585FA11" w14:textId="77777777" w:rsidR="00000000" w:rsidRDefault="0053651E">
            <w:pPr>
              <w:rPr>
                <w:rFonts w:eastAsia="Times New Roman"/>
                <w:sz w:val="20"/>
                <w:szCs w:val="20"/>
              </w:rPr>
            </w:pPr>
            <w:r>
              <w:rPr>
                <w:rFonts w:eastAsia="Times New Roman"/>
                <w:sz w:val="20"/>
                <w:szCs w:val="20"/>
              </w:rPr>
              <w:t>)</w:t>
            </w:r>
          </w:p>
        </w:tc>
      </w:tr>
      <w:tr w:rsidR="00000000" w14:paraId="7760A713" w14:textId="77777777">
        <w:trPr>
          <w:divId w:val="83963851"/>
          <w:tblCellSpacing w:w="0" w:type="dxa"/>
        </w:trPr>
        <w:tc>
          <w:tcPr>
            <w:tcW w:w="0" w:type="auto"/>
            <w:shd w:val="clear" w:color="auto" w:fill="FFFFFF"/>
            <w:vAlign w:val="bottom"/>
            <w:hideMark/>
          </w:tcPr>
          <w:p w14:paraId="7404A44A" w14:textId="77777777" w:rsidR="00000000" w:rsidRDefault="0053651E">
            <w:pPr>
              <w:pStyle w:val="a3"/>
              <w:spacing w:before="0" w:beforeAutospacing="0" w:after="0" w:afterAutospacing="0"/>
              <w:ind w:left="360"/>
              <w:rPr>
                <w:sz w:val="20"/>
                <w:szCs w:val="20"/>
              </w:rPr>
            </w:pPr>
            <w:r>
              <w:rPr>
                <w:sz w:val="20"/>
                <w:szCs w:val="20"/>
              </w:rPr>
              <w:t>Repurchase of common stock</w:t>
            </w:r>
          </w:p>
        </w:tc>
        <w:tc>
          <w:tcPr>
            <w:tcW w:w="50" w:type="pct"/>
            <w:shd w:val="clear" w:color="auto" w:fill="FFFFFF"/>
            <w:vAlign w:val="bottom"/>
            <w:hideMark/>
          </w:tcPr>
          <w:p w14:paraId="711FAC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29DA5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BAABAE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FD06A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93DB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6A769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7551D62" w14:textId="77777777" w:rsidR="00000000" w:rsidRDefault="0053651E">
            <w:pPr>
              <w:jc w:val="right"/>
              <w:rPr>
                <w:rFonts w:eastAsia="Times New Roman"/>
                <w:sz w:val="20"/>
                <w:szCs w:val="20"/>
              </w:rPr>
            </w:pPr>
            <w:r>
              <w:rPr>
                <w:rFonts w:eastAsia="Times New Roman"/>
                <w:sz w:val="20"/>
                <w:szCs w:val="20"/>
              </w:rPr>
              <w:t>(75,126</w:t>
            </w:r>
          </w:p>
        </w:tc>
        <w:tc>
          <w:tcPr>
            <w:tcW w:w="50" w:type="pct"/>
            <w:shd w:val="clear" w:color="auto" w:fill="FFFFFF"/>
            <w:vAlign w:val="bottom"/>
            <w:hideMark/>
          </w:tcPr>
          <w:p w14:paraId="375502D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35B65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566B5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60B5A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324D733" w14:textId="77777777" w:rsidR="00000000" w:rsidRDefault="0053651E">
            <w:pPr>
              <w:rPr>
                <w:rFonts w:eastAsia="Times New Roman"/>
                <w:sz w:val="20"/>
                <w:szCs w:val="20"/>
              </w:rPr>
            </w:pPr>
            <w:r>
              <w:rPr>
                <w:rFonts w:eastAsia="Times New Roman"/>
                <w:sz w:val="20"/>
                <w:szCs w:val="20"/>
              </w:rPr>
              <w:t> </w:t>
            </w:r>
          </w:p>
        </w:tc>
      </w:tr>
      <w:tr w:rsidR="00000000" w14:paraId="7FAF7459" w14:textId="77777777">
        <w:trPr>
          <w:divId w:val="83963851"/>
          <w:tblCellSpacing w:w="0" w:type="dxa"/>
        </w:trPr>
        <w:tc>
          <w:tcPr>
            <w:tcW w:w="0" w:type="auto"/>
            <w:shd w:val="clear" w:color="auto" w:fill="CCEEFF"/>
            <w:vAlign w:val="bottom"/>
            <w:hideMark/>
          </w:tcPr>
          <w:p w14:paraId="51F68527" w14:textId="77777777" w:rsidR="00000000" w:rsidRDefault="0053651E">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14:paraId="795F0FB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EBDF6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9E6B4DB" w14:textId="77777777" w:rsidR="00000000" w:rsidRDefault="0053651E">
            <w:pPr>
              <w:jc w:val="right"/>
              <w:rPr>
                <w:rFonts w:eastAsia="Times New Roman"/>
                <w:sz w:val="20"/>
                <w:szCs w:val="20"/>
              </w:rPr>
            </w:pPr>
            <w:r>
              <w:rPr>
                <w:rFonts w:eastAsia="Times New Roman"/>
                <w:sz w:val="20"/>
                <w:szCs w:val="20"/>
              </w:rPr>
              <w:t>(3,193</w:t>
            </w:r>
          </w:p>
        </w:tc>
        <w:tc>
          <w:tcPr>
            <w:tcW w:w="50" w:type="pct"/>
            <w:shd w:val="clear" w:color="auto" w:fill="CCEEFF"/>
            <w:tcMar>
              <w:top w:w="0" w:type="dxa"/>
              <w:left w:w="0" w:type="dxa"/>
              <w:bottom w:w="15" w:type="dxa"/>
              <w:right w:w="0" w:type="dxa"/>
            </w:tcMar>
            <w:vAlign w:val="bottom"/>
            <w:hideMark/>
          </w:tcPr>
          <w:p w14:paraId="32B51D1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92A960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1CBA3F4"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C5D8DB3" w14:textId="77777777" w:rsidR="00000000" w:rsidRDefault="0053651E">
            <w:pPr>
              <w:jc w:val="right"/>
              <w:rPr>
                <w:rFonts w:eastAsia="Times New Roman"/>
                <w:sz w:val="20"/>
                <w:szCs w:val="20"/>
              </w:rPr>
            </w:pPr>
            <w:r>
              <w:rPr>
                <w:rFonts w:eastAsia="Times New Roman"/>
                <w:sz w:val="20"/>
                <w:szCs w:val="20"/>
              </w:rPr>
              <w:t>(4,528</w:t>
            </w:r>
          </w:p>
        </w:tc>
        <w:tc>
          <w:tcPr>
            <w:tcW w:w="50" w:type="pct"/>
            <w:shd w:val="clear" w:color="auto" w:fill="CCEEFF"/>
            <w:tcMar>
              <w:top w:w="0" w:type="dxa"/>
              <w:left w:w="0" w:type="dxa"/>
              <w:bottom w:w="15" w:type="dxa"/>
              <w:right w:w="0" w:type="dxa"/>
            </w:tcMar>
            <w:vAlign w:val="bottom"/>
            <w:hideMark/>
          </w:tcPr>
          <w:p w14:paraId="4C11DF7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4B7F25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FD7C578"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3BF87B4" w14:textId="77777777" w:rsidR="00000000" w:rsidRDefault="0053651E">
            <w:pPr>
              <w:jc w:val="right"/>
              <w:rPr>
                <w:rFonts w:eastAsia="Times New Roman"/>
                <w:sz w:val="20"/>
                <w:szCs w:val="20"/>
              </w:rPr>
            </w:pPr>
            <w:r>
              <w:rPr>
                <w:rFonts w:eastAsia="Times New Roman"/>
                <w:sz w:val="20"/>
                <w:szCs w:val="20"/>
              </w:rPr>
              <w:t>911</w:t>
            </w:r>
          </w:p>
        </w:tc>
        <w:tc>
          <w:tcPr>
            <w:tcW w:w="50" w:type="pct"/>
            <w:shd w:val="clear" w:color="auto" w:fill="CCEEFF"/>
            <w:tcMar>
              <w:top w:w="0" w:type="dxa"/>
              <w:left w:w="0" w:type="dxa"/>
              <w:bottom w:w="15" w:type="dxa"/>
              <w:right w:w="0" w:type="dxa"/>
            </w:tcMar>
            <w:vAlign w:val="bottom"/>
            <w:hideMark/>
          </w:tcPr>
          <w:p w14:paraId="35C5C8A7" w14:textId="77777777" w:rsidR="00000000" w:rsidRDefault="0053651E">
            <w:pPr>
              <w:rPr>
                <w:rFonts w:eastAsia="Times New Roman"/>
                <w:sz w:val="20"/>
                <w:szCs w:val="20"/>
              </w:rPr>
            </w:pPr>
            <w:r>
              <w:rPr>
                <w:rFonts w:eastAsia="Times New Roman"/>
                <w:sz w:val="20"/>
                <w:szCs w:val="20"/>
              </w:rPr>
              <w:t> </w:t>
            </w:r>
          </w:p>
        </w:tc>
      </w:tr>
      <w:tr w:rsidR="00000000" w14:paraId="0B43D9B9" w14:textId="77777777">
        <w:trPr>
          <w:divId w:val="83963851"/>
          <w:tblCellSpacing w:w="0" w:type="dxa"/>
        </w:trPr>
        <w:tc>
          <w:tcPr>
            <w:tcW w:w="0" w:type="auto"/>
            <w:shd w:val="clear" w:color="auto" w:fill="FFFFFF"/>
            <w:vAlign w:val="bottom"/>
            <w:hideMark/>
          </w:tcPr>
          <w:p w14:paraId="090F77B1" w14:textId="77777777" w:rsidR="00000000" w:rsidRDefault="0053651E">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FFFFFF"/>
            <w:vAlign w:val="bottom"/>
            <w:hideMark/>
          </w:tcPr>
          <w:p w14:paraId="316F706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B390F78"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7132A75" w14:textId="77777777" w:rsidR="00000000" w:rsidRDefault="0053651E">
            <w:pPr>
              <w:jc w:val="right"/>
              <w:rPr>
                <w:rFonts w:eastAsia="Times New Roman"/>
                <w:sz w:val="20"/>
                <w:szCs w:val="20"/>
              </w:rPr>
            </w:pPr>
            <w:r>
              <w:rPr>
                <w:rFonts w:eastAsia="Times New Roman"/>
                <w:sz w:val="20"/>
                <w:szCs w:val="20"/>
              </w:rPr>
              <w:t>(482,841</w:t>
            </w:r>
          </w:p>
        </w:tc>
        <w:tc>
          <w:tcPr>
            <w:tcW w:w="50" w:type="pct"/>
            <w:shd w:val="clear" w:color="auto" w:fill="FFFFFF"/>
            <w:tcMar>
              <w:top w:w="0" w:type="dxa"/>
              <w:left w:w="0" w:type="dxa"/>
              <w:bottom w:w="15" w:type="dxa"/>
              <w:right w:w="0" w:type="dxa"/>
            </w:tcMar>
            <w:vAlign w:val="bottom"/>
            <w:hideMark/>
          </w:tcPr>
          <w:p w14:paraId="3550CFB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83DEAE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A69CC6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7D36AA7" w14:textId="77777777" w:rsidR="00000000" w:rsidRDefault="0053651E">
            <w:pPr>
              <w:jc w:val="right"/>
              <w:rPr>
                <w:rFonts w:eastAsia="Times New Roman"/>
                <w:sz w:val="20"/>
                <w:szCs w:val="20"/>
              </w:rPr>
            </w:pPr>
            <w:r>
              <w:rPr>
                <w:rFonts w:eastAsia="Times New Roman"/>
                <w:sz w:val="20"/>
                <w:szCs w:val="20"/>
              </w:rPr>
              <w:t>(986,513</w:t>
            </w:r>
          </w:p>
        </w:tc>
        <w:tc>
          <w:tcPr>
            <w:tcW w:w="50" w:type="pct"/>
            <w:shd w:val="clear" w:color="auto" w:fill="FFFFFF"/>
            <w:tcMar>
              <w:top w:w="0" w:type="dxa"/>
              <w:left w:w="0" w:type="dxa"/>
              <w:bottom w:w="15" w:type="dxa"/>
              <w:right w:w="0" w:type="dxa"/>
            </w:tcMar>
            <w:vAlign w:val="bottom"/>
            <w:hideMark/>
          </w:tcPr>
          <w:p w14:paraId="14AF5D6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69F6FB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D8CBE6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B706A5A" w14:textId="77777777" w:rsidR="00000000" w:rsidRDefault="0053651E">
            <w:pPr>
              <w:jc w:val="right"/>
              <w:rPr>
                <w:rFonts w:eastAsia="Times New Roman"/>
                <w:sz w:val="20"/>
                <w:szCs w:val="20"/>
              </w:rPr>
            </w:pPr>
            <w:r>
              <w:rPr>
                <w:rFonts w:eastAsia="Times New Roman"/>
                <w:sz w:val="20"/>
                <w:szCs w:val="20"/>
              </w:rPr>
              <w:t>(223,874</w:t>
            </w:r>
          </w:p>
        </w:tc>
        <w:tc>
          <w:tcPr>
            <w:tcW w:w="50" w:type="pct"/>
            <w:shd w:val="clear" w:color="auto" w:fill="FFFFFF"/>
            <w:tcMar>
              <w:top w:w="0" w:type="dxa"/>
              <w:left w:w="0" w:type="dxa"/>
              <w:bottom w:w="15" w:type="dxa"/>
              <w:right w:w="0" w:type="dxa"/>
            </w:tcMar>
            <w:vAlign w:val="bottom"/>
            <w:hideMark/>
          </w:tcPr>
          <w:p w14:paraId="12ACD3BE" w14:textId="77777777" w:rsidR="00000000" w:rsidRDefault="0053651E">
            <w:pPr>
              <w:rPr>
                <w:rFonts w:eastAsia="Times New Roman"/>
                <w:sz w:val="20"/>
                <w:szCs w:val="20"/>
              </w:rPr>
            </w:pPr>
            <w:r>
              <w:rPr>
                <w:rFonts w:eastAsia="Times New Roman"/>
                <w:sz w:val="20"/>
                <w:szCs w:val="20"/>
              </w:rPr>
              <w:t>)</w:t>
            </w:r>
          </w:p>
        </w:tc>
      </w:tr>
      <w:tr w:rsidR="00000000" w14:paraId="64990435" w14:textId="77777777">
        <w:trPr>
          <w:divId w:val="83963851"/>
          <w:tblCellSpacing w:w="0" w:type="dxa"/>
        </w:trPr>
        <w:tc>
          <w:tcPr>
            <w:tcW w:w="0" w:type="auto"/>
            <w:shd w:val="clear" w:color="auto" w:fill="CCEEFF"/>
            <w:vAlign w:val="bottom"/>
            <w:hideMark/>
          </w:tcPr>
          <w:p w14:paraId="45043C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F71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FA5D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24D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073E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ABC6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9CB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453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1E4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4AC3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8C56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29BC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EDB20" w14:textId="77777777" w:rsidR="00000000" w:rsidRDefault="0053651E">
            <w:pPr>
              <w:rPr>
                <w:rFonts w:eastAsia="Times New Roman"/>
                <w:sz w:val="20"/>
                <w:szCs w:val="20"/>
              </w:rPr>
            </w:pPr>
            <w:r>
              <w:rPr>
                <w:rFonts w:eastAsia="Times New Roman"/>
                <w:sz w:val="20"/>
                <w:szCs w:val="20"/>
              </w:rPr>
              <w:t> </w:t>
            </w:r>
          </w:p>
        </w:tc>
      </w:tr>
      <w:tr w:rsidR="00000000" w14:paraId="0A017FF5" w14:textId="77777777">
        <w:trPr>
          <w:divId w:val="83963851"/>
          <w:tblCellSpacing w:w="0" w:type="dxa"/>
        </w:trPr>
        <w:tc>
          <w:tcPr>
            <w:tcW w:w="0" w:type="auto"/>
            <w:shd w:val="clear" w:color="auto" w:fill="FFFFFF"/>
            <w:vAlign w:val="bottom"/>
            <w:hideMark/>
          </w:tcPr>
          <w:p w14:paraId="5D435E30" w14:textId="77777777" w:rsidR="00000000" w:rsidRDefault="0053651E">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14:paraId="7C8137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43775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B463B38" w14:textId="77777777" w:rsidR="00000000" w:rsidRDefault="0053651E">
            <w:pPr>
              <w:jc w:val="right"/>
              <w:rPr>
                <w:rFonts w:eastAsia="Times New Roman"/>
                <w:sz w:val="20"/>
                <w:szCs w:val="20"/>
              </w:rPr>
            </w:pPr>
            <w:r>
              <w:rPr>
                <w:rFonts w:eastAsia="Times New Roman"/>
                <w:sz w:val="20"/>
                <w:szCs w:val="20"/>
              </w:rPr>
              <w:t>(19,634</w:t>
            </w:r>
          </w:p>
        </w:tc>
        <w:tc>
          <w:tcPr>
            <w:tcW w:w="50" w:type="pct"/>
            <w:shd w:val="clear" w:color="auto" w:fill="FFFFFF"/>
            <w:vAlign w:val="bottom"/>
            <w:hideMark/>
          </w:tcPr>
          <w:p w14:paraId="405A9B6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F0974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331B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3561576" w14:textId="77777777" w:rsidR="00000000" w:rsidRDefault="0053651E">
            <w:pPr>
              <w:jc w:val="right"/>
              <w:rPr>
                <w:rFonts w:eastAsia="Times New Roman"/>
                <w:sz w:val="20"/>
                <w:szCs w:val="20"/>
              </w:rPr>
            </w:pPr>
            <w:r>
              <w:rPr>
                <w:rFonts w:eastAsia="Times New Roman"/>
                <w:sz w:val="20"/>
                <w:szCs w:val="20"/>
              </w:rPr>
              <w:t>(94,932</w:t>
            </w:r>
          </w:p>
        </w:tc>
        <w:tc>
          <w:tcPr>
            <w:tcW w:w="50" w:type="pct"/>
            <w:shd w:val="clear" w:color="auto" w:fill="FFFFFF"/>
            <w:vAlign w:val="bottom"/>
            <w:hideMark/>
          </w:tcPr>
          <w:p w14:paraId="2882389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6C2DC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993D3B"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DCECC7C" w14:textId="77777777" w:rsidR="00000000" w:rsidRDefault="0053651E">
            <w:pPr>
              <w:jc w:val="right"/>
              <w:rPr>
                <w:rFonts w:eastAsia="Times New Roman"/>
                <w:sz w:val="20"/>
                <w:szCs w:val="20"/>
              </w:rPr>
            </w:pPr>
            <w:r>
              <w:rPr>
                <w:rFonts w:eastAsia="Times New Roman"/>
                <w:sz w:val="20"/>
                <w:szCs w:val="20"/>
              </w:rPr>
              <w:t>96,027</w:t>
            </w:r>
          </w:p>
        </w:tc>
        <w:tc>
          <w:tcPr>
            <w:tcW w:w="50" w:type="pct"/>
            <w:shd w:val="clear" w:color="auto" w:fill="FFFFFF"/>
            <w:vAlign w:val="bottom"/>
            <w:hideMark/>
          </w:tcPr>
          <w:p w14:paraId="418798E6" w14:textId="77777777" w:rsidR="00000000" w:rsidRDefault="0053651E">
            <w:pPr>
              <w:rPr>
                <w:rFonts w:eastAsia="Times New Roman"/>
                <w:sz w:val="20"/>
                <w:szCs w:val="20"/>
              </w:rPr>
            </w:pPr>
            <w:r>
              <w:rPr>
                <w:rFonts w:eastAsia="Times New Roman"/>
                <w:sz w:val="20"/>
                <w:szCs w:val="20"/>
              </w:rPr>
              <w:t> </w:t>
            </w:r>
          </w:p>
        </w:tc>
      </w:tr>
      <w:tr w:rsidR="00000000" w14:paraId="76D296A0" w14:textId="77777777">
        <w:trPr>
          <w:divId w:val="83963851"/>
          <w:tblCellSpacing w:w="0" w:type="dxa"/>
        </w:trPr>
        <w:tc>
          <w:tcPr>
            <w:tcW w:w="0" w:type="auto"/>
            <w:shd w:val="clear" w:color="auto" w:fill="CCEEFF"/>
            <w:vAlign w:val="bottom"/>
            <w:hideMark/>
          </w:tcPr>
          <w:p w14:paraId="769689A8" w14:textId="77777777" w:rsidR="00000000" w:rsidRDefault="0053651E">
            <w:pPr>
              <w:pStyle w:val="a3"/>
              <w:spacing w:before="0" w:beforeAutospacing="0" w:after="0" w:afterAutospacing="0"/>
              <w:rPr>
                <w:sz w:val="20"/>
                <w:szCs w:val="20"/>
              </w:rPr>
            </w:pPr>
            <w:r>
              <w:rPr>
                <w:sz w:val="20"/>
                <w:szCs w:val="20"/>
              </w:rPr>
              <w:t>Cash and cash equivalents, beginning of year</w:t>
            </w:r>
          </w:p>
        </w:tc>
        <w:tc>
          <w:tcPr>
            <w:tcW w:w="50" w:type="pct"/>
            <w:shd w:val="clear" w:color="auto" w:fill="CCEEFF"/>
            <w:tcMar>
              <w:top w:w="0" w:type="dxa"/>
              <w:left w:w="0" w:type="dxa"/>
              <w:bottom w:w="15" w:type="dxa"/>
              <w:right w:w="0" w:type="dxa"/>
            </w:tcMar>
            <w:vAlign w:val="bottom"/>
            <w:hideMark/>
          </w:tcPr>
          <w:p w14:paraId="082BDFF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63B591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DD5FC87" w14:textId="77777777" w:rsidR="00000000" w:rsidRDefault="0053651E">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1545CF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22A3FE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E3389F"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CFFF737" w14:textId="77777777" w:rsidR="00000000" w:rsidRDefault="0053651E">
            <w:pPr>
              <w:jc w:val="right"/>
              <w:rPr>
                <w:rFonts w:eastAsia="Times New Roman"/>
                <w:sz w:val="20"/>
                <w:szCs w:val="20"/>
              </w:rPr>
            </w:pPr>
            <w:r>
              <w:rPr>
                <w:rFonts w:eastAsia="Times New Roman"/>
                <w:sz w:val="20"/>
                <w:szCs w:val="20"/>
              </w:rPr>
              <w:t>238,513</w:t>
            </w:r>
          </w:p>
        </w:tc>
        <w:tc>
          <w:tcPr>
            <w:tcW w:w="50" w:type="pct"/>
            <w:shd w:val="clear" w:color="auto" w:fill="CCEEFF"/>
            <w:tcMar>
              <w:top w:w="0" w:type="dxa"/>
              <w:left w:w="0" w:type="dxa"/>
              <w:bottom w:w="15" w:type="dxa"/>
              <w:right w:w="0" w:type="dxa"/>
            </w:tcMar>
            <w:vAlign w:val="bottom"/>
            <w:hideMark/>
          </w:tcPr>
          <w:p w14:paraId="42BBCF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A1239C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3F80AD"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7385093" w14:textId="77777777" w:rsidR="00000000" w:rsidRDefault="0053651E">
            <w:pPr>
              <w:jc w:val="right"/>
              <w:rPr>
                <w:rFonts w:eastAsia="Times New Roman"/>
                <w:sz w:val="20"/>
                <w:szCs w:val="20"/>
              </w:rPr>
            </w:pPr>
            <w:r>
              <w:rPr>
                <w:rFonts w:eastAsia="Times New Roman"/>
                <w:sz w:val="20"/>
                <w:szCs w:val="20"/>
              </w:rPr>
              <w:t>142,486</w:t>
            </w:r>
          </w:p>
        </w:tc>
        <w:tc>
          <w:tcPr>
            <w:tcW w:w="50" w:type="pct"/>
            <w:shd w:val="clear" w:color="auto" w:fill="CCEEFF"/>
            <w:tcMar>
              <w:top w:w="0" w:type="dxa"/>
              <w:left w:w="0" w:type="dxa"/>
              <w:bottom w:w="15" w:type="dxa"/>
              <w:right w:w="0" w:type="dxa"/>
            </w:tcMar>
            <w:vAlign w:val="bottom"/>
            <w:hideMark/>
          </w:tcPr>
          <w:p w14:paraId="76780E89" w14:textId="77777777" w:rsidR="00000000" w:rsidRDefault="0053651E">
            <w:pPr>
              <w:rPr>
                <w:rFonts w:eastAsia="Times New Roman"/>
                <w:sz w:val="20"/>
                <w:szCs w:val="20"/>
              </w:rPr>
            </w:pPr>
            <w:r>
              <w:rPr>
                <w:rFonts w:eastAsia="Times New Roman"/>
                <w:sz w:val="20"/>
                <w:szCs w:val="20"/>
              </w:rPr>
              <w:t> </w:t>
            </w:r>
          </w:p>
        </w:tc>
      </w:tr>
      <w:tr w:rsidR="00000000" w14:paraId="0D321DA0" w14:textId="77777777">
        <w:trPr>
          <w:divId w:val="83963851"/>
          <w:tblCellSpacing w:w="0" w:type="dxa"/>
        </w:trPr>
        <w:tc>
          <w:tcPr>
            <w:tcW w:w="0" w:type="auto"/>
            <w:shd w:val="clear" w:color="auto" w:fill="FFFFFF"/>
            <w:vAlign w:val="bottom"/>
            <w:hideMark/>
          </w:tcPr>
          <w:p w14:paraId="07E977E2" w14:textId="77777777" w:rsidR="00000000" w:rsidRDefault="0053651E">
            <w:pPr>
              <w:pStyle w:val="a3"/>
              <w:spacing w:before="0" w:beforeAutospacing="0" w:after="0" w:afterAutospacing="0"/>
              <w:ind w:left="720"/>
              <w:rPr>
                <w:sz w:val="20"/>
                <w:szCs w:val="20"/>
              </w:rPr>
            </w:pPr>
            <w:r>
              <w:rPr>
                <w:sz w:val="20"/>
                <w:szCs w:val="20"/>
              </w:rPr>
              <w:t>Cash and cash equivalents, end of year</w:t>
            </w:r>
          </w:p>
        </w:tc>
        <w:tc>
          <w:tcPr>
            <w:tcW w:w="50" w:type="pct"/>
            <w:shd w:val="clear" w:color="auto" w:fill="FFFFFF"/>
            <w:vAlign w:val="bottom"/>
            <w:hideMark/>
          </w:tcPr>
          <w:p w14:paraId="22A8C10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F026F5B"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B76BDEA" w14:textId="77777777" w:rsidR="00000000" w:rsidRDefault="0053651E">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45" w:type="dxa"/>
              <w:right w:w="0" w:type="dxa"/>
            </w:tcMar>
            <w:vAlign w:val="bottom"/>
            <w:hideMark/>
          </w:tcPr>
          <w:p w14:paraId="75609B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3150B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CF1CA80"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2F28AC8" w14:textId="77777777" w:rsidR="00000000" w:rsidRDefault="0053651E">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45" w:type="dxa"/>
              <w:right w:w="0" w:type="dxa"/>
            </w:tcMar>
            <w:vAlign w:val="bottom"/>
            <w:hideMark/>
          </w:tcPr>
          <w:p w14:paraId="0DC305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AE60D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5C5EF18"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5726780" w14:textId="77777777" w:rsidR="00000000" w:rsidRDefault="0053651E">
            <w:pPr>
              <w:jc w:val="right"/>
              <w:rPr>
                <w:rFonts w:eastAsia="Times New Roman"/>
                <w:sz w:val="20"/>
                <w:szCs w:val="20"/>
              </w:rPr>
            </w:pPr>
            <w:r>
              <w:rPr>
                <w:rFonts w:eastAsia="Times New Roman"/>
                <w:sz w:val="20"/>
                <w:szCs w:val="20"/>
              </w:rPr>
              <w:t>238,513</w:t>
            </w:r>
          </w:p>
        </w:tc>
        <w:tc>
          <w:tcPr>
            <w:tcW w:w="50" w:type="pct"/>
            <w:shd w:val="clear" w:color="auto" w:fill="FFFFFF"/>
            <w:tcMar>
              <w:top w:w="0" w:type="dxa"/>
              <w:left w:w="0" w:type="dxa"/>
              <w:bottom w:w="45" w:type="dxa"/>
              <w:right w:w="0" w:type="dxa"/>
            </w:tcMar>
            <w:vAlign w:val="bottom"/>
            <w:hideMark/>
          </w:tcPr>
          <w:p w14:paraId="50F97609" w14:textId="77777777" w:rsidR="00000000" w:rsidRDefault="0053651E">
            <w:pPr>
              <w:rPr>
                <w:rFonts w:eastAsia="Times New Roman"/>
                <w:sz w:val="20"/>
                <w:szCs w:val="20"/>
              </w:rPr>
            </w:pPr>
            <w:r>
              <w:rPr>
                <w:rFonts w:eastAsia="Times New Roman"/>
                <w:sz w:val="20"/>
                <w:szCs w:val="20"/>
              </w:rPr>
              <w:t> </w:t>
            </w:r>
          </w:p>
        </w:tc>
      </w:tr>
      <w:tr w:rsidR="00000000" w14:paraId="213CD243" w14:textId="77777777">
        <w:trPr>
          <w:divId w:val="83963851"/>
          <w:tblCellSpacing w:w="0" w:type="dxa"/>
        </w:trPr>
        <w:tc>
          <w:tcPr>
            <w:tcW w:w="0" w:type="auto"/>
            <w:shd w:val="clear" w:color="auto" w:fill="CCEEFF"/>
            <w:vAlign w:val="bottom"/>
            <w:hideMark/>
          </w:tcPr>
          <w:p w14:paraId="56A73B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8BB9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1C30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8309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4014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2CDC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D06D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D0F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FB2B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8F35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EC6C6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6B74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20A2A" w14:textId="77777777" w:rsidR="00000000" w:rsidRDefault="0053651E">
            <w:pPr>
              <w:rPr>
                <w:rFonts w:eastAsia="Times New Roman"/>
                <w:sz w:val="20"/>
                <w:szCs w:val="20"/>
              </w:rPr>
            </w:pPr>
            <w:r>
              <w:rPr>
                <w:rFonts w:eastAsia="Times New Roman"/>
                <w:sz w:val="20"/>
                <w:szCs w:val="20"/>
              </w:rPr>
              <w:t> </w:t>
            </w:r>
          </w:p>
        </w:tc>
      </w:tr>
      <w:tr w:rsidR="00000000" w14:paraId="5DB6F502" w14:textId="77777777">
        <w:trPr>
          <w:divId w:val="83963851"/>
          <w:tblCellSpacing w:w="0" w:type="dxa"/>
        </w:trPr>
        <w:tc>
          <w:tcPr>
            <w:tcW w:w="0" w:type="auto"/>
            <w:shd w:val="clear" w:color="auto" w:fill="FFFFFF"/>
            <w:vAlign w:val="bottom"/>
            <w:hideMark/>
          </w:tcPr>
          <w:p w14:paraId="355B287C" w14:textId="77777777" w:rsidR="00000000" w:rsidRDefault="0053651E">
            <w:pPr>
              <w:pStyle w:val="a3"/>
              <w:spacing w:before="0" w:beforeAutospacing="0" w:after="0" w:afterAutospacing="0"/>
              <w:ind w:left="180" w:hanging="180"/>
              <w:rPr>
                <w:sz w:val="20"/>
                <w:szCs w:val="20"/>
              </w:rPr>
            </w:pPr>
            <w:r>
              <w:rPr>
                <w:sz w:val="20"/>
                <w:szCs w:val="20"/>
              </w:rPr>
              <w:t>Interest paid during the year including payment of early extinguishment of debt charges of $1,531, $13,308 and $2,631, respectively (net of capitalized interest of $15,690, $17,549 and $14,480, respectively)</w:t>
            </w:r>
          </w:p>
        </w:tc>
        <w:tc>
          <w:tcPr>
            <w:tcW w:w="50" w:type="pct"/>
            <w:shd w:val="clear" w:color="auto" w:fill="FFFFFF"/>
            <w:vAlign w:val="bottom"/>
            <w:hideMark/>
          </w:tcPr>
          <w:p w14:paraId="052CF63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EE554D"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A4B4316" w14:textId="77777777" w:rsidR="00000000" w:rsidRDefault="0053651E">
            <w:pPr>
              <w:jc w:val="right"/>
              <w:rPr>
                <w:rFonts w:eastAsia="Times New Roman"/>
                <w:sz w:val="20"/>
                <w:szCs w:val="20"/>
              </w:rPr>
            </w:pPr>
            <w:r>
              <w:rPr>
                <w:rFonts w:eastAsia="Times New Roman"/>
                <w:sz w:val="20"/>
                <w:szCs w:val="20"/>
              </w:rPr>
              <w:t>169,026</w:t>
            </w:r>
          </w:p>
        </w:tc>
        <w:tc>
          <w:tcPr>
            <w:tcW w:w="50" w:type="pct"/>
            <w:shd w:val="clear" w:color="auto" w:fill="FFFFFF"/>
            <w:tcMar>
              <w:top w:w="0" w:type="dxa"/>
              <w:left w:w="0" w:type="dxa"/>
              <w:bottom w:w="45" w:type="dxa"/>
              <w:right w:w="0" w:type="dxa"/>
            </w:tcMar>
            <w:vAlign w:val="bottom"/>
            <w:hideMark/>
          </w:tcPr>
          <w:p w14:paraId="145994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7A0B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2FCDF01"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A03D307" w14:textId="77777777" w:rsidR="00000000" w:rsidRDefault="0053651E">
            <w:pPr>
              <w:jc w:val="right"/>
              <w:rPr>
                <w:rFonts w:eastAsia="Times New Roman"/>
                <w:sz w:val="20"/>
                <w:szCs w:val="20"/>
              </w:rPr>
            </w:pPr>
            <w:r>
              <w:rPr>
                <w:rFonts w:eastAsia="Times New Roman"/>
                <w:sz w:val="20"/>
                <w:szCs w:val="20"/>
              </w:rPr>
              <w:t>199,701</w:t>
            </w:r>
          </w:p>
        </w:tc>
        <w:tc>
          <w:tcPr>
            <w:tcW w:w="50" w:type="pct"/>
            <w:shd w:val="clear" w:color="auto" w:fill="FFFFFF"/>
            <w:tcMar>
              <w:top w:w="0" w:type="dxa"/>
              <w:left w:w="0" w:type="dxa"/>
              <w:bottom w:w="45" w:type="dxa"/>
              <w:right w:w="0" w:type="dxa"/>
            </w:tcMar>
            <w:vAlign w:val="bottom"/>
            <w:hideMark/>
          </w:tcPr>
          <w:p w14:paraId="4FC366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487D0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5F0793C"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567E5E4" w14:textId="77777777" w:rsidR="00000000" w:rsidRDefault="0053651E">
            <w:pPr>
              <w:jc w:val="right"/>
              <w:rPr>
                <w:rFonts w:eastAsia="Times New Roman"/>
                <w:sz w:val="20"/>
                <w:szCs w:val="20"/>
              </w:rPr>
            </w:pPr>
            <w:r>
              <w:rPr>
                <w:rFonts w:eastAsia="Times New Roman"/>
                <w:sz w:val="20"/>
                <w:szCs w:val="20"/>
              </w:rPr>
              <w:t>192,155</w:t>
            </w:r>
          </w:p>
        </w:tc>
        <w:tc>
          <w:tcPr>
            <w:tcW w:w="50" w:type="pct"/>
            <w:shd w:val="clear" w:color="auto" w:fill="FFFFFF"/>
            <w:tcMar>
              <w:top w:w="0" w:type="dxa"/>
              <w:left w:w="0" w:type="dxa"/>
              <w:bottom w:w="45" w:type="dxa"/>
              <w:right w:w="0" w:type="dxa"/>
            </w:tcMar>
            <w:vAlign w:val="bottom"/>
            <w:hideMark/>
          </w:tcPr>
          <w:p w14:paraId="1DEB0F4E" w14:textId="77777777" w:rsidR="00000000" w:rsidRDefault="0053651E">
            <w:pPr>
              <w:rPr>
                <w:rFonts w:eastAsia="Times New Roman"/>
                <w:sz w:val="20"/>
                <w:szCs w:val="20"/>
              </w:rPr>
            </w:pPr>
            <w:r>
              <w:rPr>
                <w:rFonts w:eastAsia="Times New Roman"/>
                <w:sz w:val="20"/>
                <w:szCs w:val="20"/>
              </w:rPr>
              <w:t> </w:t>
            </w:r>
          </w:p>
        </w:tc>
      </w:tr>
      <w:tr w:rsidR="00000000" w14:paraId="19FCB9F9" w14:textId="77777777">
        <w:trPr>
          <w:divId w:val="83963851"/>
          <w:tblCellSpacing w:w="0" w:type="dxa"/>
        </w:trPr>
        <w:tc>
          <w:tcPr>
            <w:tcW w:w="0" w:type="auto"/>
            <w:shd w:val="clear" w:color="auto" w:fill="CCEEFF"/>
            <w:vAlign w:val="bottom"/>
            <w:hideMark/>
          </w:tcPr>
          <w:p w14:paraId="4EE227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3781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242F6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3A68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BCE6D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18C4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F00B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A670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7F8AD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EAB1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60EF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8AE0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2971B9" w14:textId="77777777" w:rsidR="00000000" w:rsidRDefault="0053651E">
            <w:pPr>
              <w:rPr>
                <w:rFonts w:eastAsia="Times New Roman"/>
                <w:sz w:val="20"/>
                <w:szCs w:val="20"/>
              </w:rPr>
            </w:pPr>
            <w:r>
              <w:rPr>
                <w:rFonts w:eastAsia="Times New Roman"/>
                <w:sz w:val="20"/>
                <w:szCs w:val="20"/>
              </w:rPr>
              <w:t> </w:t>
            </w:r>
          </w:p>
        </w:tc>
      </w:tr>
      <w:tr w:rsidR="00000000" w14:paraId="0FBC5B48" w14:textId="77777777">
        <w:trPr>
          <w:divId w:val="83963851"/>
          <w:tblCellSpacing w:w="0" w:type="dxa"/>
        </w:trPr>
        <w:tc>
          <w:tcPr>
            <w:tcW w:w="0" w:type="auto"/>
            <w:shd w:val="clear" w:color="auto" w:fill="FFFFFF"/>
            <w:vAlign w:val="bottom"/>
            <w:hideMark/>
          </w:tcPr>
          <w:p w14:paraId="0F77514A" w14:textId="77777777" w:rsidR="00000000" w:rsidRDefault="0053651E">
            <w:pPr>
              <w:pStyle w:val="a3"/>
              <w:spacing w:before="0" w:beforeAutospacing="0" w:after="0" w:afterAutospacing="0"/>
              <w:ind w:left="180" w:hanging="180"/>
              <w:rPr>
                <w:sz w:val="20"/>
                <w:szCs w:val="20"/>
              </w:rPr>
            </w:pPr>
            <w:r>
              <w:rPr>
                <w:sz w:val="20"/>
                <w:szCs w:val="20"/>
              </w:rPr>
              <w:t>Income taxes (received)/paid during the year (net of refunds received of $3,452, $1,007 and $16,118, respectively)</w:t>
            </w:r>
          </w:p>
        </w:tc>
        <w:tc>
          <w:tcPr>
            <w:tcW w:w="0" w:type="auto"/>
            <w:shd w:val="clear" w:color="auto" w:fill="FFFFFF"/>
            <w:vAlign w:val="bottom"/>
            <w:hideMark/>
          </w:tcPr>
          <w:p w14:paraId="6F763076" w14:textId="77777777" w:rsidR="00000000" w:rsidRDefault="0053651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42E21FE" w14:textId="77777777" w:rsidR="00000000" w:rsidRDefault="0053651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8DAE252" w14:textId="77777777" w:rsidR="00000000" w:rsidRDefault="0053651E">
            <w:pPr>
              <w:jc w:val="right"/>
              <w:rPr>
                <w:rFonts w:eastAsia="Times New Roman"/>
                <w:sz w:val="20"/>
                <w:szCs w:val="20"/>
              </w:rPr>
            </w:pPr>
            <w:r>
              <w:rPr>
                <w:rFonts w:eastAsia="Times New Roman"/>
                <w:sz w:val="20"/>
                <w:szCs w:val="20"/>
              </w:rPr>
              <w:t>(1,106</w:t>
            </w:r>
          </w:p>
        </w:tc>
        <w:tc>
          <w:tcPr>
            <w:tcW w:w="0" w:type="auto"/>
            <w:shd w:val="clear" w:color="auto" w:fill="FFFFFF"/>
            <w:tcMar>
              <w:top w:w="0" w:type="dxa"/>
              <w:left w:w="0" w:type="dxa"/>
              <w:bottom w:w="45" w:type="dxa"/>
              <w:right w:w="0" w:type="dxa"/>
            </w:tcMar>
            <w:vAlign w:val="bottom"/>
            <w:hideMark/>
          </w:tcPr>
          <w:p w14:paraId="20291D7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45CF2A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CD55A30"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FF1D0C1" w14:textId="77777777" w:rsidR="00000000" w:rsidRDefault="0053651E">
            <w:pPr>
              <w:jc w:val="right"/>
              <w:rPr>
                <w:rFonts w:eastAsia="Times New Roman"/>
                <w:sz w:val="20"/>
                <w:szCs w:val="20"/>
              </w:rPr>
            </w:pPr>
            <w:r>
              <w:rPr>
                <w:rFonts w:eastAsia="Times New Roman"/>
                <w:sz w:val="20"/>
                <w:szCs w:val="20"/>
              </w:rPr>
              <w:t>514</w:t>
            </w:r>
          </w:p>
        </w:tc>
        <w:tc>
          <w:tcPr>
            <w:tcW w:w="50" w:type="pct"/>
            <w:shd w:val="clear" w:color="auto" w:fill="FFFFFF"/>
            <w:tcMar>
              <w:top w:w="0" w:type="dxa"/>
              <w:left w:w="0" w:type="dxa"/>
              <w:bottom w:w="45" w:type="dxa"/>
              <w:right w:w="0" w:type="dxa"/>
            </w:tcMar>
            <w:vAlign w:val="bottom"/>
            <w:hideMark/>
          </w:tcPr>
          <w:p w14:paraId="7AE27C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DC205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0D19A85"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421D640" w14:textId="77777777" w:rsidR="00000000" w:rsidRDefault="0053651E">
            <w:pPr>
              <w:jc w:val="right"/>
              <w:rPr>
                <w:rFonts w:eastAsia="Times New Roman"/>
                <w:sz w:val="20"/>
                <w:szCs w:val="20"/>
              </w:rPr>
            </w:pPr>
            <w:r>
              <w:rPr>
                <w:rFonts w:eastAsia="Times New Roman"/>
                <w:sz w:val="20"/>
                <w:szCs w:val="20"/>
              </w:rPr>
              <w:t>(14,456</w:t>
            </w:r>
          </w:p>
        </w:tc>
        <w:tc>
          <w:tcPr>
            <w:tcW w:w="50" w:type="pct"/>
            <w:shd w:val="clear" w:color="auto" w:fill="FFFFFF"/>
            <w:tcMar>
              <w:top w:w="0" w:type="dxa"/>
              <w:left w:w="0" w:type="dxa"/>
              <w:bottom w:w="45" w:type="dxa"/>
              <w:right w:w="0" w:type="dxa"/>
            </w:tcMar>
            <w:vAlign w:val="bottom"/>
            <w:hideMark/>
          </w:tcPr>
          <w:p w14:paraId="012551B6" w14:textId="77777777" w:rsidR="00000000" w:rsidRDefault="0053651E">
            <w:pPr>
              <w:rPr>
                <w:rFonts w:eastAsia="Times New Roman"/>
                <w:sz w:val="20"/>
                <w:szCs w:val="20"/>
              </w:rPr>
            </w:pPr>
            <w:r>
              <w:rPr>
                <w:rFonts w:eastAsia="Times New Roman"/>
                <w:sz w:val="20"/>
                <w:szCs w:val="20"/>
              </w:rPr>
              <w:t>)</w:t>
            </w:r>
          </w:p>
        </w:tc>
      </w:tr>
    </w:tbl>
    <w:p w14:paraId="48069A6B" w14:textId="77777777" w:rsidR="00000000" w:rsidRDefault="0053651E">
      <w:pPr>
        <w:pStyle w:val="a3"/>
        <w:spacing w:before="0" w:beforeAutospacing="0" w:after="0" w:afterAutospacing="0"/>
        <w:rPr>
          <w:sz w:val="20"/>
          <w:szCs w:val="20"/>
        </w:rPr>
      </w:pPr>
      <w:r>
        <w:rPr>
          <w:sz w:val="20"/>
          <w:szCs w:val="20"/>
        </w:rPr>
        <w:t> </w:t>
      </w:r>
    </w:p>
    <w:p w14:paraId="405EE83B" w14:textId="77777777" w:rsidR="00000000" w:rsidRDefault="0053651E">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13FFEA11" w14:textId="77777777" w:rsidR="00000000" w:rsidRDefault="0053651E">
      <w:pPr>
        <w:pStyle w:val="a3"/>
        <w:spacing w:before="0" w:beforeAutospacing="0" w:after="0" w:afterAutospacing="0"/>
        <w:jc w:val="center"/>
        <w:rPr>
          <w:sz w:val="20"/>
          <w:szCs w:val="20"/>
        </w:rPr>
      </w:pPr>
      <w:r>
        <w:rPr>
          <w:sz w:val="20"/>
          <w:szCs w:val="20"/>
        </w:rPr>
        <w:t> </w:t>
      </w:r>
    </w:p>
    <w:p w14:paraId="5BC33E5A" w14:textId="77777777" w:rsidR="00000000" w:rsidRDefault="0053651E">
      <w:pPr>
        <w:jc w:val="center"/>
        <w:divId w:val="495192113"/>
        <w:rPr>
          <w:rFonts w:eastAsia="Times New Roman"/>
          <w:sz w:val="20"/>
          <w:szCs w:val="20"/>
        </w:rPr>
      </w:pPr>
      <w:r>
        <w:rPr>
          <w:rFonts w:eastAsia="Times New Roman"/>
          <w:sz w:val="20"/>
          <w:szCs w:val="20"/>
        </w:rPr>
        <w:t xml:space="preserve">48 </w:t>
      </w:r>
    </w:p>
    <w:p w14:paraId="6C3BFB07" w14:textId="77777777" w:rsidR="00000000" w:rsidRDefault="0053651E">
      <w:pPr>
        <w:divId w:val="495192113"/>
        <w:rPr>
          <w:rFonts w:eastAsia="Times New Roman"/>
          <w:sz w:val="20"/>
          <w:szCs w:val="20"/>
        </w:rPr>
      </w:pPr>
      <w:r>
        <w:rPr>
          <w:rFonts w:eastAsia="Times New Roman"/>
          <w:sz w:val="20"/>
          <w:szCs w:val="20"/>
        </w:rPr>
        <w:pict w14:anchorId="4320B353">
          <v:rect id="_x0000_i1079" style="width:0;height:1.5pt" o:hralign="center" o:hrstd="t" o:hr="t" fillcolor="#a0a0a0" stroked="f"/>
        </w:pict>
      </w:r>
    </w:p>
    <w:p w14:paraId="541A30CE" w14:textId="77777777" w:rsidR="00000000" w:rsidRDefault="0053651E">
      <w:pPr>
        <w:divId w:val="4951921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BCF3305" w14:textId="77777777" w:rsidR="00000000" w:rsidRDefault="0053651E">
      <w:pPr>
        <w:pStyle w:val="a3"/>
        <w:spacing w:before="0" w:beforeAutospacing="0" w:after="0" w:afterAutospacing="0"/>
        <w:rPr>
          <w:sz w:val="20"/>
          <w:szCs w:val="20"/>
        </w:rPr>
      </w:pPr>
      <w:r>
        <w:rPr>
          <w:sz w:val="20"/>
          <w:szCs w:val="20"/>
        </w:rPr>
        <w:t> </w:t>
      </w:r>
    </w:p>
    <w:p w14:paraId="26E4F4AD"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88B4A9E" w14:textId="77777777" w:rsidR="00000000" w:rsidRDefault="0053651E">
      <w:pPr>
        <w:pStyle w:val="a3"/>
        <w:spacing w:before="0" w:beforeAutospacing="0" w:after="0" w:afterAutospacing="0"/>
        <w:ind w:left="144" w:right="144"/>
        <w:jc w:val="center"/>
        <w:rPr>
          <w:sz w:val="20"/>
          <w:szCs w:val="20"/>
        </w:rPr>
      </w:pPr>
      <w:r>
        <w:rPr>
          <w:sz w:val="20"/>
          <w:szCs w:val="20"/>
        </w:rPr>
        <w:t> </w:t>
      </w:r>
    </w:p>
    <w:p w14:paraId="52BA6AF6" w14:textId="77777777" w:rsidR="00000000" w:rsidRDefault="0053651E">
      <w:pPr>
        <w:pStyle w:val="a3"/>
        <w:spacing w:before="0" w:beforeAutospacing="0" w:after="0" w:afterAutospacing="0"/>
        <w:jc w:val="center"/>
        <w:rPr>
          <w:sz w:val="20"/>
          <w:szCs w:val="20"/>
        </w:rPr>
      </w:pPr>
      <w:r>
        <w:rPr>
          <w:sz w:val="20"/>
          <w:szCs w:val="20"/>
        </w:rPr>
        <w:t>NOTES TO CONSOLIDATED FINANCIAL STATEMENTS</w:t>
      </w:r>
    </w:p>
    <w:p w14:paraId="54A637DB" w14:textId="77777777" w:rsidR="00000000" w:rsidRDefault="0053651E">
      <w:pPr>
        <w:pStyle w:val="a3"/>
        <w:spacing w:before="0" w:beforeAutospacing="0" w:after="0" w:afterAutospacing="0"/>
        <w:rPr>
          <w:sz w:val="20"/>
          <w:szCs w:val="20"/>
        </w:rPr>
      </w:pPr>
      <w:r>
        <w:rPr>
          <w:sz w:val="20"/>
          <w:szCs w:val="20"/>
        </w:rPr>
        <w:t> </w:t>
      </w:r>
    </w:p>
    <w:p w14:paraId="07B9BA42" w14:textId="77777777" w:rsidR="00000000" w:rsidRDefault="0053651E">
      <w:pPr>
        <w:pStyle w:val="a3"/>
        <w:spacing w:before="0" w:beforeAutospacing="0" w:after="0" w:afterAutospacing="0"/>
        <w:jc w:val="both"/>
        <w:rPr>
          <w:sz w:val="20"/>
          <w:szCs w:val="20"/>
        </w:rPr>
      </w:pPr>
      <w:r>
        <w:rPr>
          <w:sz w:val="20"/>
          <w:szCs w:val="20"/>
        </w:rPr>
        <w:t>Amounts relating to the number of buildings, square footage, tenant</w:t>
      </w:r>
      <w:r>
        <w:rPr>
          <w:sz w:val="20"/>
          <w:szCs w:val="20"/>
        </w:rPr>
        <w:t xml:space="preserve"> and occupancy data, joint venture debt average interest rates and terms and estimated project costs are unaudited.</w:t>
      </w:r>
    </w:p>
    <w:p w14:paraId="7B2B2674" w14:textId="77777777" w:rsidR="00000000" w:rsidRDefault="0053651E">
      <w:pPr>
        <w:pStyle w:val="a3"/>
        <w:spacing w:before="0" w:beforeAutospacing="0" w:after="0" w:afterAutospacing="0"/>
        <w:jc w:val="both"/>
        <w:rPr>
          <w:sz w:val="20"/>
          <w:szCs w:val="20"/>
        </w:rPr>
      </w:pPr>
      <w:r>
        <w:rPr>
          <w:sz w:val="20"/>
          <w:szCs w:val="20"/>
        </w:rPr>
        <w:t> </w:t>
      </w:r>
    </w:p>
    <w:p w14:paraId="416F1DFC" w14:textId="77777777" w:rsidR="00000000" w:rsidRDefault="0053651E">
      <w:pPr>
        <w:pStyle w:val="a3"/>
        <w:spacing w:before="0" w:beforeAutospacing="0" w:after="0" w:afterAutospacing="0"/>
        <w:jc w:val="both"/>
        <w:rPr>
          <w:sz w:val="20"/>
          <w:szCs w:val="20"/>
        </w:rPr>
      </w:pPr>
      <w:r>
        <w:rPr>
          <w:sz w:val="20"/>
          <w:szCs w:val="20"/>
        </w:rPr>
        <w:t>The terms "Kimco" the "Company" and "our" each refer to Kimco Realty Corporation and its subsidiaries, unless the context indicates otherw</w:t>
      </w:r>
      <w:r>
        <w:rPr>
          <w:sz w:val="20"/>
          <w:szCs w:val="20"/>
        </w:rPr>
        <w:t>ise. In statements regarding qualification as a REIT, such terms refer solely to Kimco Reality Corporation. </w:t>
      </w:r>
    </w:p>
    <w:p w14:paraId="5EDE3179" w14:textId="77777777" w:rsidR="00000000" w:rsidRDefault="0053651E">
      <w:pPr>
        <w:pStyle w:val="a3"/>
        <w:spacing w:before="0" w:beforeAutospacing="0" w:after="0" w:afterAutospacing="0"/>
        <w:ind w:left="360"/>
        <w:rPr>
          <w:sz w:val="20"/>
          <w:szCs w:val="20"/>
        </w:rPr>
      </w:pPr>
      <w:r>
        <w:rPr>
          <w:sz w:val="20"/>
          <w:szCs w:val="20"/>
        </w:rPr>
        <w:t> </w:t>
      </w:r>
    </w:p>
    <w:p w14:paraId="0D1CE280" w14:textId="77777777" w:rsidR="00000000" w:rsidRDefault="0053651E">
      <w:pPr>
        <w:divId w:val="1087967195"/>
        <w:rPr>
          <w:rFonts w:eastAsia="Times New Roman"/>
          <w:sz w:val="20"/>
          <w:szCs w:val="20"/>
        </w:rPr>
      </w:pPr>
      <w:r>
        <w:rPr>
          <w:rFonts w:eastAsia="Times New Roman"/>
          <w:sz w:val="20"/>
          <w:szCs w:val="20"/>
        </w:rPr>
        <w:t xml:space="preserve">  </w:t>
      </w:r>
    </w:p>
    <w:p w14:paraId="2829FF6D" w14:textId="77777777" w:rsidR="00000000" w:rsidRDefault="0053651E">
      <w:pPr>
        <w:pStyle w:val="a3"/>
        <w:spacing w:before="0" w:beforeAutospacing="0" w:after="0" w:afterAutospacing="0"/>
        <w:rPr>
          <w:sz w:val="20"/>
          <w:szCs w:val="20"/>
        </w:rPr>
      </w:pPr>
      <w:r>
        <w:rPr>
          <w:rStyle w:val="a6"/>
          <w:i w:val="0"/>
          <w:iCs w:val="0"/>
          <w:sz w:val="20"/>
          <w:szCs w:val="20"/>
        </w:rPr>
        <w:t>1.</w:t>
      </w:r>
      <w:r>
        <w:rPr>
          <w:sz w:val="20"/>
          <w:szCs w:val="20"/>
        </w:rPr>
        <w:t>    </w:t>
      </w:r>
      <w:r>
        <w:rPr>
          <w:sz w:val="20"/>
          <w:szCs w:val="20"/>
          <w:u w:val="single"/>
        </w:rPr>
        <w:t>Summary of Significant Accounting Policies:</w:t>
      </w:r>
    </w:p>
    <w:p w14:paraId="6E38B18A" w14:textId="77777777" w:rsidR="00000000" w:rsidRDefault="0053651E">
      <w:pPr>
        <w:pStyle w:val="a3"/>
        <w:spacing w:before="0" w:beforeAutospacing="0" w:after="0" w:afterAutospacing="0"/>
        <w:ind w:left="360"/>
        <w:rPr>
          <w:sz w:val="20"/>
          <w:szCs w:val="20"/>
        </w:rPr>
      </w:pPr>
      <w:r>
        <w:rPr>
          <w:sz w:val="20"/>
          <w:szCs w:val="20"/>
        </w:rPr>
        <w:t> </w:t>
      </w:r>
    </w:p>
    <w:p w14:paraId="0FFFFD23" w14:textId="77777777" w:rsidR="00000000" w:rsidRDefault="0053651E">
      <w:pPr>
        <w:pStyle w:val="a3"/>
        <w:spacing w:before="0" w:beforeAutospacing="0" w:after="0" w:afterAutospacing="0"/>
        <w:ind w:left="360"/>
        <w:rPr>
          <w:sz w:val="20"/>
          <w:szCs w:val="20"/>
        </w:rPr>
      </w:pPr>
      <w:r>
        <w:rPr>
          <w:sz w:val="20"/>
          <w:szCs w:val="20"/>
          <w:u w:val="single"/>
        </w:rPr>
        <w:t>Business and Organization</w:t>
      </w:r>
    </w:p>
    <w:p w14:paraId="6A9EE0E2" w14:textId="77777777" w:rsidR="00000000" w:rsidRDefault="0053651E">
      <w:pPr>
        <w:pStyle w:val="a3"/>
        <w:spacing w:before="0" w:beforeAutospacing="0" w:after="0" w:afterAutospacing="0"/>
        <w:ind w:left="360"/>
        <w:rPr>
          <w:sz w:val="20"/>
          <w:szCs w:val="20"/>
        </w:rPr>
      </w:pPr>
      <w:r>
        <w:rPr>
          <w:sz w:val="20"/>
          <w:szCs w:val="20"/>
        </w:rPr>
        <w:t> </w:t>
      </w:r>
    </w:p>
    <w:p w14:paraId="6C262EA4" w14:textId="77777777" w:rsidR="00000000" w:rsidRDefault="0053651E">
      <w:pPr>
        <w:pStyle w:val="a3"/>
        <w:spacing w:before="0" w:beforeAutospacing="0" w:after="0" w:afterAutospacing="0"/>
        <w:ind w:left="360"/>
        <w:jc w:val="both"/>
        <w:rPr>
          <w:sz w:val="20"/>
          <w:szCs w:val="20"/>
        </w:rPr>
      </w:pPr>
      <w:r>
        <w:rPr>
          <w:sz w:val="20"/>
          <w:szCs w:val="20"/>
        </w:rPr>
        <w:t>Kimco Realty Corporation and its subsidiaries (the "Company" o</w:t>
      </w:r>
      <w:r>
        <w:rPr>
          <w:sz w:val="20"/>
          <w:szCs w:val="20"/>
        </w:rPr>
        <w:t>r "Kimco"), operate as a Real Estate Investment Trust (“REIT”) and are engaged principally in the ownership, management, development and operation of open-air shopping centers, which are anchored generally by grocery stores, off-price retailers, discounter</w:t>
      </w:r>
      <w:r>
        <w:rPr>
          <w:sz w:val="20"/>
          <w:szCs w:val="20"/>
        </w:rPr>
        <w:t>s or service-oriented tenants. Additionally, the Company provides complementary services that capitalize on the Company’s established retail real estate expertise. The Company evaluates performance on a property specific or transactional basis and does</w:t>
      </w:r>
      <w:r>
        <w:rPr>
          <w:sz w:val="20"/>
          <w:szCs w:val="20"/>
        </w:rPr>
        <w:t xml:space="preserve"> </w:t>
      </w:r>
      <w:r>
        <w:rPr>
          <w:rStyle w:val="a6"/>
          <w:i w:val="0"/>
          <w:iCs w:val="0"/>
          <w:sz w:val="20"/>
          <w:szCs w:val="20"/>
        </w:rPr>
        <w:t>not</w:t>
      </w:r>
      <w:r>
        <w:rPr>
          <w:sz w:val="20"/>
          <w:szCs w:val="20"/>
        </w:rPr>
        <w:t xml:space="preserve"> distinguish its principal business or group its operations on a geographical basis for purposes of measuring performance. Accordingly, the Company believes it has a single reportable segment for disclosure purposes in accordance with accounting principles</w:t>
      </w:r>
      <w:r>
        <w:rPr>
          <w:sz w:val="20"/>
          <w:szCs w:val="20"/>
        </w:rPr>
        <w:t xml:space="preserve"> generally accepted in the United States of America ("GAAP").</w:t>
      </w:r>
    </w:p>
    <w:p w14:paraId="0FD8430A" w14:textId="77777777" w:rsidR="00000000" w:rsidRDefault="0053651E">
      <w:pPr>
        <w:pStyle w:val="a3"/>
        <w:spacing w:before="0" w:beforeAutospacing="0" w:after="0" w:afterAutospacing="0"/>
        <w:ind w:left="360"/>
        <w:jc w:val="both"/>
        <w:rPr>
          <w:sz w:val="20"/>
          <w:szCs w:val="20"/>
        </w:rPr>
      </w:pPr>
      <w:r>
        <w:rPr>
          <w:sz w:val="20"/>
          <w:szCs w:val="20"/>
        </w:rPr>
        <w:t> </w:t>
      </w:r>
    </w:p>
    <w:p w14:paraId="76909B0A" w14:textId="77777777" w:rsidR="00000000" w:rsidRDefault="0053651E">
      <w:pPr>
        <w:pStyle w:val="a3"/>
        <w:spacing w:before="0" w:beforeAutospacing="0" w:after="0" w:afterAutospacing="0"/>
        <w:ind w:left="360"/>
        <w:jc w:val="both"/>
        <w:rPr>
          <w:sz w:val="20"/>
          <w:szCs w:val="20"/>
        </w:rPr>
      </w:pPr>
      <w:r>
        <w:rPr>
          <w:sz w:val="20"/>
          <w:szCs w:val="20"/>
        </w:rPr>
        <w:t>The Company has elected to be taxed as a REIT for federal income tax purposes under the Internal Revenue Code of</w:t>
      </w:r>
      <w:r>
        <w:rPr>
          <w:sz w:val="20"/>
          <w:szCs w:val="20"/>
        </w:rPr>
        <w:t xml:space="preserve"> </w:t>
      </w:r>
      <w:r>
        <w:rPr>
          <w:rStyle w:val="a6"/>
          <w:i w:val="0"/>
          <w:iCs w:val="0"/>
          <w:sz w:val="20"/>
          <w:szCs w:val="20"/>
        </w:rPr>
        <w:t>1986,</w:t>
      </w:r>
      <w:r>
        <w:rPr>
          <w:sz w:val="20"/>
          <w:szCs w:val="20"/>
        </w:rPr>
        <w:t xml:space="preserve"> as amended (the "Code"). The Company is organized and operates in a manner that enables it to qualify as a REIT under the Code.</w:t>
      </w:r>
    </w:p>
    <w:p w14:paraId="2498C89E" w14:textId="77777777" w:rsidR="00000000" w:rsidRDefault="0053651E">
      <w:pPr>
        <w:pStyle w:val="a3"/>
        <w:spacing w:before="0" w:beforeAutospacing="0" w:after="0" w:afterAutospacing="0"/>
        <w:ind w:left="360"/>
        <w:jc w:val="both"/>
        <w:rPr>
          <w:sz w:val="20"/>
          <w:szCs w:val="20"/>
        </w:rPr>
      </w:pPr>
      <w:r>
        <w:rPr>
          <w:sz w:val="20"/>
          <w:szCs w:val="20"/>
        </w:rPr>
        <w:t> </w:t>
      </w:r>
    </w:p>
    <w:p w14:paraId="14552427" w14:textId="77777777" w:rsidR="00000000" w:rsidRDefault="0053651E">
      <w:pPr>
        <w:pStyle w:val="a3"/>
        <w:spacing w:before="0" w:beforeAutospacing="0" w:after="0" w:afterAutospacing="0"/>
        <w:ind w:left="360"/>
        <w:rPr>
          <w:sz w:val="20"/>
          <w:szCs w:val="20"/>
        </w:rPr>
      </w:pPr>
      <w:r>
        <w:rPr>
          <w:sz w:val="20"/>
          <w:szCs w:val="20"/>
          <w:u w:val="single"/>
        </w:rPr>
        <w:t>Basis o</w:t>
      </w:r>
      <w:r>
        <w:rPr>
          <w:sz w:val="20"/>
          <w:szCs w:val="20"/>
          <w:u w:val="single"/>
        </w:rPr>
        <w:t>f Presentation</w:t>
      </w:r>
    </w:p>
    <w:p w14:paraId="21589BF9" w14:textId="77777777" w:rsidR="00000000" w:rsidRDefault="0053651E">
      <w:pPr>
        <w:pStyle w:val="a3"/>
        <w:spacing w:before="0" w:beforeAutospacing="0" w:after="0" w:afterAutospacing="0"/>
        <w:ind w:left="360"/>
        <w:rPr>
          <w:sz w:val="20"/>
          <w:szCs w:val="20"/>
        </w:rPr>
      </w:pPr>
      <w:r>
        <w:rPr>
          <w:sz w:val="20"/>
          <w:szCs w:val="20"/>
        </w:rPr>
        <w:t> </w:t>
      </w:r>
    </w:p>
    <w:p w14:paraId="5F6474F3" w14:textId="77777777" w:rsidR="00000000" w:rsidRDefault="0053651E">
      <w:pPr>
        <w:pStyle w:val="a3"/>
        <w:spacing w:before="0" w:beforeAutospacing="0" w:after="0" w:afterAutospacing="0"/>
        <w:ind w:left="360"/>
        <w:jc w:val="both"/>
        <w:rPr>
          <w:sz w:val="20"/>
          <w:szCs w:val="20"/>
        </w:rPr>
      </w:pPr>
      <w:r>
        <w:rPr>
          <w:sz w:val="20"/>
          <w:szCs w:val="20"/>
        </w:rPr>
        <w:t>The accompanying Consolidated Financial Statements include the accounts of the Company. The Company’s subsidiaries include subsidiaries which are wholly owned or which the Company has a controlling interest, including where the Company has</w:t>
      </w:r>
      <w:r>
        <w:rPr>
          <w:sz w:val="20"/>
          <w:szCs w:val="20"/>
        </w:rPr>
        <w:t xml:space="preserve"> been determined to be a primary beneficiary of a variable interest entity (“VIE”) in accordance with the consolidation guidance of the Financial Accounting Standards Board (“FASB”) Accounting Standards Codification (“ASC”). All inter-company balances and </w:t>
      </w:r>
      <w:r>
        <w:rPr>
          <w:sz w:val="20"/>
          <w:szCs w:val="20"/>
        </w:rPr>
        <w:t>transactions have been eliminated in consolidation.</w:t>
      </w:r>
    </w:p>
    <w:p w14:paraId="2BE771C9" w14:textId="77777777" w:rsidR="00000000" w:rsidRDefault="0053651E">
      <w:pPr>
        <w:pStyle w:val="a3"/>
        <w:spacing w:before="0" w:beforeAutospacing="0" w:after="0" w:afterAutospacing="0"/>
        <w:ind w:left="360"/>
        <w:rPr>
          <w:sz w:val="20"/>
          <w:szCs w:val="20"/>
        </w:rPr>
      </w:pPr>
      <w:r>
        <w:rPr>
          <w:sz w:val="20"/>
          <w:szCs w:val="20"/>
        </w:rPr>
        <w:t> </w:t>
      </w:r>
    </w:p>
    <w:p w14:paraId="6904E7E3" w14:textId="77777777" w:rsidR="00000000" w:rsidRDefault="0053651E">
      <w:pPr>
        <w:pStyle w:val="a3"/>
        <w:spacing w:before="0" w:beforeAutospacing="0" w:after="0" w:afterAutospacing="0"/>
        <w:ind w:left="360"/>
        <w:jc w:val="both"/>
        <w:rPr>
          <w:sz w:val="20"/>
          <w:szCs w:val="20"/>
        </w:rPr>
      </w:pPr>
      <w:r>
        <w:rPr>
          <w:sz w:val="20"/>
          <w:szCs w:val="20"/>
          <w:u w:val="single"/>
        </w:rPr>
        <w:t>Use of Estimates</w:t>
      </w:r>
    </w:p>
    <w:p w14:paraId="7C40CE52" w14:textId="77777777" w:rsidR="00000000" w:rsidRDefault="0053651E">
      <w:pPr>
        <w:pStyle w:val="a3"/>
        <w:spacing w:before="0" w:beforeAutospacing="0" w:after="0" w:afterAutospacing="0"/>
        <w:ind w:left="360"/>
        <w:jc w:val="both"/>
        <w:rPr>
          <w:sz w:val="20"/>
          <w:szCs w:val="20"/>
        </w:rPr>
      </w:pPr>
      <w:r>
        <w:rPr>
          <w:sz w:val="20"/>
          <w:szCs w:val="20"/>
        </w:rPr>
        <w:t> </w:t>
      </w:r>
    </w:p>
    <w:p w14:paraId="5D381E57" w14:textId="77777777" w:rsidR="00000000" w:rsidRDefault="0053651E">
      <w:pPr>
        <w:pStyle w:val="a3"/>
        <w:spacing w:before="0" w:beforeAutospacing="0" w:after="0" w:afterAutospacing="0"/>
        <w:ind w:left="360"/>
        <w:jc w:val="both"/>
        <w:rPr>
          <w:sz w:val="20"/>
          <w:szCs w:val="20"/>
        </w:rPr>
      </w:pPr>
      <w:r>
        <w:rPr>
          <w:sz w:val="20"/>
          <w:szCs w:val="20"/>
        </w:rPr>
        <w:t>GAAP requires the Company's management to make estimates and assumptions that affect the reported amounts of assets and liabilities, the disclosure of contingent assets and liabilitie</w:t>
      </w:r>
      <w:r>
        <w:rPr>
          <w:sz w:val="20"/>
          <w:szCs w:val="20"/>
        </w:rPr>
        <w:t>s and the reported amounts of revenues and expenses during a reporting period. The most significant assumptions and estimates relate to the valuation of real estate and related intangible assets and liabilities, equity method investments, other investments</w:t>
      </w:r>
      <w:r>
        <w:rPr>
          <w:sz w:val="20"/>
          <w:szCs w:val="20"/>
        </w:rPr>
        <w:t>, including the assessment of impairments, as well as, depreciable lives, revenue recognition, the collectability of trade accounts receivable, realizability of deferred tax assets and the assessment of uncertain tax positions. Application of these assumpt</w:t>
      </w:r>
      <w:r>
        <w:rPr>
          <w:sz w:val="20"/>
          <w:szCs w:val="20"/>
        </w:rPr>
        <w:t>ions requires the exercise of judgment as to future uncertainties, and, as a result, actual results could differ from these estimates.</w:t>
      </w:r>
    </w:p>
    <w:p w14:paraId="4CF0E7DD" w14:textId="77777777" w:rsidR="00000000" w:rsidRDefault="0053651E">
      <w:pPr>
        <w:pStyle w:val="a3"/>
        <w:spacing w:before="0" w:beforeAutospacing="0" w:after="0" w:afterAutospacing="0"/>
        <w:ind w:left="360"/>
        <w:jc w:val="both"/>
        <w:rPr>
          <w:sz w:val="20"/>
          <w:szCs w:val="20"/>
        </w:rPr>
      </w:pPr>
      <w:r>
        <w:rPr>
          <w:sz w:val="20"/>
          <w:szCs w:val="20"/>
        </w:rPr>
        <w:t> </w:t>
      </w:r>
    </w:p>
    <w:p w14:paraId="50FBF794" w14:textId="77777777" w:rsidR="00000000" w:rsidRDefault="0053651E">
      <w:pPr>
        <w:pStyle w:val="a3"/>
        <w:spacing w:before="0" w:beforeAutospacing="0" w:after="0" w:afterAutospacing="0"/>
        <w:ind w:left="360"/>
        <w:jc w:val="both"/>
        <w:rPr>
          <w:sz w:val="20"/>
          <w:szCs w:val="20"/>
        </w:rPr>
      </w:pPr>
      <w:r>
        <w:rPr>
          <w:sz w:val="20"/>
          <w:szCs w:val="20"/>
          <w:u w:val="single"/>
        </w:rPr>
        <w:t>Subsequent Events</w:t>
      </w:r>
    </w:p>
    <w:p w14:paraId="6D55D0FD" w14:textId="77777777" w:rsidR="00000000" w:rsidRDefault="0053651E">
      <w:pPr>
        <w:pStyle w:val="a3"/>
        <w:spacing w:before="0" w:beforeAutospacing="0" w:after="0" w:afterAutospacing="0"/>
        <w:ind w:left="360"/>
        <w:rPr>
          <w:sz w:val="20"/>
          <w:szCs w:val="20"/>
        </w:rPr>
      </w:pPr>
      <w:r>
        <w:rPr>
          <w:sz w:val="20"/>
          <w:szCs w:val="20"/>
        </w:rPr>
        <w:t> </w:t>
      </w:r>
    </w:p>
    <w:p w14:paraId="103F6D27" w14:textId="77777777" w:rsidR="00000000" w:rsidRDefault="0053651E">
      <w:pPr>
        <w:pStyle w:val="a3"/>
        <w:spacing w:before="0" w:beforeAutospacing="0" w:after="0" w:afterAutospacing="0"/>
        <w:ind w:left="360"/>
        <w:rPr>
          <w:sz w:val="20"/>
          <w:szCs w:val="20"/>
        </w:rPr>
      </w:pPr>
      <w:r>
        <w:rPr>
          <w:sz w:val="20"/>
          <w:szCs w:val="20"/>
        </w:rPr>
        <w:t>The Company has evaluated subsequent events and transactions for potential recognition or disclosur</w:t>
      </w:r>
      <w:r>
        <w:rPr>
          <w:sz w:val="20"/>
          <w:szCs w:val="20"/>
        </w:rPr>
        <w:t>e in its consolidated financial statements (see Footnote</w:t>
      </w:r>
      <w:r>
        <w:rPr>
          <w:sz w:val="20"/>
          <w:szCs w:val="20"/>
        </w:rPr>
        <w:t xml:space="preserve"> </w:t>
      </w:r>
      <w:r>
        <w:rPr>
          <w:rStyle w:val="a6"/>
          <w:i w:val="0"/>
          <w:iCs w:val="0"/>
          <w:sz w:val="20"/>
          <w:szCs w:val="20"/>
        </w:rPr>
        <w:t>13</w:t>
      </w:r>
      <w:r>
        <w:rPr>
          <w:sz w:val="20"/>
          <w:szCs w:val="20"/>
        </w:rPr>
        <w:t xml:space="preserve"> of the Notes to Consolidated Financial Statements).</w:t>
      </w:r>
    </w:p>
    <w:p w14:paraId="6C4B32BA" w14:textId="77777777" w:rsidR="00000000" w:rsidRDefault="0053651E">
      <w:pPr>
        <w:pStyle w:val="a3"/>
        <w:spacing w:before="0" w:beforeAutospacing="0" w:after="0" w:afterAutospacing="0"/>
        <w:jc w:val="both"/>
        <w:rPr>
          <w:sz w:val="20"/>
          <w:szCs w:val="20"/>
        </w:rPr>
      </w:pPr>
      <w:r>
        <w:rPr>
          <w:sz w:val="20"/>
          <w:szCs w:val="20"/>
        </w:rPr>
        <w:t> </w:t>
      </w:r>
    </w:p>
    <w:p w14:paraId="1BE6074D" w14:textId="77777777" w:rsidR="00000000" w:rsidRDefault="0053651E">
      <w:pPr>
        <w:pStyle w:val="a3"/>
        <w:spacing w:before="0" w:beforeAutospacing="0" w:after="0" w:afterAutospacing="0"/>
        <w:ind w:left="360"/>
        <w:rPr>
          <w:sz w:val="20"/>
          <w:szCs w:val="20"/>
        </w:rPr>
      </w:pPr>
      <w:r>
        <w:rPr>
          <w:sz w:val="20"/>
          <w:szCs w:val="20"/>
          <w:u w:val="single"/>
        </w:rPr>
        <w:t>Real Estate</w:t>
      </w:r>
    </w:p>
    <w:p w14:paraId="62B2E704" w14:textId="77777777" w:rsidR="00000000" w:rsidRDefault="0053651E">
      <w:pPr>
        <w:pStyle w:val="a3"/>
        <w:spacing w:before="0" w:beforeAutospacing="0" w:after="0" w:afterAutospacing="0"/>
        <w:ind w:left="360"/>
        <w:rPr>
          <w:sz w:val="20"/>
          <w:szCs w:val="20"/>
        </w:rPr>
      </w:pPr>
      <w:r>
        <w:rPr>
          <w:sz w:val="20"/>
          <w:szCs w:val="20"/>
        </w:rPr>
        <w:t> </w:t>
      </w:r>
    </w:p>
    <w:p w14:paraId="045580B0" w14:textId="77777777" w:rsidR="00000000" w:rsidRDefault="0053651E">
      <w:pPr>
        <w:pStyle w:val="a3"/>
        <w:spacing w:before="0" w:beforeAutospacing="0" w:after="0" w:afterAutospacing="0"/>
        <w:ind w:left="360"/>
        <w:jc w:val="both"/>
        <w:rPr>
          <w:sz w:val="20"/>
          <w:szCs w:val="20"/>
        </w:rPr>
      </w:pPr>
      <w:r>
        <w:rPr>
          <w:sz w:val="20"/>
          <w:szCs w:val="20"/>
        </w:rPr>
        <w:t>Real estate assets are stated at cost, less accumulated depreciation and amortization. Upon acquisition of real estate operating</w:t>
      </w:r>
      <w:r>
        <w:rPr>
          <w:sz w:val="20"/>
          <w:szCs w:val="20"/>
        </w:rPr>
        <w:t xml:space="preserve"> properties, the Company estimates the fair value of acquired tangible assets (consisting of land, building, building improvements and tenant improvements) and identified intangible assets and liabilities (consisting of above-market and below-market leases</w:t>
      </w:r>
      <w:r>
        <w:rPr>
          <w:sz w:val="20"/>
          <w:szCs w:val="20"/>
        </w:rPr>
        <w:t>, in-place leases and tenant relationships, where applicable), assumed debt and redeemable units issued at the date of acquisition, based on evaluation of information and estimates available at that date. Fair value is determined based on a market approach</w:t>
      </w:r>
      <w:r>
        <w:rPr>
          <w:sz w:val="20"/>
          <w:szCs w:val="20"/>
        </w:rPr>
        <w:t>, which contemplates the price that would be received to sell an asset or paid to transfer a liability in an orderly transaction between market participants at the measurement date. Acquisitions of operating properties are categorized as asset acquisitions</w:t>
      </w:r>
      <w:r>
        <w:rPr>
          <w:sz w:val="20"/>
          <w:szCs w:val="20"/>
        </w:rPr>
        <w:t xml:space="preserve"> and as such the Company capitalizes the acquisition costs associated with these acquisitions.</w:t>
      </w:r>
    </w:p>
    <w:p w14:paraId="5F36998E" w14:textId="77777777" w:rsidR="00000000" w:rsidRDefault="0053651E">
      <w:pPr>
        <w:pStyle w:val="a3"/>
        <w:spacing w:before="0" w:beforeAutospacing="0" w:after="0" w:afterAutospacing="0"/>
        <w:ind w:left="360"/>
        <w:jc w:val="both"/>
        <w:rPr>
          <w:sz w:val="20"/>
          <w:szCs w:val="20"/>
        </w:rPr>
      </w:pPr>
      <w:r>
        <w:rPr>
          <w:sz w:val="20"/>
          <w:szCs w:val="20"/>
        </w:rPr>
        <w:t> </w:t>
      </w:r>
    </w:p>
    <w:p w14:paraId="4CADD093" w14:textId="77777777" w:rsidR="00000000" w:rsidRDefault="0053651E">
      <w:pPr>
        <w:jc w:val="center"/>
        <w:divId w:val="1140922415"/>
        <w:rPr>
          <w:rFonts w:eastAsia="Times New Roman"/>
          <w:sz w:val="20"/>
          <w:szCs w:val="20"/>
        </w:rPr>
      </w:pPr>
      <w:r>
        <w:rPr>
          <w:rStyle w:val="a6"/>
          <w:rFonts w:eastAsia="Times New Roman"/>
          <w:i w:val="0"/>
          <w:iCs w:val="0"/>
          <w:sz w:val="20"/>
          <w:szCs w:val="20"/>
        </w:rPr>
        <w:t>49</w:t>
      </w:r>
      <w:r>
        <w:rPr>
          <w:rFonts w:eastAsia="Times New Roman"/>
          <w:sz w:val="20"/>
          <w:szCs w:val="20"/>
        </w:rPr>
        <w:t xml:space="preserve"> </w:t>
      </w:r>
    </w:p>
    <w:p w14:paraId="43277823" w14:textId="77777777" w:rsidR="00000000" w:rsidRDefault="0053651E">
      <w:pPr>
        <w:divId w:val="1140922415"/>
        <w:rPr>
          <w:rFonts w:eastAsia="Times New Roman"/>
          <w:sz w:val="20"/>
          <w:szCs w:val="20"/>
        </w:rPr>
      </w:pPr>
      <w:r>
        <w:rPr>
          <w:rFonts w:eastAsia="Times New Roman"/>
          <w:sz w:val="20"/>
          <w:szCs w:val="20"/>
        </w:rPr>
        <w:pict w14:anchorId="588C5363">
          <v:rect id="_x0000_i1080" style="width:415.3pt;height:1.5pt" o:hralign="center" o:hrstd="t" o:hrnoshade="t" o:hr="t" fillcolor="black" stroked="f"/>
        </w:pict>
      </w:r>
    </w:p>
    <w:p w14:paraId="5C389D4C" w14:textId="77777777" w:rsidR="00000000" w:rsidRDefault="0053651E">
      <w:pPr>
        <w:divId w:val="1140922415"/>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02F74A80" w14:textId="77777777" w:rsidR="00000000" w:rsidRDefault="0053651E">
      <w:pPr>
        <w:pStyle w:val="a3"/>
        <w:spacing w:before="0" w:beforeAutospacing="0" w:after="0" w:afterAutospacing="0"/>
        <w:rPr>
          <w:sz w:val="20"/>
          <w:szCs w:val="20"/>
        </w:rPr>
      </w:pPr>
      <w:r>
        <w:rPr>
          <w:sz w:val="20"/>
          <w:szCs w:val="20"/>
        </w:rPr>
        <w:t> </w:t>
      </w:r>
    </w:p>
    <w:p w14:paraId="63F1B477"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AA51A44" w14:textId="77777777" w:rsidR="00000000" w:rsidRDefault="0053651E">
      <w:pPr>
        <w:pStyle w:val="a3"/>
        <w:spacing w:before="0" w:beforeAutospacing="0" w:after="0" w:afterAutospacing="0"/>
        <w:jc w:val="center"/>
        <w:rPr>
          <w:sz w:val="20"/>
          <w:szCs w:val="20"/>
        </w:rPr>
      </w:pPr>
      <w:r>
        <w:rPr>
          <w:sz w:val="20"/>
          <w:szCs w:val="20"/>
        </w:rPr>
        <w:t> </w:t>
      </w:r>
    </w:p>
    <w:p w14:paraId="3AED75CD"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42CCFDCF" w14:textId="77777777" w:rsidR="00000000" w:rsidRDefault="0053651E">
      <w:pPr>
        <w:pStyle w:val="a3"/>
        <w:spacing w:before="0" w:beforeAutospacing="0" w:after="0" w:afterAutospacing="0"/>
        <w:rPr>
          <w:sz w:val="20"/>
          <w:szCs w:val="20"/>
        </w:rPr>
      </w:pPr>
      <w:r>
        <w:rPr>
          <w:sz w:val="20"/>
          <w:szCs w:val="20"/>
        </w:rPr>
        <w:t> </w:t>
      </w:r>
    </w:p>
    <w:p w14:paraId="4D31BADA" w14:textId="77777777" w:rsidR="00000000" w:rsidRDefault="0053651E">
      <w:pPr>
        <w:pStyle w:val="a3"/>
        <w:spacing w:before="0" w:beforeAutospacing="0" w:after="0" w:afterAutospacing="0"/>
        <w:ind w:left="360"/>
        <w:jc w:val="both"/>
        <w:rPr>
          <w:sz w:val="20"/>
          <w:szCs w:val="20"/>
        </w:rPr>
      </w:pPr>
      <w:r>
        <w:rPr>
          <w:sz w:val="20"/>
          <w:szCs w:val="20"/>
        </w:rPr>
        <w:t>In allocating the purchase price to identified intangible assets and liabilities of an acquired property, the value of above-market and below-market leases is estimated based on the present value of the difference between the contractual amounts, including</w:t>
      </w:r>
      <w:r>
        <w:rPr>
          <w:sz w:val="20"/>
          <w:szCs w:val="20"/>
        </w:rPr>
        <w:t xml:space="preserve"> fixed rate below-market lease renewal options, to be paid pursuant to the leases and management’s estimate of the market lease rates and other lease provisions (i.e., expense recapture, base rental changes, etc.) measured over a period equal to the estima</w:t>
      </w:r>
      <w:r>
        <w:rPr>
          <w:sz w:val="20"/>
          <w:szCs w:val="20"/>
        </w:rPr>
        <w:t>ted remaining term of the lease. The capitalized above-market or below-market intangible is amortized to rental income over the estimated remaining term of the respective leases, which includes the expected renewal option period for below-market leases. Mo</w:t>
      </w:r>
      <w:r>
        <w:rPr>
          <w:sz w:val="20"/>
          <w:szCs w:val="20"/>
        </w:rPr>
        <w:t>rtgage debt discounts or premiums are amortized into interest expense over the remaining term of the related debt instrument.</w:t>
      </w:r>
    </w:p>
    <w:p w14:paraId="07DA1012" w14:textId="77777777" w:rsidR="00000000" w:rsidRDefault="0053651E">
      <w:pPr>
        <w:pStyle w:val="a3"/>
        <w:spacing w:before="0" w:beforeAutospacing="0" w:after="0" w:afterAutospacing="0"/>
        <w:ind w:left="360"/>
        <w:jc w:val="both"/>
        <w:rPr>
          <w:sz w:val="20"/>
          <w:szCs w:val="20"/>
        </w:rPr>
      </w:pPr>
      <w:r>
        <w:rPr>
          <w:sz w:val="20"/>
          <w:szCs w:val="20"/>
        </w:rPr>
        <w:t> </w:t>
      </w:r>
    </w:p>
    <w:p w14:paraId="53A731F8" w14:textId="77777777" w:rsidR="00000000" w:rsidRDefault="0053651E">
      <w:pPr>
        <w:pStyle w:val="a3"/>
        <w:spacing w:before="0" w:beforeAutospacing="0" w:after="0" w:afterAutospacing="0"/>
        <w:ind w:left="360"/>
        <w:jc w:val="both"/>
        <w:rPr>
          <w:sz w:val="20"/>
          <w:szCs w:val="20"/>
        </w:rPr>
      </w:pPr>
      <w:r>
        <w:rPr>
          <w:sz w:val="20"/>
          <w:szCs w:val="20"/>
        </w:rPr>
        <w:t xml:space="preserve">In determining the value of in-place leases, management considers current market conditions and costs to execute similar leases </w:t>
      </w:r>
      <w:r>
        <w:rPr>
          <w:sz w:val="20"/>
          <w:szCs w:val="20"/>
        </w:rPr>
        <w:t>in arriving at an estimate of the carrying costs during the expected lease-up period from vacant to existing occupancy. In estimating carrying costs, management includes real estate taxes, insurance, other operating expenses, estimates of lost rental reven</w:t>
      </w:r>
      <w:r>
        <w:rPr>
          <w:sz w:val="20"/>
          <w:szCs w:val="20"/>
        </w:rPr>
        <w:t>ue during the expected lease-up periods and costs to execute similar leases including leasing commissions, legal and other related costs based on current market demand. The value assigned to in-place leases and tenant relationships is amortized over the es</w:t>
      </w:r>
      <w:r>
        <w:rPr>
          <w:sz w:val="20"/>
          <w:szCs w:val="20"/>
        </w:rPr>
        <w:t>timated remaining term of the leases. If a lease were to be terminated prior to its scheduled expiration, all unamortized costs relating to that lease would be written off.</w:t>
      </w:r>
    </w:p>
    <w:p w14:paraId="5034D01C" w14:textId="77777777" w:rsidR="00000000" w:rsidRDefault="0053651E">
      <w:pPr>
        <w:pStyle w:val="a3"/>
        <w:spacing w:before="0" w:beforeAutospacing="0" w:after="0" w:afterAutospacing="0"/>
        <w:ind w:left="360"/>
        <w:jc w:val="both"/>
        <w:rPr>
          <w:sz w:val="20"/>
          <w:szCs w:val="20"/>
        </w:rPr>
      </w:pPr>
      <w:r>
        <w:rPr>
          <w:sz w:val="20"/>
          <w:szCs w:val="20"/>
        </w:rPr>
        <w:t> </w:t>
      </w:r>
    </w:p>
    <w:p w14:paraId="152093EC" w14:textId="77777777" w:rsidR="00000000" w:rsidRDefault="0053651E">
      <w:pPr>
        <w:pStyle w:val="a3"/>
        <w:spacing w:before="0" w:beforeAutospacing="0" w:after="0" w:afterAutospacing="0"/>
        <w:ind w:left="360"/>
        <w:jc w:val="both"/>
        <w:rPr>
          <w:sz w:val="20"/>
          <w:szCs w:val="20"/>
        </w:rPr>
      </w:pPr>
      <w:r>
        <w:rPr>
          <w:sz w:val="20"/>
          <w:szCs w:val="20"/>
        </w:rPr>
        <w:t>Depreciation and amortization are provided on the straight-line method over the e</w:t>
      </w:r>
      <w:r>
        <w:rPr>
          <w:sz w:val="20"/>
          <w:szCs w:val="20"/>
        </w:rPr>
        <w:t>stimated useful lives of the assets, as follows:</w:t>
      </w:r>
    </w:p>
    <w:p w14:paraId="1DD77EBB" w14:textId="77777777" w:rsidR="00000000" w:rsidRDefault="0053651E">
      <w:pPr>
        <w:pStyle w:val="a3"/>
        <w:spacing w:before="0" w:beforeAutospacing="0" w:after="0" w:afterAutospacing="0"/>
        <w:ind w:left="36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444"/>
        <w:gridCol w:w="208"/>
        <w:gridCol w:w="137"/>
        <w:gridCol w:w="156"/>
        <w:gridCol w:w="2115"/>
      </w:tblGrid>
      <w:tr w:rsidR="00000000" w14:paraId="77AAB2B2" w14:textId="77777777">
        <w:trPr>
          <w:tblCellSpacing w:w="0" w:type="dxa"/>
        </w:trPr>
        <w:tc>
          <w:tcPr>
            <w:tcW w:w="3150" w:type="pct"/>
            <w:shd w:val="clear" w:color="auto" w:fill="CCEEFF"/>
            <w:vAlign w:val="bottom"/>
            <w:hideMark/>
          </w:tcPr>
          <w:p w14:paraId="6F259609" w14:textId="77777777" w:rsidR="00000000" w:rsidRDefault="0053651E">
            <w:pPr>
              <w:pStyle w:val="a3"/>
              <w:spacing w:before="0" w:beforeAutospacing="0" w:after="0" w:afterAutospacing="0"/>
              <w:ind w:left="180" w:hanging="180"/>
              <w:rPr>
                <w:sz w:val="20"/>
                <w:szCs w:val="20"/>
              </w:rPr>
            </w:pPr>
            <w:r>
              <w:rPr>
                <w:sz w:val="20"/>
                <w:szCs w:val="20"/>
              </w:rPr>
              <w:t>Buildings and building improvements (in years)</w:t>
            </w:r>
          </w:p>
        </w:tc>
        <w:tc>
          <w:tcPr>
            <w:tcW w:w="150" w:type="pct"/>
            <w:shd w:val="clear" w:color="auto" w:fill="CCEEFF"/>
            <w:vAlign w:val="bottom"/>
            <w:hideMark/>
          </w:tcPr>
          <w:p w14:paraId="0FF9C9C3" w14:textId="77777777" w:rsidR="00000000" w:rsidRDefault="0053651E">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CBE064B" w14:textId="77777777" w:rsidR="00000000" w:rsidRDefault="0053651E">
            <w:pPr>
              <w:rPr>
                <w:rFonts w:eastAsia="Times New Roman"/>
                <w:sz w:val="20"/>
                <w:szCs w:val="20"/>
              </w:rPr>
            </w:pPr>
            <w:r>
              <w:rPr>
                <w:rFonts w:eastAsia="Times New Roman"/>
                <w:sz w:val="20"/>
                <w:szCs w:val="20"/>
              </w:rPr>
              <w:t>5</w:t>
            </w:r>
          </w:p>
        </w:tc>
        <w:tc>
          <w:tcPr>
            <w:tcW w:w="100" w:type="pct"/>
            <w:shd w:val="clear" w:color="auto" w:fill="CCEEFF"/>
            <w:vAlign w:val="bottom"/>
            <w:hideMark/>
          </w:tcPr>
          <w:p w14:paraId="21045DE3" w14:textId="77777777" w:rsidR="00000000" w:rsidRDefault="0053651E">
            <w:pPr>
              <w:rPr>
                <w:rFonts w:eastAsia="Times New Roman"/>
                <w:sz w:val="20"/>
                <w:szCs w:val="20"/>
              </w:rPr>
            </w:pPr>
            <w:r>
              <w:rPr>
                <w:rFonts w:eastAsia="Times New Roman"/>
                <w:sz w:val="20"/>
                <w:szCs w:val="20"/>
              </w:rPr>
              <w:t>to</w:t>
            </w:r>
          </w:p>
        </w:tc>
        <w:tc>
          <w:tcPr>
            <w:tcW w:w="1500" w:type="pct"/>
            <w:shd w:val="clear" w:color="auto" w:fill="CCEEFF"/>
            <w:vAlign w:val="bottom"/>
            <w:hideMark/>
          </w:tcPr>
          <w:p w14:paraId="3F92A402" w14:textId="77777777" w:rsidR="00000000" w:rsidRDefault="0053651E">
            <w:pPr>
              <w:rPr>
                <w:rFonts w:eastAsia="Times New Roman"/>
                <w:sz w:val="20"/>
                <w:szCs w:val="20"/>
              </w:rPr>
            </w:pPr>
            <w:r>
              <w:rPr>
                <w:rFonts w:eastAsia="Times New Roman"/>
                <w:sz w:val="20"/>
                <w:szCs w:val="20"/>
              </w:rPr>
              <w:t>5</w:t>
            </w:r>
            <w:r>
              <w:rPr>
                <w:rFonts w:eastAsia="Times New Roman"/>
                <w:sz w:val="20"/>
                <w:szCs w:val="20"/>
              </w:rPr>
              <w:t>0</w:t>
            </w:r>
          </w:p>
        </w:tc>
      </w:tr>
      <w:tr w:rsidR="00000000" w14:paraId="6CB50A38" w14:textId="77777777">
        <w:trPr>
          <w:tblCellSpacing w:w="0" w:type="dxa"/>
        </w:trPr>
        <w:tc>
          <w:tcPr>
            <w:tcW w:w="3150" w:type="pct"/>
            <w:shd w:val="clear" w:color="auto" w:fill="FFFFFF"/>
            <w:vAlign w:val="bottom"/>
            <w:hideMark/>
          </w:tcPr>
          <w:p w14:paraId="6A964BED" w14:textId="77777777" w:rsidR="00000000" w:rsidRDefault="0053651E">
            <w:pPr>
              <w:pStyle w:val="a3"/>
              <w:spacing w:before="0" w:beforeAutospacing="0" w:after="0" w:afterAutospacing="0"/>
              <w:ind w:left="738" w:hanging="180"/>
              <w:rPr>
                <w:sz w:val="20"/>
                <w:szCs w:val="20"/>
              </w:rPr>
            </w:pPr>
            <w:r>
              <w:rPr>
                <w:sz w:val="20"/>
                <w:szCs w:val="20"/>
              </w:rPr>
              <w:t>Fixtures, leasehold and tenant improvements (including certain identified intangible assets)</w:t>
            </w:r>
          </w:p>
        </w:tc>
        <w:tc>
          <w:tcPr>
            <w:tcW w:w="150" w:type="pct"/>
            <w:shd w:val="clear" w:color="auto" w:fill="FFFFFF"/>
            <w:vAlign w:val="bottom"/>
            <w:hideMark/>
          </w:tcPr>
          <w:p w14:paraId="22EBA747" w14:textId="77777777" w:rsidR="00000000" w:rsidRDefault="0053651E">
            <w:pPr>
              <w:rPr>
                <w:rFonts w:eastAsia="Times New Roman"/>
                <w:sz w:val="20"/>
                <w:szCs w:val="20"/>
              </w:rPr>
            </w:pPr>
            <w:r>
              <w:rPr>
                <w:rFonts w:eastAsia="Times New Roman"/>
                <w:sz w:val="20"/>
                <w:szCs w:val="20"/>
              </w:rPr>
              <w:t> </w:t>
            </w:r>
          </w:p>
        </w:tc>
        <w:tc>
          <w:tcPr>
            <w:tcW w:w="200" w:type="pct"/>
            <w:gridSpan w:val="3"/>
            <w:shd w:val="clear" w:color="auto" w:fill="FFFFFF"/>
            <w:vAlign w:val="bottom"/>
            <w:hideMark/>
          </w:tcPr>
          <w:p w14:paraId="457D2303" w14:textId="77777777" w:rsidR="00000000" w:rsidRDefault="0053651E">
            <w:pPr>
              <w:pStyle w:val="a3"/>
              <w:spacing w:before="0" w:beforeAutospacing="0" w:after="0" w:afterAutospacing="0"/>
              <w:rPr>
                <w:sz w:val="20"/>
                <w:szCs w:val="20"/>
              </w:rPr>
            </w:pPr>
            <w:r>
              <w:rPr>
                <w:sz w:val="20"/>
                <w:szCs w:val="20"/>
              </w:rPr>
              <w:t>Terms of leases or useful lives, whichever is shorter</w:t>
            </w:r>
          </w:p>
        </w:tc>
      </w:tr>
    </w:tbl>
    <w:p w14:paraId="78560844" w14:textId="77777777" w:rsidR="00000000" w:rsidRDefault="0053651E">
      <w:pPr>
        <w:pStyle w:val="a3"/>
        <w:spacing w:before="0" w:beforeAutospacing="0" w:after="0" w:afterAutospacing="0"/>
        <w:ind w:left="360"/>
        <w:rPr>
          <w:sz w:val="20"/>
          <w:szCs w:val="20"/>
        </w:rPr>
      </w:pPr>
      <w:r>
        <w:rPr>
          <w:sz w:val="20"/>
          <w:szCs w:val="20"/>
        </w:rPr>
        <w:t> </w:t>
      </w:r>
    </w:p>
    <w:p w14:paraId="178817B6" w14:textId="77777777" w:rsidR="00000000" w:rsidRDefault="0053651E">
      <w:pPr>
        <w:pStyle w:val="a3"/>
        <w:spacing w:before="0" w:beforeAutospacing="0" w:after="0" w:afterAutospacing="0"/>
        <w:ind w:left="360"/>
        <w:jc w:val="both"/>
        <w:rPr>
          <w:sz w:val="20"/>
          <w:szCs w:val="20"/>
        </w:rPr>
      </w:pPr>
      <w:r>
        <w:rPr>
          <w:sz w:val="20"/>
          <w:szCs w:val="20"/>
        </w:rPr>
        <w:t>The Company periodically assesses the useful lives of its depreciable real estate assets, including those expected to be redeveloped in future periods, and accounts for any revisions prospectively. Expenditures for maintenance, repairs and demolition costs</w:t>
      </w:r>
      <w:r>
        <w:rPr>
          <w:sz w:val="20"/>
          <w:szCs w:val="20"/>
        </w:rPr>
        <w:t xml:space="preserve"> are charged to operations as incurred. Significant renovations and replacements, which improve or extend the life of the asset, are capitalized. The useful lives of amortizable intangible assets are evaluated each reporting period with any changes in esti</w:t>
      </w:r>
      <w:r>
        <w:rPr>
          <w:sz w:val="20"/>
          <w:szCs w:val="20"/>
        </w:rPr>
        <w:t>mated useful lives being accounted for over the revised remaining useful life.</w:t>
      </w:r>
    </w:p>
    <w:p w14:paraId="5B025019" w14:textId="77777777" w:rsidR="00000000" w:rsidRDefault="0053651E">
      <w:pPr>
        <w:pStyle w:val="a3"/>
        <w:spacing w:before="0" w:beforeAutospacing="0" w:after="0" w:afterAutospacing="0"/>
        <w:ind w:left="360"/>
        <w:jc w:val="both"/>
        <w:rPr>
          <w:sz w:val="20"/>
          <w:szCs w:val="20"/>
        </w:rPr>
      </w:pPr>
      <w:r>
        <w:rPr>
          <w:sz w:val="20"/>
          <w:szCs w:val="20"/>
        </w:rPr>
        <w:t> </w:t>
      </w:r>
    </w:p>
    <w:p w14:paraId="02C7A4A7" w14:textId="77777777" w:rsidR="00000000" w:rsidRDefault="0053651E">
      <w:pPr>
        <w:pStyle w:val="a3"/>
        <w:spacing w:before="0" w:beforeAutospacing="0" w:after="0" w:afterAutospacing="0"/>
        <w:ind w:left="360"/>
        <w:jc w:val="both"/>
        <w:rPr>
          <w:sz w:val="20"/>
          <w:szCs w:val="20"/>
        </w:rPr>
      </w:pPr>
      <w:r>
        <w:rPr>
          <w:sz w:val="20"/>
          <w:szCs w:val="20"/>
        </w:rPr>
        <w:t>When a real estate asset is identified by management as held-for-sale, the Company ceases depreciation of the asset and estimates the fair value. If the fair value of the asse</w:t>
      </w:r>
      <w:r>
        <w:rPr>
          <w:sz w:val="20"/>
          <w:szCs w:val="20"/>
        </w:rPr>
        <w:t>t, less cost to sell, is less than the net book value of the asset, an adjustment to the carrying value would be recorded to reflect the estimated fair value of the property, less estimated costs of sale and the asset is classified as other assets.</w:t>
      </w:r>
    </w:p>
    <w:p w14:paraId="40045EC7" w14:textId="77777777" w:rsidR="00000000" w:rsidRDefault="0053651E">
      <w:pPr>
        <w:pStyle w:val="a3"/>
        <w:spacing w:before="0" w:beforeAutospacing="0" w:after="0" w:afterAutospacing="0"/>
        <w:ind w:left="360"/>
        <w:jc w:val="both"/>
        <w:rPr>
          <w:sz w:val="20"/>
          <w:szCs w:val="20"/>
        </w:rPr>
      </w:pPr>
      <w:r>
        <w:rPr>
          <w:sz w:val="20"/>
          <w:szCs w:val="20"/>
        </w:rPr>
        <w:t> </w:t>
      </w:r>
    </w:p>
    <w:p w14:paraId="02B4D669" w14:textId="77777777" w:rsidR="00000000" w:rsidRDefault="0053651E">
      <w:pPr>
        <w:pStyle w:val="a3"/>
        <w:spacing w:before="0" w:beforeAutospacing="0" w:after="0" w:afterAutospacing="0"/>
        <w:ind w:left="360"/>
        <w:jc w:val="both"/>
        <w:rPr>
          <w:sz w:val="20"/>
          <w:szCs w:val="20"/>
        </w:rPr>
      </w:pPr>
      <w:r>
        <w:rPr>
          <w:sz w:val="20"/>
          <w:szCs w:val="20"/>
        </w:rPr>
        <w:t xml:space="preserve">On a </w:t>
      </w:r>
      <w:r>
        <w:rPr>
          <w:sz w:val="20"/>
          <w:szCs w:val="20"/>
        </w:rPr>
        <w:t>continuous basis, management assesses whether there are any indicators, including property operating performance, changes in anticipated holding period and general market conditions, that the value of the real estate properties (including any related amort</w:t>
      </w:r>
      <w:r>
        <w:rPr>
          <w:sz w:val="20"/>
          <w:szCs w:val="20"/>
        </w:rPr>
        <w:t>izable intangible assets or liabilities)</w:t>
      </w:r>
      <w:r>
        <w:rPr>
          <w:sz w:val="20"/>
          <w:szCs w:val="20"/>
        </w:rPr>
        <w:t xml:space="preserve"> </w:t>
      </w:r>
      <w:r>
        <w:rPr>
          <w:rStyle w:val="a6"/>
          <w:i w:val="0"/>
          <w:iCs w:val="0"/>
          <w:sz w:val="20"/>
          <w:szCs w:val="20"/>
        </w:rPr>
        <w:t xml:space="preserve">may </w:t>
      </w:r>
      <w:r>
        <w:rPr>
          <w:sz w:val="20"/>
          <w:szCs w:val="20"/>
        </w:rPr>
        <w:t xml:space="preserve">be impaired. A property value is considered impaired only if management’s estimated fair value is less than the net carrying value of the property. The Company’s estimated fair value is primarily based upon (i) </w:t>
      </w:r>
      <w:r>
        <w:rPr>
          <w:sz w:val="20"/>
          <w:szCs w:val="20"/>
        </w:rPr>
        <w:t>estimated sales prices from signed contracts or letters of intent from</w:t>
      </w:r>
      <w:r>
        <w:rPr>
          <w:sz w:val="20"/>
          <w:szCs w:val="20"/>
        </w:rPr>
        <w:t xml:space="preserve"> </w:t>
      </w:r>
      <w:r>
        <w:rPr>
          <w:rStyle w:val="a6"/>
          <w:i w:val="0"/>
          <w:iCs w:val="0"/>
          <w:sz w:val="20"/>
          <w:szCs w:val="20"/>
        </w:rPr>
        <w:t>third</w:t>
      </w:r>
      <w:r>
        <w:rPr>
          <w:sz w:val="20"/>
          <w:szCs w:val="20"/>
        </w:rPr>
        <w:t xml:space="preserve"> party offers, (ii) discounted cash flow models of the property over its remaining hold period or (iii)</w:t>
      </w:r>
      <w:r>
        <w:rPr>
          <w:sz w:val="20"/>
          <w:szCs w:val="20"/>
        </w:rPr>
        <w:t xml:space="preserve"> </w:t>
      </w:r>
      <w:r>
        <w:rPr>
          <w:rStyle w:val="a6"/>
          <w:i w:val="0"/>
          <w:iCs w:val="0"/>
          <w:sz w:val="20"/>
          <w:szCs w:val="20"/>
        </w:rPr>
        <w:t>third</w:t>
      </w:r>
      <w:r>
        <w:rPr>
          <w:sz w:val="20"/>
          <w:szCs w:val="20"/>
        </w:rPr>
        <w:t xml:space="preserve"> party appraisals. An impairment is recognized on properties held for u</w:t>
      </w:r>
      <w:r>
        <w:rPr>
          <w:sz w:val="20"/>
          <w:szCs w:val="20"/>
        </w:rPr>
        <w:t>se when the expected undiscounted cash flows for a property are less than its carrying amount, at which time, the property is written-down to its estimated fair value. Estimated fair values which are based on discounted cash flow models include all estimat</w:t>
      </w:r>
      <w:r>
        <w:rPr>
          <w:sz w:val="20"/>
          <w:szCs w:val="20"/>
        </w:rPr>
        <w:t>ed cash inflows and outflows over a specified holding period, capitalization rates and discount rates utilized in these models are based upon unobservable rates that the Company believes to be within a reasonable range of current market rates. In addition,</w:t>
      </w:r>
      <w:r>
        <w:rPr>
          <w:sz w:val="20"/>
          <w:szCs w:val="20"/>
        </w:rPr>
        <w:t xml:space="preserve"> such cash flow models consider factors such as expected future operating income, trends and prospects, as well as the effects of demand, competition and other factors. To the extent impairment has occurred, the carrying value of the property would be adju</w:t>
      </w:r>
      <w:r>
        <w:rPr>
          <w:sz w:val="20"/>
          <w:szCs w:val="20"/>
        </w:rPr>
        <w:t>sted to an amount to reflect the estimated fair value of the property. The Company does</w:t>
      </w:r>
      <w:r>
        <w:rPr>
          <w:sz w:val="20"/>
          <w:szCs w:val="20"/>
        </w:rPr>
        <w:t xml:space="preserve"> </w:t>
      </w:r>
      <w:r>
        <w:rPr>
          <w:rStyle w:val="a6"/>
          <w:i w:val="0"/>
          <w:iCs w:val="0"/>
          <w:sz w:val="20"/>
          <w:szCs w:val="20"/>
        </w:rPr>
        <w:t>not</w:t>
      </w:r>
      <w:r>
        <w:rPr>
          <w:sz w:val="20"/>
          <w:szCs w:val="20"/>
        </w:rPr>
        <w:t xml:space="preserve"> have access to the unobservable inputs used to determine the estimated fair values of</w:t>
      </w:r>
      <w:r>
        <w:rPr>
          <w:sz w:val="20"/>
          <w:szCs w:val="20"/>
        </w:rPr>
        <w:t xml:space="preserve"> </w:t>
      </w:r>
      <w:r>
        <w:rPr>
          <w:rStyle w:val="a6"/>
          <w:i w:val="0"/>
          <w:iCs w:val="0"/>
          <w:sz w:val="20"/>
          <w:szCs w:val="20"/>
        </w:rPr>
        <w:t>third</w:t>
      </w:r>
      <w:r>
        <w:rPr>
          <w:sz w:val="20"/>
          <w:szCs w:val="20"/>
        </w:rPr>
        <w:t xml:space="preserve"> party offers.</w:t>
      </w:r>
    </w:p>
    <w:p w14:paraId="6E9223A7" w14:textId="77777777" w:rsidR="00000000" w:rsidRDefault="0053651E">
      <w:pPr>
        <w:pStyle w:val="a3"/>
        <w:spacing w:before="0" w:beforeAutospacing="0" w:after="0" w:afterAutospacing="0"/>
        <w:ind w:left="360"/>
        <w:rPr>
          <w:sz w:val="20"/>
          <w:szCs w:val="20"/>
        </w:rPr>
      </w:pPr>
      <w:r>
        <w:rPr>
          <w:sz w:val="20"/>
          <w:szCs w:val="20"/>
        </w:rPr>
        <w:t> </w:t>
      </w:r>
    </w:p>
    <w:p w14:paraId="776EAFA2" w14:textId="77777777" w:rsidR="00000000" w:rsidRDefault="0053651E">
      <w:pPr>
        <w:jc w:val="center"/>
        <w:divId w:val="183178592"/>
        <w:rPr>
          <w:rFonts w:eastAsia="Times New Roman"/>
          <w:sz w:val="20"/>
          <w:szCs w:val="20"/>
        </w:rPr>
      </w:pPr>
      <w:r>
        <w:rPr>
          <w:rStyle w:val="a6"/>
          <w:rFonts w:eastAsia="Times New Roman"/>
          <w:i w:val="0"/>
          <w:iCs w:val="0"/>
          <w:sz w:val="20"/>
          <w:szCs w:val="20"/>
        </w:rPr>
        <w:t>50</w:t>
      </w:r>
      <w:r>
        <w:rPr>
          <w:rFonts w:eastAsia="Times New Roman"/>
          <w:sz w:val="20"/>
          <w:szCs w:val="20"/>
        </w:rPr>
        <w:t xml:space="preserve"> </w:t>
      </w:r>
    </w:p>
    <w:p w14:paraId="6C54D542" w14:textId="77777777" w:rsidR="00000000" w:rsidRDefault="0053651E">
      <w:pPr>
        <w:divId w:val="183178592"/>
        <w:rPr>
          <w:rFonts w:eastAsia="Times New Roman"/>
          <w:sz w:val="20"/>
          <w:szCs w:val="20"/>
        </w:rPr>
      </w:pPr>
      <w:r>
        <w:rPr>
          <w:rFonts w:eastAsia="Times New Roman"/>
          <w:sz w:val="20"/>
          <w:szCs w:val="20"/>
        </w:rPr>
        <w:pict w14:anchorId="1A67EDCF">
          <v:rect id="_x0000_i1081" style="width:415.3pt;height:1.5pt" o:hralign="center" o:hrstd="t" o:hrnoshade="t" o:hr="t" fillcolor="black" stroked="f"/>
        </w:pict>
      </w:r>
    </w:p>
    <w:p w14:paraId="0D86251D" w14:textId="77777777" w:rsidR="00000000" w:rsidRDefault="0053651E">
      <w:pPr>
        <w:divId w:val="1831785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E4A7ECF" w14:textId="77777777" w:rsidR="00000000" w:rsidRDefault="0053651E">
      <w:pPr>
        <w:pStyle w:val="a3"/>
        <w:spacing w:before="0" w:beforeAutospacing="0" w:after="0" w:afterAutospacing="0"/>
        <w:rPr>
          <w:sz w:val="20"/>
          <w:szCs w:val="20"/>
        </w:rPr>
      </w:pPr>
      <w:r>
        <w:rPr>
          <w:sz w:val="20"/>
          <w:szCs w:val="20"/>
        </w:rPr>
        <w:t> </w:t>
      </w:r>
    </w:p>
    <w:p w14:paraId="3AEFAAA9"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772D8C2" w14:textId="77777777" w:rsidR="00000000" w:rsidRDefault="0053651E">
      <w:pPr>
        <w:pStyle w:val="a3"/>
        <w:spacing w:before="0" w:beforeAutospacing="0" w:after="0" w:afterAutospacing="0"/>
        <w:jc w:val="center"/>
        <w:rPr>
          <w:sz w:val="20"/>
          <w:szCs w:val="20"/>
        </w:rPr>
      </w:pPr>
      <w:r>
        <w:rPr>
          <w:sz w:val="20"/>
          <w:szCs w:val="20"/>
        </w:rPr>
        <w:t> </w:t>
      </w:r>
    </w:p>
    <w:p w14:paraId="2BF24945"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08F197CA" w14:textId="77777777" w:rsidR="00000000" w:rsidRDefault="0053651E">
      <w:pPr>
        <w:pStyle w:val="a3"/>
        <w:spacing w:before="0" w:beforeAutospacing="0" w:after="0" w:afterAutospacing="0"/>
        <w:rPr>
          <w:sz w:val="20"/>
          <w:szCs w:val="20"/>
        </w:rPr>
      </w:pPr>
      <w:r>
        <w:rPr>
          <w:sz w:val="20"/>
          <w:szCs w:val="20"/>
        </w:rPr>
        <w:t> </w:t>
      </w:r>
    </w:p>
    <w:p w14:paraId="3758CAF1" w14:textId="77777777" w:rsidR="00000000" w:rsidRDefault="0053651E">
      <w:pPr>
        <w:pStyle w:val="a3"/>
        <w:spacing w:before="0" w:beforeAutospacing="0" w:after="0" w:afterAutospacing="0"/>
        <w:ind w:left="360"/>
        <w:rPr>
          <w:sz w:val="20"/>
          <w:szCs w:val="20"/>
        </w:rPr>
      </w:pPr>
      <w:r>
        <w:rPr>
          <w:sz w:val="20"/>
          <w:szCs w:val="20"/>
          <w:u w:val="single"/>
        </w:rPr>
        <w:t>Real Estate Under Development</w:t>
      </w:r>
    </w:p>
    <w:p w14:paraId="646E5FFB" w14:textId="77777777" w:rsidR="00000000" w:rsidRDefault="0053651E">
      <w:pPr>
        <w:pStyle w:val="a3"/>
        <w:spacing w:before="0" w:beforeAutospacing="0" w:after="0" w:afterAutospacing="0"/>
        <w:ind w:left="360"/>
        <w:rPr>
          <w:sz w:val="20"/>
          <w:szCs w:val="20"/>
        </w:rPr>
      </w:pPr>
      <w:r>
        <w:rPr>
          <w:sz w:val="20"/>
          <w:szCs w:val="20"/>
        </w:rPr>
        <w:t> </w:t>
      </w:r>
    </w:p>
    <w:p w14:paraId="7965179E" w14:textId="77777777" w:rsidR="00000000" w:rsidRDefault="0053651E">
      <w:pPr>
        <w:pStyle w:val="a3"/>
        <w:spacing w:before="0" w:beforeAutospacing="0" w:after="0" w:afterAutospacing="0"/>
        <w:ind w:left="360"/>
        <w:jc w:val="both"/>
        <w:rPr>
          <w:sz w:val="20"/>
          <w:szCs w:val="20"/>
        </w:rPr>
      </w:pPr>
      <w:r>
        <w:rPr>
          <w:sz w:val="20"/>
          <w:szCs w:val="20"/>
        </w:rPr>
        <w:t>Real esta</w:t>
      </w:r>
      <w:r>
        <w:rPr>
          <w:sz w:val="20"/>
          <w:szCs w:val="20"/>
        </w:rPr>
        <w:t>te under development represents the development of open-air shopping center projects, which</w:t>
      </w:r>
      <w:r>
        <w:rPr>
          <w:sz w:val="20"/>
          <w:szCs w:val="20"/>
        </w:rPr>
        <w:t xml:space="preserve"> </w:t>
      </w:r>
      <w:r>
        <w:rPr>
          <w:rStyle w:val="a6"/>
          <w:i w:val="0"/>
          <w:iCs w:val="0"/>
          <w:sz w:val="20"/>
          <w:szCs w:val="20"/>
        </w:rPr>
        <w:t xml:space="preserve">may </w:t>
      </w:r>
      <w:r>
        <w:rPr>
          <w:sz w:val="20"/>
          <w:szCs w:val="20"/>
        </w:rPr>
        <w:t>include residential and mixed-use components, that the Company plans to hold as long-term investments. These properties are carried at cost. The cost of land an</w:t>
      </w:r>
      <w:r>
        <w:rPr>
          <w:sz w:val="20"/>
          <w:szCs w:val="20"/>
        </w:rPr>
        <w:t>d buildings under development includes specifically identifiable costs. Capitalized costs include pre-construction costs essential to the development of the property, construction costs, interest costs, real estate taxes, insurance, legal costs, salaries a</w:t>
      </w:r>
      <w:r>
        <w:rPr>
          <w:sz w:val="20"/>
          <w:szCs w:val="20"/>
        </w:rPr>
        <w:t>nd related costs of personnel directly involved and other costs incurred during the period of development. The Company ceases cost capitalization when the property is held available for occupancy and placed into service. This usually occurs upon substantia</w:t>
      </w:r>
      <w:r>
        <w:rPr>
          <w:sz w:val="20"/>
          <w:szCs w:val="20"/>
        </w:rPr>
        <w:t>l completion of all development activity necessary to bring the property to the condition needed for its intended use, but</w:t>
      </w:r>
      <w:r>
        <w:rPr>
          <w:sz w:val="20"/>
          <w:szCs w:val="20"/>
        </w:rPr>
        <w:t xml:space="preserve"> </w:t>
      </w:r>
      <w:r>
        <w:rPr>
          <w:rStyle w:val="a6"/>
          <w:i w:val="0"/>
          <w:iCs w:val="0"/>
          <w:sz w:val="20"/>
          <w:szCs w:val="20"/>
        </w:rPr>
        <w:t>no</w:t>
      </w:r>
      <w:r>
        <w:rPr>
          <w:sz w:val="20"/>
          <w:szCs w:val="20"/>
        </w:rPr>
        <w:t xml:space="preserve"> later than</w:t>
      </w:r>
      <w:r>
        <w:rPr>
          <w:sz w:val="20"/>
          <w:szCs w:val="20"/>
        </w:rPr>
        <w:t xml:space="preserve"> </w:t>
      </w:r>
      <w:r>
        <w:rPr>
          <w:sz w:val="20"/>
          <w:szCs w:val="20"/>
        </w:rPr>
        <w:t>on</w:t>
      </w:r>
      <w:r>
        <w:rPr>
          <w:sz w:val="20"/>
          <w:szCs w:val="20"/>
        </w:rPr>
        <w:t>e</w:t>
      </w:r>
      <w:r>
        <w:rPr>
          <w:sz w:val="20"/>
          <w:szCs w:val="20"/>
        </w:rPr>
        <w:t xml:space="preserve"> year from the completion of major construction activity. However, the Company</w:t>
      </w:r>
      <w:r>
        <w:rPr>
          <w:sz w:val="20"/>
          <w:szCs w:val="20"/>
        </w:rPr>
        <w:t xml:space="preserve"> </w:t>
      </w:r>
      <w:r>
        <w:rPr>
          <w:rStyle w:val="a6"/>
          <w:i w:val="0"/>
          <w:iCs w:val="0"/>
          <w:sz w:val="20"/>
          <w:szCs w:val="20"/>
        </w:rPr>
        <w:t xml:space="preserve">may </w:t>
      </w:r>
      <w:r>
        <w:rPr>
          <w:sz w:val="20"/>
          <w:szCs w:val="20"/>
        </w:rPr>
        <w:t>continue to capitalize costs even</w:t>
      </w:r>
      <w:r>
        <w:rPr>
          <w:sz w:val="20"/>
          <w:szCs w:val="20"/>
        </w:rPr>
        <w:t xml:space="preserve"> though a project is substantially completed if construction is still ongoing at the site. If, in management’s opinion, the current and projected undiscounted cash flows of these assets to be held as long-term investments is less than the net carrying valu</w:t>
      </w:r>
      <w:r>
        <w:rPr>
          <w:sz w:val="20"/>
          <w:szCs w:val="20"/>
        </w:rPr>
        <w:t>e plus estimated costs to complete the development, the carrying value would be adjusted to an amount that reflects the estimated fair value of the property.</w:t>
      </w:r>
    </w:p>
    <w:p w14:paraId="3647F6C5" w14:textId="77777777" w:rsidR="00000000" w:rsidRDefault="0053651E">
      <w:pPr>
        <w:pStyle w:val="a3"/>
        <w:spacing w:before="0" w:beforeAutospacing="0" w:after="0" w:afterAutospacing="0"/>
        <w:ind w:left="360"/>
        <w:rPr>
          <w:sz w:val="20"/>
          <w:szCs w:val="20"/>
        </w:rPr>
      </w:pPr>
      <w:r>
        <w:rPr>
          <w:sz w:val="20"/>
          <w:szCs w:val="20"/>
        </w:rPr>
        <w:t> </w:t>
      </w:r>
    </w:p>
    <w:p w14:paraId="01D2AC7A" w14:textId="77777777" w:rsidR="00000000" w:rsidRDefault="0053651E">
      <w:pPr>
        <w:pStyle w:val="a3"/>
        <w:spacing w:before="0" w:beforeAutospacing="0" w:after="0" w:afterAutospacing="0"/>
        <w:ind w:left="360"/>
        <w:rPr>
          <w:sz w:val="20"/>
          <w:szCs w:val="20"/>
        </w:rPr>
      </w:pPr>
      <w:r>
        <w:rPr>
          <w:sz w:val="20"/>
          <w:szCs w:val="20"/>
          <w:u w:val="single"/>
        </w:rPr>
        <w:t>Investments in Unconsolidated Joint Ventures</w:t>
      </w:r>
    </w:p>
    <w:p w14:paraId="0A2F6DAF" w14:textId="77777777" w:rsidR="00000000" w:rsidRDefault="0053651E">
      <w:pPr>
        <w:pStyle w:val="a3"/>
        <w:spacing w:before="0" w:beforeAutospacing="0" w:after="0" w:afterAutospacing="0"/>
        <w:ind w:left="360"/>
        <w:rPr>
          <w:sz w:val="20"/>
          <w:szCs w:val="20"/>
        </w:rPr>
      </w:pPr>
      <w:r>
        <w:rPr>
          <w:sz w:val="20"/>
          <w:szCs w:val="20"/>
        </w:rPr>
        <w:t> </w:t>
      </w:r>
    </w:p>
    <w:p w14:paraId="588F903E" w14:textId="77777777" w:rsidR="00000000" w:rsidRDefault="0053651E">
      <w:pPr>
        <w:pStyle w:val="a3"/>
        <w:spacing w:before="0" w:beforeAutospacing="0" w:after="0" w:afterAutospacing="0"/>
        <w:ind w:left="360"/>
        <w:jc w:val="both"/>
        <w:rPr>
          <w:sz w:val="20"/>
          <w:szCs w:val="20"/>
        </w:rPr>
      </w:pPr>
      <w:r>
        <w:rPr>
          <w:sz w:val="20"/>
          <w:szCs w:val="20"/>
        </w:rPr>
        <w:t>The Company accounts for its investments in unconsolidated joint ventures under the equity method of accounting as the Company exercises significant influence but does</w:t>
      </w:r>
      <w:r>
        <w:rPr>
          <w:sz w:val="20"/>
          <w:szCs w:val="20"/>
        </w:rPr>
        <w:t xml:space="preserve"> </w:t>
      </w:r>
      <w:r>
        <w:rPr>
          <w:rStyle w:val="a6"/>
          <w:i w:val="0"/>
          <w:iCs w:val="0"/>
          <w:sz w:val="20"/>
          <w:szCs w:val="20"/>
        </w:rPr>
        <w:t>not</w:t>
      </w:r>
      <w:r>
        <w:rPr>
          <w:sz w:val="20"/>
          <w:szCs w:val="20"/>
        </w:rPr>
        <w:t xml:space="preserve"> control these entities. These investments are recorded initially at cost and subsequ</w:t>
      </w:r>
      <w:r>
        <w:rPr>
          <w:sz w:val="20"/>
          <w:szCs w:val="20"/>
        </w:rPr>
        <w:t>ently adjusted for cash contributions, distributions and our share of earnings and losses. Earnings or losses for each investment are recognized in accordance with each respective investment agreement and where applicable, based upon an allocation of the i</w:t>
      </w:r>
      <w:r>
        <w:rPr>
          <w:sz w:val="20"/>
          <w:szCs w:val="20"/>
        </w:rPr>
        <w:t>nvestment’s net assets at book value as if the investment was hypothetically liquidated at the end of each reporting period.</w:t>
      </w:r>
    </w:p>
    <w:p w14:paraId="169D77CD" w14:textId="77777777" w:rsidR="00000000" w:rsidRDefault="0053651E">
      <w:pPr>
        <w:pStyle w:val="a3"/>
        <w:spacing w:before="0" w:beforeAutospacing="0" w:after="0" w:afterAutospacing="0"/>
        <w:ind w:left="360"/>
        <w:jc w:val="both"/>
        <w:rPr>
          <w:sz w:val="20"/>
          <w:szCs w:val="20"/>
        </w:rPr>
      </w:pPr>
      <w:r>
        <w:rPr>
          <w:sz w:val="20"/>
          <w:szCs w:val="20"/>
        </w:rPr>
        <w:t> </w:t>
      </w:r>
    </w:p>
    <w:p w14:paraId="3209C37F" w14:textId="77777777" w:rsidR="00000000" w:rsidRDefault="0053651E">
      <w:pPr>
        <w:pStyle w:val="a3"/>
        <w:spacing w:before="0" w:beforeAutospacing="0" w:after="0" w:afterAutospacing="0"/>
        <w:ind w:left="360"/>
        <w:jc w:val="both"/>
        <w:rPr>
          <w:sz w:val="20"/>
          <w:szCs w:val="20"/>
        </w:rPr>
      </w:pPr>
      <w:r>
        <w:rPr>
          <w:sz w:val="20"/>
          <w:szCs w:val="20"/>
        </w:rPr>
        <w:t xml:space="preserve">The Company’s joint ventures primarily consist of co-investments with institutional and other joint venture partners in open-air </w:t>
      </w:r>
      <w:r>
        <w:rPr>
          <w:sz w:val="20"/>
          <w:szCs w:val="20"/>
        </w:rPr>
        <w:t>shopping center properties, consistent with its core business. These joint ventures typically obtain non-recourse</w:t>
      </w:r>
      <w:r>
        <w:rPr>
          <w:sz w:val="20"/>
          <w:szCs w:val="20"/>
        </w:rPr>
        <w:t xml:space="preserve"> </w:t>
      </w:r>
      <w:r>
        <w:rPr>
          <w:rStyle w:val="a6"/>
          <w:i w:val="0"/>
          <w:iCs w:val="0"/>
          <w:sz w:val="20"/>
          <w:szCs w:val="20"/>
        </w:rPr>
        <w:t>third</w:t>
      </w:r>
      <w:r>
        <w:rPr>
          <w:sz w:val="20"/>
          <w:szCs w:val="20"/>
        </w:rPr>
        <w:t>-party financing on their property investments, thus contractually limiting the Company’s exposure to losses primarily to the amount of i</w:t>
      </w:r>
      <w:r>
        <w:rPr>
          <w:sz w:val="20"/>
          <w:szCs w:val="20"/>
        </w:rPr>
        <w:t>ts equity investment; and due to the lender’s exposure to losses, a lender typically will require a minimum level of equity in order to mitigate its risk. The Company, on a limited selective basis, has obtained unsecured financing for certain joint venture</w:t>
      </w:r>
      <w:r>
        <w:rPr>
          <w:sz w:val="20"/>
          <w:szCs w:val="20"/>
        </w:rPr>
        <w:t>s. These unsecured financings</w:t>
      </w:r>
      <w:r>
        <w:rPr>
          <w:sz w:val="20"/>
          <w:szCs w:val="20"/>
        </w:rPr>
        <w:t xml:space="preserve"> </w:t>
      </w:r>
      <w:r>
        <w:rPr>
          <w:rStyle w:val="a6"/>
          <w:i w:val="0"/>
          <w:iCs w:val="0"/>
          <w:sz w:val="20"/>
          <w:szCs w:val="20"/>
        </w:rPr>
        <w:t xml:space="preserve">may </w:t>
      </w:r>
      <w:r>
        <w:rPr>
          <w:sz w:val="20"/>
          <w:szCs w:val="20"/>
        </w:rPr>
        <w:t>be guaranteed by the Company with guarantees from the joint venture partners for their proportionate amounts of any guaranty payment the Company is obligated to make. As of</w:t>
      </w:r>
      <w:r>
        <w:rPr>
          <w:sz w:val="20"/>
          <w:szCs w:val="20"/>
        </w:rPr>
        <w:t xml:space="preserve"> </w:t>
      </w:r>
      <w:r>
        <w:rPr>
          <w:rStyle w:val="a6"/>
          <w:i w:val="0"/>
          <w:iCs w:val="0"/>
          <w:sz w:val="20"/>
          <w:szCs w:val="20"/>
        </w:rPr>
        <w:t xml:space="preserve">December 31, 2019, </w:t>
      </w:r>
      <w:r>
        <w:rPr>
          <w:sz w:val="20"/>
          <w:szCs w:val="20"/>
        </w:rPr>
        <w:t>the Company did</w:t>
      </w:r>
      <w:r>
        <w:rPr>
          <w:sz w:val="20"/>
          <w:szCs w:val="20"/>
        </w:rPr>
        <w:t xml:space="preserve"> </w:t>
      </w:r>
      <w:r>
        <w:rPr>
          <w:rStyle w:val="a6"/>
          <w:i w:val="0"/>
          <w:iCs w:val="0"/>
          <w:sz w:val="20"/>
          <w:szCs w:val="20"/>
        </w:rPr>
        <w:t>not</w:t>
      </w:r>
      <w:r>
        <w:rPr>
          <w:sz w:val="20"/>
          <w:szCs w:val="20"/>
        </w:rPr>
        <w:t xml:space="preserve"> </w:t>
      </w:r>
      <w:r>
        <w:rPr>
          <w:sz w:val="20"/>
          <w:szCs w:val="20"/>
        </w:rPr>
        <w:t>guaranty any unsecured joint venture debt.</w:t>
      </w:r>
    </w:p>
    <w:p w14:paraId="3B9DB8AD" w14:textId="77777777" w:rsidR="00000000" w:rsidRDefault="0053651E">
      <w:pPr>
        <w:pStyle w:val="a3"/>
        <w:spacing w:before="0" w:beforeAutospacing="0" w:after="0" w:afterAutospacing="0"/>
        <w:ind w:left="360"/>
        <w:jc w:val="both"/>
        <w:rPr>
          <w:sz w:val="20"/>
          <w:szCs w:val="20"/>
        </w:rPr>
      </w:pPr>
      <w:r>
        <w:rPr>
          <w:sz w:val="20"/>
          <w:szCs w:val="20"/>
        </w:rPr>
        <w:t> </w:t>
      </w:r>
    </w:p>
    <w:p w14:paraId="2CC2A103" w14:textId="77777777" w:rsidR="00000000" w:rsidRDefault="0053651E">
      <w:pPr>
        <w:pStyle w:val="a3"/>
        <w:spacing w:before="0" w:beforeAutospacing="0" w:after="0" w:afterAutospacing="0"/>
        <w:ind w:left="360"/>
        <w:jc w:val="both"/>
        <w:rPr>
          <w:sz w:val="20"/>
          <w:szCs w:val="20"/>
        </w:rPr>
      </w:pPr>
      <w:r>
        <w:rPr>
          <w:sz w:val="20"/>
          <w:szCs w:val="20"/>
        </w:rPr>
        <w:t>To recognize the character of distributions from equity investees within its Consolidated Statements of Cash Flows, all distributions received are presumed to be returns on investment and classified as cash infl</w:t>
      </w:r>
      <w:r>
        <w:rPr>
          <w:sz w:val="20"/>
          <w:szCs w:val="20"/>
        </w:rPr>
        <w:t>ows from operating activities unless the Company’s cumulative distributions received less distributions received in prior periods that were determined to be returns of investment exceed its cumulative equity in earnings recognized by the investor (as adjus</w:t>
      </w:r>
      <w:r>
        <w:rPr>
          <w:sz w:val="20"/>
          <w:szCs w:val="20"/>
        </w:rPr>
        <w:t>ted for amortization of basis differences). When such an excess occurs, the current-period distribution up to this excess is considered a return of investment and classified as cash inflows from investing.</w:t>
      </w:r>
    </w:p>
    <w:p w14:paraId="41A7B39A" w14:textId="77777777" w:rsidR="00000000" w:rsidRDefault="0053651E">
      <w:pPr>
        <w:pStyle w:val="a3"/>
        <w:spacing w:before="0" w:beforeAutospacing="0" w:after="0" w:afterAutospacing="0"/>
        <w:ind w:left="360"/>
        <w:jc w:val="both"/>
        <w:rPr>
          <w:sz w:val="20"/>
          <w:szCs w:val="20"/>
        </w:rPr>
      </w:pPr>
      <w:r>
        <w:rPr>
          <w:sz w:val="20"/>
          <w:szCs w:val="20"/>
        </w:rPr>
        <w:t> </w:t>
      </w:r>
    </w:p>
    <w:p w14:paraId="59A1E7AC" w14:textId="77777777" w:rsidR="00000000" w:rsidRDefault="0053651E">
      <w:pPr>
        <w:pStyle w:val="a3"/>
        <w:spacing w:before="0" w:beforeAutospacing="0" w:after="0" w:afterAutospacing="0"/>
        <w:ind w:left="360"/>
        <w:jc w:val="both"/>
        <w:rPr>
          <w:sz w:val="20"/>
          <w:szCs w:val="20"/>
        </w:rPr>
      </w:pPr>
      <w:r>
        <w:rPr>
          <w:sz w:val="20"/>
          <w:szCs w:val="20"/>
        </w:rPr>
        <w:t>On a continuous basis, management assesses wheth</w:t>
      </w:r>
      <w:r>
        <w:rPr>
          <w:sz w:val="20"/>
          <w:szCs w:val="20"/>
        </w:rPr>
        <w:t>er there are any indicators, including the underlying investment property operating performance and general market conditions, that the value of the Company’s investments in unconsolidated joint ventures</w:t>
      </w:r>
      <w:r>
        <w:rPr>
          <w:sz w:val="20"/>
          <w:szCs w:val="20"/>
        </w:rPr>
        <w:t xml:space="preserve"> </w:t>
      </w:r>
      <w:r>
        <w:rPr>
          <w:rStyle w:val="a6"/>
          <w:i w:val="0"/>
          <w:iCs w:val="0"/>
          <w:sz w:val="20"/>
          <w:szCs w:val="20"/>
        </w:rPr>
        <w:t xml:space="preserve">may </w:t>
      </w:r>
      <w:r>
        <w:rPr>
          <w:sz w:val="20"/>
          <w:szCs w:val="20"/>
        </w:rPr>
        <w:t>be impaired. An investment’s value is impaired o</w:t>
      </w:r>
      <w:r>
        <w:rPr>
          <w:sz w:val="20"/>
          <w:szCs w:val="20"/>
        </w:rPr>
        <w:t xml:space="preserve">nly if management’s estimate of the fair value of the investment is less than the carrying value of the investment and such difference is deemed to be other-than-temporary. To the extent impairment has occurred, the loss shall be measured as the excess of </w:t>
      </w:r>
      <w:r>
        <w:rPr>
          <w:sz w:val="20"/>
          <w:szCs w:val="20"/>
        </w:rPr>
        <w:t>the carrying amount of the investment over the estimated fair value of the investment. Estimated fair values which are based on discounted cash flow models include all estimated cash inflows and outflows over a specified holding period, capitalization rate</w:t>
      </w:r>
      <w:r>
        <w:rPr>
          <w:sz w:val="20"/>
          <w:szCs w:val="20"/>
        </w:rPr>
        <w:t>s and discount rates utilized in these models are based upon unobservable rates that the Company believes to be within a reasonable range of current market rates.</w:t>
      </w:r>
    </w:p>
    <w:p w14:paraId="33418B53" w14:textId="77777777" w:rsidR="00000000" w:rsidRDefault="0053651E">
      <w:pPr>
        <w:pStyle w:val="a3"/>
        <w:spacing w:before="0" w:beforeAutospacing="0" w:after="0" w:afterAutospacing="0"/>
        <w:ind w:left="360"/>
        <w:jc w:val="both"/>
        <w:rPr>
          <w:sz w:val="20"/>
          <w:szCs w:val="20"/>
        </w:rPr>
      </w:pPr>
      <w:r>
        <w:rPr>
          <w:sz w:val="20"/>
          <w:szCs w:val="20"/>
        </w:rPr>
        <w:t> </w:t>
      </w:r>
    </w:p>
    <w:p w14:paraId="748AC0D2" w14:textId="77777777" w:rsidR="00000000" w:rsidRDefault="0053651E">
      <w:pPr>
        <w:pStyle w:val="a3"/>
        <w:spacing w:before="0" w:beforeAutospacing="0" w:after="0" w:afterAutospacing="0"/>
        <w:ind w:left="360"/>
        <w:jc w:val="both"/>
        <w:rPr>
          <w:sz w:val="20"/>
          <w:szCs w:val="20"/>
        </w:rPr>
      </w:pPr>
      <w:r>
        <w:rPr>
          <w:sz w:val="20"/>
          <w:szCs w:val="20"/>
        </w:rPr>
        <w:t>The Company’s estimated fair values are based upon a discounted cash flow model for each jo</w:t>
      </w:r>
      <w:r>
        <w:rPr>
          <w:sz w:val="20"/>
          <w:szCs w:val="20"/>
        </w:rPr>
        <w:t>int venture that includes all estimated cash inflows and outflows over a specified holding period. Capitalization rates, discount rates and credit spreads utilized in these models are based upon rates that the Company believes to be within a reasonable ran</w:t>
      </w:r>
      <w:r>
        <w:rPr>
          <w:sz w:val="20"/>
          <w:szCs w:val="20"/>
        </w:rPr>
        <w:t>ge of current market rates.</w:t>
      </w:r>
    </w:p>
    <w:p w14:paraId="0A14380C" w14:textId="77777777" w:rsidR="00000000" w:rsidRDefault="0053651E">
      <w:pPr>
        <w:pStyle w:val="a3"/>
        <w:spacing w:before="0" w:beforeAutospacing="0" w:after="0" w:afterAutospacing="0"/>
        <w:ind w:left="360"/>
        <w:jc w:val="both"/>
        <w:rPr>
          <w:sz w:val="20"/>
          <w:szCs w:val="20"/>
        </w:rPr>
      </w:pPr>
      <w:r>
        <w:rPr>
          <w:sz w:val="20"/>
          <w:szCs w:val="20"/>
        </w:rPr>
        <w:t> </w:t>
      </w:r>
    </w:p>
    <w:p w14:paraId="44B6CC4C" w14:textId="77777777" w:rsidR="00000000" w:rsidRDefault="0053651E">
      <w:pPr>
        <w:jc w:val="center"/>
        <w:divId w:val="204607594"/>
        <w:rPr>
          <w:rFonts w:eastAsia="Times New Roman"/>
          <w:sz w:val="20"/>
          <w:szCs w:val="20"/>
        </w:rPr>
      </w:pPr>
      <w:r>
        <w:rPr>
          <w:rStyle w:val="a6"/>
          <w:rFonts w:eastAsia="Times New Roman"/>
          <w:i w:val="0"/>
          <w:iCs w:val="0"/>
          <w:sz w:val="20"/>
          <w:szCs w:val="20"/>
        </w:rPr>
        <w:t>51</w:t>
      </w:r>
      <w:r>
        <w:rPr>
          <w:rFonts w:eastAsia="Times New Roman"/>
          <w:sz w:val="20"/>
          <w:szCs w:val="20"/>
        </w:rPr>
        <w:t xml:space="preserve"> </w:t>
      </w:r>
    </w:p>
    <w:p w14:paraId="33C85255" w14:textId="77777777" w:rsidR="00000000" w:rsidRDefault="0053651E">
      <w:pPr>
        <w:divId w:val="204607594"/>
        <w:rPr>
          <w:rFonts w:eastAsia="Times New Roman"/>
          <w:sz w:val="20"/>
          <w:szCs w:val="20"/>
        </w:rPr>
      </w:pPr>
      <w:r>
        <w:rPr>
          <w:rFonts w:eastAsia="Times New Roman"/>
          <w:sz w:val="20"/>
          <w:szCs w:val="20"/>
        </w:rPr>
        <w:pict w14:anchorId="201AE6CF">
          <v:rect id="_x0000_i1082" style="width:415.3pt;height:1.5pt" o:hralign="center" o:hrstd="t" o:hrnoshade="t" o:hr="t" fillcolor="black" stroked="f"/>
        </w:pict>
      </w:r>
    </w:p>
    <w:p w14:paraId="270B4EBD" w14:textId="77777777" w:rsidR="00000000" w:rsidRDefault="0053651E">
      <w:pPr>
        <w:divId w:val="2046075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7D8638D" w14:textId="77777777" w:rsidR="00000000" w:rsidRDefault="0053651E">
      <w:pPr>
        <w:pStyle w:val="a3"/>
        <w:spacing w:before="0" w:beforeAutospacing="0" w:after="0" w:afterAutospacing="0"/>
        <w:rPr>
          <w:sz w:val="20"/>
          <w:szCs w:val="20"/>
        </w:rPr>
      </w:pPr>
      <w:r>
        <w:rPr>
          <w:sz w:val="20"/>
          <w:szCs w:val="20"/>
        </w:rPr>
        <w:t> </w:t>
      </w:r>
    </w:p>
    <w:p w14:paraId="43700F95"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D12AE9B" w14:textId="77777777" w:rsidR="00000000" w:rsidRDefault="0053651E">
      <w:pPr>
        <w:pStyle w:val="a3"/>
        <w:spacing w:before="0" w:beforeAutospacing="0" w:after="0" w:afterAutospacing="0"/>
        <w:jc w:val="center"/>
        <w:rPr>
          <w:sz w:val="20"/>
          <w:szCs w:val="20"/>
        </w:rPr>
      </w:pPr>
      <w:r>
        <w:rPr>
          <w:sz w:val="20"/>
          <w:szCs w:val="20"/>
        </w:rPr>
        <w:t> </w:t>
      </w:r>
    </w:p>
    <w:p w14:paraId="10C1443B"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61634FB1" w14:textId="77777777" w:rsidR="00000000" w:rsidRDefault="0053651E">
      <w:pPr>
        <w:pStyle w:val="a3"/>
        <w:spacing w:before="0" w:beforeAutospacing="0" w:after="0" w:afterAutospacing="0"/>
        <w:rPr>
          <w:sz w:val="20"/>
          <w:szCs w:val="20"/>
        </w:rPr>
      </w:pPr>
      <w:r>
        <w:rPr>
          <w:sz w:val="20"/>
          <w:szCs w:val="20"/>
        </w:rPr>
        <w:t> </w:t>
      </w:r>
    </w:p>
    <w:p w14:paraId="39F52559" w14:textId="77777777" w:rsidR="00000000" w:rsidRDefault="0053651E">
      <w:pPr>
        <w:pStyle w:val="a3"/>
        <w:spacing w:before="0" w:beforeAutospacing="0" w:after="0" w:afterAutospacing="0"/>
        <w:ind w:left="360"/>
        <w:rPr>
          <w:sz w:val="20"/>
          <w:szCs w:val="20"/>
        </w:rPr>
      </w:pPr>
      <w:r>
        <w:rPr>
          <w:sz w:val="20"/>
          <w:szCs w:val="20"/>
          <w:u w:val="single"/>
        </w:rPr>
        <w:t>Other Real Estate Investments and Other Assets</w:t>
      </w:r>
    </w:p>
    <w:p w14:paraId="0CA69E54" w14:textId="77777777" w:rsidR="00000000" w:rsidRDefault="0053651E">
      <w:pPr>
        <w:pStyle w:val="a3"/>
        <w:spacing w:before="0" w:beforeAutospacing="0" w:after="0" w:afterAutospacing="0"/>
        <w:jc w:val="both"/>
        <w:rPr>
          <w:sz w:val="20"/>
          <w:szCs w:val="20"/>
        </w:rPr>
      </w:pPr>
      <w:r>
        <w:rPr>
          <w:sz w:val="20"/>
          <w:szCs w:val="20"/>
        </w:rPr>
        <w:t> </w:t>
      </w:r>
    </w:p>
    <w:p w14:paraId="6F14AB91" w14:textId="77777777" w:rsidR="00000000" w:rsidRDefault="0053651E">
      <w:pPr>
        <w:pStyle w:val="a3"/>
        <w:spacing w:before="0" w:beforeAutospacing="0" w:after="0" w:afterAutospacing="0"/>
        <w:ind w:left="360"/>
        <w:jc w:val="both"/>
        <w:rPr>
          <w:sz w:val="20"/>
          <w:szCs w:val="20"/>
        </w:rPr>
      </w:pPr>
      <w:r>
        <w:rPr>
          <w:sz w:val="20"/>
          <w:szCs w:val="20"/>
        </w:rPr>
        <w:t>Other real estate investments primarily consist of preferred equity investments for which the Company provides capital to owners and developers of real estate. The Company typically accounts for its preferred equity investments on the equity method of acco</w:t>
      </w:r>
      <w:r>
        <w:rPr>
          <w:sz w:val="20"/>
          <w:szCs w:val="20"/>
        </w:rPr>
        <w:t>unting, whereby earnings for each investment are recognized in accordance with each respective investment agreement and based upon an allocation of the investment’s net assets at book value as if the investment was hypothetically liquidated at the end of e</w:t>
      </w:r>
      <w:r>
        <w:rPr>
          <w:sz w:val="20"/>
          <w:szCs w:val="20"/>
        </w:rPr>
        <w:t>ach reporting period.</w:t>
      </w:r>
    </w:p>
    <w:p w14:paraId="0706DC94" w14:textId="77777777" w:rsidR="00000000" w:rsidRDefault="0053651E">
      <w:pPr>
        <w:pStyle w:val="a3"/>
        <w:spacing w:before="0" w:beforeAutospacing="0" w:after="0" w:afterAutospacing="0"/>
        <w:ind w:left="360"/>
        <w:jc w:val="both"/>
        <w:rPr>
          <w:sz w:val="20"/>
          <w:szCs w:val="20"/>
        </w:rPr>
      </w:pPr>
      <w:r>
        <w:rPr>
          <w:sz w:val="20"/>
          <w:szCs w:val="20"/>
        </w:rPr>
        <w:t> </w:t>
      </w:r>
    </w:p>
    <w:p w14:paraId="2D48D9D5" w14:textId="77777777" w:rsidR="00000000" w:rsidRDefault="0053651E">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 general market conditions, that the value of the Company’s Other real estate investm</w:t>
      </w:r>
      <w:r>
        <w:rPr>
          <w:sz w:val="20"/>
          <w:szCs w:val="20"/>
        </w:rPr>
        <w:t>ents</w:t>
      </w:r>
      <w:r>
        <w:rPr>
          <w:sz w:val="20"/>
          <w:szCs w:val="20"/>
        </w:rPr>
        <w:t xml:space="preserve"> </w:t>
      </w:r>
      <w:r>
        <w:rPr>
          <w:rStyle w:val="a6"/>
          <w:i w:val="0"/>
          <w:iCs w:val="0"/>
          <w:sz w:val="20"/>
          <w:szCs w:val="20"/>
        </w:rPr>
        <w:t xml:space="preserve">may </w:t>
      </w:r>
      <w:r>
        <w:rPr>
          <w:sz w:val="20"/>
          <w:szCs w:val="20"/>
        </w:rPr>
        <w:t>be impaired. An investment’s value is impaired only if management’s estimate of the fair value of the investment is less than the carrying value of the investment and such difference is deemed to be other-than-temporary. To the extent impairment h</w:t>
      </w:r>
      <w:r>
        <w:rPr>
          <w:sz w:val="20"/>
          <w:szCs w:val="20"/>
        </w:rPr>
        <w:t>as occurred, the loss shall be measured as the excess of the carrying amount of the investment over the estimated fair value of the investment.</w:t>
      </w:r>
    </w:p>
    <w:p w14:paraId="5ED97F78" w14:textId="77777777" w:rsidR="00000000" w:rsidRDefault="0053651E">
      <w:pPr>
        <w:pStyle w:val="a3"/>
        <w:spacing w:before="0" w:beforeAutospacing="0" w:after="0" w:afterAutospacing="0"/>
        <w:ind w:left="360"/>
        <w:jc w:val="both"/>
        <w:rPr>
          <w:sz w:val="20"/>
          <w:szCs w:val="20"/>
        </w:rPr>
      </w:pPr>
      <w:r>
        <w:rPr>
          <w:sz w:val="20"/>
          <w:szCs w:val="20"/>
        </w:rPr>
        <w:t> </w:t>
      </w:r>
    </w:p>
    <w:p w14:paraId="58FBF62F" w14:textId="77777777" w:rsidR="00000000" w:rsidRDefault="0053651E">
      <w:pPr>
        <w:pStyle w:val="a3"/>
        <w:spacing w:before="0" w:beforeAutospacing="0" w:after="0" w:afterAutospacing="0"/>
        <w:ind w:left="360"/>
        <w:jc w:val="both"/>
        <w:rPr>
          <w:sz w:val="20"/>
          <w:szCs w:val="20"/>
        </w:rPr>
      </w:pPr>
      <w:r>
        <w:rPr>
          <w:sz w:val="20"/>
          <w:szCs w:val="20"/>
        </w:rPr>
        <w:t>The Company’s estimated fair values are based upon a discounted cash flow model for each investment that inclu</w:t>
      </w:r>
      <w:r>
        <w:rPr>
          <w:sz w:val="20"/>
          <w:szCs w:val="20"/>
        </w:rPr>
        <w:t xml:space="preserve">des all estimated cash inflows and outflows over a specified holding period and, where applicable, any estimated debt premiums. Capitalization rates, discount rates and credit spreads utilized in these models are based upon rates that the Company believes </w:t>
      </w:r>
      <w:r>
        <w:rPr>
          <w:sz w:val="20"/>
          <w:szCs w:val="20"/>
        </w:rPr>
        <w:t>to be within a reasonable range of current market rates.</w:t>
      </w:r>
    </w:p>
    <w:p w14:paraId="55204FE0" w14:textId="77777777" w:rsidR="00000000" w:rsidRDefault="0053651E">
      <w:pPr>
        <w:pStyle w:val="a3"/>
        <w:spacing w:before="0" w:beforeAutospacing="0" w:after="0" w:afterAutospacing="0"/>
        <w:ind w:left="360"/>
        <w:jc w:val="both"/>
        <w:rPr>
          <w:sz w:val="20"/>
          <w:szCs w:val="20"/>
        </w:rPr>
      </w:pPr>
      <w:r>
        <w:rPr>
          <w:sz w:val="20"/>
          <w:szCs w:val="20"/>
        </w:rPr>
        <w:t> </w:t>
      </w:r>
    </w:p>
    <w:p w14:paraId="53A5264E" w14:textId="77777777" w:rsidR="00000000" w:rsidRDefault="0053651E">
      <w:pPr>
        <w:pStyle w:val="a3"/>
        <w:spacing w:before="0" w:beforeAutospacing="0" w:after="0" w:afterAutospacing="0"/>
        <w:ind w:left="360"/>
        <w:jc w:val="both"/>
        <w:rPr>
          <w:sz w:val="20"/>
          <w:szCs w:val="20"/>
        </w:rPr>
      </w:pPr>
      <w:r>
        <w:rPr>
          <w:sz w:val="20"/>
          <w:szCs w:val="20"/>
        </w:rPr>
        <w:t xml:space="preserve">Other assets include investments for which the Company applies the cost method of accounting. The Company recognizes as income distributions from net accumulated earnings of the investee since the </w:t>
      </w:r>
      <w:r>
        <w:rPr>
          <w:sz w:val="20"/>
          <w:szCs w:val="20"/>
        </w:rPr>
        <w:t>date of acquisition. The net accumulated earnings of an investee subsequent to the date of investment are recognized by the Company only to the extent distributed by the investee. Distributions received in excess of earnings subsequent to the date of inves</w:t>
      </w:r>
      <w:r>
        <w:rPr>
          <w:sz w:val="20"/>
          <w:szCs w:val="20"/>
        </w:rPr>
        <w:t>tment are considered a return of investment and are recorded as reductions of cost of the investment. For the periods presented, there have been</w:t>
      </w:r>
      <w:r>
        <w:rPr>
          <w:sz w:val="20"/>
          <w:szCs w:val="20"/>
        </w:rPr>
        <w:t xml:space="preserve"> </w:t>
      </w:r>
      <w:r>
        <w:rPr>
          <w:rStyle w:val="a6"/>
          <w:i w:val="0"/>
          <w:iCs w:val="0"/>
          <w:sz w:val="20"/>
          <w:szCs w:val="20"/>
        </w:rPr>
        <w:t>no</w:t>
      </w:r>
      <w:r>
        <w:rPr>
          <w:sz w:val="20"/>
          <w:szCs w:val="20"/>
        </w:rPr>
        <w:t xml:space="preserve"> events or changes in circumstances that</w:t>
      </w:r>
      <w:r>
        <w:rPr>
          <w:sz w:val="20"/>
          <w:szCs w:val="20"/>
        </w:rPr>
        <w:t xml:space="preserve"> </w:t>
      </w:r>
      <w:r>
        <w:rPr>
          <w:rStyle w:val="a6"/>
          <w:i w:val="0"/>
          <w:iCs w:val="0"/>
          <w:sz w:val="20"/>
          <w:szCs w:val="20"/>
        </w:rPr>
        <w:t xml:space="preserve">may </w:t>
      </w:r>
      <w:r>
        <w:rPr>
          <w:sz w:val="20"/>
          <w:szCs w:val="20"/>
        </w:rPr>
        <w:t>have a significant adverse effect on the fair value of the Compa</w:t>
      </w:r>
      <w:r>
        <w:rPr>
          <w:sz w:val="20"/>
          <w:szCs w:val="20"/>
        </w:rPr>
        <w:t>ny's cost-method investments. Other assets include the Company’s investment in Albertsons Companies, Inc. an owner/operator of grocery stores. The Company accounts for this investment under the cost method of accounting, as it does</w:t>
      </w:r>
      <w:r>
        <w:rPr>
          <w:sz w:val="20"/>
          <w:szCs w:val="20"/>
        </w:rPr>
        <w:t xml:space="preserve"> </w:t>
      </w:r>
      <w:r>
        <w:rPr>
          <w:rStyle w:val="a6"/>
          <w:i w:val="0"/>
          <w:iCs w:val="0"/>
          <w:sz w:val="20"/>
          <w:szCs w:val="20"/>
        </w:rPr>
        <w:t>not</w:t>
      </w:r>
      <w:r>
        <w:rPr>
          <w:sz w:val="20"/>
          <w:szCs w:val="20"/>
        </w:rPr>
        <w:t xml:space="preserve"> have significant inf</w:t>
      </w:r>
      <w:r>
        <w:rPr>
          <w:sz w:val="20"/>
          <w:szCs w:val="20"/>
        </w:rPr>
        <w:t>luence over this investment (See Footnote</w:t>
      </w:r>
      <w:r>
        <w:rPr>
          <w:sz w:val="20"/>
          <w:szCs w:val="20"/>
        </w:rPr>
        <w:t xml:space="preserve"> </w:t>
      </w:r>
      <w:r>
        <w:rPr>
          <w:rStyle w:val="a6"/>
          <w:i w:val="0"/>
          <w:iCs w:val="0"/>
          <w:sz w:val="20"/>
          <w:szCs w:val="20"/>
        </w:rPr>
        <w:t>11</w:t>
      </w:r>
      <w:r>
        <w:rPr>
          <w:sz w:val="20"/>
          <w:szCs w:val="20"/>
        </w:rPr>
        <w:t> of the Notes to the Consolidated Financial Statements).</w:t>
      </w:r>
    </w:p>
    <w:p w14:paraId="01BB67B0" w14:textId="77777777" w:rsidR="00000000" w:rsidRDefault="0053651E">
      <w:pPr>
        <w:pStyle w:val="a3"/>
        <w:spacing w:before="0" w:beforeAutospacing="0" w:after="0" w:afterAutospacing="0"/>
        <w:ind w:left="360"/>
        <w:rPr>
          <w:sz w:val="20"/>
          <w:szCs w:val="20"/>
        </w:rPr>
      </w:pPr>
      <w:r>
        <w:rPr>
          <w:sz w:val="20"/>
          <w:szCs w:val="20"/>
        </w:rPr>
        <w:t> </w:t>
      </w:r>
    </w:p>
    <w:p w14:paraId="0D858D41" w14:textId="77777777" w:rsidR="00000000" w:rsidRDefault="0053651E">
      <w:pPr>
        <w:pStyle w:val="a3"/>
        <w:spacing w:before="0" w:beforeAutospacing="0" w:after="0" w:afterAutospacing="0"/>
        <w:ind w:left="144" w:right="144"/>
        <w:rPr>
          <w:sz w:val="20"/>
          <w:szCs w:val="20"/>
        </w:rPr>
      </w:pPr>
      <w:r>
        <w:rPr>
          <w:sz w:val="20"/>
          <w:szCs w:val="20"/>
        </w:rPr>
        <w:t xml:space="preserve">  </w:t>
      </w:r>
    </w:p>
    <w:p w14:paraId="5788A093" w14:textId="77777777" w:rsidR="00000000" w:rsidRDefault="0053651E">
      <w:pPr>
        <w:pStyle w:val="a3"/>
        <w:spacing w:before="0" w:beforeAutospacing="0" w:after="0" w:afterAutospacing="0"/>
        <w:ind w:left="144" w:right="144"/>
        <w:rPr>
          <w:sz w:val="20"/>
          <w:szCs w:val="20"/>
        </w:rPr>
      </w:pPr>
      <w:r>
        <w:rPr>
          <w:sz w:val="20"/>
          <w:szCs w:val="20"/>
        </w:rPr>
        <w:t xml:space="preserve">  </w:t>
      </w:r>
      <w:r>
        <w:rPr>
          <w:sz w:val="20"/>
          <w:szCs w:val="20"/>
          <w:u w:val="single"/>
        </w:rPr>
        <w:t>Cash and Cash Equivalents</w:t>
      </w:r>
    </w:p>
    <w:p w14:paraId="2F850D75" w14:textId="77777777" w:rsidR="00000000" w:rsidRDefault="0053651E">
      <w:pPr>
        <w:pStyle w:val="a3"/>
        <w:spacing w:before="0" w:beforeAutospacing="0" w:after="0" w:afterAutospacing="0"/>
        <w:ind w:left="144" w:right="144"/>
        <w:rPr>
          <w:sz w:val="20"/>
          <w:szCs w:val="20"/>
        </w:rPr>
      </w:pPr>
      <w:r>
        <w:rPr>
          <w:sz w:val="20"/>
          <w:szCs w:val="20"/>
        </w:rPr>
        <w:t> </w:t>
      </w:r>
    </w:p>
    <w:p w14:paraId="1E62041E" w14:textId="77777777" w:rsidR="00000000" w:rsidRDefault="0053651E">
      <w:pPr>
        <w:pStyle w:val="a3"/>
        <w:spacing w:before="0" w:beforeAutospacing="0" w:after="0" w:afterAutospacing="0"/>
        <w:ind w:left="360"/>
        <w:jc w:val="both"/>
        <w:rPr>
          <w:sz w:val="20"/>
          <w:szCs w:val="20"/>
        </w:rPr>
      </w:pPr>
      <w:r>
        <w:rPr>
          <w:sz w:val="20"/>
          <w:szCs w:val="20"/>
        </w:rPr>
        <w:t>Cash and cash equivalents include demand deposits in banks, commercial paper and certificates of deposit with original m</w:t>
      </w:r>
      <w:r>
        <w:rPr>
          <w:sz w:val="20"/>
          <w:szCs w:val="20"/>
        </w:rPr>
        <w:t>aturities of</w:t>
      </w:r>
      <w:r>
        <w:rPr>
          <w:sz w:val="20"/>
          <w:szCs w:val="20"/>
        </w:rPr>
        <w:t xml:space="preserve"> </w:t>
      </w:r>
      <w:r>
        <w:rPr>
          <w:rStyle w:val="a6"/>
          <w:i w:val="0"/>
          <w:iCs w:val="0"/>
          <w:sz w:val="20"/>
          <w:szCs w:val="20"/>
        </w:rPr>
        <w:t>three</w:t>
      </w:r>
      <w:r>
        <w:rPr>
          <w:sz w:val="20"/>
          <w:szCs w:val="20"/>
        </w:rPr>
        <w:t xml:space="preserve"> months or less.  Cash and cash equivalent balances</w:t>
      </w:r>
      <w:r>
        <w:rPr>
          <w:sz w:val="20"/>
          <w:szCs w:val="20"/>
        </w:rPr>
        <w:t xml:space="preserve"> </w:t>
      </w:r>
      <w:r>
        <w:rPr>
          <w:rStyle w:val="a6"/>
          <w:i w:val="0"/>
          <w:iCs w:val="0"/>
          <w:sz w:val="20"/>
          <w:szCs w:val="20"/>
        </w:rPr>
        <w:t xml:space="preserve">may, </w:t>
      </w:r>
      <w:r>
        <w:rPr>
          <w:sz w:val="20"/>
          <w:szCs w:val="20"/>
        </w:rPr>
        <w:t>at a limited number of banks and financial institutions, exceed insurable amounts.  The Company believes it mitigates risk by investing in or through major financial institutions an</w:t>
      </w:r>
      <w:r>
        <w:rPr>
          <w:sz w:val="20"/>
          <w:szCs w:val="20"/>
        </w:rPr>
        <w:t>d primarily in funds that are currently U.S. federal government insured up to applicable account limits.  Recoverability of investments is dependent upon the performance of the issuers.</w:t>
      </w:r>
    </w:p>
    <w:p w14:paraId="3144B8BC" w14:textId="77777777" w:rsidR="00000000" w:rsidRDefault="0053651E">
      <w:pPr>
        <w:pStyle w:val="a3"/>
        <w:spacing w:before="0" w:beforeAutospacing="0" w:after="0" w:afterAutospacing="0"/>
        <w:ind w:left="360"/>
        <w:rPr>
          <w:sz w:val="20"/>
          <w:szCs w:val="20"/>
        </w:rPr>
      </w:pPr>
      <w:r>
        <w:rPr>
          <w:sz w:val="20"/>
          <w:szCs w:val="20"/>
        </w:rPr>
        <w:t> </w:t>
      </w:r>
    </w:p>
    <w:p w14:paraId="346FC2DD" w14:textId="77777777" w:rsidR="00000000" w:rsidRDefault="0053651E">
      <w:pPr>
        <w:pStyle w:val="a3"/>
        <w:spacing w:before="0" w:beforeAutospacing="0" w:after="0" w:afterAutospacing="0"/>
        <w:ind w:left="360"/>
        <w:rPr>
          <w:sz w:val="20"/>
          <w:szCs w:val="20"/>
        </w:rPr>
      </w:pPr>
      <w:r>
        <w:rPr>
          <w:sz w:val="20"/>
          <w:szCs w:val="20"/>
          <w:u w:val="single"/>
        </w:rPr>
        <w:t>Mortgages and Other Financing Receivables</w:t>
      </w:r>
    </w:p>
    <w:p w14:paraId="3E936576" w14:textId="77777777" w:rsidR="00000000" w:rsidRDefault="0053651E">
      <w:pPr>
        <w:pStyle w:val="a3"/>
        <w:spacing w:before="0" w:beforeAutospacing="0" w:after="0" w:afterAutospacing="0"/>
        <w:ind w:left="360"/>
        <w:rPr>
          <w:sz w:val="20"/>
          <w:szCs w:val="20"/>
        </w:rPr>
      </w:pPr>
      <w:r>
        <w:rPr>
          <w:sz w:val="20"/>
          <w:szCs w:val="20"/>
        </w:rPr>
        <w:t> </w:t>
      </w:r>
    </w:p>
    <w:p w14:paraId="37A83D27" w14:textId="77777777" w:rsidR="00000000" w:rsidRDefault="0053651E">
      <w:pPr>
        <w:pStyle w:val="a3"/>
        <w:spacing w:before="0" w:beforeAutospacing="0" w:after="0" w:afterAutospacing="0"/>
        <w:ind w:left="360"/>
        <w:jc w:val="both"/>
        <w:rPr>
          <w:sz w:val="20"/>
          <w:szCs w:val="20"/>
        </w:rPr>
      </w:pPr>
      <w:r>
        <w:rPr>
          <w:sz w:val="20"/>
          <w:szCs w:val="20"/>
        </w:rPr>
        <w:t>Mortgages and other fina</w:t>
      </w:r>
      <w:r>
        <w:rPr>
          <w:sz w:val="20"/>
          <w:szCs w:val="20"/>
        </w:rPr>
        <w:t>ncing receivables consist of loans acquired and loans originated by the Company. Borrowers of these loans are primarily experienced owners, operators or developers of commercial real estate. The Company’s loans are primarily mortgage loans that are collate</w:t>
      </w:r>
      <w:r>
        <w:rPr>
          <w:sz w:val="20"/>
          <w:szCs w:val="20"/>
        </w:rPr>
        <w:t xml:space="preserve">ralized by real estate. Mortgages and other financing receivables are recorded at stated principal amounts, net of any discount or premium or deferred loan origination costs or fees. The related discounts or premiums on mortgages and other loans purchased </w:t>
      </w:r>
      <w:r>
        <w:rPr>
          <w:sz w:val="20"/>
          <w:szCs w:val="20"/>
        </w:rPr>
        <w:t>are amortized or accreted over the life of the related loan receivable. The Company defers certain loan origination and commitment fees, net of certain origination costs and amortizes them as an adjustment of the loan’s yield over the term of the related l</w:t>
      </w:r>
      <w:r>
        <w:rPr>
          <w:sz w:val="20"/>
          <w:szCs w:val="20"/>
        </w:rPr>
        <w:t>oan. On a quarterly basis, the Company reviews credit quality indicators such as (i) payment status to identify performing versus non-performing loans, (ii) changes affecting the underlying real estate collateral and (iii) national and regional economic fa</w:t>
      </w:r>
      <w:r>
        <w:rPr>
          <w:sz w:val="20"/>
          <w:szCs w:val="20"/>
        </w:rPr>
        <w:t>ctors.</w:t>
      </w:r>
    </w:p>
    <w:p w14:paraId="4C3EE07A" w14:textId="77777777" w:rsidR="00000000" w:rsidRDefault="0053651E">
      <w:pPr>
        <w:pStyle w:val="a3"/>
        <w:spacing w:before="0" w:beforeAutospacing="0" w:after="0" w:afterAutospacing="0"/>
        <w:ind w:left="360"/>
        <w:jc w:val="both"/>
        <w:rPr>
          <w:sz w:val="20"/>
          <w:szCs w:val="20"/>
        </w:rPr>
      </w:pPr>
      <w:r>
        <w:rPr>
          <w:sz w:val="20"/>
          <w:szCs w:val="20"/>
        </w:rPr>
        <w:t> </w:t>
      </w:r>
    </w:p>
    <w:p w14:paraId="233683F6" w14:textId="77777777" w:rsidR="00000000" w:rsidRDefault="0053651E">
      <w:pPr>
        <w:pStyle w:val="a3"/>
        <w:spacing w:before="0" w:beforeAutospacing="0" w:after="0" w:afterAutospacing="0"/>
        <w:ind w:left="360"/>
        <w:jc w:val="both"/>
        <w:rPr>
          <w:sz w:val="20"/>
          <w:szCs w:val="20"/>
        </w:rPr>
      </w:pPr>
      <w:r>
        <w:rPr>
          <w:sz w:val="20"/>
          <w:szCs w:val="20"/>
        </w:rPr>
        <w:t>Interest income on performing loans is accrued as earned. A non-performing loan is placed on non-accrual status when it is probable that the borrower</w:t>
      </w:r>
      <w:r>
        <w:rPr>
          <w:sz w:val="20"/>
          <w:szCs w:val="20"/>
        </w:rPr>
        <w:t xml:space="preserve"> </w:t>
      </w:r>
      <w:r>
        <w:rPr>
          <w:rStyle w:val="a6"/>
          <w:i w:val="0"/>
          <w:iCs w:val="0"/>
          <w:sz w:val="20"/>
          <w:szCs w:val="20"/>
        </w:rPr>
        <w:t xml:space="preserve">may </w:t>
      </w:r>
      <w:r>
        <w:rPr>
          <w:sz w:val="20"/>
          <w:szCs w:val="20"/>
        </w:rPr>
        <w:t>be unable to meet interest payments as they become due. Generally, loans 90 days or more past</w:t>
      </w:r>
      <w:r>
        <w:rPr>
          <w:sz w:val="20"/>
          <w:szCs w:val="20"/>
        </w:rPr>
        <w:t xml:space="preserve"> due are placed on non-accrual status unless there is sufficient collateral to assure collectability of principal and interest. Upon the designation of non-accrual status, all unpaid accrued interest is reserved and charged against current income. Interest</w:t>
      </w:r>
      <w:r>
        <w:rPr>
          <w:sz w:val="20"/>
          <w:szCs w:val="20"/>
        </w:rPr>
        <w:t xml:space="preserve"> income on non-performing loans is generally recognized on a cash basis. Recognition of interest income on non-performing loans on an accrual basis is resumed when it is probable that the Company will be able to collect amounts due according to the contrac</w:t>
      </w:r>
      <w:r>
        <w:rPr>
          <w:sz w:val="20"/>
          <w:szCs w:val="20"/>
        </w:rPr>
        <w:t>tual terms.</w:t>
      </w:r>
    </w:p>
    <w:p w14:paraId="7D712D76" w14:textId="77777777" w:rsidR="00000000" w:rsidRDefault="0053651E">
      <w:pPr>
        <w:pStyle w:val="a3"/>
        <w:spacing w:before="0" w:beforeAutospacing="0" w:after="0" w:afterAutospacing="0"/>
        <w:ind w:left="360"/>
        <w:jc w:val="both"/>
        <w:rPr>
          <w:sz w:val="20"/>
          <w:szCs w:val="20"/>
        </w:rPr>
      </w:pPr>
      <w:r>
        <w:rPr>
          <w:sz w:val="20"/>
          <w:szCs w:val="20"/>
        </w:rPr>
        <w:t> </w:t>
      </w:r>
    </w:p>
    <w:p w14:paraId="79E9F170" w14:textId="77777777" w:rsidR="00000000" w:rsidRDefault="0053651E">
      <w:pPr>
        <w:pStyle w:val="a3"/>
        <w:spacing w:before="0" w:beforeAutospacing="0" w:after="0" w:afterAutospacing="0"/>
        <w:ind w:left="360"/>
        <w:jc w:val="both"/>
        <w:rPr>
          <w:sz w:val="20"/>
          <w:szCs w:val="20"/>
        </w:rPr>
      </w:pPr>
      <w:r>
        <w:rPr>
          <w:sz w:val="20"/>
          <w:szCs w:val="20"/>
        </w:rPr>
        <w:t>The Company has determined that it has one portfolio segment, primarily represented by loans collateralized by real estate, whereby it determines, as needed, reserves for loan losses on an asset-specific basis. The reserve for loan losses ref</w:t>
      </w:r>
      <w:r>
        <w:rPr>
          <w:sz w:val="20"/>
          <w:szCs w:val="20"/>
        </w:rPr>
        <w:t>lects management's estimate of loan losses as of the balance sheet date. The reserve is increased through loan loss expense and is decreased by charge-offs when losses are confirmed through the receipt of assets such as cash or via ownership control of the</w:t>
      </w:r>
      <w:r>
        <w:rPr>
          <w:sz w:val="20"/>
          <w:szCs w:val="20"/>
        </w:rPr>
        <w:t xml:space="preserve"> underlying collateral in full satisfaction of the loan upon foreclosure or when significant collection efforts have ceased.</w:t>
      </w:r>
    </w:p>
    <w:p w14:paraId="1EE05358" w14:textId="77777777" w:rsidR="00000000" w:rsidRDefault="0053651E">
      <w:pPr>
        <w:pStyle w:val="a3"/>
        <w:spacing w:before="0" w:beforeAutospacing="0" w:after="0" w:afterAutospacing="0"/>
        <w:ind w:left="360"/>
        <w:jc w:val="both"/>
        <w:rPr>
          <w:sz w:val="20"/>
          <w:szCs w:val="20"/>
        </w:rPr>
      </w:pPr>
      <w:r>
        <w:rPr>
          <w:sz w:val="20"/>
          <w:szCs w:val="20"/>
        </w:rPr>
        <w:t> </w:t>
      </w:r>
    </w:p>
    <w:p w14:paraId="1EEA21F9" w14:textId="77777777" w:rsidR="00000000" w:rsidRDefault="0053651E">
      <w:pPr>
        <w:jc w:val="center"/>
        <w:divId w:val="1244338987"/>
        <w:rPr>
          <w:rFonts w:eastAsia="Times New Roman"/>
          <w:sz w:val="20"/>
          <w:szCs w:val="20"/>
        </w:rPr>
      </w:pPr>
      <w:r>
        <w:rPr>
          <w:rStyle w:val="a6"/>
          <w:rFonts w:eastAsia="Times New Roman"/>
          <w:i w:val="0"/>
          <w:iCs w:val="0"/>
          <w:sz w:val="20"/>
          <w:szCs w:val="20"/>
        </w:rPr>
        <w:t>52</w:t>
      </w:r>
      <w:r>
        <w:rPr>
          <w:rFonts w:eastAsia="Times New Roman"/>
          <w:sz w:val="20"/>
          <w:szCs w:val="20"/>
        </w:rPr>
        <w:t xml:space="preserve"> </w:t>
      </w:r>
    </w:p>
    <w:p w14:paraId="1726207B" w14:textId="77777777" w:rsidR="00000000" w:rsidRDefault="0053651E">
      <w:pPr>
        <w:divId w:val="1244338987"/>
        <w:rPr>
          <w:rFonts w:eastAsia="Times New Roman"/>
          <w:sz w:val="20"/>
          <w:szCs w:val="20"/>
        </w:rPr>
      </w:pPr>
      <w:r>
        <w:rPr>
          <w:rFonts w:eastAsia="Times New Roman"/>
          <w:sz w:val="20"/>
          <w:szCs w:val="20"/>
        </w:rPr>
        <w:pict w14:anchorId="4315470D">
          <v:rect id="_x0000_i1083" style="width:415.3pt;height:1.5pt" o:hralign="center" o:hrstd="t" o:hrnoshade="t" o:hr="t" fillcolor="black" stroked="f"/>
        </w:pict>
      </w:r>
    </w:p>
    <w:p w14:paraId="2CB8CC0D" w14:textId="77777777" w:rsidR="00000000" w:rsidRDefault="0053651E">
      <w:pPr>
        <w:divId w:val="12443389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878DF7F" w14:textId="77777777" w:rsidR="00000000" w:rsidRDefault="0053651E">
      <w:pPr>
        <w:pStyle w:val="a3"/>
        <w:spacing w:before="0" w:beforeAutospacing="0" w:after="0" w:afterAutospacing="0"/>
        <w:rPr>
          <w:sz w:val="20"/>
          <w:szCs w:val="20"/>
        </w:rPr>
      </w:pPr>
      <w:r>
        <w:rPr>
          <w:sz w:val="20"/>
          <w:szCs w:val="20"/>
        </w:rPr>
        <w:t> </w:t>
      </w:r>
    </w:p>
    <w:p w14:paraId="6022DDA2"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49D692B" w14:textId="77777777" w:rsidR="00000000" w:rsidRDefault="0053651E">
      <w:pPr>
        <w:pStyle w:val="a3"/>
        <w:spacing w:before="0" w:beforeAutospacing="0" w:after="0" w:afterAutospacing="0"/>
        <w:jc w:val="center"/>
        <w:rPr>
          <w:sz w:val="20"/>
          <w:szCs w:val="20"/>
        </w:rPr>
      </w:pPr>
      <w:r>
        <w:rPr>
          <w:sz w:val="20"/>
          <w:szCs w:val="20"/>
        </w:rPr>
        <w:t> </w:t>
      </w:r>
    </w:p>
    <w:p w14:paraId="15D85DE1"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2896509D" w14:textId="77777777" w:rsidR="00000000" w:rsidRDefault="0053651E">
      <w:pPr>
        <w:pStyle w:val="a3"/>
        <w:spacing w:before="0" w:beforeAutospacing="0" w:after="0" w:afterAutospacing="0"/>
        <w:rPr>
          <w:sz w:val="20"/>
          <w:szCs w:val="20"/>
        </w:rPr>
      </w:pPr>
      <w:r>
        <w:rPr>
          <w:sz w:val="20"/>
          <w:szCs w:val="20"/>
        </w:rPr>
        <w:t> </w:t>
      </w:r>
    </w:p>
    <w:p w14:paraId="299F62A4" w14:textId="77777777" w:rsidR="00000000" w:rsidRDefault="0053651E">
      <w:pPr>
        <w:pStyle w:val="a3"/>
        <w:spacing w:before="0" w:beforeAutospacing="0" w:after="0" w:afterAutospacing="0"/>
        <w:ind w:left="360"/>
        <w:jc w:val="both"/>
        <w:rPr>
          <w:sz w:val="20"/>
          <w:szCs w:val="20"/>
        </w:rPr>
      </w:pPr>
      <w:r>
        <w:rPr>
          <w:sz w:val="20"/>
          <w:szCs w:val="20"/>
        </w:rPr>
        <w:t>The Company considers a loan to be impaired when, based upon current info</w:t>
      </w:r>
      <w:r>
        <w:rPr>
          <w:sz w:val="20"/>
          <w:szCs w:val="20"/>
        </w:rPr>
        <w:t>rmation and events, it is probable that the Company will be unable to collect all amounts due under the existing contractual terms. A reserve allowance is established for an impaired loan when the estimated fair value of the underlying collateral (for coll</w:t>
      </w:r>
      <w:r>
        <w:rPr>
          <w:sz w:val="20"/>
          <w:szCs w:val="20"/>
        </w:rPr>
        <w:t>ateralized loans) or the present value of expected future cash flows is lower than the carrying value of the loan. An internal valuation is performed generally using the income approach to estimate the fair value of the collateral at the time a loan is det</w:t>
      </w:r>
      <w:r>
        <w:rPr>
          <w:sz w:val="20"/>
          <w:szCs w:val="20"/>
        </w:rPr>
        <w:t>ermined to be impaired. The model is updated if circumstances indicate a significant change in value has occurred. The Company does</w:t>
      </w:r>
      <w:r>
        <w:rPr>
          <w:sz w:val="20"/>
          <w:szCs w:val="20"/>
        </w:rPr>
        <w:t xml:space="preserve"> </w:t>
      </w:r>
      <w:r>
        <w:rPr>
          <w:rStyle w:val="a6"/>
          <w:i w:val="0"/>
          <w:iCs w:val="0"/>
          <w:sz w:val="20"/>
          <w:szCs w:val="20"/>
        </w:rPr>
        <w:t>not</w:t>
      </w:r>
      <w:r>
        <w:rPr>
          <w:sz w:val="20"/>
          <w:szCs w:val="20"/>
        </w:rPr>
        <w:t xml:space="preserve"> provide for an additional allowance for loan losses based on the grouping of loans as the Company believes the character</w:t>
      </w:r>
      <w:r>
        <w:rPr>
          <w:sz w:val="20"/>
          <w:szCs w:val="20"/>
        </w:rPr>
        <w:t>istics of the loans are</w:t>
      </w:r>
      <w:r>
        <w:rPr>
          <w:sz w:val="20"/>
          <w:szCs w:val="20"/>
        </w:rPr>
        <w:t xml:space="preserve"> </w:t>
      </w:r>
      <w:r>
        <w:rPr>
          <w:rStyle w:val="a6"/>
          <w:i w:val="0"/>
          <w:iCs w:val="0"/>
          <w:sz w:val="20"/>
          <w:szCs w:val="20"/>
        </w:rPr>
        <w:t>not</w:t>
      </w:r>
      <w:r>
        <w:rPr>
          <w:sz w:val="20"/>
          <w:szCs w:val="20"/>
        </w:rPr>
        <w:t xml:space="preserve"> sufficiently similar to allow an evaluation of these loans as a group for a possible loan loss allowance. As such, all of the Company’s loans are evaluated individually for impairment purposes.</w:t>
      </w:r>
    </w:p>
    <w:p w14:paraId="6297EB9E" w14:textId="77777777" w:rsidR="00000000" w:rsidRDefault="0053651E">
      <w:pPr>
        <w:pStyle w:val="a3"/>
        <w:spacing w:before="0" w:beforeAutospacing="0" w:after="0" w:afterAutospacing="0"/>
        <w:rPr>
          <w:sz w:val="20"/>
          <w:szCs w:val="20"/>
        </w:rPr>
      </w:pPr>
      <w:r>
        <w:rPr>
          <w:sz w:val="20"/>
          <w:szCs w:val="20"/>
        </w:rPr>
        <w:t> </w:t>
      </w:r>
    </w:p>
    <w:p w14:paraId="7936F585" w14:textId="77777777" w:rsidR="00000000" w:rsidRDefault="0053651E">
      <w:pPr>
        <w:pStyle w:val="a3"/>
        <w:spacing w:before="0" w:beforeAutospacing="0" w:after="0" w:afterAutospacing="0"/>
        <w:ind w:left="360"/>
        <w:rPr>
          <w:sz w:val="20"/>
          <w:szCs w:val="20"/>
        </w:rPr>
      </w:pPr>
      <w:r>
        <w:rPr>
          <w:sz w:val="20"/>
          <w:szCs w:val="20"/>
          <w:u w:val="single"/>
        </w:rPr>
        <w:t>Marketable Securities</w:t>
      </w:r>
    </w:p>
    <w:p w14:paraId="4C75E973" w14:textId="77777777" w:rsidR="00000000" w:rsidRDefault="0053651E">
      <w:pPr>
        <w:pStyle w:val="a3"/>
        <w:spacing w:before="0" w:beforeAutospacing="0" w:after="0" w:afterAutospacing="0"/>
        <w:ind w:left="360"/>
        <w:rPr>
          <w:sz w:val="20"/>
          <w:szCs w:val="20"/>
        </w:rPr>
      </w:pPr>
      <w:r>
        <w:rPr>
          <w:sz w:val="20"/>
          <w:szCs w:val="20"/>
        </w:rPr>
        <w:t> </w:t>
      </w:r>
    </w:p>
    <w:p w14:paraId="6289BD9D" w14:textId="77777777" w:rsidR="00000000" w:rsidRDefault="0053651E">
      <w:pPr>
        <w:pStyle w:val="a3"/>
        <w:spacing w:before="0" w:beforeAutospacing="0" w:after="0" w:afterAutospacing="0"/>
        <w:ind w:left="360"/>
        <w:jc w:val="both"/>
        <w:rPr>
          <w:sz w:val="20"/>
          <w:szCs w:val="20"/>
        </w:rPr>
      </w:pPr>
      <w:r>
        <w:rPr>
          <w:sz w:val="20"/>
          <w:szCs w:val="20"/>
        </w:rPr>
        <w:t>The Comp</w:t>
      </w:r>
      <w:r>
        <w:rPr>
          <w:sz w:val="20"/>
          <w:szCs w:val="20"/>
        </w:rPr>
        <w:t>any classifies its marketable equity securities as available-for-sale in accordance with the FASB’s Investments-Debt and Equity Securities guidance. On</w:t>
      </w:r>
      <w:r>
        <w:rPr>
          <w:sz w:val="20"/>
          <w:szCs w:val="20"/>
        </w:rPr>
        <w:t xml:space="preserve"> </w:t>
      </w:r>
      <w:r>
        <w:rPr>
          <w:rStyle w:val="a6"/>
          <w:i w:val="0"/>
          <w:iCs w:val="0"/>
          <w:sz w:val="20"/>
          <w:szCs w:val="20"/>
        </w:rPr>
        <w:t xml:space="preserve">January 1, 2018, </w:t>
      </w:r>
      <w:r>
        <w:rPr>
          <w:sz w:val="20"/>
          <w:szCs w:val="20"/>
        </w:rPr>
        <w:t>the Company adopted Accounting Standards Update ("ASU")</w:t>
      </w:r>
      <w:r>
        <w:rPr>
          <w:sz w:val="20"/>
          <w:szCs w:val="20"/>
        </w:rPr>
        <w:t xml:space="preserve"> </w:t>
      </w:r>
      <w:r>
        <w:rPr>
          <w:rStyle w:val="a6"/>
          <w:i w:val="0"/>
          <w:iCs w:val="0"/>
          <w:sz w:val="20"/>
          <w:szCs w:val="20"/>
        </w:rPr>
        <w:t>2016</w:t>
      </w:r>
      <w:r>
        <w:rPr>
          <w:sz w:val="20"/>
          <w:szCs w:val="20"/>
        </w:rPr>
        <w:t>-</w:t>
      </w:r>
      <w:r>
        <w:rPr>
          <w:rStyle w:val="a6"/>
          <w:i w:val="0"/>
          <w:iCs w:val="0"/>
          <w:sz w:val="20"/>
          <w:szCs w:val="20"/>
        </w:rPr>
        <w:t>01,</w:t>
      </w:r>
      <w:r>
        <w:rPr>
          <w:sz w:val="20"/>
          <w:szCs w:val="20"/>
        </w:rPr>
        <w:t xml:space="preserve"> </w:t>
      </w:r>
      <w:r>
        <w:rPr>
          <w:i/>
          <w:iCs/>
          <w:sz w:val="20"/>
          <w:szCs w:val="20"/>
        </w:rPr>
        <w:t>Financial Instruments—</w:t>
      </w:r>
      <w:r>
        <w:rPr>
          <w:i/>
          <w:iCs/>
          <w:sz w:val="20"/>
          <w:szCs w:val="20"/>
        </w:rPr>
        <w:t>Overall (Subtopic</w:t>
      </w:r>
      <w:r>
        <w:rPr>
          <w:i/>
          <w:iCs/>
          <w:sz w:val="20"/>
          <w:szCs w:val="20"/>
        </w:rPr>
        <w:t xml:space="preserve"> </w:t>
      </w:r>
      <w:r>
        <w:rPr>
          <w:rStyle w:val="a6"/>
          <w:i w:val="0"/>
          <w:iCs w:val="0"/>
          <w:sz w:val="20"/>
          <w:szCs w:val="20"/>
        </w:rPr>
        <w:t>825</w:t>
      </w:r>
      <w:r>
        <w:rPr>
          <w:i/>
          <w:iCs/>
          <w:sz w:val="20"/>
          <w:szCs w:val="20"/>
        </w:rPr>
        <w:t>-</w:t>
      </w:r>
      <w:r>
        <w:rPr>
          <w:rStyle w:val="a6"/>
          <w:i w:val="0"/>
          <w:iCs w:val="0"/>
          <w:sz w:val="20"/>
          <w:szCs w:val="20"/>
        </w:rPr>
        <w:t>10</w:t>
      </w:r>
      <w:r>
        <w:rPr>
          <w:i/>
          <w:iCs/>
          <w:sz w:val="20"/>
          <w:szCs w:val="20"/>
        </w:rPr>
        <w:t>): Recognition and Measurement of Financial Assets and Financial Liabilities</w:t>
      </w:r>
      <w:r>
        <w:rPr>
          <w:sz w:val="20"/>
          <w:szCs w:val="20"/>
        </w:rPr>
        <w:t xml:space="preserve"> (“ASU</w:t>
      </w:r>
      <w:r>
        <w:rPr>
          <w:sz w:val="20"/>
          <w:szCs w:val="20"/>
        </w:rPr>
        <w:t xml:space="preserve"> </w:t>
      </w:r>
      <w:r>
        <w:rPr>
          <w:rStyle w:val="a6"/>
          <w:i w:val="0"/>
          <w:iCs w:val="0"/>
          <w:sz w:val="20"/>
          <w:szCs w:val="20"/>
        </w:rPr>
        <w:t>2016</w:t>
      </w:r>
      <w:r>
        <w:rPr>
          <w:sz w:val="20"/>
          <w:szCs w:val="20"/>
        </w:rPr>
        <w:t>-</w:t>
      </w:r>
      <w:r>
        <w:rPr>
          <w:rStyle w:val="a6"/>
          <w:i w:val="0"/>
          <w:iCs w:val="0"/>
          <w:sz w:val="20"/>
          <w:szCs w:val="20"/>
        </w:rPr>
        <w:t>01”</w:t>
      </w:r>
      <w:r>
        <w:rPr>
          <w:sz w:val="20"/>
          <w:szCs w:val="20"/>
        </w:rPr>
        <w:t>). In accordance with the adoption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01,</w:t>
      </w:r>
      <w:r>
        <w:rPr>
          <w:sz w:val="20"/>
          <w:szCs w:val="20"/>
        </w:rPr>
        <w:t xml:space="preserve"> the Company recognizes changes in the fair value of equity investments with readily determ</w:t>
      </w:r>
      <w:r>
        <w:rPr>
          <w:sz w:val="20"/>
          <w:szCs w:val="20"/>
        </w:rPr>
        <w:t>inable fair values in net income. Previously, changes in fair value of the Company’s available-for-sale marketable securities were recognized in Accumulated other comprehensive loss (“AOCI”) on the Company’s Consolidated Balance Sheets.</w:t>
      </w:r>
    </w:p>
    <w:p w14:paraId="593C0BE5" w14:textId="77777777" w:rsidR="00000000" w:rsidRDefault="0053651E">
      <w:pPr>
        <w:pStyle w:val="a3"/>
        <w:spacing w:before="0" w:beforeAutospacing="0" w:after="0" w:afterAutospacing="0"/>
        <w:ind w:left="360"/>
        <w:jc w:val="both"/>
        <w:rPr>
          <w:sz w:val="20"/>
          <w:szCs w:val="20"/>
        </w:rPr>
      </w:pPr>
      <w:r>
        <w:rPr>
          <w:sz w:val="20"/>
          <w:szCs w:val="20"/>
        </w:rPr>
        <w:t> </w:t>
      </w:r>
    </w:p>
    <w:p w14:paraId="6FA1448D" w14:textId="77777777" w:rsidR="00000000" w:rsidRDefault="0053651E">
      <w:pPr>
        <w:pStyle w:val="a3"/>
        <w:spacing w:before="0" w:beforeAutospacing="0" w:after="0" w:afterAutospacing="0"/>
        <w:ind w:left="360"/>
        <w:jc w:val="both"/>
        <w:rPr>
          <w:sz w:val="20"/>
          <w:szCs w:val="20"/>
        </w:rPr>
      </w:pPr>
      <w:r>
        <w:rPr>
          <w:sz w:val="20"/>
          <w:szCs w:val="20"/>
        </w:rPr>
        <w:t>All debt securiti</w:t>
      </w:r>
      <w:r>
        <w:rPr>
          <w:sz w:val="20"/>
          <w:szCs w:val="20"/>
        </w:rPr>
        <w:t>es are generally classified as held-to-maturity because the Company has the positive intent and ability to hold the securities to maturity. It is more likely than</w:t>
      </w:r>
      <w:r>
        <w:rPr>
          <w:sz w:val="20"/>
          <w:szCs w:val="20"/>
        </w:rPr>
        <w:t xml:space="preserve"> </w:t>
      </w:r>
      <w:r>
        <w:rPr>
          <w:rStyle w:val="a6"/>
          <w:i w:val="0"/>
          <w:iCs w:val="0"/>
          <w:sz w:val="20"/>
          <w:szCs w:val="20"/>
        </w:rPr>
        <w:t>not</w:t>
      </w:r>
      <w:r>
        <w:rPr>
          <w:sz w:val="20"/>
          <w:szCs w:val="20"/>
        </w:rPr>
        <w:t xml:space="preserve"> that the Company will</w:t>
      </w:r>
      <w:r>
        <w:rPr>
          <w:sz w:val="20"/>
          <w:szCs w:val="20"/>
        </w:rPr>
        <w:t xml:space="preserve"> </w:t>
      </w:r>
      <w:r>
        <w:rPr>
          <w:rStyle w:val="a6"/>
          <w:i w:val="0"/>
          <w:iCs w:val="0"/>
          <w:sz w:val="20"/>
          <w:szCs w:val="20"/>
        </w:rPr>
        <w:t>not</w:t>
      </w:r>
      <w:r>
        <w:rPr>
          <w:sz w:val="20"/>
          <w:szCs w:val="20"/>
        </w:rPr>
        <w:t xml:space="preserve"> be required to sell the debt security before its anticipated re</w:t>
      </w:r>
      <w:r>
        <w:rPr>
          <w:sz w:val="20"/>
          <w:szCs w:val="20"/>
        </w:rPr>
        <w:t>covery and the Company expects to recover the security’s entire amortized cost basis even if the entity does</w:t>
      </w:r>
      <w:r>
        <w:rPr>
          <w:sz w:val="20"/>
          <w:szCs w:val="20"/>
        </w:rPr>
        <w:t xml:space="preserve"> </w:t>
      </w:r>
      <w:r>
        <w:rPr>
          <w:rStyle w:val="a6"/>
          <w:i w:val="0"/>
          <w:iCs w:val="0"/>
          <w:sz w:val="20"/>
          <w:szCs w:val="20"/>
        </w:rPr>
        <w:t>not</w:t>
      </w:r>
      <w:r>
        <w:rPr>
          <w:sz w:val="20"/>
          <w:szCs w:val="20"/>
        </w:rPr>
        <w:t xml:space="preserve"> intend to sell. Held-to-maturity securities are stated at amortized cost, adjusted for amortization of premiums and accretion of discounts to m</w:t>
      </w:r>
      <w:r>
        <w:rPr>
          <w:sz w:val="20"/>
          <w:szCs w:val="20"/>
        </w:rPr>
        <w:t>aturity.</w:t>
      </w:r>
    </w:p>
    <w:p w14:paraId="18CFD8CD" w14:textId="77777777" w:rsidR="00000000" w:rsidRDefault="0053651E">
      <w:pPr>
        <w:pStyle w:val="a3"/>
        <w:spacing w:before="0" w:beforeAutospacing="0" w:after="0" w:afterAutospacing="0"/>
        <w:ind w:left="360"/>
        <w:jc w:val="both"/>
        <w:rPr>
          <w:sz w:val="20"/>
          <w:szCs w:val="20"/>
        </w:rPr>
      </w:pPr>
      <w:r>
        <w:rPr>
          <w:sz w:val="20"/>
          <w:szCs w:val="20"/>
        </w:rPr>
        <w:t> </w:t>
      </w:r>
    </w:p>
    <w:p w14:paraId="78BCE272" w14:textId="77777777" w:rsidR="00000000" w:rsidRDefault="0053651E">
      <w:pPr>
        <w:pStyle w:val="a3"/>
        <w:spacing w:before="0" w:beforeAutospacing="0" w:after="0" w:afterAutospacing="0"/>
        <w:ind w:left="360"/>
        <w:jc w:val="both"/>
        <w:rPr>
          <w:sz w:val="20"/>
          <w:szCs w:val="20"/>
        </w:rPr>
      </w:pPr>
      <w:r>
        <w:rPr>
          <w:sz w:val="20"/>
          <w:szCs w:val="20"/>
        </w:rPr>
        <w:t>On a continuous basis, management assesses whether there are any indicators that the value of the Company’s marketable securities</w:t>
      </w:r>
      <w:r>
        <w:rPr>
          <w:sz w:val="20"/>
          <w:szCs w:val="20"/>
        </w:rPr>
        <w:t xml:space="preserve"> </w:t>
      </w:r>
      <w:r>
        <w:rPr>
          <w:rStyle w:val="a6"/>
          <w:i w:val="0"/>
          <w:iCs w:val="0"/>
          <w:sz w:val="20"/>
          <w:szCs w:val="20"/>
        </w:rPr>
        <w:t xml:space="preserve">may </w:t>
      </w:r>
      <w:r>
        <w:rPr>
          <w:sz w:val="20"/>
          <w:szCs w:val="20"/>
        </w:rPr>
        <w:t>be impaired, which includes reviewing the underlying cause of any decline in value and the estimated recovery p</w:t>
      </w:r>
      <w:r>
        <w:rPr>
          <w:sz w:val="20"/>
          <w:szCs w:val="20"/>
        </w:rPr>
        <w:t>eriod, as well as the severity and duration of the decline. In the Company’s evaluation, the Company considers its ability and intent to hold these investments for a reasonable period of time sufficient for the Company to recover its cost basis. A marketab</w:t>
      </w:r>
      <w:r>
        <w:rPr>
          <w:sz w:val="20"/>
          <w:szCs w:val="20"/>
        </w:rPr>
        <w:t>le security is impaired if the fair value of the security is less than the carrying value of the security and such difference is deemed to be other-than-temporary. To the extent impairment has occurred, the loss shall be measured as the excess of the carry</w:t>
      </w:r>
      <w:r>
        <w:rPr>
          <w:sz w:val="20"/>
          <w:szCs w:val="20"/>
        </w:rPr>
        <w:t>ing amount of the security over the estimated fair value in the security.</w:t>
      </w:r>
    </w:p>
    <w:p w14:paraId="0148358A" w14:textId="77777777" w:rsidR="00000000" w:rsidRDefault="0053651E">
      <w:pPr>
        <w:pStyle w:val="a3"/>
        <w:spacing w:before="0" w:beforeAutospacing="0" w:after="0" w:afterAutospacing="0"/>
        <w:ind w:left="360"/>
        <w:jc w:val="both"/>
        <w:rPr>
          <w:sz w:val="20"/>
          <w:szCs w:val="20"/>
        </w:rPr>
      </w:pPr>
      <w:r>
        <w:rPr>
          <w:sz w:val="20"/>
          <w:szCs w:val="20"/>
        </w:rPr>
        <w:t> </w:t>
      </w:r>
    </w:p>
    <w:p w14:paraId="4A3AA801" w14:textId="77777777" w:rsidR="00000000" w:rsidRDefault="0053651E">
      <w:pPr>
        <w:pStyle w:val="a3"/>
        <w:spacing w:before="0" w:beforeAutospacing="0" w:after="0" w:afterAutospacing="0"/>
        <w:ind w:left="360"/>
        <w:rPr>
          <w:sz w:val="20"/>
          <w:szCs w:val="20"/>
        </w:rPr>
      </w:pPr>
      <w:r>
        <w:rPr>
          <w:sz w:val="20"/>
          <w:szCs w:val="20"/>
          <w:u w:val="single"/>
        </w:rPr>
        <w:t>Deferred Leasing Costs</w:t>
      </w:r>
    </w:p>
    <w:p w14:paraId="474C0309" w14:textId="77777777" w:rsidR="00000000" w:rsidRDefault="0053651E">
      <w:pPr>
        <w:pStyle w:val="a3"/>
        <w:spacing w:before="0" w:beforeAutospacing="0" w:after="0" w:afterAutospacing="0"/>
        <w:ind w:left="360"/>
        <w:rPr>
          <w:sz w:val="20"/>
          <w:szCs w:val="20"/>
        </w:rPr>
      </w:pPr>
      <w:r>
        <w:rPr>
          <w:sz w:val="20"/>
          <w:szCs w:val="20"/>
        </w:rPr>
        <w:t> </w:t>
      </w:r>
    </w:p>
    <w:p w14:paraId="4A1D38F3" w14:textId="77777777" w:rsidR="00000000" w:rsidRDefault="0053651E">
      <w:pPr>
        <w:pStyle w:val="a3"/>
        <w:spacing w:before="0" w:beforeAutospacing="0" w:after="0" w:afterAutospacing="0"/>
        <w:ind w:left="360"/>
        <w:jc w:val="both"/>
        <w:rPr>
          <w:sz w:val="20"/>
          <w:szCs w:val="20"/>
        </w:rPr>
      </w:pPr>
      <w:r>
        <w:rPr>
          <w:sz w:val="20"/>
          <w:szCs w:val="20"/>
        </w:rPr>
        <w:t>Effective</w:t>
      </w:r>
      <w:r>
        <w:rPr>
          <w:sz w:val="20"/>
          <w:szCs w:val="20"/>
        </w:rPr>
        <w:t xml:space="preserve"> </w:t>
      </w:r>
      <w:r>
        <w:rPr>
          <w:rStyle w:val="a6"/>
          <w:i w:val="0"/>
          <w:iCs w:val="0"/>
          <w:sz w:val="20"/>
          <w:szCs w:val="20"/>
        </w:rPr>
        <w:t xml:space="preserve">January 1, 2019, </w:t>
      </w:r>
      <w:r>
        <w:rPr>
          <w:sz w:val="20"/>
          <w:szCs w:val="20"/>
        </w:rPr>
        <w:t>in accordance with the adoption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w:t>
      </w:r>
      <w:r>
        <w:rPr>
          <w:i/>
          <w:iCs/>
          <w:sz w:val="20"/>
          <w:szCs w:val="20"/>
        </w:rPr>
        <w:t>Leases (Topic</w:t>
      </w:r>
      <w:r>
        <w:rPr>
          <w:i/>
          <w:iCs/>
          <w:sz w:val="20"/>
          <w:szCs w:val="20"/>
        </w:rPr>
        <w:t xml:space="preserve"> </w:t>
      </w:r>
      <w:r>
        <w:rPr>
          <w:rStyle w:val="a6"/>
          <w:i w:val="0"/>
          <w:iCs w:val="0"/>
          <w:sz w:val="20"/>
          <w:szCs w:val="20"/>
        </w:rPr>
        <w:t>842</w:t>
      </w:r>
      <w:r>
        <w:rPr>
          <w:i/>
          <w:iCs/>
          <w:sz w:val="20"/>
          <w:szCs w:val="20"/>
        </w:rPr>
        <w:t xml:space="preserve">) </w:t>
      </w:r>
      <w:r>
        <w:rPr>
          <w:sz w:val="20"/>
          <w:szCs w:val="20"/>
        </w:rPr>
        <w:t>(“ASU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indirect internal leasing costs previously c</w:t>
      </w:r>
      <w:r>
        <w:rPr>
          <w:sz w:val="20"/>
          <w:szCs w:val="20"/>
        </w:rPr>
        <w:t>apitalized are expensed. However, external leasing costs and direct internal leasing costs will continue to be capitalized and amortized on a straight-line basis, over the terms of the related leases, as applicable. Previously, capitalized indirect interna</w:t>
      </w:r>
      <w:r>
        <w:rPr>
          <w:sz w:val="20"/>
          <w:szCs w:val="20"/>
        </w:rPr>
        <w:t>l leasing costs were deferred and included in Other assets, on the Company’s Consolidated Balance Sheets; however, upon adoption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they are expensed and included in General and administrative expense.  Deferred leasing costs are classified as</w:t>
      </w:r>
      <w:r>
        <w:rPr>
          <w:sz w:val="20"/>
          <w:szCs w:val="20"/>
        </w:rPr>
        <w:t xml:space="preserve"> operating activities on the Company’s Consolidated Statements of Cash Flows.</w:t>
      </w:r>
    </w:p>
    <w:p w14:paraId="5E1EA375" w14:textId="77777777" w:rsidR="00000000" w:rsidRDefault="0053651E">
      <w:pPr>
        <w:pStyle w:val="a3"/>
        <w:spacing w:before="0" w:beforeAutospacing="0" w:after="0" w:afterAutospacing="0"/>
        <w:ind w:left="360"/>
        <w:rPr>
          <w:sz w:val="20"/>
          <w:szCs w:val="20"/>
        </w:rPr>
      </w:pPr>
      <w:r>
        <w:rPr>
          <w:sz w:val="20"/>
          <w:szCs w:val="20"/>
        </w:rPr>
        <w:t> </w:t>
      </w:r>
    </w:p>
    <w:p w14:paraId="5871AFE5" w14:textId="77777777" w:rsidR="00000000" w:rsidRDefault="0053651E">
      <w:pPr>
        <w:jc w:val="center"/>
        <w:divId w:val="1473522172"/>
        <w:rPr>
          <w:rFonts w:eastAsia="Times New Roman"/>
          <w:sz w:val="20"/>
          <w:szCs w:val="20"/>
        </w:rPr>
      </w:pPr>
      <w:r>
        <w:rPr>
          <w:rStyle w:val="a6"/>
          <w:rFonts w:eastAsia="Times New Roman"/>
          <w:i w:val="0"/>
          <w:iCs w:val="0"/>
          <w:sz w:val="20"/>
          <w:szCs w:val="20"/>
        </w:rPr>
        <w:t>53</w:t>
      </w:r>
      <w:r>
        <w:rPr>
          <w:rFonts w:eastAsia="Times New Roman"/>
          <w:sz w:val="20"/>
          <w:szCs w:val="20"/>
        </w:rPr>
        <w:t xml:space="preserve"> </w:t>
      </w:r>
    </w:p>
    <w:p w14:paraId="1C75CFB7" w14:textId="77777777" w:rsidR="00000000" w:rsidRDefault="0053651E">
      <w:pPr>
        <w:divId w:val="1473522172"/>
        <w:rPr>
          <w:rFonts w:eastAsia="Times New Roman"/>
          <w:sz w:val="20"/>
          <w:szCs w:val="20"/>
        </w:rPr>
      </w:pPr>
      <w:r>
        <w:rPr>
          <w:rFonts w:eastAsia="Times New Roman"/>
          <w:sz w:val="20"/>
          <w:szCs w:val="20"/>
        </w:rPr>
        <w:pict w14:anchorId="22538BE0">
          <v:rect id="_x0000_i1084" style="width:415.3pt;height:1.5pt" o:hralign="center" o:hrstd="t" o:hrnoshade="t" o:hr="t" fillcolor="black" stroked="f"/>
        </w:pict>
      </w:r>
    </w:p>
    <w:p w14:paraId="6EAE6C0E" w14:textId="77777777" w:rsidR="00000000" w:rsidRDefault="0053651E">
      <w:pPr>
        <w:divId w:val="14735221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474475A" w14:textId="77777777" w:rsidR="00000000" w:rsidRDefault="0053651E">
      <w:pPr>
        <w:pStyle w:val="a3"/>
        <w:spacing w:before="0" w:beforeAutospacing="0" w:after="0" w:afterAutospacing="0"/>
        <w:rPr>
          <w:sz w:val="20"/>
          <w:szCs w:val="20"/>
        </w:rPr>
      </w:pPr>
      <w:r>
        <w:rPr>
          <w:sz w:val="20"/>
          <w:szCs w:val="20"/>
        </w:rPr>
        <w:t> </w:t>
      </w:r>
    </w:p>
    <w:p w14:paraId="6BE221A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5D33162E" w14:textId="77777777" w:rsidR="00000000" w:rsidRDefault="0053651E">
      <w:pPr>
        <w:pStyle w:val="a3"/>
        <w:spacing w:before="0" w:beforeAutospacing="0" w:after="0" w:afterAutospacing="0"/>
        <w:jc w:val="center"/>
        <w:rPr>
          <w:sz w:val="20"/>
          <w:szCs w:val="20"/>
        </w:rPr>
      </w:pPr>
      <w:r>
        <w:rPr>
          <w:sz w:val="20"/>
          <w:szCs w:val="20"/>
        </w:rPr>
        <w:t> </w:t>
      </w:r>
    </w:p>
    <w:p w14:paraId="0BE6DA3A"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324E8BAF" w14:textId="77777777" w:rsidR="00000000" w:rsidRDefault="0053651E">
      <w:pPr>
        <w:pStyle w:val="a3"/>
        <w:spacing w:before="0" w:beforeAutospacing="0" w:after="0" w:afterAutospacing="0"/>
        <w:rPr>
          <w:sz w:val="20"/>
          <w:szCs w:val="20"/>
        </w:rPr>
      </w:pPr>
      <w:r>
        <w:rPr>
          <w:sz w:val="20"/>
          <w:szCs w:val="20"/>
        </w:rPr>
        <w:t> </w:t>
      </w:r>
    </w:p>
    <w:p w14:paraId="0A517D49" w14:textId="77777777" w:rsidR="00000000" w:rsidRDefault="0053651E">
      <w:pPr>
        <w:pStyle w:val="a3"/>
        <w:spacing w:before="0" w:beforeAutospacing="0" w:after="0" w:afterAutospacing="0"/>
        <w:ind w:left="360"/>
        <w:rPr>
          <w:sz w:val="20"/>
          <w:szCs w:val="20"/>
        </w:rPr>
      </w:pPr>
      <w:r>
        <w:rPr>
          <w:sz w:val="20"/>
          <w:szCs w:val="20"/>
          <w:u w:val="single"/>
        </w:rPr>
        <w:t>Software Development Costs</w:t>
      </w:r>
    </w:p>
    <w:p w14:paraId="734022A6" w14:textId="77777777" w:rsidR="00000000" w:rsidRDefault="0053651E">
      <w:pPr>
        <w:pStyle w:val="a3"/>
        <w:spacing w:before="0" w:beforeAutospacing="0" w:after="0" w:afterAutospacing="0"/>
        <w:ind w:left="360"/>
        <w:rPr>
          <w:sz w:val="20"/>
          <w:szCs w:val="20"/>
        </w:rPr>
      </w:pPr>
      <w:r>
        <w:rPr>
          <w:sz w:val="20"/>
          <w:szCs w:val="20"/>
        </w:rPr>
        <w:t> </w:t>
      </w:r>
    </w:p>
    <w:p w14:paraId="7E7E1EEE" w14:textId="77777777" w:rsidR="00000000" w:rsidRDefault="0053651E">
      <w:pPr>
        <w:pStyle w:val="a3"/>
        <w:spacing w:before="0" w:beforeAutospacing="0" w:after="0" w:afterAutospacing="0"/>
        <w:ind w:left="360"/>
        <w:jc w:val="both"/>
        <w:rPr>
          <w:sz w:val="20"/>
          <w:szCs w:val="20"/>
        </w:rPr>
      </w:pPr>
      <w:r>
        <w:rPr>
          <w:sz w:val="20"/>
          <w:szCs w:val="20"/>
        </w:rPr>
        <w:t>Expenditures for major software purchases and software developed for internal use are capitalized and amortized on a straigh</w:t>
      </w:r>
      <w:r>
        <w:rPr>
          <w:sz w:val="20"/>
          <w:szCs w:val="20"/>
        </w:rPr>
        <w:t>t-line basis generally over a</w:t>
      </w:r>
      <w:r>
        <w:rPr>
          <w:sz w:val="20"/>
          <w:szCs w:val="20"/>
        </w:rPr>
        <w:t xml:space="preserve"> </w:t>
      </w:r>
      <w:r>
        <w:rPr>
          <w:sz w:val="20"/>
          <w:szCs w:val="20"/>
        </w:rPr>
        <w:t>thre</w:t>
      </w:r>
      <w:r>
        <w:rPr>
          <w:sz w:val="20"/>
          <w:szCs w:val="20"/>
        </w:rPr>
        <w:t>e</w:t>
      </w:r>
      <w:r>
        <w:rPr>
          <w:sz w:val="20"/>
          <w:szCs w:val="20"/>
        </w:rPr>
        <w:t xml:space="preserve"> to</w:t>
      </w:r>
      <w:r>
        <w:rPr>
          <w:sz w:val="20"/>
          <w:szCs w:val="20"/>
        </w:rPr>
        <w:t xml:space="preserve"> </w:t>
      </w:r>
      <w:r>
        <w:rPr>
          <w:sz w:val="20"/>
          <w:szCs w:val="20"/>
        </w:rPr>
        <w:t>fiv</w:t>
      </w:r>
      <w:r>
        <w:rPr>
          <w:sz w:val="20"/>
          <w:szCs w:val="20"/>
        </w:rPr>
        <w:t>e</w:t>
      </w:r>
      <w:r>
        <w:rPr>
          <w:sz w:val="20"/>
          <w:szCs w:val="20"/>
        </w:rPr>
        <w:t>-year period. The Company’s policy provides for the capitalization of external direct costs of materials and services associated with developing or obtaining internal use computer software. In addition, the Compan</w:t>
      </w:r>
      <w:r>
        <w:rPr>
          <w:sz w:val="20"/>
          <w:szCs w:val="20"/>
        </w:rPr>
        <w:t xml:space="preserve">y also capitalizes certain payroll and payroll-related costs for employees who are directly associated with internal use computer software projects. The amount of payroll costs that can be capitalized with respect to these employees is limited to the time </w:t>
      </w:r>
      <w:r>
        <w:rPr>
          <w:sz w:val="20"/>
          <w:szCs w:val="20"/>
        </w:rPr>
        <w:t>directly spent on such projects. Costs associated with preliminary project stage activities, training, maintenance and all other post-implementation stage activities are expensed as incurred.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t>
      </w:r>
      <w:r>
        <w:rPr>
          <w:sz w:val="20"/>
          <w:szCs w:val="20"/>
        </w:rPr>
        <w:t>the Company had unamortized software development costs of $14.5 million and $4.3 million, respectively, which are included in Other assets on the Company’s Consolidated Balance Sheets.  The Company expensed $1.7 million, $5.3 million and $4.6 million in am</w:t>
      </w:r>
      <w:r>
        <w:rPr>
          <w:sz w:val="20"/>
          <w:szCs w:val="20"/>
        </w:rPr>
        <w:t>ortization of software development costs during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w:t>
      </w:r>
    </w:p>
    <w:p w14:paraId="47758E91" w14:textId="77777777" w:rsidR="00000000" w:rsidRDefault="0053651E">
      <w:pPr>
        <w:pStyle w:val="a3"/>
        <w:spacing w:before="0" w:beforeAutospacing="0" w:after="0" w:afterAutospacing="0"/>
        <w:ind w:left="360"/>
        <w:rPr>
          <w:sz w:val="20"/>
          <w:szCs w:val="20"/>
        </w:rPr>
      </w:pPr>
      <w:r>
        <w:rPr>
          <w:sz w:val="20"/>
          <w:szCs w:val="20"/>
        </w:rPr>
        <w:t> </w:t>
      </w:r>
    </w:p>
    <w:p w14:paraId="03EB1F21" w14:textId="77777777" w:rsidR="00000000" w:rsidRDefault="0053651E">
      <w:pPr>
        <w:pStyle w:val="a3"/>
        <w:spacing w:before="0" w:beforeAutospacing="0" w:after="0" w:afterAutospacing="0"/>
        <w:ind w:left="360"/>
        <w:rPr>
          <w:sz w:val="20"/>
          <w:szCs w:val="20"/>
        </w:rPr>
      </w:pPr>
      <w:r>
        <w:rPr>
          <w:sz w:val="20"/>
          <w:szCs w:val="20"/>
          <w:u w:val="single"/>
        </w:rPr>
        <w:t>Deferred Financing Costs</w:t>
      </w:r>
    </w:p>
    <w:p w14:paraId="6E15EF48" w14:textId="77777777" w:rsidR="00000000" w:rsidRDefault="0053651E">
      <w:pPr>
        <w:pStyle w:val="a3"/>
        <w:spacing w:before="0" w:beforeAutospacing="0" w:after="0" w:afterAutospacing="0"/>
        <w:ind w:left="360"/>
        <w:rPr>
          <w:sz w:val="20"/>
          <w:szCs w:val="20"/>
        </w:rPr>
      </w:pPr>
      <w:r>
        <w:rPr>
          <w:sz w:val="20"/>
          <w:szCs w:val="20"/>
        </w:rPr>
        <w:t> </w:t>
      </w:r>
    </w:p>
    <w:p w14:paraId="5A898322" w14:textId="77777777" w:rsidR="00000000" w:rsidRDefault="0053651E">
      <w:pPr>
        <w:pStyle w:val="a3"/>
        <w:spacing w:before="0" w:beforeAutospacing="0" w:after="0" w:afterAutospacing="0"/>
        <w:ind w:left="360"/>
        <w:jc w:val="both"/>
        <w:rPr>
          <w:sz w:val="20"/>
          <w:szCs w:val="20"/>
        </w:rPr>
      </w:pPr>
      <w:r>
        <w:rPr>
          <w:sz w:val="20"/>
          <w:szCs w:val="20"/>
        </w:rPr>
        <w:t>Costs incurred in obtaining long-term financing, included in Notes payable, net and Mortgages and construction loan</w:t>
      </w:r>
      <w:r>
        <w:rPr>
          <w:sz w:val="20"/>
          <w:szCs w:val="20"/>
        </w:rPr>
        <w:t xml:space="preserve"> payable, net in the accompanying Consolidated Balance Sheets, are amortized on a straight-line basis, which approximates the effective interest method, over the terms of the related debt agreements, as applicable.</w:t>
      </w:r>
    </w:p>
    <w:p w14:paraId="6878916E" w14:textId="77777777" w:rsidR="00000000" w:rsidRDefault="0053651E">
      <w:pPr>
        <w:pStyle w:val="a3"/>
        <w:spacing w:before="0" w:beforeAutospacing="0" w:after="0" w:afterAutospacing="0"/>
        <w:ind w:left="360"/>
        <w:rPr>
          <w:sz w:val="20"/>
          <w:szCs w:val="20"/>
        </w:rPr>
      </w:pPr>
      <w:r>
        <w:rPr>
          <w:sz w:val="20"/>
          <w:szCs w:val="20"/>
        </w:rPr>
        <w:t> </w:t>
      </w:r>
    </w:p>
    <w:p w14:paraId="7470203E" w14:textId="77777777" w:rsidR="00000000" w:rsidRDefault="0053651E">
      <w:pPr>
        <w:pStyle w:val="a3"/>
        <w:spacing w:before="0" w:beforeAutospacing="0" w:after="0" w:afterAutospacing="0"/>
        <w:ind w:left="360"/>
        <w:rPr>
          <w:sz w:val="20"/>
          <w:szCs w:val="20"/>
        </w:rPr>
      </w:pPr>
      <w:r>
        <w:rPr>
          <w:sz w:val="20"/>
          <w:szCs w:val="20"/>
          <w:u w:val="single"/>
        </w:rPr>
        <w:t xml:space="preserve">Revenue, Trade Accounts Receivable and </w:t>
      </w:r>
      <w:r>
        <w:rPr>
          <w:sz w:val="20"/>
          <w:szCs w:val="20"/>
          <w:u w:val="single"/>
        </w:rPr>
        <w:t>Gain Recognition</w:t>
      </w:r>
    </w:p>
    <w:p w14:paraId="0C91F153" w14:textId="77777777" w:rsidR="00000000" w:rsidRDefault="0053651E">
      <w:pPr>
        <w:pStyle w:val="a3"/>
        <w:spacing w:before="0" w:beforeAutospacing="0" w:after="0" w:afterAutospacing="0"/>
        <w:ind w:left="360"/>
        <w:rPr>
          <w:sz w:val="20"/>
          <w:szCs w:val="20"/>
        </w:rPr>
      </w:pPr>
      <w:r>
        <w:rPr>
          <w:sz w:val="20"/>
          <w:szCs w:val="20"/>
        </w:rPr>
        <w:t> </w:t>
      </w:r>
    </w:p>
    <w:p w14:paraId="55E3A7EF" w14:textId="77777777" w:rsidR="00000000" w:rsidRDefault="0053651E">
      <w:pPr>
        <w:pStyle w:val="a3"/>
        <w:spacing w:before="0" w:beforeAutospacing="0" w:after="0" w:afterAutospacing="0"/>
        <w:ind w:left="360"/>
        <w:jc w:val="both"/>
        <w:rPr>
          <w:sz w:val="20"/>
          <w:szCs w:val="20"/>
        </w:rPr>
      </w:pPr>
      <w:r>
        <w:rPr>
          <w:sz w:val="20"/>
          <w:szCs w:val="20"/>
        </w:rPr>
        <w:t>On</w:t>
      </w:r>
      <w:r>
        <w:rPr>
          <w:sz w:val="20"/>
          <w:szCs w:val="20"/>
        </w:rPr>
        <w:t xml:space="preserve"> </w:t>
      </w:r>
      <w:r>
        <w:rPr>
          <w:rStyle w:val="a6"/>
          <w:i w:val="0"/>
          <w:iCs w:val="0"/>
          <w:sz w:val="20"/>
          <w:szCs w:val="20"/>
        </w:rPr>
        <w:t xml:space="preserve">January 1, 2018, </w:t>
      </w:r>
      <w:r>
        <w:rPr>
          <w:sz w:val="20"/>
          <w:szCs w:val="20"/>
        </w:rPr>
        <w:t>the Company adopted ASU</w:t>
      </w:r>
      <w:r>
        <w:rPr>
          <w:sz w:val="20"/>
          <w:szCs w:val="20"/>
        </w:rPr>
        <w:t xml:space="preserve"> </w:t>
      </w:r>
      <w:r>
        <w:rPr>
          <w:rStyle w:val="a6"/>
          <w:i w:val="0"/>
          <w:iCs w:val="0"/>
          <w:sz w:val="20"/>
          <w:szCs w:val="20"/>
        </w:rPr>
        <w:t>2014</w:t>
      </w:r>
      <w:r>
        <w:rPr>
          <w:sz w:val="20"/>
          <w:szCs w:val="20"/>
        </w:rPr>
        <w:t>-</w:t>
      </w:r>
      <w:r>
        <w:rPr>
          <w:rStyle w:val="a6"/>
          <w:i w:val="0"/>
          <w:iCs w:val="0"/>
          <w:sz w:val="20"/>
          <w:szCs w:val="20"/>
        </w:rPr>
        <w:t>09,</w:t>
      </w:r>
      <w:r>
        <w:rPr>
          <w:sz w:val="20"/>
          <w:szCs w:val="20"/>
        </w:rPr>
        <w:t xml:space="preserve"> </w:t>
      </w:r>
      <w:r>
        <w:rPr>
          <w:i/>
          <w:iCs/>
          <w:sz w:val="20"/>
          <w:szCs w:val="20"/>
        </w:rPr>
        <w:t>Revenue from Contracts with Customers (Topic</w:t>
      </w:r>
      <w:r>
        <w:rPr>
          <w:i/>
          <w:iCs/>
          <w:sz w:val="20"/>
          <w:szCs w:val="20"/>
        </w:rPr>
        <w:t xml:space="preserve"> </w:t>
      </w:r>
      <w:r>
        <w:rPr>
          <w:rStyle w:val="a6"/>
          <w:i w:val="0"/>
          <w:iCs w:val="0"/>
          <w:sz w:val="20"/>
          <w:szCs w:val="20"/>
        </w:rPr>
        <w:t>606</w:t>
      </w:r>
      <w:r>
        <w:rPr>
          <w:i/>
          <w:iCs/>
          <w:sz w:val="20"/>
          <w:szCs w:val="20"/>
        </w:rPr>
        <w:t>)</w:t>
      </w:r>
      <w:r>
        <w:rPr>
          <w:sz w:val="20"/>
          <w:szCs w:val="20"/>
        </w:rPr>
        <w:t>, (“Topic</w:t>
      </w:r>
      <w:r>
        <w:rPr>
          <w:sz w:val="20"/>
          <w:szCs w:val="20"/>
        </w:rPr>
        <w:t xml:space="preserve"> </w:t>
      </w:r>
      <w:r>
        <w:rPr>
          <w:rStyle w:val="a6"/>
          <w:i w:val="0"/>
          <w:iCs w:val="0"/>
          <w:sz w:val="20"/>
          <w:szCs w:val="20"/>
        </w:rPr>
        <w:t>606”</w:t>
      </w:r>
      <w:r>
        <w:rPr>
          <w:sz w:val="20"/>
          <w:szCs w:val="20"/>
        </w:rPr>
        <w:t>) using the modified retrospective method applying it to any open contracts as of</w:t>
      </w:r>
      <w:r>
        <w:rPr>
          <w:sz w:val="20"/>
          <w:szCs w:val="20"/>
        </w:rPr>
        <w:t xml:space="preserve"> </w:t>
      </w:r>
      <w:r>
        <w:rPr>
          <w:rStyle w:val="a6"/>
          <w:i w:val="0"/>
          <w:iCs w:val="0"/>
          <w:sz w:val="20"/>
          <w:szCs w:val="20"/>
        </w:rPr>
        <w:t xml:space="preserve">January 1, 2018, </w:t>
      </w:r>
      <w:r>
        <w:rPr>
          <w:sz w:val="20"/>
          <w:szCs w:val="20"/>
        </w:rPr>
        <w:t xml:space="preserve">for which the Company </w:t>
      </w:r>
      <w:r>
        <w:rPr>
          <w:sz w:val="20"/>
          <w:szCs w:val="20"/>
        </w:rPr>
        <w:t>did</w:t>
      </w:r>
      <w:r>
        <w:rPr>
          <w:sz w:val="20"/>
          <w:szCs w:val="20"/>
        </w:rPr>
        <w:t xml:space="preserve"> </w:t>
      </w:r>
      <w:r>
        <w:rPr>
          <w:rStyle w:val="a6"/>
          <w:i w:val="0"/>
          <w:iCs w:val="0"/>
          <w:sz w:val="20"/>
          <w:szCs w:val="20"/>
        </w:rPr>
        <w:t>not</w:t>
      </w:r>
      <w:r>
        <w:rPr>
          <w:sz w:val="20"/>
          <w:szCs w:val="20"/>
        </w:rPr>
        <w:t xml:space="preserve"> identify any open contracts. The Company also utilized the practical expedient for which the Company was</w:t>
      </w:r>
      <w:r>
        <w:rPr>
          <w:sz w:val="20"/>
          <w:szCs w:val="20"/>
        </w:rPr>
        <w:t xml:space="preserve"> </w:t>
      </w:r>
      <w:r>
        <w:rPr>
          <w:rStyle w:val="a6"/>
          <w:i w:val="0"/>
          <w:iCs w:val="0"/>
          <w:sz w:val="20"/>
          <w:szCs w:val="20"/>
        </w:rPr>
        <w:t>not</w:t>
      </w:r>
      <w:r>
        <w:rPr>
          <w:sz w:val="20"/>
          <w:szCs w:val="20"/>
        </w:rPr>
        <w:t xml:space="preserve"> required to restate revenue from contracts that began and were completed within the same annual reporting period. Results for reporting per</w:t>
      </w:r>
      <w:r>
        <w:rPr>
          <w:sz w:val="20"/>
          <w:szCs w:val="20"/>
        </w:rPr>
        <w:t>iods beginning after</w:t>
      </w:r>
      <w:r>
        <w:rPr>
          <w:sz w:val="20"/>
          <w:szCs w:val="20"/>
        </w:rPr>
        <w:t xml:space="preserve"> </w:t>
      </w:r>
      <w:r>
        <w:rPr>
          <w:rStyle w:val="a6"/>
          <w:i w:val="0"/>
          <w:iCs w:val="0"/>
          <w:sz w:val="20"/>
          <w:szCs w:val="20"/>
        </w:rPr>
        <w:t xml:space="preserve">January 1, 2018, </w:t>
      </w:r>
      <w:r>
        <w:rPr>
          <w:sz w:val="20"/>
          <w:szCs w:val="20"/>
        </w:rPr>
        <w:t>are presented under Topic</w:t>
      </w:r>
      <w:r>
        <w:rPr>
          <w:sz w:val="20"/>
          <w:szCs w:val="20"/>
        </w:rPr>
        <w:t xml:space="preserve"> </w:t>
      </w:r>
      <w:r>
        <w:rPr>
          <w:rStyle w:val="a6"/>
          <w:i w:val="0"/>
          <w:iCs w:val="0"/>
          <w:sz w:val="20"/>
          <w:szCs w:val="20"/>
        </w:rPr>
        <w:t>606,</w:t>
      </w:r>
      <w:r>
        <w:rPr>
          <w:sz w:val="20"/>
          <w:szCs w:val="20"/>
        </w:rPr>
        <w:t xml:space="preserve"> while prior period amounts are</w:t>
      </w:r>
      <w:r>
        <w:rPr>
          <w:sz w:val="20"/>
          <w:szCs w:val="20"/>
        </w:rPr>
        <w:t xml:space="preserve"> </w:t>
      </w:r>
      <w:r>
        <w:rPr>
          <w:rStyle w:val="a6"/>
          <w:i w:val="0"/>
          <w:iCs w:val="0"/>
          <w:sz w:val="20"/>
          <w:szCs w:val="20"/>
        </w:rPr>
        <w:t>not</w:t>
      </w:r>
      <w:r>
        <w:rPr>
          <w:sz w:val="20"/>
          <w:szCs w:val="20"/>
        </w:rPr>
        <w:t xml:space="preserve"> adjusted and continue to be reported in accordance with our historic accounting under Revenue Recognition (Topic</w:t>
      </w:r>
      <w:r>
        <w:rPr>
          <w:sz w:val="20"/>
          <w:szCs w:val="20"/>
        </w:rPr>
        <w:t xml:space="preserve"> </w:t>
      </w:r>
      <w:r>
        <w:rPr>
          <w:rStyle w:val="a6"/>
          <w:i w:val="0"/>
          <w:iCs w:val="0"/>
          <w:sz w:val="20"/>
          <w:szCs w:val="20"/>
        </w:rPr>
        <w:t>605</w:t>
      </w:r>
      <w:r>
        <w:rPr>
          <w:sz w:val="20"/>
          <w:szCs w:val="20"/>
        </w:rPr>
        <w:t>). The new guidance provides a unifi</w:t>
      </w:r>
      <w:r>
        <w:rPr>
          <w:sz w:val="20"/>
          <w:szCs w:val="20"/>
        </w:rPr>
        <w:t>ed model to determine how revenue is recognized. To determine the proper amount of revenue to be recognized, the Company performs the following steps: (i) identify the contract with the customer, (ii) identify the performance obligations within the contrac</w:t>
      </w:r>
      <w:r>
        <w:rPr>
          <w:sz w:val="20"/>
          <w:szCs w:val="20"/>
        </w:rPr>
        <w:t>t, (iii) determine the transaction price, (iv) allocate the transaction price to the performance obligations and (v) recognize revenue when (or as) a performance obligation is satisfied. As of</w:t>
      </w:r>
      <w:r>
        <w:rPr>
          <w:sz w:val="20"/>
          <w:szCs w:val="20"/>
        </w:rPr>
        <w:t xml:space="preserve"> </w:t>
      </w:r>
      <w:r>
        <w:rPr>
          <w:rStyle w:val="a6"/>
          <w:i w:val="0"/>
          <w:iCs w:val="0"/>
          <w:sz w:val="20"/>
          <w:szCs w:val="20"/>
        </w:rPr>
        <w:t xml:space="preserve">December 31, 2019, </w:t>
      </w:r>
      <w:r>
        <w:rPr>
          <w:sz w:val="20"/>
          <w:szCs w:val="20"/>
        </w:rPr>
        <w:t>the Company had</w:t>
      </w:r>
      <w:r>
        <w:rPr>
          <w:sz w:val="20"/>
          <w:szCs w:val="20"/>
        </w:rPr>
        <w:t xml:space="preserve"> </w:t>
      </w:r>
      <w:r>
        <w:rPr>
          <w:sz w:val="20"/>
          <w:szCs w:val="20"/>
        </w:rPr>
        <w:t>n</w:t>
      </w:r>
      <w:r>
        <w:rPr>
          <w:sz w:val="20"/>
          <w:szCs w:val="20"/>
        </w:rPr>
        <w:t>o</w:t>
      </w:r>
      <w:r>
        <w:rPr>
          <w:sz w:val="20"/>
          <w:szCs w:val="20"/>
        </w:rPr>
        <w:t xml:space="preserve"> outstanding contract asse</w:t>
      </w:r>
      <w:r>
        <w:rPr>
          <w:sz w:val="20"/>
          <w:szCs w:val="20"/>
        </w:rPr>
        <w:t>ts or contract liabilities. The adoption of this standard did</w:t>
      </w:r>
      <w:r>
        <w:rPr>
          <w:sz w:val="20"/>
          <w:szCs w:val="20"/>
        </w:rPr>
        <w:t xml:space="preserve"> </w:t>
      </w:r>
      <w:r>
        <w:rPr>
          <w:sz w:val="20"/>
          <w:szCs w:val="20"/>
        </w:rPr>
        <w:t>no</w:t>
      </w:r>
      <w:r>
        <w:rPr>
          <w:sz w:val="20"/>
          <w:szCs w:val="20"/>
        </w:rPr>
        <w:t>t</w:t>
      </w:r>
      <w:r>
        <w:rPr>
          <w:sz w:val="20"/>
          <w:szCs w:val="20"/>
        </w:rPr>
        <w:t xml:space="preserve"> result in any material changes to the Company’s revenue recognition as compared to the previous guidance.</w:t>
      </w:r>
    </w:p>
    <w:p w14:paraId="19AE712A" w14:textId="77777777" w:rsidR="00000000" w:rsidRDefault="0053651E">
      <w:pPr>
        <w:pStyle w:val="a3"/>
        <w:spacing w:before="0" w:beforeAutospacing="0" w:after="0" w:afterAutospacing="0"/>
        <w:ind w:left="360"/>
        <w:jc w:val="both"/>
        <w:rPr>
          <w:sz w:val="20"/>
          <w:szCs w:val="20"/>
        </w:rPr>
      </w:pPr>
      <w:r>
        <w:rPr>
          <w:sz w:val="20"/>
          <w:szCs w:val="20"/>
        </w:rPr>
        <w:t> </w:t>
      </w:r>
    </w:p>
    <w:p w14:paraId="54381CF7" w14:textId="77777777" w:rsidR="00000000" w:rsidRDefault="0053651E">
      <w:pPr>
        <w:pStyle w:val="a3"/>
        <w:spacing w:before="0" w:beforeAutospacing="0" w:after="0" w:afterAutospacing="0"/>
        <w:ind w:left="360"/>
        <w:jc w:val="both"/>
        <w:rPr>
          <w:sz w:val="20"/>
          <w:szCs w:val="20"/>
        </w:rPr>
      </w:pPr>
      <w:r>
        <w:rPr>
          <w:sz w:val="20"/>
          <w:szCs w:val="20"/>
        </w:rPr>
        <w:t>The Company’</w:t>
      </w:r>
      <w:r>
        <w:rPr>
          <w:sz w:val="20"/>
          <w:szCs w:val="20"/>
        </w:rPr>
        <w:t>s primary source of revenues are derived from lease agreements which fall under the scope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w:t>
      </w:r>
      <w:r>
        <w:rPr>
          <w:i/>
          <w:iCs/>
          <w:sz w:val="20"/>
          <w:szCs w:val="20"/>
        </w:rPr>
        <w:t>Leases (Topic</w:t>
      </w:r>
      <w:r>
        <w:rPr>
          <w:i/>
          <w:iCs/>
          <w:sz w:val="20"/>
          <w:szCs w:val="20"/>
        </w:rPr>
        <w:t xml:space="preserve"> </w:t>
      </w:r>
      <w:r>
        <w:rPr>
          <w:rStyle w:val="a6"/>
          <w:i w:val="0"/>
          <w:iCs w:val="0"/>
          <w:sz w:val="20"/>
          <w:szCs w:val="20"/>
        </w:rPr>
        <w:t>842</w:t>
      </w:r>
      <w:r>
        <w:rPr>
          <w:i/>
          <w:iCs/>
          <w:sz w:val="20"/>
          <w:szCs w:val="20"/>
        </w:rPr>
        <w:t>),</w:t>
      </w:r>
      <w:r>
        <w:rPr>
          <w:sz w:val="20"/>
          <w:szCs w:val="20"/>
        </w:rPr>
        <w:t xml:space="preserve"> (“Topic</w:t>
      </w:r>
      <w:r>
        <w:rPr>
          <w:sz w:val="20"/>
          <w:szCs w:val="20"/>
        </w:rPr>
        <w:t xml:space="preserve"> </w:t>
      </w:r>
      <w:r>
        <w:rPr>
          <w:rStyle w:val="a6"/>
          <w:i w:val="0"/>
          <w:iCs w:val="0"/>
          <w:sz w:val="20"/>
          <w:szCs w:val="20"/>
        </w:rPr>
        <w:t>842”</w:t>
      </w:r>
      <w:r>
        <w:rPr>
          <w:sz w:val="20"/>
          <w:szCs w:val="20"/>
        </w:rPr>
        <w:t>), which includes rental income and expense reimbursement income. The Company also has revenues which are accounted fo</w:t>
      </w:r>
      <w:r>
        <w:rPr>
          <w:sz w:val="20"/>
          <w:szCs w:val="20"/>
        </w:rPr>
        <w:t>r under Topic</w:t>
      </w:r>
      <w:r>
        <w:rPr>
          <w:sz w:val="20"/>
          <w:szCs w:val="20"/>
        </w:rPr>
        <w:t xml:space="preserve"> </w:t>
      </w:r>
      <w:r>
        <w:rPr>
          <w:rStyle w:val="a6"/>
          <w:i w:val="0"/>
          <w:iCs w:val="0"/>
          <w:sz w:val="20"/>
          <w:szCs w:val="20"/>
        </w:rPr>
        <w:t>606,</w:t>
      </w:r>
      <w:r>
        <w:rPr>
          <w:sz w:val="20"/>
          <w:szCs w:val="20"/>
        </w:rPr>
        <w:t xml:space="preserve"> which include fees for services performed at various unconsolidated joint ventures for which the Company is the manager. These fees primarily include property and asset management fees, leasing fees, development fees and property acquisi</w:t>
      </w:r>
      <w:r>
        <w:rPr>
          <w:sz w:val="20"/>
          <w:szCs w:val="20"/>
        </w:rPr>
        <w:t>tion/disposition fees. Also affected by Topic</w:t>
      </w:r>
      <w:r>
        <w:rPr>
          <w:sz w:val="20"/>
          <w:szCs w:val="20"/>
        </w:rPr>
        <w:t xml:space="preserve"> </w:t>
      </w:r>
      <w:r>
        <w:rPr>
          <w:rStyle w:val="a6"/>
          <w:i w:val="0"/>
          <w:iCs w:val="0"/>
          <w:sz w:val="20"/>
          <w:szCs w:val="20"/>
        </w:rPr>
        <w:t>606</w:t>
      </w:r>
      <w:r>
        <w:rPr>
          <w:sz w:val="20"/>
          <w:szCs w:val="20"/>
        </w:rPr>
        <w:t xml:space="preserve"> are gains on sales of properties and tax increment financing (“TIF”) contracts. The Company presents its revenue streams on the Company’s Consolidated Statements of Income as Revenues from rental properties</w:t>
      </w:r>
      <w:r>
        <w:rPr>
          <w:sz w:val="20"/>
          <w:szCs w:val="20"/>
        </w:rPr>
        <w:t>, net and Management and other fee income.</w:t>
      </w:r>
    </w:p>
    <w:p w14:paraId="07BC1F3A" w14:textId="77777777" w:rsidR="00000000" w:rsidRDefault="0053651E">
      <w:pPr>
        <w:pStyle w:val="a3"/>
        <w:spacing w:before="0" w:beforeAutospacing="0" w:after="0" w:afterAutospacing="0"/>
        <w:ind w:left="360"/>
        <w:rPr>
          <w:sz w:val="20"/>
          <w:szCs w:val="20"/>
        </w:rPr>
      </w:pPr>
      <w:r>
        <w:rPr>
          <w:sz w:val="20"/>
          <w:szCs w:val="20"/>
        </w:rPr>
        <w:t> </w:t>
      </w:r>
    </w:p>
    <w:p w14:paraId="5706B256" w14:textId="77777777" w:rsidR="00000000" w:rsidRDefault="0053651E">
      <w:pPr>
        <w:pStyle w:val="a3"/>
        <w:spacing w:before="0" w:beforeAutospacing="0" w:after="0" w:afterAutospacing="0"/>
        <w:ind w:left="360"/>
        <w:rPr>
          <w:sz w:val="20"/>
          <w:szCs w:val="20"/>
        </w:rPr>
      </w:pPr>
      <w:r>
        <w:rPr>
          <w:i/>
          <w:iCs/>
          <w:sz w:val="20"/>
          <w:szCs w:val="20"/>
        </w:rPr>
        <w:t>Revenues from rental properties, net</w:t>
      </w:r>
    </w:p>
    <w:p w14:paraId="36F464E9" w14:textId="77777777" w:rsidR="00000000" w:rsidRDefault="0053651E">
      <w:pPr>
        <w:pStyle w:val="a3"/>
        <w:spacing w:before="0" w:beforeAutospacing="0" w:after="0" w:afterAutospacing="0"/>
        <w:ind w:left="360"/>
        <w:rPr>
          <w:sz w:val="20"/>
          <w:szCs w:val="20"/>
        </w:rPr>
      </w:pPr>
      <w:r>
        <w:rPr>
          <w:sz w:val="20"/>
          <w:szCs w:val="20"/>
        </w:rPr>
        <w:t> </w:t>
      </w:r>
    </w:p>
    <w:p w14:paraId="58D0060D" w14:textId="77777777" w:rsidR="00000000" w:rsidRDefault="0053651E">
      <w:pPr>
        <w:pStyle w:val="a3"/>
        <w:spacing w:before="0" w:beforeAutospacing="0" w:after="0" w:afterAutospacing="0"/>
        <w:ind w:left="360"/>
        <w:jc w:val="both"/>
        <w:rPr>
          <w:sz w:val="20"/>
          <w:szCs w:val="20"/>
        </w:rPr>
      </w:pPr>
      <w:r>
        <w:rPr>
          <w:sz w:val="20"/>
          <w:szCs w:val="20"/>
        </w:rPr>
        <w:t>Revenues from rental properties, net are comprised of minimum base rent, percentage rent, lease termination fee income, amortization of above-market and below-market rent a</w:t>
      </w:r>
      <w:r>
        <w:rPr>
          <w:sz w:val="20"/>
          <w:szCs w:val="20"/>
        </w:rPr>
        <w:t>djustments and straight-line rent adjustments. Upon the adoption of Topic</w:t>
      </w:r>
      <w:r>
        <w:rPr>
          <w:sz w:val="20"/>
          <w:szCs w:val="20"/>
        </w:rPr>
        <w:t xml:space="preserve"> </w:t>
      </w:r>
      <w:r>
        <w:rPr>
          <w:rStyle w:val="a6"/>
          <w:i w:val="0"/>
          <w:iCs w:val="0"/>
          <w:sz w:val="20"/>
          <w:szCs w:val="20"/>
        </w:rPr>
        <w:t>842,</w:t>
      </w:r>
      <w:r>
        <w:rPr>
          <w:sz w:val="20"/>
          <w:szCs w:val="20"/>
        </w:rPr>
        <w:t xml:space="preserve"> the Company elected the lessor practical expedient to combine the lease and non-lease components, determined the lease component was the predominant component and as a result, a</w:t>
      </w:r>
      <w:r>
        <w:rPr>
          <w:sz w:val="20"/>
          <w:szCs w:val="20"/>
        </w:rPr>
        <w:t>ccounted for the combined components under Topic</w:t>
      </w:r>
      <w:r>
        <w:rPr>
          <w:sz w:val="20"/>
          <w:szCs w:val="20"/>
        </w:rPr>
        <w:t xml:space="preserve"> </w:t>
      </w:r>
      <w:r>
        <w:rPr>
          <w:rStyle w:val="a6"/>
          <w:i w:val="0"/>
          <w:iCs w:val="0"/>
          <w:sz w:val="20"/>
          <w:szCs w:val="20"/>
        </w:rPr>
        <w:t>842.</w:t>
      </w:r>
      <w:r>
        <w:rPr>
          <w:sz w:val="20"/>
          <w:szCs w:val="20"/>
        </w:rPr>
        <w:t xml:space="preserve"> Non-lease components include reimbursements paid to the Company from tenants for common area maintenance costs and other operating expenses. The combined components are included in Revenues from rental </w:t>
      </w:r>
      <w:r>
        <w:rPr>
          <w:sz w:val="20"/>
          <w:szCs w:val="20"/>
        </w:rPr>
        <w:t>properties, net on the Company’s Consolidated Statements of Income.</w:t>
      </w:r>
    </w:p>
    <w:p w14:paraId="3F84FE89" w14:textId="77777777" w:rsidR="00000000" w:rsidRDefault="0053651E">
      <w:pPr>
        <w:pStyle w:val="a3"/>
        <w:spacing w:before="0" w:beforeAutospacing="0" w:after="0" w:afterAutospacing="0"/>
        <w:ind w:left="360"/>
        <w:jc w:val="both"/>
        <w:rPr>
          <w:sz w:val="20"/>
          <w:szCs w:val="20"/>
        </w:rPr>
      </w:pPr>
      <w:r>
        <w:rPr>
          <w:sz w:val="20"/>
          <w:szCs w:val="20"/>
        </w:rPr>
        <w:t> </w:t>
      </w:r>
    </w:p>
    <w:p w14:paraId="6C259121" w14:textId="77777777" w:rsidR="00000000" w:rsidRDefault="0053651E">
      <w:pPr>
        <w:jc w:val="center"/>
        <w:divId w:val="977301154"/>
        <w:rPr>
          <w:rFonts w:eastAsia="Times New Roman"/>
          <w:sz w:val="20"/>
          <w:szCs w:val="20"/>
        </w:rPr>
      </w:pPr>
      <w:r>
        <w:rPr>
          <w:rStyle w:val="a6"/>
          <w:rFonts w:eastAsia="Times New Roman"/>
          <w:i w:val="0"/>
          <w:iCs w:val="0"/>
          <w:sz w:val="20"/>
          <w:szCs w:val="20"/>
        </w:rPr>
        <w:t>54</w:t>
      </w:r>
      <w:r>
        <w:rPr>
          <w:rFonts w:eastAsia="Times New Roman"/>
          <w:sz w:val="20"/>
          <w:szCs w:val="20"/>
        </w:rPr>
        <w:t xml:space="preserve"> </w:t>
      </w:r>
    </w:p>
    <w:p w14:paraId="783D8423" w14:textId="77777777" w:rsidR="00000000" w:rsidRDefault="0053651E">
      <w:pPr>
        <w:divId w:val="977301154"/>
        <w:rPr>
          <w:rFonts w:eastAsia="Times New Roman"/>
          <w:sz w:val="20"/>
          <w:szCs w:val="20"/>
        </w:rPr>
      </w:pPr>
      <w:r>
        <w:rPr>
          <w:rFonts w:eastAsia="Times New Roman"/>
          <w:sz w:val="20"/>
          <w:szCs w:val="20"/>
        </w:rPr>
        <w:pict w14:anchorId="7A29D528">
          <v:rect id="_x0000_i1085" style="width:415.3pt;height:1.5pt" o:hralign="center" o:hrstd="t" o:hrnoshade="t" o:hr="t" fillcolor="black" stroked="f"/>
        </w:pict>
      </w:r>
    </w:p>
    <w:p w14:paraId="6B033B4F" w14:textId="77777777" w:rsidR="00000000" w:rsidRDefault="0053651E">
      <w:pPr>
        <w:divId w:val="9773011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60724A1" w14:textId="77777777" w:rsidR="00000000" w:rsidRDefault="0053651E">
      <w:pPr>
        <w:pStyle w:val="a3"/>
        <w:spacing w:before="0" w:beforeAutospacing="0" w:after="0" w:afterAutospacing="0"/>
        <w:rPr>
          <w:sz w:val="20"/>
          <w:szCs w:val="20"/>
        </w:rPr>
      </w:pPr>
      <w:r>
        <w:rPr>
          <w:sz w:val="20"/>
          <w:szCs w:val="20"/>
        </w:rPr>
        <w:t> </w:t>
      </w:r>
    </w:p>
    <w:p w14:paraId="0B153A17"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86232BC" w14:textId="77777777" w:rsidR="00000000" w:rsidRDefault="0053651E">
      <w:pPr>
        <w:pStyle w:val="a3"/>
        <w:spacing w:before="0" w:beforeAutospacing="0" w:after="0" w:afterAutospacing="0"/>
        <w:jc w:val="center"/>
        <w:rPr>
          <w:sz w:val="20"/>
          <w:szCs w:val="20"/>
        </w:rPr>
      </w:pPr>
      <w:r>
        <w:rPr>
          <w:sz w:val="20"/>
          <w:szCs w:val="20"/>
        </w:rPr>
        <w:t> </w:t>
      </w:r>
    </w:p>
    <w:p w14:paraId="7A4140D7"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3461838C" w14:textId="77777777" w:rsidR="00000000" w:rsidRDefault="0053651E">
      <w:pPr>
        <w:pStyle w:val="a3"/>
        <w:spacing w:before="0" w:beforeAutospacing="0" w:after="0" w:afterAutospacing="0"/>
        <w:rPr>
          <w:sz w:val="20"/>
          <w:szCs w:val="20"/>
        </w:rPr>
      </w:pPr>
      <w:r>
        <w:rPr>
          <w:sz w:val="20"/>
          <w:szCs w:val="20"/>
        </w:rPr>
        <w:t> </w:t>
      </w:r>
    </w:p>
    <w:p w14:paraId="1C006D0D" w14:textId="77777777" w:rsidR="00000000" w:rsidRDefault="0053651E">
      <w:pPr>
        <w:pStyle w:val="a3"/>
        <w:spacing w:before="0" w:beforeAutospacing="0" w:after="0" w:afterAutospacing="0"/>
        <w:ind w:left="360"/>
        <w:jc w:val="both"/>
        <w:rPr>
          <w:sz w:val="20"/>
          <w:szCs w:val="20"/>
        </w:rPr>
      </w:pPr>
      <w:r>
        <w:rPr>
          <w:sz w:val="20"/>
          <w:szCs w:val="20"/>
        </w:rPr>
        <w:t>Base rental revenues from rental properties are recognized on a straight-line</w:t>
      </w:r>
      <w:r>
        <w:rPr>
          <w:sz w:val="20"/>
          <w:szCs w:val="20"/>
        </w:rPr>
        <w:t xml:space="preserve"> basis over the terms of the related leases. Certain of these leases also provide for percentage rents based upon the level of sales achieved by the lessee. These percentage rents are recognized once the required sales level is achieved.  Rental income</w:t>
      </w:r>
      <w:r>
        <w:rPr>
          <w:sz w:val="20"/>
          <w:szCs w:val="20"/>
        </w:rPr>
        <w:t xml:space="preserve"> </w:t>
      </w:r>
      <w:r>
        <w:rPr>
          <w:rStyle w:val="a6"/>
          <w:i w:val="0"/>
          <w:iCs w:val="0"/>
          <w:sz w:val="20"/>
          <w:szCs w:val="20"/>
        </w:rPr>
        <w:t>may</w:t>
      </w:r>
      <w:r>
        <w:rPr>
          <w:rStyle w:val="a6"/>
          <w:i w:val="0"/>
          <w:iCs w:val="0"/>
          <w:sz w:val="20"/>
          <w:szCs w:val="20"/>
        </w:rPr>
        <w:t xml:space="preserve"> </w:t>
      </w:r>
      <w:r>
        <w:rPr>
          <w:sz w:val="20"/>
          <w:szCs w:val="20"/>
        </w:rPr>
        <w:t>also include payments received in connection with lease termination agreements.  Lease termination fee income is recognized when the lessee provides consideration in order to terminate an existing lease agreement and has vacated the leased space. If the l</w:t>
      </w:r>
      <w:r>
        <w:rPr>
          <w:sz w:val="20"/>
          <w:szCs w:val="20"/>
        </w:rPr>
        <w:t>essee continues to occupy the leased space for a period of time after the lease termination is agreed upon, the termination fee is accounted for as a lease modification based on the modified lease term. Capitalized above-market or below-market intangible a</w:t>
      </w:r>
      <w:r>
        <w:rPr>
          <w:sz w:val="20"/>
          <w:szCs w:val="20"/>
        </w:rPr>
        <w:t>sset or liability is amortized to rental income over the estimated remaining term of the respective leases, which includes the expected renewal option period for below-market leases.</w:t>
      </w:r>
    </w:p>
    <w:p w14:paraId="5764415F" w14:textId="77777777" w:rsidR="00000000" w:rsidRDefault="0053651E">
      <w:pPr>
        <w:pStyle w:val="a3"/>
        <w:spacing w:before="0" w:beforeAutospacing="0" w:after="0" w:afterAutospacing="0"/>
        <w:ind w:left="360"/>
        <w:jc w:val="both"/>
        <w:rPr>
          <w:sz w:val="20"/>
          <w:szCs w:val="20"/>
        </w:rPr>
      </w:pPr>
      <w:r>
        <w:rPr>
          <w:sz w:val="20"/>
          <w:szCs w:val="20"/>
        </w:rPr>
        <w:t> </w:t>
      </w:r>
    </w:p>
    <w:p w14:paraId="3C2CB573" w14:textId="77777777" w:rsidR="00000000" w:rsidRDefault="0053651E">
      <w:pPr>
        <w:pStyle w:val="a3"/>
        <w:spacing w:before="0" w:beforeAutospacing="0" w:after="0" w:afterAutospacing="0"/>
        <w:ind w:left="360"/>
        <w:jc w:val="both"/>
        <w:rPr>
          <w:sz w:val="20"/>
          <w:szCs w:val="20"/>
        </w:rPr>
      </w:pPr>
      <w:r>
        <w:rPr>
          <w:sz w:val="20"/>
          <w:szCs w:val="20"/>
        </w:rPr>
        <w:t>Also included in Revenues from rental properties, net are ancillary inc</w:t>
      </w:r>
      <w:r>
        <w:rPr>
          <w:sz w:val="20"/>
          <w:szCs w:val="20"/>
        </w:rPr>
        <w:t xml:space="preserve">ome and TIF income. Ancillary income is derived through various agreements relating to parking lots, clothing bins, temporary storage, vending machines, ATMs, trash bins and trash collections, seasonal leases, etc. The majority of the revenue derived from </w:t>
      </w:r>
      <w:r>
        <w:rPr>
          <w:sz w:val="20"/>
          <w:szCs w:val="20"/>
        </w:rPr>
        <w:t>these sources are through lease agreements/arrangements and are recognized in accordance with the lease terms described in the lease. The Company has TIF agreements with certain municipalities and receives payments in accordance with the agreements. TIF re</w:t>
      </w:r>
      <w:r>
        <w:rPr>
          <w:sz w:val="20"/>
          <w:szCs w:val="20"/>
        </w:rPr>
        <w:t>imbursement income is recognized on a cash basis when received.</w:t>
      </w:r>
    </w:p>
    <w:p w14:paraId="1A39D1C0" w14:textId="77777777" w:rsidR="00000000" w:rsidRDefault="0053651E">
      <w:pPr>
        <w:pStyle w:val="a3"/>
        <w:spacing w:before="0" w:beforeAutospacing="0" w:after="0" w:afterAutospacing="0"/>
        <w:ind w:left="360"/>
        <w:rPr>
          <w:sz w:val="20"/>
          <w:szCs w:val="20"/>
        </w:rPr>
      </w:pPr>
      <w:r>
        <w:rPr>
          <w:sz w:val="20"/>
          <w:szCs w:val="20"/>
        </w:rPr>
        <w:t> </w:t>
      </w:r>
    </w:p>
    <w:p w14:paraId="3730657A" w14:textId="77777777" w:rsidR="00000000" w:rsidRDefault="0053651E">
      <w:pPr>
        <w:pStyle w:val="a3"/>
        <w:spacing w:before="0" w:beforeAutospacing="0" w:after="0" w:afterAutospacing="0"/>
        <w:ind w:left="360"/>
        <w:rPr>
          <w:sz w:val="20"/>
          <w:szCs w:val="20"/>
        </w:rPr>
      </w:pPr>
      <w:r>
        <w:rPr>
          <w:i/>
          <w:iCs/>
          <w:sz w:val="20"/>
          <w:szCs w:val="20"/>
        </w:rPr>
        <w:t>Management and other fee income</w:t>
      </w:r>
    </w:p>
    <w:p w14:paraId="56B1D209" w14:textId="77777777" w:rsidR="00000000" w:rsidRDefault="0053651E">
      <w:pPr>
        <w:pStyle w:val="a3"/>
        <w:spacing w:before="0" w:beforeAutospacing="0" w:after="0" w:afterAutospacing="0"/>
        <w:ind w:left="360"/>
        <w:rPr>
          <w:sz w:val="20"/>
          <w:szCs w:val="20"/>
        </w:rPr>
      </w:pPr>
      <w:r>
        <w:rPr>
          <w:sz w:val="20"/>
          <w:szCs w:val="20"/>
        </w:rPr>
        <w:t> </w:t>
      </w:r>
    </w:p>
    <w:p w14:paraId="7ED37F81" w14:textId="77777777" w:rsidR="00000000" w:rsidRDefault="0053651E">
      <w:pPr>
        <w:pStyle w:val="a3"/>
        <w:spacing w:before="0" w:beforeAutospacing="0" w:after="0" w:afterAutospacing="0"/>
        <w:ind w:left="360"/>
        <w:jc w:val="both"/>
        <w:rPr>
          <w:sz w:val="20"/>
          <w:szCs w:val="20"/>
        </w:rPr>
      </w:pPr>
      <w:r>
        <w:rPr>
          <w:sz w:val="20"/>
          <w:szCs w:val="20"/>
        </w:rPr>
        <w:t>Property management fees, property acquisition and disposition fees, construction management fees, leasing fees and asset management fees all fall within the scope of Topic</w:t>
      </w:r>
      <w:r>
        <w:rPr>
          <w:sz w:val="20"/>
          <w:szCs w:val="20"/>
        </w:rPr>
        <w:t xml:space="preserve"> </w:t>
      </w:r>
      <w:r>
        <w:rPr>
          <w:rStyle w:val="a6"/>
          <w:i w:val="0"/>
          <w:iCs w:val="0"/>
          <w:sz w:val="20"/>
          <w:szCs w:val="20"/>
        </w:rPr>
        <w:t>606.</w:t>
      </w:r>
      <w:r>
        <w:rPr>
          <w:sz w:val="20"/>
          <w:szCs w:val="20"/>
        </w:rPr>
        <w:t xml:space="preserve"> These fees arise from contractual agreements with</w:t>
      </w:r>
      <w:r>
        <w:rPr>
          <w:sz w:val="20"/>
          <w:szCs w:val="20"/>
        </w:rPr>
        <w:t xml:space="preserve"> </w:t>
      </w:r>
      <w:r>
        <w:rPr>
          <w:rStyle w:val="a6"/>
          <w:i w:val="0"/>
          <w:iCs w:val="0"/>
          <w:sz w:val="20"/>
          <w:szCs w:val="20"/>
        </w:rPr>
        <w:t>third</w:t>
      </w:r>
      <w:r>
        <w:rPr>
          <w:sz w:val="20"/>
          <w:szCs w:val="20"/>
        </w:rPr>
        <w:t xml:space="preserve"> parties or with entiti</w:t>
      </w:r>
      <w:r>
        <w:rPr>
          <w:sz w:val="20"/>
          <w:szCs w:val="20"/>
        </w:rPr>
        <w:t>es in which the Company has a noncontrolling interest. Management and other fee income related to partially owned entities are recognized to the extent attributable to the unaffiliated interest. Property and asset management fee income is recognized as a s</w:t>
      </w:r>
      <w:r>
        <w:rPr>
          <w:sz w:val="20"/>
          <w:szCs w:val="20"/>
        </w:rPr>
        <w:t>ingle performance obligation (managing the property) comprised of a series of distinct services (maintaining property, handling tenant inquiries, etc.). The Company believes that the overall service of property management is substantially the same each day</w:t>
      </w:r>
      <w:r>
        <w:rPr>
          <w:sz w:val="20"/>
          <w:szCs w:val="20"/>
        </w:rPr>
        <w:t xml:space="preserve"> and has the same pattern of performance over the term of the agreement. As a result, each day of service represents a performance obligation satisfied at that point in time. These fees are recognized at the end of each period for services performed during</w:t>
      </w:r>
      <w:r>
        <w:rPr>
          <w:sz w:val="20"/>
          <w:szCs w:val="20"/>
        </w:rPr>
        <w:t xml:space="preserve"> that period, primarily billed to the customer monthly and terms for payment are payment due upon receipt.</w:t>
      </w:r>
    </w:p>
    <w:p w14:paraId="12CF68B5" w14:textId="77777777" w:rsidR="00000000" w:rsidRDefault="0053651E">
      <w:pPr>
        <w:pStyle w:val="a3"/>
        <w:spacing w:before="0" w:beforeAutospacing="0" w:after="0" w:afterAutospacing="0"/>
        <w:ind w:left="360"/>
        <w:jc w:val="both"/>
        <w:rPr>
          <w:sz w:val="20"/>
          <w:szCs w:val="20"/>
        </w:rPr>
      </w:pPr>
      <w:r>
        <w:rPr>
          <w:sz w:val="20"/>
          <w:szCs w:val="20"/>
        </w:rPr>
        <w:t> </w:t>
      </w:r>
    </w:p>
    <w:p w14:paraId="39F0B083" w14:textId="77777777" w:rsidR="00000000" w:rsidRDefault="0053651E">
      <w:pPr>
        <w:pStyle w:val="a3"/>
        <w:spacing w:before="0" w:beforeAutospacing="0" w:after="0" w:afterAutospacing="0"/>
        <w:ind w:left="360"/>
        <w:jc w:val="both"/>
        <w:rPr>
          <w:sz w:val="20"/>
          <w:szCs w:val="20"/>
        </w:rPr>
      </w:pPr>
      <w:r>
        <w:rPr>
          <w:sz w:val="20"/>
          <w:szCs w:val="20"/>
        </w:rPr>
        <w:t>Leasing fee income is recognized as a single performance obligation primarily upon the rent commencement date. The Company believes the leasing ser</w:t>
      </w:r>
      <w:r>
        <w:rPr>
          <w:sz w:val="20"/>
          <w:szCs w:val="20"/>
        </w:rPr>
        <w:t>vices it provides are similar for each available space leased and</w:t>
      </w:r>
      <w:r>
        <w:rPr>
          <w:sz w:val="20"/>
          <w:szCs w:val="20"/>
        </w:rPr>
        <w:t xml:space="preserve"> </w:t>
      </w:r>
      <w:r>
        <w:rPr>
          <w:rStyle w:val="a6"/>
          <w:i w:val="0"/>
          <w:iCs w:val="0"/>
          <w:sz w:val="20"/>
          <w:szCs w:val="20"/>
        </w:rPr>
        <w:t>none</w:t>
      </w:r>
      <w:r>
        <w:rPr>
          <w:sz w:val="20"/>
          <w:szCs w:val="20"/>
        </w:rPr>
        <w:t xml:space="preserve"> of the individual activities necessary to facilitate the execution of each lease are distinct. These fees are billed to the customer monthly and terms for payment are payment due upon r</w:t>
      </w:r>
      <w:r>
        <w:rPr>
          <w:sz w:val="20"/>
          <w:szCs w:val="20"/>
        </w:rPr>
        <w:t>eceipt.</w:t>
      </w:r>
    </w:p>
    <w:p w14:paraId="61B05360" w14:textId="77777777" w:rsidR="00000000" w:rsidRDefault="0053651E">
      <w:pPr>
        <w:pStyle w:val="a3"/>
        <w:spacing w:before="0" w:beforeAutospacing="0" w:after="0" w:afterAutospacing="0"/>
        <w:ind w:left="360"/>
        <w:jc w:val="both"/>
        <w:rPr>
          <w:sz w:val="20"/>
          <w:szCs w:val="20"/>
        </w:rPr>
      </w:pPr>
      <w:r>
        <w:rPr>
          <w:sz w:val="20"/>
          <w:szCs w:val="20"/>
        </w:rPr>
        <w:t> </w:t>
      </w:r>
    </w:p>
    <w:p w14:paraId="447B7625" w14:textId="77777777" w:rsidR="00000000" w:rsidRDefault="0053651E">
      <w:pPr>
        <w:pStyle w:val="a3"/>
        <w:spacing w:before="0" w:beforeAutospacing="0" w:after="0" w:afterAutospacing="0"/>
        <w:ind w:left="360"/>
        <w:jc w:val="both"/>
        <w:rPr>
          <w:sz w:val="20"/>
          <w:szCs w:val="20"/>
        </w:rPr>
      </w:pPr>
      <w:r>
        <w:rPr>
          <w:sz w:val="20"/>
          <w:szCs w:val="20"/>
        </w:rPr>
        <w:t>Property acquisition and disposition fees are recognized when the Company satisfies a performance obligation by acquiring a property or transferring control of a property. These fees are billed subsequent to the acquisition or sale of the propert</w:t>
      </w:r>
      <w:r>
        <w:rPr>
          <w:sz w:val="20"/>
          <w:szCs w:val="20"/>
        </w:rPr>
        <w:t>y and payment is due upon receipt.</w:t>
      </w:r>
    </w:p>
    <w:p w14:paraId="4F705556" w14:textId="77777777" w:rsidR="00000000" w:rsidRDefault="0053651E">
      <w:pPr>
        <w:pStyle w:val="a3"/>
        <w:spacing w:before="0" w:beforeAutospacing="0" w:after="0" w:afterAutospacing="0"/>
        <w:ind w:left="360"/>
        <w:jc w:val="both"/>
        <w:rPr>
          <w:sz w:val="20"/>
          <w:szCs w:val="20"/>
        </w:rPr>
      </w:pPr>
      <w:r>
        <w:rPr>
          <w:sz w:val="20"/>
          <w:szCs w:val="20"/>
        </w:rPr>
        <w:t> </w:t>
      </w:r>
    </w:p>
    <w:p w14:paraId="2386B3AA" w14:textId="77777777" w:rsidR="00000000" w:rsidRDefault="0053651E">
      <w:pPr>
        <w:pStyle w:val="a3"/>
        <w:spacing w:before="0" w:beforeAutospacing="0" w:after="0" w:afterAutospacing="0"/>
        <w:ind w:left="360"/>
        <w:jc w:val="both"/>
        <w:rPr>
          <w:sz w:val="20"/>
          <w:szCs w:val="20"/>
        </w:rPr>
      </w:pPr>
      <w:r>
        <w:rPr>
          <w:sz w:val="20"/>
          <w:szCs w:val="20"/>
        </w:rPr>
        <w:t>Construction management fees are recognized as a single performance obligation (managing the construction of the project) composed of a series of distinct services. The Company believes that the overall service of const</w:t>
      </w:r>
      <w:r>
        <w:rPr>
          <w:sz w:val="20"/>
          <w:szCs w:val="20"/>
        </w:rPr>
        <w:t xml:space="preserve">ruction management is substantially the same each day and has the same pattern of performance over the term of the agreement. As a result, each day of service represents a performance obligation satisfied at that point in time. These fees are based on the </w:t>
      </w:r>
      <w:r>
        <w:rPr>
          <w:sz w:val="20"/>
          <w:szCs w:val="20"/>
        </w:rPr>
        <w:t>amount spent on the construction at the end of each period for services performed during that period, primarily billed to the customer monthly and terms for payment are payment due upon receipt.</w:t>
      </w:r>
    </w:p>
    <w:p w14:paraId="01A7380F" w14:textId="77777777" w:rsidR="00000000" w:rsidRDefault="0053651E">
      <w:pPr>
        <w:pStyle w:val="a3"/>
        <w:spacing w:before="0" w:beforeAutospacing="0" w:after="0" w:afterAutospacing="0"/>
        <w:ind w:left="360"/>
        <w:jc w:val="both"/>
        <w:rPr>
          <w:sz w:val="20"/>
          <w:szCs w:val="20"/>
        </w:rPr>
      </w:pPr>
      <w:r>
        <w:rPr>
          <w:sz w:val="20"/>
          <w:szCs w:val="20"/>
        </w:rPr>
        <w:t> </w:t>
      </w:r>
    </w:p>
    <w:p w14:paraId="071E4CE0" w14:textId="77777777" w:rsidR="00000000" w:rsidRDefault="0053651E">
      <w:pPr>
        <w:pStyle w:val="a3"/>
        <w:spacing w:before="0" w:beforeAutospacing="0" w:after="0" w:afterAutospacing="0"/>
        <w:ind w:left="360"/>
        <w:rPr>
          <w:sz w:val="20"/>
          <w:szCs w:val="20"/>
        </w:rPr>
      </w:pPr>
      <w:r>
        <w:rPr>
          <w:i/>
          <w:iCs/>
          <w:sz w:val="20"/>
          <w:szCs w:val="20"/>
        </w:rPr>
        <w:t>Trade Accounts Receivable</w:t>
      </w:r>
    </w:p>
    <w:p w14:paraId="3077F469" w14:textId="77777777" w:rsidR="00000000" w:rsidRDefault="0053651E">
      <w:pPr>
        <w:pStyle w:val="a3"/>
        <w:spacing w:before="0" w:beforeAutospacing="0" w:after="0" w:afterAutospacing="0"/>
        <w:ind w:left="360"/>
        <w:rPr>
          <w:sz w:val="20"/>
          <w:szCs w:val="20"/>
        </w:rPr>
      </w:pPr>
      <w:r>
        <w:rPr>
          <w:i/>
          <w:iCs/>
          <w:sz w:val="20"/>
          <w:szCs w:val="20"/>
        </w:rPr>
        <w:t> </w:t>
      </w:r>
    </w:p>
    <w:p w14:paraId="04E8269E" w14:textId="77777777" w:rsidR="00000000" w:rsidRDefault="0053651E">
      <w:pPr>
        <w:pStyle w:val="a3"/>
        <w:spacing w:before="0" w:beforeAutospacing="0" w:after="0" w:afterAutospacing="0"/>
        <w:ind w:left="360"/>
        <w:jc w:val="both"/>
        <w:rPr>
          <w:sz w:val="20"/>
          <w:szCs w:val="20"/>
        </w:rPr>
      </w:pPr>
      <w:r>
        <w:rPr>
          <w:sz w:val="20"/>
          <w:szCs w:val="20"/>
        </w:rPr>
        <w:t>The Company reviews its trade a</w:t>
      </w:r>
      <w:r>
        <w:rPr>
          <w:sz w:val="20"/>
          <w:szCs w:val="20"/>
        </w:rPr>
        <w:t>ccounts receivable, including its straight-line rent receivable, related to base rents, straight-line rent, expense reimbursements and other revenues for collectability. The Company analyzes its accounts receivable, customer credit worthiness and current e</w:t>
      </w:r>
      <w:r>
        <w:rPr>
          <w:sz w:val="20"/>
          <w:szCs w:val="20"/>
        </w:rPr>
        <w:t>conomic trends when evaluating the adequacy of the collectability of the lessee’s total accounts receivable balance on a lease by lease basis. In addition, tenants in bankruptcy are analyzed and considerations are made in connection with the expected recov</w:t>
      </w:r>
      <w:r>
        <w:rPr>
          <w:sz w:val="20"/>
          <w:szCs w:val="20"/>
        </w:rPr>
        <w:t>ery of pre-petition and post-petition bankruptcy claims. Effective</w:t>
      </w:r>
      <w:r>
        <w:rPr>
          <w:sz w:val="20"/>
          <w:szCs w:val="20"/>
        </w:rPr>
        <w:t xml:space="preserve"> </w:t>
      </w:r>
      <w:r>
        <w:rPr>
          <w:rStyle w:val="a6"/>
          <w:i w:val="0"/>
          <w:iCs w:val="0"/>
          <w:sz w:val="20"/>
          <w:szCs w:val="20"/>
        </w:rPr>
        <w:t xml:space="preserve">January 1, 2019, </w:t>
      </w:r>
      <w:r>
        <w:rPr>
          <w:sz w:val="20"/>
          <w:szCs w:val="20"/>
        </w:rPr>
        <w:t>in accordance with the adoption of Topic</w:t>
      </w:r>
      <w:r>
        <w:rPr>
          <w:sz w:val="20"/>
          <w:szCs w:val="20"/>
        </w:rPr>
        <w:t xml:space="preserve"> </w:t>
      </w:r>
      <w:r>
        <w:rPr>
          <w:rStyle w:val="a6"/>
          <w:i w:val="0"/>
          <w:iCs w:val="0"/>
          <w:sz w:val="20"/>
          <w:szCs w:val="20"/>
        </w:rPr>
        <w:t>842,</w:t>
      </w:r>
      <w:r>
        <w:rPr>
          <w:sz w:val="20"/>
          <w:szCs w:val="20"/>
        </w:rPr>
        <w:t xml:space="preserve"> the Company includes provision for doubtful accounts in Revenues from rental properties, net. If a lessee’s accounts receivabl</w:t>
      </w:r>
      <w:r>
        <w:rPr>
          <w:sz w:val="20"/>
          <w:szCs w:val="20"/>
        </w:rPr>
        <w:t>e balance is considered uncollectible, the Company will write-off the receivable balances associated with the lease and will only recognize lease income on a cash basis. If the Company subsequently determines that it is probable it will collect the remaini</w:t>
      </w:r>
      <w:r>
        <w:rPr>
          <w:sz w:val="20"/>
          <w:szCs w:val="20"/>
        </w:rPr>
        <w:t>ng lessee’s lease payments under the lease term, the Company will then reinstate the straight-line balance and the lease income will then be limited to the lesser of (i) the straight-line rental income or (ii) the lease payments that have been collected fr</w:t>
      </w:r>
      <w:r>
        <w:rPr>
          <w:sz w:val="20"/>
          <w:szCs w:val="20"/>
        </w:rPr>
        <w:t>om the lessee. The Company’s reported net earnings are directly affected by management’s estimate of the collectability of its trade accounts receivable. Trade accounts receivable derived from expense reimbursements that are being disputed by the lessee, w</w:t>
      </w:r>
      <w:r>
        <w:rPr>
          <w:sz w:val="20"/>
          <w:szCs w:val="20"/>
        </w:rPr>
        <w:t>ill</w:t>
      </w:r>
      <w:r>
        <w:rPr>
          <w:sz w:val="20"/>
          <w:szCs w:val="20"/>
        </w:rPr>
        <w:t xml:space="preserve"> </w:t>
      </w:r>
      <w:r>
        <w:rPr>
          <w:rStyle w:val="a6"/>
          <w:i w:val="0"/>
          <w:iCs w:val="0"/>
          <w:sz w:val="20"/>
          <w:szCs w:val="20"/>
        </w:rPr>
        <w:t>not</w:t>
      </w:r>
      <w:r>
        <w:rPr>
          <w:sz w:val="20"/>
          <w:szCs w:val="20"/>
        </w:rPr>
        <w:t xml:space="preserve"> be written-off as it is presumed the Company will collect these receivables upon resolution with the tenant.</w:t>
      </w:r>
    </w:p>
    <w:p w14:paraId="591E3BA6" w14:textId="77777777" w:rsidR="00000000" w:rsidRDefault="0053651E">
      <w:pPr>
        <w:pStyle w:val="a3"/>
        <w:spacing w:before="0" w:beforeAutospacing="0" w:after="0" w:afterAutospacing="0"/>
        <w:ind w:left="360"/>
        <w:rPr>
          <w:sz w:val="20"/>
          <w:szCs w:val="20"/>
        </w:rPr>
      </w:pPr>
      <w:r>
        <w:rPr>
          <w:i/>
          <w:iCs/>
          <w:sz w:val="20"/>
          <w:szCs w:val="20"/>
        </w:rPr>
        <w:t> </w:t>
      </w:r>
    </w:p>
    <w:p w14:paraId="77E332FE" w14:textId="77777777" w:rsidR="00000000" w:rsidRDefault="0053651E">
      <w:pPr>
        <w:jc w:val="center"/>
        <w:divId w:val="1886602755"/>
        <w:rPr>
          <w:rFonts w:eastAsia="Times New Roman"/>
          <w:sz w:val="20"/>
          <w:szCs w:val="20"/>
        </w:rPr>
      </w:pPr>
      <w:r>
        <w:rPr>
          <w:rStyle w:val="a6"/>
          <w:rFonts w:eastAsia="Times New Roman"/>
          <w:i w:val="0"/>
          <w:iCs w:val="0"/>
          <w:sz w:val="20"/>
          <w:szCs w:val="20"/>
        </w:rPr>
        <w:t>55</w:t>
      </w:r>
      <w:r>
        <w:rPr>
          <w:rFonts w:eastAsia="Times New Roman"/>
          <w:sz w:val="20"/>
          <w:szCs w:val="20"/>
        </w:rPr>
        <w:t xml:space="preserve"> </w:t>
      </w:r>
    </w:p>
    <w:p w14:paraId="62284125" w14:textId="77777777" w:rsidR="00000000" w:rsidRDefault="0053651E">
      <w:pPr>
        <w:divId w:val="1886602755"/>
        <w:rPr>
          <w:rFonts w:eastAsia="Times New Roman"/>
          <w:sz w:val="20"/>
          <w:szCs w:val="20"/>
        </w:rPr>
      </w:pPr>
      <w:r>
        <w:rPr>
          <w:rFonts w:eastAsia="Times New Roman"/>
          <w:sz w:val="20"/>
          <w:szCs w:val="20"/>
        </w:rPr>
        <w:pict w14:anchorId="31E355FE">
          <v:rect id="_x0000_i1086" style="width:415.3pt;height:1.5pt" o:hralign="center" o:hrstd="t" o:hrnoshade="t" o:hr="t" fillcolor="black" stroked="f"/>
        </w:pict>
      </w:r>
    </w:p>
    <w:p w14:paraId="3D58007C" w14:textId="77777777" w:rsidR="00000000" w:rsidRDefault="0053651E">
      <w:pPr>
        <w:divId w:val="188660275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41758EE" w14:textId="77777777" w:rsidR="00000000" w:rsidRDefault="0053651E">
      <w:pPr>
        <w:pStyle w:val="a3"/>
        <w:spacing w:before="0" w:beforeAutospacing="0" w:after="0" w:afterAutospacing="0"/>
        <w:rPr>
          <w:sz w:val="20"/>
          <w:szCs w:val="20"/>
        </w:rPr>
      </w:pPr>
      <w:r>
        <w:rPr>
          <w:sz w:val="20"/>
          <w:szCs w:val="20"/>
        </w:rPr>
        <w:t> </w:t>
      </w:r>
    </w:p>
    <w:p w14:paraId="3EBB9208"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CDE0237" w14:textId="77777777" w:rsidR="00000000" w:rsidRDefault="0053651E">
      <w:pPr>
        <w:pStyle w:val="a3"/>
        <w:spacing w:before="0" w:beforeAutospacing="0" w:after="0" w:afterAutospacing="0"/>
        <w:jc w:val="center"/>
        <w:rPr>
          <w:sz w:val="20"/>
          <w:szCs w:val="20"/>
        </w:rPr>
      </w:pPr>
      <w:r>
        <w:rPr>
          <w:sz w:val="20"/>
          <w:szCs w:val="20"/>
        </w:rPr>
        <w:t> </w:t>
      </w:r>
    </w:p>
    <w:p w14:paraId="2C07D27F"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432315CC" w14:textId="77777777" w:rsidR="00000000" w:rsidRDefault="0053651E">
      <w:pPr>
        <w:pStyle w:val="a3"/>
        <w:spacing w:before="0" w:beforeAutospacing="0" w:after="0" w:afterAutospacing="0"/>
        <w:rPr>
          <w:sz w:val="20"/>
          <w:szCs w:val="20"/>
        </w:rPr>
      </w:pPr>
      <w:r>
        <w:rPr>
          <w:sz w:val="20"/>
          <w:szCs w:val="20"/>
        </w:rPr>
        <w:t> </w:t>
      </w:r>
    </w:p>
    <w:p w14:paraId="34080DC6" w14:textId="77777777" w:rsidR="00000000" w:rsidRDefault="0053651E">
      <w:pPr>
        <w:pStyle w:val="a3"/>
        <w:spacing w:before="0" w:beforeAutospacing="0" w:after="0" w:afterAutospacing="0"/>
        <w:ind w:left="360"/>
        <w:rPr>
          <w:sz w:val="20"/>
          <w:szCs w:val="20"/>
        </w:rPr>
      </w:pPr>
      <w:r>
        <w:rPr>
          <w:i/>
          <w:iCs/>
          <w:sz w:val="20"/>
          <w:szCs w:val="20"/>
        </w:rPr>
        <w:t>Gains on sales of properties/change in control of interests</w:t>
      </w:r>
    </w:p>
    <w:p w14:paraId="34053687" w14:textId="77777777" w:rsidR="00000000" w:rsidRDefault="0053651E">
      <w:pPr>
        <w:pStyle w:val="a3"/>
        <w:spacing w:before="0" w:beforeAutospacing="0" w:after="0" w:afterAutospacing="0"/>
        <w:ind w:left="360"/>
        <w:rPr>
          <w:sz w:val="20"/>
          <w:szCs w:val="20"/>
        </w:rPr>
      </w:pPr>
      <w:r>
        <w:rPr>
          <w:sz w:val="20"/>
          <w:szCs w:val="20"/>
        </w:rPr>
        <w:t> </w:t>
      </w:r>
    </w:p>
    <w:p w14:paraId="4709AB77" w14:textId="77777777" w:rsidR="00000000" w:rsidRDefault="0053651E">
      <w:pPr>
        <w:pStyle w:val="a3"/>
        <w:spacing w:before="0" w:beforeAutospacing="0" w:after="0" w:afterAutospacing="0"/>
        <w:ind w:left="360"/>
        <w:jc w:val="both"/>
        <w:rPr>
          <w:sz w:val="20"/>
          <w:szCs w:val="20"/>
        </w:rPr>
      </w:pPr>
      <w:r>
        <w:rPr>
          <w:sz w:val="20"/>
          <w:szCs w:val="20"/>
        </w:rPr>
        <w:t>On</w:t>
      </w:r>
      <w:r>
        <w:rPr>
          <w:sz w:val="20"/>
          <w:szCs w:val="20"/>
        </w:rPr>
        <w:t xml:space="preserve"> </w:t>
      </w:r>
      <w:r>
        <w:rPr>
          <w:rStyle w:val="a6"/>
          <w:i w:val="0"/>
          <w:iCs w:val="0"/>
          <w:sz w:val="20"/>
          <w:szCs w:val="20"/>
        </w:rPr>
        <w:t xml:space="preserve">January 1, 2018, </w:t>
      </w:r>
      <w:r>
        <w:rPr>
          <w:sz w:val="20"/>
          <w:szCs w:val="20"/>
        </w:rPr>
        <w:t>the Company also adopted ASU</w:t>
      </w:r>
      <w:r>
        <w:rPr>
          <w:sz w:val="20"/>
          <w:szCs w:val="20"/>
        </w:rPr>
        <w:t xml:space="preserve"> </w:t>
      </w:r>
      <w:r>
        <w:rPr>
          <w:rStyle w:val="a6"/>
          <w:i w:val="0"/>
          <w:iCs w:val="0"/>
          <w:sz w:val="20"/>
          <w:szCs w:val="20"/>
        </w:rPr>
        <w:t>2017</w:t>
      </w:r>
      <w:r>
        <w:rPr>
          <w:sz w:val="20"/>
          <w:szCs w:val="20"/>
        </w:rPr>
        <w:t>-</w:t>
      </w:r>
      <w:r>
        <w:rPr>
          <w:rStyle w:val="a6"/>
          <w:i w:val="0"/>
          <w:iCs w:val="0"/>
          <w:sz w:val="20"/>
          <w:szCs w:val="20"/>
        </w:rPr>
        <w:t>05,</w:t>
      </w:r>
      <w:r>
        <w:rPr>
          <w:sz w:val="20"/>
          <w:szCs w:val="20"/>
        </w:rPr>
        <w:t xml:space="preserve"> </w:t>
      </w:r>
      <w:r>
        <w:rPr>
          <w:i/>
          <w:iCs/>
          <w:sz w:val="20"/>
          <w:szCs w:val="20"/>
        </w:rPr>
        <w:t>Other Income–</w:t>
      </w:r>
      <w:r>
        <w:rPr>
          <w:i/>
          <w:iCs/>
          <w:sz w:val="20"/>
          <w:szCs w:val="20"/>
        </w:rPr>
        <w:t>Gains and Losses from the Derecognition of Nonfinancial Assets (Subtopic</w:t>
      </w:r>
      <w:r>
        <w:rPr>
          <w:i/>
          <w:iCs/>
          <w:sz w:val="20"/>
          <w:szCs w:val="20"/>
        </w:rPr>
        <w:t xml:space="preserve"> </w:t>
      </w:r>
      <w:r>
        <w:rPr>
          <w:rStyle w:val="a6"/>
          <w:i w:val="0"/>
          <w:iCs w:val="0"/>
          <w:sz w:val="20"/>
          <w:szCs w:val="20"/>
        </w:rPr>
        <w:t>610</w:t>
      </w:r>
      <w:r>
        <w:rPr>
          <w:i/>
          <w:iCs/>
          <w:sz w:val="20"/>
          <w:szCs w:val="20"/>
        </w:rPr>
        <w:t>-</w:t>
      </w:r>
      <w:r>
        <w:rPr>
          <w:rStyle w:val="a6"/>
          <w:i w:val="0"/>
          <w:iCs w:val="0"/>
          <w:sz w:val="20"/>
          <w:szCs w:val="20"/>
        </w:rPr>
        <w:t>20</w:t>
      </w:r>
      <w:r>
        <w:rPr>
          <w:i/>
          <w:iCs/>
          <w:sz w:val="20"/>
          <w:szCs w:val="20"/>
        </w:rPr>
        <w:t>): Clarifying the Scope of Asset Derecognition Guidance and Accounting for Partial Sales of Nonfinancial Assets</w:t>
      </w:r>
      <w:r>
        <w:rPr>
          <w:sz w:val="20"/>
          <w:szCs w:val="20"/>
        </w:rPr>
        <w:t xml:space="preserve"> (“Topic</w:t>
      </w:r>
      <w:r>
        <w:rPr>
          <w:sz w:val="20"/>
          <w:szCs w:val="20"/>
        </w:rPr>
        <w:t xml:space="preserve"> </w:t>
      </w:r>
      <w:r>
        <w:rPr>
          <w:rStyle w:val="a6"/>
          <w:i w:val="0"/>
          <w:iCs w:val="0"/>
          <w:sz w:val="20"/>
          <w:szCs w:val="20"/>
        </w:rPr>
        <w:t>610”</w:t>
      </w:r>
      <w:r>
        <w:rPr>
          <w:sz w:val="20"/>
          <w:szCs w:val="20"/>
        </w:rPr>
        <w:t xml:space="preserve">) for gains and losses from the sale and/or transfer </w:t>
      </w:r>
      <w:r>
        <w:rPr>
          <w:sz w:val="20"/>
          <w:szCs w:val="20"/>
        </w:rPr>
        <w:t>of real estate property. The Company adopted Topic</w:t>
      </w:r>
      <w:r>
        <w:rPr>
          <w:sz w:val="20"/>
          <w:szCs w:val="20"/>
        </w:rPr>
        <w:t xml:space="preserve"> </w:t>
      </w:r>
      <w:r>
        <w:rPr>
          <w:rStyle w:val="a6"/>
          <w:i w:val="0"/>
          <w:iCs w:val="0"/>
          <w:sz w:val="20"/>
          <w:szCs w:val="20"/>
        </w:rPr>
        <w:t>610</w:t>
      </w:r>
      <w:r>
        <w:rPr>
          <w:sz w:val="20"/>
          <w:szCs w:val="20"/>
        </w:rPr>
        <w:t xml:space="preserve"> using the modified retrospective approach for all contracts effective</w:t>
      </w:r>
      <w:r>
        <w:rPr>
          <w:sz w:val="20"/>
          <w:szCs w:val="20"/>
        </w:rPr>
        <w:t xml:space="preserve"> </w:t>
      </w:r>
      <w:r>
        <w:rPr>
          <w:rStyle w:val="a6"/>
          <w:i w:val="0"/>
          <w:iCs w:val="0"/>
          <w:sz w:val="20"/>
          <w:szCs w:val="20"/>
        </w:rPr>
        <w:t xml:space="preserve">January 1, 2018. </w:t>
      </w:r>
      <w:r>
        <w:rPr>
          <w:sz w:val="20"/>
          <w:szCs w:val="20"/>
        </w:rPr>
        <w:t>Topic</w:t>
      </w:r>
      <w:r>
        <w:rPr>
          <w:sz w:val="20"/>
          <w:szCs w:val="20"/>
        </w:rPr>
        <w:t xml:space="preserve"> </w:t>
      </w:r>
      <w:r>
        <w:rPr>
          <w:rStyle w:val="a6"/>
          <w:i w:val="0"/>
          <w:iCs w:val="0"/>
          <w:sz w:val="20"/>
          <w:szCs w:val="20"/>
        </w:rPr>
        <w:t>610</w:t>
      </w:r>
      <w:r>
        <w:rPr>
          <w:sz w:val="20"/>
          <w:szCs w:val="20"/>
        </w:rPr>
        <w:t xml:space="preserve"> provides that sales of nonfinancial assets, such as real estate, are to be recognized when control of th</w:t>
      </w:r>
      <w:r>
        <w:rPr>
          <w:sz w:val="20"/>
          <w:szCs w:val="20"/>
        </w:rPr>
        <w:t xml:space="preserve">e asset transfers to the buyer, which will occur when the buyer has the ability to direct the use of or obtain substantially all of the remaining benefits from the asset. This generally occurs when the transaction closes and consideration is exchanged for </w:t>
      </w:r>
      <w:r>
        <w:rPr>
          <w:sz w:val="20"/>
          <w:szCs w:val="20"/>
        </w:rPr>
        <w:t>control of the property.</w:t>
      </w:r>
    </w:p>
    <w:p w14:paraId="5903C693" w14:textId="77777777" w:rsidR="00000000" w:rsidRDefault="0053651E">
      <w:pPr>
        <w:pStyle w:val="a3"/>
        <w:spacing w:before="0" w:beforeAutospacing="0" w:after="0" w:afterAutospacing="0"/>
        <w:ind w:left="360"/>
        <w:jc w:val="both"/>
        <w:rPr>
          <w:sz w:val="20"/>
          <w:szCs w:val="20"/>
        </w:rPr>
      </w:pPr>
      <w:r>
        <w:rPr>
          <w:sz w:val="20"/>
          <w:szCs w:val="20"/>
        </w:rPr>
        <w:t> </w:t>
      </w:r>
    </w:p>
    <w:p w14:paraId="00E5E726" w14:textId="77777777" w:rsidR="00000000" w:rsidRDefault="0053651E">
      <w:pPr>
        <w:pStyle w:val="a3"/>
        <w:spacing w:before="0" w:beforeAutospacing="0" w:after="0" w:afterAutospacing="0"/>
        <w:ind w:left="360"/>
        <w:jc w:val="both"/>
        <w:rPr>
          <w:sz w:val="20"/>
          <w:szCs w:val="20"/>
        </w:rPr>
      </w:pPr>
      <w:r>
        <w:rPr>
          <w:sz w:val="20"/>
          <w:szCs w:val="20"/>
        </w:rPr>
        <w:t>In accordance with its election to apply the modified retrospective approach for all contracts, the Company recorded a cumulative-effect adjustment of $8.1 million to its beginning retained earnings as of</w:t>
      </w:r>
      <w:r>
        <w:rPr>
          <w:sz w:val="20"/>
          <w:szCs w:val="20"/>
        </w:rPr>
        <w:t xml:space="preserve"> </w:t>
      </w:r>
      <w:r>
        <w:rPr>
          <w:rStyle w:val="a6"/>
          <w:i w:val="0"/>
          <w:iCs w:val="0"/>
          <w:sz w:val="20"/>
          <w:szCs w:val="20"/>
        </w:rPr>
        <w:t xml:space="preserve">January 1, 2018, </w:t>
      </w:r>
      <w:r>
        <w:rPr>
          <w:sz w:val="20"/>
          <w:szCs w:val="20"/>
        </w:rPr>
        <w:t xml:space="preserve">on the </w:t>
      </w:r>
      <w:r>
        <w:rPr>
          <w:sz w:val="20"/>
          <w:szCs w:val="20"/>
        </w:rPr>
        <w:t>Company’s Consolidated Statements of Changes in Equity and an adjustment to Investments in and advances to real estate joint ventures on the Company’s Consolidated Balance Sheets. As of</w:t>
      </w:r>
      <w:r>
        <w:rPr>
          <w:sz w:val="20"/>
          <w:szCs w:val="20"/>
        </w:rPr>
        <w:t xml:space="preserve"> </w:t>
      </w:r>
      <w:r>
        <w:rPr>
          <w:rStyle w:val="a6"/>
          <w:i w:val="0"/>
          <w:iCs w:val="0"/>
          <w:sz w:val="20"/>
          <w:szCs w:val="20"/>
        </w:rPr>
        <w:t xml:space="preserve">December 31, 2017, </w:t>
      </w:r>
      <w:r>
        <w:rPr>
          <w:sz w:val="20"/>
          <w:szCs w:val="20"/>
        </w:rPr>
        <w:t>the Company had aggregate net deferred gains of $8.</w:t>
      </w:r>
      <w:r>
        <w:rPr>
          <w:sz w:val="20"/>
          <w:szCs w:val="20"/>
        </w:rPr>
        <w:t>1 million relating to partial disposals of</w:t>
      </w:r>
      <w:r>
        <w:rPr>
          <w:sz w:val="20"/>
          <w:szCs w:val="20"/>
        </w:rPr>
        <w:t xml:space="preserve"> </w:t>
      </w:r>
      <w:r>
        <w:rPr>
          <w:rStyle w:val="a6"/>
          <w:i w:val="0"/>
          <w:iCs w:val="0"/>
          <w:sz w:val="20"/>
          <w:szCs w:val="20"/>
        </w:rPr>
        <w:t>two</w:t>
      </w:r>
      <w:r>
        <w:rPr>
          <w:sz w:val="20"/>
          <w:szCs w:val="20"/>
        </w:rPr>
        <w:t xml:space="preserve"> operating real estate properties prior to the adoption of ASU</w:t>
      </w:r>
      <w:r>
        <w:rPr>
          <w:sz w:val="20"/>
          <w:szCs w:val="20"/>
        </w:rPr>
        <w:t xml:space="preserve"> </w:t>
      </w:r>
      <w:r>
        <w:rPr>
          <w:rStyle w:val="a6"/>
          <w:i w:val="0"/>
          <w:iCs w:val="0"/>
          <w:sz w:val="20"/>
          <w:szCs w:val="20"/>
        </w:rPr>
        <w:t>2017</w:t>
      </w:r>
      <w:r>
        <w:rPr>
          <w:sz w:val="20"/>
          <w:szCs w:val="20"/>
        </w:rPr>
        <w:t>-</w:t>
      </w:r>
      <w:r>
        <w:rPr>
          <w:rStyle w:val="a6"/>
          <w:i w:val="0"/>
          <w:iCs w:val="0"/>
          <w:sz w:val="20"/>
          <w:szCs w:val="20"/>
        </w:rPr>
        <w:t>05,</w:t>
      </w:r>
      <w:r>
        <w:rPr>
          <w:sz w:val="20"/>
          <w:szCs w:val="20"/>
        </w:rPr>
        <w:t xml:space="preserve"> of which $6.9 million was included in Investments in and advances to real estate joint ventures and $1.2 million was included in Other lia</w:t>
      </w:r>
      <w:r>
        <w:rPr>
          <w:sz w:val="20"/>
          <w:szCs w:val="20"/>
        </w:rPr>
        <w:t>bilities on the Company’s Consolidated Balance Sheets. The Company had deferred these gains in accordance with prior guidance due to its continuing involvement in the entities which acquired the operating real estate properties.</w:t>
      </w:r>
    </w:p>
    <w:p w14:paraId="0EE145F2" w14:textId="77777777" w:rsidR="00000000" w:rsidRDefault="0053651E">
      <w:pPr>
        <w:pStyle w:val="a3"/>
        <w:spacing w:before="0" w:beforeAutospacing="0" w:after="0" w:afterAutospacing="0"/>
        <w:ind w:left="360"/>
        <w:rPr>
          <w:sz w:val="20"/>
          <w:szCs w:val="20"/>
        </w:rPr>
      </w:pPr>
      <w:r>
        <w:rPr>
          <w:sz w:val="20"/>
          <w:szCs w:val="20"/>
        </w:rPr>
        <w:t> </w:t>
      </w:r>
    </w:p>
    <w:p w14:paraId="7344FDAC" w14:textId="77777777" w:rsidR="00000000" w:rsidRDefault="0053651E">
      <w:pPr>
        <w:pStyle w:val="a3"/>
        <w:spacing w:before="0" w:beforeAutospacing="0" w:after="0" w:afterAutospacing="0"/>
        <w:ind w:left="360"/>
        <w:jc w:val="both"/>
        <w:rPr>
          <w:sz w:val="20"/>
          <w:szCs w:val="20"/>
        </w:rPr>
      </w:pPr>
      <w:r>
        <w:rPr>
          <w:sz w:val="20"/>
          <w:szCs w:val="20"/>
          <w:u w:val="single"/>
        </w:rPr>
        <w:t>Leases</w:t>
      </w:r>
    </w:p>
    <w:p w14:paraId="38C4B3FF" w14:textId="77777777" w:rsidR="00000000" w:rsidRDefault="0053651E">
      <w:pPr>
        <w:pStyle w:val="a3"/>
        <w:spacing w:before="0" w:beforeAutospacing="0" w:after="0" w:afterAutospacing="0"/>
        <w:ind w:left="360"/>
        <w:jc w:val="both"/>
        <w:rPr>
          <w:sz w:val="20"/>
          <w:szCs w:val="20"/>
        </w:rPr>
      </w:pPr>
      <w:r>
        <w:rPr>
          <w:sz w:val="20"/>
          <w:szCs w:val="20"/>
        </w:rPr>
        <w:t> </w:t>
      </w:r>
    </w:p>
    <w:p w14:paraId="6D3A0D48" w14:textId="77777777" w:rsidR="00000000" w:rsidRDefault="0053651E">
      <w:pPr>
        <w:pStyle w:val="a3"/>
        <w:spacing w:before="0" w:beforeAutospacing="0" w:after="0" w:afterAutospacing="0"/>
        <w:ind w:left="360"/>
        <w:jc w:val="both"/>
        <w:rPr>
          <w:sz w:val="20"/>
          <w:szCs w:val="20"/>
        </w:rPr>
      </w:pPr>
      <w:r>
        <w:rPr>
          <w:sz w:val="20"/>
          <w:szCs w:val="20"/>
        </w:rPr>
        <w:t xml:space="preserve">The FASB issued </w:t>
      </w:r>
      <w:r>
        <w:rPr>
          <w:sz w:val="20"/>
          <w:szCs w:val="20"/>
        </w:rPr>
        <w:t>Topic</w:t>
      </w:r>
      <w:r>
        <w:rPr>
          <w:sz w:val="20"/>
          <w:szCs w:val="20"/>
        </w:rPr>
        <w:t xml:space="preserve"> </w:t>
      </w:r>
      <w:r>
        <w:rPr>
          <w:rStyle w:val="a6"/>
          <w:i w:val="0"/>
          <w:iCs w:val="0"/>
          <w:sz w:val="20"/>
          <w:szCs w:val="20"/>
        </w:rPr>
        <w:t>842,</w:t>
      </w:r>
      <w:r>
        <w:rPr>
          <w:sz w:val="20"/>
          <w:szCs w:val="20"/>
        </w:rPr>
        <w:t xml:space="preserve"> which amended the guidance in former ASC Topic</w:t>
      </w:r>
      <w:r>
        <w:rPr>
          <w:sz w:val="20"/>
          <w:szCs w:val="20"/>
        </w:rPr>
        <w:t xml:space="preserve"> </w:t>
      </w:r>
      <w:r>
        <w:rPr>
          <w:rStyle w:val="a6"/>
          <w:i w:val="0"/>
          <w:iCs w:val="0"/>
          <w:sz w:val="20"/>
          <w:szCs w:val="20"/>
        </w:rPr>
        <w:t>840,</w:t>
      </w:r>
      <w:r>
        <w:rPr>
          <w:sz w:val="20"/>
          <w:szCs w:val="20"/>
        </w:rPr>
        <w:t xml:space="preserve"> </w:t>
      </w:r>
      <w:r>
        <w:rPr>
          <w:i/>
          <w:iCs/>
          <w:sz w:val="20"/>
          <w:szCs w:val="20"/>
        </w:rPr>
        <w:t>Leases</w:t>
      </w:r>
      <w:r>
        <w:rPr>
          <w:sz w:val="20"/>
          <w:szCs w:val="20"/>
        </w:rPr>
        <w:t>. The new standard increases transparency and comparability by requiring the recognition by lessees of right-of-use (“ROU”) assets and lease liabilities on the balance sheet for those lea</w:t>
      </w:r>
      <w:r>
        <w:rPr>
          <w:sz w:val="20"/>
          <w:szCs w:val="20"/>
        </w:rPr>
        <w:t>ses classified as operating leases.</w:t>
      </w:r>
    </w:p>
    <w:p w14:paraId="671C8694" w14:textId="77777777" w:rsidR="00000000" w:rsidRDefault="0053651E">
      <w:pPr>
        <w:pStyle w:val="a3"/>
        <w:spacing w:before="0" w:beforeAutospacing="0" w:after="0" w:afterAutospacing="0"/>
        <w:ind w:left="360"/>
        <w:jc w:val="both"/>
        <w:rPr>
          <w:sz w:val="20"/>
          <w:szCs w:val="20"/>
        </w:rPr>
      </w:pPr>
      <w:r>
        <w:rPr>
          <w:sz w:val="20"/>
          <w:szCs w:val="20"/>
        </w:rPr>
        <w:t> </w:t>
      </w:r>
    </w:p>
    <w:p w14:paraId="4C63CCAF" w14:textId="77777777" w:rsidR="00000000" w:rsidRDefault="0053651E">
      <w:pPr>
        <w:pStyle w:val="a3"/>
        <w:spacing w:before="0" w:beforeAutospacing="0" w:after="0" w:afterAutospacing="0"/>
        <w:ind w:left="360"/>
        <w:jc w:val="both"/>
        <w:rPr>
          <w:sz w:val="20"/>
          <w:szCs w:val="20"/>
        </w:rPr>
      </w:pPr>
      <w:r>
        <w:rPr>
          <w:sz w:val="20"/>
          <w:szCs w:val="20"/>
        </w:rPr>
        <w:t>The Company adopted this standard effective</w:t>
      </w:r>
      <w:r>
        <w:rPr>
          <w:sz w:val="20"/>
          <w:szCs w:val="20"/>
        </w:rPr>
        <w:t xml:space="preserve"> </w:t>
      </w:r>
      <w:r>
        <w:rPr>
          <w:rStyle w:val="a6"/>
          <w:i w:val="0"/>
          <w:iCs w:val="0"/>
          <w:sz w:val="20"/>
          <w:szCs w:val="20"/>
        </w:rPr>
        <w:t xml:space="preserve">January 1, 2019 </w:t>
      </w:r>
      <w:r>
        <w:rPr>
          <w:sz w:val="20"/>
          <w:szCs w:val="20"/>
        </w:rPr>
        <w:t>under the modified retrospective approach and elected the optional transition method to apply the provisions of Topic</w:t>
      </w:r>
      <w:r>
        <w:rPr>
          <w:sz w:val="20"/>
          <w:szCs w:val="20"/>
        </w:rPr>
        <w:t xml:space="preserve"> </w:t>
      </w:r>
      <w:r>
        <w:rPr>
          <w:rStyle w:val="a6"/>
          <w:i w:val="0"/>
          <w:iCs w:val="0"/>
          <w:sz w:val="20"/>
          <w:szCs w:val="20"/>
        </w:rPr>
        <w:t>842</w:t>
      </w:r>
      <w:r>
        <w:rPr>
          <w:sz w:val="20"/>
          <w:szCs w:val="20"/>
        </w:rPr>
        <w:t xml:space="preserve"> as of the adoption date, rather than</w:t>
      </w:r>
      <w:r>
        <w:rPr>
          <w:sz w:val="20"/>
          <w:szCs w:val="20"/>
        </w:rPr>
        <w:t xml:space="preserve"> the earliest period presented. As such, the requirements of Topic</w:t>
      </w:r>
      <w:r>
        <w:rPr>
          <w:sz w:val="20"/>
          <w:szCs w:val="20"/>
        </w:rPr>
        <w:t xml:space="preserve"> </w:t>
      </w:r>
      <w:r>
        <w:rPr>
          <w:rStyle w:val="a6"/>
          <w:i w:val="0"/>
          <w:iCs w:val="0"/>
          <w:sz w:val="20"/>
          <w:szCs w:val="20"/>
        </w:rPr>
        <w:t>842</w:t>
      </w:r>
      <w:r>
        <w:rPr>
          <w:sz w:val="20"/>
          <w:szCs w:val="20"/>
        </w:rPr>
        <w:t xml:space="preserve"> were</w:t>
      </w:r>
      <w:r>
        <w:rPr>
          <w:sz w:val="20"/>
          <w:szCs w:val="20"/>
        </w:rPr>
        <w:t xml:space="preserve"> </w:t>
      </w:r>
      <w:r>
        <w:rPr>
          <w:rStyle w:val="a6"/>
          <w:i w:val="0"/>
          <w:iCs w:val="0"/>
          <w:sz w:val="20"/>
          <w:szCs w:val="20"/>
        </w:rPr>
        <w:t>not</w:t>
      </w:r>
      <w:r>
        <w:rPr>
          <w:sz w:val="20"/>
          <w:szCs w:val="20"/>
        </w:rPr>
        <w:t xml:space="preserve"> applied in the comparative periods presented in the Company’s Consolidated Financial Statements. The Company also elected the package of practical expedients, which permits the</w:t>
      </w:r>
      <w:r>
        <w:rPr>
          <w:sz w:val="20"/>
          <w:szCs w:val="20"/>
        </w:rPr>
        <w:t xml:space="preserve"> Company to</w:t>
      </w:r>
      <w:r>
        <w:rPr>
          <w:sz w:val="20"/>
          <w:szCs w:val="20"/>
        </w:rPr>
        <w:t xml:space="preserve"> </w:t>
      </w:r>
      <w:r>
        <w:rPr>
          <w:rStyle w:val="a6"/>
          <w:i w:val="0"/>
          <w:iCs w:val="0"/>
          <w:sz w:val="20"/>
          <w:szCs w:val="20"/>
        </w:rPr>
        <w:t>not</w:t>
      </w:r>
      <w:r>
        <w:rPr>
          <w:sz w:val="20"/>
          <w:szCs w:val="20"/>
        </w:rPr>
        <w:t xml:space="preserve"> reassess (i) whether any expired or existing contracts are or contain leases, (ii) the lease classification for any expired or existing leases and (iii) any initial direct costs for any existing leases as of the effective date. The Company </w:t>
      </w:r>
      <w:r>
        <w:rPr>
          <w:sz w:val="20"/>
          <w:szCs w:val="20"/>
        </w:rPr>
        <w:t>did</w:t>
      </w:r>
      <w:r>
        <w:rPr>
          <w:sz w:val="20"/>
          <w:szCs w:val="20"/>
        </w:rPr>
        <w:t xml:space="preserve"> </w:t>
      </w:r>
      <w:r>
        <w:rPr>
          <w:rStyle w:val="a6"/>
          <w:i w:val="0"/>
          <w:iCs w:val="0"/>
          <w:sz w:val="20"/>
          <w:szCs w:val="20"/>
        </w:rPr>
        <w:t>not</w:t>
      </w:r>
      <w:r>
        <w:rPr>
          <w:sz w:val="20"/>
          <w:szCs w:val="20"/>
        </w:rPr>
        <w:t xml:space="preserve"> elect the hindsight practical expedient, which permits entities to use hindsight in determining the lease term and assessing impairment.</w:t>
      </w:r>
    </w:p>
    <w:p w14:paraId="2BB02526" w14:textId="77777777" w:rsidR="00000000" w:rsidRDefault="0053651E">
      <w:pPr>
        <w:pStyle w:val="a3"/>
        <w:spacing w:before="0" w:beforeAutospacing="0" w:after="0" w:afterAutospacing="0"/>
        <w:ind w:left="360"/>
        <w:jc w:val="both"/>
        <w:rPr>
          <w:sz w:val="20"/>
          <w:szCs w:val="20"/>
        </w:rPr>
      </w:pPr>
      <w:r>
        <w:rPr>
          <w:sz w:val="20"/>
          <w:szCs w:val="20"/>
        </w:rPr>
        <w:t> </w:t>
      </w:r>
    </w:p>
    <w:p w14:paraId="1F8DF8E6" w14:textId="77777777" w:rsidR="00000000" w:rsidRDefault="0053651E">
      <w:pPr>
        <w:pStyle w:val="a3"/>
        <w:spacing w:before="0" w:beforeAutospacing="0" w:after="0" w:afterAutospacing="0"/>
        <w:ind w:left="360"/>
        <w:jc w:val="both"/>
        <w:rPr>
          <w:sz w:val="20"/>
          <w:szCs w:val="20"/>
        </w:rPr>
      </w:pPr>
      <w:r>
        <w:rPr>
          <w:i/>
          <w:iCs/>
          <w:sz w:val="20"/>
          <w:szCs w:val="20"/>
        </w:rPr>
        <w:t>Lessor</w:t>
      </w:r>
    </w:p>
    <w:p w14:paraId="24925E15" w14:textId="77777777" w:rsidR="00000000" w:rsidRDefault="0053651E">
      <w:pPr>
        <w:pStyle w:val="a3"/>
        <w:spacing w:before="0" w:beforeAutospacing="0" w:after="0" w:afterAutospacing="0"/>
        <w:ind w:left="360"/>
        <w:jc w:val="both"/>
        <w:rPr>
          <w:sz w:val="20"/>
          <w:szCs w:val="20"/>
        </w:rPr>
      </w:pPr>
      <w:r>
        <w:rPr>
          <w:sz w:val="20"/>
          <w:szCs w:val="20"/>
        </w:rPr>
        <w:t> </w:t>
      </w:r>
    </w:p>
    <w:p w14:paraId="1E300CE5" w14:textId="77777777" w:rsidR="00000000" w:rsidRDefault="0053651E">
      <w:pPr>
        <w:pStyle w:val="a3"/>
        <w:spacing w:before="0" w:beforeAutospacing="0" w:after="0" w:afterAutospacing="0"/>
        <w:ind w:left="360"/>
        <w:jc w:val="both"/>
        <w:rPr>
          <w:sz w:val="20"/>
          <w:szCs w:val="20"/>
        </w:rPr>
      </w:pPr>
      <w:r>
        <w:rPr>
          <w:sz w:val="20"/>
          <w:szCs w:val="20"/>
        </w:rPr>
        <w:t>In</w:t>
      </w:r>
      <w:r>
        <w:rPr>
          <w:sz w:val="20"/>
          <w:szCs w:val="20"/>
        </w:rPr>
        <w:t xml:space="preserve"> </w:t>
      </w:r>
      <w:r>
        <w:rPr>
          <w:rStyle w:val="a6"/>
          <w:i w:val="0"/>
          <w:iCs w:val="0"/>
          <w:sz w:val="20"/>
          <w:szCs w:val="20"/>
        </w:rPr>
        <w:t xml:space="preserve">July 2018, </w:t>
      </w:r>
      <w:r>
        <w:rPr>
          <w:sz w:val="20"/>
          <w:szCs w:val="20"/>
        </w:rPr>
        <w:t>the FASB issued guidance codified in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w:t>
      </w:r>
      <w:r>
        <w:rPr>
          <w:i/>
          <w:iCs/>
          <w:sz w:val="20"/>
          <w:szCs w:val="20"/>
        </w:rPr>
        <w:t>Leases - Targeted Improvements</w:t>
      </w:r>
      <w:r>
        <w:rPr>
          <w:sz w:val="20"/>
          <w:szCs w:val="20"/>
        </w:rPr>
        <w:t xml:space="preserve">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provides a practical expedient, which allows lessors to combine non-lease components with the related lease components if (i) both the timing and pattern of transfer are the same for the non-lease component(s) and related lease comp</w:t>
      </w:r>
      <w:r>
        <w:rPr>
          <w:sz w:val="20"/>
          <w:szCs w:val="20"/>
        </w:rPr>
        <w:t>onent, and (ii) the lease component would be classified as an operating lease if accounted for separately. The single combined component is accounted for under Topic</w:t>
      </w:r>
      <w:r>
        <w:rPr>
          <w:sz w:val="20"/>
          <w:szCs w:val="20"/>
        </w:rPr>
        <w:t xml:space="preserve"> </w:t>
      </w:r>
      <w:r>
        <w:rPr>
          <w:rStyle w:val="a6"/>
          <w:i w:val="0"/>
          <w:iCs w:val="0"/>
          <w:sz w:val="20"/>
          <w:szCs w:val="20"/>
        </w:rPr>
        <w:t>842</w:t>
      </w:r>
      <w:r>
        <w:rPr>
          <w:sz w:val="20"/>
          <w:szCs w:val="20"/>
        </w:rPr>
        <w:t xml:space="preserve"> if the lease component is the predominant component and is accounted for under Topic</w:t>
      </w:r>
      <w:r>
        <w:rPr>
          <w:sz w:val="20"/>
          <w:szCs w:val="20"/>
        </w:rPr>
        <w:t xml:space="preserve"> </w:t>
      </w:r>
      <w:r>
        <w:rPr>
          <w:rStyle w:val="a6"/>
          <w:i w:val="0"/>
          <w:iCs w:val="0"/>
          <w:sz w:val="20"/>
          <w:szCs w:val="20"/>
        </w:rPr>
        <w:t>6</w:t>
      </w:r>
      <w:r>
        <w:rPr>
          <w:rStyle w:val="a6"/>
          <w:i w:val="0"/>
          <w:iCs w:val="0"/>
          <w:sz w:val="20"/>
          <w:szCs w:val="20"/>
        </w:rPr>
        <w:t>06</w:t>
      </w:r>
      <w:r>
        <w:rPr>
          <w:sz w:val="20"/>
          <w:szCs w:val="20"/>
        </w:rPr>
        <w:t xml:space="preserve"> if the non-lease components are the predominant components. Lessors are permitted to apply the practical expedient to all existing leases on a retrospective or prospective basis. The Company elected the practical expedient to combine its lease and non-l</w:t>
      </w:r>
      <w:r>
        <w:rPr>
          <w:sz w:val="20"/>
          <w:szCs w:val="20"/>
        </w:rPr>
        <w:t>ease components that meet the defined criteria and will account for the combined lease component under Topic</w:t>
      </w:r>
      <w:r>
        <w:rPr>
          <w:sz w:val="20"/>
          <w:szCs w:val="20"/>
        </w:rPr>
        <w:t xml:space="preserve"> </w:t>
      </w:r>
      <w:r>
        <w:rPr>
          <w:rStyle w:val="a6"/>
          <w:i w:val="0"/>
          <w:iCs w:val="0"/>
          <w:sz w:val="20"/>
          <w:szCs w:val="20"/>
        </w:rPr>
        <w:t>842</w:t>
      </w:r>
      <w:r>
        <w:rPr>
          <w:sz w:val="20"/>
          <w:szCs w:val="20"/>
        </w:rPr>
        <w:t xml:space="preserve"> on a prospective basis.</w:t>
      </w:r>
    </w:p>
    <w:p w14:paraId="346B68AF" w14:textId="77777777" w:rsidR="00000000" w:rsidRDefault="0053651E">
      <w:pPr>
        <w:pStyle w:val="a3"/>
        <w:spacing w:before="0" w:beforeAutospacing="0" w:after="0" w:afterAutospacing="0"/>
        <w:ind w:left="360"/>
        <w:jc w:val="both"/>
        <w:rPr>
          <w:sz w:val="20"/>
          <w:szCs w:val="20"/>
        </w:rPr>
      </w:pPr>
      <w:r>
        <w:rPr>
          <w:sz w:val="20"/>
          <w:szCs w:val="20"/>
        </w:rPr>
        <w:t> </w:t>
      </w:r>
    </w:p>
    <w:p w14:paraId="179BE3F5" w14:textId="77777777" w:rsidR="00000000" w:rsidRDefault="0053651E">
      <w:pPr>
        <w:jc w:val="center"/>
        <w:divId w:val="2076657832"/>
        <w:rPr>
          <w:rFonts w:eastAsia="Times New Roman"/>
          <w:sz w:val="20"/>
          <w:szCs w:val="20"/>
        </w:rPr>
      </w:pPr>
      <w:r>
        <w:rPr>
          <w:rStyle w:val="a6"/>
          <w:rFonts w:eastAsia="Times New Roman"/>
          <w:i w:val="0"/>
          <w:iCs w:val="0"/>
          <w:sz w:val="20"/>
          <w:szCs w:val="20"/>
        </w:rPr>
        <w:t>56</w:t>
      </w:r>
      <w:r>
        <w:rPr>
          <w:rFonts w:eastAsia="Times New Roman"/>
          <w:sz w:val="20"/>
          <w:szCs w:val="20"/>
        </w:rPr>
        <w:t xml:space="preserve"> </w:t>
      </w:r>
    </w:p>
    <w:p w14:paraId="5284F470" w14:textId="77777777" w:rsidR="00000000" w:rsidRDefault="0053651E">
      <w:pPr>
        <w:divId w:val="2076657832"/>
        <w:rPr>
          <w:rFonts w:eastAsia="Times New Roman"/>
          <w:sz w:val="20"/>
          <w:szCs w:val="20"/>
        </w:rPr>
      </w:pPr>
      <w:r>
        <w:rPr>
          <w:rFonts w:eastAsia="Times New Roman"/>
          <w:sz w:val="20"/>
          <w:szCs w:val="20"/>
        </w:rPr>
        <w:pict w14:anchorId="7966D1DA">
          <v:rect id="_x0000_i1087" style="width:415.3pt;height:1.5pt" o:hralign="center" o:hrstd="t" o:hrnoshade="t" o:hr="t" fillcolor="black" stroked="f"/>
        </w:pict>
      </w:r>
    </w:p>
    <w:p w14:paraId="51A23CA3" w14:textId="77777777" w:rsidR="00000000" w:rsidRDefault="0053651E">
      <w:pPr>
        <w:divId w:val="20766578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7FD0BC9" w14:textId="77777777" w:rsidR="00000000" w:rsidRDefault="0053651E">
      <w:pPr>
        <w:pStyle w:val="a3"/>
        <w:spacing w:before="0" w:beforeAutospacing="0" w:after="0" w:afterAutospacing="0"/>
        <w:rPr>
          <w:sz w:val="20"/>
          <w:szCs w:val="20"/>
        </w:rPr>
      </w:pPr>
      <w:r>
        <w:rPr>
          <w:sz w:val="20"/>
          <w:szCs w:val="20"/>
        </w:rPr>
        <w:t> </w:t>
      </w:r>
    </w:p>
    <w:p w14:paraId="21B9FE4E"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775DB978" w14:textId="77777777" w:rsidR="00000000" w:rsidRDefault="0053651E">
      <w:pPr>
        <w:pStyle w:val="a3"/>
        <w:spacing w:before="0" w:beforeAutospacing="0" w:after="0" w:afterAutospacing="0"/>
        <w:jc w:val="center"/>
        <w:rPr>
          <w:sz w:val="20"/>
          <w:szCs w:val="20"/>
        </w:rPr>
      </w:pPr>
      <w:r>
        <w:rPr>
          <w:sz w:val="20"/>
          <w:szCs w:val="20"/>
        </w:rPr>
        <w:t> </w:t>
      </w:r>
    </w:p>
    <w:p w14:paraId="61A12734"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7E69E468" w14:textId="77777777" w:rsidR="00000000" w:rsidRDefault="0053651E">
      <w:pPr>
        <w:pStyle w:val="a3"/>
        <w:spacing w:before="0" w:beforeAutospacing="0" w:after="0" w:afterAutospacing="0"/>
        <w:rPr>
          <w:sz w:val="20"/>
          <w:szCs w:val="20"/>
        </w:rPr>
      </w:pPr>
      <w:r>
        <w:rPr>
          <w:sz w:val="20"/>
          <w:szCs w:val="20"/>
        </w:rPr>
        <w:t> </w:t>
      </w:r>
    </w:p>
    <w:p w14:paraId="3F6C66E9" w14:textId="77777777" w:rsidR="00000000" w:rsidRDefault="0053651E">
      <w:pPr>
        <w:pStyle w:val="a3"/>
        <w:spacing w:before="0" w:beforeAutospacing="0" w:after="0" w:afterAutospacing="0"/>
        <w:ind w:left="360"/>
        <w:jc w:val="both"/>
        <w:rPr>
          <w:sz w:val="20"/>
          <w:szCs w:val="20"/>
        </w:rPr>
      </w:pPr>
      <w:r>
        <w:rPr>
          <w:sz w:val="20"/>
          <w:szCs w:val="20"/>
        </w:rPr>
        <w:t>As a lessor, the Company’s recognition of rental revenue under the new standard remained mainly consistent with recognition of rental revenue under the previous guidance, Topic</w:t>
      </w:r>
      <w:r>
        <w:rPr>
          <w:sz w:val="20"/>
          <w:szCs w:val="20"/>
        </w:rPr>
        <w:t xml:space="preserve"> </w:t>
      </w:r>
      <w:r>
        <w:rPr>
          <w:rStyle w:val="a6"/>
          <w:i w:val="0"/>
          <w:iCs w:val="0"/>
          <w:sz w:val="20"/>
          <w:szCs w:val="20"/>
        </w:rPr>
        <w:t>840,</w:t>
      </w:r>
      <w:r>
        <w:rPr>
          <w:sz w:val="20"/>
          <w:szCs w:val="20"/>
        </w:rPr>
        <w:t xml:space="preserve"> apart from the nar</w:t>
      </w:r>
      <w:r>
        <w:rPr>
          <w:sz w:val="20"/>
          <w:szCs w:val="20"/>
        </w:rPr>
        <w:t>rower definition of initial direct costs that can be capitalized. The new standard defines initial direct costs as only the incremental costs that would</w:t>
      </w:r>
      <w:r>
        <w:rPr>
          <w:sz w:val="20"/>
          <w:szCs w:val="20"/>
        </w:rPr>
        <w:t xml:space="preserve"> </w:t>
      </w:r>
      <w:r>
        <w:rPr>
          <w:rStyle w:val="a6"/>
          <w:i w:val="0"/>
          <w:iCs w:val="0"/>
          <w:sz w:val="20"/>
          <w:szCs w:val="20"/>
        </w:rPr>
        <w:t>not</w:t>
      </w:r>
      <w:r>
        <w:rPr>
          <w:sz w:val="20"/>
          <w:szCs w:val="20"/>
        </w:rPr>
        <w:t xml:space="preserve"> have been incurred if the lease had</w:t>
      </w:r>
      <w:r>
        <w:rPr>
          <w:sz w:val="20"/>
          <w:szCs w:val="20"/>
        </w:rPr>
        <w:t xml:space="preserve"> </w:t>
      </w:r>
      <w:r>
        <w:rPr>
          <w:rStyle w:val="a6"/>
          <w:i w:val="0"/>
          <w:iCs w:val="0"/>
          <w:sz w:val="20"/>
          <w:szCs w:val="20"/>
        </w:rPr>
        <w:t>not</w:t>
      </w:r>
      <w:r>
        <w:rPr>
          <w:sz w:val="20"/>
          <w:szCs w:val="20"/>
        </w:rPr>
        <w:t xml:space="preserve"> been obtained. Under Topic</w:t>
      </w:r>
      <w:r>
        <w:rPr>
          <w:sz w:val="20"/>
          <w:szCs w:val="20"/>
        </w:rPr>
        <w:t xml:space="preserve"> </w:t>
      </w:r>
      <w:r>
        <w:rPr>
          <w:rStyle w:val="a6"/>
          <w:i w:val="0"/>
          <w:iCs w:val="0"/>
          <w:sz w:val="20"/>
          <w:szCs w:val="20"/>
        </w:rPr>
        <w:t>842</w:t>
      </w:r>
      <w:r>
        <w:rPr>
          <w:sz w:val="20"/>
          <w:szCs w:val="20"/>
        </w:rPr>
        <w:t xml:space="preserve"> initial direct costs include</w:t>
      </w:r>
      <w:r>
        <w:rPr>
          <w:sz w:val="20"/>
          <w:szCs w:val="20"/>
        </w:rPr>
        <w:t xml:space="preserve"> commissions paid to</w:t>
      </w:r>
      <w:r>
        <w:rPr>
          <w:sz w:val="20"/>
          <w:szCs w:val="20"/>
        </w:rPr>
        <w:t xml:space="preserve"> </w:t>
      </w:r>
      <w:r>
        <w:rPr>
          <w:rStyle w:val="a6"/>
          <w:i w:val="0"/>
          <w:iCs w:val="0"/>
          <w:sz w:val="20"/>
          <w:szCs w:val="20"/>
        </w:rPr>
        <w:t>third</w:t>
      </w:r>
      <w:r>
        <w:rPr>
          <w:sz w:val="20"/>
          <w:szCs w:val="20"/>
        </w:rPr>
        <w:t xml:space="preserve"> </w:t>
      </w:r>
      <w:r>
        <w:rPr>
          <w:sz w:val="20"/>
          <w:szCs w:val="20"/>
        </w:rPr>
        <w:t xml:space="preserve">parties, including brokers, leasing and referral agents and internal leasing commissions paid to employees for successful execution of lease agreements. These initial direct costs are capitalized and generally amortized over the term of the related leases </w:t>
      </w:r>
      <w:r>
        <w:rPr>
          <w:sz w:val="20"/>
          <w:szCs w:val="20"/>
        </w:rPr>
        <w:t>using the straight-line method. Internal employee compensation, payroll-related benefits and certain external legal fees are considered indirect costs associated with the execution of lease agreements and will</w:t>
      </w:r>
      <w:r>
        <w:rPr>
          <w:sz w:val="20"/>
          <w:szCs w:val="20"/>
        </w:rPr>
        <w:t xml:space="preserve"> </w:t>
      </w:r>
      <w:r>
        <w:rPr>
          <w:rStyle w:val="a6"/>
          <w:i w:val="0"/>
          <w:iCs w:val="0"/>
          <w:sz w:val="20"/>
          <w:szCs w:val="20"/>
        </w:rPr>
        <w:t>no</w:t>
      </w:r>
      <w:r>
        <w:rPr>
          <w:sz w:val="20"/>
          <w:szCs w:val="20"/>
        </w:rPr>
        <w:t xml:space="preserve"> longer be capitalized; these costs will be </w:t>
      </w:r>
      <w:r>
        <w:rPr>
          <w:sz w:val="20"/>
          <w:szCs w:val="20"/>
        </w:rPr>
        <w:t>included in general and administrative expense. As a result of electing the package of practical expedients described above, existing leases and related initial direct costs have</w:t>
      </w:r>
      <w:r>
        <w:rPr>
          <w:sz w:val="20"/>
          <w:szCs w:val="20"/>
        </w:rPr>
        <w:t xml:space="preserve"> </w:t>
      </w:r>
      <w:r>
        <w:rPr>
          <w:rStyle w:val="a6"/>
          <w:i w:val="0"/>
          <w:iCs w:val="0"/>
          <w:sz w:val="20"/>
          <w:szCs w:val="20"/>
        </w:rPr>
        <w:t>not</w:t>
      </w:r>
      <w:r>
        <w:rPr>
          <w:sz w:val="20"/>
          <w:szCs w:val="20"/>
        </w:rPr>
        <w:t xml:space="preserve"> been reassessed prior to the effective date, and therefore, adoption of t</w:t>
      </w:r>
      <w:r>
        <w:rPr>
          <w:sz w:val="20"/>
          <w:szCs w:val="20"/>
        </w:rPr>
        <w:t>he lease standard did</w:t>
      </w:r>
      <w:r>
        <w:rPr>
          <w:sz w:val="20"/>
          <w:szCs w:val="20"/>
        </w:rPr>
        <w:t xml:space="preserve"> </w:t>
      </w:r>
      <w:r>
        <w:rPr>
          <w:rStyle w:val="a6"/>
          <w:i w:val="0"/>
          <w:iCs w:val="0"/>
          <w:sz w:val="20"/>
          <w:szCs w:val="20"/>
        </w:rPr>
        <w:t>not</w:t>
      </w:r>
      <w:r>
        <w:rPr>
          <w:sz w:val="20"/>
          <w:szCs w:val="20"/>
        </w:rPr>
        <w:t xml:space="preserve"> have an impact on the Company’s previously reported Consolidated Statements of Income for initial direct costs.</w:t>
      </w:r>
    </w:p>
    <w:p w14:paraId="3CB4DFAC" w14:textId="77777777" w:rsidR="00000000" w:rsidRDefault="0053651E">
      <w:pPr>
        <w:pStyle w:val="a3"/>
        <w:spacing w:before="0" w:beforeAutospacing="0" w:after="0" w:afterAutospacing="0"/>
        <w:ind w:left="360"/>
        <w:jc w:val="both"/>
        <w:rPr>
          <w:sz w:val="20"/>
          <w:szCs w:val="20"/>
        </w:rPr>
      </w:pPr>
      <w:r>
        <w:rPr>
          <w:sz w:val="20"/>
          <w:szCs w:val="20"/>
        </w:rPr>
        <w:t> </w:t>
      </w:r>
    </w:p>
    <w:p w14:paraId="01F599F6" w14:textId="77777777" w:rsidR="00000000" w:rsidRDefault="0053651E">
      <w:pPr>
        <w:pStyle w:val="a3"/>
        <w:spacing w:before="0" w:beforeAutospacing="0" w:after="0" w:afterAutospacing="0"/>
        <w:ind w:left="360"/>
        <w:jc w:val="both"/>
        <w:rPr>
          <w:sz w:val="20"/>
          <w:szCs w:val="20"/>
        </w:rPr>
      </w:pPr>
      <w:r>
        <w:rPr>
          <w:i/>
          <w:iCs/>
          <w:sz w:val="20"/>
          <w:szCs w:val="20"/>
        </w:rPr>
        <w:t>Lessee</w:t>
      </w:r>
    </w:p>
    <w:p w14:paraId="462028FD" w14:textId="77777777" w:rsidR="00000000" w:rsidRDefault="0053651E">
      <w:pPr>
        <w:pStyle w:val="a3"/>
        <w:spacing w:before="0" w:beforeAutospacing="0" w:after="0" w:afterAutospacing="0"/>
        <w:ind w:left="360"/>
        <w:jc w:val="both"/>
        <w:rPr>
          <w:sz w:val="20"/>
          <w:szCs w:val="20"/>
        </w:rPr>
      </w:pPr>
      <w:r>
        <w:rPr>
          <w:sz w:val="20"/>
          <w:szCs w:val="20"/>
        </w:rPr>
        <w:t> </w:t>
      </w:r>
    </w:p>
    <w:p w14:paraId="5AD15BB6" w14:textId="77777777" w:rsidR="00000000" w:rsidRDefault="0053651E">
      <w:pPr>
        <w:pStyle w:val="a3"/>
        <w:spacing w:before="0" w:beforeAutospacing="0" w:after="0" w:afterAutospacing="0"/>
        <w:ind w:left="360"/>
        <w:jc w:val="both"/>
        <w:rPr>
          <w:sz w:val="20"/>
          <w:szCs w:val="20"/>
        </w:rPr>
      </w:pPr>
      <w:r>
        <w:rPr>
          <w:sz w:val="20"/>
          <w:szCs w:val="20"/>
        </w:rPr>
        <w:t>The Company’s leases where it is the lessee primarily consist of ground leases and administrative office le</w:t>
      </w:r>
      <w:r>
        <w:rPr>
          <w:sz w:val="20"/>
          <w:szCs w:val="20"/>
        </w:rPr>
        <w:t>ases. ROU assets represent the Company’s right to use an underlying asset for the lease term and lease liabilities represent the Company’s obligation to make lease payments arising from the lease. ROU assets and lease liabilities are recognized at the comm</w:t>
      </w:r>
      <w:r>
        <w:rPr>
          <w:sz w:val="20"/>
          <w:szCs w:val="20"/>
        </w:rPr>
        <w:t>encement date of the lease and are based on the present value of lease payments over the lease term. The Company utilized an incremental borrowing rate based on the information available at adoption of Topic</w:t>
      </w:r>
      <w:r>
        <w:rPr>
          <w:sz w:val="20"/>
          <w:szCs w:val="20"/>
        </w:rPr>
        <w:t xml:space="preserve"> </w:t>
      </w:r>
      <w:r>
        <w:rPr>
          <w:rStyle w:val="a6"/>
          <w:i w:val="0"/>
          <w:iCs w:val="0"/>
          <w:sz w:val="20"/>
          <w:szCs w:val="20"/>
        </w:rPr>
        <w:t>842</w:t>
      </w:r>
      <w:r>
        <w:rPr>
          <w:sz w:val="20"/>
          <w:szCs w:val="20"/>
        </w:rPr>
        <w:t xml:space="preserve"> in determining the present value of lease pa</w:t>
      </w:r>
      <w:r>
        <w:rPr>
          <w:sz w:val="20"/>
          <w:szCs w:val="20"/>
        </w:rPr>
        <w:t>yments since these leases do</w:t>
      </w:r>
      <w:r>
        <w:rPr>
          <w:sz w:val="20"/>
          <w:szCs w:val="20"/>
        </w:rPr>
        <w:t xml:space="preserve"> </w:t>
      </w:r>
      <w:r>
        <w:rPr>
          <w:rStyle w:val="a6"/>
          <w:i w:val="0"/>
          <w:iCs w:val="0"/>
          <w:sz w:val="20"/>
          <w:szCs w:val="20"/>
        </w:rPr>
        <w:t>not</w:t>
      </w:r>
      <w:r>
        <w:rPr>
          <w:sz w:val="20"/>
          <w:szCs w:val="20"/>
        </w:rPr>
        <w:t xml:space="preserve"> provide an implicit rate. Variable lease payments are excluded from the lease liabilities and corresponding ROU assets, as they are recognized in the period in which the obligation for those payments is incurred. Many of th</w:t>
      </w:r>
      <w:r>
        <w:rPr>
          <w:sz w:val="20"/>
          <w:szCs w:val="20"/>
        </w:rPr>
        <w:t>e Company’s lessee agreements include options to extend the lease, which were</w:t>
      </w:r>
      <w:r>
        <w:rPr>
          <w:sz w:val="20"/>
          <w:szCs w:val="20"/>
        </w:rPr>
        <w:t xml:space="preserve"> </w:t>
      </w:r>
      <w:r>
        <w:rPr>
          <w:rStyle w:val="a6"/>
          <w:i w:val="0"/>
          <w:iCs w:val="0"/>
          <w:sz w:val="20"/>
          <w:szCs w:val="20"/>
        </w:rPr>
        <w:t>not</w:t>
      </w:r>
      <w:r>
        <w:rPr>
          <w:sz w:val="20"/>
          <w:szCs w:val="20"/>
        </w:rPr>
        <w:t xml:space="preserve"> included in the Company's minimum lease terms unless reasonably certain to be exercised. Rental expense for lease payments related to operating leases is recognized on a stra</w:t>
      </w:r>
      <w:r>
        <w:rPr>
          <w:sz w:val="20"/>
          <w:szCs w:val="20"/>
        </w:rPr>
        <w:t>ight-line basis over the lease term. Upon the adoption of Topic</w:t>
      </w:r>
      <w:r>
        <w:rPr>
          <w:sz w:val="20"/>
          <w:szCs w:val="20"/>
        </w:rPr>
        <w:t xml:space="preserve"> </w:t>
      </w:r>
      <w:r>
        <w:rPr>
          <w:rStyle w:val="a6"/>
          <w:i w:val="0"/>
          <w:iCs w:val="0"/>
          <w:sz w:val="20"/>
          <w:szCs w:val="20"/>
        </w:rPr>
        <w:t>842,</w:t>
      </w:r>
      <w:r>
        <w:rPr>
          <w:sz w:val="20"/>
          <w:szCs w:val="20"/>
        </w:rPr>
        <w:t xml:space="preserve"> the Company recognized $106.0 million of ROU assets, including net intangible assets of $7.3 million, which were reclassified from Real estate, net to Operating lease right-of-use assets,</w:t>
      </w:r>
      <w:r>
        <w:rPr>
          <w:sz w:val="20"/>
          <w:szCs w:val="20"/>
        </w:rPr>
        <w:t xml:space="preserve"> net and $98.7 million of corresponding Operating lease liabilities for its operating leases on the Company’s Consolidated Balance Sheets. See Note</w:t>
      </w:r>
      <w:r>
        <w:rPr>
          <w:sz w:val="20"/>
          <w:szCs w:val="20"/>
        </w:rPr>
        <w:t> </w:t>
      </w:r>
      <w:r>
        <w:rPr>
          <w:rStyle w:val="a6"/>
          <w:i w:val="0"/>
          <w:iCs w:val="0"/>
          <w:sz w:val="20"/>
          <w:szCs w:val="20"/>
        </w:rPr>
        <w:t>10</w:t>
      </w:r>
      <w:r>
        <w:rPr>
          <w:sz w:val="20"/>
          <w:szCs w:val="20"/>
        </w:rPr>
        <w:t> to the Company’s Consolidated Financial Statements for further details.</w:t>
      </w:r>
    </w:p>
    <w:p w14:paraId="2CB831E1" w14:textId="77777777" w:rsidR="00000000" w:rsidRDefault="0053651E">
      <w:pPr>
        <w:pStyle w:val="a3"/>
        <w:spacing w:before="0" w:beforeAutospacing="0" w:after="0" w:afterAutospacing="0"/>
        <w:ind w:left="360"/>
        <w:jc w:val="both"/>
        <w:rPr>
          <w:sz w:val="20"/>
          <w:szCs w:val="20"/>
        </w:rPr>
      </w:pPr>
      <w:r>
        <w:rPr>
          <w:sz w:val="20"/>
          <w:szCs w:val="20"/>
        </w:rPr>
        <w:t> </w:t>
      </w:r>
    </w:p>
    <w:p w14:paraId="315E59A2" w14:textId="77777777" w:rsidR="00000000" w:rsidRDefault="0053651E">
      <w:pPr>
        <w:pStyle w:val="a3"/>
        <w:spacing w:before="0" w:beforeAutospacing="0" w:after="0" w:afterAutospacing="0"/>
        <w:ind w:left="360"/>
        <w:jc w:val="both"/>
        <w:rPr>
          <w:sz w:val="20"/>
          <w:szCs w:val="20"/>
        </w:rPr>
      </w:pPr>
      <w:r>
        <w:rPr>
          <w:sz w:val="20"/>
          <w:szCs w:val="20"/>
          <w:u w:val="single"/>
        </w:rPr>
        <w:t>Income Taxes</w:t>
      </w:r>
    </w:p>
    <w:p w14:paraId="0BA16DFA" w14:textId="77777777" w:rsidR="00000000" w:rsidRDefault="0053651E">
      <w:pPr>
        <w:pStyle w:val="a3"/>
        <w:spacing w:before="0" w:beforeAutospacing="0" w:after="0" w:afterAutospacing="0"/>
        <w:ind w:left="360"/>
        <w:jc w:val="both"/>
        <w:rPr>
          <w:sz w:val="20"/>
          <w:szCs w:val="20"/>
        </w:rPr>
      </w:pPr>
      <w:r>
        <w:rPr>
          <w:sz w:val="20"/>
          <w:szCs w:val="20"/>
        </w:rPr>
        <w:t> </w:t>
      </w:r>
    </w:p>
    <w:p w14:paraId="4B04C64B" w14:textId="77777777" w:rsidR="00000000" w:rsidRDefault="0053651E">
      <w:pPr>
        <w:pStyle w:val="a3"/>
        <w:spacing w:before="0" w:beforeAutospacing="0" w:after="0" w:afterAutospacing="0"/>
        <w:ind w:left="360"/>
        <w:jc w:val="both"/>
        <w:rPr>
          <w:sz w:val="20"/>
          <w:szCs w:val="20"/>
        </w:rPr>
      </w:pPr>
      <w:r>
        <w:rPr>
          <w:sz w:val="20"/>
          <w:szCs w:val="20"/>
        </w:rPr>
        <w:t>The Company elec</w:t>
      </w:r>
      <w:r>
        <w:rPr>
          <w:sz w:val="20"/>
          <w:szCs w:val="20"/>
        </w:rPr>
        <w:t>ted to qualify as a REIT for federal income tax purposes commencing with its taxable year</w:t>
      </w:r>
      <w:r>
        <w:rPr>
          <w:sz w:val="20"/>
          <w:szCs w:val="20"/>
        </w:rPr>
        <w:t xml:space="preserve"> </w:t>
      </w:r>
      <w:r>
        <w:rPr>
          <w:rStyle w:val="a6"/>
          <w:i w:val="0"/>
          <w:iCs w:val="0"/>
          <w:sz w:val="20"/>
          <w:szCs w:val="20"/>
        </w:rPr>
        <w:t xml:space="preserve">January 1, 1992 </w:t>
      </w:r>
      <w:r>
        <w:rPr>
          <w:sz w:val="20"/>
          <w:szCs w:val="20"/>
        </w:rPr>
        <w:t>and operates in a manner that enables the Company to qualify and maintain its status as a REIT. Accordingly, the Company generally will</w:t>
      </w:r>
      <w:r>
        <w:rPr>
          <w:sz w:val="20"/>
          <w:szCs w:val="20"/>
        </w:rPr>
        <w:t xml:space="preserve"> </w:t>
      </w:r>
      <w:r>
        <w:rPr>
          <w:rStyle w:val="a6"/>
          <w:i w:val="0"/>
          <w:iCs w:val="0"/>
          <w:sz w:val="20"/>
          <w:szCs w:val="20"/>
        </w:rPr>
        <w:t>not</w:t>
      </w:r>
      <w:r>
        <w:rPr>
          <w:sz w:val="20"/>
          <w:szCs w:val="20"/>
        </w:rPr>
        <w:t xml:space="preserve"> be subject</w:t>
      </w:r>
      <w:r>
        <w:rPr>
          <w:sz w:val="20"/>
          <w:szCs w:val="20"/>
        </w:rPr>
        <w:t xml:space="preserve"> to federal income tax, provided that distributions to its stockholders equal at least the amount of its REIT taxable income as defined under Section</w:t>
      </w:r>
      <w:r>
        <w:rPr>
          <w:sz w:val="20"/>
          <w:szCs w:val="20"/>
        </w:rPr>
        <w:t xml:space="preserve"> </w:t>
      </w:r>
      <w:r>
        <w:rPr>
          <w:rStyle w:val="a6"/>
          <w:i w:val="0"/>
          <w:iCs w:val="0"/>
          <w:sz w:val="20"/>
          <w:szCs w:val="20"/>
        </w:rPr>
        <w:t>856</w:t>
      </w:r>
      <w:r>
        <w:rPr>
          <w:sz w:val="20"/>
          <w:szCs w:val="20"/>
        </w:rPr>
        <w:t xml:space="preserve"> through</w:t>
      </w:r>
      <w:r>
        <w:rPr>
          <w:sz w:val="20"/>
          <w:szCs w:val="20"/>
        </w:rPr>
        <w:t xml:space="preserve"> </w:t>
      </w:r>
      <w:r>
        <w:rPr>
          <w:rStyle w:val="a6"/>
          <w:i w:val="0"/>
          <w:iCs w:val="0"/>
          <w:sz w:val="20"/>
          <w:szCs w:val="20"/>
        </w:rPr>
        <w:t>860</w:t>
      </w:r>
      <w:r>
        <w:rPr>
          <w:sz w:val="20"/>
          <w:szCs w:val="20"/>
        </w:rPr>
        <w:t xml:space="preserve"> of the Code. Most states, where the Company holds investments in real estate, conform to t</w:t>
      </w:r>
      <w:r>
        <w:rPr>
          <w:sz w:val="20"/>
          <w:szCs w:val="20"/>
        </w:rPr>
        <w:t>he federal rules recognizing REITs.  </w:t>
      </w:r>
    </w:p>
    <w:p w14:paraId="1138071D" w14:textId="77777777" w:rsidR="00000000" w:rsidRDefault="0053651E">
      <w:pPr>
        <w:pStyle w:val="a3"/>
        <w:spacing w:before="0" w:beforeAutospacing="0" w:after="0" w:afterAutospacing="0"/>
        <w:ind w:left="360"/>
        <w:jc w:val="both"/>
        <w:rPr>
          <w:sz w:val="20"/>
          <w:szCs w:val="20"/>
        </w:rPr>
      </w:pPr>
      <w:r>
        <w:rPr>
          <w:sz w:val="20"/>
          <w:szCs w:val="20"/>
        </w:rPr>
        <w:t> </w:t>
      </w:r>
    </w:p>
    <w:p w14:paraId="2D758B2C" w14:textId="77777777" w:rsidR="00000000" w:rsidRDefault="0053651E">
      <w:pPr>
        <w:pStyle w:val="a3"/>
        <w:spacing w:before="0" w:beforeAutospacing="0" w:after="0" w:afterAutospacing="0"/>
        <w:ind w:left="360"/>
        <w:jc w:val="both"/>
        <w:rPr>
          <w:sz w:val="20"/>
          <w:szCs w:val="20"/>
        </w:rPr>
      </w:pPr>
      <w:r>
        <w:rPr>
          <w:sz w:val="20"/>
          <w:szCs w:val="20"/>
        </w:rPr>
        <w:t>The Company maintains certain subsidiaries which made joint elections with the Company to be treated as taxable REIT subsidiaries ("TRSs"), which permit the Company to engage through such TRSs in certain business act</w:t>
      </w:r>
      <w:r>
        <w:rPr>
          <w:sz w:val="20"/>
          <w:szCs w:val="20"/>
        </w:rPr>
        <w:t>ivities that the REIT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conduct directly. A TRS is subject to federal and state income taxes on its income, and the Company includes a provision for taxes in its consolidated financial statements.  As such, the Company, through its wholly-owned TRSs,</w:t>
      </w:r>
      <w:r>
        <w:rPr>
          <w:sz w:val="20"/>
          <w:szCs w:val="20"/>
        </w:rPr>
        <w:t xml:space="preserve"> has been engaged in various retail real estate related opportunities including retail real estate management and disposition services which primarily focuses on leasing and disposition strategies of retail real estate controlled by both healthy and distre</w:t>
      </w:r>
      <w:r>
        <w:rPr>
          <w:sz w:val="20"/>
          <w:szCs w:val="20"/>
        </w:rPr>
        <w:t>ssed and/or bankrupt retailers. The Company</w:t>
      </w:r>
      <w:r>
        <w:rPr>
          <w:sz w:val="20"/>
          <w:szCs w:val="20"/>
        </w:rPr>
        <w:t xml:space="preserve"> </w:t>
      </w:r>
      <w:r>
        <w:rPr>
          <w:rStyle w:val="a6"/>
          <w:i w:val="0"/>
          <w:iCs w:val="0"/>
          <w:sz w:val="20"/>
          <w:szCs w:val="20"/>
        </w:rPr>
        <w:t xml:space="preserve">may </w:t>
      </w:r>
      <w:r>
        <w:rPr>
          <w:sz w:val="20"/>
          <w:szCs w:val="20"/>
        </w:rPr>
        <w:t>consider other investments through its TRSs should suitable opportunities arise. The Company is subject to and also includes in its tax provision non-U.S. income taxes on certain investments located in jurisd</w:t>
      </w:r>
      <w:r>
        <w:rPr>
          <w:sz w:val="20"/>
          <w:szCs w:val="20"/>
        </w:rPr>
        <w:t>ictions outside the U.S. These investments are held by the Company at the REIT level and</w:t>
      </w:r>
      <w:r>
        <w:rPr>
          <w:sz w:val="20"/>
          <w:szCs w:val="20"/>
        </w:rPr>
        <w:t xml:space="preserve"> </w:t>
      </w:r>
      <w:r>
        <w:rPr>
          <w:rStyle w:val="a6"/>
          <w:i w:val="0"/>
          <w:iCs w:val="0"/>
          <w:sz w:val="20"/>
          <w:szCs w:val="20"/>
        </w:rPr>
        <w:t>not</w:t>
      </w:r>
      <w:r>
        <w:rPr>
          <w:sz w:val="20"/>
          <w:szCs w:val="20"/>
        </w:rPr>
        <w:t xml:space="preserve"> in the Company’s TRSs. Accordingly, the Company does</w:t>
      </w:r>
      <w:r>
        <w:rPr>
          <w:sz w:val="20"/>
          <w:szCs w:val="20"/>
        </w:rPr>
        <w:t xml:space="preserve"> </w:t>
      </w:r>
      <w:r>
        <w:rPr>
          <w:rStyle w:val="a6"/>
          <w:i w:val="0"/>
          <w:iCs w:val="0"/>
          <w:sz w:val="20"/>
          <w:szCs w:val="20"/>
        </w:rPr>
        <w:t>not</w:t>
      </w:r>
      <w:r>
        <w:rPr>
          <w:sz w:val="20"/>
          <w:szCs w:val="20"/>
        </w:rPr>
        <w:t xml:space="preserve"> expect a U.S. income tax impact associated with the repatriation of undistributed earnings from the Compan</w:t>
      </w:r>
      <w:r>
        <w:rPr>
          <w:sz w:val="20"/>
          <w:szCs w:val="20"/>
        </w:rPr>
        <w:t>y’s foreign subsidiaries.</w:t>
      </w:r>
    </w:p>
    <w:p w14:paraId="1168F433" w14:textId="77777777" w:rsidR="00000000" w:rsidRDefault="0053651E">
      <w:pPr>
        <w:pStyle w:val="a3"/>
        <w:spacing w:before="0" w:beforeAutospacing="0" w:after="0" w:afterAutospacing="0"/>
        <w:ind w:left="360"/>
        <w:jc w:val="both"/>
        <w:rPr>
          <w:sz w:val="20"/>
          <w:szCs w:val="20"/>
        </w:rPr>
      </w:pPr>
      <w:r>
        <w:rPr>
          <w:sz w:val="20"/>
          <w:szCs w:val="20"/>
        </w:rPr>
        <w:t> </w:t>
      </w:r>
    </w:p>
    <w:p w14:paraId="026CFA82" w14:textId="77777777" w:rsidR="00000000" w:rsidRDefault="0053651E">
      <w:pPr>
        <w:pStyle w:val="a3"/>
        <w:spacing w:before="0" w:beforeAutospacing="0" w:after="0" w:afterAutospacing="0"/>
        <w:ind w:left="360"/>
        <w:jc w:val="both"/>
        <w:rPr>
          <w:sz w:val="20"/>
          <w:szCs w:val="20"/>
        </w:rPr>
      </w:pPr>
      <w:r>
        <w:rPr>
          <w:sz w:val="20"/>
          <w:szCs w:val="20"/>
        </w:rPr>
        <w:t>Income taxes are accounted for under the asset and liability method. Deferred tax assets and liabilities are recognized for the estimated future tax consequences attributable to differences between the financial statement carryi</w:t>
      </w:r>
      <w:r>
        <w:rPr>
          <w:sz w:val="20"/>
          <w:szCs w:val="20"/>
        </w:rPr>
        <w:t>ng amounts of existing assets and liabilities and their respective tax bases and operating loss and tax credit carry-forwards. Deferred tax assets and liabilities are measured using enacted tax rates in effect for the year in which those temporary differen</w:t>
      </w:r>
      <w:r>
        <w:rPr>
          <w:sz w:val="20"/>
          <w:szCs w:val="20"/>
        </w:rPr>
        <w:t>ces are expected to be recovered or settled. The Company provides a valuation allowance for deferred tax assets for which it does</w:t>
      </w:r>
      <w:r>
        <w:rPr>
          <w:sz w:val="20"/>
          <w:szCs w:val="20"/>
        </w:rPr>
        <w:t xml:space="preserve"> </w:t>
      </w:r>
      <w:r>
        <w:rPr>
          <w:rStyle w:val="a6"/>
          <w:i w:val="0"/>
          <w:iCs w:val="0"/>
          <w:sz w:val="20"/>
          <w:szCs w:val="20"/>
        </w:rPr>
        <w:t>not</w:t>
      </w:r>
      <w:r>
        <w:rPr>
          <w:sz w:val="20"/>
          <w:szCs w:val="20"/>
        </w:rPr>
        <w:t xml:space="preserve"> consider realization of such assets to be more likely than</w:t>
      </w:r>
      <w:r>
        <w:rPr>
          <w:sz w:val="20"/>
          <w:szCs w:val="20"/>
        </w:rPr>
        <w:t xml:space="preserve"> </w:t>
      </w:r>
      <w:r>
        <w:rPr>
          <w:rStyle w:val="a6"/>
          <w:i w:val="0"/>
          <w:iCs w:val="0"/>
          <w:sz w:val="20"/>
          <w:szCs w:val="20"/>
        </w:rPr>
        <w:t>not.</w:t>
      </w:r>
    </w:p>
    <w:p w14:paraId="29D306A0" w14:textId="77777777" w:rsidR="00000000" w:rsidRDefault="0053651E">
      <w:pPr>
        <w:pStyle w:val="a3"/>
        <w:spacing w:before="0" w:beforeAutospacing="0" w:after="0" w:afterAutospacing="0"/>
        <w:ind w:left="360"/>
        <w:jc w:val="both"/>
        <w:rPr>
          <w:sz w:val="20"/>
          <w:szCs w:val="20"/>
        </w:rPr>
      </w:pPr>
      <w:r>
        <w:rPr>
          <w:sz w:val="20"/>
          <w:szCs w:val="20"/>
        </w:rPr>
        <w:t> </w:t>
      </w:r>
    </w:p>
    <w:p w14:paraId="1FB1E0DA" w14:textId="77777777" w:rsidR="00000000" w:rsidRDefault="0053651E">
      <w:pPr>
        <w:pStyle w:val="a3"/>
        <w:spacing w:before="0" w:beforeAutospacing="0" w:after="0" w:afterAutospacing="0"/>
        <w:ind w:left="360"/>
        <w:jc w:val="both"/>
        <w:rPr>
          <w:sz w:val="20"/>
          <w:szCs w:val="20"/>
        </w:rPr>
      </w:pPr>
      <w:r>
        <w:rPr>
          <w:sz w:val="20"/>
          <w:szCs w:val="20"/>
        </w:rPr>
        <w:t>The Company reviews the need to establish a valuation al</w:t>
      </w:r>
      <w:r>
        <w:rPr>
          <w:sz w:val="20"/>
          <w:szCs w:val="20"/>
        </w:rPr>
        <w:t>lowance against deferred tax assets on a quarterly basis. The review includes an analysis of various factors, such as future reversals of existing taxable temporary differences, the capacity for the carryback or carryforward of any losses, the expected occ</w:t>
      </w:r>
      <w:r>
        <w:rPr>
          <w:sz w:val="20"/>
          <w:szCs w:val="20"/>
        </w:rPr>
        <w:t>urrence of future income or loss and available tax planning strategies.</w:t>
      </w:r>
    </w:p>
    <w:p w14:paraId="060BC292" w14:textId="77777777" w:rsidR="00000000" w:rsidRDefault="0053651E">
      <w:pPr>
        <w:pStyle w:val="a3"/>
        <w:spacing w:before="0" w:beforeAutospacing="0" w:after="0" w:afterAutospacing="0"/>
        <w:ind w:left="360"/>
        <w:jc w:val="both"/>
        <w:rPr>
          <w:sz w:val="20"/>
          <w:szCs w:val="20"/>
        </w:rPr>
      </w:pPr>
      <w:r>
        <w:rPr>
          <w:sz w:val="20"/>
          <w:szCs w:val="20"/>
        </w:rPr>
        <w:t> </w:t>
      </w:r>
    </w:p>
    <w:p w14:paraId="0C34176F" w14:textId="77777777" w:rsidR="00000000" w:rsidRDefault="0053651E">
      <w:pPr>
        <w:jc w:val="center"/>
        <w:divId w:val="1968389765"/>
        <w:rPr>
          <w:rFonts w:eastAsia="Times New Roman"/>
          <w:sz w:val="20"/>
          <w:szCs w:val="20"/>
        </w:rPr>
      </w:pPr>
      <w:r>
        <w:rPr>
          <w:rStyle w:val="a6"/>
          <w:rFonts w:eastAsia="Times New Roman"/>
          <w:i w:val="0"/>
          <w:iCs w:val="0"/>
          <w:sz w:val="20"/>
          <w:szCs w:val="20"/>
        </w:rPr>
        <w:t>57</w:t>
      </w:r>
      <w:r>
        <w:rPr>
          <w:rFonts w:eastAsia="Times New Roman"/>
          <w:sz w:val="20"/>
          <w:szCs w:val="20"/>
        </w:rPr>
        <w:t xml:space="preserve"> </w:t>
      </w:r>
    </w:p>
    <w:p w14:paraId="4573C03C" w14:textId="77777777" w:rsidR="00000000" w:rsidRDefault="0053651E">
      <w:pPr>
        <w:divId w:val="1968389765"/>
        <w:rPr>
          <w:rFonts w:eastAsia="Times New Roman"/>
          <w:sz w:val="20"/>
          <w:szCs w:val="20"/>
        </w:rPr>
      </w:pPr>
      <w:r>
        <w:rPr>
          <w:rFonts w:eastAsia="Times New Roman"/>
          <w:sz w:val="20"/>
          <w:szCs w:val="20"/>
        </w:rPr>
        <w:pict w14:anchorId="788D9D91">
          <v:rect id="_x0000_i1088" style="width:415.3pt;height:1.5pt" o:hralign="center" o:hrstd="t" o:hrnoshade="t" o:hr="t" fillcolor="black" stroked="f"/>
        </w:pict>
      </w:r>
    </w:p>
    <w:p w14:paraId="04A29F82" w14:textId="77777777" w:rsidR="00000000" w:rsidRDefault="0053651E">
      <w:pPr>
        <w:divId w:val="19683897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DCDEC4E" w14:textId="77777777" w:rsidR="00000000" w:rsidRDefault="0053651E">
      <w:pPr>
        <w:pStyle w:val="a3"/>
        <w:spacing w:before="0" w:beforeAutospacing="0" w:after="0" w:afterAutospacing="0"/>
        <w:rPr>
          <w:sz w:val="20"/>
          <w:szCs w:val="20"/>
        </w:rPr>
      </w:pPr>
      <w:r>
        <w:rPr>
          <w:sz w:val="20"/>
          <w:szCs w:val="20"/>
        </w:rPr>
        <w:t> </w:t>
      </w:r>
    </w:p>
    <w:p w14:paraId="0FEF6161"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6D776F39" w14:textId="77777777" w:rsidR="00000000" w:rsidRDefault="0053651E">
      <w:pPr>
        <w:pStyle w:val="a3"/>
        <w:spacing w:before="0" w:beforeAutospacing="0" w:after="0" w:afterAutospacing="0"/>
        <w:jc w:val="center"/>
        <w:rPr>
          <w:sz w:val="20"/>
          <w:szCs w:val="20"/>
        </w:rPr>
      </w:pPr>
      <w:r>
        <w:rPr>
          <w:sz w:val="20"/>
          <w:szCs w:val="20"/>
        </w:rPr>
        <w:t> </w:t>
      </w:r>
    </w:p>
    <w:p w14:paraId="19F2C543"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11865005" w14:textId="77777777" w:rsidR="00000000" w:rsidRDefault="0053651E">
      <w:pPr>
        <w:pStyle w:val="a3"/>
        <w:spacing w:before="0" w:beforeAutospacing="0" w:after="0" w:afterAutospacing="0"/>
        <w:rPr>
          <w:sz w:val="20"/>
          <w:szCs w:val="20"/>
        </w:rPr>
      </w:pPr>
      <w:r>
        <w:rPr>
          <w:sz w:val="20"/>
          <w:szCs w:val="20"/>
        </w:rPr>
        <w:t> </w:t>
      </w:r>
    </w:p>
    <w:p w14:paraId="68B87787" w14:textId="77777777" w:rsidR="00000000" w:rsidRDefault="0053651E">
      <w:pPr>
        <w:pStyle w:val="a3"/>
        <w:spacing w:before="0" w:beforeAutospacing="0" w:after="0" w:afterAutospacing="0"/>
        <w:ind w:left="360"/>
        <w:jc w:val="both"/>
        <w:rPr>
          <w:sz w:val="20"/>
          <w:szCs w:val="20"/>
        </w:rPr>
      </w:pPr>
      <w:r>
        <w:rPr>
          <w:sz w:val="20"/>
          <w:szCs w:val="20"/>
        </w:rPr>
        <w:t>The Company applies the FASB’s guidance relating to uncertainty in income taxes recognized in a Company’s financial statements. Under this guidance the Comp</w:t>
      </w:r>
      <w:r>
        <w:rPr>
          <w:sz w:val="20"/>
          <w:szCs w:val="20"/>
        </w:rPr>
        <w:t>any</w:t>
      </w:r>
      <w:r>
        <w:rPr>
          <w:sz w:val="20"/>
          <w:szCs w:val="20"/>
        </w:rPr>
        <w:t xml:space="preserve"> </w:t>
      </w:r>
      <w:r>
        <w:rPr>
          <w:rStyle w:val="a6"/>
          <w:i w:val="0"/>
          <w:iCs w:val="0"/>
          <w:sz w:val="20"/>
          <w:szCs w:val="20"/>
        </w:rPr>
        <w:t xml:space="preserve">may </w:t>
      </w:r>
      <w:r>
        <w:rPr>
          <w:sz w:val="20"/>
          <w:szCs w:val="20"/>
        </w:rPr>
        <w:t>recognize the tax benefit from an uncertain tax position only if it is more likely than</w:t>
      </w:r>
      <w:r>
        <w:rPr>
          <w:sz w:val="20"/>
          <w:szCs w:val="20"/>
        </w:rPr>
        <w:t xml:space="preserve"> </w:t>
      </w:r>
      <w:r>
        <w:rPr>
          <w:rStyle w:val="a6"/>
          <w:i w:val="0"/>
          <w:iCs w:val="0"/>
          <w:sz w:val="20"/>
          <w:szCs w:val="20"/>
        </w:rPr>
        <w:t>not</w:t>
      </w:r>
      <w:r>
        <w:rPr>
          <w:sz w:val="20"/>
          <w:szCs w:val="20"/>
        </w:rPr>
        <w:t xml:space="preserve"> that the tax position will be sustained on examination by taxing authorities, based on the technical merits of the position. The tax benefits recognized in </w:t>
      </w:r>
      <w:r>
        <w:rPr>
          <w:sz w:val="20"/>
          <w:szCs w:val="20"/>
        </w:rPr>
        <w:t>the financial statements from such a position are measured based on the largest benefit that has a greater than</w:t>
      </w:r>
      <w:r>
        <w:rPr>
          <w:sz w:val="20"/>
          <w:szCs w:val="20"/>
        </w:rPr>
        <w:t xml:space="preserve"> </w:t>
      </w:r>
      <w:r>
        <w:rPr>
          <w:rStyle w:val="a6"/>
          <w:i w:val="0"/>
          <w:iCs w:val="0"/>
          <w:sz w:val="20"/>
          <w:szCs w:val="20"/>
        </w:rPr>
        <w:t>fifty</w:t>
      </w:r>
      <w:r>
        <w:rPr>
          <w:sz w:val="20"/>
          <w:szCs w:val="20"/>
        </w:rPr>
        <w:t xml:space="preserve"> percent likelihood of being realized upon ultimate settlement. The guidance on accounting for uncertainty in income taxes also provides gu</w:t>
      </w:r>
      <w:r>
        <w:rPr>
          <w:sz w:val="20"/>
          <w:szCs w:val="20"/>
        </w:rPr>
        <w:t>idance on de-recognition, classification, interest and penalties on income taxes, and accounting in interim periods.</w:t>
      </w:r>
    </w:p>
    <w:p w14:paraId="07CE5A3A" w14:textId="77777777" w:rsidR="00000000" w:rsidRDefault="0053651E">
      <w:pPr>
        <w:pStyle w:val="a3"/>
        <w:spacing w:before="0" w:beforeAutospacing="0" w:after="0" w:afterAutospacing="0"/>
        <w:ind w:left="360"/>
        <w:jc w:val="both"/>
        <w:rPr>
          <w:sz w:val="20"/>
          <w:szCs w:val="20"/>
        </w:rPr>
      </w:pPr>
      <w:r>
        <w:rPr>
          <w:sz w:val="20"/>
          <w:szCs w:val="20"/>
        </w:rPr>
        <w:t> </w:t>
      </w:r>
    </w:p>
    <w:p w14:paraId="126810EE" w14:textId="77777777" w:rsidR="00000000" w:rsidRDefault="0053651E">
      <w:pPr>
        <w:pStyle w:val="a3"/>
        <w:spacing w:before="0" w:beforeAutospacing="0" w:after="0" w:afterAutospacing="0"/>
        <w:ind w:left="360"/>
        <w:jc w:val="both"/>
        <w:rPr>
          <w:sz w:val="20"/>
          <w:szCs w:val="20"/>
        </w:rPr>
      </w:pPr>
      <w:r>
        <w:rPr>
          <w:sz w:val="20"/>
          <w:szCs w:val="20"/>
          <w:u w:val="single"/>
        </w:rPr>
        <w:t>Noncontrolling Interests</w:t>
      </w:r>
    </w:p>
    <w:p w14:paraId="3D5E343B" w14:textId="77777777" w:rsidR="00000000" w:rsidRDefault="0053651E">
      <w:pPr>
        <w:pStyle w:val="a3"/>
        <w:spacing w:before="0" w:beforeAutospacing="0" w:after="0" w:afterAutospacing="0"/>
        <w:ind w:left="360"/>
        <w:jc w:val="both"/>
        <w:rPr>
          <w:sz w:val="20"/>
          <w:szCs w:val="20"/>
        </w:rPr>
      </w:pPr>
      <w:r>
        <w:rPr>
          <w:sz w:val="20"/>
          <w:szCs w:val="20"/>
        </w:rPr>
        <w:t> </w:t>
      </w:r>
    </w:p>
    <w:p w14:paraId="620696FF" w14:textId="77777777" w:rsidR="00000000" w:rsidRDefault="0053651E">
      <w:pPr>
        <w:pStyle w:val="a3"/>
        <w:spacing w:before="0" w:beforeAutospacing="0" w:after="0" w:afterAutospacing="0"/>
        <w:ind w:left="360"/>
        <w:jc w:val="both"/>
        <w:rPr>
          <w:sz w:val="20"/>
          <w:szCs w:val="20"/>
        </w:rPr>
      </w:pPr>
      <w:r>
        <w:rPr>
          <w:sz w:val="20"/>
          <w:szCs w:val="20"/>
        </w:rPr>
        <w:t>The Company accounts for noncontrolling interests in accordance with the Consolidation guidance and the Distin</w:t>
      </w:r>
      <w:r>
        <w:rPr>
          <w:sz w:val="20"/>
          <w:szCs w:val="20"/>
        </w:rPr>
        <w:t>guishing Liabilities from Equity guidance issued by the FASB. Noncontrolling interests represent the portion of equity that the Company does</w:t>
      </w:r>
      <w:r>
        <w:rPr>
          <w:sz w:val="20"/>
          <w:szCs w:val="20"/>
        </w:rPr>
        <w:t xml:space="preserve"> </w:t>
      </w:r>
      <w:r>
        <w:rPr>
          <w:rStyle w:val="a6"/>
          <w:i w:val="0"/>
          <w:iCs w:val="0"/>
          <w:sz w:val="20"/>
          <w:szCs w:val="20"/>
        </w:rPr>
        <w:t>not</w:t>
      </w:r>
      <w:r>
        <w:rPr>
          <w:sz w:val="20"/>
          <w:szCs w:val="20"/>
        </w:rPr>
        <w:t xml:space="preserve"> own in those entities it consolidates. The Company identifies its noncontrolling interests separately within th</w:t>
      </w:r>
      <w:r>
        <w:rPr>
          <w:sz w:val="20"/>
          <w:szCs w:val="20"/>
        </w:rPr>
        <w:t>e equity section on the Company’s Consolidated Balance Sheets. The amounts of consolidated net earnings attributable to the Company and to the noncontrolling interests are presented separately on the Company’s Consolidated Statements of Income. </w:t>
      </w:r>
    </w:p>
    <w:p w14:paraId="31DB8D21" w14:textId="77777777" w:rsidR="00000000" w:rsidRDefault="0053651E">
      <w:pPr>
        <w:pStyle w:val="a3"/>
        <w:spacing w:before="0" w:beforeAutospacing="0" w:after="0" w:afterAutospacing="0"/>
        <w:ind w:left="360"/>
        <w:jc w:val="both"/>
        <w:rPr>
          <w:sz w:val="20"/>
          <w:szCs w:val="20"/>
        </w:rPr>
      </w:pPr>
      <w:r>
        <w:rPr>
          <w:sz w:val="20"/>
          <w:szCs w:val="20"/>
        </w:rPr>
        <w:t> </w:t>
      </w:r>
    </w:p>
    <w:p w14:paraId="4EC1F252" w14:textId="77777777" w:rsidR="00000000" w:rsidRDefault="0053651E">
      <w:pPr>
        <w:pStyle w:val="a3"/>
        <w:spacing w:before="0" w:beforeAutospacing="0" w:after="0" w:afterAutospacing="0"/>
        <w:ind w:left="360"/>
        <w:jc w:val="both"/>
        <w:rPr>
          <w:sz w:val="20"/>
          <w:szCs w:val="20"/>
        </w:rPr>
      </w:pPr>
      <w:r>
        <w:rPr>
          <w:sz w:val="20"/>
          <w:szCs w:val="20"/>
        </w:rPr>
        <w:t>Noncontr</w:t>
      </w:r>
      <w:r>
        <w:rPr>
          <w:sz w:val="20"/>
          <w:szCs w:val="20"/>
        </w:rPr>
        <w:t>olling interests also include amounts related to partnership units issued by consolidated subsidiaries of the Company in connection with certain property acquisitions. These units have a stated redemption value or a defined redemption amount based upon the</w:t>
      </w:r>
      <w:r>
        <w:rPr>
          <w:sz w:val="20"/>
          <w:szCs w:val="20"/>
        </w:rPr>
        <w:t xml:space="preserve"> trading price of the Company’s common stock and provides the unit holders various rates of return during the holding period. The unit holders generally have the right to redeem their units for cash at any time after</w:t>
      </w:r>
      <w:r>
        <w:rPr>
          <w:sz w:val="20"/>
          <w:szCs w:val="20"/>
        </w:rPr>
        <w:t xml:space="preserve"> </w:t>
      </w:r>
      <w:r>
        <w:rPr>
          <w:sz w:val="20"/>
          <w:szCs w:val="20"/>
        </w:rPr>
        <w:t>on</w:t>
      </w:r>
      <w:r>
        <w:rPr>
          <w:sz w:val="20"/>
          <w:szCs w:val="20"/>
        </w:rPr>
        <w:t>e</w:t>
      </w:r>
      <w:r>
        <w:rPr>
          <w:sz w:val="20"/>
          <w:szCs w:val="20"/>
        </w:rPr>
        <w:t xml:space="preserve"> year from issuance. For convertible</w:t>
      </w:r>
      <w:r>
        <w:rPr>
          <w:sz w:val="20"/>
          <w:szCs w:val="20"/>
        </w:rPr>
        <w:t xml:space="preserve"> units, the Company typically has the option to settle redemption amounts in cash or common stock.</w:t>
      </w:r>
    </w:p>
    <w:p w14:paraId="017A0AA3" w14:textId="77777777" w:rsidR="00000000" w:rsidRDefault="0053651E">
      <w:pPr>
        <w:pStyle w:val="a3"/>
        <w:spacing w:before="0" w:beforeAutospacing="0" w:after="0" w:afterAutospacing="0"/>
        <w:ind w:left="360"/>
        <w:jc w:val="both"/>
        <w:rPr>
          <w:sz w:val="20"/>
          <w:szCs w:val="20"/>
        </w:rPr>
      </w:pPr>
      <w:r>
        <w:rPr>
          <w:sz w:val="20"/>
          <w:szCs w:val="20"/>
        </w:rPr>
        <w:t> </w:t>
      </w:r>
    </w:p>
    <w:p w14:paraId="41F6B055" w14:textId="77777777" w:rsidR="00000000" w:rsidRDefault="0053651E">
      <w:pPr>
        <w:pStyle w:val="a3"/>
        <w:spacing w:before="0" w:beforeAutospacing="0" w:after="0" w:afterAutospacing="0"/>
        <w:ind w:left="360"/>
        <w:jc w:val="both"/>
        <w:rPr>
          <w:sz w:val="20"/>
          <w:szCs w:val="20"/>
        </w:rPr>
      </w:pPr>
      <w:r>
        <w:rPr>
          <w:sz w:val="20"/>
          <w:szCs w:val="20"/>
        </w:rPr>
        <w:t xml:space="preserve">The Company evaluates the terms of the partnership units issued in accordance with the FASB’s Distinguishing Liabilities from Equity guidance. Convertible </w:t>
      </w:r>
      <w:r>
        <w:rPr>
          <w:sz w:val="20"/>
          <w:szCs w:val="20"/>
        </w:rPr>
        <w:t>units for which the Company has the option to settle redemption amounts in cash or common stock are included in the caption Noncontrolling interests within the equity section on the Company’s Consolidated Balance Sheets. Units which embody a conditional ob</w:t>
      </w:r>
      <w:r>
        <w:rPr>
          <w:sz w:val="20"/>
          <w:szCs w:val="20"/>
        </w:rPr>
        <w:t>ligation requiring the Company to redeem the units for cash after a specified or determinable date (or dates) or upon the occurrence of an event that is</w:t>
      </w:r>
      <w:r>
        <w:rPr>
          <w:sz w:val="20"/>
          <w:szCs w:val="20"/>
        </w:rPr>
        <w:t xml:space="preserve"> </w:t>
      </w:r>
      <w:r>
        <w:rPr>
          <w:rStyle w:val="a6"/>
          <w:i w:val="0"/>
          <w:iCs w:val="0"/>
          <w:sz w:val="20"/>
          <w:szCs w:val="20"/>
        </w:rPr>
        <w:t>not</w:t>
      </w:r>
      <w:r>
        <w:rPr>
          <w:sz w:val="20"/>
          <w:szCs w:val="20"/>
        </w:rPr>
        <w:t xml:space="preserve"> solely within the control of the issuer are determined to be contingently redeemable under this gui</w:t>
      </w:r>
      <w:r>
        <w:rPr>
          <w:sz w:val="20"/>
          <w:szCs w:val="20"/>
        </w:rPr>
        <w:t>dance and are included as Redeemable noncontrolling interests and classified within the mezzanine section between Total liabilities and Stockholders’ equity on the Company’s Consolidated Balance Sheets.</w:t>
      </w:r>
    </w:p>
    <w:p w14:paraId="2FD791A9" w14:textId="77777777" w:rsidR="00000000" w:rsidRDefault="0053651E">
      <w:pPr>
        <w:pStyle w:val="a3"/>
        <w:spacing w:before="0" w:beforeAutospacing="0" w:after="0" w:afterAutospacing="0"/>
        <w:ind w:left="360"/>
        <w:jc w:val="both"/>
        <w:rPr>
          <w:sz w:val="20"/>
          <w:szCs w:val="20"/>
        </w:rPr>
      </w:pPr>
      <w:r>
        <w:rPr>
          <w:sz w:val="20"/>
          <w:szCs w:val="20"/>
        </w:rPr>
        <w:t> </w:t>
      </w:r>
    </w:p>
    <w:p w14:paraId="7BFBCB18" w14:textId="77777777" w:rsidR="00000000" w:rsidRDefault="0053651E">
      <w:pPr>
        <w:pStyle w:val="a3"/>
        <w:spacing w:before="0" w:beforeAutospacing="0" w:after="0" w:afterAutospacing="0"/>
        <w:ind w:left="360"/>
        <w:jc w:val="both"/>
        <w:rPr>
          <w:sz w:val="20"/>
          <w:szCs w:val="20"/>
        </w:rPr>
      </w:pPr>
      <w:r>
        <w:rPr>
          <w:sz w:val="20"/>
          <w:szCs w:val="20"/>
        </w:rPr>
        <w:t>Contingently redeemable noncontrolling interests ar</w:t>
      </w:r>
      <w:r>
        <w:rPr>
          <w:sz w:val="20"/>
          <w:szCs w:val="20"/>
        </w:rPr>
        <w:t>e recorded at fair value upon issuance. Any change in the fair value or redemption value of these noncontrolling interests is subsequently recognized through Paid-in capital on the Company’s Consolidated Balance Sheets and is included in the Company’s comp</w:t>
      </w:r>
      <w:r>
        <w:rPr>
          <w:sz w:val="20"/>
          <w:szCs w:val="20"/>
        </w:rPr>
        <w:t>utation of earnings per share (see Footnote</w:t>
      </w:r>
      <w:r>
        <w:rPr>
          <w:sz w:val="20"/>
          <w:szCs w:val="20"/>
        </w:rPr>
        <w:t xml:space="preserve"> </w:t>
      </w:r>
      <w:r>
        <w:rPr>
          <w:rStyle w:val="a6"/>
          <w:i w:val="0"/>
          <w:iCs w:val="0"/>
          <w:sz w:val="20"/>
          <w:szCs w:val="20"/>
        </w:rPr>
        <w:t>22</w:t>
      </w:r>
      <w:r>
        <w:rPr>
          <w:sz w:val="20"/>
          <w:szCs w:val="20"/>
        </w:rPr>
        <w:t xml:space="preserve"> of the Notes to the Consolidated Financial Statements).</w:t>
      </w:r>
    </w:p>
    <w:p w14:paraId="05AB5B99" w14:textId="77777777" w:rsidR="00000000" w:rsidRDefault="0053651E">
      <w:pPr>
        <w:pStyle w:val="a3"/>
        <w:spacing w:before="0" w:beforeAutospacing="0" w:after="0" w:afterAutospacing="0"/>
        <w:ind w:left="360"/>
        <w:jc w:val="both"/>
        <w:rPr>
          <w:sz w:val="20"/>
          <w:szCs w:val="20"/>
        </w:rPr>
      </w:pPr>
      <w:r>
        <w:rPr>
          <w:sz w:val="20"/>
          <w:szCs w:val="20"/>
        </w:rPr>
        <w:t> </w:t>
      </w:r>
    </w:p>
    <w:p w14:paraId="19E5A412" w14:textId="77777777" w:rsidR="00000000" w:rsidRDefault="0053651E">
      <w:pPr>
        <w:pStyle w:val="a3"/>
        <w:spacing w:before="0" w:beforeAutospacing="0" w:after="0" w:afterAutospacing="0"/>
        <w:ind w:left="360"/>
        <w:jc w:val="both"/>
        <w:rPr>
          <w:sz w:val="20"/>
          <w:szCs w:val="20"/>
        </w:rPr>
      </w:pPr>
      <w:r>
        <w:rPr>
          <w:sz w:val="20"/>
          <w:szCs w:val="20"/>
          <w:u w:val="single"/>
        </w:rPr>
        <w:t>Stock Compensation</w:t>
      </w:r>
    </w:p>
    <w:p w14:paraId="19D415D1" w14:textId="77777777" w:rsidR="00000000" w:rsidRDefault="0053651E">
      <w:pPr>
        <w:pStyle w:val="a3"/>
        <w:spacing w:before="0" w:beforeAutospacing="0" w:after="0" w:afterAutospacing="0"/>
        <w:ind w:left="360"/>
        <w:jc w:val="both"/>
        <w:rPr>
          <w:sz w:val="20"/>
          <w:szCs w:val="20"/>
        </w:rPr>
      </w:pPr>
      <w:r>
        <w:rPr>
          <w:sz w:val="20"/>
          <w:szCs w:val="20"/>
        </w:rPr>
        <w:t> </w:t>
      </w:r>
    </w:p>
    <w:p w14:paraId="7855AD24" w14:textId="77777777" w:rsidR="00000000" w:rsidRDefault="0053651E">
      <w:pPr>
        <w:pStyle w:val="a3"/>
        <w:spacing w:before="0" w:beforeAutospacing="0" w:after="0" w:afterAutospacing="0"/>
        <w:ind w:left="360"/>
        <w:jc w:val="both"/>
        <w:rPr>
          <w:sz w:val="20"/>
          <w:szCs w:val="20"/>
        </w:rPr>
      </w:pPr>
      <w:r>
        <w:rPr>
          <w:sz w:val="20"/>
          <w:szCs w:val="20"/>
        </w:rPr>
        <w:t>The Company maintains two equity participation plans, the Second Amended and Restated</w:t>
      </w:r>
      <w:r>
        <w:rPr>
          <w:sz w:val="20"/>
          <w:szCs w:val="20"/>
        </w:rPr>
        <w:t xml:space="preserve"> </w:t>
      </w:r>
      <w:r>
        <w:rPr>
          <w:rStyle w:val="a6"/>
          <w:i w:val="0"/>
          <w:iCs w:val="0"/>
          <w:sz w:val="20"/>
          <w:szCs w:val="20"/>
        </w:rPr>
        <w:t>1998</w:t>
      </w:r>
      <w:r>
        <w:rPr>
          <w:sz w:val="20"/>
          <w:szCs w:val="20"/>
        </w:rPr>
        <w:t xml:space="preserve"> Equity Participation Plan (the “Prior P</w:t>
      </w:r>
      <w:r>
        <w:rPr>
          <w:sz w:val="20"/>
          <w:szCs w:val="20"/>
        </w:rPr>
        <w:t>lan”) and the</w:t>
      </w:r>
      <w:r>
        <w:rPr>
          <w:sz w:val="20"/>
          <w:szCs w:val="20"/>
        </w:rPr>
        <w:t xml:space="preserve"> </w:t>
      </w:r>
      <w:r>
        <w:rPr>
          <w:rStyle w:val="a6"/>
          <w:i w:val="0"/>
          <w:iCs w:val="0"/>
          <w:sz w:val="20"/>
          <w:szCs w:val="20"/>
        </w:rPr>
        <w:t>2010</w:t>
      </w:r>
      <w:r>
        <w:rPr>
          <w:sz w:val="20"/>
          <w:szCs w:val="20"/>
        </w:rPr>
        <w:t xml:space="preserve"> Equity Participation Plan (the</w:t>
      </w:r>
      <w:r>
        <w:rPr>
          <w:sz w:val="20"/>
          <w:szCs w:val="20"/>
        </w:rPr>
        <w:t xml:space="preserve"> </w:t>
      </w:r>
      <w:r>
        <w:rPr>
          <w:rStyle w:val="a6"/>
          <w:i w:val="0"/>
          <w:iCs w:val="0"/>
          <w:sz w:val="20"/>
          <w:szCs w:val="20"/>
        </w:rPr>
        <w:t>“2010</w:t>
      </w:r>
      <w:r>
        <w:rPr>
          <w:sz w:val="20"/>
          <w:szCs w:val="20"/>
        </w:rPr>
        <w:t xml:space="preserve"> Plan”) (collectively, the “Plans”). The Prior Plan provides for a maximum of 47,000,000 shares of the Company’s common stock to be issued for qualified and non-qualified stock options and restricted s</w:t>
      </w:r>
      <w:r>
        <w:rPr>
          <w:sz w:val="20"/>
          <w:szCs w:val="20"/>
        </w:rPr>
        <w:t>tock grants. Effective</w:t>
      </w:r>
      <w:r>
        <w:rPr>
          <w:sz w:val="20"/>
          <w:szCs w:val="20"/>
        </w:rPr>
        <w:t xml:space="preserve"> </w:t>
      </w:r>
      <w:r>
        <w:rPr>
          <w:rStyle w:val="a6"/>
          <w:i w:val="0"/>
          <w:iCs w:val="0"/>
          <w:sz w:val="20"/>
          <w:szCs w:val="20"/>
        </w:rPr>
        <w:t xml:space="preserve">May 1, 2012, </w:t>
      </w:r>
      <w:r>
        <w:rPr>
          <w:sz w:val="20"/>
          <w:szCs w:val="20"/>
        </w:rPr>
        <w:t>the</w:t>
      </w:r>
      <w:r>
        <w:rPr>
          <w:sz w:val="20"/>
          <w:szCs w:val="20"/>
        </w:rPr>
        <w:t xml:space="preserve"> </w:t>
      </w:r>
      <w:r>
        <w:rPr>
          <w:rStyle w:val="a6"/>
          <w:i w:val="0"/>
          <w:iCs w:val="0"/>
          <w:sz w:val="20"/>
          <w:szCs w:val="20"/>
        </w:rPr>
        <w:t>2010</w:t>
      </w:r>
      <w:r>
        <w:rPr>
          <w:sz w:val="20"/>
          <w:szCs w:val="20"/>
        </w:rPr>
        <w:t xml:space="preserve"> Plan provides for a maximum of 10,000,000 shares of the Company’s common stock to be issued for qualified and non-qualified stock options and other awards, plus the number of shares of common stock which are or </w:t>
      </w:r>
      <w:r>
        <w:rPr>
          <w:sz w:val="20"/>
          <w:szCs w:val="20"/>
        </w:rPr>
        <w:t>become available for issuance under the Prior Plan and which are</w:t>
      </w:r>
      <w:r>
        <w:rPr>
          <w:sz w:val="20"/>
          <w:szCs w:val="20"/>
        </w:rPr>
        <w:t xml:space="preserve"> </w:t>
      </w:r>
      <w:r>
        <w:rPr>
          <w:rStyle w:val="a6"/>
          <w:i w:val="0"/>
          <w:iCs w:val="0"/>
          <w:sz w:val="20"/>
          <w:szCs w:val="20"/>
        </w:rPr>
        <w:t>not</w:t>
      </w:r>
      <w:r>
        <w:rPr>
          <w:sz w:val="20"/>
          <w:szCs w:val="20"/>
        </w:rPr>
        <w:t xml:space="preserve"> thereafter issued under the Prior Plan, subject to certain conditions. Unless otherwise determined by the Board of Directors at its sole discretion, stock options granted under the Plans </w:t>
      </w:r>
      <w:r>
        <w:rPr>
          <w:sz w:val="20"/>
          <w:szCs w:val="20"/>
        </w:rPr>
        <w:t>generally vest ratably over a range of</w:t>
      </w:r>
      <w:r>
        <w:rPr>
          <w:sz w:val="20"/>
          <w:szCs w:val="20"/>
        </w:rPr>
        <w:t xml:space="preserve"> </w:t>
      </w:r>
      <w:r>
        <w:rPr>
          <w:sz w:val="20"/>
          <w:szCs w:val="20"/>
        </w:rPr>
        <w:t>thre</w:t>
      </w:r>
      <w:r>
        <w:rPr>
          <w:sz w:val="20"/>
          <w:szCs w:val="20"/>
        </w:rPr>
        <w:t>e</w:t>
      </w:r>
      <w:r>
        <w:rPr>
          <w:sz w:val="20"/>
          <w:szCs w:val="20"/>
        </w:rPr>
        <w:t xml:space="preserve"> to</w:t>
      </w:r>
      <w:r>
        <w:rPr>
          <w:sz w:val="20"/>
          <w:szCs w:val="20"/>
        </w:rPr>
        <w:t xml:space="preserve"> </w:t>
      </w:r>
      <w:r>
        <w:rPr>
          <w:sz w:val="20"/>
          <w:szCs w:val="20"/>
        </w:rPr>
        <w:t>fiv</w:t>
      </w:r>
      <w:r>
        <w:rPr>
          <w:sz w:val="20"/>
          <w:szCs w:val="20"/>
        </w:rPr>
        <w:t>e</w:t>
      </w:r>
      <w:r>
        <w:rPr>
          <w:sz w:val="20"/>
          <w:szCs w:val="20"/>
        </w:rPr>
        <w:t xml:space="preserve"> years, expire</w:t>
      </w:r>
      <w:r>
        <w:rPr>
          <w:sz w:val="20"/>
          <w:szCs w:val="20"/>
        </w:rPr>
        <w:t xml:space="preserve"> </w:t>
      </w:r>
      <w:r>
        <w:rPr>
          <w:sz w:val="20"/>
          <w:szCs w:val="20"/>
        </w:rPr>
        <w:t>te</w:t>
      </w:r>
      <w:r>
        <w:rPr>
          <w:sz w:val="20"/>
          <w:szCs w:val="20"/>
        </w:rPr>
        <w:t>n</w:t>
      </w:r>
      <w:r>
        <w:rPr>
          <w:sz w:val="20"/>
          <w:szCs w:val="20"/>
        </w:rPr>
        <w:t xml:space="preserve"> years from the date of grant and are exercisable at the market price on the date of grant. Restricted stock grants generally vest (i) 100% on the</w:t>
      </w:r>
      <w:r>
        <w:rPr>
          <w:sz w:val="20"/>
          <w:szCs w:val="20"/>
        </w:rPr>
        <w:t xml:space="preserve"> </w:t>
      </w:r>
      <w:r>
        <w:rPr>
          <w:rStyle w:val="a6"/>
          <w:i w:val="0"/>
          <w:iCs w:val="0"/>
          <w:sz w:val="20"/>
          <w:szCs w:val="20"/>
        </w:rPr>
        <w:t>fourth</w:t>
      </w:r>
      <w:r>
        <w:rPr>
          <w:sz w:val="20"/>
          <w:szCs w:val="20"/>
        </w:rPr>
        <w:t xml:space="preserve"> or</w:t>
      </w:r>
      <w:r>
        <w:rPr>
          <w:sz w:val="20"/>
          <w:szCs w:val="20"/>
        </w:rPr>
        <w:t xml:space="preserve"> </w:t>
      </w:r>
      <w:r>
        <w:rPr>
          <w:rStyle w:val="a6"/>
          <w:i w:val="0"/>
          <w:iCs w:val="0"/>
          <w:sz w:val="20"/>
          <w:szCs w:val="20"/>
        </w:rPr>
        <w:t>fifth</w:t>
      </w:r>
      <w:r>
        <w:rPr>
          <w:sz w:val="20"/>
          <w:szCs w:val="20"/>
        </w:rPr>
        <w:t xml:space="preserve"> anniversary of the gran</w:t>
      </w:r>
      <w:r>
        <w:rPr>
          <w:sz w:val="20"/>
          <w:szCs w:val="20"/>
        </w:rPr>
        <w:t>t, (ii) ratably over three,</w:t>
      </w:r>
      <w:r>
        <w:rPr>
          <w:sz w:val="20"/>
          <w:szCs w:val="20"/>
        </w:rPr>
        <w:t xml:space="preserve"> </w:t>
      </w:r>
      <w:r>
        <w:rPr>
          <w:sz w:val="20"/>
          <w:szCs w:val="20"/>
        </w:rPr>
        <w:t>fou</w:t>
      </w:r>
      <w:r>
        <w:rPr>
          <w:sz w:val="20"/>
          <w:szCs w:val="20"/>
        </w:rPr>
        <w:t>r</w:t>
      </w:r>
      <w:r>
        <w:rPr>
          <w:sz w:val="20"/>
          <w:szCs w:val="20"/>
        </w:rPr>
        <w:t xml:space="preserve"> and</w:t>
      </w:r>
      <w:r>
        <w:rPr>
          <w:sz w:val="20"/>
          <w:szCs w:val="20"/>
        </w:rPr>
        <w:t xml:space="preserve"> </w:t>
      </w:r>
      <w:r>
        <w:rPr>
          <w:sz w:val="20"/>
          <w:szCs w:val="20"/>
        </w:rPr>
        <w:t>fiv</w:t>
      </w:r>
      <w:r>
        <w:rPr>
          <w:sz w:val="20"/>
          <w:szCs w:val="20"/>
        </w:rPr>
        <w:t>e</w:t>
      </w:r>
      <w:r>
        <w:rPr>
          <w:sz w:val="20"/>
          <w:szCs w:val="20"/>
        </w:rPr>
        <w:t xml:space="preserve"> years or (iii) over</w:t>
      </w:r>
      <w:r>
        <w:rPr>
          <w:sz w:val="20"/>
          <w:szCs w:val="20"/>
        </w:rPr>
        <w:t xml:space="preserve"> </w:t>
      </w:r>
      <w:r>
        <w:rPr>
          <w:sz w:val="20"/>
          <w:szCs w:val="20"/>
        </w:rPr>
        <w:t>te</w:t>
      </w:r>
      <w:r>
        <w:rPr>
          <w:sz w:val="20"/>
          <w:szCs w:val="20"/>
        </w:rPr>
        <w:t>n</w:t>
      </w:r>
      <w:r>
        <w:rPr>
          <w:sz w:val="20"/>
          <w:szCs w:val="20"/>
        </w:rPr>
        <w:t xml:space="preserve"> years at 20% per year commencing after the</w:t>
      </w:r>
      <w:r>
        <w:rPr>
          <w:sz w:val="20"/>
          <w:szCs w:val="20"/>
        </w:rPr>
        <w:t xml:space="preserve"> </w:t>
      </w:r>
      <w:r>
        <w:rPr>
          <w:rStyle w:val="a6"/>
          <w:i w:val="0"/>
          <w:iCs w:val="0"/>
          <w:sz w:val="20"/>
          <w:szCs w:val="20"/>
        </w:rPr>
        <w:t>fifth</w:t>
      </w:r>
      <w:r>
        <w:rPr>
          <w:sz w:val="20"/>
          <w:szCs w:val="20"/>
        </w:rPr>
        <w:t xml:space="preserve"> year. Performance share awards, which vest over a period of</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w:t>
      </w:r>
      <w:r>
        <w:rPr>
          <w:sz w:val="20"/>
          <w:szCs w:val="20"/>
        </w:rPr>
        <w:t>e</w:t>
      </w:r>
      <w:r>
        <w:rPr>
          <w:sz w:val="20"/>
          <w:szCs w:val="20"/>
        </w:rPr>
        <w:t xml:space="preserve"> years,</w:t>
      </w:r>
      <w:r>
        <w:rPr>
          <w:sz w:val="20"/>
          <w:szCs w:val="20"/>
        </w:rPr>
        <w:t xml:space="preserve"> </w:t>
      </w:r>
      <w:r>
        <w:rPr>
          <w:rStyle w:val="a6"/>
          <w:i w:val="0"/>
          <w:iCs w:val="0"/>
          <w:sz w:val="20"/>
          <w:szCs w:val="20"/>
        </w:rPr>
        <w:t xml:space="preserve">may </w:t>
      </w:r>
      <w:r>
        <w:rPr>
          <w:sz w:val="20"/>
          <w:szCs w:val="20"/>
        </w:rPr>
        <w:t>provide a right to receive shares of the Company’s common</w:t>
      </w:r>
      <w:r>
        <w:rPr>
          <w:sz w:val="20"/>
          <w:szCs w:val="20"/>
        </w:rPr>
        <w:t xml:space="preserve"> stock or restricted stock based on the Company’s performance relative to its peers, as defined, or based on other performance criteria as determined by the Board of Directors. In addition, the Plans provide for the granting of certain stock options and re</w:t>
      </w:r>
      <w:r>
        <w:rPr>
          <w:sz w:val="20"/>
          <w:szCs w:val="20"/>
        </w:rPr>
        <w:t>stricted stock to each of the Company’s non-employee directors (the “Independent Directors”) and permit such Independent Directors to elect to receive deferred stock awards in lieu of directors’ fees.</w:t>
      </w:r>
    </w:p>
    <w:p w14:paraId="09E04374" w14:textId="77777777" w:rsidR="00000000" w:rsidRDefault="0053651E">
      <w:pPr>
        <w:pStyle w:val="a3"/>
        <w:spacing w:before="0" w:beforeAutospacing="0" w:after="0" w:afterAutospacing="0"/>
        <w:ind w:left="360"/>
        <w:jc w:val="both"/>
        <w:rPr>
          <w:sz w:val="20"/>
          <w:szCs w:val="20"/>
        </w:rPr>
      </w:pPr>
      <w:r>
        <w:rPr>
          <w:sz w:val="20"/>
          <w:szCs w:val="20"/>
        </w:rPr>
        <w:t> </w:t>
      </w:r>
    </w:p>
    <w:p w14:paraId="7B8878E7" w14:textId="77777777" w:rsidR="00000000" w:rsidRDefault="0053651E">
      <w:pPr>
        <w:jc w:val="center"/>
        <w:divId w:val="2124231360"/>
        <w:rPr>
          <w:rFonts w:eastAsia="Times New Roman"/>
          <w:sz w:val="20"/>
          <w:szCs w:val="20"/>
        </w:rPr>
      </w:pPr>
      <w:r>
        <w:rPr>
          <w:rStyle w:val="a6"/>
          <w:rFonts w:eastAsia="Times New Roman"/>
          <w:i w:val="0"/>
          <w:iCs w:val="0"/>
          <w:sz w:val="20"/>
          <w:szCs w:val="20"/>
        </w:rPr>
        <w:t>58</w:t>
      </w:r>
      <w:r>
        <w:rPr>
          <w:rFonts w:eastAsia="Times New Roman"/>
          <w:sz w:val="20"/>
          <w:szCs w:val="20"/>
        </w:rPr>
        <w:t xml:space="preserve"> </w:t>
      </w:r>
    </w:p>
    <w:p w14:paraId="3D9325DC" w14:textId="77777777" w:rsidR="00000000" w:rsidRDefault="0053651E">
      <w:pPr>
        <w:divId w:val="2124231360"/>
        <w:rPr>
          <w:rFonts w:eastAsia="Times New Roman"/>
          <w:sz w:val="20"/>
          <w:szCs w:val="20"/>
        </w:rPr>
      </w:pPr>
      <w:r>
        <w:rPr>
          <w:rFonts w:eastAsia="Times New Roman"/>
          <w:sz w:val="20"/>
          <w:szCs w:val="20"/>
        </w:rPr>
        <w:pict w14:anchorId="6BE2A9CD">
          <v:rect id="_x0000_i1089" style="width:415.3pt;height:1.5pt" o:hralign="center" o:hrstd="t" o:hrnoshade="t" o:hr="t" fillcolor="black" stroked="f"/>
        </w:pict>
      </w:r>
    </w:p>
    <w:p w14:paraId="51205125" w14:textId="77777777" w:rsidR="00000000" w:rsidRDefault="0053651E">
      <w:pPr>
        <w:divId w:val="21242313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D5EBAE" w14:textId="77777777" w:rsidR="00000000" w:rsidRDefault="0053651E">
      <w:pPr>
        <w:pStyle w:val="a3"/>
        <w:spacing w:before="0" w:beforeAutospacing="0" w:after="0" w:afterAutospacing="0"/>
        <w:rPr>
          <w:sz w:val="20"/>
          <w:szCs w:val="20"/>
        </w:rPr>
      </w:pPr>
      <w:r>
        <w:rPr>
          <w:sz w:val="20"/>
          <w:szCs w:val="20"/>
        </w:rPr>
        <w:t> </w:t>
      </w:r>
    </w:p>
    <w:p w14:paraId="2CBF59FD"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3EC0857" w14:textId="77777777" w:rsidR="00000000" w:rsidRDefault="0053651E">
      <w:pPr>
        <w:pStyle w:val="a3"/>
        <w:spacing w:before="0" w:beforeAutospacing="0" w:after="0" w:afterAutospacing="0"/>
        <w:jc w:val="center"/>
        <w:rPr>
          <w:sz w:val="20"/>
          <w:szCs w:val="20"/>
        </w:rPr>
      </w:pPr>
      <w:r>
        <w:rPr>
          <w:sz w:val="20"/>
          <w:szCs w:val="20"/>
        </w:rPr>
        <w:t> </w:t>
      </w:r>
    </w:p>
    <w:p w14:paraId="5108CBBE"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97D2591" w14:textId="77777777" w:rsidR="00000000" w:rsidRDefault="0053651E">
      <w:pPr>
        <w:pStyle w:val="a3"/>
        <w:spacing w:before="0" w:beforeAutospacing="0" w:after="0" w:afterAutospacing="0"/>
        <w:rPr>
          <w:sz w:val="20"/>
          <w:szCs w:val="20"/>
        </w:rPr>
      </w:pPr>
      <w:r>
        <w:rPr>
          <w:sz w:val="20"/>
          <w:szCs w:val="20"/>
        </w:rPr>
        <w:t> </w:t>
      </w:r>
    </w:p>
    <w:p w14:paraId="31171AF2" w14:textId="77777777" w:rsidR="00000000" w:rsidRDefault="0053651E">
      <w:pPr>
        <w:pStyle w:val="a3"/>
        <w:spacing w:before="0" w:beforeAutospacing="0" w:after="0" w:afterAutospacing="0"/>
        <w:ind w:left="360"/>
        <w:jc w:val="both"/>
        <w:rPr>
          <w:sz w:val="20"/>
          <w:szCs w:val="20"/>
        </w:rPr>
      </w:pPr>
      <w:r>
        <w:rPr>
          <w:sz w:val="20"/>
          <w:szCs w:val="20"/>
        </w:rPr>
        <w:t>The Company accounts for equity awards in accordance with the FASB’s Stock Compensation guidance which requires that all share-based payments to employee</w:t>
      </w:r>
      <w:r>
        <w:rPr>
          <w:sz w:val="20"/>
          <w:szCs w:val="20"/>
        </w:rPr>
        <w:t>s be recognized in the Statements of Income over the service period based on their fair values. Fair value is determined, depending on the type of award, using either the Black-Scholes option pricing formula or the Monte Carlo method, both of which are int</w:t>
      </w:r>
      <w:r>
        <w:rPr>
          <w:sz w:val="20"/>
          <w:szCs w:val="20"/>
        </w:rPr>
        <w:t>ended to estimate the fair value of the awards at the grant date (see Footnote</w:t>
      </w:r>
      <w:r>
        <w:rPr>
          <w:sz w:val="20"/>
          <w:szCs w:val="20"/>
        </w:rPr>
        <w:t xml:space="preserve"> </w:t>
      </w:r>
      <w:r>
        <w:rPr>
          <w:rStyle w:val="a6"/>
          <w:i w:val="0"/>
          <w:iCs w:val="0"/>
          <w:sz w:val="20"/>
          <w:szCs w:val="20"/>
        </w:rPr>
        <w:t>20</w:t>
      </w:r>
      <w:r>
        <w:rPr>
          <w:sz w:val="20"/>
          <w:szCs w:val="20"/>
        </w:rPr>
        <w:t xml:space="preserve"> </w:t>
      </w:r>
      <w:r>
        <w:rPr>
          <w:sz w:val="20"/>
          <w:szCs w:val="20"/>
        </w:rPr>
        <w:t>of the Notes to Consolidated Financial Statements for additional disclosure on the assumptions and methodology).</w:t>
      </w:r>
    </w:p>
    <w:p w14:paraId="5E7185A3" w14:textId="77777777" w:rsidR="00000000" w:rsidRDefault="0053651E">
      <w:pPr>
        <w:pStyle w:val="a3"/>
        <w:spacing w:before="0" w:beforeAutospacing="0" w:after="0" w:afterAutospacing="0"/>
        <w:ind w:left="360"/>
        <w:jc w:val="both"/>
        <w:rPr>
          <w:sz w:val="20"/>
          <w:szCs w:val="20"/>
        </w:rPr>
      </w:pPr>
      <w:r>
        <w:rPr>
          <w:sz w:val="20"/>
          <w:szCs w:val="20"/>
        </w:rPr>
        <w:t> </w:t>
      </w:r>
    </w:p>
    <w:p w14:paraId="4420A23F" w14:textId="77777777" w:rsidR="00000000" w:rsidRDefault="0053651E">
      <w:pPr>
        <w:pStyle w:val="a3"/>
        <w:spacing w:before="0" w:beforeAutospacing="0" w:after="0" w:afterAutospacing="0"/>
        <w:ind w:left="360"/>
        <w:jc w:val="both"/>
        <w:rPr>
          <w:sz w:val="20"/>
          <w:szCs w:val="20"/>
        </w:rPr>
      </w:pPr>
      <w:r>
        <w:rPr>
          <w:sz w:val="20"/>
          <w:szCs w:val="20"/>
          <w:u w:val="single"/>
        </w:rPr>
        <w:t>Reclassifications</w:t>
      </w:r>
    </w:p>
    <w:p w14:paraId="32FD112C" w14:textId="77777777" w:rsidR="00000000" w:rsidRDefault="0053651E">
      <w:pPr>
        <w:pStyle w:val="a3"/>
        <w:spacing w:before="0" w:beforeAutospacing="0" w:after="0" w:afterAutospacing="0"/>
        <w:ind w:left="360"/>
        <w:jc w:val="both"/>
        <w:rPr>
          <w:sz w:val="20"/>
          <w:szCs w:val="20"/>
        </w:rPr>
      </w:pPr>
      <w:r>
        <w:rPr>
          <w:sz w:val="20"/>
          <w:szCs w:val="20"/>
        </w:rPr>
        <w:t> </w:t>
      </w:r>
    </w:p>
    <w:p w14:paraId="318886FF" w14:textId="77777777" w:rsidR="00000000" w:rsidRDefault="0053651E">
      <w:pPr>
        <w:pStyle w:val="a3"/>
        <w:spacing w:before="0" w:beforeAutospacing="0" w:after="0" w:afterAutospacing="0"/>
        <w:ind w:left="360"/>
        <w:jc w:val="both"/>
        <w:rPr>
          <w:sz w:val="20"/>
          <w:szCs w:val="20"/>
        </w:rPr>
      </w:pPr>
      <w:r>
        <w:rPr>
          <w:sz w:val="20"/>
          <w:szCs w:val="20"/>
        </w:rPr>
        <w:t>Certain amounts in the prior periods have been reclassified in order to conform to the current period’s presentation.  In</w:t>
      </w:r>
      <w:r>
        <w:rPr>
          <w:sz w:val="20"/>
          <w:szCs w:val="20"/>
        </w:rPr>
        <w:t xml:space="preserve"> conjunction with the adoption of Topic</w:t>
      </w:r>
      <w:r>
        <w:rPr>
          <w:sz w:val="20"/>
          <w:szCs w:val="20"/>
        </w:rPr>
        <w:t xml:space="preserve"> </w:t>
      </w:r>
      <w:r>
        <w:rPr>
          <w:rStyle w:val="a6"/>
          <w:i w:val="0"/>
          <w:iCs w:val="0"/>
          <w:sz w:val="20"/>
          <w:szCs w:val="20"/>
        </w:rPr>
        <w:t>842</w:t>
      </w:r>
      <w:r>
        <w:rPr>
          <w:sz w:val="20"/>
          <w:szCs w:val="20"/>
        </w:rPr>
        <w:t xml:space="preserve"> discussed above, the Company reclassified for the years ended</w:t>
      </w:r>
      <w:r>
        <w:rPr>
          <w:sz w:val="20"/>
          <w:szCs w:val="20"/>
        </w:rPr>
        <w:t xml:space="preserve"> </w:t>
      </w:r>
      <w:r>
        <w:rPr>
          <w:rStyle w:val="a6"/>
          <w:i w:val="0"/>
          <w:iCs w:val="0"/>
          <w:sz w:val="20"/>
          <w:szCs w:val="20"/>
        </w:rPr>
        <w:t xml:space="preserve">December 31, 2018 </w:t>
      </w:r>
      <w:r>
        <w:rPr>
          <w:sz w:val="20"/>
          <w:szCs w:val="20"/>
        </w:rPr>
        <w:t>and</w:t>
      </w:r>
      <w:r>
        <w:rPr>
          <w:sz w:val="20"/>
          <w:szCs w:val="20"/>
        </w:rPr>
        <w:t xml:space="preserve"> </w:t>
      </w:r>
      <w:r>
        <w:rPr>
          <w:rStyle w:val="a6"/>
          <w:i w:val="0"/>
          <w:iCs w:val="0"/>
          <w:sz w:val="20"/>
          <w:szCs w:val="20"/>
        </w:rPr>
        <w:t>2017:</w:t>
      </w:r>
      <w:r>
        <w:rPr>
          <w:sz w:val="20"/>
          <w:szCs w:val="20"/>
        </w:rPr>
        <w:t xml:space="preserve"> (i) $246.4 million and $247.6 million of Reimbursement income, respectively, and (ii)</w:t>
      </w:r>
      <w:r>
        <w:rPr>
          <w:sz w:val="20"/>
          <w:szCs w:val="20"/>
        </w:rPr>
        <w:t xml:space="preserve"> </w:t>
      </w:r>
      <w:r>
        <w:rPr>
          <w:sz w:val="20"/>
          <w:szCs w:val="20"/>
        </w:rPr>
        <w:t>$20.9 million and $23.6 million of O</w:t>
      </w:r>
      <w:r>
        <w:rPr>
          <w:sz w:val="20"/>
          <w:szCs w:val="20"/>
        </w:rPr>
        <w:t>ther rental property income, respectively, to Revenues from rental properties, net on the Company’s Consolidated Statements of Income.  The reclassification is solely for comparative purposes as the Company has</w:t>
      </w:r>
      <w:r>
        <w:rPr>
          <w:sz w:val="20"/>
          <w:szCs w:val="20"/>
        </w:rPr>
        <w:t xml:space="preserve"> </w:t>
      </w:r>
      <w:r>
        <w:rPr>
          <w:rStyle w:val="a6"/>
          <w:i w:val="0"/>
          <w:iCs w:val="0"/>
          <w:sz w:val="20"/>
          <w:szCs w:val="20"/>
        </w:rPr>
        <w:t>not</w:t>
      </w:r>
      <w:r>
        <w:rPr>
          <w:sz w:val="20"/>
          <w:szCs w:val="20"/>
        </w:rPr>
        <w:t xml:space="preserve"> elected to adopt Topic</w:t>
      </w:r>
      <w:r>
        <w:rPr>
          <w:sz w:val="20"/>
          <w:szCs w:val="20"/>
        </w:rPr>
        <w:t xml:space="preserve"> </w:t>
      </w:r>
      <w:r>
        <w:rPr>
          <w:rStyle w:val="a6"/>
          <w:i w:val="0"/>
          <w:iCs w:val="0"/>
          <w:sz w:val="20"/>
          <w:szCs w:val="20"/>
        </w:rPr>
        <w:t>842</w:t>
      </w:r>
      <w:r>
        <w:rPr>
          <w:sz w:val="20"/>
          <w:szCs w:val="20"/>
        </w:rPr>
        <w:t xml:space="preserve"> retrospectivel</w:t>
      </w:r>
      <w:r>
        <w:rPr>
          <w:sz w:val="20"/>
          <w:szCs w:val="20"/>
        </w:rPr>
        <w:t>y.</w:t>
      </w:r>
    </w:p>
    <w:p w14:paraId="5DAFBF73" w14:textId="77777777" w:rsidR="00000000" w:rsidRDefault="0053651E">
      <w:pPr>
        <w:pStyle w:val="a3"/>
        <w:spacing w:before="0" w:beforeAutospacing="0" w:after="0" w:afterAutospacing="0"/>
        <w:ind w:left="360"/>
        <w:jc w:val="both"/>
        <w:rPr>
          <w:sz w:val="20"/>
          <w:szCs w:val="20"/>
        </w:rPr>
      </w:pPr>
      <w:r>
        <w:rPr>
          <w:sz w:val="20"/>
          <w:szCs w:val="20"/>
        </w:rPr>
        <w:t> </w:t>
      </w:r>
    </w:p>
    <w:p w14:paraId="3A507E50" w14:textId="77777777" w:rsidR="00000000" w:rsidRDefault="0053651E">
      <w:pPr>
        <w:pStyle w:val="a3"/>
        <w:spacing w:before="0" w:beforeAutospacing="0" w:after="0" w:afterAutospacing="0"/>
        <w:ind w:left="360"/>
        <w:jc w:val="both"/>
        <w:rPr>
          <w:sz w:val="20"/>
          <w:szCs w:val="20"/>
        </w:rPr>
      </w:pPr>
      <w:r>
        <w:rPr>
          <w:sz w:val="20"/>
          <w:szCs w:val="20"/>
        </w:rPr>
        <w:t> </w:t>
      </w:r>
    </w:p>
    <w:p w14:paraId="3D0A8D3E" w14:textId="77777777" w:rsidR="00000000" w:rsidRDefault="0053651E">
      <w:pPr>
        <w:pStyle w:val="a3"/>
        <w:spacing w:before="0" w:beforeAutospacing="0" w:after="0" w:afterAutospacing="0"/>
        <w:rPr>
          <w:sz w:val="20"/>
          <w:szCs w:val="20"/>
        </w:rPr>
      </w:pPr>
      <w:r>
        <w:rPr>
          <w:i/>
          <w:iCs/>
          <w:sz w:val="20"/>
          <w:szCs w:val="20"/>
        </w:rPr>
        <w:t>New Accounting Pronouncements -</w:t>
      </w:r>
    </w:p>
    <w:p w14:paraId="58D9569E" w14:textId="77777777" w:rsidR="00000000" w:rsidRDefault="0053651E">
      <w:pPr>
        <w:pStyle w:val="a3"/>
        <w:spacing w:before="0" w:beforeAutospacing="0" w:after="0" w:afterAutospacing="0"/>
        <w:rPr>
          <w:sz w:val="20"/>
          <w:szCs w:val="20"/>
        </w:rPr>
      </w:pPr>
      <w:r>
        <w:rPr>
          <w:i/>
          <w:iCs/>
          <w:sz w:val="20"/>
          <w:szCs w:val="20"/>
        </w:rPr>
        <w:t> </w:t>
      </w:r>
    </w:p>
    <w:p w14:paraId="24DCD619" w14:textId="77777777" w:rsidR="00000000" w:rsidRDefault="0053651E">
      <w:pPr>
        <w:pStyle w:val="a3"/>
        <w:spacing w:before="0" w:beforeAutospacing="0" w:after="0" w:afterAutospacing="0"/>
        <w:jc w:val="both"/>
        <w:rPr>
          <w:sz w:val="20"/>
          <w:szCs w:val="20"/>
        </w:rPr>
      </w:pPr>
      <w:r>
        <w:rPr>
          <w:sz w:val="20"/>
          <w:szCs w:val="20"/>
        </w:rPr>
        <w:t>       The following table represents ASUs to the FASB’s ASCs that, as of</w:t>
      </w:r>
      <w:r>
        <w:rPr>
          <w:sz w:val="20"/>
          <w:szCs w:val="20"/>
        </w:rPr>
        <w:t xml:space="preserve"> </w:t>
      </w:r>
      <w:r>
        <w:rPr>
          <w:rStyle w:val="a6"/>
          <w:i w:val="0"/>
          <w:iCs w:val="0"/>
          <w:sz w:val="20"/>
          <w:szCs w:val="20"/>
        </w:rPr>
        <w:t xml:space="preserve">December 31, 2019, </w:t>
      </w:r>
      <w:r>
        <w:rPr>
          <w:sz w:val="20"/>
          <w:szCs w:val="20"/>
        </w:rPr>
        <w:t>are</w:t>
      </w:r>
      <w:r>
        <w:rPr>
          <w:sz w:val="20"/>
          <w:szCs w:val="20"/>
        </w:rPr>
        <w:t xml:space="preserve"> </w:t>
      </w:r>
      <w:r>
        <w:rPr>
          <w:rStyle w:val="a6"/>
          <w:i w:val="0"/>
          <w:iCs w:val="0"/>
          <w:sz w:val="20"/>
          <w:szCs w:val="20"/>
        </w:rPr>
        <w:t>not</w:t>
      </w:r>
      <w:r>
        <w:rPr>
          <w:sz w:val="20"/>
          <w:szCs w:val="20"/>
        </w:rPr>
        <w:t xml:space="preserve"> yet effective for the Company and for which the Company has</w:t>
      </w:r>
      <w:r>
        <w:rPr>
          <w:sz w:val="20"/>
          <w:szCs w:val="20"/>
        </w:rPr>
        <w:t xml:space="preserve"> </w:t>
      </w:r>
      <w:r>
        <w:rPr>
          <w:rStyle w:val="a6"/>
          <w:i w:val="0"/>
          <w:iCs w:val="0"/>
          <w:sz w:val="20"/>
          <w:szCs w:val="20"/>
        </w:rPr>
        <w:t>not</w:t>
      </w:r>
      <w:r>
        <w:rPr>
          <w:sz w:val="20"/>
          <w:szCs w:val="20"/>
        </w:rPr>
        <w:t xml:space="preserve"> elected early adoption, where permitted:</w:t>
      </w:r>
    </w:p>
    <w:p w14:paraId="470E49BC"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1965"/>
        <w:gridCol w:w="3600"/>
        <w:gridCol w:w="865"/>
        <w:gridCol w:w="1860"/>
      </w:tblGrid>
      <w:tr w:rsidR="00000000" w14:paraId="4394926E" w14:textId="77777777">
        <w:trPr>
          <w:tblCellSpacing w:w="0" w:type="dxa"/>
        </w:trPr>
        <w:tc>
          <w:tcPr>
            <w:tcW w:w="1100" w:type="pct"/>
            <w:tcBorders>
              <w:top w:val="single" w:sz="6" w:space="0" w:color="000000"/>
              <w:left w:val="single" w:sz="6" w:space="0" w:color="000000"/>
              <w:bottom w:val="single" w:sz="6" w:space="0" w:color="000000"/>
              <w:right w:val="single" w:sz="6" w:space="0" w:color="000000"/>
            </w:tcBorders>
            <w:vAlign w:val="bottom"/>
            <w:hideMark/>
          </w:tcPr>
          <w:p w14:paraId="0A2F842C" w14:textId="77777777" w:rsidR="00000000" w:rsidRDefault="0053651E">
            <w:pPr>
              <w:pStyle w:val="a3"/>
              <w:spacing w:before="0" w:beforeAutospacing="0" w:after="0" w:afterAutospacing="0"/>
              <w:jc w:val="center"/>
              <w:rPr>
                <w:sz w:val="20"/>
                <w:szCs w:val="20"/>
              </w:rPr>
            </w:pPr>
            <w:r>
              <w:rPr>
                <w:b/>
                <w:bCs/>
                <w:sz w:val="20"/>
                <w:szCs w:val="20"/>
              </w:rPr>
              <w:t>ASU</w:t>
            </w:r>
          </w:p>
        </w:tc>
        <w:tc>
          <w:tcPr>
            <w:tcW w:w="2200" w:type="pct"/>
            <w:tcBorders>
              <w:top w:val="single" w:sz="6" w:space="0" w:color="000000"/>
              <w:bottom w:val="single" w:sz="6" w:space="0" w:color="000000"/>
            </w:tcBorders>
            <w:vAlign w:val="bottom"/>
            <w:hideMark/>
          </w:tcPr>
          <w:p w14:paraId="5BEE3B6A" w14:textId="77777777" w:rsidR="00000000" w:rsidRDefault="0053651E">
            <w:pPr>
              <w:pStyle w:val="a3"/>
              <w:spacing w:before="0" w:beforeAutospacing="0" w:after="0" w:afterAutospacing="0"/>
              <w:jc w:val="center"/>
              <w:rPr>
                <w:sz w:val="20"/>
                <w:szCs w:val="20"/>
              </w:rPr>
            </w:pPr>
            <w:r>
              <w:rPr>
                <w:b/>
                <w:bCs/>
                <w:sz w:val="20"/>
                <w:szCs w:val="20"/>
              </w:rPr>
              <w:t>Des</w:t>
            </w:r>
            <w:r>
              <w:rPr>
                <w:b/>
                <w:bCs/>
                <w:sz w:val="20"/>
                <w:szCs w:val="20"/>
              </w:rPr>
              <w:t>cription</w:t>
            </w:r>
          </w:p>
        </w:tc>
        <w:tc>
          <w:tcPr>
            <w:tcW w:w="550" w:type="pct"/>
            <w:tcBorders>
              <w:top w:val="single" w:sz="6" w:space="0" w:color="000000"/>
              <w:left w:val="single" w:sz="6" w:space="0" w:color="000000"/>
              <w:bottom w:val="single" w:sz="6" w:space="0" w:color="000000"/>
              <w:right w:val="single" w:sz="6" w:space="0" w:color="000000"/>
            </w:tcBorders>
            <w:vAlign w:val="bottom"/>
            <w:hideMark/>
          </w:tcPr>
          <w:p w14:paraId="5D6A2A85" w14:textId="77777777" w:rsidR="00000000" w:rsidRDefault="0053651E">
            <w:pPr>
              <w:pStyle w:val="a3"/>
              <w:spacing w:before="0" w:beforeAutospacing="0" w:after="0" w:afterAutospacing="0"/>
              <w:jc w:val="center"/>
              <w:rPr>
                <w:sz w:val="20"/>
                <w:szCs w:val="20"/>
              </w:rPr>
            </w:pPr>
            <w:r>
              <w:rPr>
                <w:b/>
                <w:bCs/>
                <w:sz w:val="20"/>
                <w:szCs w:val="20"/>
              </w:rPr>
              <w:t xml:space="preserve">Effective </w:t>
            </w:r>
          </w:p>
          <w:p w14:paraId="4CEE286D" w14:textId="77777777" w:rsidR="00000000" w:rsidRDefault="0053651E">
            <w:pPr>
              <w:pStyle w:val="a3"/>
              <w:spacing w:before="0" w:beforeAutospacing="0" w:after="0" w:afterAutospacing="0"/>
              <w:jc w:val="center"/>
              <w:rPr>
                <w:sz w:val="20"/>
                <w:szCs w:val="20"/>
              </w:rPr>
            </w:pPr>
            <w:r>
              <w:rPr>
                <w:b/>
                <w:bCs/>
                <w:sz w:val="20"/>
                <w:szCs w:val="20"/>
              </w:rPr>
              <w:t>Date</w:t>
            </w:r>
          </w:p>
        </w:tc>
        <w:tc>
          <w:tcPr>
            <w:tcW w:w="1150" w:type="pct"/>
            <w:tcBorders>
              <w:top w:val="single" w:sz="6" w:space="0" w:color="000000"/>
              <w:bottom w:val="single" w:sz="6" w:space="0" w:color="000000"/>
              <w:right w:val="single" w:sz="6" w:space="0" w:color="000000"/>
            </w:tcBorders>
            <w:vAlign w:val="bottom"/>
            <w:hideMark/>
          </w:tcPr>
          <w:p w14:paraId="6791BDF4" w14:textId="77777777" w:rsidR="00000000" w:rsidRDefault="0053651E">
            <w:pPr>
              <w:pStyle w:val="a3"/>
              <w:spacing w:before="0" w:beforeAutospacing="0" w:after="0" w:afterAutospacing="0"/>
              <w:jc w:val="center"/>
              <w:rPr>
                <w:sz w:val="20"/>
                <w:szCs w:val="20"/>
              </w:rPr>
            </w:pPr>
            <w:r>
              <w:rPr>
                <w:b/>
                <w:bCs/>
                <w:sz w:val="20"/>
                <w:szCs w:val="20"/>
              </w:rPr>
              <w:t xml:space="preserve">Effect on the financial </w:t>
            </w:r>
          </w:p>
          <w:p w14:paraId="5D312A1B" w14:textId="77777777" w:rsidR="00000000" w:rsidRDefault="0053651E">
            <w:pPr>
              <w:pStyle w:val="a3"/>
              <w:spacing w:before="0" w:beforeAutospacing="0" w:after="0" w:afterAutospacing="0"/>
              <w:jc w:val="center"/>
              <w:rPr>
                <w:sz w:val="20"/>
                <w:szCs w:val="20"/>
              </w:rPr>
            </w:pPr>
            <w:r>
              <w:rPr>
                <w:b/>
                <w:bCs/>
                <w:sz w:val="20"/>
                <w:szCs w:val="20"/>
              </w:rPr>
              <w:t>statements or other</w:t>
            </w:r>
          </w:p>
          <w:p w14:paraId="4229404D" w14:textId="77777777" w:rsidR="00000000" w:rsidRDefault="0053651E">
            <w:pPr>
              <w:pStyle w:val="a3"/>
              <w:spacing w:before="0" w:beforeAutospacing="0" w:after="0" w:afterAutospacing="0"/>
              <w:jc w:val="center"/>
              <w:rPr>
                <w:sz w:val="20"/>
                <w:szCs w:val="20"/>
              </w:rPr>
            </w:pPr>
            <w:r>
              <w:rPr>
                <w:b/>
                <w:bCs/>
                <w:sz w:val="20"/>
                <w:szCs w:val="20"/>
              </w:rPr>
              <w:t>significant matters</w:t>
            </w:r>
          </w:p>
        </w:tc>
      </w:tr>
      <w:tr w:rsidR="00000000" w14:paraId="2654D056" w14:textId="77777777">
        <w:trPr>
          <w:tblCellSpacing w:w="0" w:type="dxa"/>
        </w:trPr>
        <w:tc>
          <w:tcPr>
            <w:tcW w:w="1100" w:type="pct"/>
            <w:tcBorders>
              <w:left w:val="single" w:sz="6" w:space="0" w:color="000000"/>
              <w:bottom w:val="single" w:sz="6" w:space="0" w:color="000000"/>
              <w:right w:val="single" w:sz="6" w:space="0" w:color="000000"/>
            </w:tcBorders>
            <w:shd w:val="clear" w:color="auto" w:fill="CCEEFF"/>
            <w:tcMar>
              <w:top w:w="0" w:type="dxa"/>
              <w:left w:w="45" w:type="dxa"/>
              <w:bottom w:w="0" w:type="dxa"/>
              <w:right w:w="45" w:type="dxa"/>
            </w:tcMar>
            <w:hideMark/>
          </w:tcPr>
          <w:p w14:paraId="35C2523D"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17,</w:t>
            </w:r>
            <w:r>
              <w:rPr>
                <w:sz w:val="20"/>
                <w:szCs w:val="20"/>
              </w:rPr>
              <w:t xml:space="preserve"> Consolidation (Topic</w:t>
            </w:r>
            <w:r>
              <w:rPr>
                <w:sz w:val="20"/>
                <w:szCs w:val="20"/>
              </w:rPr>
              <w:t xml:space="preserve"> </w:t>
            </w:r>
            <w:r>
              <w:rPr>
                <w:rStyle w:val="a6"/>
                <w:i w:val="0"/>
                <w:iCs w:val="0"/>
                <w:sz w:val="20"/>
                <w:szCs w:val="20"/>
              </w:rPr>
              <w:t>810</w:t>
            </w:r>
            <w:r>
              <w:rPr>
                <w:sz w:val="20"/>
                <w:szCs w:val="20"/>
              </w:rPr>
              <w:t xml:space="preserve">) – </w:t>
            </w:r>
            <w:r>
              <w:rPr>
                <w:sz w:val="20"/>
                <w:szCs w:val="20"/>
              </w:rPr>
              <w:t>Targeted Improvements to Related Party Guidance for Variable Interest Entities</w:t>
            </w:r>
          </w:p>
        </w:tc>
        <w:tc>
          <w:tcPr>
            <w:tcW w:w="2200" w:type="pct"/>
            <w:tcBorders>
              <w:bottom w:val="single" w:sz="6" w:space="0" w:color="000000"/>
            </w:tcBorders>
            <w:shd w:val="clear" w:color="auto" w:fill="CCEEFF"/>
            <w:tcMar>
              <w:top w:w="0" w:type="dxa"/>
              <w:left w:w="45" w:type="dxa"/>
              <w:bottom w:w="0" w:type="dxa"/>
              <w:right w:w="45" w:type="dxa"/>
            </w:tcMar>
            <w:hideMark/>
          </w:tcPr>
          <w:p w14:paraId="7AD9C48D" w14:textId="77777777" w:rsidR="00000000" w:rsidRDefault="0053651E">
            <w:pPr>
              <w:pStyle w:val="a3"/>
              <w:spacing w:before="0" w:beforeAutospacing="0" w:after="0" w:afterAutospacing="0"/>
              <w:jc w:val="both"/>
              <w:rPr>
                <w:sz w:val="20"/>
                <w:szCs w:val="20"/>
              </w:rPr>
            </w:pPr>
            <w:r>
              <w:rPr>
                <w:sz w:val="20"/>
                <w:szCs w:val="20"/>
              </w:rPr>
              <w:t>The amendment to Topic</w:t>
            </w:r>
            <w:r>
              <w:rPr>
                <w:sz w:val="20"/>
                <w:szCs w:val="20"/>
              </w:rPr>
              <w:t xml:space="preserve"> </w:t>
            </w:r>
            <w:r>
              <w:rPr>
                <w:rStyle w:val="a6"/>
                <w:i w:val="0"/>
                <w:iCs w:val="0"/>
                <w:sz w:val="20"/>
                <w:szCs w:val="20"/>
              </w:rPr>
              <w:t>810</w:t>
            </w:r>
            <w:r>
              <w:rPr>
                <w:sz w:val="20"/>
                <w:szCs w:val="20"/>
              </w:rPr>
              <w:t xml:space="preserve"> clarifies the following areas:</w:t>
            </w:r>
          </w:p>
          <w:p w14:paraId="0F563FA0" w14:textId="77777777" w:rsidR="00000000" w:rsidRDefault="0053651E">
            <w:pPr>
              <w:pStyle w:val="a3"/>
              <w:spacing w:before="0" w:beforeAutospacing="0" w:after="0" w:afterAutospacing="0"/>
              <w:ind w:left="360" w:hanging="360"/>
              <w:jc w:val="both"/>
              <w:rPr>
                <w:sz w:val="20"/>
                <w:szCs w:val="20"/>
              </w:rPr>
            </w:pPr>
            <w:r>
              <w:rPr>
                <w:sz w:val="20"/>
                <w:szCs w:val="20"/>
              </w:rPr>
              <w:t>(i)   Applying the variable interest entity (VIE) guidance to private companies under common control, and</w:t>
            </w:r>
          </w:p>
          <w:p w14:paraId="7AD38DE6" w14:textId="77777777" w:rsidR="00000000" w:rsidRDefault="0053651E">
            <w:pPr>
              <w:pStyle w:val="a3"/>
              <w:spacing w:before="0" w:beforeAutospacing="0" w:after="0" w:afterAutospacing="0"/>
              <w:ind w:left="360" w:hanging="360"/>
              <w:jc w:val="both"/>
              <w:rPr>
                <w:sz w:val="20"/>
                <w:szCs w:val="20"/>
              </w:rPr>
            </w:pPr>
            <w:r>
              <w:rPr>
                <w:sz w:val="20"/>
                <w:szCs w:val="20"/>
              </w:rPr>
              <w:t>(ii)  Conside</w:t>
            </w:r>
            <w:r>
              <w:rPr>
                <w:sz w:val="20"/>
                <w:szCs w:val="20"/>
              </w:rPr>
              <w:t>ring indirect interests held through related parties under common control, and for determining whether fees paid to decision makers and service providers are variable interests.</w:t>
            </w:r>
          </w:p>
          <w:p w14:paraId="20F7BA46" w14:textId="77777777" w:rsidR="00000000" w:rsidRDefault="0053651E">
            <w:pPr>
              <w:pStyle w:val="a3"/>
              <w:spacing w:before="0" w:beforeAutospacing="0" w:after="0" w:afterAutospacing="0"/>
              <w:jc w:val="both"/>
              <w:rPr>
                <w:sz w:val="20"/>
                <w:szCs w:val="20"/>
              </w:rPr>
            </w:pPr>
            <w:r>
              <w:rPr>
                <w:sz w:val="20"/>
                <w:szCs w:val="20"/>
              </w:rPr>
              <w:t> </w:t>
            </w:r>
          </w:p>
          <w:p w14:paraId="5AB1E3DF" w14:textId="77777777" w:rsidR="00000000" w:rsidRDefault="0053651E">
            <w:pPr>
              <w:pStyle w:val="a3"/>
              <w:spacing w:before="0" w:beforeAutospacing="0" w:after="0" w:afterAutospacing="0"/>
              <w:jc w:val="both"/>
              <w:rPr>
                <w:sz w:val="20"/>
                <w:szCs w:val="20"/>
              </w:rPr>
            </w:pPr>
            <w:r>
              <w:rPr>
                <w:sz w:val="20"/>
                <w:szCs w:val="20"/>
              </w:rPr>
              <w:t>This update improves the accounting for those areas, thereby improving gener</w:t>
            </w:r>
            <w:r>
              <w:rPr>
                <w:sz w:val="20"/>
                <w:szCs w:val="20"/>
              </w:rPr>
              <w:t>al purpose financial reporting. Retrospective adoption is required.</w:t>
            </w:r>
          </w:p>
          <w:p w14:paraId="757FD70C" w14:textId="77777777" w:rsidR="00000000" w:rsidRDefault="0053651E">
            <w:pPr>
              <w:pStyle w:val="a3"/>
              <w:spacing w:before="0" w:beforeAutospacing="0" w:after="0" w:afterAutospacing="0"/>
              <w:jc w:val="both"/>
              <w:rPr>
                <w:sz w:val="20"/>
                <w:szCs w:val="20"/>
              </w:rPr>
            </w:pPr>
            <w:r>
              <w:rPr>
                <w:sz w:val="20"/>
                <w:szCs w:val="20"/>
              </w:rPr>
              <w:t> </w:t>
            </w:r>
          </w:p>
        </w:tc>
        <w:tc>
          <w:tcPr>
            <w:tcW w:w="550" w:type="pct"/>
            <w:tcBorders>
              <w:left w:val="single" w:sz="6" w:space="0" w:color="000000"/>
              <w:bottom w:val="single" w:sz="6" w:space="0" w:color="000000"/>
              <w:right w:val="single" w:sz="6" w:space="0" w:color="000000"/>
            </w:tcBorders>
            <w:shd w:val="clear" w:color="auto" w:fill="CCEEFF"/>
            <w:hideMark/>
          </w:tcPr>
          <w:p w14:paraId="4469DCEC" w14:textId="77777777" w:rsidR="00000000" w:rsidRDefault="0053651E">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bottom w:val="single" w:sz="6" w:space="0" w:color="000000"/>
              <w:right w:val="single" w:sz="6" w:space="0" w:color="000000"/>
            </w:tcBorders>
            <w:shd w:val="clear" w:color="auto" w:fill="CCEEFF"/>
            <w:tcMar>
              <w:top w:w="0" w:type="dxa"/>
              <w:left w:w="45" w:type="dxa"/>
              <w:bottom w:w="0" w:type="dxa"/>
              <w:right w:w="45" w:type="dxa"/>
            </w:tcMar>
            <w:hideMark/>
          </w:tcPr>
          <w:p w14:paraId="2C4D236D" w14:textId="77777777" w:rsidR="00000000" w:rsidRDefault="0053651E">
            <w:pPr>
              <w:pStyle w:val="a3"/>
              <w:spacing w:before="0" w:beforeAutospacing="0" w:after="0" w:afterAutospacing="0"/>
              <w:rPr>
                <w:sz w:val="20"/>
                <w:szCs w:val="20"/>
              </w:rPr>
            </w:pPr>
            <w:r>
              <w:rPr>
                <w:sz w:val="20"/>
                <w:szCs w:val="20"/>
              </w:rPr>
              <w:t>The adoption of this ASU is</w:t>
            </w:r>
            <w:r>
              <w:rPr>
                <w:sz w:val="20"/>
                <w:szCs w:val="20"/>
              </w:rPr>
              <w:t xml:space="preserve"> </w:t>
            </w:r>
            <w:r>
              <w:rPr>
                <w:rStyle w:val="a6"/>
                <w:i w:val="0"/>
                <w:iCs w:val="0"/>
                <w:sz w:val="20"/>
                <w:szCs w:val="20"/>
              </w:rPr>
              <w:t>not</w:t>
            </w:r>
            <w:r>
              <w:rPr>
                <w:sz w:val="20"/>
                <w:szCs w:val="20"/>
              </w:rPr>
              <w:t xml:space="preserve"> expected to have a material impact on the Company’s financial position and/or results of operations.</w:t>
            </w:r>
          </w:p>
        </w:tc>
      </w:tr>
      <w:tr w:rsidR="00000000" w14:paraId="089F1BB2" w14:textId="77777777">
        <w:trPr>
          <w:tblCellSpacing w:w="0" w:type="dxa"/>
        </w:trPr>
        <w:tc>
          <w:tcPr>
            <w:tcW w:w="1100" w:type="pct"/>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EC92E83"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15,</w:t>
            </w:r>
            <w:r>
              <w:rPr>
                <w:sz w:val="20"/>
                <w:szCs w:val="20"/>
              </w:rPr>
              <w:t xml:space="preserve"> Intangibles – Goodwill and Other – Internal-Use Software (Subtopic</w:t>
            </w:r>
            <w:r>
              <w:rPr>
                <w:sz w:val="20"/>
                <w:szCs w:val="20"/>
              </w:rPr>
              <w:t xml:space="preserve"> </w:t>
            </w:r>
            <w:r>
              <w:rPr>
                <w:rStyle w:val="a6"/>
                <w:i w:val="0"/>
                <w:iCs w:val="0"/>
                <w:sz w:val="20"/>
                <w:szCs w:val="20"/>
              </w:rPr>
              <w:t>350</w:t>
            </w:r>
            <w:r>
              <w:rPr>
                <w:sz w:val="20"/>
                <w:szCs w:val="20"/>
              </w:rPr>
              <w:t>-</w:t>
            </w:r>
            <w:r>
              <w:rPr>
                <w:rStyle w:val="a6"/>
                <w:i w:val="0"/>
                <w:iCs w:val="0"/>
                <w:sz w:val="20"/>
                <w:szCs w:val="20"/>
              </w:rPr>
              <w:t>40</w:t>
            </w:r>
            <w:r>
              <w:rPr>
                <w:sz w:val="20"/>
                <w:szCs w:val="20"/>
              </w:rPr>
              <w:t>): Customer’s Accounting for Implementation Costs Incurred in a Cloud Computing Arrangement that is a Service Contract</w:t>
            </w:r>
          </w:p>
          <w:p w14:paraId="270A2511" w14:textId="77777777" w:rsidR="00000000" w:rsidRDefault="0053651E">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0" w:type="dxa"/>
              <w:left w:w="45" w:type="dxa"/>
              <w:bottom w:w="0" w:type="dxa"/>
              <w:right w:w="45" w:type="dxa"/>
            </w:tcMar>
            <w:hideMark/>
          </w:tcPr>
          <w:p w14:paraId="4B3CCFF9" w14:textId="77777777" w:rsidR="00000000" w:rsidRDefault="0053651E">
            <w:pPr>
              <w:pStyle w:val="a3"/>
              <w:spacing w:before="0" w:beforeAutospacing="0" w:after="0" w:afterAutospacing="0"/>
              <w:jc w:val="both"/>
              <w:rPr>
                <w:sz w:val="20"/>
                <w:szCs w:val="20"/>
              </w:rPr>
            </w:pPr>
            <w:r>
              <w:rPr>
                <w:sz w:val="20"/>
                <w:szCs w:val="20"/>
              </w:rPr>
              <w:t>The amendment aligns the requirements for capitalizin</w:t>
            </w:r>
            <w:r>
              <w:rPr>
                <w:sz w:val="20"/>
                <w:szCs w:val="20"/>
              </w:rPr>
              <w:t>g implementation costs incurred in a hosting arrangement that is a service contract with the requirements for capitalizing implementation costs incurred to develop or obtain internal-use software.</w:t>
            </w:r>
          </w:p>
        </w:tc>
        <w:tc>
          <w:tcPr>
            <w:tcW w:w="550" w:type="pct"/>
            <w:tcBorders>
              <w:left w:val="single" w:sz="6" w:space="0" w:color="000000"/>
              <w:bottom w:val="single" w:sz="6" w:space="0" w:color="000000"/>
              <w:right w:val="single" w:sz="6" w:space="0" w:color="000000"/>
            </w:tcBorders>
            <w:shd w:val="clear" w:color="auto" w:fill="FFFFFF"/>
            <w:hideMark/>
          </w:tcPr>
          <w:p w14:paraId="77035247" w14:textId="77777777" w:rsidR="00000000" w:rsidRDefault="0053651E">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bottom w:val="single" w:sz="6" w:space="0" w:color="000000"/>
              <w:right w:val="single" w:sz="6" w:space="0" w:color="000000"/>
            </w:tcBorders>
            <w:shd w:val="clear" w:color="auto" w:fill="FFFFFF"/>
            <w:tcMar>
              <w:top w:w="0" w:type="dxa"/>
              <w:left w:w="45" w:type="dxa"/>
              <w:bottom w:w="0" w:type="dxa"/>
              <w:right w:w="45" w:type="dxa"/>
            </w:tcMar>
            <w:hideMark/>
          </w:tcPr>
          <w:p w14:paraId="5578714B" w14:textId="77777777" w:rsidR="00000000" w:rsidRDefault="0053651E">
            <w:pPr>
              <w:pStyle w:val="a3"/>
              <w:spacing w:before="0" w:beforeAutospacing="0" w:after="0" w:afterAutospacing="0"/>
              <w:rPr>
                <w:sz w:val="20"/>
                <w:szCs w:val="20"/>
              </w:rPr>
            </w:pPr>
            <w:r>
              <w:rPr>
                <w:sz w:val="20"/>
                <w:szCs w:val="20"/>
              </w:rPr>
              <w:t>The adoption of t</w:t>
            </w:r>
            <w:r>
              <w:rPr>
                <w:sz w:val="20"/>
                <w:szCs w:val="20"/>
              </w:rPr>
              <w:t>his ASU is</w:t>
            </w:r>
            <w:r>
              <w:rPr>
                <w:sz w:val="20"/>
                <w:szCs w:val="20"/>
              </w:rPr>
              <w:t xml:space="preserve"> </w:t>
            </w:r>
            <w:r>
              <w:rPr>
                <w:rStyle w:val="a6"/>
                <w:i w:val="0"/>
                <w:iCs w:val="0"/>
                <w:sz w:val="20"/>
                <w:szCs w:val="20"/>
              </w:rPr>
              <w:t>not</w:t>
            </w:r>
            <w:r>
              <w:rPr>
                <w:sz w:val="20"/>
                <w:szCs w:val="20"/>
              </w:rPr>
              <w:t xml:space="preserve"> expected to have a material impact on the Company’s financial position and/or results of operations.</w:t>
            </w:r>
          </w:p>
        </w:tc>
      </w:tr>
      <w:tr w:rsidR="00000000" w14:paraId="3F095D18" w14:textId="77777777">
        <w:trPr>
          <w:tblCellSpacing w:w="0" w:type="dxa"/>
        </w:trPr>
        <w:tc>
          <w:tcPr>
            <w:tcW w:w="1100" w:type="pct"/>
            <w:tcBorders>
              <w:left w:val="single" w:sz="6" w:space="0" w:color="000000"/>
              <w:bottom w:val="single" w:sz="6" w:space="0" w:color="000000"/>
              <w:right w:val="single" w:sz="6" w:space="0" w:color="000000"/>
            </w:tcBorders>
            <w:shd w:val="clear" w:color="auto" w:fill="CCEEFF"/>
            <w:tcMar>
              <w:top w:w="0" w:type="dxa"/>
              <w:left w:w="45" w:type="dxa"/>
              <w:bottom w:w="0" w:type="dxa"/>
              <w:right w:w="45" w:type="dxa"/>
            </w:tcMar>
            <w:hideMark/>
          </w:tcPr>
          <w:p w14:paraId="5AF64026"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13,</w:t>
            </w:r>
            <w:r>
              <w:rPr>
                <w:sz w:val="20"/>
                <w:szCs w:val="20"/>
              </w:rPr>
              <w:t xml:space="preserve"> Fair Value Measurement (Topic</w:t>
            </w:r>
            <w:r>
              <w:rPr>
                <w:sz w:val="20"/>
                <w:szCs w:val="20"/>
              </w:rPr>
              <w:t xml:space="preserve"> </w:t>
            </w:r>
            <w:r>
              <w:rPr>
                <w:rStyle w:val="a6"/>
                <w:i w:val="0"/>
                <w:iCs w:val="0"/>
                <w:sz w:val="20"/>
                <w:szCs w:val="20"/>
              </w:rPr>
              <w:t>820</w:t>
            </w:r>
            <w:r>
              <w:rPr>
                <w:sz w:val="20"/>
                <w:szCs w:val="20"/>
              </w:rPr>
              <w:t>): Disclosure Framework – Changes to the Disclosure Requirements for Fair Value Measurement</w:t>
            </w:r>
          </w:p>
          <w:p w14:paraId="3407CC65" w14:textId="77777777" w:rsidR="00000000" w:rsidRDefault="0053651E">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CCEEFF"/>
            <w:tcMar>
              <w:top w:w="0" w:type="dxa"/>
              <w:left w:w="45" w:type="dxa"/>
              <w:bottom w:w="0" w:type="dxa"/>
              <w:right w:w="45" w:type="dxa"/>
            </w:tcMar>
            <w:hideMark/>
          </w:tcPr>
          <w:p w14:paraId="2A390952" w14:textId="77777777" w:rsidR="00000000" w:rsidRDefault="0053651E">
            <w:pPr>
              <w:pStyle w:val="a3"/>
              <w:spacing w:before="0" w:beforeAutospacing="0" w:after="0" w:afterAutospacing="0"/>
              <w:jc w:val="both"/>
              <w:rPr>
                <w:sz w:val="20"/>
                <w:szCs w:val="20"/>
              </w:rPr>
            </w:pPr>
            <w:r>
              <w:rPr>
                <w:sz w:val="20"/>
                <w:szCs w:val="20"/>
              </w:rPr>
              <w:t>The amendment modifies the disclosure requirements for fair value measurements in Topic</w:t>
            </w:r>
            <w:r>
              <w:rPr>
                <w:sz w:val="20"/>
                <w:szCs w:val="20"/>
              </w:rPr>
              <w:t xml:space="preserve"> </w:t>
            </w:r>
            <w:r>
              <w:rPr>
                <w:rStyle w:val="a6"/>
                <w:i w:val="0"/>
                <w:iCs w:val="0"/>
                <w:sz w:val="20"/>
                <w:szCs w:val="20"/>
              </w:rPr>
              <w:t>820,</w:t>
            </w:r>
            <w:r>
              <w:rPr>
                <w:sz w:val="20"/>
                <w:szCs w:val="20"/>
              </w:rPr>
              <w:t xml:space="preserve"> based on the concepts in the FASB Concepts Statement, </w:t>
            </w:r>
            <w:r>
              <w:rPr>
                <w:i/>
                <w:iCs/>
                <w:sz w:val="20"/>
                <w:szCs w:val="20"/>
              </w:rPr>
              <w:t>Conceptual Framework for Financial Reporting – Chapter</w:t>
            </w:r>
            <w:r>
              <w:rPr>
                <w:i/>
                <w:iCs/>
                <w:sz w:val="20"/>
                <w:szCs w:val="20"/>
              </w:rPr>
              <w:t xml:space="preserve"> </w:t>
            </w:r>
            <w:r>
              <w:rPr>
                <w:rStyle w:val="a6"/>
                <w:i w:val="0"/>
                <w:iCs w:val="0"/>
                <w:sz w:val="20"/>
                <w:szCs w:val="20"/>
              </w:rPr>
              <w:t>8:</w:t>
            </w:r>
            <w:r>
              <w:rPr>
                <w:i/>
                <w:iCs/>
                <w:sz w:val="20"/>
                <w:szCs w:val="20"/>
              </w:rPr>
              <w:t xml:space="preserve"> Notes to Financial Statements</w:t>
            </w:r>
            <w:r>
              <w:rPr>
                <w:sz w:val="20"/>
                <w:szCs w:val="20"/>
              </w:rPr>
              <w:t>, including the consi</w:t>
            </w:r>
            <w:r>
              <w:rPr>
                <w:sz w:val="20"/>
                <w:szCs w:val="20"/>
              </w:rPr>
              <w:t>deration of costs and benefits.</w:t>
            </w:r>
          </w:p>
        </w:tc>
        <w:tc>
          <w:tcPr>
            <w:tcW w:w="550" w:type="pct"/>
            <w:tcBorders>
              <w:left w:val="single" w:sz="6" w:space="0" w:color="000000"/>
              <w:bottom w:val="single" w:sz="6" w:space="0" w:color="000000"/>
              <w:right w:val="single" w:sz="6" w:space="0" w:color="000000"/>
            </w:tcBorders>
            <w:shd w:val="clear" w:color="auto" w:fill="CCEEFF"/>
            <w:hideMark/>
          </w:tcPr>
          <w:p w14:paraId="69276554" w14:textId="77777777" w:rsidR="00000000" w:rsidRDefault="0053651E">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bottom w:val="single" w:sz="6" w:space="0" w:color="000000"/>
              <w:right w:val="single" w:sz="6" w:space="0" w:color="000000"/>
            </w:tcBorders>
            <w:shd w:val="clear" w:color="auto" w:fill="CCEEFF"/>
            <w:tcMar>
              <w:top w:w="0" w:type="dxa"/>
              <w:left w:w="45" w:type="dxa"/>
              <w:bottom w:w="0" w:type="dxa"/>
              <w:right w:w="45" w:type="dxa"/>
            </w:tcMar>
            <w:hideMark/>
          </w:tcPr>
          <w:p w14:paraId="27673FDA" w14:textId="77777777" w:rsidR="00000000" w:rsidRDefault="0053651E">
            <w:pPr>
              <w:pStyle w:val="a3"/>
              <w:spacing w:before="0" w:beforeAutospacing="0" w:after="0" w:afterAutospacing="0"/>
              <w:rPr>
                <w:sz w:val="20"/>
                <w:szCs w:val="20"/>
              </w:rPr>
            </w:pPr>
            <w:r>
              <w:rPr>
                <w:sz w:val="20"/>
                <w:szCs w:val="20"/>
              </w:rPr>
              <w:t>The adoption of this ASU is</w:t>
            </w:r>
            <w:r>
              <w:rPr>
                <w:sz w:val="20"/>
                <w:szCs w:val="20"/>
              </w:rPr>
              <w:t xml:space="preserve"> </w:t>
            </w:r>
            <w:r>
              <w:rPr>
                <w:rStyle w:val="a6"/>
                <w:i w:val="0"/>
                <w:iCs w:val="0"/>
                <w:sz w:val="20"/>
                <w:szCs w:val="20"/>
              </w:rPr>
              <w:t>not</w:t>
            </w:r>
            <w:r>
              <w:rPr>
                <w:sz w:val="20"/>
                <w:szCs w:val="20"/>
              </w:rPr>
              <w:t xml:space="preserve"> expected to have a material impact on the Company’s financial position and/or results of operations.</w:t>
            </w:r>
          </w:p>
        </w:tc>
      </w:tr>
      <w:tr w:rsidR="00000000" w14:paraId="7C1C8BCC" w14:textId="77777777">
        <w:trPr>
          <w:tblCellSpacing w:w="0" w:type="dxa"/>
        </w:trPr>
        <w:tc>
          <w:tcPr>
            <w:tcW w:w="1100" w:type="pct"/>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54545D2"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w:t>
            </w:r>
            <w:r>
              <w:rPr>
                <w:sz w:val="20"/>
                <w:szCs w:val="20"/>
              </w:rPr>
              <w:t>Financial Instruments – Credit Losses (Topic</w:t>
            </w:r>
            <w:r>
              <w:rPr>
                <w:sz w:val="20"/>
                <w:szCs w:val="20"/>
              </w:rPr>
              <w:t xml:space="preserve"> </w:t>
            </w:r>
            <w:r>
              <w:rPr>
                <w:rStyle w:val="a6"/>
                <w:i w:val="0"/>
                <w:iCs w:val="0"/>
                <w:sz w:val="20"/>
                <w:szCs w:val="20"/>
              </w:rPr>
              <w:t>326</w:t>
            </w:r>
            <w:r>
              <w:rPr>
                <w:sz w:val="20"/>
                <w:szCs w:val="20"/>
              </w:rPr>
              <w:t>): Measurement of Credit Losses on Financial Instruments</w:t>
            </w:r>
          </w:p>
          <w:p w14:paraId="2D947CE8" w14:textId="77777777" w:rsidR="00000000" w:rsidRDefault="0053651E">
            <w:pPr>
              <w:pStyle w:val="a3"/>
              <w:spacing w:before="0" w:beforeAutospacing="0" w:after="0" w:afterAutospacing="0"/>
              <w:rPr>
                <w:sz w:val="20"/>
                <w:szCs w:val="20"/>
              </w:rPr>
            </w:pPr>
            <w:r>
              <w:rPr>
                <w:sz w:val="20"/>
                <w:szCs w:val="20"/>
              </w:rPr>
              <w:t> </w:t>
            </w:r>
          </w:p>
          <w:p w14:paraId="34888E2C"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19,</w:t>
            </w:r>
            <w:r>
              <w:rPr>
                <w:sz w:val="20"/>
                <w:szCs w:val="20"/>
              </w:rPr>
              <w:t xml:space="preserve"> Codification Improvements to Topic</w:t>
            </w:r>
            <w:r>
              <w:rPr>
                <w:sz w:val="20"/>
                <w:szCs w:val="20"/>
              </w:rPr>
              <w:t xml:space="preserve"> </w:t>
            </w:r>
            <w:r>
              <w:rPr>
                <w:rStyle w:val="a6"/>
                <w:i w:val="0"/>
                <w:iCs w:val="0"/>
                <w:sz w:val="20"/>
                <w:szCs w:val="20"/>
              </w:rPr>
              <w:t>326,</w:t>
            </w:r>
            <w:r>
              <w:rPr>
                <w:sz w:val="20"/>
                <w:szCs w:val="20"/>
              </w:rPr>
              <w:t xml:space="preserve"> Financial Instruments – Credit Losses</w:t>
            </w:r>
          </w:p>
          <w:p w14:paraId="75C3092B" w14:textId="77777777" w:rsidR="00000000" w:rsidRDefault="0053651E">
            <w:pPr>
              <w:pStyle w:val="a3"/>
              <w:spacing w:before="0" w:beforeAutospacing="0" w:after="0" w:afterAutospacing="0"/>
              <w:rPr>
                <w:sz w:val="20"/>
                <w:szCs w:val="20"/>
              </w:rPr>
            </w:pPr>
            <w:r>
              <w:rPr>
                <w:sz w:val="20"/>
                <w:szCs w:val="20"/>
              </w:rPr>
              <w:t> </w:t>
            </w:r>
          </w:p>
          <w:p w14:paraId="5643B8FF"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05,</w:t>
            </w:r>
            <w:r>
              <w:rPr>
                <w:sz w:val="20"/>
                <w:szCs w:val="20"/>
              </w:rPr>
              <w:t xml:space="preserve"> Financial Instruments – Credit Losses (Topi</w:t>
            </w:r>
            <w:r>
              <w:rPr>
                <w:sz w:val="20"/>
                <w:szCs w:val="20"/>
              </w:rPr>
              <w:t>c</w:t>
            </w:r>
            <w:r>
              <w:rPr>
                <w:sz w:val="20"/>
                <w:szCs w:val="20"/>
              </w:rPr>
              <w:t xml:space="preserve"> </w:t>
            </w:r>
            <w:r>
              <w:rPr>
                <w:rStyle w:val="a6"/>
                <w:i w:val="0"/>
                <w:iCs w:val="0"/>
                <w:sz w:val="20"/>
                <w:szCs w:val="20"/>
              </w:rPr>
              <w:t>326</w:t>
            </w:r>
            <w:r>
              <w:rPr>
                <w:sz w:val="20"/>
                <w:szCs w:val="20"/>
              </w:rPr>
              <w:t>), Targeted Transition Relief</w:t>
            </w:r>
          </w:p>
        </w:tc>
        <w:tc>
          <w:tcPr>
            <w:tcW w:w="2200" w:type="pct"/>
            <w:tcBorders>
              <w:bottom w:val="single" w:sz="6" w:space="0" w:color="000000"/>
            </w:tcBorders>
            <w:shd w:val="clear" w:color="auto" w:fill="FFFFFF"/>
            <w:tcMar>
              <w:top w:w="0" w:type="dxa"/>
              <w:left w:w="45" w:type="dxa"/>
              <w:bottom w:w="0" w:type="dxa"/>
              <w:right w:w="45" w:type="dxa"/>
            </w:tcMar>
            <w:hideMark/>
          </w:tcPr>
          <w:p w14:paraId="7F1CEA92" w14:textId="77777777" w:rsidR="00000000" w:rsidRDefault="0053651E">
            <w:pPr>
              <w:pStyle w:val="a3"/>
              <w:spacing w:before="0" w:beforeAutospacing="0" w:after="0" w:afterAutospacing="0"/>
              <w:jc w:val="both"/>
              <w:rPr>
                <w:sz w:val="20"/>
                <w:szCs w:val="20"/>
              </w:rPr>
            </w:pPr>
            <w:r>
              <w:rPr>
                <w:sz w:val="20"/>
                <w:szCs w:val="20"/>
              </w:rPr>
              <w:t>The new guidance introduces a new model for estimating credit losses for certain types of financial instruments, including loans receivable, held-to-maturity debt securities, and net investments in direct financing leases</w:t>
            </w:r>
            <w:r>
              <w:rPr>
                <w:sz w:val="20"/>
                <w:szCs w:val="20"/>
              </w:rPr>
              <w:t>, amongst other financial instruments.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also modifies the impairment model for available-for-sale debt securities and expands the disclosure requirements regarding an entity’s assumptions, models, and methods for estimating the allowance for los</w:t>
            </w:r>
            <w:r>
              <w:rPr>
                <w:sz w:val="20"/>
                <w:szCs w:val="20"/>
              </w:rPr>
              <w:t>ses.</w:t>
            </w:r>
          </w:p>
          <w:p w14:paraId="135FDE60" w14:textId="77777777" w:rsidR="00000000" w:rsidRDefault="0053651E">
            <w:pPr>
              <w:pStyle w:val="a3"/>
              <w:spacing w:before="0" w:beforeAutospacing="0" w:after="0" w:afterAutospacing="0"/>
              <w:jc w:val="both"/>
              <w:rPr>
                <w:sz w:val="20"/>
                <w:szCs w:val="20"/>
              </w:rPr>
            </w:pPr>
            <w:r>
              <w:rPr>
                <w:sz w:val="20"/>
                <w:szCs w:val="20"/>
              </w:rPr>
              <w:t> </w:t>
            </w:r>
          </w:p>
          <w:p w14:paraId="5FE2BBC0"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November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19,</w:t>
            </w:r>
            <w:r>
              <w:rPr>
                <w:sz w:val="20"/>
                <w:szCs w:val="20"/>
              </w:rPr>
              <w:t xml:space="preserve"> which includes amendments to (i) clarify receivables arising from operating leases are within the scope of the new leasing standard (Topic</w:t>
            </w:r>
            <w:r>
              <w:rPr>
                <w:sz w:val="20"/>
                <w:szCs w:val="20"/>
              </w:rPr>
              <w:t xml:space="preserve"> </w:t>
            </w:r>
            <w:r>
              <w:rPr>
                <w:rStyle w:val="a6"/>
                <w:i w:val="0"/>
                <w:iCs w:val="0"/>
                <w:sz w:val="20"/>
                <w:szCs w:val="20"/>
              </w:rPr>
              <w:t>842</w:t>
            </w:r>
            <w:r>
              <w:rPr>
                <w:sz w:val="20"/>
                <w:szCs w:val="20"/>
              </w:rPr>
              <w:t>) discussed below and (ii) align the implementation date for</w:t>
            </w:r>
            <w:r>
              <w:rPr>
                <w:sz w:val="20"/>
                <w:szCs w:val="20"/>
              </w:rPr>
              <w:t xml:space="preserve"> nonpublic entities’ annual financial statements with the implementation date for their interim financial statements. Early adoption is permitted as of the original effective date.</w:t>
            </w:r>
          </w:p>
          <w:p w14:paraId="18499B68" w14:textId="77777777" w:rsidR="00000000" w:rsidRDefault="0053651E">
            <w:pPr>
              <w:pStyle w:val="a3"/>
              <w:spacing w:before="0" w:beforeAutospacing="0" w:after="0" w:afterAutospacing="0"/>
              <w:jc w:val="both"/>
              <w:rPr>
                <w:sz w:val="20"/>
                <w:szCs w:val="20"/>
              </w:rPr>
            </w:pPr>
            <w:r>
              <w:rPr>
                <w:sz w:val="20"/>
                <w:szCs w:val="20"/>
              </w:rPr>
              <w:t> </w:t>
            </w:r>
          </w:p>
          <w:p w14:paraId="5ADB9269"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w:t>
            </w:r>
            <w:r>
              <w:rPr>
                <w:rStyle w:val="a6"/>
                <w:i w:val="0"/>
                <w:iCs w:val="0"/>
                <w:sz w:val="20"/>
                <w:szCs w:val="20"/>
              </w:rPr>
              <w:t xml:space="preserve"> May</w:t>
            </w:r>
            <w:r>
              <w:rPr>
                <w:rStyle w:val="a6"/>
                <w:i w:val="0"/>
                <w:iCs w:val="0"/>
                <w:sz w:val="20"/>
                <w:szCs w:val="20"/>
              </w:rPr>
              <w:t> </w:t>
            </w:r>
            <w:r>
              <w:rPr>
                <w:rStyle w:val="a6"/>
                <w:i w:val="0"/>
                <w:iCs w:val="0"/>
                <w:sz w:val="20"/>
                <w:szCs w:val="20"/>
              </w:rPr>
              <w:t>2019,</w:t>
            </w:r>
            <w:r>
              <w:rPr>
                <w:sz w:val="20"/>
                <w:szCs w:val="20"/>
              </w:rPr>
              <w:t xml:space="preserve"> the FASB issued ASU</w:t>
            </w:r>
            <w:r>
              <w:rPr>
                <w:sz w:val="20"/>
                <w:szCs w:val="20"/>
              </w:rPr>
              <w:t> </w:t>
            </w:r>
            <w:r>
              <w:rPr>
                <w:rStyle w:val="a6"/>
                <w:i w:val="0"/>
                <w:iCs w:val="0"/>
                <w:sz w:val="20"/>
                <w:szCs w:val="20"/>
              </w:rPr>
              <w:t>2019</w:t>
            </w:r>
            <w:r>
              <w:rPr>
                <w:sz w:val="20"/>
                <w:szCs w:val="20"/>
              </w:rPr>
              <w:t>-</w:t>
            </w:r>
            <w:r>
              <w:rPr>
                <w:rStyle w:val="a6"/>
                <w:i w:val="0"/>
                <w:iCs w:val="0"/>
                <w:sz w:val="20"/>
                <w:szCs w:val="20"/>
              </w:rPr>
              <w:t>05,</w:t>
            </w:r>
            <w:r>
              <w:rPr>
                <w:sz w:val="20"/>
                <w:szCs w:val="20"/>
              </w:rPr>
              <w:t xml:space="preserve"> which amends ASU</w:t>
            </w:r>
            <w:r>
              <w:rPr>
                <w:sz w:val="20"/>
                <w:szCs w:val="20"/>
              </w:rPr>
              <w:t> </w:t>
            </w:r>
            <w:r>
              <w:rPr>
                <w:rStyle w:val="a6"/>
                <w:i w:val="0"/>
                <w:iCs w:val="0"/>
                <w:sz w:val="20"/>
                <w:szCs w:val="20"/>
              </w:rPr>
              <w:t>2016</w:t>
            </w:r>
            <w:r>
              <w:rPr>
                <w:sz w:val="20"/>
                <w:szCs w:val="20"/>
              </w:rPr>
              <w:t>-</w:t>
            </w:r>
            <w:r>
              <w:rPr>
                <w:rStyle w:val="a6"/>
                <w:i w:val="0"/>
                <w:iCs w:val="0"/>
                <w:sz w:val="20"/>
                <w:szCs w:val="20"/>
              </w:rPr>
              <w:t>13</w:t>
            </w:r>
            <w:r>
              <w:rPr>
                <w:sz w:val="20"/>
                <w:szCs w:val="20"/>
              </w:rPr>
              <w:t xml:space="preserve"> to al</w:t>
            </w:r>
            <w:r>
              <w:rPr>
                <w:sz w:val="20"/>
                <w:szCs w:val="20"/>
              </w:rPr>
              <w:t>low companies to irrevocably elect, upon adoption of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the fair value option on financial instruments that (i) were previously recorded at amortized cost and (ii) are within the scope of ASC</w:t>
            </w:r>
            <w:r>
              <w:rPr>
                <w:sz w:val="20"/>
                <w:szCs w:val="20"/>
              </w:rPr>
              <w:t xml:space="preserve"> </w:t>
            </w:r>
            <w:r>
              <w:rPr>
                <w:rStyle w:val="a6"/>
                <w:i w:val="0"/>
                <w:iCs w:val="0"/>
                <w:sz w:val="20"/>
                <w:szCs w:val="20"/>
              </w:rPr>
              <w:t>326</w:t>
            </w:r>
            <w:r>
              <w:rPr>
                <w:sz w:val="20"/>
                <w:szCs w:val="20"/>
              </w:rPr>
              <w:t>-</w:t>
            </w:r>
            <w:r>
              <w:rPr>
                <w:rStyle w:val="a6"/>
                <w:i w:val="0"/>
                <w:iCs w:val="0"/>
                <w:sz w:val="20"/>
                <w:szCs w:val="20"/>
              </w:rPr>
              <w:t>203</w:t>
            </w:r>
            <w:r>
              <w:rPr>
                <w:sz w:val="20"/>
                <w:szCs w:val="20"/>
              </w:rPr>
              <w:t xml:space="preserve"> if the instruments are eligible for the fair v</w:t>
            </w:r>
            <w:r>
              <w:rPr>
                <w:sz w:val="20"/>
                <w:szCs w:val="20"/>
              </w:rPr>
              <w:t>alue option under ASC</w:t>
            </w:r>
            <w:r>
              <w:rPr>
                <w:sz w:val="20"/>
                <w:szCs w:val="20"/>
              </w:rPr>
              <w:t xml:space="preserve"> </w:t>
            </w:r>
            <w:r>
              <w:rPr>
                <w:rStyle w:val="a6"/>
                <w:i w:val="0"/>
                <w:iCs w:val="0"/>
                <w:sz w:val="20"/>
                <w:szCs w:val="20"/>
              </w:rPr>
              <w:t>825</w:t>
            </w:r>
            <w:r>
              <w:rPr>
                <w:sz w:val="20"/>
                <w:szCs w:val="20"/>
              </w:rPr>
              <w:t>-</w:t>
            </w:r>
            <w:r>
              <w:rPr>
                <w:rStyle w:val="a6"/>
                <w:i w:val="0"/>
                <w:iCs w:val="0"/>
                <w:sz w:val="20"/>
                <w:szCs w:val="20"/>
              </w:rPr>
              <w:t>10.4.</w:t>
            </w:r>
            <w:r>
              <w:rPr>
                <w:sz w:val="20"/>
                <w:szCs w:val="20"/>
              </w:rPr>
              <w:t xml:space="preserve"> The fair value option election does</w:t>
            </w:r>
            <w:r>
              <w:rPr>
                <w:sz w:val="20"/>
                <w:szCs w:val="20"/>
              </w:rPr>
              <w:t xml:space="preserve"> </w:t>
            </w:r>
            <w:r>
              <w:rPr>
                <w:rStyle w:val="a6"/>
                <w:i w:val="0"/>
                <w:iCs w:val="0"/>
                <w:sz w:val="20"/>
                <w:szCs w:val="20"/>
              </w:rPr>
              <w:t>not</w:t>
            </w:r>
            <w:r>
              <w:rPr>
                <w:sz w:val="20"/>
                <w:szCs w:val="20"/>
              </w:rPr>
              <w:t xml:space="preserve"> apply to held-to-maturity debt securities. Entities are required to make this election on an instrument-by-instrument basis. These amendments should be applied on a modified-retrospect</w:t>
            </w:r>
            <w:r>
              <w:rPr>
                <w:sz w:val="20"/>
                <w:szCs w:val="20"/>
              </w:rPr>
              <w:t>ive basis by means of a cumulative-effect adjustment to the opening balance of retained earnings balance in the statement of financial position as of the date that an entity adopted the amendments in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Certain disclosures are required. The effec</w:t>
            </w:r>
            <w:r>
              <w:rPr>
                <w:sz w:val="20"/>
                <w:szCs w:val="20"/>
              </w:rPr>
              <w:t>tive date will be the same as the effective date in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w:t>
            </w:r>
          </w:p>
          <w:p w14:paraId="348CB7BD" w14:textId="77777777" w:rsidR="00000000" w:rsidRDefault="0053651E">
            <w:pPr>
              <w:pStyle w:val="a3"/>
              <w:spacing w:before="0" w:beforeAutospacing="0" w:after="0" w:afterAutospacing="0"/>
              <w:jc w:val="both"/>
              <w:rPr>
                <w:sz w:val="20"/>
                <w:szCs w:val="20"/>
              </w:rPr>
            </w:pPr>
            <w:r>
              <w:rPr>
                <w:sz w:val="20"/>
                <w:szCs w:val="20"/>
              </w:rPr>
              <w:t> </w:t>
            </w:r>
          </w:p>
        </w:tc>
        <w:tc>
          <w:tcPr>
            <w:tcW w:w="550" w:type="pct"/>
            <w:tcBorders>
              <w:left w:val="single" w:sz="6" w:space="0" w:color="000000"/>
              <w:bottom w:val="single" w:sz="6" w:space="0" w:color="000000"/>
              <w:right w:val="single" w:sz="6" w:space="0" w:color="000000"/>
            </w:tcBorders>
            <w:shd w:val="clear" w:color="auto" w:fill="FFFFFF"/>
            <w:hideMark/>
          </w:tcPr>
          <w:p w14:paraId="15718F3A" w14:textId="77777777" w:rsidR="00000000" w:rsidRDefault="0053651E">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bottom w:val="single" w:sz="6" w:space="0" w:color="000000"/>
              <w:right w:val="single" w:sz="6" w:space="0" w:color="000000"/>
            </w:tcBorders>
            <w:shd w:val="clear" w:color="auto" w:fill="FFFFFF"/>
            <w:tcMar>
              <w:top w:w="0" w:type="dxa"/>
              <w:left w:w="45" w:type="dxa"/>
              <w:bottom w:w="0" w:type="dxa"/>
              <w:right w:w="45" w:type="dxa"/>
            </w:tcMar>
            <w:hideMark/>
          </w:tcPr>
          <w:p w14:paraId="40905513" w14:textId="77777777" w:rsidR="00000000" w:rsidRDefault="0053651E">
            <w:pPr>
              <w:rPr>
                <w:rFonts w:eastAsia="Times New Roman"/>
                <w:sz w:val="20"/>
                <w:szCs w:val="20"/>
              </w:rPr>
            </w:pPr>
            <w:r>
              <w:rPr>
                <w:rFonts w:eastAsia="Times New Roman"/>
                <w:sz w:val="20"/>
                <w:szCs w:val="20"/>
              </w:rPr>
              <w:t>The adoption of this ASU is</w:t>
            </w:r>
            <w:r>
              <w:rPr>
                <w:rFonts w:eastAsia="Times New Roman"/>
                <w:sz w:val="20"/>
                <w:szCs w:val="20"/>
              </w:rPr>
              <w:t xml:space="preserve"> </w:t>
            </w:r>
            <w:r>
              <w:rPr>
                <w:rStyle w:val="a6"/>
                <w:rFonts w:eastAsia="Times New Roman"/>
                <w:i w:val="0"/>
                <w:iCs w:val="0"/>
                <w:sz w:val="20"/>
                <w:szCs w:val="20"/>
              </w:rPr>
              <w:t>not</w:t>
            </w:r>
            <w:r>
              <w:rPr>
                <w:rFonts w:eastAsia="Times New Roman"/>
                <w:sz w:val="20"/>
                <w:szCs w:val="20"/>
              </w:rPr>
              <w:t xml:space="preserve"> expected to have a material impact on the Company’</w:t>
            </w:r>
            <w:r>
              <w:rPr>
                <w:rFonts w:eastAsia="Times New Roman"/>
                <w:sz w:val="20"/>
                <w:szCs w:val="20"/>
              </w:rPr>
              <w:t>s financial position and/or results of operations.</w:t>
            </w:r>
          </w:p>
        </w:tc>
      </w:tr>
    </w:tbl>
    <w:p w14:paraId="6E2BFF67" w14:textId="77777777" w:rsidR="00000000" w:rsidRDefault="0053651E">
      <w:pPr>
        <w:pStyle w:val="a3"/>
        <w:spacing w:before="0" w:beforeAutospacing="0" w:after="0" w:afterAutospacing="0"/>
        <w:ind w:firstLine="360"/>
        <w:jc w:val="both"/>
        <w:rPr>
          <w:sz w:val="20"/>
          <w:szCs w:val="20"/>
        </w:rPr>
      </w:pPr>
      <w:r>
        <w:rPr>
          <w:sz w:val="20"/>
          <w:szCs w:val="20"/>
        </w:rPr>
        <w:t> </w:t>
      </w:r>
    </w:p>
    <w:p w14:paraId="28F1FAA5" w14:textId="77777777" w:rsidR="00000000" w:rsidRDefault="0053651E">
      <w:pPr>
        <w:jc w:val="center"/>
        <w:divId w:val="1577275651"/>
        <w:rPr>
          <w:rFonts w:eastAsia="Times New Roman"/>
          <w:sz w:val="20"/>
          <w:szCs w:val="20"/>
        </w:rPr>
      </w:pPr>
      <w:r>
        <w:rPr>
          <w:rStyle w:val="a6"/>
          <w:rFonts w:eastAsia="Times New Roman"/>
          <w:i w:val="0"/>
          <w:iCs w:val="0"/>
          <w:sz w:val="20"/>
          <w:szCs w:val="20"/>
        </w:rPr>
        <w:t>59</w:t>
      </w:r>
      <w:r>
        <w:rPr>
          <w:rFonts w:eastAsia="Times New Roman"/>
          <w:sz w:val="20"/>
          <w:szCs w:val="20"/>
        </w:rPr>
        <w:t xml:space="preserve"> </w:t>
      </w:r>
    </w:p>
    <w:p w14:paraId="662958E4" w14:textId="77777777" w:rsidR="00000000" w:rsidRDefault="0053651E">
      <w:pPr>
        <w:divId w:val="1577275651"/>
        <w:rPr>
          <w:rFonts w:eastAsia="Times New Roman"/>
          <w:sz w:val="20"/>
          <w:szCs w:val="20"/>
        </w:rPr>
      </w:pPr>
      <w:r>
        <w:rPr>
          <w:rFonts w:eastAsia="Times New Roman"/>
          <w:sz w:val="20"/>
          <w:szCs w:val="20"/>
        </w:rPr>
        <w:pict w14:anchorId="71990D7D">
          <v:rect id="_x0000_i1090" style="width:415.3pt;height:1.5pt" o:hralign="center" o:hrstd="t" o:hrnoshade="t" o:hr="t" fillcolor="black" stroked="f"/>
        </w:pict>
      </w:r>
    </w:p>
    <w:p w14:paraId="5B441192" w14:textId="77777777" w:rsidR="00000000" w:rsidRDefault="0053651E">
      <w:pPr>
        <w:divId w:val="15772756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D62F9B6" w14:textId="77777777" w:rsidR="00000000" w:rsidRDefault="0053651E">
      <w:pPr>
        <w:pStyle w:val="a3"/>
        <w:spacing w:before="0" w:beforeAutospacing="0" w:after="0" w:afterAutospacing="0"/>
        <w:rPr>
          <w:sz w:val="20"/>
          <w:szCs w:val="20"/>
        </w:rPr>
      </w:pPr>
      <w:r>
        <w:rPr>
          <w:sz w:val="20"/>
          <w:szCs w:val="20"/>
        </w:rPr>
        <w:t> </w:t>
      </w:r>
    </w:p>
    <w:p w14:paraId="391295A2"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9032B84" w14:textId="77777777" w:rsidR="00000000" w:rsidRDefault="0053651E">
      <w:pPr>
        <w:pStyle w:val="a3"/>
        <w:spacing w:before="0" w:beforeAutospacing="0" w:after="0" w:afterAutospacing="0"/>
        <w:jc w:val="center"/>
        <w:rPr>
          <w:sz w:val="20"/>
          <w:szCs w:val="20"/>
        </w:rPr>
      </w:pPr>
      <w:r>
        <w:rPr>
          <w:sz w:val="20"/>
          <w:szCs w:val="20"/>
        </w:rPr>
        <w:t> </w:t>
      </w:r>
    </w:p>
    <w:p w14:paraId="29A91B41"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7875E36" w14:textId="77777777" w:rsidR="00000000" w:rsidRDefault="0053651E">
      <w:pPr>
        <w:pStyle w:val="a3"/>
        <w:spacing w:before="0" w:beforeAutospacing="0" w:after="0" w:afterAutospacing="0"/>
        <w:rPr>
          <w:sz w:val="20"/>
          <w:szCs w:val="20"/>
        </w:rPr>
      </w:pPr>
      <w:r>
        <w:rPr>
          <w:sz w:val="20"/>
          <w:szCs w:val="20"/>
        </w:rPr>
        <w:t> </w:t>
      </w:r>
    </w:p>
    <w:p w14:paraId="7F361009" w14:textId="77777777" w:rsidR="00000000" w:rsidRDefault="0053651E">
      <w:pPr>
        <w:pStyle w:val="a3"/>
        <w:spacing w:before="0" w:beforeAutospacing="0" w:after="0" w:afterAutospacing="0"/>
        <w:ind w:left="360"/>
        <w:jc w:val="both"/>
        <w:rPr>
          <w:sz w:val="20"/>
          <w:szCs w:val="20"/>
        </w:rPr>
      </w:pPr>
      <w:r>
        <w:rPr>
          <w:sz w:val="20"/>
          <w:szCs w:val="20"/>
        </w:rPr>
        <w:t>The following ASUs to the FASB’s ASCs hav</w:t>
      </w:r>
      <w:r>
        <w:rPr>
          <w:sz w:val="20"/>
          <w:szCs w:val="20"/>
        </w:rPr>
        <w:t>e been adopted by the Company as of the date listed:</w:t>
      </w:r>
    </w:p>
    <w:p w14:paraId="581221FA" w14:textId="77777777" w:rsidR="00000000" w:rsidRDefault="0053651E">
      <w:pPr>
        <w:pStyle w:val="a3"/>
        <w:spacing w:before="0" w:beforeAutospacing="0" w:after="0" w:afterAutospacing="0"/>
        <w:rPr>
          <w:sz w:val="20"/>
          <w:szCs w:val="20"/>
        </w:rPr>
      </w:pPr>
      <w:r>
        <w:rPr>
          <w:i/>
          <w:iCs/>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2065"/>
        <w:gridCol w:w="345"/>
        <w:gridCol w:w="3250"/>
        <w:gridCol w:w="864"/>
        <w:gridCol w:w="1766"/>
      </w:tblGrid>
      <w:tr w:rsidR="00000000" w14:paraId="7D4BDAA9" w14:textId="77777777">
        <w:trPr>
          <w:tblCellSpacing w:w="0" w:type="dxa"/>
        </w:trPr>
        <w:tc>
          <w:tcPr>
            <w:tcW w:w="1100" w:type="pct"/>
            <w:tcBorders>
              <w:top w:val="single" w:sz="6" w:space="0" w:color="000000"/>
              <w:left w:val="single" w:sz="6" w:space="0" w:color="000000"/>
              <w:bottom w:val="single" w:sz="6" w:space="0" w:color="000000"/>
              <w:right w:val="single" w:sz="6" w:space="0" w:color="000000"/>
            </w:tcBorders>
            <w:vAlign w:val="bottom"/>
            <w:hideMark/>
          </w:tcPr>
          <w:p w14:paraId="4AAE65A3" w14:textId="77777777" w:rsidR="00000000" w:rsidRDefault="0053651E">
            <w:pPr>
              <w:pStyle w:val="a3"/>
              <w:spacing w:before="0" w:beforeAutospacing="0" w:after="0" w:afterAutospacing="0"/>
              <w:jc w:val="center"/>
              <w:rPr>
                <w:sz w:val="20"/>
                <w:szCs w:val="20"/>
              </w:rPr>
            </w:pPr>
            <w:r>
              <w:rPr>
                <w:b/>
                <w:bCs/>
                <w:sz w:val="20"/>
                <w:szCs w:val="20"/>
              </w:rPr>
              <w:t>ASU</w:t>
            </w:r>
          </w:p>
        </w:tc>
        <w:tc>
          <w:tcPr>
            <w:tcW w:w="150" w:type="pct"/>
            <w:gridSpan w:val="2"/>
            <w:tcBorders>
              <w:top w:val="single" w:sz="6" w:space="0" w:color="000000"/>
              <w:bottom w:val="single" w:sz="6" w:space="0" w:color="000000"/>
              <w:right w:val="single" w:sz="6" w:space="0" w:color="000000"/>
            </w:tcBorders>
            <w:vAlign w:val="bottom"/>
            <w:hideMark/>
          </w:tcPr>
          <w:p w14:paraId="1F7DF4AF" w14:textId="77777777" w:rsidR="00000000" w:rsidRDefault="0053651E">
            <w:pPr>
              <w:pStyle w:val="a3"/>
              <w:spacing w:before="0" w:beforeAutospacing="0" w:after="0" w:afterAutospacing="0"/>
              <w:jc w:val="center"/>
              <w:rPr>
                <w:sz w:val="20"/>
                <w:szCs w:val="20"/>
              </w:rPr>
            </w:pPr>
            <w:r>
              <w:rPr>
                <w:b/>
                <w:bCs/>
                <w:sz w:val="20"/>
                <w:szCs w:val="20"/>
              </w:rPr>
              <w:t>Description</w:t>
            </w:r>
          </w:p>
        </w:tc>
        <w:tc>
          <w:tcPr>
            <w:tcW w:w="550" w:type="pct"/>
            <w:tcBorders>
              <w:top w:val="single" w:sz="6" w:space="0" w:color="000000"/>
              <w:bottom w:val="single" w:sz="6" w:space="0" w:color="000000"/>
              <w:right w:val="single" w:sz="6" w:space="0" w:color="000000"/>
            </w:tcBorders>
            <w:vAlign w:val="bottom"/>
            <w:hideMark/>
          </w:tcPr>
          <w:p w14:paraId="3E20A894" w14:textId="77777777" w:rsidR="00000000" w:rsidRDefault="0053651E">
            <w:pPr>
              <w:pStyle w:val="a3"/>
              <w:spacing w:before="0" w:beforeAutospacing="0" w:after="0" w:afterAutospacing="0"/>
              <w:jc w:val="center"/>
              <w:rPr>
                <w:sz w:val="20"/>
                <w:szCs w:val="20"/>
              </w:rPr>
            </w:pPr>
            <w:r>
              <w:rPr>
                <w:b/>
                <w:bCs/>
                <w:sz w:val="20"/>
                <w:szCs w:val="20"/>
              </w:rPr>
              <w:t xml:space="preserve">Adoption </w:t>
            </w:r>
          </w:p>
          <w:p w14:paraId="05F008CA" w14:textId="77777777" w:rsidR="00000000" w:rsidRDefault="0053651E">
            <w:pPr>
              <w:pStyle w:val="a3"/>
              <w:spacing w:before="0" w:beforeAutospacing="0" w:after="0" w:afterAutospacing="0"/>
              <w:jc w:val="center"/>
              <w:rPr>
                <w:sz w:val="20"/>
                <w:szCs w:val="20"/>
              </w:rPr>
            </w:pPr>
            <w:r>
              <w:rPr>
                <w:b/>
                <w:bCs/>
                <w:sz w:val="20"/>
                <w:szCs w:val="20"/>
              </w:rPr>
              <w:t>Date</w:t>
            </w:r>
          </w:p>
        </w:tc>
        <w:tc>
          <w:tcPr>
            <w:tcW w:w="1150" w:type="pct"/>
            <w:tcBorders>
              <w:top w:val="single" w:sz="6" w:space="0" w:color="000000"/>
              <w:bottom w:val="single" w:sz="6" w:space="0" w:color="000000"/>
              <w:right w:val="single" w:sz="6" w:space="0" w:color="000000"/>
            </w:tcBorders>
            <w:vAlign w:val="bottom"/>
            <w:hideMark/>
          </w:tcPr>
          <w:p w14:paraId="648DEABF" w14:textId="77777777" w:rsidR="00000000" w:rsidRDefault="0053651E">
            <w:pPr>
              <w:pStyle w:val="a3"/>
              <w:spacing w:before="0" w:beforeAutospacing="0" w:after="0" w:afterAutospacing="0"/>
              <w:jc w:val="center"/>
              <w:rPr>
                <w:sz w:val="20"/>
                <w:szCs w:val="20"/>
              </w:rPr>
            </w:pPr>
            <w:r>
              <w:rPr>
                <w:b/>
                <w:bCs/>
                <w:sz w:val="20"/>
                <w:szCs w:val="20"/>
              </w:rPr>
              <w:t>Effect on the financial</w:t>
            </w:r>
          </w:p>
          <w:p w14:paraId="33739886" w14:textId="77777777" w:rsidR="00000000" w:rsidRDefault="0053651E">
            <w:pPr>
              <w:pStyle w:val="a3"/>
              <w:spacing w:before="0" w:beforeAutospacing="0" w:after="0" w:afterAutospacing="0"/>
              <w:jc w:val="center"/>
              <w:rPr>
                <w:sz w:val="20"/>
                <w:szCs w:val="20"/>
              </w:rPr>
            </w:pPr>
            <w:r>
              <w:rPr>
                <w:b/>
                <w:bCs/>
                <w:sz w:val="20"/>
                <w:szCs w:val="20"/>
              </w:rPr>
              <w:t>statements or other</w:t>
            </w:r>
          </w:p>
          <w:p w14:paraId="74AF1F2C" w14:textId="77777777" w:rsidR="00000000" w:rsidRDefault="0053651E">
            <w:pPr>
              <w:pStyle w:val="a3"/>
              <w:spacing w:before="0" w:beforeAutospacing="0" w:after="0" w:afterAutospacing="0"/>
              <w:jc w:val="center"/>
              <w:rPr>
                <w:sz w:val="20"/>
                <w:szCs w:val="20"/>
              </w:rPr>
            </w:pPr>
            <w:r>
              <w:rPr>
                <w:b/>
                <w:bCs/>
                <w:sz w:val="20"/>
                <w:szCs w:val="20"/>
              </w:rPr>
              <w:t>significant matters</w:t>
            </w:r>
          </w:p>
        </w:tc>
      </w:tr>
      <w:tr w:rsidR="00000000" w14:paraId="44AD9C4D" w14:textId="77777777">
        <w:trPr>
          <w:tblCellSpacing w:w="0" w:type="dxa"/>
        </w:trPr>
        <w:tc>
          <w:tcPr>
            <w:tcW w:w="1100" w:type="pct"/>
            <w:tcBorders>
              <w:left w:val="single" w:sz="6" w:space="0" w:color="000000"/>
              <w:bottom w:val="single" w:sz="6" w:space="0" w:color="000000"/>
              <w:right w:val="single" w:sz="6" w:space="0" w:color="000000"/>
            </w:tcBorders>
            <w:shd w:val="clear" w:color="auto" w:fill="CCEEFF"/>
            <w:tcMar>
              <w:top w:w="0" w:type="dxa"/>
              <w:left w:w="45" w:type="dxa"/>
              <w:bottom w:w="0" w:type="dxa"/>
              <w:right w:w="45" w:type="dxa"/>
            </w:tcMar>
            <w:hideMark/>
          </w:tcPr>
          <w:p w14:paraId="62107303"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07,</w:t>
            </w:r>
            <w:r>
              <w:rPr>
                <w:sz w:val="20"/>
                <w:szCs w:val="20"/>
              </w:rPr>
              <w:t xml:space="preserve"> Codification Updates to SEC Sections – Amendments to SEC </w:t>
            </w:r>
            <w:r>
              <w:rPr>
                <w:sz w:val="20"/>
                <w:szCs w:val="20"/>
              </w:rPr>
              <w:t>Paragraphs Pursuant to SEC Final Rule Releases</w:t>
            </w:r>
            <w:r>
              <w:rPr>
                <w:sz w:val="20"/>
                <w:szCs w:val="20"/>
              </w:rPr>
              <w:t xml:space="preserve"> </w:t>
            </w:r>
            <w:r>
              <w:rPr>
                <w:rStyle w:val="a6"/>
                <w:i w:val="0"/>
                <w:iCs w:val="0"/>
                <w:sz w:val="20"/>
                <w:szCs w:val="20"/>
              </w:rPr>
              <w:t>No.</w:t>
            </w:r>
            <w:r>
              <w:rPr>
                <w:sz w:val="20"/>
                <w:szCs w:val="20"/>
              </w:rPr>
              <w:t xml:space="preserve"> </w:t>
            </w:r>
            <w:r>
              <w:rPr>
                <w:rStyle w:val="a6"/>
                <w:i w:val="0"/>
                <w:iCs w:val="0"/>
                <w:sz w:val="20"/>
                <w:szCs w:val="20"/>
              </w:rPr>
              <w:t>33</w:t>
            </w:r>
            <w:r>
              <w:rPr>
                <w:sz w:val="20"/>
                <w:szCs w:val="20"/>
              </w:rPr>
              <w:t>-</w:t>
            </w:r>
            <w:r>
              <w:rPr>
                <w:rStyle w:val="a6"/>
                <w:i w:val="0"/>
                <w:iCs w:val="0"/>
                <w:sz w:val="20"/>
                <w:szCs w:val="20"/>
              </w:rPr>
              <w:t>10532,</w:t>
            </w:r>
            <w:r>
              <w:rPr>
                <w:sz w:val="20"/>
                <w:szCs w:val="20"/>
              </w:rPr>
              <w:t xml:space="preserve"> Disclosure Update and Simplification, and Nos.</w:t>
            </w:r>
            <w:r>
              <w:rPr>
                <w:sz w:val="20"/>
                <w:szCs w:val="20"/>
              </w:rPr>
              <w:t xml:space="preserve"> </w:t>
            </w:r>
            <w:r>
              <w:rPr>
                <w:rStyle w:val="a6"/>
                <w:i w:val="0"/>
                <w:iCs w:val="0"/>
                <w:sz w:val="20"/>
                <w:szCs w:val="20"/>
              </w:rPr>
              <w:t>33</w:t>
            </w:r>
            <w:r>
              <w:rPr>
                <w:sz w:val="20"/>
                <w:szCs w:val="20"/>
              </w:rPr>
              <w:t>-</w:t>
            </w:r>
            <w:r>
              <w:rPr>
                <w:rStyle w:val="a6"/>
                <w:i w:val="0"/>
                <w:iCs w:val="0"/>
                <w:sz w:val="20"/>
                <w:szCs w:val="20"/>
              </w:rPr>
              <w:t>10231</w:t>
            </w:r>
            <w:r>
              <w:rPr>
                <w:sz w:val="20"/>
                <w:szCs w:val="20"/>
              </w:rPr>
              <w:t xml:space="preserve"> and</w:t>
            </w:r>
            <w:r>
              <w:rPr>
                <w:sz w:val="20"/>
                <w:szCs w:val="20"/>
              </w:rPr>
              <w:t xml:space="preserve"> </w:t>
            </w:r>
            <w:r>
              <w:rPr>
                <w:rStyle w:val="a6"/>
                <w:i w:val="0"/>
                <w:iCs w:val="0"/>
                <w:sz w:val="20"/>
                <w:szCs w:val="20"/>
              </w:rPr>
              <w:t>33</w:t>
            </w:r>
            <w:r>
              <w:rPr>
                <w:sz w:val="20"/>
                <w:szCs w:val="20"/>
              </w:rPr>
              <w:t>-</w:t>
            </w:r>
            <w:r>
              <w:rPr>
                <w:rStyle w:val="a6"/>
                <w:i w:val="0"/>
                <w:iCs w:val="0"/>
                <w:sz w:val="20"/>
                <w:szCs w:val="20"/>
              </w:rPr>
              <w:t>10442,</w:t>
            </w:r>
            <w:r>
              <w:rPr>
                <w:sz w:val="20"/>
                <w:szCs w:val="20"/>
              </w:rPr>
              <w:t> Investment Company Reporting Modernization, and Miscellaneous Updates</w:t>
            </w:r>
          </w:p>
        </w:tc>
        <w:tc>
          <w:tcPr>
            <w:tcW w:w="150" w:type="pct"/>
            <w:gridSpan w:val="2"/>
            <w:tcBorders>
              <w:bottom w:val="single" w:sz="6" w:space="0" w:color="000000"/>
              <w:right w:val="single" w:sz="6" w:space="0" w:color="000000"/>
            </w:tcBorders>
            <w:shd w:val="clear" w:color="auto" w:fill="CCEEFF"/>
            <w:tcMar>
              <w:top w:w="0" w:type="dxa"/>
              <w:left w:w="45" w:type="dxa"/>
              <w:bottom w:w="0" w:type="dxa"/>
              <w:right w:w="45" w:type="dxa"/>
            </w:tcMar>
            <w:hideMark/>
          </w:tcPr>
          <w:p w14:paraId="2C193067"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July 2019, </w:t>
            </w:r>
            <w:r>
              <w:rPr>
                <w:sz w:val="20"/>
                <w:szCs w:val="20"/>
              </w:rPr>
              <w:t>the FASB issued ASU</w:t>
            </w:r>
            <w:r>
              <w:rPr>
                <w:sz w:val="20"/>
                <w:szCs w:val="20"/>
              </w:rPr>
              <w:t xml:space="preserve"> </w:t>
            </w:r>
            <w:r>
              <w:rPr>
                <w:rStyle w:val="a6"/>
                <w:i w:val="0"/>
                <w:iCs w:val="0"/>
                <w:sz w:val="20"/>
                <w:szCs w:val="20"/>
              </w:rPr>
              <w:t>2019</w:t>
            </w:r>
            <w:r>
              <w:rPr>
                <w:sz w:val="20"/>
                <w:szCs w:val="20"/>
              </w:rPr>
              <w:t>-</w:t>
            </w:r>
            <w:r>
              <w:rPr>
                <w:rStyle w:val="a6"/>
                <w:i w:val="0"/>
                <w:iCs w:val="0"/>
                <w:sz w:val="20"/>
                <w:szCs w:val="20"/>
              </w:rPr>
              <w:t>07</w:t>
            </w:r>
            <w:r>
              <w:rPr>
                <w:sz w:val="20"/>
                <w:szCs w:val="20"/>
              </w:rPr>
              <w:t xml:space="preserve"> which clarifi</w:t>
            </w:r>
            <w:r>
              <w:rPr>
                <w:sz w:val="20"/>
                <w:szCs w:val="20"/>
              </w:rPr>
              <w:t>es or improves the disclosure and presentation requirements of a variety of codification topics by aligning them with the SEC’s regulations, thereby eliminating redundancies and making the codification easier to apply. </w:t>
            </w:r>
          </w:p>
        </w:tc>
        <w:tc>
          <w:tcPr>
            <w:tcW w:w="550" w:type="pct"/>
            <w:tcBorders>
              <w:bottom w:val="single" w:sz="6" w:space="0" w:color="000000"/>
              <w:right w:val="single" w:sz="6" w:space="0" w:color="000000"/>
            </w:tcBorders>
            <w:shd w:val="clear" w:color="auto" w:fill="CCEEFF"/>
            <w:hideMark/>
          </w:tcPr>
          <w:p w14:paraId="5D62B1FD" w14:textId="77777777" w:rsidR="00000000" w:rsidRDefault="0053651E">
            <w:pPr>
              <w:pStyle w:val="a3"/>
              <w:spacing w:before="0" w:beforeAutospacing="0" w:after="0" w:afterAutospacing="0"/>
              <w:jc w:val="center"/>
              <w:rPr>
                <w:sz w:val="20"/>
                <w:szCs w:val="20"/>
              </w:rPr>
            </w:pPr>
            <w:r>
              <w:rPr>
                <w:sz w:val="20"/>
                <w:szCs w:val="20"/>
              </w:rPr>
              <w:t xml:space="preserve">Effective upon issuance </w:t>
            </w:r>
            <w:r>
              <w:rPr>
                <w:sz w:val="20"/>
                <w:szCs w:val="20"/>
              </w:rPr>
              <w:t>(</w:t>
            </w:r>
            <w:r>
              <w:rPr>
                <w:rStyle w:val="a6"/>
                <w:i w:val="0"/>
                <w:iCs w:val="0"/>
                <w:sz w:val="20"/>
                <w:szCs w:val="20"/>
              </w:rPr>
              <w:t xml:space="preserve"> July 2019</w:t>
            </w:r>
            <w:r>
              <w:rPr>
                <w:rStyle w:val="a6"/>
                <w:i w:val="0"/>
                <w:iCs w:val="0"/>
                <w:sz w:val="20"/>
                <w:szCs w:val="20"/>
              </w:rPr>
              <w:t>)</w:t>
            </w:r>
          </w:p>
        </w:tc>
        <w:tc>
          <w:tcPr>
            <w:tcW w:w="1150" w:type="pct"/>
            <w:tcBorders>
              <w:bottom w:val="single" w:sz="6" w:space="0" w:color="000000"/>
              <w:right w:val="single" w:sz="6" w:space="0" w:color="000000"/>
            </w:tcBorders>
            <w:shd w:val="clear" w:color="auto" w:fill="CCEEFF"/>
            <w:tcMar>
              <w:top w:w="0" w:type="dxa"/>
              <w:left w:w="45" w:type="dxa"/>
              <w:bottom w:w="0" w:type="dxa"/>
              <w:right w:w="45" w:type="dxa"/>
            </w:tcMar>
            <w:hideMark/>
          </w:tcPr>
          <w:p w14:paraId="2E531732" w14:textId="77777777" w:rsidR="00000000" w:rsidRDefault="0053651E">
            <w:pPr>
              <w:pStyle w:val="a3"/>
              <w:spacing w:before="0" w:beforeAutospacing="0" w:after="0" w:afterAutospacing="0"/>
              <w:rPr>
                <w:sz w:val="20"/>
                <w:szCs w:val="20"/>
              </w:rPr>
            </w:pPr>
            <w:r>
              <w:rPr>
                <w:sz w:val="20"/>
                <w:szCs w:val="20"/>
              </w:rPr>
              <w:t>The eliminated or amended disclosures did</w:t>
            </w:r>
            <w:r>
              <w:rPr>
                <w:sz w:val="20"/>
                <w:szCs w:val="20"/>
              </w:rPr>
              <w:t xml:space="preserve"> </w:t>
            </w:r>
            <w:r>
              <w:rPr>
                <w:rStyle w:val="a6"/>
                <w:i w:val="0"/>
                <w:iCs w:val="0"/>
                <w:sz w:val="20"/>
                <w:szCs w:val="20"/>
              </w:rPr>
              <w:t>not</w:t>
            </w:r>
            <w:r>
              <w:rPr>
                <w:sz w:val="20"/>
                <w:szCs w:val="20"/>
              </w:rPr>
              <w:t xml:space="preserve"> have a material impact to the Company’s Consolidated Financial Statements.</w:t>
            </w:r>
          </w:p>
        </w:tc>
      </w:tr>
      <w:tr w:rsidR="00000000" w14:paraId="55C180A3" w14:textId="77777777">
        <w:trPr>
          <w:tblCellSpacing w:w="0" w:type="dxa"/>
        </w:trPr>
        <w:tc>
          <w:tcPr>
            <w:tcW w:w="1100" w:type="pct"/>
            <w:tcBorders>
              <w:left w:val="single" w:sz="6" w:space="0" w:color="000000"/>
              <w:right w:val="single" w:sz="6" w:space="0" w:color="000000"/>
            </w:tcBorders>
            <w:shd w:val="clear" w:color="auto" w:fill="FFFFFF"/>
            <w:tcMar>
              <w:top w:w="0" w:type="dxa"/>
              <w:left w:w="45" w:type="dxa"/>
              <w:bottom w:w="0" w:type="dxa"/>
              <w:right w:w="45" w:type="dxa"/>
            </w:tcMar>
            <w:hideMark/>
          </w:tcPr>
          <w:p w14:paraId="53520638"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Leases (Topic</w:t>
            </w:r>
            <w:r>
              <w:rPr>
                <w:sz w:val="20"/>
                <w:szCs w:val="20"/>
              </w:rPr>
              <w:t xml:space="preserve"> </w:t>
            </w:r>
            <w:r>
              <w:rPr>
                <w:rStyle w:val="a6"/>
                <w:i w:val="0"/>
                <w:iCs w:val="0"/>
                <w:sz w:val="20"/>
                <w:szCs w:val="20"/>
              </w:rPr>
              <w:t>842</w:t>
            </w:r>
            <w:r>
              <w:rPr>
                <w:sz w:val="20"/>
                <w:szCs w:val="20"/>
              </w:rPr>
              <w:t>)</w:t>
            </w:r>
          </w:p>
          <w:p w14:paraId="0CC580CB" w14:textId="77777777" w:rsidR="00000000" w:rsidRDefault="0053651E">
            <w:pPr>
              <w:pStyle w:val="a3"/>
              <w:spacing w:before="0" w:beforeAutospacing="0" w:after="0" w:afterAutospacing="0"/>
              <w:rPr>
                <w:sz w:val="20"/>
                <w:szCs w:val="20"/>
              </w:rPr>
            </w:pPr>
            <w:r>
              <w:rPr>
                <w:sz w:val="20"/>
                <w:szCs w:val="20"/>
              </w:rPr>
              <w:t> </w:t>
            </w:r>
          </w:p>
          <w:p w14:paraId="0FEA952F"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01,</w:t>
            </w:r>
            <w:r>
              <w:rPr>
                <w:sz w:val="20"/>
                <w:szCs w:val="20"/>
              </w:rPr>
              <w:t xml:space="preserve"> Leases (Topic</w:t>
            </w:r>
            <w:r>
              <w:rPr>
                <w:sz w:val="20"/>
                <w:szCs w:val="20"/>
              </w:rPr>
              <w:t xml:space="preserve"> </w:t>
            </w:r>
            <w:r>
              <w:rPr>
                <w:rStyle w:val="a6"/>
                <w:i w:val="0"/>
                <w:iCs w:val="0"/>
                <w:sz w:val="20"/>
                <w:szCs w:val="20"/>
              </w:rPr>
              <w:t>842</w:t>
            </w:r>
            <w:r>
              <w:rPr>
                <w:sz w:val="20"/>
                <w:szCs w:val="20"/>
              </w:rPr>
              <w:t>): Land Easement Practical Expedient for Transition to Topic</w:t>
            </w:r>
            <w:r>
              <w:rPr>
                <w:sz w:val="20"/>
                <w:szCs w:val="20"/>
              </w:rPr>
              <w:t xml:space="preserve"> </w:t>
            </w:r>
            <w:r>
              <w:rPr>
                <w:rStyle w:val="a6"/>
                <w:i w:val="0"/>
                <w:iCs w:val="0"/>
                <w:sz w:val="20"/>
                <w:szCs w:val="20"/>
              </w:rPr>
              <w:t>842</w:t>
            </w:r>
          </w:p>
          <w:p w14:paraId="3569F0B6" w14:textId="77777777" w:rsidR="00000000" w:rsidRDefault="0053651E">
            <w:pPr>
              <w:pStyle w:val="a3"/>
              <w:spacing w:before="0" w:beforeAutospacing="0" w:after="0" w:afterAutospacing="0"/>
              <w:rPr>
                <w:sz w:val="20"/>
                <w:szCs w:val="20"/>
              </w:rPr>
            </w:pPr>
            <w:r>
              <w:rPr>
                <w:sz w:val="20"/>
                <w:szCs w:val="20"/>
              </w:rPr>
              <w:t> </w:t>
            </w:r>
          </w:p>
          <w:p w14:paraId="3C443848"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10,</w:t>
            </w:r>
            <w:r>
              <w:rPr>
                <w:sz w:val="20"/>
                <w:szCs w:val="20"/>
              </w:rPr>
              <w:t xml:space="preserve"> Codification Improvements to Topic</w:t>
            </w:r>
            <w:r>
              <w:rPr>
                <w:sz w:val="20"/>
                <w:szCs w:val="20"/>
              </w:rPr>
              <w:t xml:space="preserve"> </w:t>
            </w:r>
            <w:r>
              <w:rPr>
                <w:rStyle w:val="a6"/>
                <w:i w:val="0"/>
                <w:iCs w:val="0"/>
                <w:sz w:val="20"/>
                <w:szCs w:val="20"/>
              </w:rPr>
              <w:t>842,</w:t>
            </w:r>
            <w:r>
              <w:rPr>
                <w:sz w:val="20"/>
                <w:szCs w:val="20"/>
              </w:rPr>
              <w:t xml:space="preserve"> Leases</w:t>
            </w:r>
          </w:p>
          <w:p w14:paraId="202FE48C" w14:textId="77777777" w:rsidR="00000000" w:rsidRDefault="0053651E">
            <w:pPr>
              <w:pStyle w:val="a3"/>
              <w:spacing w:before="0" w:beforeAutospacing="0" w:after="0" w:afterAutospacing="0"/>
              <w:rPr>
                <w:sz w:val="20"/>
                <w:szCs w:val="20"/>
              </w:rPr>
            </w:pPr>
            <w:r>
              <w:rPr>
                <w:sz w:val="20"/>
                <w:szCs w:val="20"/>
              </w:rPr>
              <w:t> </w:t>
            </w:r>
          </w:p>
          <w:p w14:paraId="685F7FC9"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Leases (Topic</w:t>
            </w:r>
            <w:r>
              <w:rPr>
                <w:sz w:val="20"/>
                <w:szCs w:val="20"/>
              </w:rPr>
              <w:t xml:space="preserve"> </w:t>
            </w:r>
            <w:r>
              <w:rPr>
                <w:rStyle w:val="a6"/>
                <w:i w:val="0"/>
                <w:iCs w:val="0"/>
                <w:sz w:val="20"/>
                <w:szCs w:val="20"/>
              </w:rPr>
              <w:t>842</w:t>
            </w:r>
            <w:r>
              <w:rPr>
                <w:sz w:val="20"/>
                <w:szCs w:val="20"/>
              </w:rPr>
              <w:t>): Targeted Improvements</w:t>
            </w:r>
          </w:p>
          <w:p w14:paraId="32B63350" w14:textId="77777777" w:rsidR="00000000" w:rsidRDefault="0053651E">
            <w:pPr>
              <w:pStyle w:val="a3"/>
              <w:spacing w:before="0" w:beforeAutospacing="0" w:after="0" w:afterAutospacing="0"/>
              <w:rPr>
                <w:sz w:val="20"/>
                <w:szCs w:val="20"/>
              </w:rPr>
            </w:pPr>
            <w:r>
              <w:rPr>
                <w:sz w:val="20"/>
                <w:szCs w:val="20"/>
              </w:rPr>
              <w:t> </w:t>
            </w:r>
          </w:p>
          <w:p w14:paraId="12DB501E"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20,</w:t>
            </w:r>
            <w:r>
              <w:rPr>
                <w:sz w:val="20"/>
                <w:szCs w:val="20"/>
              </w:rPr>
              <w:t xml:space="preserve"> Leases (Topic</w:t>
            </w:r>
            <w:r>
              <w:rPr>
                <w:sz w:val="20"/>
                <w:szCs w:val="20"/>
              </w:rPr>
              <w:t xml:space="preserve"> </w:t>
            </w:r>
            <w:r>
              <w:rPr>
                <w:rStyle w:val="a6"/>
                <w:i w:val="0"/>
                <w:iCs w:val="0"/>
                <w:sz w:val="20"/>
                <w:szCs w:val="20"/>
              </w:rPr>
              <w:t>842</w:t>
            </w:r>
            <w:r>
              <w:rPr>
                <w:sz w:val="20"/>
                <w:szCs w:val="20"/>
              </w:rPr>
              <w:t>): Narrow-Scope Improvements for Lessors</w:t>
            </w:r>
          </w:p>
          <w:p w14:paraId="029D5064" w14:textId="77777777" w:rsidR="00000000" w:rsidRDefault="0053651E">
            <w:pPr>
              <w:pStyle w:val="a3"/>
              <w:spacing w:before="0" w:beforeAutospacing="0" w:after="0" w:afterAutospacing="0"/>
              <w:rPr>
                <w:sz w:val="20"/>
                <w:szCs w:val="20"/>
              </w:rPr>
            </w:pPr>
            <w:r>
              <w:rPr>
                <w:sz w:val="20"/>
                <w:szCs w:val="20"/>
              </w:rPr>
              <w:t> </w:t>
            </w:r>
          </w:p>
          <w:p w14:paraId="6821B65C" w14:textId="77777777" w:rsidR="00000000" w:rsidRDefault="0053651E">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01,</w:t>
            </w:r>
            <w:r>
              <w:rPr>
                <w:sz w:val="20"/>
                <w:szCs w:val="20"/>
              </w:rPr>
              <w:t xml:space="preserve"> Leases (Topic</w:t>
            </w:r>
            <w:r>
              <w:rPr>
                <w:sz w:val="20"/>
                <w:szCs w:val="20"/>
              </w:rPr>
              <w:t xml:space="preserve"> </w:t>
            </w:r>
            <w:r>
              <w:rPr>
                <w:rStyle w:val="a6"/>
                <w:i w:val="0"/>
                <w:iCs w:val="0"/>
                <w:sz w:val="20"/>
                <w:szCs w:val="20"/>
              </w:rPr>
              <w:t>842</w:t>
            </w:r>
            <w:r>
              <w:rPr>
                <w:sz w:val="20"/>
                <w:szCs w:val="20"/>
              </w:rPr>
              <w:t>): Codification Improvements</w:t>
            </w:r>
          </w:p>
        </w:tc>
        <w:tc>
          <w:tcPr>
            <w:tcW w:w="150" w:type="pct"/>
            <w:gridSpan w:val="2"/>
            <w:tcBorders>
              <w:right w:val="single" w:sz="6" w:space="0" w:color="000000"/>
            </w:tcBorders>
            <w:shd w:val="clear" w:color="auto" w:fill="FFFFFF"/>
            <w:tcMar>
              <w:top w:w="0" w:type="dxa"/>
              <w:left w:w="45" w:type="dxa"/>
              <w:bottom w:w="0" w:type="dxa"/>
              <w:right w:w="45" w:type="dxa"/>
            </w:tcMar>
            <w:hideMark/>
          </w:tcPr>
          <w:p w14:paraId="705DE3CD" w14:textId="77777777" w:rsidR="00000000" w:rsidRDefault="0053651E">
            <w:pPr>
              <w:pStyle w:val="a3"/>
              <w:spacing w:before="0" w:beforeAutospacing="0" w:after="0" w:afterAutospacing="0"/>
              <w:jc w:val="both"/>
              <w:rPr>
                <w:sz w:val="20"/>
                <w:szCs w:val="20"/>
              </w:rPr>
            </w:pPr>
            <w:r>
              <w:rPr>
                <w:sz w:val="20"/>
                <w:szCs w:val="20"/>
              </w:rPr>
              <w:t>This ASU sets out the principles for the recognition, measurement, presentation and disclosure of leases for both parties to a contract (i.e. lessees and lessors). The new standard requires less</w:t>
            </w:r>
            <w:r>
              <w:rPr>
                <w:sz w:val="20"/>
                <w:szCs w:val="20"/>
              </w:rPr>
              <w:t>ees to apply a dual approach, classifying leases as either finance or operating leases based on the principle of whether or</w:t>
            </w:r>
            <w:r>
              <w:rPr>
                <w:sz w:val="20"/>
                <w:szCs w:val="20"/>
              </w:rPr>
              <w:t xml:space="preserve"> </w:t>
            </w:r>
            <w:r>
              <w:rPr>
                <w:rStyle w:val="a6"/>
                <w:i w:val="0"/>
                <w:iCs w:val="0"/>
                <w:sz w:val="20"/>
                <w:szCs w:val="20"/>
              </w:rPr>
              <w:t>not</w:t>
            </w:r>
            <w:r>
              <w:rPr>
                <w:sz w:val="20"/>
                <w:szCs w:val="20"/>
              </w:rPr>
              <w:t xml:space="preserve"> the lease is effectively a financed purchase by the lessee. This classification will determine whether lease expense is recogniz</w:t>
            </w:r>
            <w:r>
              <w:rPr>
                <w:sz w:val="20"/>
                <w:szCs w:val="20"/>
              </w:rPr>
              <w:t>ed based on an effective interest method or on a straight-line basis over the term of the lease. A lessee is also required to record a right-of-use asset and a lease liability for all leases with a term of greater than</w:t>
            </w:r>
            <w:r>
              <w:rPr>
                <w:sz w:val="20"/>
                <w:szCs w:val="20"/>
              </w:rPr>
              <w:t xml:space="preserve"> </w:t>
            </w:r>
            <w:r>
              <w:rPr>
                <w:rStyle w:val="a6"/>
                <w:i w:val="0"/>
                <w:iCs w:val="0"/>
                <w:sz w:val="20"/>
                <w:szCs w:val="20"/>
              </w:rPr>
              <w:t>12</w:t>
            </w:r>
            <w:r>
              <w:rPr>
                <w:sz w:val="20"/>
                <w:szCs w:val="20"/>
              </w:rPr>
              <w:t xml:space="preserve"> months regardless of their classif</w:t>
            </w:r>
            <w:r>
              <w:rPr>
                <w:sz w:val="20"/>
                <w:szCs w:val="20"/>
              </w:rPr>
              <w:t>ication. Leases with a term of</w:t>
            </w:r>
            <w:r>
              <w:rPr>
                <w:sz w:val="20"/>
                <w:szCs w:val="20"/>
              </w:rPr>
              <w:t xml:space="preserve"> </w:t>
            </w:r>
            <w:r>
              <w:rPr>
                <w:rStyle w:val="a6"/>
                <w:i w:val="0"/>
                <w:iCs w:val="0"/>
                <w:sz w:val="20"/>
                <w:szCs w:val="20"/>
              </w:rPr>
              <w:t>12</w:t>
            </w:r>
            <w:r>
              <w:rPr>
                <w:sz w:val="20"/>
                <w:szCs w:val="20"/>
              </w:rPr>
              <w:t xml:space="preserve"> months or less will be accounted for similar to existing guidance for operating leases today. The new standard requires lessors to account for leases using an approach that is substantially equivalent to existing guidance </w:t>
            </w:r>
            <w:r>
              <w:rPr>
                <w:sz w:val="20"/>
                <w:szCs w:val="20"/>
              </w:rPr>
              <w:t>for sales-type leases, direct financing leases and operating leases.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supersedes the previous leases standard, Leases (Topic</w:t>
            </w:r>
            <w:r>
              <w:rPr>
                <w:sz w:val="20"/>
                <w:szCs w:val="20"/>
              </w:rPr>
              <w:t xml:space="preserve"> </w:t>
            </w:r>
            <w:r>
              <w:rPr>
                <w:rStyle w:val="a6"/>
                <w:i w:val="0"/>
                <w:iCs w:val="0"/>
                <w:sz w:val="20"/>
                <w:szCs w:val="20"/>
              </w:rPr>
              <w:t>840</w:t>
            </w:r>
            <w:r>
              <w:rPr>
                <w:sz w:val="20"/>
                <w:szCs w:val="20"/>
              </w:rPr>
              <w:t>).</w:t>
            </w:r>
          </w:p>
          <w:p w14:paraId="5CF93465" w14:textId="77777777" w:rsidR="00000000" w:rsidRDefault="0053651E">
            <w:pPr>
              <w:pStyle w:val="a3"/>
              <w:spacing w:before="0" w:beforeAutospacing="0" w:after="0" w:afterAutospacing="0"/>
              <w:jc w:val="both"/>
              <w:rPr>
                <w:sz w:val="20"/>
                <w:szCs w:val="20"/>
              </w:rPr>
            </w:pPr>
            <w:r>
              <w:rPr>
                <w:sz w:val="20"/>
                <w:szCs w:val="20"/>
              </w:rPr>
              <w:t> </w:t>
            </w:r>
          </w:p>
          <w:p w14:paraId="5F5BE985"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January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01,</w:t>
            </w:r>
            <w:r>
              <w:rPr>
                <w:sz w:val="20"/>
                <w:szCs w:val="20"/>
              </w:rPr>
              <w:t xml:space="preserve"> </w:t>
            </w:r>
            <w:r>
              <w:rPr>
                <w:sz w:val="20"/>
                <w:szCs w:val="20"/>
              </w:rPr>
              <w:t>which includes amendments to clarify that land easements are within the scope of the new leasing standard (Topic</w:t>
            </w:r>
            <w:r>
              <w:rPr>
                <w:sz w:val="20"/>
                <w:szCs w:val="20"/>
              </w:rPr>
              <w:t xml:space="preserve"> </w:t>
            </w:r>
            <w:r>
              <w:rPr>
                <w:rStyle w:val="a6"/>
                <w:i w:val="0"/>
                <w:iCs w:val="0"/>
                <w:sz w:val="20"/>
                <w:szCs w:val="20"/>
              </w:rPr>
              <w:t>842</w:t>
            </w:r>
            <w:r>
              <w:rPr>
                <w:sz w:val="20"/>
                <w:szCs w:val="20"/>
              </w:rPr>
              <w:t>) and provide an optional transition practical expedient to</w:t>
            </w:r>
            <w:r>
              <w:rPr>
                <w:sz w:val="20"/>
                <w:szCs w:val="20"/>
              </w:rPr>
              <w:t xml:space="preserve"> </w:t>
            </w:r>
            <w:r>
              <w:rPr>
                <w:rStyle w:val="a6"/>
                <w:i w:val="0"/>
                <w:iCs w:val="0"/>
                <w:sz w:val="20"/>
                <w:szCs w:val="20"/>
              </w:rPr>
              <w:t>not</w:t>
            </w:r>
            <w:r>
              <w:rPr>
                <w:sz w:val="20"/>
                <w:szCs w:val="20"/>
              </w:rPr>
              <w:t xml:space="preserve"> evaluate whether existing and expired land easements that were</w:t>
            </w:r>
            <w:r>
              <w:rPr>
                <w:sz w:val="20"/>
                <w:szCs w:val="20"/>
              </w:rPr>
              <w:t xml:space="preserve"> </w:t>
            </w:r>
            <w:r>
              <w:rPr>
                <w:rStyle w:val="a6"/>
                <w:i w:val="0"/>
                <w:iCs w:val="0"/>
                <w:sz w:val="20"/>
                <w:szCs w:val="20"/>
              </w:rPr>
              <w:t>not</w:t>
            </w:r>
            <w:r>
              <w:rPr>
                <w:sz w:val="20"/>
                <w:szCs w:val="20"/>
              </w:rPr>
              <w:t xml:space="preserve"> previousl</w:t>
            </w:r>
            <w:r>
              <w:rPr>
                <w:sz w:val="20"/>
                <w:szCs w:val="20"/>
              </w:rPr>
              <w:t>y accounted for as leases under current lease guidance in Topic</w:t>
            </w:r>
            <w:r>
              <w:rPr>
                <w:sz w:val="20"/>
                <w:szCs w:val="20"/>
              </w:rPr>
              <w:t xml:space="preserve"> </w:t>
            </w:r>
            <w:r>
              <w:rPr>
                <w:rStyle w:val="a6"/>
                <w:i w:val="0"/>
                <w:iCs w:val="0"/>
                <w:sz w:val="20"/>
                <w:szCs w:val="20"/>
              </w:rPr>
              <w:t>840</w:t>
            </w:r>
            <w:r>
              <w:rPr>
                <w:sz w:val="20"/>
                <w:szCs w:val="20"/>
              </w:rPr>
              <w:t xml:space="preserve"> are to be accounted for or contain leases under Topic</w:t>
            </w:r>
            <w:r>
              <w:rPr>
                <w:sz w:val="20"/>
                <w:szCs w:val="20"/>
              </w:rPr>
              <w:t xml:space="preserve"> </w:t>
            </w:r>
            <w:r>
              <w:rPr>
                <w:rStyle w:val="a6"/>
                <w:i w:val="0"/>
                <w:iCs w:val="0"/>
                <w:sz w:val="20"/>
                <w:szCs w:val="20"/>
              </w:rPr>
              <w:t>842.</w:t>
            </w:r>
            <w:r>
              <w:rPr>
                <w:sz w:val="20"/>
                <w:szCs w:val="20"/>
              </w:rPr>
              <w:t> Early adoption is permitted as of the original effective date.</w:t>
            </w:r>
          </w:p>
          <w:p w14:paraId="641A838F" w14:textId="77777777" w:rsidR="00000000" w:rsidRDefault="0053651E">
            <w:pPr>
              <w:pStyle w:val="a3"/>
              <w:spacing w:before="0" w:beforeAutospacing="0" w:after="0" w:afterAutospacing="0"/>
              <w:jc w:val="both"/>
              <w:rPr>
                <w:sz w:val="20"/>
                <w:szCs w:val="20"/>
              </w:rPr>
            </w:pPr>
            <w:r>
              <w:rPr>
                <w:sz w:val="20"/>
                <w:szCs w:val="20"/>
              </w:rPr>
              <w:t> </w:t>
            </w:r>
          </w:p>
          <w:p w14:paraId="6835E288"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July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10,</w:t>
            </w:r>
            <w:r>
              <w:rPr>
                <w:sz w:val="20"/>
                <w:szCs w:val="20"/>
              </w:rPr>
              <w:t xml:space="preserve"> which includes amendm</w:t>
            </w:r>
            <w:r>
              <w:rPr>
                <w:sz w:val="20"/>
                <w:szCs w:val="20"/>
              </w:rPr>
              <w:t>ents to clarify certain aspects of the new leasing standard. These amendments address the rate implicit in the lease, impairment of the net investment in the lease, lessee reassessment of lease classification, lessor reassessment of lease term and purchase</w:t>
            </w:r>
            <w:r>
              <w:rPr>
                <w:sz w:val="20"/>
                <w:szCs w:val="20"/>
              </w:rPr>
              <w:t xml:space="preserve"> options, variable payments that depend on an index or rate and certain transition adjustments. </w:t>
            </w:r>
          </w:p>
          <w:p w14:paraId="76407696" w14:textId="77777777" w:rsidR="00000000" w:rsidRDefault="0053651E">
            <w:pPr>
              <w:pStyle w:val="a3"/>
              <w:spacing w:before="0" w:beforeAutospacing="0" w:after="0" w:afterAutospacing="0"/>
              <w:jc w:val="both"/>
              <w:rPr>
                <w:sz w:val="20"/>
                <w:szCs w:val="20"/>
              </w:rPr>
            </w:pPr>
            <w:r>
              <w:rPr>
                <w:sz w:val="20"/>
                <w:szCs w:val="20"/>
              </w:rPr>
              <w:t> </w:t>
            </w:r>
          </w:p>
          <w:p w14:paraId="22124A03" w14:textId="77777777" w:rsidR="00000000" w:rsidRDefault="0053651E">
            <w:pPr>
              <w:pStyle w:val="a3"/>
              <w:spacing w:before="0" w:beforeAutospacing="0" w:after="0" w:afterAutospacing="0"/>
              <w:jc w:val="both"/>
              <w:rPr>
                <w:sz w:val="20"/>
                <w:szCs w:val="20"/>
              </w:rPr>
            </w:pPr>
            <w:r>
              <w:rPr>
                <w:sz w:val="20"/>
                <w:szCs w:val="20"/>
              </w:rPr>
              <w:t>Additionally, during</w:t>
            </w:r>
            <w:r>
              <w:rPr>
                <w:sz w:val="20"/>
                <w:szCs w:val="20"/>
              </w:rPr>
              <w:t xml:space="preserve"> </w:t>
            </w:r>
            <w:r>
              <w:rPr>
                <w:rStyle w:val="a6"/>
                <w:i w:val="0"/>
                <w:iCs w:val="0"/>
                <w:sz w:val="20"/>
                <w:szCs w:val="20"/>
              </w:rPr>
              <w:t xml:space="preserve">July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which includes (i) an additional transition method to provide transition relief on comparative r</w:t>
            </w:r>
            <w:r>
              <w:rPr>
                <w:sz w:val="20"/>
                <w:szCs w:val="20"/>
              </w:rPr>
              <w:t>eporting at adoption and (ii) an amendment to provide lessors with a practical expedient to combine lease and non-lease components of a contract if certain criteria are met. Under the transition option, companies can opt to</w:t>
            </w:r>
            <w:r>
              <w:rPr>
                <w:sz w:val="20"/>
                <w:szCs w:val="20"/>
              </w:rPr>
              <w:t xml:space="preserve"> </w:t>
            </w:r>
            <w:r>
              <w:rPr>
                <w:rStyle w:val="a6"/>
                <w:i w:val="0"/>
                <w:iCs w:val="0"/>
                <w:sz w:val="20"/>
                <w:szCs w:val="20"/>
              </w:rPr>
              <w:t>not</w:t>
            </w:r>
            <w:r>
              <w:rPr>
                <w:sz w:val="20"/>
                <w:szCs w:val="20"/>
              </w:rPr>
              <w:t xml:space="preserve"> apply the new guidance, incl</w:t>
            </w:r>
            <w:r>
              <w:rPr>
                <w:sz w:val="20"/>
                <w:szCs w:val="20"/>
              </w:rPr>
              <w:t>uding its disclosure requirements, in the comparative periods they present in their financial statements in the year of adoption. The practical expedient allows lessors to elect, by class of underlying asset, to combine non-lease and associated lease compo</w:t>
            </w:r>
            <w:r>
              <w:rPr>
                <w:sz w:val="20"/>
                <w:szCs w:val="20"/>
              </w:rPr>
              <w:t>nents when certain criteria are met and requires them to account for the combined component in accordance with new revenue standard (Topic</w:t>
            </w:r>
            <w:r>
              <w:rPr>
                <w:sz w:val="20"/>
                <w:szCs w:val="20"/>
              </w:rPr>
              <w:t xml:space="preserve"> </w:t>
            </w:r>
            <w:r>
              <w:rPr>
                <w:rStyle w:val="a6"/>
                <w:i w:val="0"/>
                <w:iCs w:val="0"/>
                <w:sz w:val="20"/>
                <w:szCs w:val="20"/>
              </w:rPr>
              <w:t>606</w:t>
            </w:r>
            <w:r>
              <w:rPr>
                <w:sz w:val="20"/>
                <w:szCs w:val="20"/>
              </w:rPr>
              <w:t>) if the non-lease components are the predominant component; conversely, if a lessor determines that the lease com</w:t>
            </w:r>
            <w:r>
              <w:rPr>
                <w:sz w:val="20"/>
                <w:szCs w:val="20"/>
              </w:rPr>
              <w:t>ponents are the predominant component, it requires them to account for the combined component as an operating lease in accordance with the new leasing standard (Topic</w:t>
            </w:r>
            <w:r>
              <w:rPr>
                <w:sz w:val="20"/>
                <w:szCs w:val="20"/>
              </w:rPr>
              <w:t xml:space="preserve"> </w:t>
            </w:r>
            <w:r>
              <w:rPr>
                <w:rStyle w:val="a6"/>
                <w:i w:val="0"/>
                <w:iCs w:val="0"/>
                <w:sz w:val="20"/>
                <w:szCs w:val="20"/>
              </w:rPr>
              <w:t>842</w:t>
            </w:r>
            <w:r>
              <w:rPr>
                <w:sz w:val="20"/>
                <w:szCs w:val="20"/>
              </w:rPr>
              <w:t>).</w:t>
            </w:r>
          </w:p>
          <w:p w14:paraId="32AE0FC3" w14:textId="77777777" w:rsidR="00000000" w:rsidRDefault="0053651E">
            <w:pPr>
              <w:pStyle w:val="a3"/>
              <w:spacing w:before="0" w:beforeAutospacing="0" w:after="0" w:afterAutospacing="0"/>
              <w:jc w:val="both"/>
              <w:rPr>
                <w:sz w:val="20"/>
                <w:szCs w:val="20"/>
              </w:rPr>
            </w:pPr>
            <w:r>
              <w:rPr>
                <w:sz w:val="20"/>
                <w:szCs w:val="20"/>
              </w:rPr>
              <w:t> </w:t>
            </w:r>
          </w:p>
          <w:p w14:paraId="5A9F67EE"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December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20,</w:t>
            </w:r>
            <w:r>
              <w:rPr>
                <w:sz w:val="20"/>
                <w:szCs w:val="20"/>
              </w:rPr>
              <w:t xml:space="preserve"> which includes narrow-scope improv</w:t>
            </w:r>
            <w:r>
              <w:rPr>
                <w:sz w:val="20"/>
                <w:szCs w:val="20"/>
              </w:rPr>
              <w:t>ements for lessors. The FASB amended the new leasing standard to allow lessors to make an accounting policy election</w:t>
            </w:r>
            <w:r>
              <w:rPr>
                <w:sz w:val="20"/>
                <w:szCs w:val="20"/>
              </w:rPr>
              <w:t xml:space="preserve"> </w:t>
            </w:r>
            <w:r>
              <w:rPr>
                <w:rStyle w:val="a6"/>
                <w:i w:val="0"/>
                <w:iCs w:val="0"/>
                <w:sz w:val="20"/>
                <w:szCs w:val="20"/>
              </w:rPr>
              <w:t>not</w:t>
            </w:r>
            <w:r>
              <w:rPr>
                <w:sz w:val="20"/>
                <w:szCs w:val="20"/>
              </w:rPr>
              <w:t xml:space="preserve"> to evaluate whether sales taxes and similar taxes imposed by a governmental authority on a specific lease revenue-producing transaction</w:t>
            </w:r>
            <w:r>
              <w:rPr>
                <w:sz w:val="20"/>
                <w:szCs w:val="20"/>
              </w:rPr>
              <w:t xml:space="preserve"> are the primary obligation of the lessor as owner of the underlying leased asset. The amendments also require a lessor to exclude lessor costs paid directly by a lessee to</w:t>
            </w:r>
            <w:r>
              <w:rPr>
                <w:sz w:val="20"/>
                <w:szCs w:val="20"/>
              </w:rPr>
              <w:t xml:space="preserve"> </w:t>
            </w:r>
            <w:r>
              <w:rPr>
                <w:rStyle w:val="a6"/>
                <w:i w:val="0"/>
                <w:iCs w:val="0"/>
                <w:sz w:val="20"/>
                <w:szCs w:val="20"/>
              </w:rPr>
              <w:t>third</w:t>
            </w:r>
            <w:r>
              <w:rPr>
                <w:sz w:val="20"/>
                <w:szCs w:val="20"/>
              </w:rPr>
              <w:t xml:space="preserve"> parties on the lessor’s behalf from variable payments and include lessor cost</w:t>
            </w:r>
            <w:r>
              <w:rPr>
                <w:sz w:val="20"/>
                <w:szCs w:val="20"/>
              </w:rPr>
              <w:t xml:space="preserve">s that are paid by the lessor and reimbursed by the lessee in the measurement of variable lease revenue and the associated expense. In addition, the amendments clarify that when lessors allocate variable payments to lease and non-lease components they are </w:t>
            </w:r>
            <w:r>
              <w:rPr>
                <w:sz w:val="20"/>
                <w:szCs w:val="20"/>
              </w:rPr>
              <w:t>required to follow the recognition guidance in the new leasing standard for the lease component and other applicable guidance, such as the new revenue standard, for the non-lease component.</w:t>
            </w:r>
          </w:p>
          <w:p w14:paraId="3063093A" w14:textId="77777777" w:rsidR="00000000" w:rsidRDefault="0053651E">
            <w:pPr>
              <w:pStyle w:val="a3"/>
              <w:spacing w:before="0" w:beforeAutospacing="0" w:after="0" w:afterAutospacing="0"/>
              <w:jc w:val="both"/>
              <w:rPr>
                <w:sz w:val="20"/>
                <w:szCs w:val="20"/>
              </w:rPr>
            </w:pPr>
            <w:r>
              <w:rPr>
                <w:sz w:val="20"/>
                <w:szCs w:val="20"/>
              </w:rPr>
              <w:t> </w:t>
            </w:r>
          </w:p>
          <w:p w14:paraId="6265C1E5" w14:textId="77777777" w:rsidR="00000000" w:rsidRDefault="0053651E">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February 2019, </w:t>
            </w:r>
            <w:r>
              <w:rPr>
                <w:sz w:val="20"/>
                <w:szCs w:val="20"/>
              </w:rPr>
              <w:t>the FASB issued ASU</w:t>
            </w:r>
            <w:r>
              <w:rPr>
                <w:sz w:val="20"/>
                <w:szCs w:val="20"/>
              </w:rPr>
              <w:t xml:space="preserve"> </w:t>
            </w:r>
            <w:r>
              <w:rPr>
                <w:rStyle w:val="a6"/>
                <w:i w:val="0"/>
                <w:iCs w:val="0"/>
                <w:sz w:val="20"/>
                <w:szCs w:val="20"/>
              </w:rPr>
              <w:t>2019</w:t>
            </w:r>
            <w:r>
              <w:rPr>
                <w:sz w:val="20"/>
                <w:szCs w:val="20"/>
              </w:rPr>
              <w:t>-</w:t>
            </w:r>
            <w:r>
              <w:rPr>
                <w:rStyle w:val="a6"/>
                <w:i w:val="0"/>
                <w:iCs w:val="0"/>
                <w:sz w:val="20"/>
                <w:szCs w:val="20"/>
              </w:rPr>
              <w:t>01,</w:t>
            </w:r>
            <w:r>
              <w:rPr>
                <w:sz w:val="20"/>
                <w:szCs w:val="20"/>
              </w:rPr>
              <w:t xml:space="preserve"> which includes am</w:t>
            </w:r>
            <w:r>
              <w:rPr>
                <w:sz w:val="20"/>
                <w:szCs w:val="20"/>
              </w:rPr>
              <w:t>endments to address the following:</w:t>
            </w:r>
          </w:p>
        </w:tc>
        <w:tc>
          <w:tcPr>
            <w:tcW w:w="550" w:type="pct"/>
            <w:tcBorders>
              <w:right w:val="single" w:sz="6" w:space="0" w:color="000000"/>
            </w:tcBorders>
            <w:shd w:val="clear" w:color="auto" w:fill="FFFFFF"/>
            <w:hideMark/>
          </w:tcPr>
          <w:p w14:paraId="74CC677F" w14:textId="77777777" w:rsidR="00000000" w:rsidRDefault="0053651E">
            <w:pPr>
              <w:pStyle w:val="a3"/>
              <w:spacing w:before="0" w:beforeAutospacing="0" w:after="0" w:afterAutospacing="0"/>
              <w:jc w:val="center"/>
              <w:rPr>
                <w:sz w:val="20"/>
                <w:szCs w:val="20"/>
              </w:rPr>
            </w:pPr>
            <w:r>
              <w:rPr>
                <w:rStyle w:val="a6"/>
                <w:i w:val="0"/>
                <w:iCs w:val="0"/>
                <w:sz w:val="20"/>
                <w:szCs w:val="20"/>
              </w:rPr>
              <w:t>January 1, 2019</w:t>
            </w:r>
          </w:p>
        </w:tc>
        <w:tc>
          <w:tcPr>
            <w:tcW w:w="1150" w:type="pct"/>
            <w:tcBorders>
              <w:right w:val="single" w:sz="6" w:space="0" w:color="000000"/>
            </w:tcBorders>
            <w:shd w:val="clear" w:color="auto" w:fill="FFFFFF"/>
            <w:tcMar>
              <w:top w:w="0" w:type="dxa"/>
              <w:left w:w="45" w:type="dxa"/>
              <w:bottom w:w="0" w:type="dxa"/>
              <w:right w:w="45" w:type="dxa"/>
            </w:tcMar>
            <w:hideMark/>
          </w:tcPr>
          <w:p w14:paraId="60AB7642" w14:textId="77777777" w:rsidR="00000000" w:rsidRDefault="0053651E">
            <w:pPr>
              <w:pStyle w:val="a3"/>
              <w:spacing w:before="0" w:beforeAutospacing="0" w:after="0" w:afterAutospacing="0"/>
              <w:rPr>
                <w:sz w:val="20"/>
                <w:szCs w:val="20"/>
              </w:rPr>
            </w:pPr>
            <w:r>
              <w:rPr>
                <w:sz w:val="20"/>
                <w:szCs w:val="20"/>
              </w:rPr>
              <w:t>The Company adopted this standard using the modified retrospective approach. </w:t>
            </w:r>
          </w:p>
          <w:p w14:paraId="2CE4BD63" w14:textId="77777777" w:rsidR="00000000" w:rsidRDefault="0053651E">
            <w:pPr>
              <w:pStyle w:val="a3"/>
              <w:spacing w:before="0" w:beforeAutospacing="0" w:after="0" w:afterAutospacing="0"/>
              <w:rPr>
                <w:sz w:val="20"/>
                <w:szCs w:val="20"/>
              </w:rPr>
            </w:pPr>
            <w:r>
              <w:rPr>
                <w:sz w:val="20"/>
                <w:szCs w:val="20"/>
              </w:rPr>
              <w:t> </w:t>
            </w:r>
          </w:p>
          <w:p w14:paraId="5E4238A8" w14:textId="77777777" w:rsidR="00000000" w:rsidRDefault="0053651E">
            <w:pPr>
              <w:pStyle w:val="a3"/>
              <w:spacing w:before="0" w:beforeAutospacing="0" w:after="0" w:afterAutospacing="0"/>
              <w:rPr>
                <w:sz w:val="20"/>
                <w:szCs w:val="20"/>
              </w:rPr>
            </w:pPr>
            <w:r>
              <w:rPr>
                <w:sz w:val="20"/>
                <w:szCs w:val="20"/>
              </w:rPr>
              <w:t xml:space="preserve">The Company has identified certain leases and accounting policies which the adoption impacted, including its ground leases, </w:t>
            </w:r>
            <w:r>
              <w:rPr>
                <w:sz w:val="20"/>
                <w:szCs w:val="20"/>
              </w:rPr>
              <w:t>administrative office leases, initial leasing costs and non-lease components.</w:t>
            </w:r>
          </w:p>
          <w:p w14:paraId="2D847FFD" w14:textId="77777777" w:rsidR="00000000" w:rsidRDefault="0053651E">
            <w:pPr>
              <w:pStyle w:val="a3"/>
              <w:spacing w:before="0" w:beforeAutospacing="0" w:after="0" w:afterAutospacing="0"/>
              <w:rPr>
                <w:sz w:val="20"/>
                <w:szCs w:val="20"/>
              </w:rPr>
            </w:pPr>
            <w:r>
              <w:rPr>
                <w:sz w:val="20"/>
                <w:szCs w:val="20"/>
              </w:rPr>
              <w:t> </w:t>
            </w:r>
          </w:p>
          <w:p w14:paraId="4F2EE985" w14:textId="77777777" w:rsidR="00000000" w:rsidRDefault="0053651E">
            <w:pPr>
              <w:pStyle w:val="a3"/>
              <w:spacing w:before="0" w:beforeAutospacing="0" w:after="0" w:afterAutospacing="0"/>
              <w:rPr>
                <w:sz w:val="20"/>
                <w:szCs w:val="20"/>
              </w:rPr>
            </w:pPr>
            <w:r>
              <w:rPr>
                <w:sz w:val="20"/>
                <w:szCs w:val="20"/>
              </w:rPr>
              <w:t>See Leases policy above for further details.</w:t>
            </w:r>
          </w:p>
        </w:tc>
      </w:tr>
      <w:tr w:rsidR="00000000" w14:paraId="4E8EA983" w14:textId="77777777">
        <w:trPr>
          <w:tblCellSpacing w:w="0" w:type="dxa"/>
        </w:trPr>
        <w:tc>
          <w:tcPr>
            <w:tcW w:w="1100" w:type="pct"/>
            <w:tcBorders>
              <w:left w:val="single" w:sz="6" w:space="0" w:color="000000"/>
              <w:right w:val="single" w:sz="6" w:space="0" w:color="000000"/>
            </w:tcBorders>
            <w:hideMark/>
          </w:tcPr>
          <w:p w14:paraId="7B70C793" w14:textId="77777777" w:rsidR="00000000" w:rsidRDefault="0053651E">
            <w:pPr>
              <w:rPr>
                <w:rFonts w:eastAsia="Times New Roman"/>
                <w:sz w:val="20"/>
                <w:szCs w:val="20"/>
              </w:rPr>
            </w:pPr>
            <w:r>
              <w:rPr>
                <w:rFonts w:eastAsia="Times New Roman"/>
                <w:sz w:val="20"/>
                <w:szCs w:val="20"/>
              </w:rPr>
              <w:t> </w:t>
            </w:r>
          </w:p>
        </w:tc>
        <w:tc>
          <w:tcPr>
            <w:tcW w:w="150" w:type="pct"/>
            <w:tcMar>
              <w:top w:w="0" w:type="dxa"/>
              <w:left w:w="45" w:type="dxa"/>
              <w:bottom w:w="0" w:type="dxa"/>
              <w:right w:w="0" w:type="dxa"/>
            </w:tcMar>
            <w:hideMark/>
          </w:tcPr>
          <w:p w14:paraId="30A554DB" w14:textId="77777777" w:rsidR="00000000" w:rsidRDefault="0053651E">
            <w:pPr>
              <w:rPr>
                <w:rFonts w:eastAsia="Times New Roman"/>
                <w:sz w:val="20"/>
                <w:szCs w:val="20"/>
              </w:rPr>
            </w:pPr>
            <w:r>
              <w:rPr>
                <w:rFonts w:eastAsia="Times New Roman"/>
                <w:sz w:val="20"/>
                <w:szCs w:val="20"/>
              </w:rPr>
              <w:t>(i) </w:t>
            </w:r>
          </w:p>
        </w:tc>
        <w:tc>
          <w:tcPr>
            <w:tcW w:w="2050" w:type="pct"/>
            <w:tcBorders>
              <w:right w:val="single" w:sz="6" w:space="0" w:color="000000"/>
            </w:tcBorders>
            <w:tcMar>
              <w:top w:w="0" w:type="dxa"/>
              <w:left w:w="0" w:type="dxa"/>
              <w:bottom w:w="0" w:type="dxa"/>
              <w:right w:w="45" w:type="dxa"/>
            </w:tcMar>
            <w:hideMark/>
          </w:tcPr>
          <w:p w14:paraId="51B5122D" w14:textId="77777777" w:rsidR="00000000" w:rsidRDefault="0053651E">
            <w:pPr>
              <w:rPr>
                <w:rFonts w:eastAsia="Times New Roman"/>
                <w:sz w:val="20"/>
                <w:szCs w:val="20"/>
              </w:rPr>
            </w:pPr>
            <w:r>
              <w:rPr>
                <w:rFonts w:eastAsia="Times New Roman"/>
                <w:sz w:val="20"/>
                <w:szCs w:val="20"/>
              </w:rPr>
              <w:t>Determining the fair value of the underlying asset by lessors that are</w:t>
            </w:r>
            <w:r>
              <w:rPr>
                <w:rFonts w:eastAsia="Times New Roman"/>
                <w:sz w:val="20"/>
                <w:szCs w:val="20"/>
              </w:rPr>
              <w:t xml:space="preserve"> </w:t>
            </w:r>
            <w:r>
              <w:rPr>
                <w:rStyle w:val="a6"/>
                <w:rFonts w:eastAsia="Times New Roman"/>
                <w:i w:val="0"/>
                <w:iCs w:val="0"/>
                <w:sz w:val="20"/>
                <w:szCs w:val="20"/>
              </w:rPr>
              <w:t>not</w:t>
            </w:r>
            <w:r>
              <w:rPr>
                <w:rFonts w:eastAsia="Times New Roman"/>
                <w:sz w:val="20"/>
                <w:szCs w:val="20"/>
              </w:rPr>
              <w:t xml:space="preserve"> manufacturers or dealers;</w:t>
            </w:r>
          </w:p>
        </w:tc>
        <w:tc>
          <w:tcPr>
            <w:tcW w:w="550" w:type="pct"/>
            <w:tcBorders>
              <w:right w:val="single" w:sz="6" w:space="0" w:color="000000"/>
            </w:tcBorders>
            <w:hideMark/>
          </w:tcPr>
          <w:p w14:paraId="2A87202A" w14:textId="77777777" w:rsidR="00000000" w:rsidRDefault="0053651E">
            <w:pPr>
              <w:rPr>
                <w:rFonts w:eastAsia="Times New Roman"/>
                <w:sz w:val="20"/>
                <w:szCs w:val="20"/>
              </w:rPr>
            </w:pPr>
            <w:r>
              <w:rPr>
                <w:rFonts w:eastAsia="Times New Roman"/>
                <w:sz w:val="20"/>
                <w:szCs w:val="20"/>
              </w:rPr>
              <w:t> </w:t>
            </w:r>
          </w:p>
        </w:tc>
        <w:tc>
          <w:tcPr>
            <w:tcW w:w="1150" w:type="pct"/>
            <w:tcBorders>
              <w:right w:val="single" w:sz="6" w:space="0" w:color="000000"/>
            </w:tcBorders>
            <w:hideMark/>
          </w:tcPr>
          <w:p w14:paraId="1CE9C09B" w14:textId="77777777" w:rsidR="00000000" w:rsidRDefault="0053651E">
            <w:pPr>
              <w:rPr>
                <w:rFonts w:eastAsia="Times New Roman"/>
                <w:sz w:val="20"/>
                <w:szCs w:val="20"/>
              </w:rPr>
            </w:pPr>
            <w:r>
              <w:rPr>
                <w:rFonts w:eastAsia="Times New Roman"/>
                <w:sz w:val="20"/>
                <w:szCs w:val="20"/>
              </w:rPr>
              <w:t> </w:t>
            </w:r>
          </w:p>
        </w:tc>
      </w:tr>
      <w:tr w:rsidR="00000000" w14:paraId="52C38812" w14:textId="77777777">
        <w:trPr>
          <w:tblCellSpacing w:w="0" w:type="dxa"/>
        </w:trPr>
        <w:tc>
          <w:tcPr>
            <w:tcW w:w="1100" w:type="pct"/>
            <w:tcBorders>
              <w:left w:val="single" w:sz="6" w:space="0" w:color="000000"/>
              <w:right w:val="single" w:sz="6" w:space="0" w:color="000000"/>
            </w:tcBorders>
            <w:hideMark/>
          </w:tcPr>
          <w:p w14:paraId="5209F110" w14:textId="77777777" w:rsidR="00000000" w:rsidRDefault="0053651E">
            <w:pPr>
              <w:rPr>
                <w:rFonts w:eastAsia="Times New Roman"/>
                <w:sz w:val="20"/>
                <w:szCs w:val="20"/>
              </w:rPr>
            </w:pPr>
            <w:r>
              <w:rPr>
                <w:rFonts w:eastAsia="Times New Roman"/>
                <w:sz w:val="20"/>
                <w:szCs w:val="20"/>
              </w:rPr>
              <w:t> </w:t>
            </w:r>
          </w:p>
        </w:tc>
        <w:tc>
          <w:tcPr>
            <w:tcW w:w="150" w:type="pct"/>
            <w:tcMar>
              <w:top w:w="0" w:type="dxa"/>
              <w:left w:w="45" w:type="dxa"/>
              <w:bottom w:w="0" w:type="dxa"/>
              <w:right w:w="0" w:type="dxa"/>
            </w:tcMar>
            <w:hideMark/>
          </w:tcPr>
          <w:p w14:paraId="6271D0EC" w14:textId="77777777" w:rsidR="00000000" w:rsidRDefault="0053651E">
            <w:pPr>
              <w:rPr>
                <w:rFonts w:eastAsia="Times New Roman"/>
                <w:sz w:val="20"/>
                <w:szCs w:val="20"/>
              </w:rPr>
            </w:pPr>
            <w:r>
              <w:rPr>
                <w:rFonts w:eastAsia="Times New Roman"/>
                <w:sz w:val="20"/>
                <w:szCs w:val="20"/>
              </w:rPr>
              <w:t>(ii)</w:t>
            </w:r>
          </w:p>
        </w:tc>
        <w:tc>
          <w:tcPr>
            <w:tcW w:w="2050" w:type="pct"/>
            <w:tcBorders>
              <w:right w:val="single" w:sz="6" w:space="0" w:color="000000"/>
            </w:tcBorders>
            <w:tcMar>
              <w:top w:w="0" w:type="dxa"/>
              <w:left w:w="0" w:type="dxa"/>
              <w:bottom w:w="0" w:type="dxa"/>
              <w:right w:w="45" w:type="dxa"/>
            </w:tcMar>
            <w:hideMark/>
          </w:tcPr>
          <w:p w14:paraId="4368CCF8" w14:textId="77777777" w:rsidR="00000000" w:rsidRDefault="0053651E">
            <w:pPr>
              <w:rPr>
                <w:rFonts w:eastAsia="Times New Roman"/>
                <w:sz w:val="20"/>
                <w:szCs w:val="20"/>
              </w:rPr>
            </w:pPr>
            <w:r>
              <w:rPr>
                <w:rFonts w:eastAsia="Times New Roman"/>
                <w:sz w:val="20"/>
                <w:szCs w:val="20"/>
              </w:rPr>
              <w:t>Presentation on the statement of cash flows for sales-type and direct financing leases; and</w:t>
            </w:r>
          </w:p>
        </w:tc>
        <w:tc>
          <w:tcPr>
            <w:tcW w:w="550" w:type="pct"/>
            <w:tcBorders>
              <w:right w:val="single" w:sz="6" w:space="0" w:color="000000"/>
            </w:tcBorders>
            <w:hideMark/>
          </w:tcPr>
          <w:p w14:paraId="268C1AC4" w14:textId="77777777" w:rsidR="00000000" w:rsidRDefault="0053651E">
            <w:pPr>
              <w:rPr>
                <w:rFonts w:eastAsia="Times New Roman"/>
                <w:sz w:val="20"/>
                <w:szCs w:val="20"/>
              </w:rPr>
            </w:pPr>
            <w:r>
              <w:rPr>
                <w:rFonts w:eastAsia="Times New Roman"/>
                <w:sz w:val="20"/>
                <w:szCs w:val="20"/>
              </w:rPr>
              <w:t> </w:t>
            </w:r>
          </w:p>
        </w:tc>
        <w:tc>
          <w:tcPr>
            <w:tcW w:w="1150" w:type="pct"/>
            <w:tcBorders>
              <w:right w:val="single" w:sz="6" w:space="0" w:color="000000"/>
            </w:tcBorders>
            <w:hideMark/>
          </w:tcPr>
          <w:p w14:paraId="67EB8E6B" w14:textId="77777777" w:rsidR="00000000" w:rsidRDefault="0053651E">
            <w:pPr>
              <w:rPr>
                <w:rFonts w:eastAsia="Times New Roman"/>
                <w:sz w:val="20"/>
                <w:szCs w:val="20"/>
              </w:rPr>
            </w:pPr>
            <w:r>
              <w:rPr>
                <w:rFonts w:eastAsia="Times New Roman"/>
                <w:sz w:val="20"/>
                <w:szCs w:val="20"/>
              </w:rPr>
              <w:t> </w:t>
            </w:r>
          </w:p>
        </w:tc>
      </w:tr>
      <w:tr w:rsidR="00000000" w14:paraId="612991AE" w14:textId="77777777">
        <w:trPr>
          <w:tblCellSpacing w:w="0" w:type="dxa"/>
        </w:trPr>
        <w:tc>
          <w:tcPr>
            <w:tcW w:w="1100" w:type="pct"/>
            <w:tcBorders>
              <w:left w:val="single" w:sz="6" w:space="0" w:color="000000"/>
              <w:bottom w:val="single" w:sz="6" w:space="0" w:color="000000"/>
              <w:right w:val="single" w:sz="6" w:space="0" w:color="000000"/>
            </w:tcBorders>
            <w:hideMark/>
          </w:tcPr>
          <w:p w14:paraId="3247F547" w14:textId="77777777" w:rsidR="00000000" w:rsidRDefault="0053651E">
            <w:pPr>
              <w:rPr>
                <w:rFonts w:eastAsia="Times New Roman"/>
                <w:sz w:val="20"/>
                <w:szCs w:val="20"/>
              </w:rPr>
            </w:pPr>
            <w:r>
              <w:rPr>
                <w:rFonts w:eastAsia="Times New Roman"/>
                <w:sz w:val="20"/>
                <w:szCs w:val="20"/>
              </w:rPr>
              <w:t> </w:t>
            </w:r>
          </w:p>
        </w:tc>
        <w:tc>
          <w:tcPr>
            <w:tcW w:w="150" w:type="pct"/>
            <w:tcBorders>
              <w:bottom w:val="single" w:sz="6" w:space="0" w:color="000000"/>
            </w:tcBorders>
            <w:tcMar>
              <w:top w:w="0" w:type="dxa"/>
              <w:left w:w="45" w:type="dxa"/>
              <w:bottom w:w="0" w:type="dxa"/>
              <w:right w:w="0" w:type="dxa"/>
            </w:tcMar>
            <w:hideMark/>
          </w:tcPr>
          <w:p w14:paraId="0D997D5D" w14:textId="77777777" w:rsidR="00000000" w:rsidRDefault="0053651E">
            <w:pPr>
              <w:rPr>
                <w:rFonts w:eastAsia="Times New Roman"/>
                <w:sz w:val="20"/>
                <w:szCs w:val="20"/>
              </w:rPr>
            </w:pPr>
            <w:r>
              <w:rPr>
                <w:rFonts w:eastAsia="Times New Roman"/>
                <w:sz w:val="20"/>
                <w:szCs w:val="20"/>
              </w:rPr>
              <w:t>(iii)</w:t>
            </w:r>
          </w:p>
        </w:tc>
        <w:tc>
          <w:tcPr>
            <w:tcW w:w="2050" w:type="pct"/>
            <w:tcBorders>
              <w:bottom w:val="single" w:sz="6" w:space="0" w:color="000000"/>
              <w:right w:val="single" w:sz="6" w:space="0" w:color="000000"/>
            </w:tcBorders>
            <w:tcMar>
              <w:top w:w="0" w:type="dxa"/>
              <w:left w:w="0" w:type="dxa"/>
              <w:bottom w:w="0" w:type="dxa"/>
              <w:right w:w="45" w:type="dxa"/>
            </w:tcMar>
            <w:hideMark/>
          </w:tcPr>
          <w:p w14:paraId="546B00B9" w14:textId="77777777" w:rsidR="00000000" w:rsidRDefault="0053651E">
            <w:pPr>
              <w:rPr>
                <w:rFonts w:eastAsia="Times New Roman"/>
                <w:sz w:val="20"/>
                <w:szCs w:val="20"/>
              </w:rPr>
            </w:pPr>
            <w:r>
              <w:rPr>
                <w:rFonts w:eastAsia="Times New Roman"/>
                <w:sz w:val="20"/>
                <w:szCs w:val="20"/>
              </w:rPr>
              <w:t>Transition disclosures related to Topi</w:t>
            </w:r>
            <w:r>
              <w:rPr>
                <w:rFonts w:eastAsia="Times New Roman"/>
                <w:sz w:val="20"/>
                <w:szCs w:val="20"/>
              </w:rPr>
              <w:t>c</w:t>
            </w:r>
            <w:r>
              <w:rPr>
                <w:rFonts w:eastAsia="Times New Roman"/>
                <w:sz w:val="20"/>
                <w:szCs w:val="20"/>
              </w:rPr>
              <w:t xml:space="preserve"> </w:t>
            </w:r>
            <w:r>
              <w:rPr>
                <w:rStyle w:val="a6"/>
                <w:rFonts w:eastAsia="Times New Roman"/>
                <w:i w:val="0"/>
                <w:iCs w:val="0"/>
                <w:sz w:val="20"/>
                <w:szCs w:val="20"/>
              </w:rPr>
              <w:t>250,</w:t>
            </w:r>
            <w:r>
              <w:rPr>
                <w:rFonts w:eastAsia="Times New Roman"/>
                <w:sz w:val="20"/>
                <w:szCs w:val="20"/>
              </w:rPr>
              <w:t xml:space="preserve"> Accounting Changes and Error Corrections.</w:t>
            </w:r>
          </w:p>
        </w:tc>
        <w:tc>
          <w:tcPr>
            <w:tcW w:w="550" w:type="pct"/>
            <w:tcBorders>
              <w:bottom w:val="single" w:sz="6" w:space="0" w:color="000000"/>
              <w:right w:val="single" w:sz="6" w:space="0" w:color="000000"/>
            </w:tcBorders>
            <w:hideMark/>
          </w:tcPr>
          <w:p w14:paraId="28078BEE" w14:textId="77777777" w:rsidR="00000000" w:rsidRDefault="0053651E">
            <w:pPr>
              <w:rPr>
                <w:rFonts w:eastAsia="Times New Roman"/>
                <w:sz w:val="20"/>
                <w:szCs w:val="20"/>
              </w:rPr>
            </w:pPr>
            <w:r>
              <w:rPr>
                <w:rFonts w:eastAsia="Times New Roman"/>
                <w:sz w:val="20"/>
                <w:szCs w:val="20"/>
              </w:rPr>
              <w:t> </w:t>
            </w:r>
          </w:p>
        </w:tc>
        <w:tc>
          <w:tcPr>
            <w:tcW w:w="1150" w:type="pct"/>
            <w:tcBorders>
              <w:bottom w:val="single" w:sz="6" w:space="0" w:color="000000"/>
              <w:right w:val="single" w:sz="6" w:space="0" w:color="000000"/>
            </w:tcBorders>
            <w:hideMark/>
          </w:tcPr>
          <w:p w14:paraId="448FF151" w14:textId="77777777" w:rsidR="00000000" w:rsidRDefault="0053651E">
            <w:pPr>
              <w:rPr>
                <w:rFonts w:eastAsia="Times New Roman"/>
                <w:sz w:val="20"/>
                <w:szCs w:val="20"/>
              </w:rPr>
            </w:pPr>
            <w:r>
              <w:rPr>
                <w:rFonts w:eastAsia="Times New Roman"/>
                <w:sz w:val="20"/>
                <w:szCs w:val="20"/>
              </w:rPr>
              <w:t> </w:t>
            </w:r>
          </w:p>
        </w:tc>
      </w:tr>
    </w:tbl>
    <w:p w14:paraId="12C6B793" w14:textId="77777777" w:rsidR="00000000" w:rsidRDefault="0053651E">
      <w:pPr>
        <w:pStyle w:val="a3"/>
        <w:spacing w:before="0" w:beforeAutospacing="0" w:after="0" w:afterAutospacing="0"/>
        <w:ind w:left="360"/>
        <w:jc w:val="both"/>
        <w:rPr>
          <w:sz w:val="20"/>
          <w:szCs w:val="20"/>
        </w:rPr>
      </w:pPr>
      <w:r>
        <w:rPr>
          <w:sz w:val="20"/>
          <w:szCs w:val="20"/>
        </w:rPr>
        <w:t> </w:t>
      </w:r>
    </w:p>
    <w:p w14:paraId="6C7D4370" w14:textId="77777777" w:rsidR="00000000" w:rsidRDefault="0053651E">
      <w:pPr>
        <w:jc w:val="center"/>
        <w:divId w:val="174342452"/>
        <w:rPr>
          <w:rFonts w:eastAsia="Times New Roman"/>
          <w:sz w:val="20"/>
          <w:szCs w:val="20"/>
        </w:rPr>
      </w:pPr>
      <w:r>
        <w:rPr>
          <w:rStyle w:val="a6"/>
          <w:rFonts w:eastAsia="Times New Roman"/>
          <w:i w:val="0"/>
          <w:iCs w:val="0"/>
          <w:sz w:val="20"/>
          <w:szCs w:val="20"/>
        </w:rPr>
        <w:t>60</w:t>
      </w:r>
      <w:r>
        <w:rPr>
          <w:rFonts w:eastAsia="Times New Roman"/>
          <w:sz w:val="20"/>
          <w:szCs w:val="20"/>
        </w:rPr>
        <w:t xml:space="preserve"> </w:t>
      </w:r>
    </w:p>
    <w:p w14:paraId="1C911301" w14:textId="77777777" w:rsidR="00000000" w:rsidRDefault="0053651E">
      <w:pPr>
        <w:divId w:val="174342452"/>
        <w:rPr>
          <w:rFonts w:eastAsia="Times New Roman"/>
          <w:sz w:val="20"/>
          <w:szCs w:val="20"/>
        </w:rPr>
      </w:pPr>
      <w:r>
        <w:rPr>
          <w:rFonts w:eastAsia="Times New Roman"/>
          <w:sz w:val="20"/>
          <w:szCs w:val="20"/>
        </w:rPr>
        <w:pict w14:anchorId="17A76388">
          <v:rect id="_x0000_i1091" style="width:415.3pt;height:1.5pt" o:hralign="center" o:hrstd="t" o:hrnoshade="t" o:hr="t" fillcolor="black" stroked="f"/>
        </w:pict>
      </w:r>
    </w:p>
    <w:p w14:paraId="0492D5D3" w14:textId="77777777" w:rsidR="00000000" w:rsidRDefault="0053651E">
      <w:pPr>
        <w:divId w:val="174342452"/>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p>
    <w:p w14:paraId="1021A592" w14:textId="77777777" w:rsidR="00000000" w:rsidRDefault="0053651E">
      <w:pPr>
        <w:pStyle w:val="a3"/>
        <w:spacing w:before="0" w:beforeAutospacing="0" w:after="0" w:afterAutospacing="0"/>
        <w:rPr>
          <w:sz w:val="20"/>
          <w:szCs w:val="20"/>
        </w:rPr>
      </w:pPr>
      <w:r>
        <w:rPr>
          <w:sz w:val="20"/>
          <w:szCs w:val="20"/>
        </w:rPr>
        <w:t> </w:t>
      </w:r>
    </w:p>
    <w:p w14:paraId="75D98211"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45FB093" w14:textId="77777777" w:rsidR="00000000" w:rsidRDefault="0053651E">
      <w:pPr>
        <w:pStyle w:val="a3"/>
        <w:spacing w:before="0" w:beforeAutospacing="0" w:after="0" w:afterAutospacing="0"/>
        <w:jc w:val="center"/>
        <w:rPr>
          <w:sz w:val="20"/>
          <w:szCs w:val="20"/>
        </w:rPr>
      </w:pPr>
      <w:r>
        <w:rPr>
          <w:sz w:val="20"/>
          <w:szCs w:val="20"/>
        </w:rPr>
        <w:t> </w:t>
      </w:r>
    </w:p>
    <w:p w14:paraId="5605CE8B"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37D18DDA" w14:textId="77777777" w:rsidR="00000000" w:rsidRDefault="0053651E">
      <w:pPr>
        <w:pStyle w:val="a3"/>
        <w:spacing w:before="0" w:beforeAutospacing="0" w:after="0" w:afterAutospacing="0"/>
        <w:rPr>
          <w:sz w:val="20"/>
          <w:szCs w:val="20"/>
        </w:rPr>
      </w:pPr>
      <w:r>
        <w:rPr>
          <w:sz w:val="20"/>
          <w:szCs w:val="20"/>
        </w:rPr>
        <w:t> </w:t>
      </w:r>
    </w:p>
    <w:p w14:paraId="7D3BB87C" w14:textId="77777777" w:rsidR="00000000" w:rsidRDefault="0053651E">
      <w:pPr>
        <w:divId w:val="109857263"/>
        <w:rPr>
          <w:rFonts w:eastAsia="Times New Roman"/>
          <w:sz w:val="20"/>
          <w:szCs w:val="20"/>
        </w:rPr>
      </w:pPr>
      <w:r>
        <w:rPr>
          <w:rFonts w:eastAsia="Times New Roman"/>
          <w:sz w:val="20"/>
          <w:szCs w:val="20"/>
        </w:rPr>
        <w:t xml:space="preserve">  </w:t>
      </w:r>
    </w:p>
    <w:p w14:paraId="77217A82" w14:textId="77777777" w:rsidR="00000000" w:rsidRDefault="0053651E">
      <w:pPr>
        <w:pStyle w:val="a3"/>
        <w:spacing w:before="0" w:beforeAutospacing="0" w:after="0" w:afterAutospacing="0"/>
        <w:rPr>
          <w:sz w:val="20"/>
          <w:szCs w:val="20"/>
        </w:rPr>
      </w:pPr>
      <w:r>
        <w:rPr>
          <w:rStyle w:val="a6"/>
          <w:i w:val="0"/>
          <w:iCs w:val="0"/>
          <w:sz w:val="20"/>
          <w:szCs w:val="20"/>
        </w:rPr>
        <w:t>2.</w:t>
      </w:r>
      <w:r>
        <w:rPr>
          <w:sz w:val="20"/>
          <w:szCs w:val="20"/>
        </w:rPr>
        <w:t>    </w:t>
      </w:r>
      <w:r>
        <w:rPr>
          <w:sz w:val="20"/>
          <w:szCs w:val="20"/>
          <w:u w:val="single"/>
        </w:rPr>
        <w:t>Real Estate:</w:t>
      </w:r>
    </w:p>
    <w:p w14:paraId="5A65CB08" w14:textId="77777777" w:rsidR="00000000" w:rsidRDefault="0053651E">
      <w:pPr>
        <w:pStyle w:val="a3"/>
        <w:spacing w:before="0" w:beforeAutospacing="0" w:after="0" w:afterAutospacing="0"/>
        <w:ind w:left="360"/>
        <w:rPr>
          <w:sz w:val="20"/>
          <w:szCs w:val="20"/>
        </w:rPr>
      </w:pPr>
      <w:r>
        <w:rPr>
          <w:sz w:val="20"/>
          <w:szCs w:val="20"/>
        </w:rPr>
        <w:t> </w:t>
      </w:r>
    </w:p>
    <w:p w14:paraId="0E2ACAD9" w14:textId="77777777" w:rsidR="00000000" w:rsidRDefault="0053651E">
      <w:pPr>
        <w:pStyle w:val="a3"/>
        <w:spacing w:before="0" w:beforeAutospacing="0" w:after="0" w:afterAutospacing="0"/>
        <w:ind w:left="360"/>
        <w:rPr>
          <w:sz w:val="20"/>
          <w:szCs w:val="20"/>
        </w:rPr>
      </w:pPr>
      <w:r>
        <w:rPr>
          <w:sz w:val="20"/>
          <w:szCs w:val="20"/>
        </w:rPr>
        <w:t>The Company’</w:t>
      </w:r>
      <w:r>
        <w:rPr>
          <w:sz w:val="20"/>
          <w:szCs w:val="20"/>
        </w:rPr>
        <w:t>s components of Real estate, net consist of the following (in thousands):</w:t>
      </w:r>
    </w:p>
    <w:p w14:paraId="1AB4B19D" w14:textId="77777777" w:rsidR="00000000" w:rsidRDefault="0053651E">
      <w:pPr>
        <w:pStyle w:val="a3"/>
        <w:spacing w:before="0" w:beforeAutospacing="0" w:after="0" w:afterAutospacing="0"/>
        <w:ind w:left="36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1CCE1C0C" w14:textId="77777777">
        <w:trPr>
          <w:tblCellSpacing w:w="0" w:type="dxa"/>
        </w:trPr>
        <w:tc>
          <w:tcPr>
            <w:tcW w:w="0" w:type="auto"/>
            <w:vAlign w:val="bottom"/>
            <w:hideMark/>
          </w:tcPr>
          <w:p w14:paraId="210E922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709ABE6"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9146634" w14:textId="77777777" w:rsidR="00000000" w:rsidRDefault="0053651E">
            <w:pPr>
              <w:pStyle w:val="a3"/>
              <w:spacing w:before="0" w:beforeAutospacing="0" w:after="0" w:afterAutospacing="0"/>
              <w:ind w:left="72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EA1B5F3" w14:textId="77777777" w:rsidR="00000000" w:rsidRDefault="0053651E">
            <w:pPr>
              <w:rPr>
                <w:rFonts w:eastAsia="Times New Roman"/>
                <w:sz w:val="20"/>
                <w:szCs w:val="20"/>
              </w:rPr>
            </w:pPr>
            <w:r>
              <w:rPr>
                <w:rFonts w:eastAsia="Times New Roman"/>
                <w:sz w:val="20"/>
                <w:szCs w:val="20"/>
              </w:rPr>
              <w:t> </w:t>
            </w:r>
          </w:p>
        </w:tc>
      </w:tr>
      <w:tr w:rsidR="00000000" w14:paraId="21BEF11D" w14:textId="77777777">
        <w:trPr>
          <w:tblCellSpacing w:w="0" w:type="dxa"/>
        </w:trPr>
        <w:tc>
          <w:tcPr>
            <w:tcW w:w="0" w:type="auto"/>
            <w:vAlign w:val="bottom"/>
            <w:hideMark/>
          </w:tcPr>
          <w:p w14:paraId="2A16BA1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4ED29D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6B0D1F"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AE34D4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D198A8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7E3DA6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B3F2D6F" w14:textId="77777777" w:rsidR="00000000" w:rsidRDefault="0053651E">
            <w:pPr>
              <w:rPr>
                <w:rFonts w:eastAsia="Times New Roman"/>
                <w:sz w:val="20"/>
                <w:szCs w:val="20"/>
              </w:rPr>
            </w:pPr>
            <w:r>
              <w:rPr>
                <w:rFonts w:eastAsia="Times New Roman"/>
                <w:sz w:val="20"/>
                <w:szCs w:val="20"/>
              </w:rPr>
              <w:t> </w:t>
            </w:r>
          </w:p>
        </w:tc>
      </w:tr>
      <w:tr w:rsidR="00000000" w14:paraId="0D00465B" w14:textId="77777777">
        <w:trPr>
          <w:tblCellSpacing w:w="0" w:type="dxa"/>
        </w:trPr>
        <w:tc>
          <w:tcPr>
            <w:tcW w:w="3100" w:type="pct"/>
            <w:shd w:val="clear" w:color="auto" w:fill="CCEEFF"/>
            <w:vAlign w:val="bottom"/>
            <w:hideMark/>
          </w:tcPr>
          <w:p w14:paraId="3534ADB1" w14:textId="77777777" w:rsidR="00000000" w:rsidRDefault="0053651E">
            <w:pPr>
              <w:pStyle w:val="a3"/>
              <w:spacing w:before="0" w:beforeAutospacing="0" w:after="0" w:afterAutospacing="0"/>
              <w:rPr>
                <w:sz w:val="20"/>
                <w:szCs w:val="20"/>
              </w:rPr>
            </w:pPr>
            <w:r>
              <w:rPr>
                <w:sz w:val="20"/>
                <w:szCs w:val="20"/>
              </w:rPr>
              <w:t>Land:</w:t>
            </w:r>
          </w:p>
        </w:tc>
        <w:tc>
          <w:tcPr>
            <w:tcW w:w="0" w:type="auto"/>
            <w:shd w:val="clear" w:color="auto" w:fill="CCEEFF"/>
            <w:vAlign w:val="bottom"/>
            <w:hideMark/>
          </w:tcPr>
          <w:p w14:paraId="40F836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3F11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E089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DA0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5F2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6942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F16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C4784" w14:textId="77777777" w:rsidR="00000000" w:rsidRDefault="0053651E">
            <w:pPr>
              <w:rPr>
                <w:rFonts w:eastAsia="Times New Roman"/>
                <w:sz w:val="20"/>
                <w:szCs w:val="20"/>
              </w:rPr>
            </w:pPr>
            <w:r>
              <w:rPr>
                <w:rFonts w:eastAsia="Times New Roman"/>
                <w:sz w:val="20"/>
                <w:szCs w:val="20"/>
              </w:rPr>
              <w:t> </w:t>
            </w:r>
          </w:p>
        </w:tc>
      </w:tr>
      <w:tr w:rsidR="00000000" w14:paraId="4A062806" w14:textId="77777777">
        <w:trPr>
          <w:tblCellSpacing w:w="0" w:type="dxa"/>
        </w:trPr>
        <w:tc>
          <w:tcPr>
            <w:tcW w:w="0" w:type="auto"/>
            <w:shd w:val="clear" w:color="auto" w:fill="FFFFFF"/>
            <w:vAlign w:val="bottom"/>
            <w:hideMark/>
          </w:tcPr>
          <w:p w14:paraId="5E97DBC3" w14:textId="77777777" w:rsidR="00000000" w:rsidRDefault="0053651E">
            <w:pPr>
              <w:pStyle w:val="a3"/>
              <w:spacing w:before="0" w:beforeAutospacing="0" w:after="0" w:afterAutospacing="0"/>
              <w:ind w:left="428"/>
              <w:rPr>
                <w:sz w:val="20"/>
                <w:szCs w:val="20"/>
              </w:rPr>
            </w:pPr>
            <w:r>
              <w:rPr>
                <w:sz w:val="20"/>
                <w:szCs w:val="20"/>
              </w:rPr>
              <w:t>Developed land</w:t>
            </w:r>
          </w:p>
        </w:tc>
        <w:tc>
          <w:tcPr>
            <w:tcW w:w="50" w:type="pct"/>
            <w:shd w:val="clear" w:color="auto" w:fill="FFFFFF"/>
            <w:vAlign w:val="bottom"/>
            <w:hideMark/>
          </w:tcPr>
          <w:p w14:paraId="02D6A5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923B8B"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28033923" w14:textId="77777777" w:rsidR="00000000" w:rsidRDefault="0053651E">
            <w:pPr>
              <w:jc w:val="right"/>
              <w:rPr>
                <w:rFonts w:eastAsia="Times New Roman"/>
                <w:sz w:val="20"/>
                <w:szCs w:val="20"/>
              </w:rPr>
            </w:pPr>
            <w:r>
              <w:rPr>
                <w:rFonts w:eastAsia="Times New Roman"/>
                <w:sz w:val="20"/>
                <w:szCs w:val="20"/>
              </w:rPr>
              <w:t>2,759,232</w:t>
            </w:r>
          </w:p>
        </w:tc>
        <w:tc>
          <w:tcPr>
            <w:tcW w:w="50" w:type="pct"/>
            <w:shd w:val="clear" w:color="auto" w:fill="FFFFFF"/>
            <w:vAlign w:val="bottom"/>
            <w:hideMark/>
          </w:tcPr>
          <w:p w14:paraId="1EB3C5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99E1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599FD5"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04557856" w14:textId="77777777" w:rsidR="00000000" w:rsidRDefault="0053651E">
            <w:pPr>
              <w:jc w:val="right"/>
              <w:rPr>
                <w:rFonts w:eastAsia="Times New Roman"/>
                <w:sz w:val="20"/>
                <w:szCs w:val="20"/>
              </w:rPr>
            </w:pPr>
            <w:r>
              <w:rPr>
                <w:rFonts w:eastAsia="Times New Roman"/>
                <w:sz w:val="20"/>
                <w:szCs w:val="20"/>
              </w:rPr>
              <w:t>2,783,959</w:t>
            </w:r>
          </w:p>
        </w:tc>
        <w:tc>
          <w:tcPr>
            <w:tcW w:w="50" w:type="pct"/>
            <w:shd w:val="clear" w:color="auto" w:fill="FFFFFF"/>
            <w:vAlign w:val="bottom"/>
            <w:hideMark/>
          </w:tcPr>
          <w:p w14:paraId="5DF6396E" w14:textId="77777777" w:rsidR="00000000" w:rsidRDefault="0053651E">
            <w:pPr>
              <w:rPr>
                <w:rFonts w:eastAsia="Times New Roman"/>
                <w:sz w:val="20"/>
                <w:szCs w:val="20"/>
              </w:rPr>
            </w:pPr>
            <w:r>
              <w:rPr>
                <w:rFonts w:eastAsia="Times New Roman"/>
                <w:sz w:val="20"/>
                <w:szCs w:val="20"/>
              </w:rPr>
              <w:t> </w:t>
            </w:r>
          </w:p>
        </w:tc>
      </w:tr>
      <w:tr w:rsidR="00000000" w14:paraId="187968A0" w14:textId="77777777">
        <w:trPr>
          <w:tblCellSpacing w:w="0" w:type="dxa"/>
        </w:trPr>
        <w:tc>
          <w:tcPr>
            <w:tcW w:w="0" w:type="auto"/>
            <w:shd w:val="clear" w:color="auto" w:fill="CCEEFF"/>
            <w:vAlign w:val="bottom"/>
            <w:hideMark/>
          </w:tcPr>
          <w:p w14:paraId="693A39B5" w14:textId="77777777" w:rsidR="00000000" w:rsidRDefault="0053651E">
            <w:pPr>
              <w:pStyle w:val="a3"/>
              <w:spacing w:before="0" w:beforeAutospacing="0" w:after="0" w:afterAutospacing="0"/>
              <w:ind w:left="428"/>
              <w:rPr>
                <w:sz w:val="20"/>
                <w:szCs w:val="20"/>
              </w:rPr>
            </w:pPr>
            <w:r>
              <w:rPr>
                <w:sz w:val="20"/>
                <w:szCs w:val="20"/>
              </w:rPr>
              <w:t>Undeveloped land</w:t>
            </w:r>
          </w:p>
        </w:tc>
        <w:tc>
          <w:tcPr>
            <w:tcW w:w="50" w:type="pct"/>
            <w:shd w:val="clear" w:color="auto" w:fill="CCEEFF"/>
            <w:vAlign w:val="bottom"/>
            <w:hideMark/>
          </w:tcPr>
          <w:p w14:paraId="79C4B23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9F4C8B0"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EC3B51F" w14:textId="77777777" w:rsidR="00000000" w:rsidRDefault="0053651E">
            <w:pPr>
              <w:jc w:val="right"/>
              <w:rPr>
                <w:rFonts w:eastAsia="Times New Roman"/>
                <w:sz w:val="20"/>
                <w:szCs w:val="20"/>
              </w:rPr>
            </w:pPr>
            <w:r>
              <w:rPr>
                <w:rFonts w:eastAsia="Times New Roman"/>
                <w:sz w:val="20"/>
                <w:szCs w:val="20"/>
              </w:rPr>
              <w:t>28,923</w:t>
            </w:r>
          </w:p>
        </w:tc>
        <w:tc>
          <w:tcPr>
            <w:tcW w:w="50" w:type="pct"/>
            <w:shd w:val="clear" w:color="auto" w:fill="CCEEFF"/>
            <w:tcMar>
              <w:top w:w="0" w:type="dxa"/>
              <w:left w:w="0" w:type="dxa"/>
              <w:bottom w:w="15" w:type="dxa"/>
              <w:right w:w="0" w:type="dxa"/>
            </w:tcMar>
            <w:vAlign w:val="bottom"/>
            <w:hideMark/>
          </w:tcPr>
          <w:p w14:paraId="05082E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DB364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5BE63A3"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54014B3E" w14:textId="77777777" w:rsidR="00000000" w:rsidRDefault="0053651E">
            <w:pPr>
              <w:jc w:val="right"/>
              <w:rPr>
                <w:rFonts w:eastAsia="Times New Roman"/>
                <w:sz w:val="20"/>
                <w:szCs w:val="20"/>
              </w:rPr>
            </w:pPr>
            <w:r>
              <w:rPr>
                <w:rFonts w:eastAsia="Times New Roman"/>
                <w:sz w:val="20"/>
                <w:szCs w:val="20"/>
              </w:rPr>
              <w:t>38,732</w:t>
            </w:r>
          </w:p>
        </w:tc>
        <w:tc>
          <w:tcPr>
            <w:tcW w:w="50" w:type="pct"/>
            <w:shd w:val="clear" w:color="auto" w:fill="CCEEFF"/>
            <w:tcMar>
              <w:top w:w="0" w:type="dxa"/>
              <w:left w:w="0" w:type="dxa"/>
              <w:bottom w:w="15" w:type="dxa"/>
              <w:right w:w="0" w:type="dxa"/>
            </w:tcMar>
            <w:vAlign w:val="bottom"/>
            <w:hideMark/>
          </w:tcPr>
          <w:p w14:paraId="50B059FF" w14:textId="77777777" w:rsidR="00000000" w:rsidRDefault="0053651E">
            <w:pPr>
              <w:rPr>
                <w:rFonts w:eastAsia="Times New Roman"/>
                <w:sz w:val="20"/>
                <w:szCs w:val="20"/>
              </w:rPr>
            </w:pPr>
            <w:r>
              <w:rPr>
                <w:rFonts w:eastAsia="Times New Roman"/>
                <w:sz w:val="20"/>
                <w:szCs w:val="20"/>
              </w:rPr>
              <w:t> </w:t>
            </w:r>
          </w:p>
        </w:tc>
      </w:tr>
      <w:tr w:rsidR="00000000" w14:paraId="09E9A257" w14:textId="77777777">
        <w:trPr>
          <w:tblCellSpacing w:w="0" w:type="dxa"/>
        </w:trPr>
        <w:tc>
          <w:tcPr>
            <w:tcW w:w="0" w:type="auto"/>
            <w:shd w:val="clear" w:color="auto" w:fill="FFFFFF"/>
            <w:vAlign w:val="bottom"/>
            <w:hideMark/>
          </w:tcPr>
          <w:p w14:paraId="04AF8590" w14:textId="77777777" w:rsidR="00000000" w:rsidRDefault="0053651E">
            <w:pPr>
              <w:pStyle w:val="a3"/>
              <w:spacing w:before="0" w:beforeAutospacing="0" w:after="0" w:afterAutospacing="0"/>
              <w:ind w:left="878"/>
              <w:rPr>
                <w:sz w:val="20"/>
                <w:szCs w:val="20"/>
              </w:rPr>
            </w:pPr>
            <w:r>
              <w:rPr>
                <w:sz w:val="20"/>
                <w:szCs w:val="20"/>
              </w:rPr>
              <w:t>Total land</w:t>
            </w:r>
          </w:p>
        </w:tc>
        <w:tc>
          <w:tcPr>
            <w:tcW w:w="50" w:type="pct"/>
            <w:tcBorders>
              <w:bottom w:val="nil"/>
            </w:tcBorders>
            <w:shd w:val="clear" w:color="auto" w:fill="FFFFFF"/>
            <w:vAlign w:val="bottom"/>
            <w:hideMark/>
          </w:tcPr>
          <w:p w14:paraId="5CA3AB1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DE6AF81"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65E792CC" w14:textId="77777777" w:rsidR="00000000" w:rsidRDefault="0053651E">
            <w:pPr>
              <w:jc w:val="right"/>
              <w:rPr>
                <w:rFonts w:eastAsia="Times New Roman"/>
                <w:sz w:val="20"/>
                <w:szCs w:val="20"/>
              </w:rPr>
            </w:pPr>
            <w:r>
              <w:rPr>
                <w:rFonts w:eastAsia="Times New Roman"/>
                <w:sz w:val="20"/>
                <w:szCs w:val="20"/>
              </w:rPr>
              <w:t>2,788,155</w:t>
            </w:r>
          </w:p>
        </w:tc>
        <w:tc>
          <w:tcPr>
            <w:tcW w:w="50" w:type="pct"/>
            <w:tcBorders>
              <w:bottom w:val="nil"/>
            </w:tcBorders>
            <w:shd w:val="clear" w:color="auto" w:fill="FFFFFF"/>
            <w:vAlign w:val="bottom"/>
            <w:hideMark/>
          </w:tcPr>
          <w:p w14:paraId="7FF7790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3EA97A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9C88542"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4CAD1988" w14:textId="77777777" w:rsidR="00000000" w:rsidRDefault="0053651E">
            <w:pPr>
              <w:jc w:val="right"/>
              <w:rPr>
                <w:rFonts w:eastAsia="Times New Roman"/>
                <w:sz w:val="20"/>
                <w:szCs w:val="20"/>
              </w:rPr>
            </w:pPr>
            <w:r>
              <w:rPr>
                <w:rFonts w:eastAsia="Times New Roman"/>
                <w:sz w:val="20"/>
                <w:szCs w:val="20"/>
              </w:rPr>
              <w:t>2,822,691</w:t>
            </w:r>
          </w:p>
        </w:tc>
        <w:tc>
          <w:tcPr>
            <w:tcW w:w="50" w:type="pct"/>
            <w:tcBorders>
              <w:bottom w:val="nil"/>
            </w:tcBorders>
            <w:shd w:val="clear" w:color="auto" w:fill="FFFFFF"/>
            <w:vAlign w:val="bottom"/>
            <w:hideMark/>
          </w:tcPr>
          <w:p w14:paraId="27B9471B" w14:textId="77777777" w:rsidR="00000000" w:rsidRDefault="0053651E">
            <w:pPr>
              <w:rPr>
                <w:rFonts w:eastAsia="Times New Roman"/>
                <w:sz w:val="20"/>
                <w:szCs w:val="20"/>
              </w:rPr>
            </w:pPr>
            <w:r>
              <w:rPr>
                <w:rFonts w:eastAsia="Times New Roman"/>
                <w:sz w:val="20"/>
                <w:szCs w:val="20"/>
              </w:rPr>
              <w:t> </w:t>
            </w:r>
          </w:p>
        </w:tc>
      </w:tr>
      <w:tr w:rsidR="00000000" w14:paraId="0D6AE8C1" w14:textId="77777777">
        <w:trPr>
          <w:tblCellSpacing w:w="0" w:type="dxa"/>
        </w:trPr>
        <w:tc>
          <w:tcPr>
            <w:tcW w:w="0" w:type="auto"/>
            <w:shd w:val="clear" w:color="auto" w:fill="CCEEFF"/>
            <w:vAlign w:val="bottom"/>
            <w:hideMark/>
          </w:tcPr>
          <w:p w14:paraId="63059AAD" w14:textId="77777777" w:rsidR="00000000" w:rsidRDefault="0053651E">
            <w:pPr>
              <w:pStyle w:val="a3"/>
              <w:spacing w:before="0" w:beforeAutospacing="0" w:after="0" w:afterAutospacing="0"/>
              <w:rPr>
                <w:sz w:val="20"/>
                <w:szCs w:val="20"/>
              </w:rPr>
            </w:pPr>
            <w:r>
              <w:rPr>
                <w:sz w:val="20"/>
                <w:szCs w:val="20"/>
              </w:rPr>
              <w:t>Buildings and improvements:</w:t>
            </w:r>
          </w:p>
        </w:tc>
        <w:tc>
          <w:tcPr>
            <w:tcW w:w="0" w:type="auto"/>
            <w:shd w:val="clear" w:color="auto" w:fill="CCEEFF"/>
            <w:vAlign w:val="bottom"/>
            <w:hideMark/>
          </w:tcPr>
          <w:p w14:paraId="690BCC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188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FA0B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F67B8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EECAF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CE0B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579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096EE" w14:textId="77777777" w:rsidR="00000000" w:rsidRDefault="0053651E">
            <w:pPr>
              <w:rPr>
                <w:rFonts w:eastAsia="Times New Roman"/>
                <w:sz w:val="20"/>
                <w:szCs w:val="20"/>
              </w:rPr>
            </w:pPr>
            <w:r>
              <w:rPr>
                <w:rFonts w:eastAsia="Times New Roman"/>
                <w:sz w:val="20"/>
                <w:szCs w:val="20"/>
              </w:rPr>
              <w:t> </w:t>
            </w:r>
          </w:p>
        </w:tc>
      </w:tr>
      <w:tr w:rsidR="00000000" w14:paraId="28AC7B91" w14:textId="77777777">
        <w:trPr>
          <w:tblCellSpacing w:w="0" w:type="dxa"/>
        </w:trPr>
        <w:tc>
          <w:tcPr>
            <w:tcW w:w="0" w:type="auto"/>
            <w:shd w:val="clear" w:color="auto" w:fill="FFFFFF"/>
            <w:vAlign w:val="bottom"/>
            <w:hideMark/>
          </w:tcPr>
          <w:p w14:paraId="596FE1BE" w14:textId="77777777" w:rsidR="00000000" w:rsidRDefault="0053651E">
            <w:pPr>
              <w:pStyle w:val="a3"/>
              <w:spacing w:before="0" w:beforeAutospacing="0" w:after="0" w:afterAutospacing="0"/>
              <w:ind w:left="428"/>
              <w:rPr>
                <w:sz w:val="20"/>
                <w:szCs w:val="20"/>
              </w:rPr>
            </w:pPr>
            <w:r>
              <w:rPr>
                <w:sz w:val="20"/>
                <w:szCs w:val="20"/>
              </w:rPr>
              <w:t>Buildings</w:t>
            </w:r>
          </w:p>
        </w:tc>
        <w:tc>
          <w:tcPr>
            <w:tcW w:w="50" w:type="pct"/>
            <w:shd w:val="clear" w:color="auto" w:fill="FFFFFF"/>
            <w:vAlign w:val="bottom"/>
            <w:hideMark/>
          </w:tcPr>
          <w:p w14:paraId="343427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E099F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67F49BB" w14:textId="77777777" w:rsidR="00000000" w:rsidRDefault="0053651E">
            <w:pPr>
              <w:jc w:val="right"/>
              <w:rPr>
                <w:rFonts w:eastAsia="Times New Roman"/>
                <w:sz w:val="20"/>
                <w:szCs w:val="20"/>
              </w:rPr>
            </w:pPr>
            <w:r>
              <w:rPr>
                <w:rFonts w:eastAsia="Times New Roman"/>
                <w:sz w:val="20"/>
                <w:szCs w:val="20"/>
              </w:rPr>
              <w:t>5,661,306</w:t>
            </w:r>
          </w:p>
        </w:tc>
        <w:tc>
          <w:tcPr>
            <w:tcW w:w="50" w:type="pct"/>
            <w:shd w:val="clear" w:color="auto" w:fill="FFFFFF"/>
            <w:vAlign w:val="bottom"/>
            <w:hideMark/>
          </w:tcPr>
          <w:p w14:paraId="0C3C83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81DD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0EA9D0"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2957FAE" w14:textId="77777777" w:rsidR="00000000" w:rsidRDefault="0053651E">
            <w:pPr>
              <w:jc w:val="right"/>
              <w:rPr>
                <w:rFonts w:eastAsia="Times New Roman"/>
                <w:sz w:val="20"/>
                <w:szCs w:val="20"/>
              </w:rPr>
            </w:pPr>
            <w:r>
              <w:rPr>
                <w:rFonts w:eastAsia="Times New Roman"/>
                <w:sz w:val="20"/>
                <w:szCs w:val="20"/>
              </w:rPr>
              <w:t>5,697,269</w:t>
            </w:r>
          </w:p>
        </w:tc>
        <w:tc>
          <w:tcPr>
            <w:tcW w:w="50" w:type="pct"/>
            <w:shd w:val="clear" w:color="auto" w:fill="FFFFFF"/>
            <w:vAlign w:val="bottom"/>
            <w:hideMark/>
          </w:tcPr>
          <w:p w14:paraId="7C501E6F" w14:textId="77777777" w:rsidR="00000000" w:rsidRDefault="0053651E">
            <w:pPr>
              <w:rPr>
                <w:rFonts w:eastAsia="Times New Roman"/>
                <w:sz w:val="20"/>
                <w:szCs w:val="20"/>
              </w:rPr>
            </w:pPr>
            <w:r>
              <w:rPr>
                <w:rFonts w:eastAsia="Times New Roman"/>
                <w:sz w:val="20"/>
                <w:szCs w:val="20"/>
              </w:rPr>
              <w:t> </w:t>
            </w:r>
          </w:p>
        </w:tc>
      </w:tr>
      <w:tr w:rsidR="00000000" w14:paraId="424B3BF1" w14:textId="77777777">
        <w:trPr>
          <w:tblCellSpacing w:w="0" w:type="dxa"/>
        </w:trPr>
        <w:tc>
          <w:tcPr>
            <w:tcW w:w="0" w:type="auto"/>
            <w:shd w:val="clear" w:color="auto" w:fill="CCEEFF"/>
            <w:vAlign w:val="bottom"/>
            <w:hideMark/>
          </w:tcPr>
          <w:p w14:paraId="7C0D2B3C" w14:textId="77777777" w:rsidR="00000000" w:rsidRDefault="0053651E">
            <w:pPr>
              <w:pStyle w:val="a3"/>
              <w:spacing w:before="0" w:beforeAutospacing="0" w:after="0" w:afterAutospacing="0"/>
              <w:ind w:left="428"/>
              <w:rPr>
                <w:sz w:val="20"/>
                <w:szCs w:val="20"/>
              </w:rPr>
            </w:pPr>
            <w:r>
              <w:rPr>
                <w:sz w:val="20"/>
                <w:szCs w:val="20"/>
              </w:rPr>
              <w:t>Building improvements</w:t>
            </w:r>
          </w:p>
        </w:tc>
        <w:tc>
          <w:tcPr>
            <w:tcW w:w="50" w:type="pct"/>
            <w:shd w:val="clear" w:color="auto" w:fill="CCEEFF"/>
            <w:vAlign w:val="bottom"/>
            <w:hideMark/>
          </w:tcPr>
          <w:p w14:paraId="20409A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74FF1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86AEB39" w14:textId="77777777" w:rsidR="00000000" w:rsidRDefault="0053651E">
            <w:pPr>
              <w:jc w:val="right"/>
              <w:rPr>
                <w:rFonts w:eastAsia="Times New Roman"/>
                <w:sz w:val="20"/>
                <w:szCs w:val="20"/>
              </w:rPr>
            </w:pPr>
            <w:r>
              <w:rPr>
                <w:rFonts w:eastAsia="Times New Roman"/>
                <w:sz w:val="20"/>
                <w:szCs w:val="20"/>
              </w:rPr>
              <w:t>1,840,580</w:t>
            </w:r>
          </w:p>
        </w:tc>
        <w:tc>
          <w:tcPr>
            <w:tcW w:w="50" w:type="pct"/>
            <w:shd w:val="clear" w:color="auto" w:fill="CCEEFF"/>
            <w:vAlign w:val="bottom"/>
            <w:hideMark/>
          </w:tcPr>
          <w:p w14:paraId="48CEC9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1C58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8C5CD5"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5D21DF7" w14:textId="77777777" w:rsidR="00000000" w:rsidRDefault="0053651E">
            <w:pPr>
              <w:jc w:val="right"/>
              <w:rPr>
                <w:rFonts w:eastAsia="Times New Roman"/>
                <w:sz w:val="20"/>
                <w:szCs w:val="20"/>
              </w:rPr>
            </w:pPr>
            <w:r>
              <w:rPr>
                <w:rFonts w:eastAsia="Times New Roman"/>
                <w:sz w:val="20"/>
                <w:szCs w:val="20"/>
              </w:rPr>
              <w:t>1,696,440</w:t>
            </w:r>
          </w:p>
        </w:tc>
        <w:tc>
          <w:tcPr>
            <w:tcW w:w="50" w:type="pct"/>
            <w:shd w:val="clear" w:color="auto" w:fill="CCEEFF"/>
            <w:vAlign w:val="bottom"/>
            <w:hideMark/>
          </w:tcPr>
          <w:p w14:paraId="38D44441" w14:textId="77777777" w:rsidR="00000000" w:rsidRDefault="0053651E">
            <w:pPr>
              <w:rPr>
                <w:rFonts w:eastAsia="Times New Roman"/>
                <w:sz w:val="20"/>
                <w:szCs w:val="20"/>
              </w:rPr>
            </w:pPr>
            <w:r>
              <w:rPr>
                <w:rFonts w:eastAsia="Times New Roman"/>
                <w:sz w:val="20"/>
                <w:szCs w:val="20"/>
              </w:rPr>
              <w:t> </w:t>
            </w:r>
          </w:p>
        </w:tc>
      </w:tr>
      <w:tr w:rsidR="00000000" w14:paraId="7AC5CB08" w14:textId="77777777">
        <w:trPr>
          <w:tblCellSpacing w:w="0" w:type="dxa"/>
        </w:trPr>
        <w:tc>
          <w:tcPr>
            <w:tcW w:w="0" w:type="auto"/>
            <w:shd w:val="clear" w:color="auto" w:fill="FFFFFF"/>
            <w:vAlign w:val="bottom"/>
            <w:hideMark/>
          </w:tcPr>
          <w:p w14:paraId="5B476D95" w14:textId="77777777" w:rsidR="00000000" w:rsidRDefault="0053651E">
            <w:pPr>
              <w:pStyle w:val="a3"/>
              <w:spacing w:before="0" w:beforeAutospacing="0" w:after="0" w:afterAutospacing="0"/>
              <w:ind w:left="428"/>
              <w:rPr>
                <w:sz w:val="20"/>
                <w:szCs w:val="20"/>
              </w:rPr>
            </w:pPr>
            <w:r>
              <w:rPr>
                <w:sz w:val="20"/>
                <w:szCs w:val="20"/>
              </w:rPr>
              <w:t>Tenant improvements</w:t>
            </w:r>
          </w:p>
        </w:tc>
        <w:tc>
          <w:tcPr>
            <w:tcW w:w="50" w:type="pct"/>
            <w:shd w:val="clear" w:color="auto" w:fill="FFFFFF"/>
            <w:vAlign w:val="bottom"/>
            <w:hideMark/>
          </w:tcPr>
          <w:p w14:paraId="5E43CF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7F7AE4"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79A6F05" w14:textId="77777777" w:rsidR="00000000" w:rsidRDefault="0053651E">
            <w:pPr>
              <w:jc w:val="right"/>
              <w:rPr>
                <w:rFonts w:eastAsia="Times New Roman"/>
                <w:sz w:val="20"/>
                <w:szCs w:val="20"/>
              </w:rPr>
            </w:pPr>
            <w:r>
              <w:rPr>
                <w:rFonts w:eastAsia="Times New Roman"/>
                <w:sz w:val="20"/>
                <w:szCs w:val="20"/>
              </w:rPr>
              <w:t>771,498</w:t>
            </w:r>
          </w:p>
        </w:tc>
        <w:tc>
          <w:tcPr>
            <w:tcW w:w="50" w:type="pct"/>
            <w:shd w:val="clear" w:color="auto" w:fill="FFFFFF"/>
            <w:vAlign w:val="bottom"/>
            <w:hideMark/>
          </w:tcPr>
          <w:p w14:paraId="3AA1E5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F846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B956D7"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B45484D" w14:textId="77777777" w:rsidR="00000000" w:rsidRDefault="0053651E">
            <w:pPr>
              <w:jc w:val="right"/>
              <w:rPr>
                <w:rFonts w:eastAsia="Times New Roman"/>
                <w:sz w:val="20"/>
                <w:szCs w:val="20"/>
              </w:rPr>
            </w:pPr>
            <w:r>
              <w:rPr>
                <w:rFonts w:eastAsia="Times New Roman"/>
                <w:sz w:val="20"/>
                <w:szCs w:val="20"/>
              </w:rPr>
              <w:t>730,623</w:t>
            </w:r>
          </w:p>
        </w:tc>
        <w:tc>
          <w:tcPr>
            <w:tcW w:w="50" w:type="pct"/>
            <w:shd w:val="clear" w:color="auto" w:fill="FFFFFF"/>
            <w:vAlign w:val="bottom"/>
            <w:hideMark/>
          </w:tcPr>
          <w:p w14:paraId="6BF395C6" w14:textId="77777777" w:rsidR="00000000" w:rsidRDefault="0053651E">
            <w:pPr>
              <w:rPr>
                <w:rFonts w:eastAsia="Times New Roman"/>
                <w:sz w:val="20"/>
                <w:szCs w:val="20"/>
              </w:rPr>
            </w:pPr>
            <w:r>
              <w:rPr>
                <w:rFonts w:eastAsia="Times New Roman"/>
                <w:sz w:val="20"/>
                <w:szCs w:val="20"/>
              </w:rPr>
              <w:t> </w:t>
            </w:r>
          </w:p>
        </w:tc>
      </w:tr>
      <w:tr w:rsidR="00000000" w14:paraId="44AA4554" w14:textId="77777777">
        <w:trPr>
          <w:tblCellSpacing w:w="0" w:type="dxa"/>
        </w:trPr>
        <w:tc>
          <w:tcPr>
            <w:tcW w:w="0" w:type="auto"/>
            <w:shd w:val="clear" w:color="auto" w:fill="CCEEFF"/>
            <w:vAlign w:val="bottom"/>
            <w:hideMark/>
          </w:tcPr>
          <w:p w14:paraId="110AE6B9" w14:textId="77777777" w:rsidR="00000000" w:rsidRDefault="0053651E">
            <w:pPr>
              <w:pStyle w:val="a3"/>
              <w:spacing w:before="0" w:beforeAutospacing="0" w:after="0" w:afterAutospacing="0"/>
              <w:ind w:left="428"/>
              <w:rPr>
                <w:sz w:val="20"/>
                <w:szCs w:val="20"/>
              </w:rPr>
            </w:pPr>
            <w:r>
              <w:rPr>
                <w:sz w:val="20"/>
                <w:szCs w:val="20"/>
              </w:rPr>
              <w:t>Fixtures and leasehold improvements</w:t>
            </w:r>
          </w:p>
        </w:tc>
        <w:tc>
          <w:tcPr>
            <w:tcW w:w="50" w:type="pct"/>
            <w:shd w:val="clear" w:color="auto" w:fill="CCEEFF"/>
            <w:vAlign w:val="bottom"/>
            <w:hideMark/>
          </w:tcPr>
          <w:p w14:paraId="6A42019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43515A"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E94A138" w14:textId="77777777" w:rsidR="00000000" w:rsidRDefault="0053651E">
            <w:pPr>
              <w:jc w:val="right"/>
              <w:rPr>
                <w:rFonts w:eastAsia="Times New Roman"/>
                <w:sz w:val="20"/>
                <w:szCs w:val="20"/>
              </w:rPr>
            </w:pPr>
            <w:r>
              <w:rPr>
                <w:rFonts w:eastAsia="Times New Roman"/>
                <w:sz w:val="20"/>
                <w:szCs w:val="20"/>
              </w:rPr>
              <w:t>31,563</w:t>
            </w:r>
          </w:p>
        </w:tc>
        <w:tc>
          <w:tcPr>
            <w:tcW w:w="50" w:type="pct"/>
            <w:shd w:val="clear" w:color="auto" w:fill="CCEEFF"/>
            <w:vAlign w:val="bottom"/>
            <w:hideMark/>
          </w:tcPr>
          <w:p w14:paraId="76F9AB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3BD2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F4D4AC"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38F8F92" w14:textId="77777777" w:rsidR="00000000" w:rsidRDefault="0053651E">
            <w:pPr>
              <w:jc w:val="right"/>
              <w:rPr>
                <w:rFonts w:eastAsia="Times New Roman"/>
                <w:sz w:val="20"/>
                <w:szCs w:val="20"/>
              </w:rPr>
            </w:pPr>
            <w:r>
              <w:rPr>
                <w:rFonts w:eastAsia="Times New Roman"/>
                <w:sz w:val="20"/>
                <w:szCs w:val="20"/>
              </w:rPr>
              <w:t>42,635</w:t>
            </w:r>
          </w:p>
        </w:tc>
        <w:tc>
          <w:tcPr>
            <w:tcW w:w="50" w:type="pct"/>
            <w:shd w:val="clear" w:color="auto" w:fill="CCEEFF"/>
            <w:vAlign w:val="bottom"/>
            <w:hideMark/>
          </w:tcPr>
          <w:p w14:paraId="258399A6" w14:textId="77777777" w:rsidR="00000000" w:rsidRDefault="0053651E">
            <w:pPr>
              <w:rPr>
                <w:rFonts w:eastAsia="Times New Roman"/>
                <w:sz w:val="20"/>
                <w:szCs w:val="20"/>
              </w:rPr>
            </w:pPr>
            <w:r>
              <w:rPr>
                <w:rFonts w:eastAsia="Times New Roman"/>
                <w:sz w:val="20"/>
                <w:szCs w:val="20"/>
              </w:rPr>
              <w:t> </w:t>
            </w:r>
          </w:p>
        </w:tc>
      </w:tr>
      <w:tr w:rsidR="00000000" w14:paraId="04319A7E" w14:textId="77777777">
        <w:trPr>
          <w:tblCellSpacing w:w="0" w:type="dxa"/>
        </w:trPr>
        <w:tc>
          <w:tcPr>
            <w:tcW w:w="0" w:type="auto"/>
            <w:shd w:val="clear" w:color="auto" w:fill="FFFFFF"/>
            <w:vAlign w:val="bottom"/>
            <w:hideMark/>
          </w:tcPr>
          <w:p w14:paraId="5332810E" w14:textId="77777777" w:rsidR="00000000" w:rsidRDefault="0053651E">
            <w:pPr>
              <w:pStyle w:val="a3"/>
              <w:spacing w:before="0" w:beforeAutospacing="0" w:after="0" w:afterAutospacing="0"/>
              <w:ind w:left="428"/>
              <w:rPr>
                <w:sz w:val="20"/>
                <w:szCs w:val="20"/>
              </w:rPr>
            </w:pPr>
            <w:r>
              <w:rPr>
                <w:sz w:val="20"/>
                <w:szCs w:val="20"/>
              </w:rPr>
              <w:t>Above-market leases</w:t>
            </w:r>
          </w:p>
        </w:tc>
        <w:tc>
          <w:tcPr>
            <w:tcW w:w="50" w:type="pct"/>
            <w:shd w:val="clear" w:color="auto" w:fill="FFFFFF"/>
            <w:vAlign w:val="bottom"/>
            <w:hideMark/>
          </w:tcPr>
          <w:p w14:paraId="538DD2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C7A4C4"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0089991" w14:textId="77777777" w:rsidR="00000000" w:rsidRDefault="0053651E">
            <w:pPr>
              <w:jc w:val="right"/>
              <w:rPr>
                <w:rFonts w:eastAsia="Times New Roman"/>
                <w:sz w:val="20"/>
                <w:szCs w:val="20"/>
              </w:rPr>
            </w:pPr>
            <w:r>
              <w:rPr>
                <w:rFonts w:eastAsia="Times New Roman"/>
                <w:sz w:val="20"/>
                <w:szCs w:val="20"/>
              </w:rPr>
              <w:t>128,854</w:t>
            </w:r>
          </w:p>
        </w:tc>
        <w:tc>
          <w:tcPr>
            <w:tcW w:w="50" w:type="pct"/>
            <w:shd w:val="clear" w:color="auto" w:fill="FFFFFF"/>
            <w:vAlign w:val="bottom"/>
            <w:hideMark/>
          </w:tcPr>
          <w:p w14:paraId="24F829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5D95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4211D0"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5B2279D" w14:textId="77777777" w:rsidR="00000000" w:rsidRDefault="0053651E">
            <w:pPr>
              <w:jc w:val="right"/>
              <w:rPr>
                <w:rFonts w:eastAsia="Times New Roman"/>
                <w:sz w:val="20"/>
                <w:szCs w:val="20"/>
              </w:rPr>
            </w:pPr>
            <w:r>
              <w:rPr>
                <w:rFonts w:eastAsia="Times New Roman"/>
                <w:sz w:val="20"/>
                <w:szCs w:val="20"/>
              </w:rPr>
              <w:t>133,913</w:t>
            </w:r>
          </w:p>
        </w:tc>
        <w:tc>
          <w:tcPr>
            <w:tcW w:w="50" w:type="pct"/>
            <w:shd w:val="clear" w:color="auto" w:fill="FFFFFF"/>
            <w:vAlign w:val="bottom"/>
            <w:hideMark/>
          </w:tcPr>
          <w:p w14:paraId="6EA67DB6" w14:textId="77777777" w:rsidR="00000000" w:rsidRDefault="0053651E">
            <w:pPr>
              <w:rPr>
                <w:rFonts w:eastAsia="Times New Roman"/>
                <w:sz w:val="20"/>
                <w:szCs w:val="20"/>
              </w:rPr>
            </w:pPr>
            <w:r>
              <w:rPr>
                <w:rFonts w:eastAsia="Times New Roman"/>
                <w:sz w:val="20"/>
                <w:szCs w:val="20"/>
              </w:rPr>
              <w:t> </w:t>
            </w:r>
          </w:p>
        </w:tc>
      </w:tr>
      <w:tr w:rsidR="00000000" w14:paraId="38F99B31" w14:textId="77777777">
        <w:trPr>
          <w:tblCellSpacing w:w="0" w:type="dxa"/>
        </w:trPr>
        <w:tc>
          <w:tcPr>
            <w:tcW w:w="0" w:type="auto"/>
            <w:shd w:val="clear" w:color="auto" w:fill="CCEEFF"/>
            <w:vAlign w:val="bottom"/>
            <w:hideMark/>
          </w:tcPr>
          <w:p w14:paraId="7E00927C" w14:textId="77777777" w:rsidR="00000000" w:rsidRDefault="0053651E">
            <w:pPr>
              <w:pStyle w:val="a3"/>
              <w:spacing w:before="0" w:beforeAutospacing="0" w:after="0" w:afterAutospacing="0"/>
              <w:ind w:left="428"/>
              <w:rPr>
                <w:sz w:val="20"/>
                <w:szCs w:val="20"/>
              </w:rPr>
            </w:pPr>
            <w:r>
              <w:rPr>
                <w:sz w:val="20"/>
                <w:szCs w:val="20"/>
              </w:rPr>
              <w:t>In-place leases and tenant relationships</w:t>
            </w:r>
          </w:p>
        </w:tc>
        <w:tc>
          <w:tcPr>
            <w:tcW w:w="50" w:type="pct"/>
            <w:shd w:val="clear" w:color="auto" w:fill="CCEEFF"/>
            <w:vAlign w:val="bottom"/>
            <w:hideMark/>
          </w:tcPr>
          <w:p w14:paraId="7700A08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1B09B9"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E50DE58" w14:textId="77777777" w:rsidR="00000000" w:rsidRDefault="0053651E">
            <w:pPr>
              <w:jc w:val="right"/>
              <w:rPr>
                <w:rFonts w:eastAsia="Times New Roman"/>
                <w:sz w:val="20"/>
                <w:szCs w:val="20"/>
              </w:rPr>
            </w:pPr>
            <w:r>
              <w:rPr>
                <w:rFonts w:eastAsia="Times New Roman"/>
                <w:sz w:val="20"/>
                <w:szCs w:val="20"/>
              </w:rPr>
              <w:t>487,150</w:t>
            </w:r>
          </w:p>
        </w:tc>
        <w:tc>
          <w:tcPr>
            <w:tcW w:w="50" w:type="pct"/>
            <w:shd w:val="clear" w:color="auto" w:fill="CCEEFF"/>
            <w:tcMar>
              <w:top w:w="0" w:type="dxa"/>
              <w:left w:w="0" w:type="dxa"/>
              <w:bottom w:w="15" w:type="dxa"/>
              <w:right w:w="0" w:type="dxa"/>
            </w:tcMar>
            <w:vAlign w:val="bottom"/>
            <w:hideMark/>
          </w:tcPr>
          <w:p w14:paraId="1F6E8B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0A8F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BBF8EC2"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ED47FC5" w14:textId="77777777" w:rsidR="00000000" w:rsidRDefault="0053651E">
            <w:pPr>
              <w:jc w:val="right"/>
              <w:rPr>
                <w:rFonts w:eastAsia="Times New Roman"/>
                <w:sz w:val="20"/>
                <w:szCs w:val="20"/>
              </w:rPr>
            </w:pPr>
            <w:r>
              <w:rPr>
                <w:rFonts w:eastAsia="Times New Roman"/>
                <w:sz w:val="20"/>
                <w:szCs w:val="20"/>
              </w:rPr>
              <w:t>512,235</w:t>
            </w:r>
          </w:p>
        </w:tc>
        <w:tc>
          <w:tcPr>
            <w:tcW w:w="50" w:type="pct"/>
            <w:shd w:val="clear" w:color="auto" w:fill="CCEEFF"/>
            <w:tcMar>
              <w:top w:w="0" w:type="dxa"/>
              <w:left w:w="0" w:type="dxa"/>
              <w:bottom w:w="15" w:type="dxa"/>
              <w:right w:w="0" w:type="dxa"/>
            </w:tcMar>
            <w:vAlign w:val="bottom"/>
            <w:hideMark/>
          </w:tcPr>
          <w:p w14:paraId="7936737E" w14:textId="77777777" w:rsidR="00000000" w:rsidRDefault="0053651E">
            <w:pPr>
              <w:rPr>
                <w:rFonts w:eastAsia="Times New Roman"/>
                <w:sz w:val="20"/>
                <w:szCs w:val="20"/>
              </w:rPr>
            </w:pPr>
            <w:r>
              <w:rPr>
                <w:rFonts w:eastAsia="Times New Roman"/>
                <w:sz w:val="20"/>
                <w:szCs w:val="20"/>
              </w:rPr>
              <w:t> </w:t>
            </w:r>
          </w:p>
        </w:tc>
      </w:tr>
      <w:tr w:rsidR="00000000" w14:paraId="37D2BAB9" w14:textId="77777777">
        <w:trPr>
          <w:tblCellSpacing w:w="0" w:type="dxa"/>
        </w:trPr>
        <w:tc>
          <w:tcPr>
            <w:tcW w:w="0" w:type="auto"/>
            <w:shd w:val="clear" w:color="auto" w:fill="FFFFFF"/>
            <w:vAlign w:val="bottom"/>
            <w:hideMark/>
          </w:tcPr>
          <w:p w14:paraId="5AC3685D" w14:textId="77777777" w:rsidR="00000000" w:rsidRDefault="0053651E">
            <w:pPr>
              <w:pStyle w:val="a3"/>
              <w:spacing w:before="0" w:beforeAutospacing="0" w:after="0" w:afterAutospacing="0"/>
              <w:ind w:left="878"/>
              <w:rPr>
                <w:sz w:val="20"/>
                <w:szCs w:val="20"/>
              </w:rPr>
            </w:pPr>
            <w:r>
              <w:rPr>
                <w:sz w:val="20"/>
                <w:szCs w:val="20"/>
              </w:rPr>
              <w:t>Total buildings and improvements</w:t>
            </w:r>
          </w:p>
        </w:tc>
        <w:tc>
          <w:tcPr>
            <w:tcW w:w="50" w:type="pct"/>
            <w:shd w:val="clear" w:color="auto" w:fill="FFFFFF"/>
            <w:vAlign w:val="bottom"/>
            <w:hideMark/>
          </w:tcPr>
          <w:p w14:paraId="15878F2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C8B9D11"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3155D1B" w14:textId="77777777" w:rsidR="00000000" w:rsidRDefault="0053651E">
            <w:pPr>
              <w:jc w:val="right"/>
              <w:rPr>
                <w:rFonts w:eastAsia="Times New Roman"/>
                <w:sz w:val="20"/>
                <w:szCs w:val="20"/>
              </w:rPr>
            </w:pPr>
            <w:r>
              <w:rPr>
                <w:rFonts w:eastAsia="Times New Roman"/>
                <w:sz w:val="20"/>
                <w:szCs w:val="20"/>
              </w:rPr>
              <w:t>8,920,951</w:t>
            </w:r>
          </w:p>
        </w:tc>
        <w:tc>
          <w:tcPr>
            <w:tcW w:w="50" w:type="pct"/>
            <w:shd w:val="clear" w:color="auto" w:fill="FFFFFF"/>
            <w:tcMar>
              <w:top w:w="0" w:type="dxa"/>
              <w:left w:w="0" w:type="dxa"/>
              <w:bottom w:w="15" w:type="dxa"/>
              <w:right w:w="0" w:type="dxa"/>
            </w:tcMar>
            <w:vAlign w:val="bottom"/>
            <w:hideMark/>
          </w:tcPr>
          <w:p w14:paraId="45A1BD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DDCF2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60A638"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6D57BC6" w14:textId="77777777" w:rsidR="00000000" w:rsidRDefault="0053651E">
            <w:pPr>
              <w:jc w:val="right"/>
              <w:rPr>
                <w:rFonts w:eastAsia="Times New Roman"/>
                <w:sz w:val="20"/>
                <w:szCs w:val="20"/>
              </w:rPr>
            </w:pPr>
            <w:r>
              <w:rPr>
                <w:rFonts w:eastAsia="Times New Roman"/>
                <w:sz w:val="20"/>
                <w:szCs w:val="20"/>
              </w:rPr>
              <w:t>8,813,115</w:t>
            </w:r>
          </w:p>
        </w:tc>
        <w:tc>
          <w:tcPr>
            <w:tcW w:w="50" w:type="pct"/>
            <w:shd w:val="clear" w:color="auto" w:fill="FFFFFF"/>
            <w:tcMar>
              <w:top w:w="0" w:type="dxa"/>
              <w:left w:w="0" w:type="dxa"/>
              <w:bottom w:w="15" w:type="dxa"/>
              <w:right w:w="0" w:type="dxa"/>
            </w:tcMar>
            <w:vAlign w:val="bottom"/>
            <w:hideMark/>
          </w:tcPr>
          <w:p w14:paraId="36FA3512" w14:textId="77777777" w:rsidR="00000000" w:rsidRDefault="0053651E">
            <w:pPr>
              <w:rPr>
                <w:rFonts w:eastAsia="Times New Roman"/>
                <w:sz w:val="20"/>
                <w:szCs w:val="20"/>
              </w:rPr>
            </w:pPr>
            <w:r>
              <w:rPr>
                <w:rFonts w:eastAsia="Times New Roman"/>
                <w:sz w:val="20"/>
                <w:szCs w:val="20"/>
              </w:rPr>
              <w:t> </w:t>
            </w:r>
          </w:p>
        </w:tc>
      </w:tr>
      <w:tr w:rsidR="00000000" w14:paraId="02B30819" w14:textId="77777777">
        <w:trPr>
          <w:tblCellSpacing w:w="0" w:type="dxa"/>
        </w:trPr>
        <w:tc>
          <w:tcPr>
            <w:tcW w:w="0" w:type="auto"/>
            <w:shd w:val="clear" w:color="auto" w:fill="CCEEFF"/>
            <w:vAlign w:val="bottom"/>
            <w:hideMark/>
          </w:tcPr>
          <w:p w14:paraId="2A52141D" w14:textId="77777777" w:rsidR="00000000" w:rsidRDefault="0053651E">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29DA6C4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B780402"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63E8703" w14:textId="77777777" w:rsidR="00000000" w:rsidRDefault="0053651E">
            <w:pPr>
              <w:jc w:val="right"/>
              <w:rPr>
                <w:rFonts w:eastAsia="Times New Roman"/>
                <w:sz w:val="20"/>
                <w:szCs w:val="20"/>
              </w:rPr>
            </w:pPr>
            <w:r>
              <w:rPr>
                <w:rFonts w:eastAsia="Times New Roman"/>
                <w:sz w:val="20"/>
                <w:szCs w:val="20"/>
              </w:rPr>
              <w:t>11,709,106</w:t>
            </w:r>
          </w:p>
        </w:tc>
        <w:tc>
          <w:tcPr>
            <w:tcW w:w="50" w:type="pct"/>
            <w:shd w:val="clear" w:color="auto" w:fill="CCEEFF"/>
            <w:tcMar>
              <w:top w:w="0" w:type="dxa"/>
              <w:left w:w="0" w:type="dxa"/>
              <w:bottom w:w="15" w:type="dxa"/>
              <w:right w:w="0" w:type="dxa"/>
            </w:tcMar>
            <w:vAlign w:val="bottom"/>
            <w:hideMark/>
          </w:tcPr>
          <w:p w14:paraId="27CE40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7E004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2DCC383"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5A4542C4" w14:textId="77777777" w:rsidR="00000000" w:rsidRDefault="0053651E">
            <w:pPr>
              <w:jc w:val="right"/>
              <w:rPr>
                <w:rFonts w:eastAsia="Times New Roman"/>
                <w:sz w:val="20"/>
                <w:szCs w:val="20"/>
              </w:rPr>
            </w:pPr>
            <w:r>
              <w:rPr>
                <w:rFonts w:eastAsia="Times New Roman"/>
                <w:sz w:val="20"/>
                <w:szCs w:val="20"/>
              </w:rPr>
              <w:t>11,635,806</w:t>
            </w:r>
          </w:p>
        </w:tc>
        <w:tc>
          <w:tcPr>
            <w:tcW w:w="50" w:type="pct"/>
            <w:shd w:val="clear" w:color="auto" w:fill="CCEEFF"/>
            <w:tcMar>
              <w:top w:w="0" w:type="dxa"/>
              <w:left w:w="0" w:type="dxa"/>
              <w:bottom w:w="15" w:type="dxa"/>
              <w:right w:w="0" w:type="dxa"/>
            </w:tcMar>
            <w:vAlign w:val="bottom"/>
            <w:hideMark/>
          </w:tcPr>
          <w:p w14:paraId="2E1F52AA" w14:textId="77777777" w:rsidR="00000000" w:rsidRDefault="0053651E">
            <w:pPr>
              <w:rPr>
                <w:rFonts w:eastAsia="Times New Roman"/>
                <w:sz w:val="20"/>
                <w:szCs w:val="20"/>
              </w:rPr>
            </w:pPr>
            <w:r>
              <w:rPr>
                <w:rFonts w:eastAsia="Times New Roman"/>
                <w:sz w:val="20"/>
                <w:szCs w:val="20"/>
              </w:rPr>
              <w:t> </w:t>
            </w:r>
          </w:p>
        </w:tc>
      </w:tr>
      <w:tr w:rsidR="00000000" w14:paraId="0392906D" w14:textId="77777777">
        <w:trPr>
          <w:tblCellSpacing w:w="0" w:type="dxa"/>
        </w:trPr>
        <w:tc>
          <w:tcPr>
            <w:tcW w:w="0" w:type="auto"/>
            <w:shd w:val="clear" w:color="auto" w:fill="FFFFFF"/>
            <w:vAlign w:val="bottom"/>
            <w:hideMark/>
          </w:tcPr>
          <w:p w14:paraId="294A4D5F" w14:textId="77777777" w:rsidR="00000000" w:rsidRDefault="0053651E">
            <w:pPr>
              <w:pStyle w:val="a3"/>
              <w:spacing w:before="0" w:beforeAutospacing="0" w:after="0" w:afterAutospacing="0"/>
              <w:rPr>
                <w:sz w:val="20"/>
                <w:szCs w:val="20"/>
              </w:rPr>
            </w:pPr>
            <w:r>
              <w:rPr>
                <w:sz w:val="20"/>
                <w:szCs w:val="20"/>
              </w:rPr>
              <w:t>Accumulated depreciation and amortization (1)</w:t>
            </w:r>
          </w:p>
        </w:tc>
        <w:tc>
          <w:tcPr>
            <w:tcW w:w="50" w:type="pct"/>
            <w:shd w:val="clear" w:color="auto" w:fill="FFFFFF"/>
            <w:vAlign w:val="bottom"/>
            <w:hideMark/>
          </w:tcPr>
          <w:p w14:paraId="2287086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598466"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52390D01" w14:textId="77777777" w:rsidR="00000000" w:rsidRDefault="0053651E">
            <w:pPr>
              <w:jc w:val="right"/>
              <w:rPr>
                <w:rFonts w:eastAsia="Times New Roman"/>
                <w:sz w:val="20"/>
                <w:szCs w:val="20"/>
              </w:rPr>
            </w:pPr>
            <w:r>
              <w:rPr>
                <w:rFonts w:eastAsia="Times New Roman"/>
                <w:sz w:val="20"/>
                <w:szCs w:val="20"/>
              </w:rPr>
              <w:t>(2,500,053</w:t>
            </w:r>
          </w:p>
        </w:tc>
        <w:tc>
          <w:tcPr>
            <w:tcW w:w="50" w:type="pct"/>
            <w:shd w:val="clear" w:color="auto" w:fill="FFFFFF"/>
            <w:tcMar>
              <w:top w:w="0" w:type="dxa"/>
              <w:left w:w="0" w:type="dxa"/>
              <w:bottom w:w="15" w:type="dxa"/>
              <w:right w:w="0" w:type="dxa"/>
            </w:tcMar>
            <w:vAlign w:val="bottom"/>
            <w:hideMark/>
          </w:tcPr>
          <w:p w14:paraId="71B4B1E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C1AFE1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2933B61"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559F5D2" w14:textId="77777777" w:rsidR="00000000" w:rsidRDefault="0053651E">
            <w:pPr>
              <w:jc w:val="right"/>
              <w:rPr>
                <w:rFonts w:eastAsia="Times New Roman"/>
                <w:sz w:val="20"/>
                <w:szCs w:val="20"/>
              </w:rPr>
            </w:pPr>
            <w:r>
              <w:rPr>
                <w:rFonts w:eastAsia="Times New Roman"/>
                <w:sz w:val="20"/>
                <w:szCs w:val="20"/>
              </w:rPr>
              <w:t>(2,385,287</w:t>
            </w:r>
          </w:p>
        </w:tc>
        <w:tc>
          <w:tcPr>
            <w:tcW w:w="50" w:type="pct"/>
            <w:shd w:val="clear" w:color="auto" w:fill="FFFFFF"/>
            <w:tcMar>
              <w:top w:w="0" w:type="dxa"/>
              <w:left w:w="0" w:type="dxa"/>
              <w:bottom w:w="15" w:type="dxa"/>
              <w:right w:w="0" w:type="dxa"/>
            </w:tcMar>
            <w:vAlign w:val="bottom"/>
            <w:hideMark/>
          </w:tcPr>
          <w:p w14:paraId="37383D40" w14:textId="77777777" w:rsidR="00000000" w:rsidRDefault="0053651E">
            <w:pPr>
              <w:rPr>
                <w:rFonts w:eastAsia="Times New Roman"/>
                <w:sz w:val="20"/>
                <w:szCs w:val="20"/>
              </w:rPr>
            </w:pPr>
            <w:r>
              <w:rPr>
                <w:rFonts w:eastAsia="Times New Roman"/>
                <w:sz w:val="20"/>
                <w:szCs w:val="20"/>
              </w:rPr>
              <w:t>)</w:t>
            </w:r>
          </w:p>
        </w:tc>
      </w:tr>
      <w:tr w:rsidR="00000000" w14:paraId="1816E385" w14:textId="77777777">
        <w:trPr>
          <w:tblCellSpacing w:w="0" w:type="dxa"/>
        </w:trPr>
        <w:tc>
          <w:tcPr>
            <w:tcW w:w="0" w:type="auto"/>
            <w:shd w:val="clear" w:color="auto" w:fill="CCEEFF"/>
            <w:vAlign w:val="bottom"/>
            <w:hideMark/>
          </w:tcPr>
          <w:p w14:paraId="28BB66B6" w14:textId="77777777" w:rsidR="00000000" w:rsidRDefault="0053651E">
            <w:pPr>
              <w:pStyle w:val="a3"/>
              <w:spacing w:before="0" w:beforeAutospacing="0" w:after="0" w:afterAutospacing="0"/>
              <w:ind w:left="878"/>
              <w:rPr>
                <w:sz w:val="20"/>
                <w:szCs w:val="20"/>
              </w:rPr>
            </w:pPr>
            <w:r>
              <w:rPr>
                <w:sz w:val="20"/>
                <w:szCs w:val="20"/>
              </w:rPr>
              <w:t>Total real estate, net</w:t>
            </w:r>
          </w:p>
        </w:tc>
        <w:tc>
          <w:tcPr>
            <w:tcW w:w="50" w:type="pct"/>
            <w:shd w:val="clear" w:color="auto" w:fill="CCEEFF"/>
            <w:vAlign w:val="bottom"/>
            <w:hideMark/>
          </w:tcPr>
          <w:p w14:paraId="3860280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BECCBE4"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2656D5E0" w14:textId="77777777" w:rsidR="00000000" w:rsidRDefault="0053651E">
            <w:pPr>
              <w:jc w:val="right"/>
              <w:rPr>
                <w:rFonts w:eastAsia="Times New Roman"/>
                <w:sz w:val="20"/>
                <w:szCs w:val="20"/>
              </w:rPr>
            </w:pPr>
            <w:r>
              <w:rPr>
                <w:rFonts w:eastAsia="Times New Roman"/>
                <w:sz w:val="20"/>
                <w:szCs w:val="20"/>
              </w:rPr>
              <w:t>9,209,053</w:t>
            </w:r>
          </w:p>
        </w:tc>
        <w:tc>
          <w:tcPr>
            <w:tcW w:w="50" w:type="pct"/>
            <w:shd w:val="clear" w:color="auto" w:fill="CCEEFF"/>
            <w:tcMar>
              <w:top w:w="0" w:type="dxa"/>
              <w:left w:w="0" w:type="dxa"/>
              <w:bottom w:w="45" w:type="dxa"/>
              <w:right w:w="0" w:type="dxa"/>
            </w:tcMar>
            <w:vAlign w:val="bottom"/>
            <w:hideMark/>
          </w:tcPr>
          <w:p w14:paraId="6C57C9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D4F09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1DC736"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7370490B" w14:textId="77777777" w:rsidR="00000000" w:rsidRDefault="0053651E">
            <w:pPr>
              <w:jc w:val="right"/>
              <w:rPr>
                <w:rFonts w:eastAsia="Times New Roman"/>
                <w:sz w:val="20"/>
                <w:szCs w:val="20"/>
              </w:rPr>
            </w:pPr>
            <w:r>
              <w:rPr>
                <w:rFonts w:eastAsia="Times New Roman"/>
                <w:sz w:val="20"/>
                <w:szCs w:val="20"/>
              </w:rPr>
              <w:t>9,250,519</w:t>
            </w:r>
          </w:p>
        </w:tc>
        <w:tc>
          <w:tcPr>
            <w:tcW w:w="50" w:type="pct"/>
            <w:shd w:val="clear" w:color="auto" w:fill="CCEEFF"/>
            <w:tcMar>
              <w:top w:w="0" w:type="dxa"/>
              <w:left w:w="0" w:type="dxa"/>
              <w:bottom w:w="45" w:type="dxa"/>
              <w:right w:w="0" w:type="dxa"/>
            </w:tcMar>
            <w:vAlign w:val="bottom"/>
            <w:hideMark/>
          </w:tcPr>
          <w:p w14:paraId="35AF1073" w14:textId="77777777" w:rsidR="00000000" w:rsidRDefault="0053651E">
            <w:pPr>
              <w:rPr>
                <w:rFonts w:eastAsia="Times New Roman"/>
                <w:sz w:val="20"/>
                <w:szCs w:val="20"/>
              </w:rPr>
            </w:pPr>
            <w:r>
              <w:rPr>
                <w:rFonts w:eastAsia="Times New Roman"/>
                <w:sz w:val="20"/>
                <w:szCs w:val="20"/>
              </w:rPr>
              <w:t> </w:t>
            </w:r>
          </w:p>
        </w:tc>
      </w:tr>
    </w:tbl>
    <w:p w14:paraId="412333B1" w14:textId="77777777" w:rsidR="00000000" w:rsidRDefault="0053651E">
      <w:pPr>
        <w:pStyle w:val="a3"/>
        <w:spacing w:before="0" w:beforeAutospacing="0" w:after="0" w:afterAutospacing="0"/>
        <w:ind w:left="360"/>
        <w:rPr>
          <w:sz w:val="6"/>
          <w:szCs w:val="6"/>
        </w:rPr>
      </w:pPr>
      <w:r>
        <w:rPr>
          <w:sz w:val="6"/>
          <w:szCs w:val="6"/>
        </w:rPr>
        <w:t> </w:t>
      </w:r>
    </w:p>
    <w:p w14:paraId="7E82E6FD" w14:textId="77777777" w:rsidR="00000000" w:rsidRDefault="0053651E">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D73B038" w14:textId="77777777">
        <w:trPr>
          <w:tblCellSpacing w:w="0" w:type="dxa"/>
        </w:trPr>
        <w:tc>
          <w:tcPr>
            <w:tcW w:w="360" w:type="dxa"/>
            <w:vAlign w:val="center"/>
            <w:hideMark/>
          </w:tcPr>
          <w:p w14:paraId="7EE46201" w14:textId="77777777" w:rsidR="00000000" w:rsidRDefault="0053651E">
            <w:pPr>
              <w:rPr>
                <w:rFonts w:eastAsia="Times New Roman"/>
                <w:sz w:val="20"/>
                <w:szCs w:val="20"/>
              </w:rPr>
            </w:pPr>
            <w:r>
              <w:rPr>
                <w:rFonts w:eastAsia="Times New Roman"/>
                <w:sz w:val="20"/>
                <w:szCs w:val="20"/>
              </w:rPr>
              <w:t> </w:t>
            </w:r>
          </w:p>
        </w:tc>
        <w:tc>
          <w:tcPr>
            <w:tcW w:w="360" w:type="dxa"/>
            <w:hideMark/>
          </w:tcPr>
          <w:p w14:paraId="1A90C85C"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3F633EF9" w14:textId="77777777" w:rsidR="00000000" w:rsidRDefault="0053651E">
            <w:pPr>
              <w:pStyle w:val="a3"/>
              <w:spacing w:before="0" w:beforeAutospacing="0" w:after="0" w:afterAutospacing="0"/>
              <w:jc w:val="both"/>
              <w:rPr>
                <w:sz w:val="20"/>
                <w:szCs w:val="20"/>
              </w:rPr>
            </w:pPr>
            <w:r>
              <w:rPr>
                <w:sz w:val="20"/>
                <w:szCs w:val="20"/>
              </w:rPr>
              <w:t>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t>
            </w:r>
            <w:r>
              <w:rPr>
                <w:sz w:val="20"/>
                <w:szCs w:val="20"/>
              </w:rPr>
              <w:t>the Company had accumulated amortization relating to in-place leases, tenant relationships and above-market leases aggregating $485,040 and $466,576, respectively.</w:t>
            </w:r>
          </w:p>
        </w:tc>
      </w:tr>
    </w:tbl>
    <w:p w14:paraId="3A3C4569" w14:textId="77777777" w:rsidR="00000000" w:rsidRDefault="0053651E">
      <w:pPr>
        <w:pStyle w:val="a3"/>
        <w:spacing w:before="0" w:beforeAutospacing="0" w:after="0" w:afterAutospacing="0"/>
        <w:ind w:left="360"/>
        <w:rPr>
          <w:sz w:val="20"/>
          <w:szCs w:val="20"/>
        </w:rPr>
      </w:pPr>
      <w:r>
        <w:rPr>
          <w:sz w:val="20"/>
          <w:szCs w:val="20"/>
        </w:rPr>
        <w:t> </w:t>
      </w:r>
    </w:p>
    <w:p w14:paraId="353FAAA8" w14:textId="77777777" w:rsidR="00000000" w:rsidRDefault="0053651E">
      <w:pPr>
        <w:pStyle w:val="a3"/>
        <w:spacing w:before="0" w:beforeAutospacing="0" w:after="0" w:afterAutospacing="0"/>
        <w:ind w:left="360"/>
        <w:jc w:val="both"/>
        <w:rPr>
          <w:sz w:val="20"/>
          <w:szCs w:val="20"/>
        </w:rPr>
      </w:pPr>
      <w:r>
        <w:rPr>
          <w:sz w:val="20"/>
          <w:szCs w:val="20"/>
        </w:rPr>
        <w:t>In addition,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the Company had intangible liabilities relati</w:t>
      </w:r>
      <w:r>
        <w:rPr>
          <w:sz w:val="20"/>
          <w:szCs w:val="20"/>
        </w:rPr>
        <w:t xml:space="preserve">ng to below-market leases from property acquisitions of $259.3 million and $288.4 million, respectively, net of accumulated amortization of $207.0 million and $196.4 million, respectively. These amounts are included in the caption Other liabilities on the </w:t>
      </w:r>
      <w:r>
        <w:rPr>
          <w:sz w:val="20"/>
          <w:szCs w:val="20"/>
        </w:rPr>
        <w:t>Company’s Consolidated Balance Sheets.  </w:t>
      </w:r>
    </w:p>
    <w:p w14:paraId="6682BCE1" w14:textId="77777777" w:rsidR="00000000" w:rsidRDefault="0053651E">
      <w:pPr>
        <w:pStyle w:val="a3"/>
        <w:spacing w:before="0" w:beforeAutospacing="0" w:after="0" w:afterAutospacing="0"/>
        <w:ind w:left="360"/>
        <w:jc w:val="both"/>
        <w:rPr>
          <w:sz w:val="20"/>
          <w:szCs w:val="20"/>
        </w:rPr>
      </w:pPr>
      <w:r>
        <w:rPr>
          <w:sz w:val="20"/>
          <w:szCs w:val="20"/>
        </w:rPr>
        <w:t> </w:t>
      </w:r>
    </w:p>
    <w:p w14:paraId="4094F960" w14:textId="77777777" w:rsidR="00000000" w:rsidRDefault="0053651E">
      <w:pPr>
        <w:pStyle w:val="a3"/>
        <w:spacing w:before="0" w:beforeAutospacing="0" w:after="0" w:afterAutospacing="0"/>
        <w:ind w:left="360"/>
        <w:jc w:val="both"/>
        <w:rPr>
          <w:sz w:val="20"/>
          <w:szCs w:val="20"/>
        </w:rPr>
      </w:pPr>
      <w:r>
        <w:rPr>
          <w:sz w:val="20"/>
          <w:szCs w:val="20"/>
        </w:rPr>
        <w:t>The Company’s amortization associated with above-market and below-market leases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t>
      </w:r>
      <w:r>
        <w:rPr>
          <w:sz w:val="20"/>
          <w:szCs w:val="20"/>
        </w:rPr>
        <w:t>resulted in net increases to revenue of $20.0 million, $14.9 million and $15.5 million, respectively. The Company’s amortization expense associated with in-place leases and tenant relationships, which is included in depreciation and amortization, for the y</w:t>
      </w:r>
      <w:r>
        <w:rPr>
          <w:sz w:val="20"/>
          <w:szCs w:val="20"/>
        </w:rPr>
        <w:t>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was $33.1 million, $47.4 million and $62.7 million, respectively.</w:t>
      </w:r>
    </w:p>
    <w:p w14:paraId="2E2FB875" w14:textId="77777777" w:rsidR="00000000" w:rsidRDefault="0053651E">
      <w:pPr>
        <w:pStyle w:val="a3"/>
        <w:spacing w:before="0" w:beforeAutospacing="0" w:after="0" w:afterAutospacing="0"/>
        <w:ind w:left="360"/>
        <w:jc w:val="both"/>
        <w:rPr>
          <w:sz w:val="20"/>
          <w:szCs w:val="20"/>
        </w:rPr>
      </w:pPr>
      <w:r>
        <w:rPr>
          <w:sz w:val="20"/>
          <w:szCs w:val="20"/>
        </w:rPr>
        <w:t> </w:t>
      </w:r>
    </w:p>
    <w:p w14:paraId="77C43F83" w14:textId="77777777" w:rsidR="00000000" w:rsidRDefault="0053651E">
      <w:pPr>
        <w:pStyle w:val="a3"/>
        <w:spacing w:before="0" w:beforeAutospacing="0" w:after="0" w:afterAutospacing="0"/>
        <w:ind w:left="360"/>
        <w:jc w:val="both"/>
        <w:rPr>
          <w:sz w:val="20"/>
          <w:szCs w:val="20"/>
        </w:rPr>
      </w:pPr>
      <w:r>
        <w:rPr>
          <w:sz w:val="20"/>
          <w:szCs w:val="20"/>
        </w:rPr>
        <w:t>The estimated net amortization income/(expense) associated with the Company’s above-market and below-market leases, tenant relationships and in-</w:t>
      </w:r>
      <w:r>
        <w:rPr>
          <w:sz w:val="20"/>
          <w:szCs w:val="20"/>
        </w:rPr>
        <w:t>place leases for the next</w:t>
      </w:r>
      <w:r>
        <w:rPr>
          <w:sz w:val="20"/>
          <w:szCs w:val="20"/>
        </w:rPr>
        <w:t xml:space="preserve"> </w:t>
      </w:r>
      <w:r>
        <w:rPr>
          <w:rStyle w:val="a6"/>
          <w:i w:val="0"/>
          <w:iCs w:val="0"/>
          <w:sz w:val="20"/>
          <w:szCs w:val="20"/>
        </w:rPr>
        <w:t>five</w:t>
      </w:r>
      <w:r>
        <w:rPr>
          <w:sz w:val="20"/>
          <w:szCs w:val="20"/>
        </w:rPr>
        <w:t xml:space="preserve"> years are as follows (in millions):</w:t>
      </w:r>
    </w:p>
    <w:p w14:paraId="3EC56AB8"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0"/>
        <w:gridCol w:w="703"/>
        <w:gridCol w:w="72"/>
        <w:gridCol w:w="72"/>
        <w:gridCol w:w="100"/>
        <w:gridCol w:w="703"/>
        <w:gridCol w:w="72"/>
        <w:gridCol w:w="72"/>
        <w:gridCol w:w="100"/>
        <w:gridCol w:w="703"/>
        <w:gridCol w:w="73"/>
        <w:gridCol w:w="73"/>
        <w:gridCol w:w="100"/>
        <w:gridCol w:w="704"/>
        <w:gridCol w:w="73"/>
        <w:gridCol w:w="73"/>
        <w:gridCol w:w="100"/>
        <w:gridCol w:w="704"/>
        <w:gridCol w:w="73"/>
      </w:tblGrid>
      <w:tr w:rsidR="00000000" w14:paraId="5A812105" w14:textId="77777777">
        <w:trPr>
          <w:tblCellSpacing w:w="0" w:type="dxa"/>
        </w:trPr>
        <w:tc>
          <w:tcPr>
            <w:tcW w:w="2000" w:type="pct"/>
            <w:vAlign w:val="bottom"/>
            <w:hideMark/>
          </w:tcPr>
          <w:p w14:paraId="369BDE8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4B39D2F"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9A1CEE5" w14:textId="77777777" w:rsidR="00000000" w:rsidRDefault="0053651E">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5F8AF13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054DCDD"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2A9FD3B" w14:textId="77777777" w:rsidR="00000000" w:rsidRDefault="0053651E">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14:paraId="4E64661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CAE9B1C"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1818EEF" w14:textId="77777777" w:rsidR="00000000" w:rsidRDefault="0053651E">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14:paraId="72555A2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F6FDF75"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1DC7754" w14:textId="77777777" w:rsidR="00000000" w:rsidRDefault="0053651E">
            <w:pPr>
              <w:pStyle w:val="a3"/>
              <w:spacing w:before="0" w:beforeAutospacing="0" w:after="0" w:afterAutospacing="0"/>
              <w:jc w:val="center"/>
              <w:rPr>
                <w:sz w:val="20"/>
                <w:szCs w:val="20"/>
              </w:rPr>
            </w:pPr>
            <w:r>
              <w:rPr>
                <w:b/>
                <w:bCs/>
                <w:sz w:val="20"/>
                <w:szCs w:val="20"/>
              </w:rPr>
              <w:t>2023</w:t>
            </w:r>
          </w:p>
        </w:tc>
        <w:tc>
          <w:tcPr>
            <w:tcW w:w="50" w:type="pct"/>
            <w:tcMar>
              <w:top w:w="0" w:type="dxa"/>
              <w:left w:w="0" w:type="dxa"/>
              <w:bottom w:w="15" w:type="dxa"/>
              <w:right w:w="0" w:type="dxa"/>
            </w:tcMar>
            <w:vAlign w:val="bottom"/>
            <w:hideMark/>
          </w:tcPr>
          <w:p w14:paraId="51DA939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95D5CBA"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DBB26FC" w14:textId="77777777" w:rsidR="00000000" w:rsidRDefault="0053651E">
            <w:pPr>
              <w:pStyle w:val="a3"/>
              <w:spacing w:before="0" w:beforeAutospacing="0" w:after="0" w:afterAutospacing="0"/>
              <w:jc w:val="center"/>
              <w:rPr>
                <w:sz w:val="20"/>
                <w:szCs w:val="20"/>
              </w:rPr>
            </w:pPr>
            <w:r>
              <w:rPr>
                <w:b/>
                <w:bCs/>
                <w:sz w:val="20"/>
                <w:szCs w:val="20"/>
              </w:rPr>
              <w:t>2024</w:t>
            </w:r>
          </w:p>
        </w:tc>
        <w:tc>
          <w:tcPr>
            <w:tcW w:w="50" w:type="pct"/>
            <w:tcMar>
              <w:top w:w="0" w:type="dxa"/>
              <w:left w:w="0" w:type="dxa"/>
              <w:bottom w:w="15" w:type="dxa"/>
              <w:right w:w="0" w:type="dxa"/>
            </w:tcMar>
            <w:vAlign w:val="bottom"/>
            <w:hideMark/>
          </w:tcPr>
          <w:p w14:paraId="2FD35C1A" w14:textId="77777777" w:rsidR="00000000" w:rsidRDefault="0053651E">
            <w:pPr>
              <w:rPr>
                <w:rFonts w:eastAsia="Times New Roman"/>
                <w:sz w:val="20"/>
                <w:szCs w:val="20"/>
              </w:rPr>
            </w:pPr>
            <w:r>
              <w:rPr>
                <w:rFonts w:eastAsia="Times New Roman"/>
                <w:sz w:val="20"/>
                <w:szCs w:val="20"/>
              </w:rPr>
              <w:t> </w:t>
            </w:r>
          </w:p>
        </w:tc>
      </w:tr>
      <w:tr w:rsidR="00000000" w14:paraId="62A5B2EB" w14:textId="77777777">
        <w:trPr>
          <w:tblCellSpacing w:w="0" w:type="dxa"/>
        </w:trPr>
        <w:tc>
          <w:tcPr>
            <w:tcW w:w="2000" w:type="pct"/>
            <w:shd w:val="clear" w:color="auto" w:fill="CCEEFF"/>
            <w:vAlign w:val="bottom"/>
            <w:hideMark/>
          </w:tcPr>
          <w:p w14:paraId="26DC92E9" w14:textId="77777777" w:rsidR="00000000" w:rsidRDefault="0053651E">
            <w:pPr>
              <w:pStyle w:val="a3"/>
              <w:spacing w:before="0" w:beforeAutospacing="0" w:after="0" w:afterAutospacing="0"/>
              <w:rPr>
                <w:sz w:val="20"/>
                <w:szCs w:val="20"/>
              </w:rPr>
            </w:pPr>
            <w:r>
              <w:rPr>
                <w:sz w:val="20"/>
                <w:szCs w:val="20"/>
              </w:rPr>
              <w:t>Above-market and below-market leases amortization, net</w:t>
            </w:r>
          </w:p>
        </w:tc>
        <w:tc>
          <w:tcPr>
            <w:tcW w:w="50" w:type="pct"/>
            <w:tcBorders>
              <w:bottom w:val="nil"/>
            </w:tcBorders>
            <w:shd w:val="clear" w:color="auto" w:fill="CCEEFF"/>
            <w:vAlign w:val="bottom"/>
            <w:hideMark/>
          </w:tcPr>
          <w:p w14:paraId="76FCC32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9D8303F"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55BFC2D1" w14:textId="77777777" w:rsidR="00000000" w:rsidRDefault="0053651E">
            <w:pPr>
              <w:jc w:val="right"/>
              <w:rPr>
                <w:rFonts w:eastAsia="Times New Roman"/>
                <w:sz w:val="20"/>
                <w:szCs w:val="20"/>
              </w:rPr>
            </w:pPr>
            <w:r>
              <w:rPr>
                <w:rFonts w:eastAsia="Times New Roman"/>
                <w:sz w:val="20"/>
                <w:szCs w:val="20"/>
              </w:rPr>
              <w:t>12.7</w:t>
            </w:r>
          </w:p>
        </w:tc>
        <w:tc>
          <w:tcPr>
            <w:tcW w:w="50" w:type="pct"/>
            <w:tcBorders>
              <w:bottom w:val="nil"/>
            </w:tcBorders>
            <w:shd w:val="clear" w:color="auto" w:fill="CCEEFF"/>
            <w:vAlign w:val="bottom"/>
            <w:hideMark/>
          </w:tcPr>
          <w:p w14:paraId="38A1B54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EB4271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04D0722"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36177267" w14:textId="77777777" w:rsidR="00000000" w:rsidRDefault="0053651E">
            <w:pPr>
              <w:jc w:val="right"/>
              <w:rPr>
                <w:rFonts w:eastAsia="Times New Roman"/>
                <w:sz w:val="20"/>
                <w:szCs w:val="20"/>
              </w:rPr>
            </w:pPr>
            <w:r>
              <w:rPr>
                <w:rFonts w:eastAsia="Times New Roman"/>
                <w:sz w:val="20"/>
                <w:szCs w:val="20"/>
              </w:rPr>
              <w:t>12.5</w:t>
            </w:r>
          </w:p>
        </w:tc>
        <w:tc>
          <w:tcPr>
            <w:tcW w:w="50" w:type="pct"/>
            <w:tcBorders>
              <w:bottom w:val="nil"/>
            </w:tcBorders>
            <w:shd w:val="clear" w:color="auto" w:fill="CCEEFF"/>
            <w:vAlign w:val="bottom"/>
            <w:hideMark/>
          </w:tcPr>
          <w:p w14:paraId="3C8CA51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AA6751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EE6D85B"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59071591" w14:textId="77777777" w:rsidR="00000000" w:rsidRDefault="0053651E">
            <w:pPr>
              <w:jc w:val="right"/>
              <w:rPr>
                <w:rFonts w:eastAsia="Times New Roman"/>
                <w:sz w:val="20"/>
                <w:szCs w:val="20"/>
              </w:rPr>
            </w:pPr>
            <w:r>
              <w:rPr>
                <w:rFonts w:eastAsia="Times New Roman"/>
                <w:sz w:val="20"/>
                <w:szCs w:val="20"/>
              </w:rPr>
              <w:t>12.8</w:t>
            </w:r>
          </w:p>
        </w:tc>
        <w:tc>
          <w:tcPr>
            <w:tcW w:w="50" w:type="pct"/>
            <w:tcBorders>
              <w:bottom w:val="nil"/>
            </w:tcBorders>
            <w:shd w:val="clear" w:color="auto" w:fill="CCEEFF"/>
            <w:vAlign w:val="bottom"/>
            <w:hideMark/>
          </w:tcPr>
          <w:p w14:paraId="7FD334D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49EFBC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22E4C93"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053C753A" w14:textId="77777777" w:rsidR="00000000" w:rsidRDefault="0053651E">
            <w:pPr>
              <w:jc w:val="right"/>
              <w:rPr>
                <w:rFonts w:eastAsia="Times New Roman"/>
                <w:sz w:val="20"/>
                <w:szCs w:val="20"/>
              </w:rPr>
            </w:pPr>
            <w:r>
              <w:rPr>
                <w:rFonts w:eastAsia="Times New Roman"/>
                <w:sz w:val="20"/>
                <w:szCs w:val="20"/>
              </w:rPr>
              <w:t>11.8</w:t>
            </w:r>
          </w:p>
        </w:tc>
        <w:tc>
          <w:tcPr>
            <w:tcW w:w="50" w:type="pct"/>
            <w:tcBorders>
              <w:bottom w:val="nil"/>
            </w:tcBorders>
            <w:shd w:val="clear" w:color="auto" w:fill="CCEEFF"/>
            <w:vAlign w:val="bottom"/>
            <w:hideMark/>
          </w:tcPr>
          <w:p w14:paraId="7B69F30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A9D664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3689843" w14:textId="77777777" w:rsidR="00000000" w:rsidRDefault="0053651E">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0EA63B94" w14:textId="77777777" w:rsidR="00000000" w:rsidRDefault="0053651E">
            <w:pPr>
              <w:jc w:val="right"/>
              <w:rPr>
                <w:rFonts w:eastAsia="Times New Roman"/>
                <w:sz w:val="20"/>
                <w:szCs w:val="20"/>
              </w:rPr>
            </w:pPr>
            <w:r>
              <w:rPr>
                <w:rFonts w:eastAsia="Times New Roman"/>
                <w:sz w:val="20"/>
                <w:szCs w:val="20"/>
              </w:rPr>
              <w:t>11.4</w:t>
            </w:r>
          </w:p>
        </w:tc>
        <w:tc>
          <w:tcPr>
            <w:tcW w:w="50" w:type="pct"/>
            <w:tcBorders>
              <w:bottom w:val="nil"/>
            </w:tcBorders>
            <w:shd w:val="clear" w:color="auto" w:fill="CCEEFF"/>
            <w:vAlign w:val="bottom"/>
            <w:hideMark/>
          </w:tcPr>
          <w:p w14:paraId="1A484C59" w14:textId="77777777" w:rsidR="00000000" w:rsidRDefault="0053651E">
            <w:pPr>
              <w:rPr>
                <w:rFonts w:eastAsia="Times New Roman"/>
                <w:sz w:val="20"/>
                <w:szCs w:val="20"/>
              </w:rPr>
            </w:pPr>
            <w:r>
              <w:rPr>
                <w:rFonts w:eastAsia="Times New Roman"/>
                <w:sz w:val="20"/>
                <w:szCs w:val="20"/>
              </w:rPr>
              <w:t> </w:t>
            </w:r>
          </w:p>
        </w:tc>
      </w:tr>
      <w:tr w:rsidR="00000000" w14:paraId="7C540151" w14:textId="77777777">
        <w:trPr>
          <w:tblCellSpacing w:w="0" w:type="dxa"/>
        </w:trPr>
        <w:tc>
          <w:tcPr>
            <w:tcW w:w="2000" w:type="pct"/>
            <w:shd w:val="clear" w:color="auto" w:fill="FFFFFF"/>
            <w:vAlign w:val="bottom"/>
            <w:hideMark/>
          </w:tcPr>
          <w:p w14:paraId="09CDD13E" w14:textId="77777777" w:rsidR="00000000" w:rsidRDefault="0053651E">
            <w:pPr>
              <w:pStyle w:val="a3"/>
              <w:spacing w:before="0" w:beforeAutospacing="0" w:after="0" w:afterAutospacing="0"/>
              <w:rPr>
                <w:sz w:val="20"/>
                <w:szCs w:val="20"/>
              </w:rPr>
            </w:pPr>
            <w:r>
              <w:rPr>
                <w:sz w:val="20"/>
                <w:szCs w:val="20"/>
              </w:rPr>
              <w:t>In-place leases and tenant relationships amortization</w:t>
            </w:r>
          </w:p>
        </w:tc>
        <w:tc>
          <w:tcPr>
            <w:tcW w:w="50" w:type="pct"/>
            <w:shd w:val="clear" w:color="auto" w:fill="FFFFFF"/>
            <w:vAlign w:val="bottom"/>
            <w:hideMark/>
          </w:tcPr>
          <w:p w14:paraId="37E0F2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B042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09A2F44" w14:textId="77777777" w:rsidR="00000000" w:rsidRDefault="0053651E">
            <w:pPr>
              <w:jc w:val="right"/>
              <w:rPr>
                <w:rFonts w:eastAsia="Times New Roman"/>
                <w:sz w:val="20"/>
                <w:szCs w:val="20"/>
              </w:rPr>
            </w:pPr>
            <w:r>
              <w:rPr>
                <w:rFonts w:eastAsia="Times New Roman"/>
                <w:sz w:val="20"/>
                <w:szCs w:val="20"/>
              </w:rPr>
              <w:t>(30.8</w:t>
            </w:r>
          </w:p>
        </w:tc>
        <w:tc>
          <w:tcPr>
            <w:tcW w:w="50" w:type="pct"/>
            <w:shd w:val="clear" w:color="auto" w:fill="FFFFFF"/>
            <w:vAlign w:val="bottom"/>
            <w:hideMark/>
          </w:tcPr>
          <w:p w14:paraId="1614364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072C4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E8DDE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996CA3B" w14:textId="77777777" w:rsidR="00000000" w:rsidRDefault="0053651E">
            <w:pPr>
              <w:jc w:val="right"/>
              <w:rPr>
                <w:rFonts w:eastAsia="Times New Roman"/>
                <w:sz w:val="20"/>
                <w:szCs w:val="20"/>
              </w:rPr>
            </w:pPr>
            <w:r>
              <w:rPr>
                <w:rFonts w:eastAsia="Times New Roman"/>
                <w:sz w:val="20"/>
                <w:szCs w:val="20"/>
              </w:rPr>
              <w:t>(23.4</w:t>
            </w:r>
          </w:p>
        </w:tc>
        <w:tc>
          <w:tcPr>
            <w:tcW w:w="50" w:type="pct"/>
            <w:shd w:val="clear" w:color="auto" w:fill="FFFFFF"/>
            <w:vAlign w:val="bottom"/>
            <w:hideMark/>
          </w:tcPr>
          <w:p w14:paraId="48D8FA1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6FF61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4E619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00207D7" w14:textId="77777777" w:rsidR="00000000" w:rsidRDefault="0053651E">
            <w:pPr>
              <w:jc w:val="right"/>
              <w:rPr>
                <w:rFonts w:eastAsia="Times New Roman"/>
                <w:sz w:val="20"/>
                <w:szCs w:val="20"/>
              </w:rPr>
            </w:pPr>
            <w:r>
              <w:rPr>
                <w:rFonts w:eastAsia="Times New Roman"/>
                <w:sz w:val="20"/>
                <w:szCs w:val="20"/>
              </w:rPr>
              <w:t>(18.0</w:t>
            </w:r>
          </w:p>
        </w:tc>
        <w:tc>
          <w:tcPr>
            <w:tcW w:w="50" w:type="pct"/>
            <w:shd w:val="clear" w:color="auto" w:fill="FFFFFF"/>
            <w:vAlign w:val="bottom"/>
            <w:hideMark/>
          </w:tcPr>
          <w:p w14:paraId="58F388D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1D664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D0962F"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51E65FD" w14:textId="77777777" w:rsidR="00000000" w:rsidRDefault="0053651E">
            <w:pPr>
              <w:jc w:val="right"/>
              <w:rPr>
                <w:rFonts w:eastAsia="Times New Roman"/>
                <w:sz w:val="20"/>
                <w:szCs w:val="20"/>
              </w:rPr>
            </w:pPr>
            <w:r>
              <w:rPr>
                <w:rFonts w:eastAsia="Times New Roman"/>
                <w:sz w:val="20"/>
                <w:szCs w:val="20"/>
              </w:rPr>
              <w:t>(13.7</w:t>
            </w:r>
          </w:p>
        </w:tc>
        <w:tc>
          <w:tcPr>
            <w:tcW w:w="50" w:type="pct"/>
            <w:shd w:val="clear" w:color="auto" w:fill="FFFFFF"/>
            <w:vAlign w:val="bottom"/>
            <w:hideMark/>
          </w:tcPr>
          <w:p w14:paraId="1A3B576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193EE1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22D27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9F1B3F0" w14:textId="77777777" w:rsidR="00000000" w:rsidRDefault="0053651E">
            <w:pPr>
              <w:jc w:val="right"/>
              <w:rPr>
                <w:rFonts w:eastAsia="Times New Roman"/>
                <w:sz w:val="20"/>
                <w:szCs w:val="20"/>
              </w:rPr>
            </w:pPr>
            <w:r>
              <w:rPr>
                <w:rFonts w:eastAsia="Times New Roman"/>
                <w:sz w:val="20"/>
                <w:szCs w:val="20"/>
              </w:rPr>
              <w:t>(10.3</w:t>
            </w:r>
          </w:p>
        </w:tc>
        <w:tc>
          <w:tcPr>
            <w:tcW w:w="50" w:type="pct"/>
            <w:shd w:val="clear" w:color="auto" w:fill="FFFFFF"/>
            <w:vAlign w:val="bottom"/>
            <w:hideMark/>
          </w:tcPr>
          <w:p w14:paraId="4890F6AC" w14:textId="77777777" w:rsidR="00000000" w:rsidRDefault="0053651E">
            <w:pPr>
              <w:rPr>
                <w:rFonts w:eastAsia="Times New Roman"/>
                <w:sz w:val="20"/>
                <w:szCs w:val="20"/>
              </w:rPr>
            </w:pPr>
            <w:r>
              <w:rPr>
                <w:rFonts w:eastAsia="Times New Roman"/>
                <w:sz w:val="20"/>
                <w:szCs w:val="20"/>
              </w:rPr>
              <w:t>)</w:t>
            </w:r>
          </w:p>
        </w:tc>
      </w:tr>
    </w:tbl>
    <w:p w14:paraId="3DC382A7" w14:textId="77777777" w:rsidR="00000000" w:rsidRDefault="0053651E">
      <w:pPr>
        <w:pStyle w:val="a3"/>
        <w:spacing w:before="0" w:beforeAutospacing="0" w:after="0" w:afterAutospacing="0"/>
        <w:ind w:left="360"/>
        <w:jc w:val="both"/>
        <w:rPr>
          <w:sz w:val="20"/>
          <w:szCs w:val="20"/>
        </w:rPr>
      </w:pPr>
      <w:r>
        <w:rPr>
          <w:sz w:val="20"/>
          <w:szCs w:val="20"/>
        </w:rPr>
        <w:t> </w:t>
      </w:r>
    </w:p>
    <w:p w14:paraId="10780ED2" w14:textId="77777777" w:rsidR="00000000" w:rsidRDefault="0053651E">
      <w:pPr>
        <w:jc w:val="center"/>
        <w:divId w:val="1813018134"/>
        <w:rPr>
          <w:rFonts w:eastAsia="Times New Roman"/>
          <w:sz w:val="20"/>
          <w:szCs w:val="20"/>
        </w:rPr>
      </w:pPr>
      <w:r>
        <w:rPr>
          <w:rStyle w:val="a6"/>
          <w:rFonts w:eastAsia="Times New Roman"/>
          <w:i w:val="0"/>
          <w:iCs w:val="0"/>
          <w:sz w:val="20"/>
          <w:szCs w:val="20"/>
        </w:rPr>
        <w:t>61</w:t>
      </w:r>
      <w:r>
        <w:rPr>
          <w:rFonts w:eastAsia="Times New Roman"/>
          <w:sz w:val="20"/>
          <w:szCs w:val="20"/>
        </w:rPr>
        <w:t xml:space="preserve"> </w:t>
      </w:r>
    </w:p>
    <w:p w14:paraId="68DD5312" w14:textId="77777777" w:rsidR="00000000" w:rsidRDefault="0053651E">
      <w:pPr>
        <w:divId w:val="1813018134"/>
        <w:rPr>
          <w:rFonts w:eastAsia="Times New Roman"/>
          <w:sz w:val="20"/>
          <w:szCs w:val="20"/>
        </w:rPr>
      </w:pPr>
      <w:r>
        <w:rPr>
          <w:rFonts w:eastAsia="Times New Roman"/>
          <w:sz w:val="20"/>
          <w:szCs w:val="20"/>
        </w:rPr>
        <w:pict w14:anchorId="0BA21A46">
          <v:rect id="_x0000_i1092" style="width:415.3pt;height:1.5pt" o:hralign="center" o:hrstd="t" o:hrnoshade="t" o:hr="t" fillcolor="black" stroked="f"/>
        </w:pict>
      </w:r>
    </w:p>
    <w:p w14:paraId="0DC8D001" w14:textId="77777777" w:rsidR="00000000" w:rsidRDefault="0053651E">
      <w:pPr>
        <w:divId w:val="18130181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BE07081" w14:textId="77777777" w:rsidR="00000000" w:rsidRDefault="0053651E">
      <w:pPr>
        <w:pStyle w:val="a3"/>
        <w:spacing w:before="0" w:beforeAutospacing="0" w:after="0" w:afterAutospacing="0"/>
        <w:rPr>
          <w:sz w:val="20"/>
          <w:szCs w:val="20"/>
        </w:rPr>
      </w:pPr>
      <w:r>
        <w:rPr>
          <w:sz w:val="20"/>
          <w:szCs w:val="20"/>
        </w:rPr>
        <w:t> </w:t>
      </w:r>
    </w:p>
    <w:p w14:paraId="1C490345"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80F3207" w14:textId="77777777" w:rsidR="00000000" w:rsidRDefault="0053651E">
      <w:pPr>
        <w:pStyle w:val="a3"/>
        <w:spacing w:before="0" w:beforeAutospacing="0" w:after="0" w:afterAutospacing="0"/>
        <w:jc w:val="center"/>
        <w:rPr>
          <w:sz w:val="20"/>
          <w:szCs w:val="20"/>
        </w:rPr>
      </w:pPr>
      <w:r>
        <w:rPr>
          <w:sz w:val="20"/>
          <w:szCs w:val="20"/>
        </w:rPr>
        <w:t> </w:t>
      </w:r>
    </w:p>
    <w:p w14:paraId="39FF06B8"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07B181F6" w14:textId="77777777" w:rsidR="00000000" w:rsidRDefault="0053651E">
      <w:pPr>
        <w:pStyle w:val="a3"/>
        <w:spacing w:before="0" w:beforeAutospacing="0" w:after="0" w:afterAutospacing="0"/>
        <w:rPr>
          <w:sz w:val="20"/>
          <w:szCs w:val="20"/>
        </w:rPr>
      </w:pPr>
      <w:r>
        <w:rPr>
          <w:sz w:val="20"/>
          <w:szCs w:val="20"/>
        </w:rPr>
        <w:t> </w:t>
      </w:r>
    </w:p>
    <w:p w14:paraId="3FD367ED" w14:textId="77777777" w:rsidR="00000000" w:rsidRDefault="0053651E">
      <w:pPr>
        <w:divId w:val="1748723594"/>
        <w:rPr>
          <w:rFonts w:eastAsia="Times New Roman"/>
          <w:sz w:val="20"/>
          <w:szCs w:val="20"/>
        </w:rPr>
      </w:pPr>
      <w:r>
        <w:rPr>
          <w:rFonts w:eastAsia="Times New Roman"/>
          <w:sz w:val="20"/>
          <w:szCs w:val="20"/>
        </w:rPr>
        <w:t xml:space="preserve">  </w:t>
      </w:r>
    </w:p>
    <w:p w14:paraId="2C46B35C" w14:textId="77777777" w:rsidR="00000000" w:rsidRDefault="0053651E">
      <w:pPr>
        <w:pStyle w:val="a3"/>
        <w:spacing w:before="0" w:beforeAutospacing="0" w:after="0" w:afterAutospacing="0"/>
        <w:rPr>
          <w:sz w:val="20"/>
          <w:szCs w:val="20"/>
        </w:rPr>
      </w:pPr>
      <w:r>
        <w:rPr>
          <w:rStyle w:val="a6"/>
          <w:i w:val="0"/>
          <w:iCs w:val="0"/>
          <w:sz w:val="20"/>
          <w:szCs w:val="20"/>
        </w:rPr>
        <w:t>3.</w:t>
      </w:r>
      <w:r>
        <w:rPr>
          <w:sz w:val="20"/>
          <w:szCs w:val="20"/>
        </w:rPr>
        <w:t>    </w:t>
      </w:r>
      <w:r>
        <w:rPr>
          <w:sz w:val="20"/>
          <w:szCs w:val="20"/>
          <w:u w:val="single"/>
        </w:rPr>
        <w:t>Property Acquisitions:</w:t>
      </w:r>
    </w:p>
    <w:p w14:paraId="2F5B961B" w14:textId="77777777" w:rsidR="00000000" w:rsidRDefault="0053651E">
      <w:pPr>
        <w:pStyle w:val="a3"/>
        <w:spacing w:before="0" w:beforeAutospacing="0" w:after="0" w:afterAutospacing="0"/>
        <w:ind w:left="360"/>
        <w:rPr>
          <w:sz w:val="20"/>
          <w:szCs w:val="20"/>
        </w:rPr>
      </w:pPr>
      <w:r>
        <w:rPr>
          <w:sz w:val="20"/>
          <w:szCs w:val="20"/>
        </w:rPr>
        <w:t> </w:t>
      </w:r>
    </w:p>
    <w:p w14:paraId="679A60CC" w14:textId="77777777" w:rsidR="00000000" w:rsidRDefault="0053651E">
      <w:pPr>
        <w:pStyle w:val="a3"/>
        <w:spacing w:before="0" w:beforeAutospacing="0" w:after="0" w:afterAutospacing="0"/>
        <w:ind w:left="360"/>
        <w:rPr>
          <w:sz w:val="20"/>
          <w:szCs w:val="20"/>
        </w:rPr>
      </w:pPr>
      <w:r>
        <w:rPr>
          <w:i/>
          <w:iCs/>
          <w:sz w:val="20"/>
          <w:szCs w:val="20"/>
        </w:rPr>
        <w:t>Acquisition/Consolidation of Operating Properties</w:t>
      </w:r>
    </w:p>
    <w:p w14:paraId="28806DE5" w14:textId="77777777" w:rsidR="00000000" w:rsidRDefault="0053651E">
      <w:pPr>
        <w:pStyle w:val="a3"/>
        <w:spacing w:before="0" w:beforeAutospacing="0" w:after="0" w:afterAutospacing="0"/>
        <w:ind w:left="360"/>
        <w:rPr>
          <w:sz w:val="20"/>
          <w:szCs w:val="20"/>
        </w:rPr>
      </w:pPr>
      <w:r>
        <w:rPr>
          <w:sz w:val="20"/>
          <w:szCs w:val="20"/>
        </w:rPr>
        <w:t> </w:t>
      </w:r>
    </w:p>
    <w:p w14:paraId="6204A05D" w14:textId="77777777" w:rsidR="00000000" w:rsidRDefault="0053651E">
      <w:pPr>
        <w:pStyle w:val="a3"/>
        <w:spacing w:before="0" w:beforeAutospacing="0" w:after="0" w:afterAutospacing="0"/>
        <w:ind w:left="36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2019, </w:t>
      </w:r>
      <w:r>
        <w:rPr>
          <w:sz w:val="20"/>
          <w:szCs w:val="20"/>
        </w:rPr>
        <w:t>the Company acquired the following operating properties, in separate tran</w:t>
      </w:r>
      <w:r>
        <w:rPr>
          <w:sz w:val="20"/>
          <w:szCs w:val="20"/>
        </w:rPr>
        <w:t>sactions, through direct asset purchases or consolidation due to change in control resulting from the purchase of additional interests of a joint venture investment  (in thousands):</w:t>
      </w:r>
    </w:p>
    <w:p w14:paraId="6688F623"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56"/>
        <w:gridCol w:w="1612"/>
        <w:gridCol w:w="1123"/>
        <w:gridCol w:w="50"/>
        <w:gridCol w:w="100"/>
        <w:gridCol w:w="550"/>
        <w:gridCol w:w="50"/>
        <w:gridCol w:w="200"/>
        <w:gridCol w:w="617"/>
        <w:gridCol w:w="50"/>
        <w:gridCol w:w="50"/>
        <w:gridCol w:w="251"/>
        <w:gridCol w:w="1279"/>
        <w:gridCol w:w="50"/>
        <w:gridCol w:w="200"/>
        <w:gridCol w:w="550"/>
        <w:gridCol w:w="50"/>
        <w:gridCol w:w="634"/>
      </w:tblGrid>
      <w:tr w:rsidR="00000000" w14:paraId="2AF27698" w14:textId="77777777">
        <w:trPr>
          <w:gridAfter w:val="1"/>
          <w:divId w:val="543834524"/>
          <w:wAfter w:w="830" w:type="dxa"/>
          <w:tblCellSpacing w:w="0" w:type="dxa"/>
        </w:trPr>
        <w:tc>
          <w:tcPr>
            <w:tcW w:w="1000" w:type="pct"/>
            <w:vAlign w:val="center"/>
            <w:hideMark/>
          </w:tcPr>
          <w:p w14:paraId="2F577B33" w14:textId="77777777" w:rsidR="00000000" w:rsidRDefault="0053651E">
            <w:pPr>
              <w:pStyle w:val="a3"/>
              <w:spacing w:before="0" w:beforeAutospacing="0" w:after="0" w:afterAutospacing="0"/>
              <w:ind w:left="360" w:hanging="180"/>
              <w:jc w:val="center"/>
              <w:rPr>
                <w:sz w:val="20"/>
                <w:szCs w:val="20"/>
              </w:rPr>
            </w:pPr>
            <w:r>
              <w:rPr>
                <w:sz w:val="20"/>
                <w:szCs w:val="20"/>
              </w:rPr>
              <w:t> </w:t>
            </w:r>
          </w:p>
        </w:tc>
        <w:tc>
          <w:tcPr>
            <w:tcW w:w="700" w:type="pct"/>
            <w:vAlign w:val="center"/>
            <w:hideMark/>
          </w:tcPr>
          <w:p w14:paraId="4A1E2F3D" w14:textId="77777777" w:rsidR="00000000" w:rsidRDefault="0053651E">
            <w:pPr>
              <w:pStyle w:val="a3"/>
              <w:spacing w:before="0" w:beforeAutospacing="0" w:after="0" w:afterAutospacing="0"/>
              <w:jc w:val="center"/>
              <w:rPr>
                <w:sz w:val="20"/>
                <w:szCs w:val="20"/>
              </w:rPr>
            </w:pPr>
            <w:r>
              <w:rPr>
                <w:b/>
                <w:bCs/>
                <w:sz w:val="20"/>
                <w:szCs w:val="20"/>
              </w:rPr>
              <w:t>Month</w:t>
            </w:r>
          </w:p>
        </w:tc>
        <w:tc>
          <w:tcPr>
            <w:tcW w:w="500" w:type="pct"/>
            <w:vAlign w:val="center"/>
            <w:hideMark/>
          </w:tcPr>
          <w:p w14:paraId="03071D97"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4306E8F2" w14:textId="77777777" w:rsidR="00000000" w:rsidRDefault="0053651E">
            <w:pPr>
              <w:rPr>
                <w:rFonts w:eastAsia="Times New Roman"/>
                <w:sz w:val="20"/>
                <w:szCs w:val="20"/>
              </w:rPr>
            </w:pPr>
            <w:r>
              <w:rPr>
                <w:rFonts w:eastAsia="Times New Roman"/>
                <w:sz w:val="20"/>
                <w:szCs w:val="20"/>
              </w:rPr>
              <w:t> </w:t>
            </w:r>
          </w:p>
        </w:tc>
        <w:tc>
          <w:tcPr>
            <w:tcW w:w="1600" w:type="pct"/>
            <w:gridSpan w:val="11"/>
            <w:tcBorders>
              <w:bottom w:val="single" w:sz="6" w:space="0" w:color="000000"/>
            </w:tcBorders>
            <w:vAlign w:val="bottom"/>
            <w:hideMark/>
          </w:tcPr>
          <w:p w14:paraId="7B236381" w14:textId="77777777" w:rsidR="00000000" w:rsidRDefault="0053651E">
            <w:pPr>
              <w:jc w:val="center"/>
              <w:rPr>
                <w:rFonts w:eastAsia="Times New Roman"/>
                <w:sz w:val="20"/>
                <w:szCs w:val="20"/>
              </w:rPr>
            </w:pPr>
            <w:r>
              <w:rPr>
                <w:rFonts w:eastAsia="Times New Roman"/>
                <w:b/>
                <w:bCs/>
                <w:sz w:val="20"/>
                <w:szCs w:val="20"/>
              </w:rPr>
              <w:t>Purchase Price</w:t>
            </w:r>
          </w:p>
        </w:tc>
        <w:tc>
          <w:tcPr>
            <w:tcW w:w="500" w:type="pct"/>
            <w:vAlign w:val="bottom"/>
            <w:hideMark/>
          </w:tcPr>
          <w:p w14:paraId="17AD49A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DEFFE0F" w14:textId="77777777" w:rsidR="00000000" w:rsidRDefault="0053651E">
            <w:pPr>
              <w:rPr>
                <w:rFonts w:eastAsia="Times New Roman"/>
                <w:sz w:val="20"/>
                <w:szCs w:val="20"/>
              </w:rPr>
            </w:pPr>
            <w:r>
              <w:rPr>
                <w:rFonts w:eastAsia="Times New Roman"/>
                <w:sz w:val="20"/>
                <w:szCs w:val="20"/>
              </w:rPr>
              <w:t> </w:t>
            </w:r>
          </w:p>
        </w:tc>
      </w:tr>
      <w:tr w:rsidR="00000000" w14:paraId="613940F1" w14:textId="77777777">
        <w:trPr>
          <w:divId w:val="543834524"/>
          <w:tblCellSpacing w:w="0" w:type="dxa"/>
        </w:trPr>
        <w:tc>
          <w:tcPr>
            <w:tcW w:w="1000" w:type="pct"/>
            <w:tcBorders>
              <w:bottom w:val="single" w:sz="6" w:space="0" w:color="000000"/>
            </w:tcBorders>
            <w:vAlign w:val="center"/>
            <w:hideMark/>
          </w:tcPr>
          <w:p w14:paraId="32BC637C" w14:textId="77777777" w:rsidR="00000000" w:rsidRDefault="0053651E">
            <w:pPr>
              <w:rPr>
                <w:rFonts w:eastAsia="Times New Roman"/>
                <w:sz w:val="20"/>
                <w:szCs w:val="20"/>
              </w:rPr>
            </w:pPr>
            <w:r>
              <w:rPr>
                <w:rFonts w:eastAsia="Times New Roman"/>
                <w:b/>
                <w:bCs/>
                <w:sz w:val="20"/>
                <w:szCs w:val="20"/>
              </w:rPr>
              <w:t>Property Name</w:t>
            </w:r>
          </w:p>
        </w:tc>
        <w:tc>
          <w:tcPr>
            <w:tcW w:w="700" w:type="pct"/>
            <w:tcBorders>
              <w:bottom w:val="single" w:sz="6" w:space="0" w:color="000000"/>
            </w:tcBorders>
            <w:vAlign w:val="center"/>
            <w:hideMark/>
          </w:tcPr>
          <w:p w14:paraId="004163B8" w14:textId="77777777" w:rsidR="00000000" w:rsidRDefault="0053651E">
            <w:pPr>
              <w:jc w:val="center"/>
              <w:rPr>
                <w:rFonts w:eastAsia="Times New Roman"/>
                <w:sz w:val="20"/>
                <w:szCs w:val="20"/>
              </w:rPr>
            </w:pPr>
            <w:r>
              <w:rPr>
                <w:rFonts w:eastAsia="Times New Roman"/>
                <w:b/>
                <w:bCs/>
                <w:sz w:val="20"/>
                <w:szCs w:val="20"/>
              </w:rPr>
              <w:t>Acquired/Location</w:t>
            </w:r>
          </w:p>
        </w:tc>
        <w:tc>
          <w:tcPr>
            <w:tcW w:w="500" w:type="pct"/>
            <w:tcBorders>
              <w:bottom w:val="single" w:sz="6" w:space="0" w:color="000000"/>
            </w:tcBorders>
            <w:vAlign w:val="center"/>
            <w:hideMark/>
          </w:tcPr>
          <w:p w14:paraId="679B2AE3" w14:textId="77777777" w:rsidR="00000000" w:rsidRDefault="0053651E">
            <w:pPr>
              <w:pStyle w:val="a3"/>
              <w:spacing w:before="0" w:beforeAutospacing="0" w:after="0" w:afterAutospacing="0"/>
              <w:jc w:val="center"/>
              <w:rPr>
                <w:sz w:val="20"/>
                <w:szCs w:val="20"/>
              </w:rPr>
            </w:pPr>
            <w:r>
              <w:rPr>
                <w:b/>
                <w:bCs/>
                <w:sz w:val="20"/>
                <w:szCs w:val="20"/>
              </w:rPr>
              <w:t>Consolidated</w:t>
            </w:r>
          </w:p>
        </w:tc>
        <w:tc>
          <w:tcPr>
            <w:tcW w:w="50" w:type="pct"/>
            <w:vAlign w:val="center"/>
            <w:hideMark/>
          </w:tcPr>
          <w:p w14:paraId="46C92447"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2D81898B" w14:textId="77777777" w:rsidR="00000000" w:rsidRDefault="0053651E">
            <w:pPr>
              <w:rPr>
                <w:rFonts w:eastAsia="Times New Roman"/>
                <w:sz w:val="20"/>
                <w:szCs w:val="20"/>
              </w:rPr>
            </w:pPr>
            <w:r>
              <w:rPr>
                <w:rFonts w:eastAsia="Times New Roman"/>
                <w:sz w:val="20"/>
                <w:szCs w:val="20"/>
              </w:rPr>
              <w:t> </w:t>
            </w:r>
          </w:p>
        </w:tc>
        <w:tc>
          <w:tcPr>
            <w:tcW w:w="300" w:type="pct"/>
            <w:tcBorders>
              <w:bottom w:val="single" w:sz="6" w:space="0" w:color="000000"/>
            </w:tcBorders>
            <w:vAlign w:val="center"/>
            <w:hideMark/>
          </w:tcPr>
          <w:p w14:paraId="5D86537D" w14:textId="77777777" w:rsidR="00000000" w:rsidRDefault="0053651E">
            <w:pPr>
              <w:jc w:val="center"/>
              <w:rPr>
                <w:rFonts w:eastAsia="Times New Roman"/>
                <w:sz w:val="20"/>
                <w:szCs w:val="20"/>
              </w:rPr>
            </w:pPr>
            <w:r>
              <w:rPr>
                <w:rFonts w:eastAsia="Times New Roman"/>
                <w:b/>
                <w:bCs/>
                <w:sz w:val="20"/>
                <w:szCs w:val="20"/>
              </w:rPr>
              <w:t>Cash*</w:t>
            </w:r>
          </w:p>
        </w:tc>
        <w:tc>
          <w:tcPr>
            <w:tcW w:w="50" w:type="pct"/>
            <w:vAlign w:val="center"/>
            <w:hideMark/>
          </w:tcPr>
          <w:p w14:paraId="053DD2E2" w14:textId="77777777" w:rsidR="00000000" w:rsidRDefault="0053651E">
            <w:pPr>
              <w:jc w:val="center"/>
              <w:rPr>
                <w:rFonts w:eastAsia="Times New Roman"/>
                <w:sz w:val="20"/>
                <w:szCs w:val="20"/>
              </w:rPr>
            </w:pPr>
            <w:r>
              <w:rPr>
                <w:rFonts w:eastAsia="Times New Roman"/>
                <w:sz w:val="20"/>
                <w:szCs w:val="20"/>
              </w:rPr>
              <w:t> </w:t>
            </w:r>
          </w:p>
        </w:tc>
        <w:tc>
          <w:tcPr>
            <w:tcW w:w="100" w:type="pct"/>
            <w:gridSpan w:val="2"/>
            <w:tcBorders>
              <w:bottom w:val="single" w:sz="6" w:space="0" w:color="000000"/>
            </w:tcBorders>
            <w:vAlign w:val="center"/>
            <w:hideMark/>
          </w:tcPr>
          <w:p w14:paraId="2FCFCDDE" w14:textId="77777777" w:rsidR="00000000" w:rsidRDefault="0053651E">
            <w:pPr>
              <w:jc w:val="center"/>
              <w:rPr>
                <w:rFonts w:eastAsia="Times New Roman"/>
                <w:sz w:val="20"/>
                <w:szCs w:val="20"/>
              </w:rPr>
            </w:pPr>
            <w:r>
              <w:rPr>
                <w:rFonts w:eastAsia="Times New Roman"/>
                <w:b/>
                <w:bCs/>
                <w:sz w:val="20"/>
                <w:szCs w:val="20"/>
              </w:rPr>
              <w:t>Debt</w:t>
            </w:r>
          </w:p>
        </w:tc>
        <w:tc>
          <w:tcPr>
            <w:tcW w:w="50" w:type="pct"/>
            <w:vAlign w:val="center"/>
            <w:hideMark/>
          </w:tcPr>
          <w:p w14:paraId="5219861A" w14:textId="77777777" w:rsidR="00000000" w:rsidRDefault="0053651E">
            <w:pPr>
              <w:jc w:val="center"/>
              <w:rPr>
                <w:rFonts w:eastAsia="Times New Roman"/>
                <w:sz w:val="20"/>
                <w:szCs w:val="20"/>
              </w:rPr>
            </w:pPr>
            <w:r>
              <w:rPr>
                <w:rFonts w:eastAsia="Times New Roman"/>
                <w:sz w:val="20"/>
                <w:szCs w:val="20"/>
              </w:rPr>
              <w:t> </w:t>
            </w:r>
          </w:p>
        </w:tc>
        <w:tc>
          <w:tcPr>
            <w:tcW w:w="50" w:type="pct"/>
            <w:vAlign w:val="center"/>
            <w:hideMark/>
          </w:tcPr>
          <w:p w14:paraId="383A8616" w14:textId="77777777" w:rsidR="00000000" w:rsidRDefault="0053651E">
            <w:pPr>
              <w:jc w:val="center"/>
              <w:rPr>
                <w:rFonts w:eastAsia="Times New Roman"/>
                <w:sz w:val="20"/>
                <w:szCs w:val="20"/>
              </w:rPr>
            </w:pPr>
            <w:r>
              <w:rPr>
                <w:rFonts w:eastAsia="Times New Roman"/>
                <w:sz w:val="20"/>
                <w:szCs w:val="20"/>
              </w:rPr>
              <w:t> </w:t>
            </w:r>
          </w:p>
        </w:tc>
        <w:tc>
          <w:tcPr>
            <w:tcW w:w="100" w:type="pct"/>
            <w:gridSpan w:val="2"/>
            <w:tcBorders>
              <w:bottom w:val="single" w:sz="6" w:space="0" w:color="000000"/>
            </w:tcBorders>
            <w:vAlign w:val="center"/>
            <w:hideMark/>
          </w:tcPr>
          <w:p w14:paraId="3836D063" w14:textId="77777777" w:rsidR="00000000" w:rsidRDefault="0053651E">
            <w:pPr>
              <w:jc w:val="center"/>
              <w:rPr>
                <w:rFonts w:eastAsia="Times New Roman"/>
                <w:sz w:val="20"/>
                <w:szCs w:val="20"/>
              </w:rPr>
            </w:pPr>
            <w:r>
              <w:rPr>
                <w:rFonts w:eastAsia="Times New Roman"/>
                <w:b/>
                <w:bCs/>
                <w:sz w:val="20"/>
                <w:szCs w:val="20"/>
              </w:rPr>
              <w:t>Other Consideration***</w:t>
            </w:r>
          </w:p>
        </w:tc>
        <w:tc>
          <w:tcPr>
            <w:tcW w:w="50" w:type="pct"/>
            <w:vAlign w:val="center"/>
            <w:hideMark/>
          </w:tcPr>
          <w:p w14:paraId="29E52A00" w14:textId="77777777" w:rsidR="00000000" w:rsidRDefault="0053651E">
            <w:pPr>
              <w:jc w:val="center"/>
              <w:rPr>
                <w:rFonts w:eastAsia="Times New Roman"/>
                <w:sz w:val="20"/>
                <w:szCs w:val="20"/>
              </w:rPr>
            </w:pPr>
            <w:r>
              <w:rPr>
                <w:rFonts w:eastAsia="Times New Roman"/>
                <w:sz w:val="20"/>
                <w:szCs w:val="20"/>
              </w:rPr>
              <w:t> </w:t>
            </w:r>
          </w:p>
        </w:tc>
        <w:tc>
          <w:tcPr>
            <w:tcW w:w="100" w:type="pct"/>
            <w:tcBorders>
              <w:bottom w:val="single" w:sz="6" w:space="0" w:color="000000"/>
            </w:tcBorders>
            <w:vAlign w:val="center"/>
            <w:hideMark/>
          </w:tcPr>
          <w:p w14:paraId="57891924" w14:textId="77777777" w:rsidR="00000000" w:rsidRDefault="0053651E">
            <w:pPr>
              <w:jc w:val="cente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14:paraId="41965D6F" w14:textId="77777777" w:rsidR="00000000" w:rsidRDefault="0053651E">
            <w:pPr>
              <w:jc w:val="center"/>
              <w:rPr>
                <w:rFonts w:eastAsia="Times New Roman"/>
                <w:sz w:val="20"/>
                <w:szCs w:val="20"/>
              </w:rPr>
            </w:pPr>
            <w:r>
              <w:rPr>
                <w:rFonts w:eastAsia="Times New Roman"/>
                <w:b/>
                <w:bCs/>
                <w:sz w:val="20"/>
                <w:szCs w:val="20"/>
              </w:rPr>
              <w:t>Total</w:t>
            </w:r>
          </w:p>
        </w:tc>
        <w:tc>
          <w:tcPr>
            <w:tcW w:w="50" w:type="pct"/>
            <w:vAlign w:val="center"/>
            <w:hideMark/>
          </w:tcPr>
          <w:p w14:paraId="408B3F9E" w14:textId="77777777" w:rsidR="00000000" w:rsidRDefault="0053651E">
            <w:pPr>
              <w:jc w:val="cente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14:paraId="39147780" w14:textId="77777777" w:rsidR="00000000" w:rsidRDefault="0053651E">
            <w:pPr>
              <w:jc w:val="center"/>
              <w:rPr>
                <w:rFonts w:eastAsia="Times New Roman"/>
                <w:sz w:val="20"/>
                <w:szCs w:val="20"/>
              </w:rPr>
            </w:pPr>
            <w:r>
              <w:rPr>
                <w:rFonts w:eastAsia="Times New Roman"/>
                <w:b/>
                <w:bCs/>
                <w:sz w:val="20"/>
                <w:szCs w:val="20"/>
              </w:rPr>
              <w:t>GLA**</w:t>
            </w:r>
          </w:p>
        </w:tc>
      </w:tr>
      <w:tr w:rsidR="00000000" w14:paraId="22CCF048" w14:textId="77777777">
        <w:trPr>
          <w:divId w:val="543834524"/>
          <w:tblCellSpacing w:w="0" w:type="dxa"/>
        </w:trPr>
        <w:tc>
          <w:tcPr>
            <w:tcW w:w="1000" w:type="pct"/>
            <w:shd w:val="clear" w:color="auto" w:fill="CCEEFF"/>
            <w:vAlign w:val="center"/>
            <w:hideMark/>
          </w:tcPr>
          <w:p w14:paraId="6C7D366A" w14:textId="77777777" w:rsidR="00000000" w:rsidRDefault="0053651E">
            <w:pPr>
              <w:pStyle w:val="a3"/>
              <w:spacing w:before="0" w:beforeAutospacing="0" w:after="0" w:afterAutospacing="0"/>
              <w:rPr>
                <w:sz w:val="20"/>
                <w:szCs w:val="20"/>
              </w:rPr>
            </w:pPr>
            <w:r>
              <w:rPr>
                <w:sz w:val="20"/>
                <w:szCs w:val="20"/>
              </w:rPr>
              <w:t>Bell Camino Out-parcel</w:t>
            </w:r>
          </w:p>
        </w:tc>
        <w:tc>
          <w:tcPr>
            <w:tcW w:w="700" w:type="pct"/>
            <w:shd w:val="clear" w:color="auto" w:fill="CCEEFF"/>
            <w:vAlign w:val="center"/>
            <w:hideMark/>
          </w:tcPr>
          <w:p w14:paraId="1A9D6AAF" w14:textId="77777777" w:rsidR="00000000" w:rsidRDefault="0053651E">
            <w:pPr>
              <w:pStyle w:val="a3"/>
              <w:spacing w:before="0" w:beforeAutospacing="0" w:after="0" w:afterAutospacing="0"/>
              <w:rPr>
                <w:sz w:val="20"/>
                <w:szCs w:val="20"/>
              </w:rPr>
            </w:pPr>
            <w:r>
              <w:rPr>
                <w:rStyle w:val="a6"/>
                <w:i w:val="0"/>
                <w:iCs w:val="0"/>
                <w:sz w:val="20"/>
                <w:szCs w:val="20"/>
              </w:rPr>
              <w:t>Sun City, AZ</w:t>
            </w:r>
          </w:p>
        </w:tc>
        <w:tc>
          <w:tcPr>
            <w:tcW w:w="500" w:type="pct"/>
            <w:shd w:val="clear" w:color="auto" w:fill="CCEEFF"/>
            <w:vAlign w:val="center"/>
            <w:hideMark/>
          </w:tcPr>
          <w:p w14:paraId="24127DE3" w14:textId="77777777" w:rsidR="00000000" w:rsidRDefault="0053651E">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CCEEFF"/>
            <w:vAlign w:val="center"/>
            <w:hideMark/>
          </w:tcPr>
          <w:p w14:paraId="74743DC9" w14:textId="77777777" w:rsidR="00000000" w:rsidRDefault="0053651E">
            <w:pPr>
              <w:pStyle w:val="a3"/>
              <w:spacing w:before="0" w:beforeAutospacing="0" w:after="0" w:afterAutospacing="0"/>
              <w:jc w:val="right"/>
              <w:rPr>
                <w:sz w:val="20"/>
                <w:szCs w:val="20"/>
              </w:rPr>
            </w:pPr>
            <w:r>
              <w:rPr>
                <w:sz w:val="20"/>
                <w:szCs w:val="20"/>
              </w:rPr>
              <w:t> </w:t>
            </w:r>
          </w:p>
        </w:tc>
        <w:tc>
          <w:tcPr>
            <w:tcW w:w="50" w:type="pct"/>
            <w:shd w:val="clear" w:color="auto" w:fill="CCEEFF"/>
            <w:vAlign w:val="center"/>
            <w:hideMark/>
          </w:tcPr>
          <w:p w14:paraId="2A733D6F" w14:textId="77777777" w:rsidR="00000000" w:rsidRDefault="0053651E">
            <w:pPr>
              <w:pStyle w:val="a3"/>
              <w:spacing w:before="0" w:beforeAutospacing="0" w:after="0" w:afterAutospacing="0"/>
              <w:jc w:val="right"/>
              <w:rPr>
                <w:sz w:val="20"/>
                <w:szCs w:val="20"/>
              </w:rPr>
            </w:pPr>
            <w:r>
              <w:rPr>
                <w:sz w:val="20"/>
                <w:szCs w:val="20"/>
              </w:rPr>
              <w:t>$</w:t>
            </w:r>
          </w:p>
        </w:tc>
        <w:tc>
          <w:tcPr>
            <w:tcW w:w="300" w:type="pct"/>
            <w:shd w:val="clear" w:color="auto" w:fill="CCEEFF"/>
            <w:vAlign w:val="center"/>
            <w:hideMark/>
          </w:tcPr>
          <w:p w14:paraId="22089714" w14:textId="77777777" w:rsidR="00000000" w:rsidRDefault="0053651E">
            <w:pPr>
              <w:pStyle w:val="a3"/>
              <w:spacing w:before="0" w:beforeAutospacing="0" w:after="0" w:afterAutospacing="0"/>
              <w:jc w:val="right"/>
              <w:rPr>
                <w:sz w:val="20"/>
                <w:szCs w:val="20"/>
              </w:rPr>
            </w:pPr>
            <w:r>
              <w:rPr>
                <w:sz w:val="20"/>
                <w:szCs w:val="20"/>
              </w:rPr>
              <w:t>5,678</w:t>
            </w:r>
          </w:p>
        </w:tc>
        <w:tc>
          <w:tcPr>
            <w:tcW w:w="50" w:type="pct"/>
            <w:shd w:val="clear" w:color="auto" w:fill="CCEEFF"/>
            <w:vAlign w:val="center"/>
            <w:hideMark/>
          </w:tcPr>
          <w:p w14:paraId="3E98A63E"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012E7969" w14:textId="77777777" w:rsidR="00000000" w:rsidRDefault="0053651E">
            <w:pPr>
              <w:pStyle w:val="a3"/>
              <w:spacing w:before="0" w:beforeAutospacing="0" w:after="0" w:afterAutospacing="0"/>
              <w:jc w:val="right"/>
              <w:rPr>
                <w:sz w:val="20"/>
                <w:szCs w:val="20"/>
              </w:rPr>
            </w:pPr>
            <w:r>
              <w:rPr>
                <w:sz w:val="20"/>
                <w:szCs w:val="20"/>
              </w:rPr>
              <w:t> $ </w:t>
            </w:r>
          </w:p>
        </w:tc>
        <w:tc>
          <w:tcPr>
            <w:tcW w:w="350" w:type="pct"/>
            <w:shd w:val="clear" w:color="auto" w:fill="CCEEFF"/>
            <w:vAlign w:val="center"/>
            <w:hideMark/>
          </w:tcPr>
          <w:p w14:paraId="6EF45F4C"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CCEEFF"/>
            <w:vAlign w:val="center"/>
            <w:hideMark/>
          </w:tcPr>
          <w:p w14:paraId="2FF8E2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7A1A9E16"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6A2FB843" w14:textId="77777777" w:rsidR="00000000" w:rsidRDefault="0053651E">
            <w:pPr>
              <w:pStyle w:val="a3"/>
              <w:spacing w:before="0" w:beforeAutospacing="0" w:after="0" w:afterAutospacing="0"/>
              <w:jc w:val="right"/>
              <w:rPr>
                <w:sz w:val="20"/>
                <w:szCs w:val="20"/>
              </w:rPr>
            </w:pPr>
            <w:r>
              <w:rPr>
                <w:sz w:val="20"/>
                <w:szCs w:val="20"/>
              </w:rPr>
              <w:t> $ </w:t>
            </w:r>
          </w:p>
        </w:tc>
        <w:tc>
          <w:tcPr>
            <w:tcW w:w="550" w:type="pct"/>
            <w:shd w:val="clear" w:color="auto" w:fill="CCEEFF"/>
            <w:vAlign w:val="center"/>
            <w:hideMark/>
          </w:tcPr>
          <w:p w14:paraId="43BCCF5C"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CCEEFF"/>
            <w:vAlign w:val="center"/>
            <w:hideMark/>
          </w:tcPr>
          <w:p w14:paraId="3D6BE147"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6EAE2700" w14:textId="77777777" w:rsidR="00000000" w:rsidRDefault="0053651E">
            <w:pPr>
              <w:pStyle w:val="a3"/>
              <w:spacing w:before="0" w:beforeAutospacing="0" w:after="0" w:afterAutospacing="0"/>
              <w:jc w:val="right"/>
              <w:rPr>
                <w:sz w:val="20"/>
                <w:szCs w:val="20"/>
              </w:rPr>
            </w:pPr>
            <w:r>
              <w:rPr>
                <w:sz w:val="20"/>
                <w:szCs w:val="20"/>
              </w:rPr>
              <w:t> $ </w:t>
            </w:r>
          </w:p>
        </w:tc>
        <w:tc>
          <w:tcPr>
            <w:tcW w:w="500" w:type="pct"/>
            <w:shd w:val="clear" w:color="auto" w:fill="CCEEFF"/>
            <w:vAlign w:val="center"/>
            <w:hideMark/>
          </w:tcPr>
          <w:p w14:paraId="2A1B0C69" w14:textId="77777777" w:rsidR="00000000" w:rsidRDefault="0053651E">
            <w:pPr>
              <w:pStyle w:val="a3"/>
              <w:spacing w:before="0" w:beforeAutospacing="0" w:after="0" w:afterAutospacing="0"/>
              <w:jc w:val="right"/>
              <w:rPr>
                <w:sz w:val="20"/>
                <w:szCs w:val="20"/>
              </w:rPr>
            </w:pPr>
            <w:r>
              <w:rPr>
                <w:sz w:val="20"/>
                <w:szCs w:val="20"/>
              </w:rPr>
              <w:t>5,678</w:t>
            </w:r>
          </w:p>
        </w:tc>
        <w:tc>
          <w:tcPr>
            <w:tcW w:w="50" w:type="pct"/>
            <w:shd w:val="clear" w:color="auto" w:fill="CCEEFF"/>
            <w:vAlign w:val="center"/>
            <w:hideMark/>
          </w:tcPr>
          <w:p w14:paraId="6AB7D0B7" w14:textId="77777777" w:rsidR="00000000" w:rsidRDefault="0053651E">
            <w:pPr>
              <w:pStyle w:val="a3"/>
              <w:spacing w:before="0" w:beforeAutospacing="0" w:after="0" w:afterAutospacing="0"/>
              <w:jc w:val="right"/>
              <w:rPr>
                <w:sz w:val="20"/>
                <w:szCs w:val="20"/>
              </w:rPr>
            </w:pPr>
            <w:r>
              <w:rPr>
                <w:sz w:val="20"/>
                <w:szCs w:val="20"/>
              </w:rPr>
              <w:t> </w:t>
            </w:r>
          </w:p>
        </w:tc>
        <w:tc>
          <w:tcPr>
            <w:tcW w:w="500" w:type="pct"/>
            <w:shd w:val="clear" w:color="auto" w:fill="CCEEFF"/>
            <w:vAlign w:val="center"/>
            <w:hideMark/>
          </w:tcPr>
          <w:p w14:paraId="28CEDBA4" w14:textId="77777777" w:rsidR="00000000" w:rsidRDefault="0053651E">
            <w:pPr>
              <w:pStyle w:val="a3"/>
              <w:spacing w:before="0" w:beforeAutospacing="0" w:after="0" w:afterAutospacing="0"/>
              <w:jc w:val="right"/>
              <w:rPr>
                <w:sz w:val="20"/>
                <w:szCs w:val="20"/>
              </w:rPr>
            </w:pPr>
            <w:r>
              <w:rPr>
                <w:sz w:val="20"/>
                <w:szCs w:val="20"/>
              </w:rPr>
              <w:t>45</w:t>
            </w:r>
          </w:p>
        </w:tc>
      </w:tr>
      <w:tr w:rsidR="00000000" w14:paraId="2F728BA5" w14:textId="77777777">
        <w:trPr>
          <w:divId w:val="543834524"/>
          <w:tblCellSpacing w:w="0" w:type="dxa"/>
        </w:trPr>
        <w:tc>
          <w:tcPr>
            <w:tcW w:w="1000" w:type="pct"/>
            <w:shd w:val="clear" w:color="auto" w:fill="FFFFFF"/>
            <w:vAlign w:val="center"/>
            <w:hideMark/>
          </w:tcPr>
          <w:p w14:paraId="2B2ABB7F" w14:textId="77777777" w:rsidR="00000000" w:rsidRDefault="0053651E">
            <w:pPr>
              <w:pStyle w:val="a3"/>
              <w:spacing w:before="0" w:beforeAutospacing="0" w:after="0" w:afterAutospacing="0"/>
              <w:rPr>
                <w:sz w:val="20"/>
                <w:szCs w:val="20"/>
              </w:rPr>
            </w:pPr>
            <w:r>
              <w:rPr>
                <w:sz w:val="20"/>
                <w:szCs w:val="20"/>
              </w:rPr>
              <w:t>Gateway at Donner Pass Out-parcel</w:t>
            </w:r>
          </w:p>
        </w:tc>
        <w:tc>
          <w:tcPr>
            <w:tcW w:w="700" w:type="pct"/>
            <w:shd w:val="clear" w:color="auto" w:fill="FFFFFF"/>
            <w:vAlign w:val="center"/>
            <w:hideMark/>
          </w:tcPr>
          <w:p w14:paraId="2167B99A" w14:textId="77777777" w:rsidR="00000000" w:rsidRDefault="0053651E">
            <w:pPr>
              <w:pStyle w:val="a3"/>
              <w:spacing w:before="0" w:beforeAutospacing="0" w:after="0" w:afterAutospacing="0"/>
              <w:rPr>
                <w:sz w:val="20"/>
                <w:szCs w:val="20"/>
              </w:rPr>
            </w:pPr>
            <w:r>
              <w:rPr>
                <w:rStyle w:val="a6"/>
                <w:i w:val="0"/>
                <w:iCs w:val="0"/>
                <w:sz w:val="20"/>
                <w:szCs w:val="20"/>
              </w:rPr>
              <w:t>Truckee, CA</w:t>
            </w:r>
          </w:p>
        </w:tc>
        <w:tc>
          <w:tcPr>
            <w:tcW w:w="500" w:type="pct"/>
            <w:shd w:val="clear" w:color="auto" w:fill="FFFFFF"/>
            <w:vAlign w:val="center"/>
            <w:hideMark/>
          </w:tcPr>
          <w:p w14:paraId="234800D8" w14:textId="77777777" w:rsidR="00000000" w:rsidRDefault="0053651E">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FFFFFF"/>
            <w:vAlign w:val="center"/>
            <w:hideMark/>
          </w:tcPr>
          <w:p w14:paraId="1C55254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0983E139" w14:textId="77777777" w:rsidR="00000000" w:rsidRDefault="0053651E">
            <w:pPr>
              <w:rPr>
                <w:rFonts w:eastAsia="Times New Roman"/>
                <w:sz w:val="20"/>
                <w:szCs w:val="20"/>
              </w:rPr>
            </w:pPr>
            <w:r>
              <w:rPr>
                <w:rFonts w:eastAsia="Times New Roman"/>
                <w:sz w:val="20"/>
                <w:szCs w:val="20"/>
              </w:rPr>
              <w:t> </w:t>
            </w:r>
          </w:p>
        </w:tc>
        <w:tc>
          <w:tcPr>
            <w:tcW w:w="300" w:type="pct"/>
            <w:shd w:val="clear" w:color="auto" w:fill="FFFFFF"/>
            <w:vAlign w:val="center"/>
            <w:hideMark/>
          </w:tcPr>
          <w:p w14:paraId="236405AD" w14:textId="77777777" w:rsidR="00000000" w:rsidRDefault="0053651E">
            <w:pPr>
              <w:pStyle w:val="a3"/>
              <w:spacing w:before="0" w:beforeAutospacing="0" w:after="0" w:afterAutospacing="0"/>
              <w:jc w:val="right"/>
              <w:rPr>
                <w:sz w:val="20"/>
                <w:szCs w:val="20"/>
              </w:rPr>
            </w:pPr>
            <w:r>
              <w:rPr>
                <w:sz w:val="20"/>
                <w:szCs w:val="20"/>
              </w:rPr>
              <w:t>13,527</w:t>
            </w:r>
          </w:p>
        </w:tc>
        <w:tc>
          <w:tcPr>
            <w:tcW w:w="50" w:type="pct"/>
            <w:shd w:val="clear" w:color="auto" w:fill="FFFFFF"/>
            <w:vAlign w:val="center"/>
            <w:hideMark/>
          </w:tcPr>
          <w:p w14:paraId="4F3A79A4" w14:textId="77777777" w:rsidR="00000000" w:rsidRDefault="0053651E">
            <w:pPr>
              <w:rPr>
                <w:rFonts w:eastAsia="Times New Roman"/>
                <w:sz w:val="20"/>
                <w:szCs w:val="20"/>
              </w:rPr>
            </w:pPr>
            <w:r>
              <w:rPr>
                <w:rFonts w:eastAsia="Times New Roman"/>
                <w:sz w:val="20"/>
                <w:szCs w:val="20"/>
              </w:rPr>
              <w:t> </w:t>
            </w:r>
          </w:p>
        </w:tc>
        <w:tc>
          <w:tcPr>
            <w:tcW w:w="100" w:type="pct"/>
            <w:shd w:val="clear" w:color="auto" w:fill="FFFFFF"/>
            <w:vAlign w:val="center"/>
            <w:hideMark/>
          </w:tcPr>
          <w:p w14:paraId="11596079" w14:textId="77777777" w:rsidR="00000000" w:rsidRDefault="0053651E">
            <w:pPr>
              <w:rPr>
                <w:rFonts w:eastAsia="Times New Roman"/>
                <w:sz w:val="20"/>
                <w:szCs w:val="20"/>
              </w:rPr>
            </w:pPr>
            <w:r>
              <w:rPr>
                <w:rFonts w:eastAsia="Times New Roman"/>
                <w:sz w:val="20"/>
                <w:szCs w:val="20"/>
              </w:rPr>
              <w:t> </w:t>
            </w:r>
          </w:p>
        </w:tc>
        <w:tc>
          <w:tcPr>
            <w:tcW w:w="350" w:type="pct"/>
            <w:shd w:val="clear" w:color="auto" w:fill="FFFFFF"/>
            <w:vAlign w:val="center"/>
            <w:hideMark/>
          </w:tcPr>
          <w:p w14:paraId="2CD6B7E8"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FFFFFF"/>
            <w:vAlign w:val="center"/>
            <w:hideMark/>
          </w:tcPr>
          <w:p w14:paraId="445A10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4E409A6B" w14:textId="77777777" w:rsidR="00000000" w:rsidRDefault="0053651E">
            <w:pPr>
              <w:rPr>
                <w:rFonts w:eastAsia="Times New Roman"/>
                <w:sz w:val="20"/>
                <w:szCs w:val="20"/>
              </w:rPr>
            </w:pPr>
            <w:r>
              <w:rPr>
                <w:rFonts w:eastAsia="Times New Roman"/>
                <w:sz w:val="20"/>
                <w:szCs w:val="20"/>
              </w:rPr>
              <w:t> </w:t>
            </w:r>
          </w:p>
        </w:tc>
        <w:tc>
          <w:tcPr>
            <w:tcW w:w="100" w:type="pct"/>
            <w:shd w:val="clear" w:color="auto" w:fill="FFFFFF"/>
            <w:vAlign w:val="center"/>
            <w:hideMark/>
          </w:tcPr>
          <w:p w14:paraId="1F70D576" w14:textId="77777777" w:rsidR="00000000" w:rsidRDefault="0053651E">
            <w:pPr>
              <w:pStyle w:val="a3"/>
              <w:spacing w:before="0" w:beforeAutospacing="0" w:after="0" w:afterAutospacing="0"/>
              <w:jc w:val="right"/>
              <w:rPr>
                <w:sz w:val="20"/>
                <w:szCs w:val="20"/>
              </w:rPr>
            </w:pPr>
            <w:r>
              <w:rPr>
                <w:sz w:val="20"/>
                <w:szCs w:val="20"/>
              </w:rPr>
              <w:t>    </w:t>
            </w:r>
          </w:p>
        </w:tc>
        <w:tc>
          <w:tcPr>
            <w:tcW w:w="550" w:type="pct"/>
            <w:shd w:val="clear" w:color="auto" w:fill="FFFFFF"/>
            <w:vAlign w:val="center"/>
            <w:hideMark/>
          </w:tcPr>
          <w:p w14:paraId="46B9DA7F"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FFFFFF"/>
            <w:vAlign w:val="center"/>
            <w:hideMark/>
          </w:tcPr>
          <w:p w14:paraId="630010AD" w14:textId="77777777" w:rsidR="00000000" w:rsidRDefault="0053651E">
            <w:pPr>
              <w:rPr>
                <w:rFonts w:eastAsia="Times New Roman"/>
                <w:sz w:val="20"/>
                <w:szCs w:val="20"/>
              </w:rPr>
            </w:pPr>
            <w:r>
              <w:rPr>
                <w:rFonts w:eastAsia="Times New Roman"/>
                <w:sz w:val="20"/>
                <w:szCs w:val="20"/>
              </w:rPr>
              <w:t> </w:t>
            </w:r>
          </w:p>
        </w:tc>
        <w:tc>
          <w:tcPr>
            <w:tcW w:w="100" w:type="pct"/>
            <w:shd w:val="clear" w:color="auto" w:fill="FFFFFF"/>
            <w:vAlign w:val="center"/>
            <w:hideMark/>
          </w:tcPr>
          <w:p w14:paraId="148CB52F"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center"/>
            <w:hideMark/>
          </w:tcPr>
          <w:p w14:paraId="750F9AF9" w14:textId="77777777" w:rsidR="00000000" w:rsidRDefault="0053651E">
            <w:pPr>
              <w:pStyle w:val="a3"/>
              <w:spacing w:before="0" w:beforeAutospacing="0" w:after="0" w:afterAutospacing="0"/>
              <w:jc w:val="right"/>
              <w:rPr>
                <w:sz w:val="20"/>
                <w:szCs w:val="20"/>
              </w:rPr>
            </w:pPr>
            <w:r>
              <w:rPr>
                <w:sz w:val="20"/>
                <w:szCs w:val="20"/>
              </w:rPr>
              <w:t>13,527</w:t>
            </w:r>
          </w:p>
        </w:tc>
        <w:tc>
          <w:tcPr>
            <w:tcW w:w="50" w:type="pct"/>
            <w:shd w:val="clear" w:color="auto" w:fill="FFFFFF"/>
            <w:vAlign w:val="center"/>
            <w:hideMark/>
          </w:tcPr>
          <w:p w14:paraId="72B9268F" w14:textId="77777777" w:rsidR="00000000" w:rsidRDefault="0053651E">
            <w:pPr>
              <w:rPr>
                <w:rFonts w:eastAsia="Times New Roman"/>
                <w:sz w:val="20"/>
                <w:szCs w:val="20"/>
              </w:rPr>
            </w:pPr>
            <w:r>
              <w:rPr>
                <w:rFonts w:eastAsia="Times New Roman"/>
                <w:sz w:val="20"/>
                <w:szCs w:val="20"/>
              </w:rPr>
              <w:t> </w:t>
            </w:r>
          </w:p>
        </w:tc>
        <w:tc>
          <w:tcPr>
            <w:tcW w:w="500" w:type="pct"/>
            <w:shd w:val="clear" w:color="auto" w:fill="FFFFFF"/>
            <w:vAlign w:val="center"/>
            <w:hideMark/>
          </w:tcPr>
          <w:p w14:paraId="44092F90" w14:textId="77777777" w:rsidR="00000000" w:rsidRDefault="0053651E">
            <w:pPr>
              <w:pStyle w:val="a3"/>
              <w:spacing w:before="0" w:beforeAutospacing="0" w:after="0" w:afterAutospacing="0"/>
              <w:jc w:val="right"/>
              <w:rPr>
                <w:sz w:val="20"/>
                <w:szCs w:val="20"/>
              </w:rPr>
            </w:pPr>
            <w:r>
              <w:rPr>
                <w:sz w:val="20"/>
                <w:szCs w:val="20"/>
              </w:rPr>
              <w:t>40</w:t>
            </w:r>
          </w:p>
        </w:tc>
      </w:tr>
      <w:tr w:rsidR="00000000" w14:paraId="09E7FD58" w14:textId="77777777">
        <w:trPr>
          <w:divId w:val="543834524"/>
          <w:tblCellSpacing w:w="0" w:type="dxa"/>
        </w:trPr>
        <w:tc>
          <w:tcPr>
            <w:tcW w:w="1000" w:type="pct"/>
            <w:shd w:val="clear" w:color="auto" w:fill="CCEEFF"/>
            <w:vAlign w:val="center"/>
            <w:hideMark/>
          </w:tcPr>
          <w:p w14:paraId="5863F4BC" w14:textId="77777777" w:rsidR="00000000" w:rsidRDefault="0053651E">
            <w:pPr>
              <w:pStyle w:val="a3"/>
              <w:spacing w:before="0" w:beforeAutospacing="0" w:after="0" w:afterAutospacing="0"/>
              <w:rPr>
                <w:sz w:val="20"/>
                <w:szCs w:val="20"/>
              </w:rPr>
            </w:pPr>
            <w:r>
              <w:rPr>
                <w:sz w:val="20"/>
                <w:szCs w:val="20"/>
              </w:rPr>
              <w:t>Rancho Penasquitos Out-parcel</w:t>
            </w:r>
          </w:p>
        </w:tc>
        <w:tc>
          <w:tcPr>
            <w:tcW w:w="700" w:type="pct"/>
            <w:shd w:val="clear" w:color="auto" w:fill="CCEEFF"/>
            <w:vAlign w:val="center"/>
            <w:hideMark/>
          </w:tcPr>
          <w:p w14:paraId="0DB0A831" w14:textId="77777777" w:rsidR="00000000" w:rsidRDefault="0053651E">
            <w:pPr>
              <w:pStyle w:val="a3"/>
              <w:spacing w:before="0" w:beforeAutospacing="0" w:after="0" w:afterAutospacing="0"/>
              <w:rPr>
                <w:sz w:val="20"/>
                <w:szCs w:val="20"/>
              </w:rPr>
            </w:pPr>
            <w:r>
              <w:rPr>
                <w:rStyle w:val="a6"/>
                <w:i w:val="0"/>
                <w:iCs w:val="0"/>
                <w:sz w:val="20"/>
                <w:szCs w:val="20"/>
              </w:rPr>
              <w:t>San Diego, CA</w:t>
            </w:r>
          </w:p>
        </w:tc>
        <w:tc>
          <w:tcPr>
            <w:tcW w:w="500" w:type="pct"/>
            <w:shd w:val="clear" w:color="auto" w:fill="CCEEFF"/>
            <w:vAlign w:val="center"/>
            <w:hideMark/>
          </w:tcPr>
          <w:p w14:paraId="4D3115C0" w14:textId="77777777" w:rsidR="00000000" w:rsidRDefault="0053651E">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CCEEFF"/>
            <w:vAlign w:val="center"/>
            <w:hideMark/>
          </w:tcPr>
          <w:p w14:paraId="6F1C3832" w14:textId="77777777" w:rsidR="00000000" w:rsidRDefault="0053651E">
            <w:pPr>
              <w:pStyle w:val="a3"/>
              <w:spacing w:before="0" w:beforeAutospacing="0" w:after="0" w:afterAutospacing="0"/>
              <w:jc w:val="right"/>
              <w:rPr>
                <w:sz w:val="20"/>
                <w:szCs w:val="20"/>
              </w:rPr>
            </w:pPr>
            <w:r>
              <w:rPr>
                <w:sz w:val="20"/>
                <w:szCs w:val="20"/>
              </w:rPr>
              <w:t> </w:t>
            </w:r>
          </w:p>
        </w:tc>
        <w:tc>
          <w:tcPr>
            <w:tcW w:w="50" w:type="pct"/>
            <w:shd w:val="clear" w:color="auto" w:fill="CCEEFF"/>
            <w:vAlign w:val="center"/>
            <w:hideMark/>
          </w:tcPr>
          <w:p w14:paraId="28A4C103" w14:textId="77777777" w:rsidR="00000000" w:rsidRDefault="0053651E">
            <w:pPr>
              <w:pStyle w:val="a3"/>
              <w:spacing w:before="0" w:beforeAutospacing="0" w:after="0" w:afterAutospacing="0"/>
              <w:jc w:val="right"/>
              <w:rPr>
                <w:sz w:val="20"/>
                <w:szCs w:val="20"/>
              </w:rPr>
            </w:pPr>
            <w:r>
              <w:rPr>
                <w:sz w:val="20"/>
                <w:szCs w:val="20"/>
              </w:rPr>
              <w:t> </w:t>
            </w:r>
          </w:p>
        </w:tc>
        <w:tc>
          <w:tcPr>
            <w:tcW w:w="300" w:type="pct"/>
            <w:shd w:val="clear" w:color="auto" w:fill="CCEEFF"/>
            <w:vAlign w:val="center"/>
            <w:hideMark/>
          </w:tcPr>
          <w:p w14:paraId="538D6AD4" w14:textId="77777777" w:rsidR="00000000" w:rsidRDefault="0053651E">
            <w:pPr>
              <w:pStyle w:val="a3"/>
              <w:spacing w:before="0" w:beforeAutospacing="0" w:after="0" w:afterAutospacing="0"/>
              <w:jc w:val="right"/>
              <w:rPr>
                <w:sz w:val="20"/>
                <w:szCs w:val="20"/>
              </w:rPr>
            </w:pPr>
            <w:r>
              <w:rPr>
                <w:sz w:val="20"/>
                <w:szCs w:val="20"/>
              </w:rPr>
              <w:t>12,064</w:t>
            </w:r>
          </w:p>
        </w:tc>
        <w:tc>
          <w:tcPr>
            <w:tcW w:w="50" w:type="pct"/>
            <w:shd w:val="clear" w:color="auto" w:fill="CCEEFF"/>
            <w:vAlign w:val="center"/>
            <w:hideMark/>
          </w:tcPr>
          <w:p w14:paraId="73481F94"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30F0656E" w14:textId="77777777" w:rsidR="00000000" w:rsidRDefault="0053651E">
            <w:pPr>
              <w:pStyle w:val="a3"/>
              <w:spacing w:before="0" w:beforeAutospacing="0" w:after="0" w:afterAutospacing="0"/>
              <w:jc w:val="right"/>
              <w:rPr>
                <w:sz w:val="20"/>
                <w:szCs w:val="20"/>
              </w:rPr>
            </w:pPr>
            <w:r>
              <w:rPr>
                <w:sz w:val="20"/>
                <w:szCs w:val="20"/>
              </w:rPr>
              <w:t> </w:t>
            </w:r>
          </w:p>
        </w:tc>
        <w:tc>
          <w:tcPr>
            <w:tcW w:w="350" w:type="pct"/>
            <w:shd w:val="clear" w:color="auto" w:fill="CCEEFF"/>
            <w:vAlign w:val="center"/>
            <w:hideMark/>
          </w:tcPr>
          <w:p w14:paraId="116FFFC3"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CCEEFF"/>
            <w:vAlign w:val="center"/>
            <w:hideMark/>
          </w:tcPr>
          <w:p w14:paraId="10B384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1E75B1C"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339F128C" w14:textId="77777777" w:rsidR="00000000" w:rsidRDefault="0053651E">
            <w:pPr>
              <w:pStyle w:val="a3"/>
              <w:spacing w:before="0" w:beforeAutospacing="0" w:after="0" w:afterAutospacing="0"/>
              <w:jc w:val="right"/>
              <w:rPr>
                <w:sz w:val="20"/>
                <w:szCs w:val="20"/>
              </w:rPr>
            </w:pPr>
            <w:r>
              <w:rPr>
                <w:sz w:val="20"/>
                <w:szCs w:val="20"/>
              </w:rPr>
              <w:t>     </w:t>
            </w:r>
          </w:p>
        </w:tc>
        <w:tc>
          <w:tcPr>
            <w:tcW w:w="550" w:type="pct"/>
            <w:shd w:val="clear" w:color="auto" w:fill="CCEEFF"/>
            <w:vAlign w:val="center"/>
            <w:hideMark/>
          </w:tcPr>
          <w:p w14:paraId="7897425F" w14:textId="77777777" w:rsidR="00000000" w:rsidRDefault="0053651E">
            <w:pPr>
              <w:pStyle w:val="a3"/>
              <w:spacing w:before="0" w:beforeAutospacing="0" w:after="0" w:afterAutospacing="0"/>
              <w:jc w:val="right"/>
              <w:rPr>
                <w:sz w:val="20"/>
                <w:szCs w:val="20"/>
              </w:rPr>
            </w:pPr>
            <w:r>
              <w:rPr>
                <w:sz w:val="20"/>
                <w:szCs w:val="20"/>
              </w:rPr>
              <w:t>            - </w:t>
            </w:r>
          </w:p>
        </w:tc>
        <w:tc>
          <w:tcPr>
            <w:tcW w:w="50" w:type="pct"/>
            <w:shd w:val="clear" w:color="auto" w:fill="CCEEFF"/>
            <w:vAlign w:val="center"/>
            <w:hideMark/>
          </w:tcPr>
          <w:p w14:paraId="5DDA3B95" w14:textId="77777777" w:rsidR="00000000" w:rsidRDefault="0053651E">
            <w:pPr>
              <w:pStyle w:val="a3"/>
              <w:spacing w:before="0" w:beforeAutospacing="0" w:after="0" w:afterAutospacing="0"/>
              <w:jc w:val="right"/>
              <w:rPr>
                <w:sz w:val="20"/>
                <w:szCs w:val="20"/>
              </w:rPr>
            </w:pPr>
            <w:r>
              <w:rPr>
                <w:sz w:val="20"/>
                <w:szCs w:val="20"/>
              </w:rPr>
              <w:t> </w:t>
            </w:r>
          </w:p>
        </w:tc>
        <w:tc>
          <w:tcPr>
            <w:tcW w:w="100" w:type="pct"/>
            <w:shd w:val="clear" w:color="auto" w:fill="CCEEFF"/>
            <w:vAlign w:val="center"/>
            <w:hideMark/>
          </w:tcPr>
          <w:p w14:paraId="182CB3C0" w14:textId="77777777" w:rsidR="00000000" w:rsidRDefault="0053651E">
            <w:pPr>
              <w:pStyle w:val="a3"/>
              <w:spacing w:before="0" w:beforeAutospacing="0" w:after="0" w:afterAutospacing="0"/>
              <w:jc w:val="right"/>
              <w:rPr>
                <w:sz w:val="20"/>
                <w:szCs w:val="20"/>
              </w:rPr>
            </w:pPr>
            <w:r>
              <w:rPr>
                <w:sz w:val="20"/>
                <w:szCs w:val="20"/>
              </w:rPr>
              <w:t> </w:t>
            </w:r>
          </w:p>
        </w:tc>
        <w:tc>
          <w:tcPr>
            <w:tcW w:w="500" w:type="pct"/>
            <w:shd w:val="clear" w:color="auto" w:fill="CCEEFF"/>
            <w:vAlign w:val="center"/>
            <w:hideMark/>
          </w:tcPr>
          <w:p w14:paraId="05F88074" w14:textId="77777777" w:rsidR="00000000" w:rsidRDefault="0053651E">
            <w:pPr>
              <w:pStyle w:val="a3"/>
              <w:spacing w:before="0" w:beforeAutospacing="0" w:after="0" w:afterAutospacing="0"/>
              <w:jc w:val="right"/>
              <w:rPr>
                <w:sz w:val="20"/>
                <w:szCs w:val="20"/>
              </w:rPr>
            </w:pPr>
            <w:r>
              <w:rPr>
                <w:sz w:val="20"/>
                <w:szCs w:val="20"/>
              </w:rPr>
              <w:t>12,064</w:t>
            </w:r>
          </w:p>
        </w:tc>
        <w:tc>
          <w:tcPr>
            <w:tcW w:w="50" w:type="pct"/>
            <w:shd w:val="clear" w:color="auto" w:fill="CCEEFF"/>
            <w:vAlign w:val="center"/>
            <w:hideMark/>
          </w:tcPr>
          <w:p w14:paraId="2964A25B" w14:textId="77777777" w:rsidR="00000000" w:rsidRDefault="0053651E">
            <w:pPr>
              <w:pStyle w:val="a3"/>
              <w:spacing w:before="0" w:beforeAutospacing="0" w:after="0" w:afterAutospacing="0"/>
              <w:jc w:val="right"/>
              <w:rPr>
                <w:sz w:val="20"/>
                <w:szCs w:val="20"/>
              </w:rPr>
            </w:pPr>
            <w:r>
              <w:rPr>
                <w:sz w:val="20"/>
                <w:szCs w:val="20"/>
              </w:rPr>
              <w:t> </w:t>
            </w:r>
          </w:p>
        </w:tc>
        <w:tc>
          <w:tcPr>
            <w:tcW w:w="500" w:type="pct"/>
            <w:shd w:val="clear" w:color="auto" w:fill="CCEEFF"/>
            <w:vAlign w:val="center"/>
            <w:hideMark/>
          </w:tcPr>
          <w:p w14:paraId="14B54A16" w14:textId="77777777" w:rsidR="00000000" w:rsidRDefault="0053651E">
            <w:pPr>
              <w:pStyle w:val="a3"/>
              <w:spacing w:before="0" w:beforeAutospacing="0" w:after="0" w:afterAutospacing="0"/>
              <w:jc w:val="right"/>
              <w:rPr>
                <w:sz w:val="20"/>
                <w:szCs w:val="20"/>
              </w:rPr>
            </w:pPr>
            <w:r>
              <w:rPr>
                <w:sz w:val="20"/>
                <w:szCs w:val="20"/>
              </w:rPr>
              <w:t>40</w:t>
            </w:r>
          </w:p>
        </w:tc>
      </w:tr>
      <w:tr w:rsidR="00000000" w14:paraId="1E3141D6" w14:textId="77777777">
        <w:trPr>
          <w:divId w:val="543834524"/>
          <w:tblCellSpacing w:w="0" w:type="dxa"/>
        </w:trPr>
        <w:tc>
          <w:tcPr>
            <w:tcW w:w="1000" w:type="pct"/>
            <w:shd w:val="clear" w:color="auto" w:fill="FFFFFF"/>
            <w:vAlign w:val="center"/>
            <w:hideMark/>
          </w:tcPr>
          <w:p w14:paraId="23EEDA29" w14:textId="77777777" w:rsidR="00000000" w:rsidRDefault="0053651E">
            <w:pPr>
              <w:pStyle w:val="a3"/>
              <w:spacing w:before="0" w:beforeAutospacing="0" w:after="0" w:afterAutospacing="0"/>
              <w:rPr>
                <w:sz w:val="20"/>
                <w:szCs w:val="20"/>
              </w:rPr>
            </w:pPr>
            <w:r>
              <w:rPr>
                <w:sz w:val="20"/>
                <w:szCs w:val="20"/>
              </w:rPr>
              <w:t>Linwood Square (1)</w:t>
            </w:r>
          </w:p>
        </w:tc>
        <w:tc>
          <w:tcPr>
            <w:tcW w:w="700" w:type="pct"/>
            <w:shd w:val="clear" w:color="auto" w:fill="FFFFFF"/>
            <w:vAlign w:val="center"/>
            <w:hideMark/>
          </w:tcPr>
          <w:p w14:paraId="1D340B6C" w14:textId="77777777" w:rsidR="00000000" w:rsidRDefault="0053651E">
            <w:pPr>
              <w:pStyle w:val="a3"/>
              <w:spacing w:before="0" w:beforeAutospacing="0" w:after="0" w:afterAutospacing="0"/>
              <w:rPr>
                <w:sz w:val="20"/>
                <w:szCs w:val="20"/>
              </w:rPr>
            </w:pPr>
            <w:r>
              <w:rPr>
                <w:rStyle w:val="a6"/>
                <w:i w:val="0"/>
                <w:iCs w:val="0"/>
                <w:sz w:val="20"/>
                <w:szCs w:val="20"/>
              </w:rPr>
              <w:t>Indianapolis, IN</w:t>
            </w:r>
          </w:p>
        </w:tc>
        <w:tc>
          <w:tcPr>
            <w:tcW w:w="500" w:type="pct"/>
            <w:shd w:val="clear" w:color="auto" w:fill="FFFFFF"/>
            <w:vAlign w:val="center"/>
            <w:hideMark/>
          </w:tcPr>
          <w:p w14:paraId="70A6EE5F" w14:textId="77777777" w:rsidR="00000000" w:rsidRDefault="0053651E">
            <w:pPr>
              <w:pStyle w:val="a3"/>
              <w:spacing w:before="0" w:beforeAutospacing="0" w:after="0" w:afterAutospacing="0"/>
              <w:jc w:val="center"/>
              <w:rPr>
                <w:sz w:val="20"/>
                <w:szCs w:val="20"/>
              </w:rPr>
            </w:pPr>
            <w:r>
              <w:rPr>
                <w:rStyle w:val="a6"/>
                <w:i w:val="0"/>
                <w:iCs w:val="0"/>
                <w:sz w:val="20"/>
                <w:szCs w:val="20"/>
              </w:rPr>
              <w:t>Dec-19</w:t>
            </w:r>
          </w:p>
        </w:tc>
        <w:tc>
          <w:tcPr>
            <w:tcW w:w="50" w:type="pct"/>
            <w:shd w:val="clear" w:color="auto" w:fill="FFFFFF"/>
            <w:vAlign w:val="center"/>
            <w:hideMark/>
          </w:tcPr>
          <w:p w14:paraId="4F139E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3EC50A5F" w14:textId="77777777" w:rsidR="00000000" w:rsidRDefault="0053651E">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center"/>
            <w:hideMark/>
          </w:tcPr>
          <w:p w14:paraId="282BA64B" w14:textId="77777777" w:rsidR="00000000" w:rsidRDefault="0053651E">
            <w:pPr>
              <w:pStyle w:val="a3"/>
              <w:spacing w:before="0" w:beforeAutospacing="0" w:after="0" w:afterAutospacing="0"/>
              <w:jc w:val="right"/>
              <w:rPr>
                <w:sz w:val="20"/>
                <w:szCs w:val="20"/>
              </w:rPr>
            </w:pPr>
            <w:r>
              <w:rPr>
                <w:sz w:val="20"/>
                <w:szCs w:val="20"/>
              </w:rPr>
              <w:t>1,957</w:t>
            </w:r>
          </w:p>
        </w:tc>
        <w:tc>
          <w:tcPr>
            <w:tcW w:w="50" w:type="pct"/>
            <w:shd w:val="clear" w:color="auto" w:fill="FFFFFF"/>
            <w:vAlign w:val="center"/>
            <w:hideMark/>
          </w:tcPr>
          <w:p w14:paraId="2D976589" w14:textId="77777777" w:rsidR="00000000" w:rsidRDefault="0053651E">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center"/>
            <w:hideMark/>
          </w:tcPr>
          <w:p w14:paraId="241F0DE4" w14:textId="77777777" w:rsidR="00000000" w:rsidRDefault="0053651E">
            <w:pPr>
              <w:pStyle w:val="a3"/>
              <w:spacing w:before="0" w:beforeAutospacing="0" w:after="0" w:afterAutospacing="0"/>
              <w:jc w:val="right"/>
              <w:rPr>
                <w:sz w:val="20"/>
                <w:szCs w:val="20"/>
              </w:rPr>
            </w:pPr>
            <w:r>
              <w:rPr>
                <w:sz w:val="20"/>
                <w:szCs w:val="20"/>
              </w:rPr>
              <w:t> </w:t>
            </w:r>
          </w:p>
        </w:tc>
        <w:tc>
          <w:tcPr>
            <w:tcW w:w="350" w:type="pct"/>
            <w:tcBorders>
              <w:bottom w:val="single" w:sz="6" w:space="0" w:color="000000"/>
            </w:tcBorders>
            <w:shd w:val="clear" w:color="auto" w:fill="FFFFFF"/>
            <w:vAlign w:val="center"/>
            <w:hideMark/>
          </w:tcPr>
          <w:p w14:paraId="5664A47D" w14:textId="77777777" w:rsidR="00000000" w:rsidRDefault="0053651E">
            <w:pPr>
              <w:pStyle w:val="a3"/>
              <w:spacing w:before="0" w:beforeAutospacing="0" w:after="0" w:afterAutospacing="0"/>
              <w:jc w:val="right"/>
              <w:rPr>
                <w:sz w:val="20"/>
                <w:szCs w:val="20"/>
              </w:rPr>
            </w:pPr>
            <w:r>
              <w:rPr>
                <w:sz w:val="20"/>
                <w:szCs w:val="20"/>
              </w:rPr>
              <w:t>5,389</w:t>
            </w:r>
          </w:p>
        </w:tc>
        <w:tc>
          <w:tcPr>
            <w:tcW w:w="50" w:type="pct"/>
            <w:shd w:val="clear" w:color="auto" w:fill="FFFFFF"/>
            <w:vAlign w:val="center"/>
            <w:hideMark/>
          </w:tcPr>
          <w:p w14:paraId="6E0746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281EBBE0" w14:textId="77777777" w:rsidR="00000000" w:rsidRDefault="0053651E">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center"/>
            <w:hideMark/>
          </w:tcPr>
          <w:p w14:paraId="3E1A43E3" w14:textId="77777777" w:rsidR="00000000" w:rsidRDefault="0053651E">
            <w:pPr>
              <w:pStyle w:val="a3"/>
              <w:spacing w:before="0" w:beforeAutospacing="0" w:after="0" w:afterAutospacing="0"/>
              <w:jc w:val="right"/>
              <w:rPr>
                <w:sz w:val="20"/>
                <w:szCs w:val="20"/>
              </w:rPr>
            </w:pPr>
            <w:r>
              <w:rPr>
                <w:sz w:val="20"/>
                <w:szCs w:val="20"/>
              </w:rPr>
              <w:t> </w:t>
            </w:r>
          </w:p>
        </w:tc>
        <w:tc>
          <w:tcPr>
            <w:tcW w:w="550" w:type="pct"/>
            <w:tcBorders>
              <w:bottom w:val="single" w:sz="6" w:space="0" w:color="000000"/>
            </w:tcBorders>
            <w:shd w:val="clear" w:color="auto" w:fill="FFFFFF"/>
            <w:vAlign w:val="center"/>
            <w:hideMark/>
          </w:tcPr>
          <w:p w14:paraId="10AB2832" w14:textId="77777777" w:rsidR="00000000" w:rsidRDefault="0053651E">
            <w:pPr>
              <w:pStyle w:val="a3"/>
              <w:spacing w:before="0" w:beforeAutospacing="0" w:after="0" w:afterAutospacing="0"/>
              <w:jc w:val="right"/>
              <w:rPr>
                <w:sz w:val="20"/>
                <w:szCs w:val="20"/>
              </w:rPr>
            </w:pPr>
            <w:r>
              <w:rPr>
                <w:sz w:val="20"/>
                <w:szCs w:val="20"/>
              </w:rPr>
              <w:t>4,543</w:t>
            </w:r>
          </w:p>
        </w:tc>
        <w:tc>
          <w:tcPr>
            <w:tcW w:w="50" w:type="pct"/>
            <w:shd w:val="clear" w:color="auto" w:fill="FFFFFF"/>
            <w:vAlign w:val="center"/>
            <w:hideMark/>
          </w:tcPr>
          <w:p w14:paraId="1131B9A5" w14:textId="77777777" w:rsidR="00000000" w:rsidRDefault="0053651E">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center"/>
            <w:hideMark/>
          </w:tcPr>
          <w:p w14:paraId="3BAB9A40" w14:textId="77777777" w:rsidR="00000000" w:rsidRDefault="0053651E">
            <w:pPr>
              <w:pStyle w:val="a3"/>
              <w:spacing w:before="0" w:beforeAutospacing="0" w:after="0" w:afterAutospacing="0"/>
              <w:jc w:val="right"/>
              <w:rPr>
                <w:sz w:val="20"/>
                <w:szCs w:val="20"/>
              </w:rPr>
            </w:pPr>
            <w:r>
              <w:rPr>
                <w:sz w:val="20"/>
                <w:szCs w:val="20"/>
              </w:rPr>
              <w:t> </w:t>
            </w:r>
          </w:p>
        </w:tc>
        <w:tc>
          <w:tcPr>
            <w:tcW w:w="500" w:type="pct"/>
            <w:tcBorders>
              <w:bottom w:val="single" w:sz="6" w:space="0" w:color="000000"/>
            </w:tcBorders>
            <w:shd w:val="clear" w:color="auto" w:fill="FFFFFF"/>
            <w:vAlign w:val="center"/>
            <w:hideMark/>
          </w:tcPr>
          <w:p w14:paraId="414962A4" w14:textId="77777777" w:rsidR="00000000" w:rsidRDefault="0053651E">
            <w:pPr>
              <w:pStyle w:val="a3"/>
              <w:spacing w:before="0" w:beforeAutospacing="0" w:after="0" w:afterAutospacing="0"/>
              <w:jc w:val="right"/>
              <w:rPr>
                <w:sz w:val="20"/>
                <w:szCs w:val="20"/>
              </w:rPr>
            </w:pPr>
            <w:r>
              <w:rPr>
                <w:sz w:val="20"/>
                <w:szCs w:val="20"/>
              </w:rPr>
              <w:t>11,889</w:t>
            </w:r>
          </w:p>
        </w:tc>
        <w:tc>
          <w:tcPr>
            <w:tcW w:w="50" w:type="pct"/>
            <w:shd w:val="clear" w:color="auto" w:fill="FFFFFF"/>
            <w:vAlign w:val="center"/>
            <w:hideMark/>
          </w:tcPr>
          <w:p w14:paraId="3759FBCE" w14:textId="77777777" w:rsidR="00000000" w:rsidRDefault="0053651E">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center"/>
            <w:hideMark/>
          </w:tcPr>
          <w:p w14:paraId="121DD997" w14:textId="77777777" w:rsidR="00000000" w:rsidRDefault="0053651E">
            <w:pPr>
              <w:pStyle w:val="a3"/>
              <w:spacing w:before="0" w:beforeAutospacing="0" w:after="0" w:afterAutospacing="0"/>
              <w:jc w:val="right"/>
              <w:rPr>
                <w:sz w:val="20"/>
                <w:szCs w:val="20"/>
              </w:rPr>
            </w:pPr>
            <w:r>
              <w:rPr>
                <w:sz w:val="20"/>
                <w:szCs w:val="20"/>
              </w:rPr>
              <w:t>165</w:t>
            </w:r>
          </w:p>
        </w:tc>
      </w:tr>
      <w:tr w:rsidR="00000000" w14:paraId="7C15F738" w14:textId="77777777">
        <w:trPr>
          <w:divId w:val="543834524"/>
          <w:tblCellSpacing w:w="0" w:type="dxa"/>
        </w:trPr>
        <w:tc>
          <w:tcPr>
            <w:tcW w:w="1000" w:type="pct"/>
            <w:shd w:val="clear" w:color="auto" w:fill="CCEEFF"/>
            <w:vAlign w:val="center"/>
            <w:hideMark/>
          </w:tcPr>
          <w:p w14:paraId="62B76942" w14:textId="77777777" w:rsidR="00000000" w:rsidRDefault="0053651E">
            <w:pPr>
              <w:pStyle w:val="a3"/>
              <w:spacing w:before="0" w:beforeAutospacing="0" w:after="0" w:afterAutospacing="0"/>
              <w:rPr>
                <w:sz w:val="20"/>
                <w:szCs w:val="20"/>
              </w:rPr>
            </w:pPr>
            <w:r>
              <w:rPr>
                <w:sz w:val="20"/>
                <w:szCs w:val="20"/>
              </w:rPr>
              <w:t> </w:t>
            </w:r>
          </w:p>
        </w:tc>
        <w:tc>
          <w:tcPr>
            <w:tcW w:w="700" w:type="pct"/>
            <w:shd w:val="clear" w:color="auto" w:fill="CCEEFF"/>
            <w:vAlign w:val="center"/>
            <w:hideMark/>
          </w:tcPr>
          <w:p w14:paraId="314E03DC" w14:textId="77777777" w:rsidR="00000000" w:rsidRDefault="0053651E">
            <w:pPr>
              <w:pStyle w:val="a3"/>
              <w:spacing w:before="0" w:beforeAutospacing="0" w:after="0" w:afterAutospacing="0"/>
              <w:rPr>
                <w:sz w:val="20"/>
                <w:szCs w:val="20"/>
              </w:rPr>
            </w:pPr>
            <w:r>
              <w:rPr>
                <w:sz w:val="20"/>
                <w:szCs w:val="20"/>
              </w:rPr>
              <w:t> </w:t>
            </w:r>
          </w:p>
        </w:tc>
        <w:tc>
          <w:tcPr>
            <w:tcW w:w="500" w:type="pct"/>
            <w:shd w:val="clear" w:color="auto" w:fill="CCEEFF"/>
            <w:vAlign w:val="center"/>
            <w:hideMark/>
          </w:tcPr>
          <w:p w14:paraId="18F6E491" w14:textId="77777777" w:rsidR="00000000" w:rsidRDefault="0053651E">
            <w:pPr>
              <w:pStyle w:val="a3"/>
              <w:spacing w:before="0" w:beforeAutospacing="0" w:after="0" w:afterAutospacing="0"/>
              <w:jc w:val="center"/>
              <w:rPr>
                <w:sz w:val="20"/>
                <w:szCs w:val="20"/>
              </w:rPr>
            </w:pPr>
            <w:r>
              <w:rPr>
                <w:sz w:val="20"/>
                <w:szCs w:val="20"/>
              </w:rPr>
              <w:t> </w:t>
            </w:r>
          </w:p>
        </w:tc>
        <w:tc>
          <w:tcPr>
            <w:tcW w:w="50" w:type="pct"/>
            <w:shd w:val="clear" w:color="auto" w:fill="CCEEFF"/>
            <w:vAlign w:val="center"/>
            <w:hideMark/>
          </w:tcPr>
          <w:p w14:paraId="52AB59C1" w14:textId="77777777" w:rsidR="00000000" w:rsidRDefault="0053651E">
            <w:pPr>
              <w:pStyle w:val="a3"/>
              <w:spacing w:before="0" w:beforeAutospacing="0" w:after="0" w:afterAutospacing="0"/>
              <w:jc w:val="right"/>
              <w:rPr>
                <w:sz w:val="20"/>
                <w:szCs w:val="20"/>
              </w:rPr>
            </w:pPr>
            <w:r>
              <w:rPr>
                <w:sz w:val="20"/>
                <w:szCs w:val="20"/>
              </w:rPr>
              <w:t> </w:t>
            </w:r>
          </w:p>
        </w:tc>
        <w:tc>
          <w:tcPr>
            <w:tcW w:w="50" w:type="pct"/>
            <w:shd w:val="clear" w:color="auto" w:fill="CCEEFF"/>
            <w:vAlign w:val="center"/>
            <w:hideMark/>
          </w:tcPr>
          <w:p w14:paraId="129F1B1B" w14:textId="77777777" w:rsidR="00000000" w:rsidRDefault="0053651E">
            <w:pPr>
              <w:pStyle w:val="a3"/>
              <w:spacing w:before="0" w:beforeAutospacing="0" w:after="0" w:afterAutospacing="0"/>
              <w:jc w:val="right"/>
              <w:rPr>
                <w:sz w:val="20"/>
                <w:szCs w:val="20"/>
              </w:rPr>
            </w:pPr>
            <w:r>
              <w:rPr>
                <w:b/>
                <w:bCs/>
                <w:sz w:val="20"/>
                <w:szCs w:val="20"/>
              </w:rPr>
              <w:t>$</w:t>
            </w:r>
          </w:p>
        </w:tc>
        <w:tc>
          <w:tcPr>
            <w:tcW w:w="300" w:type="pct"/>
            <w:tcBorders>
              <w:bottom w:val="double" w:sz="6" w:space="0" w:color="000000"/>
            </w:tcBorders>
            <w:shd w:val="clear" w:color="auto" w:fill="CCEEFF"/>
            <w:vAlign w:val="center"/>
            <w:hideMark/>
          </w:tcPr>
          <w:p w14:paraId="7CDF940D" w14:textId="77777777" w:rsidR="00000000" w:rsidRDefault="0053651E">
            <w:pPr>
              <w:pStyle w:val="a3"/>
              <w:spacing w:before="0" w:beforeAutospacing="0" w:after="0" w:afterAutospacing="0"/>
              <w:jc w:val="right"/>
              <w:rPr>
                <w:sz w:val="20"/>
                <w:szCs w:val="20"/>
              </w:rPr>
            </w:pPr>
            <w:r>
              <w:rPr>
                <w:b/>
                <w:bCs/>
                <w:sz w:val="20"/>
                <w:szCs w:val="20"/>
              </w:rPr>
              <w:t>33,226</w:t>
            </w:r>
          </w:p>
        </w:tc>
        <w:tc>
          <w:tcPr>
            <w:tcW w:w="50" w:type="pct"/>
            <w:shd w:val="clear" w:color="auto" w:fill="CCEEFF"/>
            <w:vAlign w:val="center"/>
            <w:hideMark/>
          </w:tcPr>
          <w:p w14:paraId="283FAE3C" w14:textId="77777777" w:rsidR="00000000" w:rsidRDefault="0053651E">
            <w:pPr>
              <w:pStyle w:val="a3"/>
              <w:spacing w:before="0" w:beforeAutospacing="0" w:after="0" w:afterAutospacing="0"/>
              <w:jc w:val="right"/>
              <w:rPr>
                <w:sz w:val="20"/>
                <w:szCs w:val="20"/>
              </w:rPr>
            </w:pPr>
            <w:r>
              <w:rPr>
                <w:b/>
                <w:bCs/>
                <w:sz w:val="20"/>
                <w:szCs w:val="20"/>
              </w:rPr>
              <w:t> </w:t>
            </w:r>
          </w:p>
        </w:tc>
        <w:tc>
          <w:tcPr>
            <w:tcW w:w="100" w:type="pct"/>
            <w:tcBorders>
              <w:bottom w:val="double" w:sz="6" w:space="0" w:color="000000"/>
            </w:tcBorders>
            <w:shd w:val="clear" w:color="auto" w:fill="CCEEFF"/>
            <w:vAlign w:val="center"/>
            <w:hideMark/>
          </w:tcPr>
          <w:p w14:paraId="2E0C02D9" w14:textId="77777777" w:rsidR="00000000" w:rsidRDefault="0053651E">
            <w:pPr>
              <w:pStyle w:val="a3"/>
              <w:spacing w:before="0" w:beforeAutospacing="0" w:after="0" w:afterAutospacing="0"/>
              <w:jc w:val="right"/>
              <w:rPr>
                <w:sz w:val="20"/>
                <w:szCs w:val="20"/>
              </w:rPr>
            </w:pPr>
            <w:r>
              <w:rPr>
                <w:b/>
                <w:bCs/>
                <w:sz w:val="20"/>
                <w:szCs w:val="20"/>
              </w:rPr>
              <w:t> $ </w:t>
            </w:r>
          </w:p>
        </w:tc>
        <w:tc>
          <w:tcPr>
            <w:tcW w:w="350" w:type="pct"/>
            <w:tcBorders>
              <w:bottom w:val="double" w:sz="6" w:space="0" w:color="000000"/>
            </w:tcBorders>
            <w:shd w:val="clear" w:color="auto" w:fill="CCEEFF"/>
            <w:vAlign w:val="center"/>
            <w:hideMark/>
          </w:tcPr>
          <w:p w14:paraId="1DD60A83" w14:textId="77777777" w:rsidR="00000000" w:rsidRDefault="0053651E">
            <w:pPr>
              <w:pStyle w:val="a3"/>
              <w:spacing w:before="0" w:beforeAutospacing="0" w:after="0" w:afterAutospacing="0"/>
              <w:jc w:val="right"/>
              <w:rPr>
                <w:sz w:val="20"/>
                <w:szCs w:val="20"/>
              </w:rPr>
            </w:pPr>
            <w:r>
              <w:rPr>
                <w:b/>
                <w:bCs/>
                <w:sz w:val="20"/>
                <w:szCs w:val="20"/>
              </w:rPr>
              <w:t>5,389</w:t>
            </w:r>
          </w:p>
        </w:tc>
        <w:tc>
          <w:tcPr>
            <w:tcW w:w="50" w:type="pct"/>
            <w:shd w:val="clear" w:color="auto" w:fill="CCEEFF"/>
            <w:vAlign w:val="center"/>
            <w:hideMark/>
          </w:tcPr>
          <w:p w14:paraId="375E08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2D7CBA96" w14:textId="77777777" w:rsidR="00000000" w:rsidRDefault="0053651E">
            <w:pPr>
              <w:pStyle w:val="a3"/>
              <w:spacing w:before="0" w:beforeAutospacing="0" w:after="0" w:afterAutospacing="0"/>
              <w:jc w:val="right"/>
              <w:rPr>
                <w:sz w:val="20"/>
                <w:szCs w:val="20"/>
              </w:rPr>
            </w:pPr>
            <w:r>
              <w:rPr>
                <w:b/>
                <w:bCs/>
                <w:sz w:val="20"/>
                <w:szCs w:val="20"/>
              </w:rPr>
              <w:t> </w:t>
            </w:r>
          </w:p>
        </w:tc>
        <w:tc>
          <w:tcPr>
            <w:tcW w:w="100" w:type="pct"/>
            <w:tcBorders>
              <w:bottom w:val="double" w:sz="6" w:space="0" w:color="000000"/>
            </w:tcBorders>
            <w:shd w:val="clear" w:color="auto" w:fill="CCEEFF"/>
            <w:vAlign w:val="center"/>
            <w:hideMark/>
          </w:tcPr>
          <w:p w14:paraId="250EE0A3" w14:textId="77777777" w:rsidR="00000000" w:rsidRDefault="0053651E">
            <w:pPr>
              <w:pStyle w:val="a3"/>
              <w:spacing w:before="0" w:beforeAutospacing="0" w:after="0" w:afterAutospacing="0"/>
              <w:jc w:val="right"/>
              <w:rPr>
                <w:sz w:val="20"/>
                <w:szCs w:val="20"/>
              </w:rPr>
            </w:pPr>
            <w:r>
              <w:rPr>
                <w:b/>
                <w:bCs/>
                <w:sz w:val="20"/>
                <w:szCs w:val="20"/>
              </w:rPr>
              <w:t> $ </w:t>
            </w:r>
          </w:p>
        </w:tc>
        <w:tc>
          <w:tcPr>
            <w:tcW w:w="550" w:type="pct"/>
            <w:tcBorders>
              <w:bottom w:val="double" w:sz="6" w:space="0" w:color="000000"/>
            </w:tcBorders>
            <w:shd w:val="clear" w:color="auto" w:fill="CCEEFF"/>
            <w:vAlign w:val="center"/>
            <w:hideMark/>
          </w:tcPr>
          <w:p w14:paraId="46CCA661" w14:textId="77777777" w:rsidR="00000000" w:rsidRDefault="0053651E">
            <w:pPr>
              <w:pStyle w:val="a3"/>
              <w:spacing w:before="0" w:beforeAutospacing="0" w:after="0" w:afterAutospacing="0"/>
              <w:jc w:val="right"/>
              <w:rPr>
                <w:sz w:val="20"/>
                <w:szCs w:val="20"/>
              </w:rPr>
            </w:pPr>
            <w:r>
              <w:rPr>
                <w:b/>
                <w:bCs/>
                <w:sz w:val="20"/>
                <w:szCs w:val="20"/>
              </w:rPr>
              <w:t>4,543</w:t>
            </w:r>
          </w:p>
        </w:tc>
        <w:tc>
          <w:tcPr>
            <w:tcW w:w="50" w:type="pct"/>
            <w:shd w:val="clear" w:color="auto" w:fill="CCEEFF"/>
            <w:vAlign w:val="center"/>
            <w:hideMark/>
          </w:tcPr>
          <w:p w14:paraId="3417B6EC" w14:textId="77777777" w:rsidR="00000000" w:rsidRDefault="0053651E">
            <w:pPr>
              <w:pStyle w:val="a3"/>
              <w:spacing w:before="0" w:beforeAutospacing="0" w:after="0" w:afterAutospacing="0"/>
              <w:jc w:val="right"/>
              <w:rPr>
                <w:sz w:val="20"/>
                <w:szCs w:val="20"/>
              </w:rPr>
            </w:pPr>
            <w:r>
              <w:rPr>
                <w:b/>
                <w:bCs/>
                <w:sz w:val="20"/>
                <w:szCs w:val="20"/>
              </w:rPr>
              <w:t> </w:t>
            </w:r>
          </w:p>
        </w:tc>
        <w:tc>
          <w:tcPr>
            <w:tcW w:w="100" w:type="pct"/>
            <w:tcBorders>
              <w:bottom w:val="double" w:sz="6" w:space="0" w:color="000000"/>
            </w:tcBorders>
            <w:shd w:val="clear" w:color="auto" w:fill="CCEEFF"/>
            <w:vAlign w:val="center"/>
            <w:hideMark/>
          </w:tcPr>
          <w:p w14:paraId="0CD153DA" w14:textId="77777777" w:rsidR="00000000" w:rsidRDefault="0053651E">
            <w:pPr>
              <w:pStyle w:val="a3"/>
              <w:spacing w:before="0" w:beforeAutospacing="0" w:after="0" w:afterAutospacing="0"/>
              <w:jc w:val="right"/>
              <w:rPr>
                <w:sz w:val="20"/>
                <w:szCs w:val="20"/>
              </w:rPr>
            </w:pPr>
            <w:r>
              <w:rPr>
                <w:b/>
                <w:bCs/>
                <w:sz w:val="20"/>
                <w:szCs w:val="20"/>
              </w:rPr>
              <w:t> $ </w:t>
            </w:r>
          </w:p>
        </w:tc>
        <w:tc>
          <w:tcPr>
            <w:tcW w:w="500" w:type="pct"/>
            <w:tcBorders>
              <w:bottom w:val="double" w:sz="6" w:space="0" w:color="000000"/>
            </w:tcBorders>
            <w:shd w:val="clear" w:color="auto" w:fill="CCEEFF"/>
            <w:vAlign w:val="center"/>
            <w:hideMark/>
          </w:tcPr>
          <w:p w14:paraId="558A9D0C" w14:textId="77777777" w:rsidR="00000000" w:rsidRDefault="0053651E">
            <w:pPr>
              <w:pStyle w:val="a3"/>
              <w:spacing w:before="0" w:beforeAutospacing="0" w:after="0" w:afterAutospacing="0"/>
              <w:jc w:val="right"/>
              <w:rPr>
                <w:sz w:val="20"/>
                <w:szCs w:val="20"/>
              </w:rPr>
            </w:pPr>
            <w:r>
              <w:rPr>
                <w:b/>
                <w:bCs/>
                <w:sz w:val="20"/>
                <w:szCs w:val="20"/>
              </w:rPr>
              <w:t>43,158</w:t>
            </w:r>
          </w:p>
        </w:tc>
        <w:tc>
          <w:tcPr>
            <w:tcW w:w="50" w:type="pct"/>
            <w:shd w:val="clear" w:color="auto" w:fill="CCEEFF"/>
            <w:vAlign w:val="center"/>
            <w:hideMark/>
          </w:tcPr>
          <w:p w14:paraId="41B7C0CF" w14:textId="77777777" w:rsidR="00000000" w:rsidRDefault="0053651E">
            <w:pPr>
              <w:pStyle w:val="a3"/>
              <w:spacing w:before="0" w:beforeAutospacing="0" w:after="0" w:afterAutospacing="0"/>
              <w:jc w:val="right"/>
              <w:rPr>
                <w:sz w:val="20"/>
                <w:szCs w:val="20"/>
              </w:rPr>
            </w:pPr>
            <w:r>
              <w:rPr>
                <w:b/>
                <w:bCs/>
                <w:sz w:val="20"/>
                <w:szCs w:val="20"/>
              </w:rPr>
              <w:t> </w:t>
            </w:r>
          </w:p>
        </w:tc>
        <w:tc>
          <w:tcPr>
            <w:tcW w:w="500" w:type="pct"/>
            <w:tcBorders>
              <w:bottom w:val="double" w:sz="6" w:space="0" w:color="000000"/>
            </w:tcBorders>
            <w:shd w:val="clear" w:color="auto" w:fill="CCEEFF"/>
            <w:vAlign w:val="center"/>
            <w:hideMark/>
          </w:tcPr>
          <w:p w14:paraId="416C8ACF" w14:textId="77777777" w:rsidR="00000000" w:rsidRDefault="0053651E">
            <w:pPr>
              <w:pStyle w:val="a3"/>
              <w:spacing w:before="0" w:beforeAutospacing="0" w:after="0" w:afterAutospacing="0"/>
              <w:jc w:val="right"/>
              <w:rPr>
                <w:sz w:val="20"/>
                <w:szCs w:val="20"/>
              </w:rPr>
            </w:pPr>
            <w:r>
              <w:rPr>
                <w:b/>
                <w:bCs/>
                <w:sz w:val="20"/>
                <w:szCs w:val="20"/>
              </w:rPr>
              <w:t>290</w:t>
            </w:r>
          </w:p>
        </w:tc>
      </w:tr>
    </w:tbl>
    <w:p w14:paraId="71BA1F3E" w14:textId="77777777" w:rsidR="00000000" w:rsidRDefault="0053651E">
      <w:pPr>
        <w:pStyle w:val="a3"/>
        <w:spacing w:before="0" w:beforeAutospacing="0" w:after="0" w:afterAutospacing="0"/>
        <w:ind w:firstLine="360"/>
        <w:divId w:val="543834524"/>
        <w:rPr>
          <w:sz w:val="20"/>
          <w:szCs w:val="20"/>
        </w:rPr>
      </w:pPr>
      <w:r>
        <w:rPr>
          <w:sz w:val="20"/>
          <w:szCs w:val="20"/>
        </w:rPr>
        <w:t> </w:t>
      </w:r>
    </w:p>
    <w:p w14:paraId="0C4D9020" w14:textId="77777777" w:rsidR="00000000" w:rsidRDefault="0053651E">
      <w:pPr>
        <w:ind w:firstLine="180"/>
        <w:divId w:val="1803111070"/>
        <w:rPr>
          <w:rFonts w:eastAsia="Times New Roman"/>
          <w:sz w:val="20"/>
          <w:szCs w:val="20"/>
        </w:rPr>
      </w:pPr>
      <w:r>
        <w:rPr>
          <w:rFonts w:eastAsia="Times New Roman"/>
          <w:sz w:val="20"/>
          <w:szCs w:val="20"/>
        </w:rPr>
        <w:t xml:space="preserve">* The Company utilized an aggregate $36.1 </w:t>
      </w:r>
      <w:r>
        <w:rPr>
          <w:rFonts w:eastAsia="Times New Roman"/>
          <w:sz w:val="20"/>
          <w:szCs w:val="20"/>
        </w:rPr>
        <w:t>million associated with Internal Revenue Code</w:t>
      </w:r>
      <w:r>
        <w:rPr>
          <w:rFonts w:eastAsia="Times New Roman"/>
          <w:sz w:val="20"/>
          <w:szCs w:val="20"/>
        </w:rPr>
        <w:t xml:space="preserve"> </w:t>
      </w:r>
      <w:r>
        <w:rPr>
          <w:rStyle w:val="a6"/>
          <w:rFonts w:eastAsia="Times New Roman"/>
          <w:i w:val="0"/>
          <w:iCs w:val="0"/>
          <w:sz w:val="20"/>
          <w:szCs w:val="20"/>
        </w:rPr>
        <w:t>26</w:t>
      </w:r>
      <w:r>
        <w:rPr>
          <w:rFonts w:eastAsia="Times New Roman"/>
          <w:sz w:val="20"/>
          <w:szCs w:val="20"/>
        </w:rPr>
        <w:t xml:space="preserve"> U.S.C.</w:t>
      </w:r>
      <w:r>
        <w:rPr>
          <w:rFonts w:eastAsia="Times New Roman"/>
          <w:sz w:val="20"/>
          <w:szCs w:val="20"/>
        </w:rPr>
        <w:t xml:space="preserve"> </w:t>
      </w:r>
      <w:r>
        <w:rPr>
          <w:rStyle w:val="a6"/>
          <w:rFonts w:eastAsia="Times New Roman"/>
          <w:i w:val="0"/>
          <w:iCs w:val="0"/>
          <w:sz w:val="20"/>
          <w:szCs w:val="20"/>
        </w:rPr>
        <w:t>§1031</w:t>
      </w:r>
      <w:r>
        <w:rPr>
          <w:rFonts w:eastAsia="Times New Roman"/>
          <w:sz w:val="20"/>
          <w:szCs w:val="20"/>
        </w:rPr>
        <w:t xml:space="preserve"> sales proceeds. </w:t>
      </w:r>
    </w:p>
    <w:p w14:paraId="169EE62E" w14:textId="77777777" w:rsidR="00000000" w:rsidRDefault="0053651E">
      <w:pPr>
        <w:ind w:firstLine="180"/>
        <w:divId w:val="748768559"/>
        <w:rPr>
          <w:rFonts w:eastAsia="Times New Roman"/>
          <w:sz w:val="20"/>
          <w:szCs w:val="20"/>
        </w:rPr>
      </w:pPr>
      <w:r>
        <w:rPr>
          <w:rFonts w:eastAsia="Times New Roman"/>
          <w:sz w:val="20"/>
          <w:szCs w:val="20"/>
        </w:rPr>
        <w:t xml:space="preserve">** Gross leasable area ("GLA") </w:t>
      </w:r>
    </w:p>
    <w:p w14:paraId="68F14248" w14:textId="77777777" w:rsidR="00000000" w:rsidRDefault="0053651E">
      <w:pPr>
        <w:pStyle w:val="a3"/>
        <w:spacing w:before="0" w:beforeAutospacing="0" w:after="0" w:afterAutospacing="0"/>
        <w:ind w:firstLine="180"/>
        <w:rPr>
          <w:sz w:val="20"/>
          <w:szCs w:val="20"/>
        </w:rPr>
      </w:pPr>
      <w:r>
        <w:rPr>
          <w:sz w:val="20"/>
          <w:szCs w:val="20"/>
        </w:rPr>
        <w:t>*** Includes the Company's previously held equity interest investment, net of noncontrolling interest of the remaining partners.</w:t>
      </w:r>
    </w:p>
    <w:p w14:paraId="0A88C09E" w14:textId="77777777" w:rsidR="00000000" w:rsidRDefault="0053651E">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72D4742" w14:textId="77777777">
        <w:trPr>
          <w:tblCellSpacing w:w="0" w:type="dxa"/>
        </w:trPr>
        <w:tc>
          <w:tcPr>
            <w:tcW w:w="360" w:type="dxa"/>
            <w:hideMark/>
          </w:tcPr>
          <w:p w14:paraId="3B521590"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5711F693" w14:textId="77777777" w:rsidR="00000000" w:rsidRDefault="0053651E">
            <w:pPr>
              <w:pStyle w:val="a3"/>
              <w:spacing w:before="0" w:beforeAutospacing="0" w:after="0" w:afterAutospacing="0"/>
              <w:jc w:val="both"/>
              <w:rPr>
                <w:sz w:val="20"/>
                <w:szCs w:val="20"/>
              </w:rPr>
            </w:pPr>
            <w:r>
              <w:rPr>
                <w:sz w:val="20"/>
                <w:szCs w:val="20"/>
              </w:rPr>
              <w:t>The Company acquired a partner's ownership interest in a property which was held in a joint venture in which the Company had a noncontrolling interest.  The Company now has a 69.5% controlling interest in this property and has deemed this entity to be a VI</w:t>
            </w:r>
            <w:r>
              <w:rPr>
                <w:sz w:val="20"/>
                <w:szCs w:val="20"/>
              </w:rPr>
              <w:t>E for which the Company is the primary beneficiary and consolidates the asset.  The Company evaluated this transaction pursuant to the FASB’s Consolidation guidance and, as a result, recognized a gain on change in control of interests of $0.1 million resul</w:t>
            </w:r>
            <w:r>
              <w:rPr>
                <w:sz w:val="20"/>
                <w:szCs w:val="20"/>
              </w:rPr>
              <w:t>ting from the fair value adjustment associated with the Company’s previously held equity interest, which are included in the purchase price above in Other Consideration.  </w:t>
            </w:r>
          </w:p>
        </w:tc>
      </w:tr>
    </w:tbl>
    <w:p w14:paraId="4F13915B" w14:textId="77777777" w:rsidR="00000000" w:rsidRDefault="0053651E">
      <w:pPr>
        <w:pStyle w:val="a3"/>
        <w:spacing w:before="0" w:beforeAutospacing="0" w:after="0" w:afterAutospacing="0"/>
        <w:rPr>
          <w:sz w:val="20"/>
          <w:szCs w:val="20"/>
        </w:rPr>
      </w:pPr>
      <w:r>
        <w:rPr>
          <w:sz w:val="20"/>
          <w:szCs w:val="20"/>
        </w:rPr>
        <w:t> </w:t>
      </w:r>
    </w:p>
    <w:p w14:paraId="3CBC3CDB" w14:textId="77777777" w:rsidR="00000000" w:rsidRDefault="0053651E">
      <w:pPr>
        <w:pStyle w:val="a3"/>
        <w:spacing w:before="0" w:beforeAutospacing="0" w:after="0" w:afterAutospacing="0"/>
        <w:ind w:left="360"/>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the Company acquired two land parcels ad</w:t>
      </w:r>
      <w:r>
        <w:rPr>
          <w:sz w:val="20"/>
          <w:szCs w:val="20"/>
        </w:rPr>
        <w:t>jacent to existing shopping centers located in Ardmore, PA and Elmont, NY, in separate transactions, for an aggregate purchase price of $5.4 million.</w:t>
      </w:r>
    </w:p>
    <w:p w14:paraId="1C776D82" w14:textId="77777777" w:rsidR="00000000" w:rsidRDefault="0053651E">
      <w:pPr>
        <w:pStyle w:val="a3"/>
        <w:spacing w:before="0" w:beforeAutospacing="0" w:after="0" w:afterAutospacing="0"/>
        <w:ind w:left="360"/>
        <w:jc w:val="both"/>
        <w:rPr>
          <w:sz w:val="20"/>
          <w:szCs w:val="20"/>
        </w:rPr>
      </w:pPr>
      <w:r>
        <w:rPr>
          <w:sz w:val="20"/>
          <w:szCs w:val="20"/>
        </w:rPr>
        <w:t> </w:t>
      </w:r>
    </w:p>
    <w:p w14:paraId="2CB0E6CD" w14:textId="77777777" w:rsidR="00000000" w:rsidRDefault="0053651E">
      <w:pPr>
        <w:pStyle w:val="a3"/>
        <w:spacing w:before="0" w:beforeAutospacing="0" w:after="0" w:afterAutospacing="0"/>
        <w:ind w:left="360"/>
        <w:jc w:val="both"/>
        <w:rPr>
          <w:sz w:val="20"/>
          <w:szCs w:val="20"/>
        </w:rPr>
      </w:pPr>
      <w:r>
        <w:rPr>
          <w:sz w:val="20"/>
          <w:szCs w:val="20"/>
        </w:rPr>
        <w:t>Included in the Company’s Consolidated Statements of Income are $1.4 million, $0 million and $31.0 milli</w:t>
      </w:r>
      <w:r>
        <w:rPr>
          <w:sz w:val="20"/>
          <w:szCs w:val="20"/>
        </w:rPr>
        <w:t>on in total revenues from the date of acquisition through</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 for operating properties acquired during each of the respective years.</w:t>
      </w:r>
    </w:p>
    <w:p w14:paraId="19930065" w14:textId="77777777" w:rsidR="00000000" w:rsidRDefault="0053651E">
      <w:pPr>
        <w:pStyle w:val="a3"/>
        <w:spacing w:before="0" w:beforeAutospacing="0" w:after="0" w:afterAutospacing="0"/>
        <w:ind w:left="360"/>
        <w:jc w:val="both"/>
        <w:rPr>
          <w:sz w:val="20"/>
          <w:szCs w:val="20"/>
        </w:rPr>
      </w:pPr>
      <w:r>
        <w:rPr>
          <w:i/>
          <w:iCs/>
          <w:sz w:val="20"/>
          <w:szCs w:val="20"/>
        </w:rPr>
        <w:t> </w:t>
      </w:r>
    </w:p>
    <w:p w14:paraId="3782E5D4" w14:textId="77777777" w:rsidR="00000000" w:rsidRDefault="0053651E">
      <w:pPr>
        <w:pStyle w:val="a3"/>
        <w:spacing w:before="0" w:beforeAutospacing="0" w:after="0" w:afterAutospacing="0"/>
        <w:ind w:left="360"/>
        <w:rPr>
          <w:sz w:val="20"/>
          <w:szCs w:val="20"/>
        </w:rPr>
      </w:pPr>
      <w:r>
        <w:rPr>
          <w:i/>
          <w:iCs/>
          <w:sz w:val="20"/>
          <w:szCs w:val="20"/>
        </w:rPr>
        <w:t>Purchase Price Allocations</w:t>
      </w:r>
    </w:p>
    <w:p w14:paraId="33B7C644" w14:textId="77777777" w:rsidR="00000000" w:rsidRDefault="0053651E">
      <w:pPr>
        <w:pStyle w:val="a3"/>
        <w:spacing w:before="0" w:beforeAutospacing="0" w:after="0" w:afterAutospacing="0"/>
        <w:rPr>
          <w:sz w:val="20"/>
          <w:szCs w:val="20"/>
        </w:rPr>
      </w:pPr>
      <w:r>
        <w:rPr>
          <w:sz w:val="20"/>
          <w:szCs w:val="20"/>
        </w:rPr>
        <w:t> </w:t>
      </w:r>
    </w:p>
    <w:p w14:paraId="2C3DE6C9" w14:textId="77777777" w:rsidR="00000000" w:rsidRDefault="0053651E">
      <w:pPr>
        <w:pStyle w:val="a3"/>
        <w:spacing w:before="0" w:beforeAutospacing="0" w:after="0" w:afterAutospacing="0"/>
        <w:ind w:left="360"/>
        <w:jc w:val="both"/>
        <w:rPr>
          <w:sz w:val="20"/>
          <w:szCs w:val="20"/>
        </w:rPr>
      </w:pPr>
      <w:r>
        <w:rPr>
          <w:sz w:val="20"/>
          <w:szCs w:val="20"/>
        </w:rPr>
        <w:t>The purchase price for these acquisitions is all</w:t>
      </w:r>
      <w:r>
        <w:rPr>
          <w:sz w:val="20"/>
          <w:szCs w:val="20"/>
        </w:rPr>
        <w:t>ocated to real estate and related intangible assets acquired and liabilities assumed, as applicable, in accordance with our accounting policies for asset acquisitions. The purchase price allocations for properties acquired/consolidated during the year ende</w:t>
      </w:r>
      <w:r>
        <w:rPr>
          <w:sz w:val="20"/>
          <w:szCs w:val="20"/>
        </w:rPr>
        <w:t>d</w:t>
      </w:r>
      <w:r>
        <w:rPr>
          <w:sz w:val="20"/>
          <w:szCs w:val="20"/>
        </w:rPr>
        <w:t xml:space="preserve"> </w:t>
      </w:r>
      <w:r>
        <w:rPr>
          <w:rStyle w:val="a6"/>
          <w:i w:val="0"/>
          <w:iCs w:val="0"/>
          <w:sz w:val="20"/>
          <w:szCs w:val="20"/>
        </w:rPr>
        <w:t xml:space="preserve">December 31, 2019, </w:t>
      </w:r>
      <w:r>
        <w:rPr>
          <w:sz w:val="20"/>
          <w:szCs w:val="20"/>
        </w:rPr>
        <w:t>are as follows (in thousands):</w:t>
      </w:r>
    </w:p>
    <w:p w14:paraId="5DCB7CD1" w14:textId="77777777" w:rsidR="00000000" w:rsidRDefault="0053651E">
      <w:pPr>
        <w:pStyle w:val="a3"/>
        <w:spacing w:before="0" w:beforeAutospacing="0" w:after="0" w:afterAutospacing="0"/>
        <w:ind w:left="36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10"/>
        <w:gridCol w:w="63"/>
        <w:gridCol w:w="101"/>
        <w:gridCol w:w="1051"/>
        <w:gridCol w:w="67"/>
        <w:gridCol w:w="59"/>
        <w:gridCol w:w="72"/>
        <w:gridCol w:w="1073"/>
        <w:gridCol w:w="64"/>
      </w:tblGrid>
      <w:tr w:rsidR="00000000" w14:paraId="160B0AC9" w14:textId="77777777">
        <w:trPr>
          <w:tblCellSpacing w:w="0" w:type="dxa"/>
        </w:trPr>
        <w:tc>
          <w:tcPr>
            <w:tcW w:w="0" w:type="auto"/>
            <w:vAlign w:val="bottom"/>
            <w:hideMark/>
          </w:tcPr>
          <w:p w14:paraId="628048E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E7A6E4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9E4C2B9" w14:textId="77777777" w:rsidR="00000000" w:rsidRDefault="0053651E">
            <w:pPr>
              <w:pStyle w:val="a3"/>
              <w:spacing w:before="0" w:beforeAutospacing="0" w:after="0" w:afterAutospacing="0"/>
              <w:jc w:val="center"/>
              <w:rPr>
                <w:sz w:val="20"/>
                <w:szCs w:val="20"/>
              </w:rPr>
            </w:pPr>
            <w:r>
              <w:rPr>
                <w:b/>
                <w:bCs/>
                <w:sz w:val="20"/>
                <w:szCs w:val="20"/>
              </w:rPr>
              <w:t>Allocation as of</w:t>
            </w:r>
          </w:p>
          <w:p w14:paraId="080F3104"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49D818F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24232D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0A43E2A" w14:textId="77777777" w:rsidR="00000000" w:rsidRDefault="0053651E">
            <w:pPr>
              <w:pStyle w:val="a3"/>
              <w:spacing w:before="0" w:beforeAutospacing="0" w:after="0" w:afterAutospacing="0"/>
              <w:jc w:val="center"/>
              <w:rPr>
                <w:sz w:val="20"/>
                <w:szCs w:val="20"/>
              </w:rPr>
            </w:pPr>
            <w:r>
              <w:rPr>
                <w:b/>
                <w:bCs/>
                <w:sz w:val="20"/>
                <w:szCs w:val="20"/>
              </w:rPr>
              <w:t>Weighted-Average</w:t>
            </w:r>
          </w:p>
          <w:p w14:paraId="77F19A9D" w14:textId="77777777" w:rsidR="00000000" w:rsidRDefault="0053651E">
            <w:pPr>
              <w:pStyle w:val="a3"/>
              <w:spacing w:before="0" w:beforeAutospacing="0" w:after="0" w:afterAutospacing="0"/>
              <w:jc w:val="center"/>
              <w:rPr>
                <w:sz w:val="20"/>
                <w:szCs w:val="20"/>
              </w:rPr>
            </w:pPr>
            <w:r>
              <w:rPr>
                <w:b/>
                <w:bCs/>
                <w:sz w:val="20"/>
                <w:szCs w:val="20"/>
              </w:rPr>
              <w:t>Amortization Period</w:t>
            </w:r>
          </w:p>
          <w:p w14:paraId="0AC56336" w14:textId="77777777" w:rsidR="00000000" w:rsidRDefault="0053651E">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15" w:type="dxa"/>
              <w:right w:w="0" w:type="dxa"/>
            </w:tcMar>
            <w:vAlign w:val="bottom"/>
            <w:hideMark/>
          </w:tcPr>
          <w:p w14:paraId="517BD0EE" w14:textId="77777777" w:rsidR="00000000" w:rsidRDefault="0053651E">
            <w:pPr>
              <w:rPr>
                <w:rFonts w:eastAsia="Times New Roman"/>
                <w:sz w:val="20"/>
                <w:szCs w:val="20"/>
              </w:rPr>
            </w:pPr>
            <w:r>
              <w:rPr>
                <w:rFonts w:eastAsia="Times New Roman"/>
                <w:sz w:val="20"/>
                <w:szCs w:val="20"/>
              </w:rPr>
              <w:t> </w:t>
            </w:r>
          </w:p>
        </w:tc>
      </w:tr>
      <w:tr w:rsidR="00000000" w14:paraId="11B28DB7" w14:textId="77777777">
        <w:trPr>
          <w:tblCellSpacing w:w="0" w:type="dxa"/>
        </w:trPr>
        <w:tc>
          <w:tcPr>
            <w:tcW w:w="3200" w:type="pct"/>
            <w:shd w:val="clear" w:color="auto" w:fill="CCEEFF"/>
            <w:vAlign w:val="bottom"/>
            <w:hideMark/>
          </w:tcPr>
          <w:p w14:paraId="40A99012" w14:textId="77777777" w:rsidR="00000000" w:rsidRDefault="0053651E">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14:paraId="4408CE3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0DBFF5B"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2E004B3" w14:textId="77777777" w:rsidR="00000000" w:rsidRDefault="0053651E">
            <w:pPr>
              <w:jc w:val="right"/>
              <w:rPr>
                <w:rFonts w:eastAsia="Times New Roman"/>
                <w:sz w:val="20"/>
                <w:szCs w:val="20"/>
              </w:rPr>
            </w:pPr>
            <w:r>
              <w:rPr>
                <w:rFonts w:eastAsia="Times New Roman"/>
                <w:sz w:val="20"/>
                <w:szCs w:val="20"/>
              </w:rPr>
              <w:t>11,852</w:t>
            </w:r>
          </w:p>
        </w:tc>
        <w:tc>
          <w:tcPr>
            <w:tcW w:w="50" w:type="pct"/>
            <w:tcBorders>
              <w:bottom w:val="nil"/>
            </w:tcBorders>
            <w:shd w:val="clear" w:color="auto" w:fill="CCEEFF"/>
            <w:vAlign w:val="bottom"/>
            <w:hideMark/>
          </w:tcPr>
          <w:p w14:paraId="57211B2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C1C402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2D5D17D" w14:textId="77777777" w:rsidR="00000000" w:rsidRDefault="0053651E">
            <w:pP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6FD28086" w14:textId="77777777" w:rsidR="00000000" w:rsidRDefault="0053651E">
            <w:pPr>
              <w:jc w:val="right"/>
              <w:rPr>
                <w:rFonts w:eastAsia="Times New Roman"/>
                <w:sz w:val="20"/>
                <w:szCs w:val="20"/>
              </w:rPr>
            </w:pPr>
            <w:r>
              <w:rPr>
                <w:rStyle w:val="a6"/>
                <w:rFonts w:eastAsia="Times New Roman"/>
                <w:i w:val="0"/>
                <w:iCs w:val="0"/>
                <w:sz w:val="20"/>
                <w:szCs w:val="20"/>
              </w:rPr>
              <w:t>n/a</w:t>
            </w:r>
          </w:p>
        </w:tc>
        <w:tc>
          <w:tcPr>
            <w:tcW w:w="50" w:type="pct"/>
            <w:tcBorders>
              <w:bottom w:val="nil"/>
            </w:tcBorders>
            <w:shd w:val="clear" w:color="auto" w:fill="CCEEFF"/>
            <w:vAlign w:val="bottom"/>
            <w:hideMark/>
          </w:tcPr>
          <w:p w14:paraId="799985E5" w14:textId="77777777" w:rsidR="00000000" w:rsidRDefault="0053651E">
            <w:pPr>
              <w:rPr>
                <w:rFonts w:eastAsia="Times New Roman"/>
                <w:sz w:val="20"/>
                <w:szCs w:val="20"/>
              </w:rPr>
            </w:pPr>
            <w:r>
              <w:rPr>
                <w:rFonts w:eastAsia="Times New Roman"/>
                <w:sz w:val="20"/>
                <w:szCs w:val="20"/>
              </w:rPr>
              <w:t> </w:t>
            </w:r>
          </w:p>
        </w:tc>
      </w:tr>
      <w:tr w:rsidR="00000000" w14:paraId="2364A67E" w14:textId="77777777">
        <w:trPr>
          <w:tblCellSpacing w:w="0" w:type="dxa"/>
        </w:trPr>
        <w:tc>
          <w:tcPr>
            <w:tcW w:w="0" w:type="auto"/>
            <w:shd w:val="clear" w:color="auto" w:fill="FFFFFF"/>
            <w:vAlign w:val="bottom"/>
            <w:hideMark/>
          </w:tcPr>
          <w:p w14:paraId="09F37223" w14:textId="77777777" w:rsidR="00000000" w:rsidRDefault="0053651E">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14:paraId="5B6E55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C84180"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785A484" w14:textId="77777777" w:rsidR="00000000" w:rsidRDefault="0053651E">
            <w:pPr>
              <w:jc w:val="right"/>
              <w:rPr>
                <w:rFonts w:eastAsia="Times New Roman"/>
                <w:sz w:val="20"/>
                <w:szCs w:val="20"/>
              </w:rPr>
            </w:pPr>
            <w:r>
              <w:rPr>
                <w:rFonts w:eastAsia="Times New Roman"/>
                <w:sz w:val="20"/>
                <w:szCs w:val="20"/>
              </w:rPr>
              <w:t>21,075</w:t>
            </w:r>
          </w:p>
        </w:tc>
        <w:tc>
          <w:tcPr>
            <w:tcW w:w="50" w:type="pct"/>
            <w:shd w:val="clear" w:color="auto" w:fill="FFFFFF"/>
            <w:vAlign w:val="bottom"/>
            <w:hideMark/>
          </w:tcPr>
          <w:p w14:paraId="6D052D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B70C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2FC3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F72CA7B" w14:textId="77777777" w:rsidR="00000000" w:rsidRDefault="0053651E">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71CEBE3A" w14:textId="77777777" w:rsidR="00000000" w:rsidRDefault="0053651E">
            <w:pPr>
              <w:rPr>
                <w:rFonts w:eastAsia="Times New Roman"/>
                <w:sz w:val="20"/>
                <w:szCs w:val="20"/>
              </w:rPr>
            </w:pPr>
            <w:r>
              <w:rPr>
                <w:rFonts w:eastAsia="Times New Roman"/>
                <w:sz w:val="20"/>
                <w:szCs w:val="20"/>
              </w:rPr>
              <w:t> </w:t>
            </w:r>
          </w:p>
        </w:tc>
      </w:tr>
      <w:tr w:rsidR="00000000" w14:paraId="2D67D3A6" w14:textId="77777777">
        <w:trPr>
          <w:tblCellSpacing w:w="0" w:type="dxa"/>
        </w:trPr>
        <w:tc>
          <w:tcPr>
            <w:tcW w:w="0" w:type="auto"/>
            <w:shd w:val="clear" w:color="auto" w:fill="CCEEFF"/>
            <w:vAlign w:val="bottom"/>
            <w:hideMark/>
          </w:tcPr>
          <w:p w14:paraId="6753E725" w14:textId="77777777" w:rsidR="00000000" w:rsidRDefault="0053651E">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14:paraId="18D7593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85BC71"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D9AF664" w14:textId="77777777" w:rsidR="00000000" w:rsidRDefault="0053651E">
            <w:pPr>
              <w:jc w:val="right"/>
              <w:rPr>
                <w:rFonts w:eastAsia="Times New Roman"/>
                <w:sz w:val="20"/>
                <w:szCs w:val="20"/>
              </w:rPr>
            </w:pPr>
            <w:r>
              <w:rPr>
                <w:rFonts w:eastAsia="Times New Roman"/>
                <w:sz w:val="20"/>
                <w:szCs w:val="20"/>
              </w:rPr>
              <w:t>3,703</w:t>
            </w:r>
          </w:p>
        </w:tc>
        <w:tc>
          <w:tcPr>
            <w:tcW w:w="50" w:type="pct"/>
            <w:shd w:val="clear" w:color="auto" w:fill="CCEEFF"/>
            <w:vAlign w:val="bottom"/>
            <w:hideMark/>
          </w:tcPr>
          <w:p w14:paraId="1CEB55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2DEE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1F418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621B1A8" w14:textId="77777777" w:rsidR="00000000" w:rsidRDefault="0053651E">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14:paraId="65A95D29" w14:textId="77777777" w:rsidR="00000000" w:rsidRDefault="0053651E">
            <w:pPr>
              <w:rPr>
                <w:rFonts w:eastAsia="Times New Roman"/>
                <w:sz w:val="20"/>
                <w:szCs w:val="20"/>
              </w:rPr>
            </w:pPr>
            <w:r>
              <w:rPr>
                <w:rFonts w:eastAsia="Times New Roman"/>
                <w:sz w:val="20"/>
                <w:szCs w:val="20"/>
              </w:rPr>
              <w:t> </w:t>
            </w:r>
          </w:p>
        </w:tc>
      </w:tr>
      <w:tr w:rsidR="00000000" w14:paraId="6D326257" w14:textId="77777777">
        <w:trPr>
          <w:tblCellSpacing w:w="0" w:type="dxa"/>
        </w:trPr>
        <w:tc>
          <w:tcPr>
            <w:tcW w:w="0" w:type="auto"/>
            <w:shd w:val="clear" w:color="auto" w:fill="FFFFFF"/>
            <w:vAlign w:val="bottom"/>
            <w:hideMark/>
          </w:tcPr>
          <w:p w14:paraId="032F5469" w14:textId="77777777" w:rsidR="00000000" w:rsidRDefault="0053651E">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14:paraId="49C5F0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98D284"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6D0DDDC" w14:textId="77777777" w:rsidR="00000000" w:rsidRDefault="0053651E">
            <w:pPr>
              <w:jc w:val="right"/>
              <w:rPr>
                <w:rFonts w:eastAsia="Times New Roman"/>
                <w:sz w:val="20"/>
                <w:szCs w:val="20"/>
              </w:rPr>
            </w:pPr>
            <w:r>
              <w:rPr>
                <w:rFonts w:eastAsia="Times New Roman"/>
                <w:sz w:val="20"/>
                <w:szCs w:val="20"/>
              </w:rPr>
              <w:t>2,234</w:t>
            </w:r>
          </w:p>
        </w:tc>
        <w:tc>
          <w:tcPr>
            <w:tcW w:w="50" w:type="pct"/>
            <w:shd w:val="clear" w:color="auto" w:fill="FFFFFF"/>
            <w:vAlign w:val="bottom"/>
            <w:hideMark/>
          </w:tcPr>
          <w:p w14:paraId="15DBF4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3E9E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5728DA"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5C701CB" w14:textId="77777777" w:rsidR="00000000" w:rsidRDefault="0053651E">
            <w:pPr>
              <w:jc w:val="right"/>
              <w:rPr>
                <w:rFonts w:eastAsia="Times New Roman"/>
                <w:sz w:val="20"/>
                <w:szCs w:val="20"/>
              </w:rPr>
            </w:pPr>
            <w:r>
              <w:rPr>
                <w:rFonts w:eastAsia="Times New Roman"/>
                <w:sz w:val="20"/>
                <w:szCs w:val="20"/>
              </w:rPr>
              <w:t>16.9</w:t>
            </w:r>
          </w:p>
        </w:tc>
        <w:tc>
          <w:tcPr>
            <w:tcW w:w="50" w:type="pct"/>
            <w:shd w:val="clear" w:color="auto" w:fill="FFFFFF"/>
            <w:vAlign w:val="bottom"/>
            <w:hideMark/>
          </w:tcPr>
          <w:p w14:paraId="4E9CB757" w14:textId="77777777" w:rsidR="00000000" w:rsidRDefault="0053651E">
            <w:pPr>
              <w:rPr>
                <w:rFonts w:eastAsia="Times New Roman"/>
                <w:sz w:val="20"/>
                <w:szCs w:val="20"/>
              </w:rPr>
            </w:pPr>
            <w:r>
              <w:rPr>
                <w:rFonts w:eastAsia="Times New Roman"/>
                <w:sz w:val="20"/>
                <w:szCs w:val="20"/>
              </w:rPr>
              <w:t> </w:t>
            </w:r>
          </w:p>
        </w:tc>
      </w:tr>
      <w:tr w:rsidR="00000000" w14:paraId="2ECA1D83" w14:textId="77777777">
        <w:trPr>
          <w:tblCellSpacing w:w="0" w:type="dxa"/>
        </w:trPr>
        <w:tc>
          <w:tcPr>
            <w:tcW w:w="0" w:type="auto"/>
            <w:shd w:val="clear" w:color="auto" w:fill="CCEEFF"/>
            <w:vAlign w:val="bottom"/>
            <w:hideMark/>
          </w:tcPr>
          <w:p w14:paraId="40F3865C" w14:textId="77777777" w:rsidR="00000000" w:rsidRDefault="0053651E">
            <w:pPr>
              <w:pStyle w:val="a3"/>
              <w:spacing w:before="0" w:beforeAutospacing="0" w:after="0" w:afterAutospacing="0"/>
              <w:rPr>
                <w:sz w:val="20"/>
                <w:szCs w:val="20"/>
              </w:rPr>
            </w:pPr>
            <w:r>
              <w:rPr>
                <w:sz w:val="20"/>
                <w:szCs w:val="20"/>
              </w:rPr>
              <w:t>In-place leases</w:t>
            </w:r>
          </w:p>
        </w:tc>
        <w:tc>
          <w:tcPr>
            <w:tcW w:w="50" w:type="pct"/>
            <w:shd w:val="clear" w:color="auto" w:fill="CCEEFF"/>
            <w:tcMar>
              <w:top w:w="0" w:type="dxa"/>
              <w:left w:w="0" w:type="dxa"/>
              <w:bottom w:w="15" w:type="dxa"/>
              <w:right w:w="0" w:type="dxa"/>
            </w:tcMar>
            <w:vAlign w:val="bottom"/>
            <w:hideMark/>
          </w:tcPr>
          <w:p w14:paraId="597660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6E2E1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6EBDABC" w14:textId="77777777" w:rsidR="00000000" w:rsidRDefault="0053651E">
            <w:pPr>
              <w:jc w:val="right"/>
              <w:rPr>
                <w:rFonts w:eastAsia="Times New Roman"/>
                <w:sz w:val="20"/>
                <w:szCs w:val="20"/>
              </w:rPr>
            </w:pPr>
            <w:r>
              <w:rPr>
                <w:rFonts w:eastAsia="Times New Roman"/>
                <w:sz w:val="20"/>
                <w:szCs w:val="20"/>
              </w:rPr>
              <w:t>4,921</w:t>
            </w:r>
          </w:p>
        </w:tc>
        <w:tc>
          <w:tcPr>
            <w:tcW w:w="50" w:type="pct"/>
            <w:shd w:val="clear" w:color="auto" w:fill="CCEEFF"/>
            <w:tcMar>
              <w:top w:w="0" w:type="dxa"/>
              <w:left w:w="0" w:type="dxa"/>
              <w:bottom w:w="15" w:type="dxa"/>
              <w:right w:w="0" w:type="dxa"/>
            </w:tcMar>
            <w:vAlign w:val="bottom"/>
            <w:hideMark/>
          </w:tcPr>
          <w:p w14:paraId="513354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2D98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32C093"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71287EB" w14:textId="77777777" w:rsidR="00000000" w:rsidRDefault="0053651E">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14:paraId="0CF504E9" w14:textId="77777777" w:rsidR="00000000" w:rsidRDefault="0053651E">
            <w:pPr>
              <w:rPr>
                <w:rFonts w:eastAsia="Times New Roman"/>
                <w:sz w:val="20"/>
                <w:szCs w:val="20"/>
              </w:rPr>
            </w:pPr>
            <w:r>
              <w:rPr>
                <w:rFonts w:eastAsia="Times New Roman"/>
                <w:sz w:val="20"/>
                <w:szCs w:val="20"/>
              </w:rPr>
              <w:t> </w:t>
            </w:r>
          </w:p>
        </w:tc>
      </w:tr>
      <w:tr w:rsidR="00000000" w14:paraId="57034264" w14:textId="77777777">
        <w:trPr>
          <w:tblCellSpacing w:w="0" w:type="dxa"/>
        </w:trPr>
        <w:tc>
          <w:tcPr>
            <w:tcW w:w="0" w:type="auto"/>
            <w:shd w:val="clear" w:color="auto" w:fill="FFFFFF"/>
            <w:vAlign w:val="center"/>
            <w:hideMark/>
          </w:tcPr>
          <w:p w14:paraId="1ADAED47" w14:textId="77777777" w:rsidR="00000000" w:rsidRDefault="0053651E">
            <w:pPr>
              <w:rPr>
                <w:rFonts w:eastAsia="Times New Roman"/>
                <w:sz w:val="20"/>
                <w:szCs w:val="20"/>
              </w:rPr>
            </w:pPr>
            <w:r>
              <w:rPr>
                <w:rFonts w:eastAsia="Times New Roman"/>
                <w:sz w:val="20"/>
                <w:szCs w:val="20"/>
              </w:rPr>
              <w:t>Above-market leases</w:t>
            </w:r>
          </w:p>
        </w:tc>
        <w:tc>
          <w:tcPr>
            <w:tcW w:w="50" w:type="pct"/>
            <w:shd w:val="clear" w:color="auto" w:fill="FFFFFF"/>
            <w:vAlign w:val="center"/>
            <w:hideMark/>
          </w:tcPr>
          <w:p w14:paraId="5BCD89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7246D0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center"/>
            <w:hideMark/>
          </w:tcPr>
          <w:p w14:paraId="4B777318" w14:textId="77777777" w:rsidR="00000000" w:rsidRDefault="0053651E">
            <w:pPr>
              <w:jc w:val="right"/>
              <w:rPr>
                <w:rFonts w:eastAsia="Times New Roman"/>
                <w:sz w:val="20"/>
                <w:szCs w:val="20"/>
              </w:rPr>
            </w:pPr>
            <w:r>
              <w:rPr>
                <w:rFonts w:eastAsia="Times New Roman"/>
                <w:sz w:val="20"/>
                <w:szCs w:val="20"/>
              </w:rPr>
              <w:t>203</w:t>
            </w:r>
          </w:p>
        </w:tc>
        <w:tc>
          <w:tcPr>
            <w:tcW w:w="50" w:type="pct"/>
            <w:shd w:val="clear" w:color="auto" w:fill="FFFFFF"/>
            <w:tcMar>
              <w:top w:w="0" w:type="dxa"/>
              <w:left w:w="0" w:type="dxa"/>
              <w:bottom w:w="45" w:type="dxa"/>
              <w:right w:w="0" w:type="dxa"/>
            </w:tcMar>
            <w:vAlign w:val="center"/>
            <w:hideMark/>
          </w:tcPr>
          <w:p w14:paraId="4087398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1EB7F4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1230512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62A61364" w14:textId="77777777" w:rsidR="00000000" w:rsidRDefault="0053651E">
            <w:pPr>
              <w:jc w:val="right"/>
              <w:rPr>
                <w:rFonts w:eastAsia="Times New Roman"/>
                <w:sz w:val="20"/>
                <w:szCs w:val="20"/>
              </w:rPr>
            </w:pPr>
            <w:r>
              <w:rPr>
                <w:rFonts w:eastAsia="Times New Roman"/>
                <w:sz w:val="20"/>
                <w:szCs w:val="20"/>
              </w:rPr>
              <w:t>9.0</w:t>
            </w:r>
          </w:p>
        </w:tc>
        <w:tc>
          <w:tcPr>
            <w:tcW w:w="0" w:type="auto"/>
            <w:shd w:val="clear" w:color="auto" w:fill="FFFFFF"/>
            <w:vAlign w:val="center"/>
            <w:hideMark/>
          </w:tcPr>
          <w:p w14:paraId="1842D572" w14:textId="77777777" w:rsidR="00000000" w:rsidRDefault="0053651E">
            <w:pPr>
              <w:rPr>
                <w:rFonts w:eastAsia="Times New Roman"/>
                <w:sz w:val="20"/>
                <w:szCs w:val="20"/>
              </w:rPr>
            </w:pPr>
            <w:r>
              <w:rPr>
                <w:rFonts w:eastAsia="Times New Roman"/>
                <w:sz w:val="20"/>
                <w:szCs w:val="20"/>
              </w:rPr>
              <w:t> </w:t>
            </w:r>
          </w:p>
        </w:tc>
      </w:tr>
      <w:tr w:rsidR="00000000" w14:paraId="1316F38C" w14:textId="77777777">
        <w:trPr>
          <w:tblCellSpacing w:w="0" w:type="dxa"/>
        </w:trPr>
        <w:tc>
          <w:tcPr>
            <w:tcW w:w="0" w:type="auto"/>
            <w:shd w:val="clear" w:color="auto" w:fill="CCEEFF"/>
            <w:vAlign w:val="center"/>
            <w:hideMark/>
          </w:tcPr>
          <w:p w14:paraId="3316D736" w14:textId="77777777" w:rsidR="00000000" w:rsidRDefault="0053651E">
            <w:pPr>
              <w:rPr>
                <w:rFonts w:eastAsia="Times New Roman"/>
                <w:sz w:val="20"/>
                <w:szCs w:val="20"/>
              </w:rPr>
            </w:pPr>
            <w:r>
              <w:rPr>
                <w:rFonts w:eastAsia="Times New Roman"/>
                <w:sz w:val="20"/>
                <w:szCs w:val="20"/>
              </w:rPr>
              <w:t>Below-market leases</w:t>
            </w:r>
          </w:p>
        </w:tc>
        <w:tc>
          <w:tcPr>
            <w:tcW w:w="50" w:type="pct"/>
            <w:shd w:val="clear" w:color="auto" w:fill="CCEEFF"/>
            <w:vAlign w:val="center"/>
            <w:hideMark/>
          </w:tcPr>
          <w:p w14:paraId="0E4B07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F5D9F5B"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center"/>
            <w:hideMark/>
          </w:tcPr>
          <w:p w14:paraId="75B7577F" w14:textId="77777777" w:rsidR="00000000" w:rsidRDefault="0053651E">
            <w:pPr>
              <w:jc w:val="right"/>
              <w:rPr>
                <w:rFonts w:eastAsia="Times New Roman"/>
                <w:sz w:val="20"/>
                <w:szCs w:val="20"/>
              </w:rPr>
            </w:pPr>
            <w:r>
              <w:rPr>
                <w:rFonts w:eastAsia="Times New Roman"/>
                <w:sz w:val="20"/>
                <w:szCs w:val="20"/>
              </w:rPr>
              <w:t>(765</w:t>
            </w:r>
          </w:p>
        </w:tc>
        <w:tc>
          <w:tcPr>
            <w:tcW w:w="50" w:type="pct"/>
            <w:shd w:val="clear" w:color="auto" w:fill="CCEEFF"/>
            <w:tcMar>
              <w:top w:w="0" w:type="dxa"/>
              <w:left w:w="0" w:type="dxa"/>
              <w:bottom w:w="45" w:type="dxa"/>
              <w:right w:w="0" w:type="dxa"/>
            </w:tcMar>
            <w:vAlign w:val="center"/>
            <w:hideMark/>
          </w:tcPr>
          <w:p w14:paraId="15A4A3A4"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center"/>
            <w:hideMark/>
          </w:tcPr>
          <w:p w14:paraId="682691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center"/>
            <w:hideMark/>
          </w:tcPr>
          <w:p w14:paraId="2AB58E9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center"/>
            <w:hideMark/>
          </w:tcPr>
          <w:p w14:paraId="122D0F01" w14:textId="77777777" w:rsidR="00000000" w:rsidRDefault="0053651E">
            <w:pPr>
              <w:jc w:val="right"/>
              <w:rPr>
                <w:rFonts w:eastAsia="Times New Roman"/>
                <w:sz w:val="20"/>
                <w:szCs w:val="20"/>
              </w:rPr>
            </w:pPr>
            <w:r>
              <w:rPr>
                <w:rFonts w:eastAsia="Times New Roman"/>
                <w:sz w:val="20"/>
                <w:szCs w:val="20"/>
              </w:rPr>
              <w:t>12.0</w:t>
            </w:r>
          </w:p>
        </w:tc>
        <w:tc>
          <w:tcPr>
            <w:tcW w:w="0" w:type="auto"/>
            <w:shd w:val="clear" w:color="auto" w:fill="CCEEFF"/>
            <w:vAlign w:val="center"/>
            <w:hideMark/>
          </w:tcPr>
          <w:p w14:paraId="65A55767" w14:textId="77777777" w:rsidR="00000000" w:rsidRDefault="0053651E">
            <w:pPr>
              <w:rPr>
                <w:rFonts w:eastAsia="Times New Roman"/>
                <w:sz w:val="20"/>
                <w:szCs w:val="20"/>
              </w:rPr>
            </w:pPr>
            <w:r>
              <w:rPr>
                <w:rFonts w:eastAsia="Times New Roman"/>
                <w:sz w:val="20"/>
                <w:szCs w:val="20"/>
              </w:rPr>
              <w:t> </w:t>
            </w:r>
          </w:p>
        </w:tc>
      </w:tr>
      <w:tr w:rsidR="00000000" w14:paraId="28DC2A16" w14:textId="77777777">
        <w:trPr>
          <w:tblCellSpacing w:w="0" w:type="dxa"/>
        </w:trPr>
        <w:tc>
          <w:tcPr>
            <w:tcW w:w="0" w:type="auto"/>
            <w:shd w:val="clear" w:color="auto" w:fill="FFFFFF"/>
            <w:vAlign w:val="center"/>
            <w:hideMark/>
          </w:tcPr>
          <w:p w14:paraId="7289EF43" w14:textId="77777777" w:rsidR="00000000" w:rsidRDefault="0053651E">
            <w:pPr>
              <w:rPr>
                <w:rFonts w:eastAsia="Times New Roman"/>
                <w:sz w:val="20"/>
                <w:szCs w:val="20"/>
              </w:rPr>
            </w:pPr>
            <w:r>
              <w:rPr>
                <w:rFonts w:eastAsia="Times New Roman"/>
                <w:sz w:val="20"/>
                <w:szCs w:val="20"/>
              </w:rPr>
              <w:t>Total assets</w:t>
            </w:r>
          </w:p>
        </w:tc>
        <w:tc>
          <w:tcPr>
            <w:tcW w:w="50" w:type="pct"/>
            <w:shd w:val="clear" w:color="auto" w:fill="FFFFFF"/>
            <w:vAlign w:val="center"/>
            <w:hideMark/>
          </w:tcPr>
          <w:p w14:paraId="30ACE0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3292A53"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center"/>
            <w:hideMark/>
          </w:tcPr>
          <w:p w14:paraId="0D49B5BB" w14:textId="77777777" w:rsidR="00000000" w:rsidRDefault="0053651E">
            <w:pPr>
              <w:jc w:val="right"/>
              <w:rPr>
                <w:rFonts w:eastAsia="Times New Roman"/>
                <w:sz w:val="20"/>
                <w:szCs w:val="20"/>
              </w:rPr>
            </w:pPr>
            <w:r>
              <w:rPr>
                <w:rFonts w:eastAsia="Times New Roman"/>
                <w:sz w:val="20"/>
                <w:szCs w:val="20"/>
              </w:rPr>
              <w:t>850</w:t>
            </w:r>
          </w:p>
        </w:tc>
        <w:tc>
          <w:tcPr>
            <w:tcW w:w="50" w:type="pct"/>
            <w:shd w:val="clear" w:color="auto" w:fill="FFFFFF"/>
            <w:tcMar>
              <w:top w:w="0" w:type="dxa"/>
              <w:left w:w="0" w:type="dxa"/>
              <w:bottom w:w="45" w:type="dxa"/>
              <w:right w:w="0" w:type="dxa"/>
            </w:tcMar>
            <w:vAlign w:val="center"/>
            <w:hideMark/>
          </w:tcPr>
          <w:p w14:paraId="5FCD78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68A462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055FE8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center"/>
            <w:hideMark/>
          </w:tcPr>
          <w:p w14:paraId="4B676398" w14:textId="77777777" w:rsidR="00000000" w:rsidRDefault="0053651E">
            <w:pPr>
              <w:jc w:val="right"/>
              <w:rPr>
                <w:rFonts w:eastAsia="Times New Roman"/>
                <w:sz w:val="20"/>
                <w:szCs w:val="20"/>
              </w:rPr>
            </w:pPr>
            <w:r>
              <w:rPr>
                <w:rStyle w:val="a6"/>
                <w:rFonts w:eastAsia="Times New Roman"/>
                <w:i w:val="0"/>
                <w:iCs w:val="0"/>
                <w:sz w:val="20"/>
                <w:szCs w:val="20"/>
              </w:rPr>
              <w:t>n/a</w:t>
            </w:r>
          </w:p>
        </w:tc>
        <w:tc>
          <w:tcPr>
            <w:tcW w:w="0" w:type="auto"/>
            <w:shd w:val="clear" w:color="auto" w:fill="FFFFFF"/>
            <w:vAlign w:val="center"/>
            <w:hideMark/>
          </w:tcPr>
          <w:p w14:paraId="5864AA0A" w14:textId="77777777" w:rsidR="00000000" w:rsidRDefault="0053651E">
            <w:pPr>
              <w:rPr>
                <w:rFonts w:eastAsia="Times New Roman"/>
                <w:sz w:val="20"/>
                <w:szCs w:val="20"/>
              </w:rPr>
            </w:pPr>
            <w:r>
              <w:rPr>
                <w:rFonts w:eastAsia="Times New Roman"/>
                <w:sz w:val="20"/>
                <w:szCs w:val="20"/>
              </w:rPr>
              <w:t> </w:t>
            </w:r>
          </w:p>
        </w:tc>
      </w:tr>
      <w:tr w:rsidR="00000000" w14:paraId="3706265E" w14:textId="77777777">
        <w:trPr>
          <w:tblCellSpacing w:w="0" w:type="dxa"/>
        </w:trPr>
        <w:tc>
          <w:tcPr>
            <w:tcW w:w="0" w:type="auto"/>
            <w:shd w:val="clear" w:color="auto" w:fill="CCEEFF"/>
            <w:vAlign w:val="center"/>
            <w:hideMark/>
          </w:tcPr>
          <w:p w14:paraId="2147496A" w14:textId="77777777" w:rsidR="00000000" w:rsidRDefault="0053651E">
            <w:pPr>
              <w:rPr>
                <w:rFonts w:eastAsia="Times New Roman"/>
                <w:sz w:val="20"/>
                <w:szCs w:val="20"/>
              </w:rPr>
            </w:pPr>
            <w:r>
              <w:rPr>
                <w:rFonts w:eastAsia="Times New Roman"/>
                <w:sz w:val="20"/>
                <w:szCs w:val="20"/>
              </w:rPr>
              <w:t>Total liabilities</w:t>
            </w:r>
          </w:p>
        </w:tc>
        <w:tc>
          <w:tcPr>
            <w:tcW w:w="50" w:type="pct"/>
            <w:shd w:val="clear" w:color="auto" w:fill="CCEEFF"/>
            <w:vAlign w:val="center"/>
            <w:hideMark/>
          </w:tcPr>
          <w:p w14:paraId="46D81C8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14:paraId="6BCC6480"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center"/>
            <w:hideMark/>
          </w:tcPr>
          <w:p w14:paraId="1B387871" w14:textId="77777777" w:rsidR="00000000" w:rsidRDefault="0053651E">
            <w:pPr>
              <w:jc w:val="right"/>
              <w:rPr>
                <w:rFonts w:eastAsia="Times New Roman"/>
                <w:sz w:val="20"/>
                <w:szCs w:val="20"/>
              </w:rPr>
            </w:pPr>
            <w:r>
              <w:rPr>
                <w:rFonts w:eastAsia="Times New Roman"/>
                <w:sz w:val="20"/>
                <w:szCs w:val="20"/>
              </w:rPr>
              <w:t>(915</w:t>
            </w:r>
          </w:p>
        </w:tc>
        <w:tc>
          <w:tcPr>
            <w:tcW w:w="50" w:type="pct"/>
            <w:shd w:val="clear" w:color="auto" w:fill="CCEEFF"/>
            <w:tcMar>
              <w:top w:w="0" w:type="dxa"/>
              <w:left w:w="0" w:type="dxa"/>
              <w:bottom w:w="45" w:type="dxa"/>
              <w:right w:w="0" w:type="dxa"/>
            </w:tcMar>
            <w:vAlign w:val="center"/>
            <w:hideMark/>
          </w:tcPr>
          <w:p w14:paraId="607136EE"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center"/>
            <w:hideMark/>
          </w:tcPr>
          <w:p w14:paraId="725524E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center"/>
            <w:hideMark/>
          </w:tcPr>
          <w:p w14:paraId="4776511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center"/>
            <w:hideMark/>
          </w:tcPr>
          <w:p w14:paraId="2112CE95" w14:textId="77777777" w:rsidR="00000000" w:rsidRDefault="0053651E">
            <w:pPr>
              <w:jc w:val="right"/>
              <w:rPr>
                <w:rFonts w:eastAsia="Times New Roman"/>
                <w:sz w:val="20"/>
                <w:szCs w:val="20"/>
              </w:rPr>
            </w:pPr>
            <w:r>
              <w:rPr>
                <w:rStyle w:val="a6"/>
                <w:rFonts w:eastAsia="Times New Roman"/>
                <w:i w:val="0"/>
                <w:iCs w:val="0"/>
                <w:sz w:val="20"/>
                <w:szCs w:val="20"/>
              </w:rPr>
              <w:t>n/a</w:t>
            </w:r>
          </w:p>
        </w:tc>
        <w:tc>
          <w:tcPr>
            <w:tcW w:w="0" w:type="auto"/>
            <w:shd w:val="clear" w:color="auto" w:fill="CCEEFF"/>
            <w:vAlign w:val="center"/>
            <w:hideMark/>
          </w:tcPr>
          <w:p w14:paraId="698BE612" w14:textId="77777777" w:rsidR="00000000" w:rsidRDefault="0053651E">
            <w:pPr>
              <w:rPr>
                <w:rFonts w:eastAsia="Times New Roman"/>
                <w:sz w:val="20"/>
                <w:szCs w:val="20"/>
              </w:rPr>
            </w:pPr>
            <w:r>
              <w:rPr>
                <w:rFonts w:eastAsia="Times New Roman"/>
                <w:sz w:val="20"/>
                <w:szCs w:val="20"/>
              </w:rPr>
              <w:t> </w:t>
            </w:r>
          </w:p>
        </w:tc>
      </w:tr>
      <w:tr w:rsidR="00000000" w14:paraId="6531C2EC" w14:textId="77777777">
        <w:trPr>
          <w:tblCellSpacing w:w="0" w:type="dxa"/>
        </w:trPr>
        <w:tc>
          <w:tcPr>
            <w:tcW w:w="0" w:type="auto"/>
            <w:shd w:val="clear" w:color="auto" w:fill="FFFFFF"/>
            <w:vAlign w:val="bottom"/>
            <w:hideMark/>
          </w:tcPr>
          <w:p w14:paraId="01FAB839" w14:textId="77777777" w:rsidR="00000000" w:rsidRDefault="0053651E">
            <w:pPr>
              <w:pStyle w:val="a3"/>
              <w:spacing w:before="0" w:beforeAutospacing="0" w:after="0" w:afterAutospacing="0"/>
              <w:rPr>
                <w:sz w:val="20"/>
                <w:szCs w:val="20"/>
              </w:rPr>
            </w:pPr>
            <w:r>
              <w:rPr>
                <w:sz w:val="20"/>
                <w:szCs w:val="20"/>
              </w:rPr>
              <w:t>Net assets acquired/consolidated</w:t>
            </w:r>
          </w:p>
        </w:tc>
        <w:tc>
          <w:tcPr>
            <w:tcW w:w="50" w:type="pct"/>
            <w:shd w:val="clear" w:color="auto" w:fill="FFFFFF"/>
            <w:vAlign w:val="bottom"/>
            <w:hideMark/>
          </w:tcPr>
          <w:p w14:paraId="0A7A0E8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78CA7F2"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3A1390EC" w14:textId="77777777" w:rsidR="00000000" w:rsidRDefault="0053651E">
            <w:pPr>
              <w:jc w:val="right"/>
              <w:rPr>
                <w:rFonts w:eastAsia="Times New Roman"/>
                <w:sz w:val="20"/>
                <w:szCs w:val="20"/>
              </w:rPr>
            </w:pPr>
            <w:r>
              <w:rPr>
                <w:rFonts w:eastAsia="Times New Roman"/>
                <w:sz w:val="20"/>
                <w:szCs w:val="20"/>
              </w:rPr>
              <w:t>43,158</w:t>
            </w:r>
          </w:p>
        </w:tc>
        <w:tc>
          <w:tcPr>
            <w:tcW w:w="50" w:type="pct"/>
            <w:shd w:val="clear" w:color="auto" w:fill="FFFFFF"/>
            <w:tcMar>
              <w:top w:w="0" w:type="dxa"/>
              <w:left w:w="0" w:type="dxa"/>
              <w:bottom w:w="45" w:type="dxa"/>
              <w:right w:w="0" w:type="dxa"/>
            </w:tcMar>
            <w:vAlign w:val="bottom"/>
            <w:hideMark/>
          </w:tcPr>
          <w:p w14:paraId="1BAB8A2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FB3A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B5A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C2CBAD"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130C980C" w14:textId="77777777" w:rsidR="00000000" w:rsidRDefault="0053651E">
            <w:pPr>
              <w:rPr>
                <w:rFonts w:eastAsia="Times New Roman"/>
                <w:sz w:val="20"/>
                <w:szCs w:val="20"/>
              </w:rPr>
            </w:pPr>
            <w:r>
              <w:rPr>
                <w:rFonts w:eastAsia="Times New Roman"/>
                <w:sz w:val="20"/>
                <w:szCs w:val="20"/>
              </w:rPr>
              <w:t> </w:t>
            </w:r>
          </w:p>
        </w:tc>
      </w:tr>
    </w:tbl>
    <w:p w14:paraId="410FCB46" w14:textId="77777777" w:rsidR="00000000" w:rsidRDefault="0053651E">
      <w:pPr>
        <w:pStyle w:val="a3"/>
        <w:spacing w:before="0" w:beforeAutospacing="0" w:after="0" w:afterAutospacing="0"/>
        <w:ind w:left="360"/>
        <w:rPr>
          <w:sz w:val="20"/>
          <w:szCs w:val="20"/>
        </w:rPr>
      </w:pPr>
      <w:r>
        <w:rPr>
          <w:sz w:val="20"/>
          <w:szCs w:val="20"/>
        </w:rPr>
        <w:t> </w:t>
      </w:r>
    </w:p>
    <w:p w14:paraId="15F619B8" w14:textId="77777777" w:rsidR="00000000" w:rsidRDefault="0053651E">
      <w:pPr>
        <w:pStyle w:val="a3"/>
        <w:spacing w:before="0" w:beforeAutospacing="0" w:after="0" w:afterAutospacing="0"/>
        <w:ind w:left="360"/>
        <w:jc w:val="both"/>
        <w:rPr>
          <w:sz w:val="20"/>
          <w:szCs w:val="20"/>
        </w:rPr>
      </w:pPr>
      <w:r>
        <w:rPr>
          <w:sz w:val="20"/>
          <w:szCs w:val="20"/>
        </w:rPr>
        <w:t> </w:t>
      </w:r>
    </w:p>
    <w:p w14:paraId="1D4560CB" w14:textId="77777777" w:rsidR="00000000" w:rsidRDefault="0053651E">
      <w:pPr>
        <w:pStyle w:val="a3"/>
        <w:spacing w:before="0" w:beforeAutospacing="0" w:after="0" w:afterAutospacing="0"/>
        <w:jc w:val="both"/>
        <w:rPr>
          <w:sz w:val="20"/>
          <w:szCs w:val="20"/>
        </w:rPr>
      </w:pPr>
      <w:r>
        <w:rPr>
          <w:sz w:val="20"/>
          <w:szCs w:val="20"/>
        </w:rPr>
        <w:t> </w:t>
      </w:r>
    </w:p>
    <w:p w14:paraId="099F0106" w14:textId="77777777" w:rsidR="00000000" w:rsidRDefault="0053651E">
      <w:pPr>
        <w:jc w:val="center"/>
        <w:divId w:val="427846321"/>
        <w:rPr>
          <w:rFonts w:eastAsia="Times New Roman"/>
          <w:sz w:val="20"/>
          <w:szCs w:val="20"/>
        </w:rPr>
      </w:pPr>
      <w:r>
        <w:rPr>
          <w:rStyle w:val="a6"/>
          <w:rFonts w:eastAsia="Times New Roman"/>
          <w:i w:val="0"/>
          <w:iCs w:val="0"/>
          <w:sz w:val="20"/>
          <w:szCs w:val="20"/>
        </w:rPr>
        <w:t>62</w:t>
      </w:r>
      <w:r>
        <w:rPr>
          <w:rFonts w:eastAsia="Times New Roman"/>
          <w:sz w:val="20"/>
          <w:szCs w:val="20"/>
        </w:rPr>
        <w:t xml:space="preserve"> </w:t>
      </w:r>
    </w:p>
    <w:p w14:paraId="33F6FC47" w14:textId="77777777" w:rsidR="00000000" w:rsidRDefault="0053651E">
      <w:pPr>
        <w:divId w:val="427846321"/>
        <w:rPr>
          <w:rFonts w:eastAsia="Times New Roman"/>
          <w:sz w:val="20"/>
          <w:szCs w:val="20"/>
        </w:rPr>
      </w:pPr>
      <w:r>
        <w:rPr>
          <w:rFonts w:eastAsia="Times New Roman"/>
          <w:sz w:val="20"/>
          <w:szCs w:val="20"/>
        </w:rPr>
        <w:pict w14:anchorId="64D695F1">
          <v:rect id="_x0000_i1093" style="width:415.3pt;height:1.5pt" o:hralign="center" o:hrstd="t" o:hrnoshade="t" o:hr="t" fillcolor="black" stroked="f"/>
        </w:pict>
      </w:r>
    </w:p>
    <w:p w14:paraId="2538F301" w14:textId="77777777" w:rsidR="00000000" w:rsidRDefault="0053651E">
      <w:pPr>
        <w:divId w:val="4278463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4CF4495" w14:textId="77777777" w:rsidR="00000000" w:rsidRDefault="0053651E">
      <w:pPr>
        <w:pStyle w:val="a3"/>
        <w:spacing w:before="0" w:beforeAutospacing="0" w:after="0" w:afterAutospacing="0"/>
        <w:rPr>
          <w:sz w:val="20"/>
          <w:szCs w:val="20"/>
        </w:rPr>
      </w:pPr>
      <w:r>
        <w:rPr>
          <w:sz w:val="20"/>
          <w:szCs w:val="20"/>
        </w:rPr>
        <w:t> </w:t>
      </w:r>
    </w:p>
    <w:p w14:paraId="6E86CC16"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4505E87" w14:textId="77777777" w:rsidR="00000000" w:rsidRDefault="0053651E">
      <w:pPr>
        <w:pStyle w:val="a3"/>
        <w:spacing w:before="0" w:beforeAutospacing="0" w:after="0" w:afterAutospacing="0"/>
        <w:jc w:val="center"/>
        <w:rPr>
          <w:sz w:val="20"/>
          <w:szCs w:val="20"/>
        </w:rPr>
      </w:pPr>
      <w:r>
        <w:rPr>
          <w:sz w:val="20"/>
          <w:szCs w:val="20"/>
        </w:rPr>
        <w:t> </w:t>
      </w:r>
    </w:p>
    <w:p w14:paraId="5A4748AB"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7BBBA9F9" w14:textId="77777777" w:rsidR="00000000" w:rsidRDefault="0053651E">
      <w:pPr>
        <w:pStyle w:val="a3"/>
        <w:spacing w:before="0" w:beforeAutospacing="0" w:after="0" w:afterAutospacing="0"/>
        <w:rPr>
          <w:sz w:val="20"/>
          <w:szCs w:val="20"/>
        </w:rPr>
      </w:pPr>
      <w:r>
        <w:rPr>
          <w:sz w:val="20"/>
          <w:szCs w:val="20"/>
        </w:rPr>
        <w:t> </w:t>
      </w:r>
    </w:p>
    <w:p w14:paraId="6974BE33" w14:textId="77777777" w:rsidR="00000000" w:rsidRDefault="0053651E">
      <w:pPr>
        <w:divId w:val="937979705"/>
        <w:rPr>
          <w:rFonts w:eastAsia="Times New Roman"/>
          <w:sz w:val="20"/>
          <w:szCs w:val="20"/>
        </w:rPr>
      </w:pPr>
      <w:r>
        <w:rPr>
          <w:rFonts w:eastAsia="Times New Roman"/>
          <w:sz w:val="20"/>
          <w:szCs w:val="20"/>
        </w:rPr>
        <w:t xml:space="preserve">  </w:t>
      </w:r>
    </w:p>
    <w:p w14:paraId="3EB19766" w14:textId="77777777" w:rsidR="00000000" w:rsidRDefault="0053651E">
      <w:pPr>
        <w:pStyle w:val="a3"/>
        <w:spacing w:before="0" w:beforeAutospacing="0" w:after="0" w:afterAutospacing="0"/>
        <w:rPr>
          <w:sz w:val="20"/>
          <w:szCs w:val="20"/>
        </w:rPr>
      </w:pPr>
      <w:r>
        <w:rPr>
          <w:rStyle w:val="a6"/>
          <w:i w:val="0"/>
          <w:iCs w:val="0"/>
          <w:sz w:val="20"/>
          <w:szCs w:val="20"/>
        </w:rPr>
        <w:t>4.</w:t>
      </w:r>
      <w:r>
        <w:rPr>
          <w:sz w:val="20"/>
          <w:szCs w:val="20"/>
        </w:rPr>
        <w:t>    </w:t>
      </w:r>
      <w:r>
        <w:rPr>
          <w:sz w:val="20"/>
          <w:szCs w:val="20"/>
          <w:u w:val="single"/>
        </w:rPr>
        <w:t>Real Estate Under Development:</w:t>
      </w:r>
    </w:p>
    <w:p w14:paraId="3E09FAF9" w14:textId="77777777" w:rsidR="00000000" w:rsidRDefault="0053651E">
      <w:pPr>
        <w:pStyle w:val="a3"/>
        <w:spacing w:before="0" w:beforeAutospacing="0" w:after="0" w:afterAutospacing="0"/>
        <w:ind w:left="360"/>
        <w:rPr>
          <w:sz w:val="20"/>
          <w:szCs w:val="20"/>
        </w:rPr>
      </w:pPr>
      <w:r>
        <w:rPr>
          <w:sz w:val="20"/>
          <w:szCs w:val="20"/>
        </w:rPr>
        <w:t> </w:t>
      </w:r>
    </w:p>
    <w:p w14:paraId="1FEDF0E9" w14:textId="77777777" w:rsidR="00000000" w:rsidRDefault="0053651E">
      <w:pPr>
        <w:pStyle w:val="a3"/>
        <w:spacing w:before="0" w:beforeAutospacing="0" w:after="0" w:afterAutospacing="0"/>
        <w:ind w:left="360"/>
        <w:jc w:val="both"/>
        <w:rPr>
          <w:sz w:val="20"/>
          <w:szCs w:val="20"/>
        </w:rPr>
      </w:pPr>
      <w:r>
        <w:rPr>
          <w:sz w:val="20"/>
          <w:szCs w:val="20"/>
        </w:rPr>
        <w:t>The Company's real estate under development projects and their related costs as of</w:t>
      </w:r>
      <w:r>
        <w:rPr>
          <w:sz w:val="20"/>
          <w:szCs w:val="20"/>
        </w:rPr>
        <w:t xml:space="preserve"> </w:t>
      </w:r>
      <w:r>
        <w:rPr>
          <w:rStyle w:val="a6"/>
          <w:i w:val="0"/>
          <w:iCs w:val="0"/>
          <w:sz w:val="20"/>
          <w:szCs w:val="20"/>
        </w:rPr>
        <w:t xml:space="preserve">December 31, 2019 </w:t>
      </w:r>
      <w:r>
        <w:rPr>
          <w:sz w:val="20"/>
          <w:szCs w:val="20"/>
        </w:rPr>
        <w:t>and 2018 are as follows (in thousands):</w:t>
      </w:r>
    </w:p>
    <w:p w14:paraId="063FD4F1" w14:textId="77777777" w:rsidR="00000000" w:rsidRDefault="0053651E">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318"/>
        <w:gridCol w:w="58"/>
        <w:gridCol w:w="1853"/>
        <w:gridCol w:w="59"/>
        <w:gridCol w:w="100"/>
        <w:gridCol w:w="990"/>
        <w:gridCol w:w="59"/>
        <w:gridCol w:w="59"/>
        <w:gridCol w:w="100"/>
        <w:gridCol w:w="990"/>
        <w:gridCol w:w="59"/>
      </w:tblGrid>
      <w:tr w:rsidR="00000000" w14:paraId="462C2EE5" w14:textId="77777777">
        <w:trPr>
          <w:tblCellSpacing w:w="0" w:type="dxa"/>
        </w:trPr>
        <w:tc>
          <w:tcPr>
            <w:tcW w:w="1750" w:type="pct"/>
            <w:vAlign w:val="bottom"/>
            <w:hideMark/>
          </w:tcPr>
          <w:p w14:paraId="59D8E12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042EA43" w14:textId="77777777" w:rsidR="00000000" w:rsidRDefault="0053651E">
            <w:pPr>
              <w:rPr>
                <w:rFonts w:eastAsia="Times New Roman"/>
                <w:sz w:val="20"/>
                <w:szCs w:val="20"/>
              </w:rPr>
            </w:pPr>
            <w:r>
              <w:rPr>
                <w:rFonts w:eastAsia="Times New Roman"/>
                <w:sz w:val="20"/>
                <w:szCs w:val="20"/>
              </w:rPr>
              <w:t> </w:t>
            </w:r>
          </w:p>
        </w:tc>
        <w:tc>
          <w:tcPr>
            <w:tcW w:w="1400" w:type="pct"/>
            <w:vAlign w:val="bottom"/>
            <w:hideMark/>
          </w:tcPr>
          <w:p w14:paraId="5221FCA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CE69DA8" w14:textId="77777777" w:rsidR="00000000" w:rsidRDefault="0053651E">
            <w:pPr>
              <w:rPr>
                <w:rFonts w:eastAsia="Times New Roman"/>
                <w:sz w:val="20"/>
                <w:szCs w:val="20"/>
              </w:rPr>
            </w:pPr>
            <w:r>
              <w:rPr>
                <w:rFonts w:eastAsia="Times New Roman"/>
                <w:sz w:val="20"/>
                <w:szCs w:val="20"/>
              </w:rPr>
              <w:t> </w:t>
            </w:r>
          </w:p>
        </w:tc>
        <w:tc>
          <w:tcPr>
            <w:tcW w:w="950" w:type="pct"/>
            <w:gridSpan w:val="6"/>
            <w:tcBorders>
              <w:bottom w:val="single" w:sz="6" w:space="0" w:color="000000"/>
            </w:tcBorders>
            <w:vAlign w:val="bottom"/>
            <w:hideMark/>
          </w:tcPr>
          <w:p w14:paraId="363B3410"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14:paraId="1849115F" w14:textId="77777777" w:rsidR="00000000" w:rsidRDefault="0053651E">
            <w:pPr>
              <w:rPr>
                <w:rFonts w:eastAsia="Times New Roman"/>
                <w:sz w:val="20"/>
                <w:szCs w:val="20"/>
              </w:rPr>
            </w:pPr>
            <w:r>
              <w:rPr>
                <w:rFonts w:eastAsia="Times New Roman"/>
                <w:sz w:val="20"/>
                <w:szCs w:val="20"/>
              </w:rPr>
              <w:t> </w:t>
            </w:r>
          </w:p>
        </w:tc>
      </w:tr>
      <w:tr w:rsidR="00000000" w14:paraId="42BF3CE5" w14:textId="77777777">
        <w:trPr>
          <w:tblCellSpacing w:w="0" w:type="dxa"/>
        </w:trPr>
        <w:tc>
          <w:tcPr>
            <w:tcW w:w="1750" w:type="pct"/>
            <w:tcBorders>
              <w:bottom w:val="single" w:sz="6" w:space="0" w:color="000000"/>
            </w:tcBorders>
            <w:vAlign w:val="bottom"/>
            <w:hideMark/>
          </w:tcPr>
          <w:p w14:paraId="280FE8AD" w14:textId="77777777" w:rsidR="00000000" w:rsidRDefault="0053651E">
            <w:pPr>
              <w:pStyle w:val="a3"/>
              <w:spacing w:before="0" w:beforeAutospacing="0" w:after="0" w:afterAutospacing="0"/>
              <w:rPr>
                <w:sz w:val="20"/>
                <w:szCs w:val="20"/>
              </w:rPr>
            </w:pPr>
            <w:r>
              <w:rPr>
                <w:b/>
                <w:bCs/>
                <w:sz w:val="20"/>
                <w:szCs w:val="20"/>
              </w:rPr>
              <w:t>Property Name</w:t>
            </w:r>
          </w:p>
        </w:tc>
        <w:tc>
          <w:tcPr>
            <w:tcW w:w="50" w:type="pct"/>
            <w:tcBorders>
              <w:bottom w:val="single" w:sz="6" w:space="0" w:color="000000"/>
            </w:tcBorders>
            <w:vAlign w:val="bottom"/>
            <w:hideMark/>
          </w:tcPr>
          <w:p w14:paraId="055DF464" w14:textId="77777777" w:rsidR="00000000" w:rsidRDefault="0053651E">
            <w:pPr>
              <w:rPr>
                <w:rFonts w:eastAsia="Times New Roman"/>
                <w:sz w:val="20"/>
                <w:szCs w:val="20"/>
              </w:rPr>
            </w:pPr>
            <w:r>
              <w:rPr>
                <w:rFonts w:eastAsia="Times New Roman"/>
                <w:sz w:val="20"/>
                <w:szCs w:val="20"/>
              </w:rPr>
              <w:t> </w:t>
            </w:r>
          </w:p>
        </w:tc>
        <w:tc>
          <w:tcPr>
            <w:tcW w:w="1400" w:type="pct"/>
            <w:tcBorders>
              <w:bottom w:val="single" w:sz="6" w:space="0" w:color="000000"/>
            </w:tcBorders>
            <w:vAlign w:val="bottom"/>
            <w:hideMark/>
          </w:tcPr>
          <w:p w14:paraId="00755502" w14:textId="77777777" w:rsidR="00000000" w:rsidRDefault="0053651E">
            <w:pPr>
              <w:pStyle w:val="a3"/>
              <w:spacing w:before="0" w:beforeAutospacing="0" w:after="0" w:afterAutospacing="0"/>
              <w:rPr>
                <w:sz w:val="20"/>
                <w:szCs w:val="20"/>
              </w:rPr>
            </w:pPr>
            <w:r>
              <w:rPr>
                <w:b/>
                <w:bCs/>
                <w:sz w:val="20"/>
                <w:szCs w:val="20"/>
              </w:rPr>
              <w:t>Location</w:t>
            </w:r>
          </w:p>
        </w:tc>
        <w:tc>
          <w:tcPr>
            <w:tcW w:w="50" w:type="pct"/>
            <w:vAlign w:val="bottom"/>
            <w:hideMark/>
          </w:tcPr>
          <w:p w14:paraId="304AD57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1EB0DDE"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717FDD5E"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15C4DE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D250FA6"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71D63BC1" w14:textId="77777777" w:rsidR="00000000" w:rsidRDefault="0053651E">
            <w:pPr>
              <w:rPr>
                <w:rFonts w:eastAsia="Times New Roman"/>
                <w:sz w:val="20"/>
                <w:szCs w:val="20"/>
              </w:rPr>
            </w:pPr>
            <w:r>
              <w:rPr>
                <w:rFonts w:eastAsia="Times New Roman"/>
                <w:sz w:val="20"/>
                <w:szCs w:val="20"/>
              </w:rPr>
              <w:t> </w:t>
            </w:r>
          </w:p>
        </w:tc>
      </w:tr>
      <w:tr w:rsidR="00000000" w14:paraId="0A61BCF9" w14:textId="77777777">
        <w:trPr>
          <w:tblCellSpacing w:w="0" w:type="dxa"/>
        </w:trPr>
        <w:tc>
          <w:tcPr>
            <w:tcW w:w="1750" w:type="pct"/>
            <w:shd w:val="clear" w:color="auto" w:fill="CCEEFF"/>
            <w:vAlign w:val="bottom"/>
            <w:hideMark/>
          </w:tcPr>
          <w:p w14:paraId="3D8FF8AE" w14:textId="77777777" w:rsidR="00000000" w:rsidRDefault="0053651E">
            <w:pPr>
              <w:pStyle w:val="a3"/>
              <w:spacing w:before="0" w:beforeAutospacing="0" w:after="0" w:afterAutospacing="0"/>
              <w:rPr>
                <w:sz w:val="20"/>
                <w:szCs w:val="20"/>
              </w:rPr>
            </w:pPr>
            <w:r>
              <w:rPr>
                <w:sz w:val="20"/>
                <w:szCs w:val="20"/>
              </w:rPr>
              <w:t>Dania Pointe (1)</w:t>
            </w:r>
          </w:p>
        </w:tc>
        <w:tc>
          <w:tcPr>
            <w:tcW w:w="50" w:type="pct"/>
            <w:shd w:val="clear" w:color="auto" w:fill="CCEEFF"/>
            <w:vAlign w:val="bottom"/>
            <w:hideMark/>
          </w:tcPr>
          <w:p w14:paraId="5743FCBB" w14:textId="77777777" w:rsidR="00000000" w:rsidRDefault="0053651E">
            <w:pPr>
              <w:rPr>
                <w:rFonts w:eastAsia="Times New Roman"/>
                <w:sz w:val="20"/>
                <w:szCs w:val="20"/>
              </w:rPr>
            </w:pPr>
            <w:r>
              <w:rPr>
                <w:rFonts w:eastAsia="Times New Roman"/>
                <w:sz w:val="20"/>
                <w:szCs w:val="20"/>
              </w:rPr>
              <w:t> </w:t>
            </w:r>
          </w:p>
        </w:tc>
        <w:tc>
          <w:tcPr>
            <w:tcW w:w="1400" w:type="pct"/>
            <w:shd w:val="clear" w:color="auto" w:fill="CCEEFF"/>
            <w:vAlign w:val="bottom"/>
            <w:hideMark/>
          </w:tcPr>
          <w:p w14:paraId="664383BF" w14:textId="77777777" w:rsidR="00000000" w:rsidRDefault="0053651E">
            <w:pPr>
              <w:pStyle w:val="a3"/>
              <w:spacing w:before="0" w:beforeAutospacing="0" w:after="0" w:afterAutospacing="0"/>
              <w:rPr>
                <w:sz w:val="20"/>
                <w:szCs w:val="20"/>
              </w:rPr>
            </w:pPr>
            <w:r>
              <w:rPr>
                <w:rStyle w:val="a6"/>
                <w:i w:val="0"/>
                <w:iCs w:val="0"/>
                <w:sz w:val="20"/>
                <w:szCs w:val="20"/>
              </w:rPr>
              <w:t>Dania Beach, FL</w:t>
            </w:r>
          </w:p>
        </w:tc>
        <w:tc>
          <w:tcPr>
            <w:tcW w:w="50" w:type="pct"/>
            <w:shd w:val="clear" w:color="auto" w:fill="CCEEFF"/>
            <w:vAlign w:val="bottom"/>
            <w:hideMark/>
          </w:tcPr>
          <w:p w14:paraId="472233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3B65A"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3D47475A" w14:textId="77777777" w:rsidR="00000000" w:rsidRDefault="0053651E">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14:paraId="72892B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53C5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C7A029"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785805C8" w14:textId="77777777" w:rsidR="00000000" w:rsidRDefault="0053651E">
            <w:pPr>
              <w:jc w:val="right"/>
              <w:rPr>
                <w:rFonts w:eastAsia="Times New Roman"/>
                <w:sz w:val="20"/>
                <w:szCs w:val="20"/>
              </w:rPr>
            </w:pPr>
            <w:r>
              <w:rPr>
                <w:rFonts w:eastAsia="Times New Roman"/>
                <w:sz w:val="20"/>
                <w:szCs w:val="20"/>
              </w:rPr>
              <w:t>152,111</w:t>
            </w:r>
          </w:p>
        </w:tc>
        <w:tc>
          <w:tcPr>
            <w:tcW w:w="50" w:type="pct"/>
            <w:shd w:val="clear" w:color="auto" w:fill="CCEEFF"/>
            <w:vAlign w:val="bottom"/>
            <w:hideMark/>
          </w:tcPr>
          <w:p w14:paraId="63E2AF08" w14:textId="77777777" w:rsidR="00000000" w:rsidRDefault="0053651E">
            <w:pPr>
              <w:rPr>
                <w:rFonts w:eastAsia="Times New Roman"/>
                <w:sz w:val="20"/>
                <w:szCs w:val="20"/>
              </w:rPr>
            </w:pPr>
            <w:r>
              <w:rPr>
                <w:rFonts w:eastAsia="Times New Roman"/>
                <w:sz w:val="20"/>
                <w:szCs w:val="20"/>
              </w:rPr>
              <w:t> </w:t>
            </w:r>
          </w:p>
        </w:tc>
      </w:tr>
      <w:tr w:rsidR="00000000" w14:paraId="12853AD1" w14:textId="77777777">
        <w:trPr>
          <w:tblCellSpacing w:w="0" w:type="dxa"/>
        </w:trPr>
        <w:tc>
          <w:tcPr>
            <w:tcW w:w="1750" w:type="pct"/>
            <w:shd w:val="clear" w:color="auto" w:fill="FFFFFF"/>
            <w:vAlign w:val="bottom"/>
            <w:hideMark/>
          </w:tcPr>
          <w:p w14:paraId="629B419F" w14:textId="77777777" w:rsidR="00000000" w:rsidRDefault="0053651E">
            <w:pPr>
              <w:pStyle w:val="a3"/>
              <w:spacing w:before="0" w:beforeAutospacing="0" w:after="0" w:afterAutospacing="0"/>
              <w:rPr>
                <w:sz w:val="20"/>
                <w:szCs w:val="20"/>
              </w:rPr>
            </w:pPr>
            <w:r>
              <w:rPr>
                <w:sz w:val="20"/>
                <w:szCs w:val="20"/>
              </w:rPr>
              <w:t>Mill Station (2)</w:t>
            </w:r>
          </w:p>
        </w:tc>
        <w:tc>
          <w:tcPr>
            <w:tcW w:w="50" w:type="pct"/>
            <w:shd w:val="clear" w:color="auto" w:fill="FFFFFF"/>
            <w:vAlign w:val="bottom"/>
            <w:hideMark/>
          </w:tcPr>
          <w:p w14:paraId="79314E32" w14:textId="77777777" w:rsidR="00000000" w:rsidRDefault="0053651E">
            <w:pPr>
              <w:rPr>
                <w:rFonts w:eastAsia="Times New Roman"/>
                <w:sz w:val="20"/>
                <w:szCs w:val="20"/>
              </w:rPr>
            </w:pPr>
            <w:r>
              <w:rPr>
                <w:rFonts w:eastAsia="Times New Roman"/>
                <w:sz w:val="20"/>
                <w:szCs w:val="20"/>
              </w:rPr>
              <w:t> </w:t>
            </w:r>
          </w:p>
        </w:tc>
        <w:tc>
          <w:tcPr>
            <w:tcW w:w="1400" w:type="pct"/>
            <w:shd w:val="clear" w:color="auto" w:fill="FFFFFF"/>
            <w:vAlign w:val="bottom"/>
            <w:hideMark/>
          </w:tcPr>
          <w:p w14:paraId="7391C168" w14:textId="77777777" w:rsidR="00000000" w:rsidRDefault="0053651E">
            <w:pPr>
              <w:pStyle w:val="a3"/>
              <w:spacing w:before="0" w:beforeAutospacing="0" w:after="0" w:afterAutospacing="0"/>
              <w:rPr>
                <w:sz w:val="20"/>
                <w:szCs w:val="20"/>
              </w:rPr>
            </w:pPr>
            <w:r>
              <w:rPr>
                <w:rStyle w:val="a6"/>
                <w:i w:val="0"/>
                <w:iCs w:val="0"/>
                <w:sz w:val="20"/>
                <w:szCs w:val="20"/>
              </w:rPr>
              <w:t>Owings Mills, MD</w:t>
            </w:r>
          </w:p>
        </w:tc>
        <w:tc>
          <w:tcPr>
            <w:tcW w:w="50" w:type="pct"/>
            <w:shd w:val="clear" w:color="auto" w:fill="FFFFFF"/>
            <w:vAlign w:val="bottom"/>
            <w:hideMark/>
          </w:tcPr>
          <w:p w14:paraId="39B5AC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AECA2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18E41C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97EB3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B477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5E9B8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28178CA" w14:textId="77777777" w:rsidR="00000000" w:rsidRDefault="0053651E">
            <w:pPr>
              <w:jc w:val="right"/>
              <w:rPr>
                <w:rFonts w:eastAsia="Times New Roman"/>
                <w:sz w:val="20"/>
                <w:szCs w:val="20"/>
              </w:rPr>
            </w:pPr>
            <w:r>
              <w:rPr>
                <w:rFonts w:eastAsia="Times New Roman"/>
                <w:sz w:val="20"/>
                <w:szCs w:val="20"/>
              </w:rPr>
              <w:t>55,771</w:t>
            </w:r>
          </w:p>
        </w:tc>
        <w:tc>
          <w:tcPr>
            <w:tcW w:w="50" w:type="pct"/>
            <w:shd w:val="clear" w:color="auto" w:fill="FFFFFF"/>
            <w:vAlign w:val="bottom"/>
            <w:hideMark/>
          </w:tcPr>
          <w:p w14:paraId="5C03A2B1" w14:textId="77777777" w:rsidR="00000000" w:rsidRDefault="0053651E">
            <w:pPr>
              <w:rPr>
                <w:rFonts w:eastAsia="Times New Roman"/>
                <w:sz w:val="20"/>
                <w:szCs w:val="20"/>
              </w:rPr>
            </w:pPr>
            <w:r>
              <w:rPr>
                <w:rFonts w:eastAsia="Times New Roman"/>
                <w:sz w:val="20"/>
                <w:szCs w:val="20"/>
              </w:rPr>
              <w:t> </w:t>
            </w:r>
          </w:p>
        </w:tc>
      </w:tr>
      <w:tr w:rsidR="00000000" w14:paraId="66EFDD57" w14:textId="77777777">
        <w:trPr>
          <w:tblCellSpacing w:w="0" w:type="dxa"/>
        </w:trPr>
        <w:tc>
          <w:tcPr>
            <w:tcW w:w="1750" w:type="pct"/>
            <w:shd w:val="clear" w:color="auto" w:fill="CCEEFF"/>
            <w:vAlign w:val="bottom"/>
            <w:hideMark/>
          </w:tcPr>
          <w:p w14:paraId="1C2E2797" w14:textId="77777777" w:rsidR="00000000" w:rsidRDefault="0053651E">
            <w:pPr>
              <w:pStyle w:val="a3"/>
              <w:spacing w:before="0" w:beforeAutospacing="0" w:after="0" w:afterAutospacing="0"/>
              <w:rPr>
                <w:sz w:val="20"/>
                <w:szCs w:val="20"/>
              </w:rPr>
            </w:pPr>
            <w:r>
              <w:rPr>
                <w:sz w:val="20"/>
                <w:szCs w:val="20"/>
              </w:rPr>
              <w:t>Promenade at Christiana (3)</w:t>
            </w:r>
          </w:p>
        </w:tc>
        <w:tc>
          <w:tcPr>
            <w:tcW w:w="50" w:type="pct"/>
            <w:shd w:val="clear" w:color="auto" w:fill="CCEEFF"/>
            <w:vAlign w:val="bottom"/>
            <w:hideMark/>
          </w:tcPr>
          <w:p w14:paraId="31B18028" w14:textId="77777777" w:rsidR="00000000" w:rsidRDefault="0053651E">
            <w:pPr>
              <w:rPr>
                <w:rFonts w:eastAsia="Times New Roman"/>
                <w:sz w:val="20"/>
                <w:szCs w:val="20"/>
              </w:rPr>
            </w:pPr>
            <w:r>
              <w:rPr>
                <w:rFonts w:eastAsia="Times New Roman"/>
                <w:sz w:val="20"/>
                <w:szCs w:val="20"/>
              </w:rPr>
              <w:t> </w:t>
            </w:r>
          </w:p>
        </w:tc>
        <w:tc>
          <w:tcPr>
            <w:tcW w:w="1400" w:type="pct"/>
            <w:shd w:val="clear" w:color="auto" w:fill="CCEEFF"/>
            <w:vAlign w:val="bottom"/>
            <w:hideMark/>
          </w:tcPr>
          <w:p w14:paraId="018E5022" w14:textId="77777777" w:rsidR="00000000" w:rsidRDefault="0053651E">
            <w:pPr>
              <w:pStyle w:val="a3"/>
              <w:spacing w:before="0" w:beforeAutospacing="0" w:after="0" w:afterAutospacing="0"/>
              <w:rPr>
                <w:sz w:val="20"/>
                <w:szCs w:val="20"/>
              </w:rPr>
            </w:pPr>
            <w:r>
              <w:rPr>
                <w:rStyle w:val="a6"/>
                <w:i w:val="0"/>
                <w:iCs w:val="0"/>
                <w:sz w:val="20"/>
                <w:szCs w:val="20"/>
              </w:rPr>
              <w:t>New Castle, DE</w:t>
            </w:r>
          </w:p>
        </w:tc>
        <w:tc>
          <w:tcPr>
            <w:tcW w:w="50" w:type="pct"/>
            <w:shd w:val="clear" w:color="auto" w:fill="CCEEFF"/>
            <w:tcMar>
              <w:top w:w="0" w:type="dxa"/>
              <w:left w:w="0" w:type="dxa"/>
              <w:bottom w:w="15" w:type="dxa"/>
              <w:right w:w="0" w:type="dxa"/>
            </w:tcMar>
            <w:vAlign w:val="bottom"/>
            <w:hideMark/>
          </w:tcPr>
          <w:p w14:paraId="4BA4D46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D75927F"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7281C29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713EE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52C012A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98F760"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6056DBC4" w14:textId="77777777" w:rsidR="00000000" w:rsidRDefault="0053651E">
            <w:pPr>
              <w:jc w:val="right"/>
              <w:rPr>
                <w:rFonts w:eastAsia="Times New Roman"/>
                <w:sz w:val="20"/>
                <w:szCs w:val="20"/>
              </w:rPr>
            </w:pPr>
            <w:r>
              <w:rPr>
                <w:rFonts w:eastAsia="Times New Roman"/>
                <w:sz w:val="20"/>
                <w:szCs w:val="20"/>
              </w:rPr>
              <w:t>33,502</w:t>
            </w:r>
          </w:p>
        </w:tc>
        <w:tc>
          <w:tcPr>
            <w:tcW w:w="50" w:type="pct"/>
            <w:shd w:val="clear" w:color="auto" w:fill="CCEEFF"/>
            <w:tcMar>
              <w:top w:w="0" w:type="dxa"/>
              <w:left w:w="0" w:type="dxa"/>
              <w:bottom w:w="15" w:type="dxa"/>
              <w:right w:w="0" w:type="dxa"/>
            </w:tcMar>
            <w:vAlign w:val="bottom"/>
            <w:hideMark/>
          </w:tcPr>
          <w:p w14:paraId="7F39C963" w14:textId="77777777" w:rsidR="00000000" w:rsidRDefault="0053651E">
            <w:pPr>
              <w:rPr>
                <w:rFonts w:eastAsia="Times New Roman"/>
                <w:sz w:val="20"/>
                <w:szCs w:val="20"/>
              </w:rPr>
            </w:pPr>
            <w:r>
              <w:rPr>
                <w:rFonts w:eastAsia="Times New Roman"/>
                <w:sz w:val="20"/>
                <w:szCs w:val="20"/>
              </w:rPr>
              <w:t> </w:t>
            </w:r>
          </w:p>
        </w:tc>
      </w:tr>
      <w:tr w:rsidR="00000000" w14:paraId="1807ED06" w14:textId="77777777">
        <w:trPr>
          <w:tblCellSpacing w:w="0" w:type="dxa"/>
        </w:trPr>
        <w:tc>
          <w:tcPr>
            <w:tcW w:w="1800" w:type="pct"/>
            <w:gridSpan w:val="3"/>
            <w:shd w:val="clear" w:color="auto" w:fill="FFFFFF"/>
            <w:vAlign w:val="bottom"/>
            <w:hideMark/>
          </w:tcPr>
          <w:p w14:paraId="1B0B2E8C" w14:textId="77777777" w:rsidR="00000000" w:rsidRDefault="0053651E">
            <w:pPr>
              <w:pStyle w:val="a3"/>
              <w:spacing w:before="0" w:beforeAutospacing="0" w:after="0" w:afterAutospacing="0"/>
              <w:rPr>
                <w:sz w:val="20"/>
                <w:szCs w:val="20"/>
              </w:rPr>
            </w:pPr>
            <w:r>
              <w:rPr>
                <w:rStyle w:val="a6"/>
                <w:i w:val="0"/>
                <w:iCs w:val="0"/>
                <w:sz w:val="20"/>
                <w:szCs w:val="20"/>
              </w:rPr>
              <w:t>Total*</w:t>
            </w:r>
          </w:p>
        </w:tc>
        <w:tc>
          <w:tcPr>
            <w:tcW w:w="50" w:type="pct"/>
            <w:shd w:val="clear" w:color="auto" w:fill="FFFFFF"/>
            <w:vAlign w:val="bottom"/>
            <w:hideMark/>
          </w:tcPr>
          <w:p w14:paraId="17055F7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42C3152"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6E6CEF80" w14:textId="77777777" w:rsidR="00000000" w:rsidRDefault="0053651E">
            <w:pPr>
              <w:jc w:val="right"/>
              <w:rPr>
                <w:rFonts w:eastAsia="Times New Roman"/>
                <w:sz w:val="20"/>
                <w:szCs w:val="20"/>
              </w:rPr>
            </w:pPr>
            <w:r>
              <w:rPr>
                <w:rFonts w:eastAsia="Times New Roman"/>
                <w:sz w:val="20"/>
                <w:szCs w:val="20"/>
              </w:rPr>
              <w:t>220,170</w:t>
            </w:r>
          </w:p>
        </w:tc>
        <w:tc>
          <w:tcPr>
            <w:tcW w:w="50" w:type="pct"/>
            <w:shd w:val="clear" w:color="auto" w:fill="FFFFFF"/>
            <w:tcMar>
              <w:top w:w="0" w:type="dxa"/>
              <w:left w:w="0" w:type="dxa"/>
              <w:bottom w:w="45" w:type="dxa"/>
              <w:right w:w="0" w:type="dxa"/>
            </w:tcMar>
            <w:vAlign w:val="bottom"/>
            <w:hideMark/>
          </w:tcPr>
          <w:p w14:paraId="642D04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03240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988E393"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238F547F" w14:textId="77777777" w:rsidR="00000000" w:rsidRDefault="0053651E">
            <w:pPr>
              <w:jc w:val="right"/>
              <w:rPr>
                <w:rFonts w:eastAsia="Times New Roman"/>
                <w:sz w:val="20"/>
                <w:szCs w:val="20"/>
              </w:rPr>
            </w:pPr>
            <w:r>
              <w:rPr>
                <w:rFonts w:eastAsia="Times New Roman"/>
                <w:sz w:val="20"/>
                <w:szCs w:val="20"/>
              </w:rPr>
              <w:t>241,384</w:t>
            </w:r>
          </w:p>
        </w:tc>
        <w:tc>
          <w:tcPr>
            <w:tcW w:w="50" w:type="pct"/>
            <w:shd w:val="clear" w:color="auto" w:fill="FFFFFF"/>
            <w:tcMar>
              <w:top w:w="0" w:type="dxa"/>
              <w:left w:w="0" w:type="dxa"/>
              <w:bottom w:w="45" w:type="dxa"/>
              <w:right w:w="0" w:type="dxa"/>
            </w:tcMar>
            <w:vAlign w:val="bottom"/>
            <w:hideMark/>
          </w:tcPr>
          <w:p w14:paraId="4CA95AA9" w14:textId="77777777" w:rsidR="00000000" w:rsidRDefault="0053651E">
            <w:pPr>
              <w:rPr>
                <w:rFonts w:eastAsia="Times New Roman"/>
                <w:sz w:val="20"/>
                <w:szCs w:val="20"/>
              </w:rPr>
            </w:pPr>
            <w:r>
              <w:rPr>
                <w:rFonts w:eastAsia="Times New Roman"/>
                <w:sz w:val="20"/>
                <w:szCs w:val="20"/>
              </w:rPr>
              <w:t> </w:t>
            </w:r>
          </w:p>
        </w:tc>
      </w:tr>
    </w:tbl>
    <w:p w14:paraId="031CBAAD" w14:textId="77777777" w:rsidR="00000000" w:rsidRDefault="0053651E">
      <w:pPr>
        <w:pStyle w:val="a3"/>
        <w:spacing w:before="0" w:beforeAutospacing="0" w:after="0" w:afterAutospacing="0"/>
        <w:ind w:left="270"/>
        <w:rPr>
          <w:sz w:val="20"/>
          <w:szCs w:val="20"/>
        </w:rPr>
      </w:pPr>
      <w:r>
        <w:rPr>
          <w:sz w:val="20"/>
          <w:szCs w:val="20"/>
        </w:rPr>
        <w:t> </w:t>
      </w:r>
    </w:p>
    <w:p w14:paraId="00323ADF" w14:textId="77777777" w:rsidR="00000000" w:rsidRDefault="0053651E">
      <w:pPr>
        <w:pStyle w:val="a3"/>
        <w:spacing w:before="0" w:beforeAutospacing="0" w:after="0" w:afterAutospacing="0"/>
        <w:ind w:left="450" w:hanging="180"/>
        <w:rPr>
          <w:sz w:val="20"/>
          <w:szCs w:val="20"/>
        </w:rPr>
      </w:pPr>
      <w:r>
        <w:rPr>
          <w:sz w:val="20"/>
          <w:szCs w:val="20"/>
        </w:rPr>
        <w:t>* Includes capitalized costs of interest, real estate taxes, insurance, legal costs and payroll of $21.3 million and $24.9 million,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respectively.</w:t>
      </w:r>
    </w:p>
    <w:p w14:paraId="22091D16"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1502C3C" w14:textId="77777777">
        <w:trPr>
          <w:tblCellSpacing w:w="0" w:type="dxa"/>
        </w:trPr>
        <w:tc>
          <w:tcPr>
            <w:tcW w:w="360" w:type="dxa"/>
            <w:hideMark/>
          </w:tcPr>
          <w:p w14:paraId="52AD9593"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1</w:t>
            </w:r>
            <w:r>
              <w:rPr>
                <w:rFonts w:eastAsia="Times New Roman"/>
                <w:sz w:val="20"/>
                <w:szCs w:val="20"/>
              </w:rPr>
              <w:t>)</w:t>
            </w:r>
          </w:p>
        </w:tc>
        <w:tc>
          <w:tcPr>
            <w:tcW w:w="0" w:type="auto"/>
            <w:hideMark/>
          </w:tcPr>
          <w:p w14:paraId="68500802" w14:textId="77777777" w:rsidR="00000000" w:rsidRDefault="0053651E">
            <w:pPr>
              <w:rPr>
                <w:rFonts w:eastAsia="Times New Roman"/>
                <w:sz w:val="20"/>
                <w:szCs w:val="20"/>
              </w:rPr>
            </w:pPr>
            <w:r>
              <w:rPr>
                <w:rFonts w:eastAsia="Times New Roman"/>
                <w:sz w:val="20"/>
                <w:szCs w:val="20"/>
              </w:rPr>
              <w:t>During</w:t>
            </w:r>
            <w:r>
              <w:rPr>
                <w:rFonts w:eastAsia="Times New Roman"/>
                <w:sz w:val="20"/>
                <w:szCs w:val="20"/>
              </w:rPr>
              <w:t xml:space="preserve"> </w:t>
            </w:r>
            <w:r>
              <w:rPr>
                <w:rStyle w:val="a6"/>
                <w:rFonts w:eastAsia="Times New Roman"/>
                <w:i w:val="0"/>
                <w:iCs w:val="0"/>
                <w:sz w:val="20"/>
                <w:szCs w:val="20"/>
              </w:rPr>
              <w:t>2019,</w:t>
            </w:r>
            <w:r>
              <w:rPr>
                <w:rFonts w:eastAsia="Times New Roman"/>
                <w:sz w:val="20"/>
                <w:szCs w:val="20"/>
              </w:rPr>
              <w:t xml:space="preserve"> </w:t>
            </w:r>
            <w:r>
              <w:rPr>
                <w:rFonts w:eastAsia="Times New Roman"/>
                <w:sz w:val="20"/>
                <w:szCs w:val="20"/>
              </w:rPr>
              <w:t>the Company sold a land parcel at this development project for a sales price of $32.5 million, which resulted in a gain of $4.3 million, which is included in Gain on sale of properties/change in control of interests on the Company’s Consolidated Statements</w:t>
            </w:r>
            <w:r>
              <w:rPr>
                <w:rFonts w:eastAsia="Times New Roman"/>
                <w:sz w:val="20"/>
                <w:szCs w:val="20"/>
              </w:rPr>
              <w:t xml:space="preserve"> of Income. </w:t>
            </w:r>
          </w:p>
        </w:tc>
      </w:tr>
      <w:tr w:rsidR="00000000" w14:paraId="2FADDCBB" w14:textId="77777777">
        <w:trPr>
          <w:tblCellSpacing w:w="0" w:type="dxa"/>
        </w:trPr>
        <w:tc>
          <w:tcPr>
            <w:tcW w:w="360" w:type="dxa"/>
            <w:hideMark/>
          </w:tcPr>
          <w:p w14:paraId="5BBDEF22"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208BD66D" w14:textId="77777777" w:rsidR="00000000" w:rsidRDefault="0053651E">
            <w:pPr>
              <w:pStyle w:val="a3"/>
              <w:spacing w:before="0" w:beforeAutospacing="0" w:after="0" w:afterAutospacing="0"/>
              <w:jc w:val="both"/>
              <w:rPr>
                <w:sz w:val="20"/>
                <w:szCs w:val="20"/>
              </w:rPr>
            </w:pPr>
            <w:r>
              <w:rPr>
                <w:sz w:val="20"/>
                <w:szCs w:val="20"/>
              </w:rPr>
              <w:t>During</w:t>
            </w:r>
            <w:r>
              <w:rPr>
                <w:sz w:val="20"/>
                <w:szCs w:val="20"/>
              </w:rPr>
              <w:t> </w:t>
            </w:r>
            <w:r>
              <w:rPr>
                <w:rStyle w:val="a6"/>
                <w:i w:val="0"/>
                <w:iCs w:val="0"/>
                <w:sz w:val="20"/>
                <w:szCs w:val="20"/>
              </w:rPr>
              <w:t>2019,</w:t>
            </w:r>
            <w:r>
              <w:rPr>
                <w:sz w:val="20"/>
                <w:szCs w:val="20"/>
              </w:rPr>
              <w:t xml:space="preserve"> this development project, aggregating $80.5 million (including capitalized costs of $9.2 million), was placed in service and primarily reclassified to Land and Building and improvements on the Company’s Consolidated Balance S</w:t>
            </w:r>
            <w:r>
              <w:rPr>
                <w:sz w:val="20"/>
                <w:szCs w:val="20"/>
              </w:rPr>
              <w:t>heets.</w:t>
            </w:r>
          </w:p>
        </w:tc>
      </w:tr>
    </w:tbl>
    <w:p w14:paraId="3BF9B03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7BF9BED" w14:textId="77777777">
        <w:trPr>
          <w:tblCellSpacing w:w="0" w:type="dxa"/>
        </w:trPr>
        <w:tc>
          <w:tcPr>
            <w:tcW w:w="360" w:type="dxa"/>
            <w:hideMark/>
          </w:tcPr>
          <w:p w14:paraId="74E96C31"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3</w:t>
            </w:r>
            <w:r>
              <w:rPr>
                <w:sz w:val="20"/>
                <w:szCs w:val="20"/>
              </w:rPr>
              <w:t>)</w:t>
            </w:r>
          </w:p>
        </w:tc>
        <w:tc>
          <w:tcPr>
            <w:tcW w:w="0" w:type="auto"/>
            <w:hideMark/>
          </w:tcPr>
          <w:p w14:paraId="39E88192" w14:textId="77777777" w:rsidR="00000000" w:rsidRDefault="0053651E">
            <w:pPr>
              <w:pStyle w:val="a3"/>
              <w:spacing w:before="0" w:beforeAutospacing="0" w:after="0" w:afterAutospacing="0"/>
              <w:jc w:val="both"/>
              <w:rPr>
                <w:sz w:val="20"/>
                <w:szCs w:val="20"/>
              </w:rPr>
            </w:pPr>
            <w:r>
              <w:rPr>
                <w:sz w:val="20"/>
                <w:szCs w:val="20"/>
              </w:rPr>
              <w:t>During</w:t>
            </w:r>
            <w:r>
              <w:rPr>
                <w:sz w:val="20"/>
                <w:szCs w:val="20"/>
              </w:rPr>
              <w:t xml:space="preserve"> </w:t>
            </w:r>
            <w:r>
              <w:rPr>
                <w:rStyle w:val="a6"/>
                <w:i w:val="0"/>
                <w:iCs w:val="0"/>
                <w:sz w:val="20"/>
                <w:szCs w:val="20"/>
              </w:rPr>
              <w:t>2019,</w:t>
            </w:r>
            <w:r>
              <w:rPr>
                <w:sz w:val="20"/>
                <w:szCs w:val="20"/>
              </w:rPr>
              <w:t xml:space="preserve"> the Company reclassified this project to Land and Building and improvements on the Company’s Consolidated Balance Sheets, as a result of the Company’s intention to discontinue development of this project and to market it for sale </w:t>
            </w:r>
            <w:r>
              <w:rPr>
                <w:sz w:val="20"/>
                <w:szCs w:val="20"/>
              </w:rPr>
              <w:t>as is. The as is estimated fair value was below the carrying value and as such, the Company recorded an impairment charge of $11.5 million during the year ended</w:t>
            </w:r>
            <w:r>
              <w:rPr>
                <w:sz w:val="20"/>
                <w:szCs w:val="20"/>
              </w:rPr>
              <w:t xml:space="preserve"> </w:t>
            </w:r>
            <w:r>
              <w:rPr>
                <w:rStyle w:val="a6"/>
                <w:i w:val="0"/>
                <w:iCs w:val="0"/>
                <w:sz w:val="20"/>
                <w:szCs w:val="20"/>
              </w:rPr>
              <w:t>December 31, 2019.</w:t>
            </w:r>
          </w:p>
        </w:tc>
      </w:tr>
    </w:tbl>
    <w:p w14:paraId="7CCD9D6C" w14:textId="77777777" w:rsidR="00000000" w:rsidRDefault="0053651E">
      <w:pPr>
        <w:pStyle w:val="a3"/>
        <w:spacing w:before="0" w:beforeAutospacing="0" w:after="0" w:afterAutospacing="0"/>
        <w:rPr>
          <w:sz w:val="20"/>
          <w:szCs w:val="20"/>
        </w:rPr>
      </w:pPr>
      <w:r>
        <w:rPr>
          <w:sz w:val="20"/>
          <w:szCs w:val="20"/>
        </w:rPr>
        <w:t> </w:t>
      </w:r>
    </w:p>
    <w:p w14:paraId="771D3FA0"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2019</w:t>
      </w:r>
      <w:r>
        <w:rPr>
          <w:sz w:val="20"/>
          <w:szCs w:val="20"/>
        </w:rPr>
        <w:t xml:space="preserve"> and</w:t>
      </w:r>
      <w:r>
        <w:rPr>
          <w:sz w:val="20"/>
          <w:szCs w:val="20"/>
        </w:rPr>
        <w:t xml:space="preserve"> </w:t>
      </w:r>
      <w:r>
        <w:rPr>
          <w:rStyle w:val="a6"/>
          <w:i w:val="0"/>
          <w:iCs w:val="0"/>
          <w:sz w:val="20"/>
          <w:szCs w:val="20"/>
        </w:rPr>
        <w:t>2018,</w:t>
      </w:r>
      <w:r>
        <w:rPr>
          <w:sz w:val="20"/>
          <w:szCs w:val="20"/>
        </w:rPr>
        <w:t xml:space="preserve"> the Company capitalized (i) interest of $9.4 millio</w:t>
      </w:r>
      <w:r>
        <w:rPr>
          <w:sz w:val="20"/>
          <w:szCs w:val="20"/>
        </w:rPr>
        <w:t>n and $13.9 million, respectively, (ii) real estate taxes, insurance and legal costs of $1.3 million and $2.6 million, respectively, and (iii) payroll of $1.2 million and $1.9 million, respectively, in connection with these projects while classified as rea</w:t>
      </w:r>
      <w:r>
        <w:rPr>
          <w:sz w:val="20"/>
          <w:szCs w:val="20"/>
        </w:rPr>
        <w:t>l estate development projects.</w:t>
      </w:r>
    </w:p>
    <w:p w14:paraId="381EE605" w14:textId="77777777" w:rsidR="00000000" w:rsidRDefault="0053651E">
      <w:pPr>
        <w:pStyle w:val="a3"/>
        <w:spacing w:before="0" w:beforeAutospacing="0" w:after="0" w:afterAutospacing="0"/>
        <w:ind w:left="360"/>
        <w:jc w:val="both"/>
        <w:rPr>
          <w:sz w:val="20"/>
          <w:szCs w:val="20"/>
        </w:rPr>
      </w:pPr>
      <w:r>
        <w:rPr>
          <w:sz w:val="20"/>
          <w:szCs w:val="20"/>
        </w:rPr>
        <w:t> </w:t>
      </w:r>
    </w:p>
    <w:p w14:paraId="146B2243" w14:textId="77777777" w:rsidR="00000000" w:rsidRDefault="0053651E">
      <w:pPr>
        <w:divId w:val="2053924211"/>
        <w:rPr>
          <w:rFonts w:eastAsia="Times New Roman"/>
          <w:sz w:val="20"/>
          <w:szCs w:val="20"/>
        </w:rPr>
      </w:pPr>
      <w:r>
        <w:rPr>
          <w:rFonts w:eastAsia="Times New Roman"/>
          <w:sz w:val="20"/>
          <w:szCs w:val="20"/>
        </w:rPr>
        <w:t xml:space="preserve">  </w:t>
      </w:r>
    </w:p>
    <w:p w14:paraId="6D0E3303"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5.</w:t>
      </w:r>
      <w:r>
        <w:rPr>
          <w:sz w:val="20"/>
          <w:szCs w:val="20"/>
        </w:rPr>
        <w:t xml:space="preserve">    </w:t>
      </w:r>
      <w:r>
        <w:rPr>
          <w:sz w:val="20"/>
          <w:szCs w:val="20"/>
          <w:u w:val="single"/>
        </w:rPr>
        <w:t>Dispositions of Real Estate</w:t>
      </w:r>
      <w:r>
        <w:rPr>
          <w:sz w:val="20"/>
          <w:szCs w:val="20"/>
        </w:rPr>
        <w:t>:</w:t>
      </w:r>
    </w:p>
    <w:p w14:paraId="54C7EFA7" w14:textId="77777777" w:rsidR="00000000" w:rsidRDefault="0053651E">
      <w:pPr>
        <w:pStyle w:val="a3"/>
        <w:spacing w:before="0" w:beforeAutospacing="0" w:after="0" w:afterAutospacing="0"/>
        <w:ind w:left="360"/>
        <w:jc w:val="both"/>
        <w:rPr>
          <w:sz w:val="20"/>
          <w:szCs w:val="20"/>
        </w:rPr>
      </w:pPr>
      <w:r>
        <w:rPr>
          <w:sz w:val="20"/>
          <w:szCs w:val="20"/>
        </w:rPr>
        <w:t> </w:t>
      </w:r>
    </w:p>
    <w:p w14:paraId="1541B35C" w14:textId="77777777" w:rsidR="00000000" w:rsidRDefault="0053651E">
      <w:pPr>
        <w:pStyle w:val="a3"/>
        <w:spacing w:before="0" w:beforeAutospacing="0" w:after="0" w:afterAutospacing="0"/>
        <w:ind w:left="360"/>
        <w:jc w:val="both"/>
        <w:rPr>
          <w:sz w:val="20"/>
          <w:szCs w:val="20"/>
        </w:rPr>
      </w:pPr>
      <w:r>
        <w:rPr>
          <w:i/>
          <w:iCs/>
          <w:sz w:val="20"/>
          <w:szCs w:val="20"/>
        </w:rPr>
        <w:t>Real Estate</w:t>
      </w:r>
    </w:p>
    <w:p w14:paraId="148A9429" w14:textId="77777777" w:rsidR="00000000" w:rsidRDefault="0053651E">
      <w:pPr>
        <w:pStyle w:val="a3"/>
        <w:spacing w:before="0" w:beforeAutospacing="0" w:after="0" w:afterAutospacing="0"/>
        <w:ind w:left="360"/>
        <w:jc w:val="both"/>
        <w:rPr>
          <w:sz w:val="20"/>
          <w:szCs w:val="20"/>
        </w:rPr>
      </w:pPr>
      <w:r>
        <w:rPr>
          <w:sz w:val="20"/>
          <w:szCs w:val="20"/>
        </w:rPr>
        <w:t> </w:t>
      </w:r>
    </w:p>
    <w:p w14:paraId="2362A42A" w14:textId="77777777" w:rsidR="00000000" w:rsidRDefault="0053651E">
      <w:pPr>
        <w:pStyle w:val="a3"/>
        <w:spacing w:before="0" w:beforeAutospacing="0" w:after="0" w:afterAutospacing="0"/>
        <w:ind w:left="360"/>
        <w:jc w:val="both"/>
        <w:rPr>
          <w:sz w:val="20"/>
          <w:szCs w:val="20"/>
        </w:rPr>
      </w:pPr>
      <w:r>
        <w:rPr>
          <w:sz w:val="20"/>
          <w:szCs w:val="20"/>
        </w:rPr>
        <w:t>The table below summarizes the Company’</w:t>
      </w:r>
      <w:r>
        <w:rPr>
          <w:sz w:val="20"/>
          <w:szCs w:val="20"/>
        </w:rPr>
        <w:t>s disposition activity relating to operating properties and parcels, in separate transactions (dollars in millions):</w:t>
      </w:r>
    </w:p>
    <w:p w14:paraId="1A40ACBC"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14:paraId="314A8D96" w14:textId="77777777">
        <w:trPr>
          <w:tblCellSpacing w:w="0" w:type="dxa"/>
        </w:trPr>
        <w:tc>
          <w:tcPr>
            <w:tcW w:w="0" w:type="auto"/>
            <w:vAlign w:val="bottom"/>
            <w:hideMark/>
          </w:tcPr>
          <w:p w14:paraId="3E2F7B1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E92168B"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0577AFA3"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5B99AB39" w14:textId="77777777" w:rsidR="00000000" w:rsidRDefault="0053651E">
            <w:pPr>
              <w:rPr>
                <w:rFonts w:eastAsia="Times New Roman"/>
                <w:sz w:val="20"/>
                <w:szCs w:val="20"/>
              </w:rPr>
            </w:pPr>
            <w:r>
              <w:rPr>
                <w:rFonts w:eastAsia="Times New Roman"/>
                <w:sz w:val="20"/>
                <w:szCs w:val="20"/>
              </w:rPr>
              <w:t> </w:t>
            </w:r>
          </w:p>
        </w:tc>
      </w:tr>
      <w:tr w:rsidR="00000000" w14:paraId="5A1C8B19" w14:textId="77777777">
        <w:trPr>
          <w:tblCellSpacing w:w="0" w:type="dxa"/>
        </w:trPr>
        <w:tc>
          <w:tcPr>
            <w:tcW w:w="0" w:type="auto"/>
            <w:vAlign w:val="bottom"/>
            <w:hideMark/>
          </w:tcPr>
          <w:p w14:paraId="1426923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6C39F2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BD2882" w14:textId="77777777" w:rsidR="00000000" w:rsidRDefault="0053651E">
            <w:pPr>
              <w:pStyle w:val="a3"/>
              <w:spacing w:before="0" w:beforeAutospacing="0" w:after="0" w:afterAutospacing="0"/>
              <w:jc w:val="center"/>
              <w:rPr>
                <w:sz w:val="20"/>
                <w:szCs w:val="20"/>
              </w:rPr>
            </w:pPr>
            <w:r>
              <w:rPr>
                <w:b/>
                <w:bCs/>
                <w:sz w:val="20"/>
                <w:szCs w:val="20"/>
              </w:rPr>
              <w:t>2019 *</w:t>
            </w:r>
          </w:p>
        </w:tc>
        <w:tc>
          <w:tcPr>
            <w:tcW w:w="0" w:type="auto"/>
            <w:tcMar>
              <w:top w:w="0" w:type="dxa"/>
              <w:left w:w="0" w:type="dxa"/>
              <w:bottom w:w="15" w:type="dxa"/>
              <w:right w:w="0" w:type="dxa"/>
            </w:tcMar>
            <w:vAlign w:val="bottom"/>
            <w:hideMark/>
          </w:tcPr>
          <w:p w14:paraId="28C7C37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2A1931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B94359D"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FD9AF9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D31E86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EACB7BE"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0311BA16" w14:textId="77777777" w:rsidR="00000000" w:rsidRDefault="0053651E">
            <w:pPr>
              <w:rPr>
                <w:rFonts w:eastAsia="Times New Roman"/>
                <w:sz w:val="20"/>
                <w:szCs w:val="20"/>
              </w:rPr>
            </w:pPr>
            <w:r>
              <w:rPr>
                <w:rFonts w:eastAsia="Times New Roman"/>
                <w:sz w:val="20"/>
                <w:szCs w:val="20"/>
              </w:rPr>
              <w:t> </w:t>
            </w:r>
          </w:p>
        </w:tc>
      </w:tr>
      <w:tr w:rsidR="00000000" w14:paraId="1D75ACE6" w14:textId="77777777">
        <w:trPr>
          <w:tblCellSpacing w:w="0" w:type="dxa"/>
        </w:trPr>
        <w:tc>
          <w:tcPr>
            <w:tcW w:w="2600" w:type="pct"/>
            <w:shd w:val="clear" w:color="auto" w:fill="CCEEFF"/>
            <w:vAlign w:val="bottom"/>
            <w:hideMark/>
          </w:tcPr>
          <w:p w14:paraId="14112543" w14:textId="77777777" w:rsidR="00000000" w:rsidRDefault="0053651E">
            <w:pPr>
              <w:pStyle w:val="a3"/>
              <w:spacing w:before="0" w:beforeAutospacing="0" w:after="0" w:afterAutospacing="0"/>
              <w:rPr>
                <w:sz w:val="20"/>
                <w:szCs w:val="20"/>
              </w:rPr>
            </w:pPr>
            <w:r>
              <w:rPr>
                <w:sz w:val="20"/>
                <w:szCs w:val="20"/>
              </w:rPr>
              <w:t>Aggregate sales price/gross fair value</w:t>
            </w:r>
          </w:p>
        </w:tc>
        <w:tc>
          <w:tcPr>
            <w:tcW w:w="50" w:type="pct"/>
            <w:tcBorders>
              <w:bottom w:val="nil"/>
            </w:tcBorders>
            <w:shd w:val="clear" w:color="auto" w:fill="CCEEFF"/>
            <w:vAlign w:val="bottom"/>
            <w:hideMark/>
          </w:tcPr>
          <w:p w14:paraId="70CF4A6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65AA01" w14:textId="77777777" w:rsidR="00000000" w:rsidRDefault="0053651E">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6637D3E2" w14:textId="77777777" w:rsidR="00000000" w:rsidRDefault="0053651E">
            <w:pPr>
              <w:jc w:val="right"/>
              <w:rPr>
                <w:rFonts w:eastAsia="Times New Roman"/>
                <w:sz w:val="20"/>
                <w:szCs w:val="20"/>
              </w:rPr>
            </w:pPr>
            <w:r>
              <w:rPr>
                <w:rFonts w:eastAsia="Times New Roman"/>
                <w:sz w:val="20"/>
                <w:szCs w:val="20"/>
              </w:rPr>
              <w:t>344.7</w:t>
            </w:r>
          </w:p>
        </w:tc>
        <w:tc>
          <w:tcPr>
            <w:tcW w:w="50" w:type="pct"/>
            <w:tcBorders>
              <w:bottom w:val="nil"/>
            </w:tcBorders>
            <w:shd w:val="clear" w:color="auto" w:fill="CCEEFF"/>
            <w:vAlign w:val="bottom"/>
            <w:hideMark/>
          </w:tcPr>
          <w:p w14:paraId="06C8780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3B209E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329677" w14:textId="77777777" w:rsidR="00000000" w:rsidRDefault="0053651E">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5FC3523B" w14:textId="77777777" w:rsidR="00000000" w:rsidRDefault="0053651E">
            <w:pPr>
              <w:jc w:val="right"/>
              <w:rPr>
                <w:rFonts w:eastAsia="Times New Roman"/>
                <w:sz w:val="20"/>
                <w:szCs w:val="20"/>
              </w:rPr>
            </w:pPr>
            <w:r>
              <w:rPr>
                <w:rFonts w:eastAsia="Times New Roman"/>
                <w:sz w:val="20"/>
                <w:szCs w:val="20"/>
              </w:rPr>
              <w:t>1,164.3</w:t>
            </w:r>
          </w:p>
        </w:tc>
        <w:tc>
          <w:tcPr>
            <w:tcW w:w="50" w:type="pct"/>
            <w:tcBorders>
              <w:bottom w:val="nil"/>
            </w:tcBorders>
            <w:shd w:val="clear" w:color="auto" w:fill="CCEEFF"/>
            <w:vAlign w:val="bottom"/>
            <w:hideMark/>
          </w:tcPr>
          <w:p w14:paraId="63369D2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13743A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02AFB6B" w14:textId="77777777" w:rsidR="00000000" w:rsidRDefault="0053651E">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0BFBEF9F" w14:textId="77777777" w:rsidR="00000000" w:rsidRDefault="0053651E">
            <w:pPr>
              <w:jc w:val="right"/>
              <w:rPr>
                <w:rFonts w:eastAsia="Times New Roman"/>
                <w:sz w:val="20"/>
                <w:szCs w:val="20"/>
              </w:rPr>
            </w:pPr>
            <w:r>
              <w:rPr>
                <w:rFonts w:eastAsia="Times New Roman"/>
                <w:sz w:val="20"/>
                <w:szCs w:val="20"/>
              </w:rPr>
              <w:t>352.2</w:t>
            </w:r>
          </w:p>
        </w:tc>
        <w:tc>
          <w:tcPr>
            <w:tcW w:w="50" w:type="pct"/>
            <w:tcBorders>
              <w:bottom w:val="nil"/>
            </w:tcBorders>
            <w:shd w:val="clear" w:color="auto" w:fill="CCEEFF"/>
            <w:vAlign w:val="bottom"/>
            <w:hideMark/>
          </w:tcPr>
          <w:p w14:paraId="5B245FA2" w14:textId="77777777" w:rsidR="00000000" w:rsidRDefault="0053651E">
            <w:pPr>
              <w:rPr>
                <w:rFonts w:eastAsia="Times New Roman"/>
                <w:sz w:val="20"/>
                <w:szCs w:val="20"/>
              </w:rPr>
            </w:pPr>
            <w:r>
              <w:rPr>
                <w:rFonts w:eastAsia="Times New Roman"/>
                <w:sz w:val="20"/>
                <w:szCs w:val="20"/>
              </w:rPr>
              <w:t> </w:t>
            </w:r>
          </w:p>
        </w:tc>
      </w:tr>
      <w:tr w:rsidR="00000000" w14:paraId="44860F06" w14:textId="77777777">
        <w:trPr>
          <w:tblCellSpacing w:w="0" w:type="dxa"/>
        </w:trPr>
        <w:tc>
          <w:tcPr>
            <w:tcW w:w="0" w:type="auto"/>
            <w:shd w:val="clear" w:color="auto" w:fill="FFFFFF"/>
            <w:vAlign w:val="bottom"/>
            <w:hideMark/>
          </w:tcPr>
          <w:p w14:paraId="4676C30E" w14:textId="77777777" w:rsidR="00000000" w:rsidRDefault="0053651E">
            <w:pPr>
              <w:pStyle w:val="a3"/>
              <w:spacing w:before="0" w:beforeAutospacing="0" w:after="0" w:afterAutospacing="0"/>
              <w:rPr>
                <w:sz w:val="20"/>
                <w:szCs w:val="20"/>
              </w:rPr>
            </w:pPr>
            <w:r>
              <w:rPr>
                <w:sz w:val="20"/>
                <w:szCs w:val="20"/>
              </w:rPr>
              <w:t>Gain on sale of operating properties/change in control of interests</w:t>
            </w:r>
          </w:p>
        </w:tc>
        <w:tc>
          <w:tcPr>
            <w:tcW w:w="50" w:type="pct"/>
            <w:shd w:val="clear" w:color="auto" w:fill="FFFFFF"/>
            <w:vAlign w:val="bottom"/>
            <w:hideMark/>
          </w:tcPr>
          <w:p w14:paraId="5525BF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254D44"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4611EA97" w14:textId="77777777" w:rsidR="00000000" w:rsidRDefault="0053651E">
            <w:pPr>
              <w:jc w:val="right"/>
              <w:rPr>
                <w:rFonts w:eastAsia="Times New Roman"/>
                <w:sz w:val="20"/>
                <w:szCs w:val="20"/>
              </w:rPr>
            </w:pPr>
            <w:r>
              <w:rPr>
                <w:rFonts w:eastAsia="Times New Roman"/>
                <w:sz w:val="20"/>
                <w:szCs w:val="20"/>
              </w:rPr>
              <w:t>79.2</w:t>
            </w:r>
          </w:p>
        </w:tc>
        <w:tc>
          <w:tcPr>
            <w:tcW w:w="50" w:type="pct"/>
            <w:shd w:val="clear" w:color="auto" w:fill="FFFFFF"/>
            <w:vAlign w:val="bottom"/>
            <w:hideMark/>
          </w:tcPr>
          <w:p w14:paraId="386188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B436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9891CB"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341DFA4E" w14:textId="77777777" w:rsidR="00000000" w:rsidRDefault="0053651E">
            <w:pPr>
              <w:jc w:val="right"/>
              <w:rPr>
                <w:rFonts w:eastAsia="Times New Roman"/>
                <w:sz w:val="20"/>
                <w:szCs w:val="20"/>
              </w:rPr>
            </w:pPr>
            <w:r>
              <w:rPr>
                <w:rFonts w:eastAsia="Times New Roman"/>
                <w:sz w:val="20"/>
                <w:szCs w:val="20"/>
              </w:rPr>
              <w:t>229.8</w:t>
            </w:r>
          </w:p>
        </w:tc>
        <w:tc>
          <w:tcPr>
            <w:tcW w:w="50" w:type="pct"/>
            <w:shd w:val="clear" w:color="auto" w:fill="FFFFFF"/>
            <w:vAlign w:val="bottom"/>
            <w:hideMark/>
          </w:tcPr>
          <w:p w14:paraId="7D1848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B51D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B4158"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1876BC51" w14:textId="77777777" w:rsidR="00000000" w:rsidRDefault="0053651E">
            <w:pPr>
              <w:jc w:val="right"/>
              <w:rPr>
                <w:rFonts w:eastAsia="Times New Roman"/>
                <w:sz w:val="20"/>
                <w:szCs w:val="20"/>
              </w:rPr>
            </w:pPr>
            <w:r>
              <w:rPr>
                <w:rFonts w:eastAsia="Times New Roman"/>
                <w:sz w:val="20"/>
                <w:szCs w:val="20"/>
              </w:rPr>
              <w:t>93.5</w:t>
            </w:r>
          </w:p>
        </w:tc>
        <w:tc>
          <w:tcPr>
            <w:tcW w:w="50" w:type="pct"/>
            <w:shd w:val="clear" w:color="auto" w:fill="FFFFFF"/>
            <w:vAlign w:val="bottom"/>
            <w:hideMark/>
          </w:tcPr>
          <w:p w14:paraId="1E231FC2" w14:textId="77777777" w:rsidR="00000000" w:rsidRDefault="0053651E">
            <w:pPr>
              <w:rPr>
                <w:rFonts w:eastAsia="Times New Roman"/>
                <w:sz w:val="20"/>
                <w:szCs w:val="20"/>
              </w:rPr>
            </w:pPr>
            <w:r>
              <w:rPr>
                <w:rFonts w:eastAsia="Times New Roman"/>
                <w:sz w:val="20"/>
                <w:szCs w:val="20"/>
              </w:rPr>
              <w:t> </w:t>
            </w:r>
          </w:p>
        </w:tc>
      </w:tr>
      <w:tr w:rsidR="00000000" w14:paraId="7FA5E116" w14:textId="77777777">
        <w:trPr>
          <w:tblCellSpacing w:w="0" w:type="dxa"/>
        </w:trPr>
        <w:tc>
          <w:tcPr>
            <w:tcW w:w="0" w:type="auto"/>
            <w:shd w:val="clear" w:color="auto" w:fill="CCEEFF"/>
            <w:vAlign w:val="bottom"/>
            <w:hideMark/>
          </w:tcPr>
          <w:p w14:paraId="65FB1FD6" w14:textId="77777777" w:rsidR="00000000" w:rsidRDefault="0053651E">
            <w:pPr>
              <w:pStyle w:val="a3"/>
              <w:spacing w:before="0" w:beforeAutospacing="0" w:after="0" w:afterAutospacing="0"/>
              <w:rPr>
                <w:sz w:val="20"/>
                <w:szCs w:val="20"/>
              </w:rPr>
            </w:pPr>
            <w:r>
              <w:rPr>
                <w:sz w:val="20"/>
                <w:szCs w:val="20"/>
              </w:rPr>
              <w:t>Number of operating properties sold/deconsolidated</w:t>
            </w:r>
          </w:p>
        </w:tc>
        <w:tc>
          <w:tcPr>
            <w:tcW w:w="50" w:type="pct"/>
            <w:shd w:val="clear" w:color="auto" w:fill="CCEEFF"/>
            <w:vAlign w:val="bottom"/>
            <w:hideMark/>
          </w:tcPr>
          <w:p w14:paraId="6E0139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0B68CA"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0BFEEDE" w14:textId="77777777" w:rsidR="00000000" w:rsidRDefault="0053651E">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2E3B7A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CB5E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F43C66"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2BDD2E0" w14:textId="77777777" w:rsidR="00000000" w:rsidRDefault="0053651E">
            <w:pPr>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14:paraId="474F89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507C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7B93E"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41A4EF2" w14:textId="77777777" w:rsidR="00000000" w:rsidRDefault="0053651E">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14:paraId="6053886F" w14:textId="77777777" w:rsidR="00000000" w:rsidRDefault="0053651E">
            <w:pPr>
              <w:rPr>
                <w:rFonts w:eastAsia="Times New Roman"/>
                <w:sz w:val="20"/>
                <w:szCs w:val="20"/>
              </w:rPr>
            </w:pPr>
            <w:r>
              <w:rPr>
                <w:rFonts w:eastAsia="Times New Roman"/>
                <w:sz w:val="20"/>
                <w:szCs w:val="20"/>
              </w:rPr>
              <w:t> </w:t>
            </w:r>
          </w:p>
        </w:tc>
      </w:tr>
      <w:tr w:rsidR="00000000" w14:paraId="617E7555" w14:textId="77777777">
        <w:trPr>
          <w:tblCellSpacing w:w="0" w:type="dxa"/>
        </w:trPr>
        <w:tc>
          <w:tcPr>
            <w:tcW w:w="0" w:type="auto"/>
            <w:shd w:val="clear" w:color="auto" w:fill="FFFFFF"/>
            <w:vAlign w:val="bottom"/>
            <w:hideMark/>
          </w:tcPr>
          <w:p w14:paraId="19B9163C" w14:textId="77777777" w:rsidR="00000000" w:rsidRDefault="0053651E">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14:paraId="6C96BE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1387FA"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E5466BF" w14:textId="77777777" w:rsidR="00000000" w:rsidRDefault="0053651E">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14:paraId="06F6A1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8B61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21B5AD"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C435F61" w14:textId="77777777" w:rsidR="00000000" w:rsidRDefault="0053651E">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14:paraId="5FAEC2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5C7C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2FD4F3"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F0948DE" w14:textId="77777777" w:rsidR="00000000" w:rsidRDefault="0053651E">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14:paraId="623D3746" w14:textId="77777777" w:rsidR="00000000" w:rsidRDefault="0053651E">
            <w:pPr>
              <w:rPr>
                <w:rFonts w:eastAsia="Times New Roman"/>
                <w:sz w:val="20"/>
                <w:szCs w:val="20"/>
              </w:rPr>
            </w:pPr>
            <w:r>
              <w:rPr>
                <w:rFonts w:eastAsia="Times New Roman"/>
                <w:sz w:val="20"/>
                <w:szCs w:val="20"/>
              </w:rPr>
              <w:t> </w:t>
            </w:r>
          </w:p>
        </w:tc>
      </w:tr>
    </w:tbl>
    <w:p w14:paraId="4B683637" w14:textId="77777777" w:rsidR="00000000" w:rsidRDefault="0053651E">
      <w:pPr>
        <w:pStyle w:val="a3"/>
        <w:spacing w:before="0" w:beforeAutospacing="0" w:after="0" w:afterAutospacing="0"/>
        <w:ind w:left="360"/>
        <w:jc w:val="both"/>
        <w:rPr>
          <w:sz w:val="20"/>
          <w:szCs w:val="20"/>
        </w:rPr>
      </w:pPr>
      <w:r>
        <w:rPr>
          <w:sz w:val="20"/>
          <w:szCs w:val="20"/>
        </w:rPr>
        <w:t> </w:t>
      </w:r>
    </w:p>
    <w:p w14:paraId="77F4AAE0" w14:textId="77777777" w:rsidR="00000000" w:rsidRDefault="0053651E">
      <w:pPr>
        <w:pStyle w:val="a3"/>
        <w:spacing w:before="0" w:beforeAutospacing="0" w:after="0" w:afterAutospacing="0"/>
        <w:ind w:left="360"/>
        <w:jc w:val="both"/>
        <w:rPr>
          <w:sz w:val="20"/>
          <w:szCs w:val="20"/>
        </w:rPr>
      </w:pPr>
      <w:r>
        <w:rPr>
          <w:sz w:val="20"/>
          <w:szCs w:val="20"/>
        </w:rPr>
        <w:t>* Includes the land parcel sale at Dania Pointe, noted above in Footnote</w:t>
      </w:r>
      <w:r>
        <w:rPr>
          <w:sz w:val="20"/>
          <w:szCs w:val="20"/>
        </w:rPr>
        <w:t xml:space="preserve"> </w:t>
      </w:r>
      <w:r>
        <w:rPr>
          <w:rStyle w:val="a6"/>
          <w:i w:val="0"/>
          <w:iCs w:val="0"/>
          <w:sz w:val="20"/>
          <w:szCs w:val="20"/>
        </w:rPr>
        <w:t>4</w:t>
      </w:r>
      <w:r>
        <w:rPr>
          <w:sz w:val="20"/>
          <w:szCs w:val="20"/>
        </w:rPr>
        <w:t xml:space="preserve"> of the Notes to Consolidated Financial Statements.</w:t>
      </w:r>
    </w:p>
    <w:p w14:paraId="004C5DD9" w14:textId="77777777" w:rsidR="00000000" w:rsidRDefault="0053651E">
      <w:pPr>
        <w:pStyle w:val="a3"/>
        <w:spacing w:before="0" w:beforeAutospacing="0" w:after="0" w:afterAutospacing="0"/>
        <w:rPr>
          <w:sz w:val="20"/>
          <w:szCs w:val="20"/>
        </w:rPr>
      </w:pPr>
      <w:r>
        <w:rPr>
          <w:sz w:val="20"/>
          <w:szCs w:val="20"/>
        </w:rPr>
        <w:t> </w:t>
      </w:r>
    </w:p>
    <w:p w14:paraId="0CB8F4B9" w14:textId="77777777" w:rsidR="00000000" w:rsidRDefault="0053651E">
      <w:pPr>
        <w:pStyle w:val="a3"/>
        <w:spacing w:before="0" w:beforeAutospacing="0" w:after="0" w:afterAutospacing="0"/>
        <w:ind w:left="360"/>
        <w:jc w:val="both"/>
        <w:rPr>
          <w:sz w:val="20"/>
          <w:szCs w:val="20"/>
        </w:rPr>
      </w:pPr>
      <w:r>
        <w:rPr>
          <w:sz w:val="20"/>
          <w:szCs w:val="20"/>
        </w:rPr>
        <w:t>Included in the table above, during the year ended</w:t>
      </w:r>
      <w:r>
        <w:rPr>
          <w:sz w:val="20"/>
          <w:szCs w:val="20"/>
        </w:rPr>
        <w:t xml:space="preserve"> </w:t>
      </w:r>
      <w:r>
        <w:rPr>
          <w:rStyle w:val="a6"/>
          <w:i w:val="0"/>
          <w:iCs w:val="0"/>
          <w:sz w:val="20"/>
          <w:szCs w:val="20"/>
        </w:rPr>
        <w:t xml:space="preserve">December 31, 2018, </w:t>
      </w:r>
      <w:r>
        <w:rPr>
          <w:sz w:val="20"/>
          <w:szCs w:val="20"/>
        </w:rPr>
        <w:t>the Company sold a portion of its investment in an operati</w:t>
      </w:r>
      <w:r>
        <w:rPr>
          <w:sz w:val="20"/>
          <w:szCs w:val="20"/>
        </w:rPr>
        <w:t>ng property to its partner based on a gross fair value of $320.0 million, including $206.0 million of non-recourse mortgage debt, and amended the partnership agreement to provide for joint control of the entity. As a result of the amendment, the Company</w:t>
      </w:r>
      <w:r>
        <w:rPr>
          <w:sz w:val="20"/>
          <w:szCs w:val="20"/>
        </w:rPr>
        <w:t xml:space="preserve"> </w:t>
      </w:r>
      <w:r>
        <w:rPr>
          <w:rStyle w:val="a6"/>
          <w:i w:val="0"/>
          <w:iCs w:val="0"/>
          <w:sz w:val="20"/>
          <w:szCs w:val="20"/>
        </w:rPr>
        <w:t>no</w:t>
      </w:r>
      <w:r>
        <w:rPr>
          <w:sz w:val="20"/>
          <w:szCs w:val="20"/>
        </w:rPr>
        <w:t xml:space="preserve"> longer consolidates the entity and as such, reduced noncontrolling interests by $43.8 million and recognized a gain on change in control of $6.8 million, in accordance with the adoption of ASU</w:t>
      </w:r>
      <w:r>
        <w:rPr>
          <w:sz w:val="20"/>
          <w:szCs w:val="20"/>
        </w:rPr>
        <w:t xml:space="preserve"> </w:t>
      </w:r>
      <w:r>
        <w:rPr>
          <w:rStyle w:val="a6"/>
          <w:i w:val="0"/>
          <w:iCs w:val="0"/>
          <w:sz w:val="20"/>
          <w:szCs w:val="20"/>
        </w:rPr>
        <w:t>2017</w:t>
      </w:r>
      <w:r>
        <w:rPr>
          <w:sz w:val="20"/>
          <w:szCs w:val="20"/>
        </w:rPr>
        <w:t>-</w:t>
      </w:r>
      <w:r>
        <w:rPr>
          <w:rStyle w:val="a6"/>
          <w:i w:val="0"/>
          <w:iCs w:val="0"/>
          <w:sz w:val="20"/>
          <w:szCs w:val="20"/>
        </w:rPr>
        <w:t>05</w:t>
      </w:r>
      <w:r>
        <w:rPr>
          <w:sz w:val="20"/>
          <w:szCs w:val="20"/>
        </w:rPr>
        <w:t xml:space="preserve"> effective as of</w:t>
      </w:r>
      <w:r>
        <w:rPr>
          <w:sz w:val="20"/>
          <w:szCs w:val="20"/>
        </w:rPr>
        <w:t xml:space="preserve"> </w:t>
      </w:r>
      <w:r>
        <w:rPr>
          <w:rStyle w:val="a6"/>
          <w:i w:val="0"/>
          <w:iCs w:val="0"/>
          <w:sz w:val="20"/>
          <w:szCs w:val="20"/>
        </w:rPr>
        <w:t>January 1, 2018 (</w:t>
      </w:r>
      <w:r>
        <w:rPr>
          <w:sz w:val="20"/>
          <w:szCs w:val="20"/>
        </w:rPr>
        <w:t>see Footnote</w:t>
      </w:r>
      <w:r>
        <w:rPr>
          <w:sz w:val="20"/>
          <w:szCs w:val="20"/>
        </w:rPr>
        <w:t xml:space="preserve"> </w:t>
      </w:r>
      <w:r>
        <w:rPr>
          <w:rStyle w:val="a6"/>
          <w:i w:val="0"/>
          <w:iCs w:val="0"/>
          <w:sz w:val="20"/>
          <w:szCs w:val="20"/>
        </w:rPr>
        <w:t>1</w:t>
      </w:r>
      <w:r>
        <w:rPr>
          <w:sz w:val="20"/>
          <w:szCs w:val="20"/>
        </w:rPr>
        <w:t xml:space="preserve"> of the</w:t>
      </w:r>
      <w:r>
        <w:rPr>
          <w:sz w:val="20"/>
          <w:szCs w:val="20"/>
        </w:rPr>
        <w:t xml:space="preserve"> Notes to Consolidated Financial Statements). The Company has an investment in this unconsolidated property ($62.4 million as of the date of deconsolidation), included in Investments in and advances to real estate joint ventures on the Company’s Consolidat</w:t>
      </w:r>
      <w:r>
        <w:rPr>
          <w:sz w:val="20"/>
          <w:szCs w:val="20"/>
        </w:rPr>
        <w:t>ed Balance Sheets. The Company’s share of this investment is subject to change and is based upon a cash flow waterfall provision within the partnership agreement (54.8% as of the date of deconsolidation).</w:t>
      </w:r>
    </w:p>
    <w:p w14:paraId="2E911B1A" w14:textId="77777777" w:rsidR="00000000" w:rsidRDefault="0053651E">
      <w:pPr>
        <w:pStyle w:val="a3"/>
        <w:spacing w:before="0" w:beforeAutospacing="0" w:after="0" w:afterAutospacing="0"/>
        <w:ind w:left="360"/>
        <w:jc w:val="both"/>
        <w:rPr>
          <w:sz w:val="20"/>
          <w:szCs w:val="20"/>
        </w:rPr>
      </w:pPr>
      <w:r>
        <w:rPr>
          <w:sz w:val="20"/>
          <w:szCs w:val="20"/>
        </w:rPr>
        <w:t> </w:t>
      </w:r>
    </w:p>
    <w:p w14:paraId="0FC977A6" w14:textId="77777777" w:rsidR="00000000" w:rsidRDefault="0053651E">
      <w:pPr>
        <w:pStyle w:val="a3"/>
        <w:spacing w:before="0" w:beforeAutospacing="0" w:after="0" w:afterAutospacing="0"/>
        <w:ind w:left="360"/>
        <w:jc w:val="both"/>
        <w:rPr>
          <w:sz w:val="20"/>
          <w:szCs w:val="20"/>
        </w:rPr>
      </w:pPr>
      <w:r>
        <w:rPr>
          <w:i/>
          <w:iCs/>
          <w:sz w:val="20"/>
          <w:szCs w:val="20"/>
        </w:rPr>
        <w:t>Land Sales</w:t>
      </w:r>
    </w:p>
    <w:p w14:paraId="3EFFE346" w14:textId="77777777" w:rsidR="00000000" w:rsidRDefault="0053651E">
      <w:pPr>
        <w:pStyle w:val="a3"/>
        <w:spacing w:before="0" w:beforeAutospacing="0" w:after="0" w:afterAutospacing="0"/>
        <w:ind w:left="360"/>
        <w:jc w:val="both"/>
        <w:rPr>
          <w:sz w:val="20"/>
          <w:szCs w:val="20"/>
        </w:rPr>
      </w:pPr>
      <w:r>
        <w:rPr>
          <w:sz w:val="20"/>
          <w:szCs w:val="20"/>
        </w:rPr>
        <w:t> </w:t>
      </w:r>
    </w:p>
    <w:p w14:paraId="79BECCF4"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2018,</w:t>
      </w:r>
      <w:r>
        <w:rPr>
          <w:sz w:val="20"/>
          <w:szCs w:val="20"/>
        </w:rPr>
        <w:t xml:space="preserve"> the Company sold 10 lan</w:t>
      </w:r>
      <w:r>
        <w:rPr>
          <w:sz w:val="20"/>
          <w:szCs w:val="20"/>
        </w:rPr>
        <w:t>d parcels, for an aggregate sales price of $9.7 million. These transactions resulted in an aggregate gain of $6.3 million, before income tax expense and noncontrolling interest for the year ended</w:t>
      </w:r>
      <w:r>
        <w:rPr>
          <w:sz w:val="20"/>
          <w:szCs w:val="20"/>
        </w:rPr>
        <w:t xml:space="preserve"> </w:t>
      </w:r>
      <w:r>
        <w:rPr>
          <w:rStyle w:val="a6"/>
          <w:i w:val="0"/>
          <w:iCs w:val="0"/>
          <w:sz w:val="20"/>
          <w:szCs w:val="20"/>
        </w:rPr>
        <w:t xml:space="preserve">December 31, 2018. </w:t>
      </w:r>
      <w:r>
        <w:rPr>
          <w:sz w:val="20"/>
          <w:szCs w:val="20"/>
        </w:rPr>
        <w:t>The gains from these transactions are rec</w:t>
      </w:r>
      <w:r>
        <w:rPr>
          <w:sz w:val="20"/>
          <w:szCs w:val="20"/>
        </w:rPr>
        <w:t>orded as other income, which is included in Other income, net on the Company’s Consolidated Statements of Income.</w:t>
      </w:r>
    </w:p>
    <w:p w14:paraId="27C9B0F7" w14:textId="77777777" w:rsidR="00000000" w:rsidRDefault="0053651E">
      <w:pPr>
        <w:pStyle w:val="a3"/>
        <w:spacing w:before="0" w:beforeAutospacing="0" w:after="0" w:afterAutospacing="0"/>
        <w:ind w:left="360"/>
        <w:jc w:val="both"/>
        <w:rPr>
          <w:sz w:val="20"/>
          <w:szCs w:val="20"/>
        </w:rPr>
      </w:pPr>
      <w:r>
        <w:rPr>
          <w:sz w:val="20"/>
          <w:szCs w:val="20"/>
        </w:rPr>
        <w:t> </w:t>
      </w:r>
    </w:p>
    <w:p w14:paraId="7F96C52D" w14:textId="77777777" w:rsidR="00000000" w:rsidRDefault="0053651E">
      <w:pPr>
        <w:pStyle w:val="a3"/>
        <w:spacing w:before="0" w:beforeAutospacing="0" w:after="0" w:afterAutospacing="0"/>
        <w:ind w:left="360"/>
        <w:jc w:val="both"/>
        <w:rPr>
          <w:sz w:val="20"/>
          <w:szCs w:val="20"/>
        </w:rPr>
      </w:pPr>
      <w:r>
        <w:rPr>
          <w:sz w:val="20"/>
          <w:szCs w:val="20"/>
        </w:rPr>
        <w:t> </w:t>
      </w:r>
    </w:p>
    <w:p w14:paraId="56173A32" w14:textId="77777777" w:rsidR="00000000" w:rsidRDefault="0053651E">
      <w:pPr>
        <w:jc w:val="center"/>
        <w:divId w:val="78143776"/>
        <w:rPr>
          <w:rFonts w:eastAsia="Times New Roman"/>
          <w:sz w:val="20"/>
          <w:szCs w:val="20"/>
        </w:rPr>
      </w:pPr>
      <w:r>
        <w:rPr>
          <w:rStyle w:val="a6"/>
          <w:rFonts w:eastAsia="Times New Roman"/>
          <w:i w:val="0"/>
          <w:iCs w:val="0"/>
          <w:sz w:val="20"/>
          <w:szCs w:val="20"/>
        </w:rPr>
        <w:t>63</w:t>
      </w:r>
      <w:r>
        <w:rPr>
          <w:rFonts w:eastAsia="Times New Roman"/>
          <w:sz w:val="20"/>
          <w:szCs w:val="20"/>
        </w:rPr>
        <w:t xml:space="preserve"> </w:t>
      </w:r>
    </w:p>
    <w:p w14:paraId="54206AE7" w14:textId="77777777" w:rsidR="00000000" w:rsidRDefault="0053651E">
      <w:pPr>
        <w:divId w:val="78143776"/>
        <w:rPr>
          <w:rFonts w:eastAsia="Times New Roman"/>
          <w:sz w:val="20"/>
          <w:szCs w:val="20"/>
        </w:rPr>
      </w:pPr>
      <w:r>
        <w:rPr>
          <w:rFonts w:eastAsia="Times New Roman"/>
          <w:sz w:val="20"/>
          <w:szCs w:val="20"/>
        </w:rPr>
        <w:pict w14:anchorId="17432654">
          <v:rect id="_x0000_i1094" style="width:415.3pt;height:1.5pt" o:hralign="center" o:hrstd="t" o:hrnoshade="t" o:hr="t" fillcolor="black" stroked="f"/>
        </w:pict>
      </w:r>
    </w:p>
    <w:p w14:paraId="7AB1F87B" w14:textId="77777777" w:rsidR="00000000" w:rsidRDefault="0053651E">
      <w:pPr>
        <w:divId w:val="7814377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8967B5A" w14:textId="77777777" w:rsidR="00000000" w:rsidRDefault="0053651E">
      <w:pPr>
        <w:pStyle w:val="a3"/>
        <w:spacing w:before="0" w:beforeAutospacing="0" w:after="0" w:afterAutospacing="0"/>
        <w:rPr>
          <w:sz w:val="20"/>
          <w:szCs w:val="20"/>
        </w:rPr>
      </w:pPr>
      <w:r>
        <w:rPr>
          <w:sz w:val="20"/>
          <w:szCs w:val="20"/>
        </w:rPr>
        <w:t> </w:t>
      </w:r>
    </w:p>
    <w:p w14:paraId="6006D820"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019E38D1" w14:textId="77777777" w:rsidR="00000000" w:rsidRDefault="0053651E">
      <w:pPr>
        <w:pStyle w:val="a3"/>
        <w:spacing w:before="0" w:beforeAutospacing="0" w:after="0" w:afterAutospacing="0"/>
        <w:jc w:val="center"/>
        <w:rPr>
          <w:sz w:val="20"/>
          <w:szCs w:val="20"/>
        </w:rPr>
      </w:pPr>
      <w:r>
        <w:rPr>
          <w:sz w:val="20"/>
          <w:szCs w:val="20"/>
        </w:rPr>
        <w:t> </w:t>
      </w:r>
    </w:p>
    <w:p w14:paraId="2DF660B3"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FE88466" w14:textId="77777777" w:rsidR="00000000" w:rsidRDefault="0053651E">
      <w:pPr>
        <w:pStyle w:val="a3"/>
        <w:spacing w:before="0" w:beforeAutospacing="0" w:after="0" w:afterAutospacing="0"/>
        <w:rPr>
          <w:sz w:val="20"/>
          <w:szCs w:val="20"/>
        </w:rPr>
      </w:pPr>
      <w:r>
        <w:rPr>
          <w:sz w:val="20"/>
          <w:szCs w:val="20"/>
        </w:rPr>
        <w:t> </w:t>
      </w:r>
    </w:p>
    <w:p w14:paraId="762C2C6F" w14:textId="77777777" w:rsidR="00000000" w:rsidRDefault="0053651E">
      <w:pPr>
        <w:divId w:val="980427964"/>
        <w:rPr>
          <w:rFonts w:eastAsia="Times New Roman"/>
          <w:sz w:val="20"/>
          <w:szCs w:val="20"/>
        </w:rPr>
      </w:pPr>
      <w:r>
        <w:rPr>
          <w:rFonts w:eastAsia="Times New Roman"/>
          <w:sz w:val="20"/>
          <w:szCs w:val="20"/>
        </w:rPr>
        <w:t xml:space="preserve">  </w:t>
      </w:r>
    </w:p>
    <w:p w14:paraId="17B18BB9"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6.</w:t>
      </w:r>
      <w:r>
        <w:rPr>
          <w:sz w:val="20"/>
          <w:szCs w:val="20"/>
        </w:rPr>
        <w:t xml:space="preserve">    </w:t>
      </w:r>
      <w:r>
        <w:rPr>
          <w:sz w:val="20"/>
          <w:szCs w:val="20"/>
          <w:u w:val="single"/>
        </w:rPr>
        <w:t>Impairments</w:t>
      </w:r>
      <w:r>
        <w:rPr>
          <w:sz w:val="20"/>
          <w:szCs w:val="20"/>
        </w:rPr>
        <w:t>:</w:t>
      </w:r>
    </w:p>
    <w:p w14:paraId="1149F32E" w14:textId="77777777" w:rsidR="00000000" w:rsidRDefault="0053651E">
      <w:pPr>
        <w:pStyle w:val="a3"/>
        <w:spacing w:before="0" w:beforeAutospacing="0" w:after="0" w:afterAutospacing="0"/>
        <w:rPr>
          <w:sz w:val="20"/>
          <w:szCs w:val="20"/>
        </w:rPr>
      </w:pPr>
      <w:r>
        <w:rPr>
          <w:sz w:val="20"/>
          <w:szCs w:val="20"/>
        </w:rPr>
        <w:t> </w:t>
      </w:r>
    </w:p>
    <w:p w14:paraId="5D02DD50" w14:textId="77777777" w:rsidR="00000000" w:rsidRDefault="0053651E">
      <w:pPr>
        <w:pStyle w:val="a3"/>
        <w:spacing w:before="0" w:beforeAutospacing="0" w:after="0" w:afterAutospacing="0"/>
        <w:ind w:left="360"/>
        <w:jc w:val="both"/>
        <w:rPr>
          <w:sz w:val="20"/>
          <w:szCs w:val="20"/>
        </w:rPr>
      </w:pPr>
      <w:r>
        <w:rPr>
          <w:sz w:val="20"/>
          <w:szCs w:val="20"/>
        </w:rPr>
        <w:t>Management assesses on a continuous basis whether there are any indicators, including property operating performance, changes in anticipated holding period, general market cond</w:t>
      </w:r>
      <w:r>
        <w:rPr>
          <w:sz w:val="20"/>
          <w:szCs w:val="20"/>
        </w:rPr>
        <w:t>itions and delays of or change in plans for development, that the value of the Company’s assets (including any related amortizable intangible assets or liabilities)</w:t>
      </w:r>
      <w:r>
        <w:rPr>
          <w:sz w:val="20"/>
          <w:szCs w:val="20"/>
        </w:rPr>
        <w:t xml:space="preserve"> </w:t>
      </w:r>
      <w:r>
        <w:rPr>
          <w:rStyle w:val="a6"/>
          <w:i w:val="0"/>
          <w:iCs w:val="0"/>
          <w:sz w:val="20"/>
          <w:szCs w:val="20"/>
        </w:rPr>
        <w:t xml:space="preserve">may </w:t>
      </w:r>
      <w:r>
        <w:rPr>
          <w:sz w:val="20"/>
          <w:szCs w:val="20"/>
        </w:rPr>
        <w:t>be impaired. To the extent impairment has occurred, the carrying value of the asset wou</w:t>
      </w:r>
      <w:r>
        <w:rPr>
          <w:sz w:val="20"/>
          <w:szCs w:val="20"/>
        </w:rPr>
        <w:t>ld be adjusted to an amount to reflect the estimated fair value of the asset.</w:t>
      </w:r>
    </w:p>
    <w:p w14:paraId="51F12957" w14:textId="77777777" w:rsidR="00000000" w:rsidRDefault="0053651E">
      <w:pPr>
        <w:pStyle w:val="a3"/>
        <w:spacing w:before="0" w:beforeAutospacing="0" w:after="0" w:afterAutospacing="0"/>
        <w:ind w:left="360"/>
        <w:jc w:val="both"/>
        <w:rPr>
          <w:sz w:val="20"/>
          <w:szCs w:val="20"/>
        </w:rPr>
      </w:pPr>
      <w:r>
        <w:rPr>
          <w:sz w:val="20"/>
          <w:szCs w:val="20"/>
        </w:rPr>
        <w:t> </w:t>
      </w:r>
    </w:p>
    <w:p w14:paraId="2BCBE24C" w14:textId="77777777" w:rsidR="00000000" w:rsidRDefault="0053651E">
      <w:pPr>
        <w:pStyle w:val="a3"/>
        <w:spacing w:before="0" w:beforeAutospacing="0" w:after="0" w:afterAutospacing="0"/>
        <w:ind w:left="360"/>
        <w:jc w:val="both"/>
        <w:rPr>
          <w:sz w:val="20"/>
          <w:szCs w:val="20"/>
        </w:rPr>
      </w:pPr>
      <w:r>
        <w:rPr>
          <w:sz w:val="20"/>
          <w:szCs w:val="20"/>
        </w:rPr>
        <w:t>The Company has an active capital recycling program which provides for the disposition of certain properties, typically of lesser quality assets in less desirable locations. Th</w:t>
      </w:r>
      <w:r>
        <w:rPr>
          <w:sz w:val="20"/>
          <w:szCs w:val="20"/>
        </w:rPr>
        <w:t>e Company has adjusted the anticipated hold period for these properties and as a result the Company recognized impairment charges on certain operating properties (see Footnote</w:t>
      </w:r>
      <w:r>
        <w:rPr>
          <w:sz w:val="20"/>
          <w:szCs w:val="20"/>
        </w:rPr>
        <w:t xml:space="preserve"> </w:t>
      </w:r>
      <w:r>
        <w:rPr>
          <w:rStyle w:val="a6"/>
          <w:i w:val="0"/>
          <w:iCs w:val="0"/>
          <w:sz w:val="20"/>
          <w:szCs w:val="20"/>
        </w:rPr>
        <w:t>15</w:t>
      </w:r>
      <w:r>
        <w:rPr>
          <w:sz w:val="20"/>
          <w:szCs w:val="20"/>
        </w:rPr>
        <w:t xml:space="preserve"> of the Notes to Consolidated Financial Statements for fair value disclosure).</w:t>
      </w:r>
    </w:p>
    <w:p w14:paraId="47B54278" w14:textId="77777777" w:rsidR="00000000" w:rsidRDefault="0053651E">
      <w:pPr>
        <w:pStyle w:val="a3"/>
        <w:spacing w:before="0" w:beforeAutospacing="0" w:after="0" w:afterAutospacing="0"/>
        <w:ind w:left="360"/>
        <w:jc w:val="both"/>
        <w:rPr>
          <w:sz w:val="20"/>
          <w:szCs w:val="20"/>
        </w:rPr>
      </w:pPr>
      <w:r>
        <w:rPr>
          <w:sz w:val="20"/>
          <w:szCs w:val="20"/>
        </w:rPr>
        <w:t> </w:t>
      </w:r>
    </w:p>
    <w:p w14:paraId="0FC3CCAA" w14:textId="77777777" w:rsidR="00000000" w:rsidRDefault="0053651E">
      <w:pPr>
        <w:pStyle w:val="a3"/>
        <w:spacing w:before="0" w:beforeAutospacing="0" w:after="0" w:afterAutospacing="0"/>
        <w:ind w:left="360"/>
        <w:jc w:val="both"/>
        <w:rPr>
          <w:sz w:val="20"/>
          <w:szCs w:val="20"/>
        </w:rPr>
      </w:pPr>
      <w:r>
        <w:rPr>
          <w:sz w:val="20"/>
          <w:szCs w:val="20"/>
        </w:rPr>
        <w:t>The Company’s efforts to market certain assets and management’s assessment as to the likelihood and timing of such potential transactions and/or the property hold period resulted in the Company recognizing impairment charges for the years ended</w:t>
      </w:r>
      <w:r>
        <w:rPr>
          <w:sz w:val="20"/>
          <w:szCs w:val="20"/>
        </w:rPr>
        <w:t xml:space="preserve"> </w:t>
      </w:r>
      <w:r>
        <w:rPr>
          <w:rStyle w:val="a6"/>
          <w:i w:val="0"/>
          <w:iCs w:val="0"/>
          <w:sz w:val="20"/>
          <w:szCs w:val="20"/>
        </w:rPr>
        <w:t>December</w:t>
      </w:r>
      <w:r>
        <w:rPr>
          <w:rStyle w:val="a6"/>
          <w:i w:val="0"/>
          <w:iCs w:val="0"/>
          <w:sz w:val="20"/>
          <w:szCs w:val="20"/>
        </w:rPr>
        <w:t xml:space="preserve">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as follows (in millions):</w:t>
      </w:r>
    </w:p>
    <w:p w14:paraId="658F4BC7"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8"/>
        <w:gridCol w:w="62"/>
        <w:gridCol w:w="100"/>
        <w:gridCol w:w="1050"/>
        <w:gridCol w:w="62"/>
        <w:gridCol w:w="62"/>
        <w:gridCol w:w="100"/>
        <w:gridCol w:w="1050"/>
        <w:gridCol w:w="62"/>
        <w:gridCol w:w="62"/>
        <w:gridCol w:w="100"/>
        <w:gridCol w:w="1050"/>
        <w:gridCol w:w="62"/>
      </w:tblGrid>
      <w:tr w:rsidR="00000000" w14:paraId="043169D0" w14:textId="77777777">
        <w:trPr>
          <w:tblCellSpacing w:w="0" w:type="dxa"/>
        </w:trPr>
        <w:tc>
          <w:tcPr>
            <w:tcW w:w="0" w:type="auto"/>
            <w:vAlign w:val="bottom"/>
            <w:hideMark/>
          </w:tcPr>
          <w:p w14:paraId="455B101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184694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FC730AA"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7A2D73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D27B45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3F745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85FAAB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924F84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55DF24"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1B5E1AA8" w14:textId="77777777" w:rsidR="00000000" w:rsidRDefault="0053651E">
            <w:pPr>
              <w:rPr>
                <w:rFonts w:eastAsia="Times New Roman"/>
                <w:sz w:val="20"/>
                <w:szCs w:val="20"/>
              </w:rPr>
            </w:pPr>
            <w:r>
              <w:rPr>
                <w:rFonts w:eastAsia="Times New Roman"/>
                <w:sz w:val="20"/>
                <w:szCs w:val="20"/>
              </w:rPr>
              <w:t> </w:t>
            </w:r>
          </w:p>
        </w:tc>
      </w:tr>
      <w:tr w:rsidR="00000000" w14:paraId="4C051F47" w14:textId="77777777">
        <w:trPr>
          <w:tblCellSpacing w:w="0" w:type="dxa"/>
        </w:trPr>
        <w:tc>
          <w:tcPr>
            <w:tcW w:w="2300" w:type="pct"/>
            <w:shd w:val="clear" w:color="auto" w:fill="CCEEFF"/>
            <w:vAlign w:val="bottom"/>
            <w:hideMark/>
          </w:tcPr>
          <w:p w14:paraId="76B50EAD" w14:textId="77777777" w:rsidR="00000000" w:rsidRDefault="0053651E">
            <w:pPr>
              <w:pStyle w:val="a3"/>
              <w:spacing w:before="0" w:beforeAutospacing="0" w:after="0" w:afterAutospacing="0"/>
              <w:rPr>
                <w:sz w:val="20"/>
                <w:szCs w:val="20"/>
              </w:rPr>
            </w:pPr>
            <w:r>
              <w:rPr>
                <w:sz w:val="20"/>
                <w:szCs w:val="20"/>
              </w:rPr>
              <w:t>Properties marketed for sale (1) (2)</w:t>
            </w:r>
          </w:p>
        </w:tc>
        <w:tc>
          <w:tcPr>
            <w:tcW w:w="50" w:type="pct"/>
            <w:shd w:val="clear" w:color="auto" w:fill="CCEEFF"/>
            <w:vAlign w:val="bottom"/>
            <w:hideMark/>
          </w:tcPr>
          <w:p w14:paraId="1B00F2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74D734"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33709C97" w14:textId="77777777" w:rsidR="00000000" w:rsidRDefault="0053651E">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14:paraId="023417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6D26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7D2329"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34BA9A50" w14:textId="77777777" w:rsidR="00000000" w:rsidRDefault="0053651E">
            <w:pPr>
              <w:jc w:val="right"/>
              <w:rPr>
                <w:rFonts w:eastAsia="Times New Roman"/>
                <w:sz w:val="20"/>
                <w:szCs w:val="20"/>
              </w:rPr>
            </w:pPr>
            <w:r>
              <w:rPr>
                <w:rFonts w:eastAsia="Times New Roman"/>
                <w:sz w:val="20"/>
                <w:szCs w:val="20"/>
              </w:rPr>
              <w:t>59.5</w:t>
            </w:r>
          </w:p>
        </w:tc>
        <w:tc>
          <w:tcPr>
            <w:tcW w:w="50" w:type="pct"/>
            <w:shd w:val="clear" w:color="auto" w:fill="CCEEFF"/>
            <w:vAlign w:val="bottom"/>
            <w:hideMark/>
          </w:tcPr>
          <w:p w14:paraId="75BEAE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31A5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A6FE23"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07704801" w14:textId="77777777" w:rsidR="00000000" w:rsidRDefault="0053651E">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14:paraId="7987062F" w14:textId="77777777" w:rsidR="00000000" w:rsidRDefault="0053651E">
            <w:pPr>
              <w:rPr>
                <w:rFonts w:eastAsia="Times New Roman"/>
                <w:sz w:val="20"/>
                <w:szCs w:val="20"/>
              </w:rPr>
            </w:pPr>
            <w:r>
              <w:rPr>
                <w:rFonts w:eastAsia="Times New Roman"/>
                <w:sz w:val="20"/>
                <w:szCs w:val="20"/>
              </w:rPr>
              <w:t> </w:t>
            </w:r>
          </w:p>
        </w:tc>
      </w:tr>
      <w:tr w:rsidR="00000000" w14:paraId="7539E542" w14:textId="77777777">
        <w:trPr>
          <w:tblCellSpacing w:w="0" w:type="dxa"/>
        </w:trPr>
        <w:tc>
          <w:tcPr>
            <w:tcW w:w="0" w:type="auto"/>
            <w:shd w:val="clear" w:color="auto" w:fill="FFFFFF"/>
            <w:vAlign w:val="bottom"/>
            <w:hideMark/>
          </w:tcPr>
          <w:p w14:paraId="7B8DB756" w14:textId="77777777" w:rsidR="00000000" w:rsidRDefault="0053651E">
            <w:pPr>
              <w:pStyle w:val="a3"/>
              <w:spacing w:before="0" w:beforeAutospacing="0" w:after="0" w:afterAutospacing="0"/>
              <w:rPr>
                <w:sz w:val="20"/>
                <w:szCs w:val="20"/>
              </w:rPr>
            </w:pPr>
            <w:r>
              <w:rPr>
                <w:sz w:val="20"/>
                <w:szCs w:val="20"/>
              </w:rPr>
              <w:t>Properties disposed /deeded in lieu/foreclosed(3)</w:t>
            </w:r>
          </w:p>
        </w:tc>
        <w:tc>
          <w:tcPr>
            <w:tcW w:w="50" w:type="pct"/>
            <w:shd w:val="clear" w:color="auto" w:fill="FFFFFF"/>
            <w:vAlign w:val="bottom"/>
            <w:hideMark/>
          </w:tcPr>
          <w:p w14:paraId="06BF68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1B1BC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305755D" w14:textId="77777777" w:rsidR="00000000" w:rsidRDefault="0053651E">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14:paraId="437443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403A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19E76E"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9D05C73" w14:textId="77777777" w:rsidR="00000000" w:rsidRDefault="0053651E">
            <w:pPr>
              <w:jc w:val="right"/>
              <w:rPr>
                <w:rFonts w:eastAsia="Times New Roman"/>
                <w:sz w:val="20"/>
                <w:szCs w:val="20"/>
              </w:rPr>
            </w:pPr>
            <w:r>
              <w:rPr>
                <w:rFonts w:eastAsia="Times New Roman"/>
                <w:sz w:val="20"/>
                <w:szCs w:val="20"/>
              </w:rPr>
              <w:t>19.7</w:t>
            </w:r>
          </w:p>
        </w:tc>
        <w:tc>
          <w:tcPr>
            <w:tcW w:w="50" w:type="pct"/>
            <w:shd w:val="clear" w:color="auto" w:fill="FFFFFF"/>
            <w:vAlign w:val="bottom"/>
            <w:hideMark/>
          </w:tcPr>
          <w:p w14:paraId="09777A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A068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D5426C"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3622038" w14:textId="77777777" w:rsidR="00000000" w:rsidRDefault="0053651E">
            <w:pPr>
              <w:jc w:val="right"/>
              <w:rPr>
                <w:rFonts w:eastAsia="Times New Roman"/>
                <w:sz w:val="20"/>
                <w:szCs w:val="20"/>
              </w:rPr>
            </w:pPr>
            <w:r>
              <w:rPr>
                <w:rFonts w:eastAsia="Times New Roman"/>
                <w:sz w:val="20"/>
                <w:szCs w:val="20"/>
              </w:rPr>
              <w:t>17.1</w:t>
            </w:r>
          </w:p>
        </w:tc>
        <w:tc>
          <w:tcPr>
            <w:tcW w:w="50" w:type="pct"/>
            <w:shd w:val="clear" w:color="auto" w:fill="FFFFFF"/>
            <w:vAlign w:val="bottom"/>
            <w:hideMark/>
          </w:tcPr>
          <w:p w14:paraId="467AEF44" w14:textId="77777777" w:rsidR="00000000" w:rsidRDefault="0053651E">
            <w:pPr>
              <w:rPr>
                <w:rFonts w:eastAsia="Times New Roman"/>
                <w:sz w:val="20"/>
                <w:szCs w:val="20"/>
              </w:rPr>
            </w:pPr>
            <w:r>
              <w:rPr>
                <w:rFonts w:eastAsia="Times New Roman"/>
                <w:sz w:val="20"/>
                <w:szCs w:val="20"/>
              </w:rPr>
              <w:t> </w:t>
            </w:r>
          </w:p>
        </w:tc>
      </w:tr>
      <w:tr w:rsidR="00000000" w14:paraId="7CBA71D7" w14:textId="77777777">
        <w:trPr>
          <w:tblCellSpacing w:w="0" w:type="dxa"/>
        </w:trPr>
        <w:tc>
          <w:tcPr>
            <w:tcW w:w="0" w:type="auto"/>
            <w:shd w:val="clear" w:color="auto" w:fill="CCEEFF"/>
            <w:vAlign w:val="bottom"/>
            <w:hideMark/>
          </w:tcPr>
          <w:p w14:paraId="491D01D9" w14:textId="77777777" w:rsidR="00000000" w:rsidRDefault="0053651E">
            <w:pPr>
              <w:pStyle w:val="a3"/>
              <w:spacing w:before="0" w:beforeAutospacing="0" w:after="0" w:afterAutospacing="0"/>
              <w:rPr>
                <w:sz w:val="20"/>
                <w:szCs w:val="20"/>
              </w:rPr>
            </w:pPr>
            <w:r>
              <w:rPr>
                <w:sz w:val="20"/>
                <w:szCs w:val="20"/>
              </w:rPr>
              <w:t>Properties held and used (4)</w:t>
            </w:r>
          </w:p>
        </w:tc>
        <w:tc>
          <w:tcPr>
            <w:tcW w:w="50" w:type="pct"/>
            <w:shd w:val="clear" w:color="auto" w:fill="CCEEFF"/>
            <w:vAlign w:val="bottom"/>
            <w:hideMark/>
          </w:tcPr>
          <w:p w14:paraId="78DCB8D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6AB4C12"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34922B1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68B5E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BC21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74214CB"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1D24962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FA1FB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37CF4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17BD99"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05D15227" w14:textId="77777777" w:rsidR="00000000" w:rsidRDefault="0053651E">
            <w:pPr>
              <w:jc w:val="right"/>
              <w:rPr>
                <w:rFonts w:eastAsia="Times New Roman"/>
                <w:sz w:val="20"/>
                <w:szCs w:val="20"/>
              </w:rPr>
            </w:pPr>
            <w:r>
              <w:rPr>
                <w:rFonts w:eastAsia="Times New Roman"/>
                <w:sz w:val="20"/>
                <w:szCs w:val="20"/>
              </w:rPr>
              <w:t>16.2</w:t>
            </w:r>
          </w:p>
        </w:tc>
        <w:tc>
          <w:tcPr>
            <w:tcW w:w="50" w:type="pct"/>
            <w:shd w:val="clear" w:color="auto" w:fill="CCEEFF"/>
            <w:tcMar>
              <w:top w:w="0" w:type="dxa"/>
              <w:left w:w="0" w:type="dxa"/>
              <w:bottom w:w="15" w:type="dxa"/>
              <w:right w:w="0" w:type="dxa"/>
            </w:tcMar>
            <w:vAlign w:val="bottom"/>
            <w:hideMark/>
          </w:tcPr>
          <w:p w14:paraId="4A496527" w14:textId="77777777" w:rsidR="00000000" w:rsidRDefault="0053651E">
            <w:pPr>
              <w:rPr>
                <w:rFonts w:eastAsia="Times New Roman"/>
                <w:sz w:val="20"/>
                <w:szCs w:val="20"/>
              </w:rPr>
            </w:pPr>
            <w:r>
              <w:rPr>
                <w:rFonts w:eastAsia="Times New Roman"/>
                <w:sz w:val="20"/>
                <w:szCs w:val="20"/>
              </w:rPr>
              <w:t> </w:t>
            </w:r>
          </w:p>
        </w:tc>
      </w:tr>
      <w:tr w:rsidR="00000000" w14:paraId="78819AA0" w14:textId="77777777">
        <w:trPr>
          <w:tblCellSpacing w:w="0" w:type="dxa"/>
        </w:trPr>
        <w:tc>
          <w:tcPr>
            <w:tcW w:w="0" w:type="auto"/>
            <w:shd w:val="clear" w:color="auto" w:fill="CCEEFF"/>
            <w:vAlign w:val="bottom"/>
            <w:hideMark/>
          </w:tcPr>
          <w:p w14:paraId="17AE3BCB" w14:textId="77777777" w:rsidR="00000000" w:rsidRDefault="0053651E">
            <w:pPr>
              <w:pStyle w:val="a3"/>
              <w:spacing w:before="0" w:beforeAutospacing="0" w:after="0" w:afterAutospacing="0"/>
              <w:rPr>
                <w:sz w:val="20"/>
                <w:szCs w:val="20"/>
              </w:rPr>
            </w:pPr>
            <w:r>
              <w:rPr>
                <w:sz w:val="20"/>
                <w:szCs w:val="20"/>
              </w:rPr>
              <w:t>Total net impairment charges*</w:t>
            </w:r>
          </w:p>
        </w:tc>
        <w:tc>
          <w:tcPr>
            <w:tcW w:w="50" w:type="pct"/>
            <w:shd w:val="clear" w:color="auto" w:fill="CCEEFF"/>
            <w:vAlign w:val="bottom"/>
            <w:hideMark/>
          </w:tcPr>
          <w:p w14:paraId="1238A9C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2D6C2CA"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23FB8465" w14:textId="77777777" w:rsidR="00000000" w:rsidRDefault="0053651E">
            <w:pPr>
              <w:jc w:val="right"/>
              <w:rPr>
                <w:rFonts w:eastAsia="Times New Roman"/>
                <w:sz w:val="20"/>
                <w:szCs w:val="20"/>
              </w:rPr>
            </w:pPr>
            <w:r>
              <w:rPr>
                <w:rFonts w:eastAsia="Times New Roman"/>
                <w:sz w:val="20"/>
                <w:szCs w:val="20"/>
              </w:rPr>
              <w:t>48.7</w:t>
            </w:r>
          </w:p>
        </w:tc>
        <w:tc>
          <w:tcPr>
            <w:tcW w:w="50" w:type="pct"/>
            <w:shd w:val="clear" w:color="auto" w:fill="CCEEFF"/>
            <w:tcMar>
              <w:top w:w="0" w:type="dxa"/>
              <w:left w:w="0" w:type="dxa"/>
              <w:bottom w:w="45" w:type="dxa"/>
              <w:right w:w="0" w:type="dxa"/>
            </w:tcMar>
            <w:vAlign w:val="bottom"/>
            <w:hideMark/>
          </w:tcPr>
          <w:p w14:paraId="0312D5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8EF20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E7A958"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24588BA6" w14:textId="77777777" w:rsidR="00000000" w:rsidRDefault="0053651E">
            <w:pPr>
              <w:jc w:val="right"/>
              <w:rPr>
                <w:rFonts w:eastAsia="Times New Roman"/>
                <w:sz w:val="20"/>
                <w:szCs w:val="20"/>
              </w:rPr>
            </w:pPr>
            <w:r>
              <w:rPr>
                <w:rFonts w:eastAsia="Times New Roman"/>
                <w:sz w:val="20"/>
                <w:szCs w:val="20"/>
              </w:rPr>
              <w:t>79.2</w:t>
            </w:r>
          </w:p>
        </w:tc>
        <w:tc>
          <w:tcPr>
            <w:tcW w:w="50" w:type="pct"/>
            <w:shd w:val="clear" w:color="auto" w:fill="CCEEFF"/>
            <w:tcMar>
              <w:top w:w="0" w:type="dxa"/>
              <w:left w:w="0" w:type="dxa"/>
              <w:bottom w:w="45" w:type="dxa"/>
              <w:right w:w="0" w:type="dxa"/>
            </w:tcMar>
            <w:vAlign w:val="bottom"/>
            <w:hideMark/>
          </w:tcPr>
          <w:p w14:paraId="73F21F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A47ED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3A39DC2"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36E7DB2B" w14:textId="77777777" w:rsidR="00000000" w:rsidRDefault="0053651E">
            <w:pPr>
              <w:jc w:val="right"/>
              <w:rPr>
                <w:rFonts w:eastAsia="Times New Roman"/>
                <w:sz w:val="20"/>
                <w:szCs w:val="20"/>
              </w:rPr>
            </w:pPr>
            <w:r>
              <w:rPr>
                <w:rFonts w:eastAsia="Times New Roman"/>
                <w:sz w:val="20"/>
                <w:szCs w:val="20"/>
              </w:rPr>
              <w:t>67.3</w:t>
            </w:r>
          </w:p>
        </w:tc>
        <w:tc>
          <w:tcPr>
            <w:tcW w:w="50" w:type="pct"/>
            <w:shd w:val="clear" w:color="auto" w:fill="CCEEFF"/>
            <w:tcMar>
              <w:top w:w="0" w:type="dxa"/>
              <w:left w:w="0" w:type="dxa"/>
              <w:bottom w:w="45" w:type="dxa"/>
              <w:right w:w="0" w:type="dxa"/>
            </w:tcMar>
            <w:vAlign w:val="bottom"/>
            <w:hideMark/>
          </w:tcPr>
          <w:p w14:paraId="77CFC33B" w14:textId="77777777" w:rsidR="00000000" w:rsidRDefault="0053651E">
            <w:pPr>
              <w:rPr>
                <w:rFonts w:eastAsia="Times New Roman"/>
                <w:sz w:val="20"/>
                <w:szCs w:val="20"/>
              </w:rPr>
            </w:pPr>
            <w:r>
              <w:rPr>
                <w:rFonts w:eastAsia="Times New Roman"/>
                <w:sz w:val="20"/>
                <w:szCs w:val="20"/>
              </w:rPr>
              <w:t> </w:t>
            </w:r>
          </w:p>
        </w:tc>
      </w:tr>
    </w:tbl>
    <w:p w14:paraId="1F15F76B" w14:textId="77777777" w:rsidR="00000000" w:rsidRDefault="0053651E">
      <w:pPr>
        <w:pStyle w:val="a3"/>
        <w:spacing w:before="0" w:beforeAutospacing="0" w:after="0" w:afterAutospacing="0"/>
        <w:ind w:left="360"/>
        <w:jc w:val="center"/>
        <w:rPr>
          <w:sz w:val="20"/>
          <w:szCs w:val="20"/>
        </w:rPr>
      </w:pPr>
      <w:r>
        <w:rPr>
          <w:sz w:val="20"/>
          <w:szCs w:val="20"/>
        </w:rPr>
        <w:t> </w:t>
      </w:r>
    </w:p>
    <w:p w14:paraId="28C19120" w14:textId="77777777" w:rsidR="00000000" w:rsidRDefault="0053651E">
      <w:pPr>
        <w:pStyle w:val="a3"/>
        <w:spacing w:before="0" w:beforeAutospacing="0" w:after="0" w:afterAutospacing="0"/>
        <w:ind w:left="360"/>
        <w:rPr>
          <w:sz w:val="20"/>
          <w:szCs w:val="20"/>
        </w:rPr>
      </w:pPr>
      <w:r>
        <w:rPr>
          <w:sz w:val="20"/>
          <w:szCs w:val="20"/>
        </w:rPr>
        <w:t>* See Footnote</w:t>
      </w:r>
      <w:r>
        <w:rPr>
          <w:sz w:val="20"/>
          <w:szCs w:val="20"/>
        </w:rPr>
        <w:t xml:space="preserve"> </w:t>
      </w:r>
      <w:r>
        <w:rPr>
          <w:rStyle w:val="a6"/>
          <w:i w:val="0"/>
          <w:iCs w:val="0"/>
          <w:sz w:val="20"/>
          <w:szCs w:val="20"/>
        </w:rPr>
        <w:t>15</w:t>
      </w:r>
      <w:r>
        <w:rPr>
          <w:sz w:val="20"/>
          <w:szCs w:val="20"/>
        </w:rPr>
        <w:t xml:space="preserve"> </w:t>
      </w:r>
      <w:r>
        <w:rPr>
          <w:sz w:val="20"/>
          <w:szCs w:val="20"/>
        </w:rPr>
        <w:t>of the Notes to Consolidated Financial Statements for additional disclosure on fair value.</w:t>
      </w:r>
    </w:p>
    <w:p w14:paraId="24E93685" w14:textId="77777777" w:rsidR="00000000" w:rsidRDefault="0053651E">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50CF44C" w14:textId="77777777">
        <w:trPr>
          <w:tblCellSpacing w:w="0" w:type="dxa"/>
        </w:trPr>
        <w:tc>
          <w:tcPr>
            <w:tcW w:w="360" w:type="dxa"/>
            <w:hideMark/>
          </w:tcPr>
          <w:p w14:paraId="21DD4125"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4018DE17" w14:textId="77777777" w:rsidR="00000000" w:rsidRDefault="0053651E">
            <w:pPr>
              <w:pStyle w:val="a3"/>
              <w:spacing w:before="0" w:beforeAutospacing="0" w:after="0" w:afterAutospacing="0"/>
              <w:jc w:val="both"/>
              <w:rPr>
                <w:sz w:val="20"/>
                <w:szCs w:val="20"/>
              </w:rPr>
            </w:pPr>
            <w:r>
              <w:rPr>
                <w:sz w:val="20"/>
                <w:szCs w:val="20"/>
              </w:rPr>
              <w:t>These impairment charges relate to adjustments to property carrying values for properties which the Company has marketed for sale as part of its active capital</w:t>
            </w:r>
            <w:r>
              <w:rPr>
                <w:sz w:val="20"/>
                <w:szCs w:val="20"/>
              </w:rPr>
              <w:t xml:space="preserve"> recycling program and as such has adjusted the anticipated hold periods for such properties.</w:t>
            </w:r>
          </w:p>
        </w:tc>
      </w:tr>
    </w:tbl>
    <w:p w14:paraId="2D04B63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E2FB5D9" w14:textId="77777777">
        <w:trPr>
          <w:tblCellSpacing w:w="0" w:type="dxa"/>
        </w:trPr>
        <w:tc>
          <w:tcPr>
            <w:tcW w:w="360" w:type="dxa"/>
            <w:hideMark/>
          </w:tcPr>
          <w:p w14:paraId="28CF3512"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3033CC41" w14:textId="77777777" w:rsidR="00000000" w:rsidRDefault="0053651E">
            <w:pPr>
              <w:pStyle w:val="a3"/>
              <w:spacing w:before="0" w:beforeAutospacing="0" w:after="0" w:afterAutospacing="0"/>
              <w:jc w:val="both"/>
              <w:rPr>
                <w:sz w:val="20"/>
                <w:szCs w:val="20"/>
              </w:rPr>
            </w:pPr>
            <w:r>
              <w:rPr>
                <w:sz w:val="20"/>
                <w:szCs w:val="20"/>
              </w:rPr>
              <w:t>During</w:t>
            </w:r>
            <w:r>
              <w:rPr>
                <w:sz w:val="20"/>
                <w:szCs w:val="20"/>
              </w:rPr>
              <w:t xml:space="preserve"> </w:t>
            </w:r>
            <w:r>
              <w:rPr>
                <w:rStyle w:val="a6"/>
                <w:i w:val="0"/>
                <w:iCs w:val="0"/>
                <w:sz w:val="20"/>
                <w:szCs w:val="20"/>
              </w:rPr>
              <w:t xml:space="preserve">December 2018, </w:t>
            </w:r>
            <w:r>
              <w:rPr>
                <w:sz w:val="20"/>
                <w:szCs w:val="20"/>
              </w:rPr>
              <w:t xml:space="preserve">the Company recognized an impairment charge of $41.0 </w:t>
            </w:r>
            <w:r>
              <w:rPr>
                <w:sz w:val="20"/>
                <w:szCs w:val="20"/>
              </w:rPr>
              <w:t>million related to a development project located in Jacksonville, FL, which the Company</w:t>
            </w:r>
            <w:r>
              <w:rPr>
                <w:sz w:val="20"/>
                <w:szCs w:val="20"/>
              </w:rPr>
              <w:t xml:space="preserve"> </w:t>
            </w:r>
            <w:r>
              <w:rPr>
                <w:rStyle w:val="a6"/>
                <w:i w:val="0"/>
                <w:iCs w:val="0"/>
                <w:sz w:val="20"/>
                <w:szCs w:val="20"/>
              </w:rPr>
              <w:t>no</w:t>
            </w:r>
            <w:r>
              <w:rPr>
                <w:sz w:val="20"/>
                <w:szCs w:val="20"/>
              </w:rPr>
              <w:t xml:space="preserve"> longer intends to develop. The Company is marketing the property as is for sale. </w:t>
            </w:r>
          </w:p>
        </w:tc>
      </w:tr>
    </w:tbl>
    <w:p w14:paraId="176036A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3146836" w14:textId="77777777">
        <w:trPr>
          <w:tblCellSpacing w:w="0" w:type="dxa"/>
        </w:trPr>
        <w:tc>
          <w:tcPr>
            <w:tcW w:w="360" w:type="dxa"/>
            <w:hideMark/>
          </w:tcPr>
          <w:p w14:paraId="611E5374"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3</w:t>
            </w:r>
            <w:r>
              <w:rPr>
                <w:sz w:val="20"/>
                <w:szCs w:val="20"/>
              </w:rPr>
              <w:t>)</w:t>
            </w:r>
          </w:p>
        </w:tc>
        <w:tc>
          <w:tcPr>
            <w:tcW w:w="0" w:type="auto"/>
            <w:hideMark/>
          </w:tcPr>
          <w:p w14:paraId="6374635A" w14:textId="77777777" w:rsidR="00000000" w:rsidRDefault="0053651E">
            <w:pPr>
              <w:pStyle w:val="a3"/>
              <w:spacing w:before="0" w:beforeAutospacing="0" w:after="0" w:afterAutospacing="0"/>
              <w:jc w:val="both"/>
              <w:rPr>
                <w:sz w:val="20"/>
                <w:szCs w:val="20"/>
              </w:rPr>
            </w:pPr>
            <w:r>
              <w:rPr>
                <w:sz w:val="20"/>
                <w:szCs w:val="20"/>
              </w:rPr>
              <w:t>Amounts relate to dispositions/deeds in lieu/foreclosures during the respecti</w:t>
            </w:r>
            <w:r>
              <w:rPr>
                <w:sz w:val="20"/>
                <w:szCs w:val="20"/>
              </w:rPr>
              <w:t>ve years shown.</w:t>
            </w:r>
          </w:p>
        </w:tc>
      </w:tr>
      <w:tr w:rsidR="00000000" w14:paraId="2C306677" w14:textId="77777777">
        <w:trPr>
          <w:tblCellSpacing w:w="0" w:type="dxa"/>
        </w:trPr>
        <w:tc>
          <w:tcPr>
            <w:tcW w:w="360" w:type="dxa"/>
            <w:hideMark/>
          </w:tcPr>
          <w:p w14:paraId="40EEA467"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4</w:t>
            </w:r>
            <w:r>
              <w:rPr>
                <w:rFonts w:eastAsia="Times New Roman"/>
                <w:sz w:val="20"/>
                <w:szCs w:val="20"/>
              </w:rPr>
              <w:t>)</w:t>
            </w:r>
          </w:p>
        </w:tc>
        <w:tc>
          <w:tcPr>
            <w:tcW w:w="0" w:type="auto"/>
            <w:hideMark/>
          </w:tcPr>
          <w:p w14:paraId="1E25D385" w14:textId="77777777" w:rsidR="00000000" w:rsidRDefault="0053651E">
            <w:pPr>
              <w:rPr>
                <w:rFonts w:eastAsia="Times New Roman"/>
                <w:sz w:val="20"/>
                <w:szCs w:val="20"/>
              </w:rPr>
            </w:pPr>
            <w:r>
              <w:rPr>
                <w:rFonts w:eastAsia="Times New Roman"/>
                <w:sz w:val="20"/>
                <w:szCs w:val="20"/>
              </w:rPr>
              <w:t>During</w:t>
            </w:r>
            <w:r>
              <w:rPr>
                <w:rFonts w:eastAsia="Times New Roman"/>
                <w:sz w:val="20"/>
                <w:szCs w:val="20"/>
              </w:rPr>
              <w:t xml:space="preserve"> </w:t>
            </w:r>
            <w:r>
              <w:rPr>
                <w:rStyle w:val="a6"/>
                <w:rFonts w:eastAsia="Times New Roman"/>
                <w:i w:val="0"/>
                <w:iCs w:val="0"/>
                <w:sz w:val="20"/>
                <w:szCs w:val="20"/>
              </w:rPr>
              <w:t>2017,</w:t>
            </w:r>
            <w:r>
              <w:rPr>
                <w:rFonts w:eastAsia="Times New Roman"/>
                <w:sz w:val="20"/>
                <w:szCs w:val="20"/>
              </w:rPr>
              <w:t xml:space="preserve"> the Company recognized an impairment charge of $16.2 million related to a property for which the Company had re-evaluated its long-term plan for the property due to unfavorable local market conditions.</w:t>
            </w:r>
          </w:p>
        </w:tc>
      </w:tr>
    </w:tbl>
    <w:p w14:paraId="57D7B234" w14:textId="77777777" w:rsidR="00000000" w:rsidRDefault="0053651E">
      <w:pPr>
        <w:pStyle w:val="a3"/>
        <w:spacing w:before="0" w:beforeAutospacing="0" w:after="0" w:afterAutospacing="0"/>
        <w:rPr>
          <w:sz w:val="20"/>
          <w:szCs w:val="20"/>
        </w:rPr>
      </w:pPr>
      <w:r>
        <w:rPr>
          <w:sz w:val="20"/>
          <w:szCs w:val="20"/>
        </w:rPr>
        <w:t> </w:t>
      </w:r>
    </w:p>
    <w:p w14:paraId="08DC5FF8" w14:textId="77777777" w:rsidR="00000000" w:rsidRDefault="0053651E">
      <w:pPr>
        <w:pStyle w:val="a3"/>
        <w:spacing w:before="0" w:beforeAutospacing="0" w:after="0" w:afterAutospacing="0"/>
        <w:ind w:left="360"/>
        <w:jc w:val="both"/>
        <w:rPr>
          <w:sz w:val="20"/>
          <w:szCs w:val="20"/>
        </w:rPr>
      </w:pPr>
      <w:r>
        <w:rPr>
          <w:sz w:val="20"/>
          <w:szCs w:val="20"/>
        </w:rPr>
        <w:t>In addition to th</w:t>
      </w:r>
      <w:r>
        <w:rPr>
          <w:sz w:val="20"/>
          <w:szCs w:val="20"/>
        </w:rPr>
        <w:t>e impairment charges above, the Company recognized impairment charges during</w:t>
      </w:r>
      <w:r>
        <w:rPr>
          <w:sz w:val="20"/>
          <w:szCs w:val="20"/>
        </w:rPr>
        <w:t xml:space="preserve"> </w:t>
      </w:r>
      <w:r>
        <w:rPr>
          <w:rStyle w:val="a6"/>
          <w:i w:val="0"/>
          <w:iCs w:val="0"/>
          <w:sz w:val="20"/>
          <w:szCs w:val="20"/>
        </w:rPr>
        <w:t>2019,</w:t>
      </w:r>
      <w:r>
        <w:rPr>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of $5.6 million, $6.9 million, and $4.8 million, respectively, relating to certain properties held by various unconsolidated joint ventures in which the Compan</w:t>
      </w:r>
      <w:r>
        <w:rPr>
          <w:sz w:val="20"/>
          <w:szCs w:val="20"/>
        </w:rPr>
        <w:t>y holds noncontrolling interests. These impairment charges are included in Equity in income of joint ventures, net on the Company’s Consolidated Statements of Income (see Footnote</w:t>
      </w:r>
      <w:r>
        <w:rPr>
          <w:sz w:val="20"/>
          <w:szCs w:val="20"/>
        </w:rPr>
        <w:t xml:space="preserve"> </w:t>
      </w:r>
      <w:r>
        <w:rPr>
          <w:rStyle w:val="a6"/>
          <w:i w:val="0"/>
          <w:iCs w:val="0"/>
          <w:sz w:val="20"/>
          <w:szCs w:val="20"/>
        </w:rPr>
        <w:t>7</w:t>
      </w:r>
      <w:r>
        <w:rPr>
          <w:sz w:val="20"/>
          <w:szCs w:val="20"/>
        </w:rPr>
        <w:t xml:space="preserve"> of the Notes to Consolidated Financial Statements).</w:t>
      </w:r>
    </w:p>
    <w:p w14:paraId="095A4FDD" w14:textId="77777777" w:rsidR="00000000" w:rsidRDefault="0053651E">
      <w:pPr>
        <w:pStyle w:val="a3"/>
        <w:spacing w:before="0" w:beforeAutospacing="0" w:after="0" w:afterAutospacing="0"/>
        <w:ind w:left="360"/>
        <w:jc w:val="both"/>
        <w:rPr>
          <w:sz w:val="20"/>
          <w:szCs w:val="20"/>
        </w:rPr>
      </w:pPr>
      <w:r>
        <w:rPr>
          <w:sz w:val="20"/>
          <w:szCs w:val="20"/>
        </w:rPr>
        <w:t> </w:t>
      </w:r>
    </w:p>
    <w:p w14:paraId="68B68F8C" w14:textId="77777777" w:rsidR="00000000" w:rsidRDefault="0053651E">
      <w:pPr>
        <w:divId w:val="113335202"/>
        <w:rPr>
          <w:rFonts w:eastAsia="Times New Roman"/>
          <w:sz w:val="20"/>
          <w:szCs w:val="20"/>
        </w:rPr>
      </w:pPr>
      <w:r>
        <w:rPr>
          <w:rFonts w:eastAsia="Times New Roman"/>
          <w:sz w:val="20"/>
          <w:szCs w:val="20"/>
        </w:rPr>
        <w:t xml:space="preserve">  </w:t>
      </w:r>
    </w:p>
    <w:p w14:paraId="3EADEBE4" w14:textId="77777777" w:rsidR="00000000" w:rsidRDefault="0053651E">
      <w:pPr>
        <w:pStyle w:val="a3"/>
        <w:spacing w:before="0" w:beforeAutospacing="0" w:after="0" w:afterAutospacing="0"/>
        <w:rPr>
          <w:sz w:val="20"/>
          <w:szCs w:val="20"/>
        </w:rPr>
      </w:pPr>
      <w:r>
        <w:rPr>
          <w:rStyle w:val="a6"/>
          <w:i w:val="0"/>
          <w:iCs w:val="0"/>
          <w:sz w:val="20"/>
          <w:szCs w:val="20"/>
        </w:rPr>
        <w:t>7.</w:t>
      </w:r>
      <w:r>
        <w:rPr>
          <w:sz w:val="20"/>
          <w:szCs w:val="20"/>
        </w:rPr>
        <w:t>    </w:t>
      </w:r>
      <w:r>
        <w:rPr>
          <w:sz w:val="20"/>
          <w:szCs w:val="20"/>
          <w:u w:val="single"/>
        </w:rPr>
        <w:t xml:space="preserve">Investment </w:t>
      </w:r>
      <w:r>
        <w:rPr>
          <w:sz w:val="20"/>
          <w:szCs w:val="20"/>
          <w:u w:val="single"/>
        </w:rPr>
        <w:t>in and Advances toReal Estate Joint Ventures</w:t>
      </w:r>
      <w:r>
        <w:rPr>
          <w:sz w:val="20"/>
          <w:szCs w:val="20"/>
        </w:rPr>
        <w:t>:</w:t>
      </w:r>
    </w:p>
    <w:p w14:paraId="313F513C" w14:textId="77777777" w:rsidR="00000000" w:rsidRDefault="0053651E">
      <w:pPr>
        <w:pStyle w:val="a3"/>
        <w:spacing w:before="0" w:beforeAutospacing="0" w:after="0" w:afterAutospacing="0"/>
        <w:jc w:val="both"/>
        <w:rPr>
          <w:sz w:val="20"/>
          <w:szCs w:val="20"/>
        </w:rPr>
      </w:pPr>
      <w:r>
        <w:rPr>
          <w:sz w:val="20"/>
          <w:szCs w:val="20"/>
        </w:rPr>
        <w:t> </w:t>
      </w:r>
    </w:p>
    <w:p w14:paraId="651C489B" w14:textId="77777777" w:rsidR="00000000" w:rsidRDefault="0053651E">
      <w:pPr>
        <w:pStyle w:val="a3"/>
        <w:spacing w:before="0" w:beforeAutospacing="0" w:after="0" w:afterAutospacing="0"/>
        <w:ind w:left="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operating leases. The Company and the joint ve</w:t>
      </w:r>
      <w:r>
        <w:rPr>
          <w:sz w:val="20"/>
          <w:szCs w:val="20"/>
        </w:rPr>
        <w:t>nture partners have joint approval rights for major decisions, including those regarding property operations. As such, the Company holds noncontrolling interests in these joint ventures and accounts for them under the equity method of accounting. The table</w:t>
      </w:r>
      <w:r>
        <w:rPr>
          <w:sz w:val="20"/>
          <w:szCs w:val="20"/>
        </w:rPr>
        <w:t xml:space="preserve"> below presents unconsolidated joint venture investments for which the Company held an ownership interest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(in millions, except number of properties):</w:t>
      </w:r>
    </w:p>
    <w:p w14:paraId="091A4C09"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65"/>
        <w:gridCol w:w="50"/>
        <w:gridCol w:w="165"/>
        <w:gridCol w:w="981"/>
        <w:gridCol w:w="50"/>
        <w:gridCol w:w="50"/>
        <w:gridCol w:w="214"/>
        <w:gridCol w:w="975"/>
        <w:gridCol w:w="50"/>
        <w:gridCol w:w="50"/>
        <w:gridCol w:w="214"/>
        <w:gridCol w:w="977"/>
        <w:gridCol w:w="50"/>
      </w:tblGrid>
      <w:tr w:rsidR="00000000" w14:paraId="0DCB9805" w14:textId="77777777">
        <w:trPr>
          <w:tblCellSpacing w:w="0" w:type="dxa"/>
        </w:trPr>
        <w:tc>
          <w:tcPr>
            <w:tcW w:w="0" w:type="auto"/>
            <w:vAlign w:val="bottom"/>
            <w:hideMark/>
          </w:tcPr>
          <w:p w14:paraId="50E3B40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A7F858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9328355" w14:textId="77777777" w:rsidR="00000000" w:rsidRDefault="0053651E">
            <w:pPr>
              <w:rPr>
                <w:rFonts w:eastAsia="Times New Roman"/>
                <w:sz w:val="20"/>
                <w:szCs w:val="20"/>
              </w:rPr>
            </w:pPr>
            <w:r>
              <w:rPr>
                <w:rFonts w:eastAsia="Times New Roman"/>
                <w:b/>
                <w:bCs/>
                <w:sz w:val="20"/>
                <w:szCs w:val="20"/>
              </w:rPr>
              <w:t> </w:t>
            </w:r>
          </w:p>
        </w:tc>
        <w:tc>
          <w:tcPr>
            <w:tcW w:w="0" w:type="auto"/>
            <w:vAlign w:val="bottom"/>
            <w:hideMark/>
          </w:tcPr>
          <w:p w14:paraId="41E50DF3" w14:textId="77777777" w:rsidR="00000000" w:rsidRDefault="0053651E">
            <w:pPr>
              <w:jc w:val="center"/>
              <w:rPr>
                <w:rFonts w:eastAsia="Times New Roman"/>
                <w:sz w:val="20"/>
                <w:szCs w:val="20"/>
              </w:rPr>
            </w:pPr>
            <w:r>
              <w:rPr>
                <w:rFonts w:eastAsia="Times New Roman"/>
                <w:b/>
                <w:bCs/>
                <w:sz w:val="20"/>
                <w:szCs w:val="20"/>
              </w:rPr>
              <w:t> </w:t>
            </w:r>
          </w:p>
        </w:tc>
        <w:tc>
          <w:tcPr>
            <w:tcW w:w="0" w:type="auto"/>
            <w:vAlign w:val="bottom"/>
            <w:hideMark/>
          </w:tcPr>
          <w:p w14:paraId="0B54F45A" w14:textId="77777777" w:rsidR="00000000" w:rsidRDefault="0053651E">
            <w:pPr>
              <w:rPr>
                <w:rFonts w:eastAsia="Times New Roman"/>
                <w:sz w:val="20"/>
                <w:szCs w:val="20"/>
              </w:rPr>
            </w:pPr>
            <w:r>
              <w:rPr>
                <w:rFonts w:eastAsia="Times New Roman"/>
                <w:b/>
                <w:bCs/>
                <w:sz w:val="20"/>
                <w:szCs w:val="20"/>
              </w:rPr>
              <w:t> </w:t>
            </w:r>
          </w:p>
        </w:tc>
        <w:tc>
          <w:tcPr>
            <w:tcW w:w="0" w:type="auto"/>
            <w:vAlign w:val="bottom"/>
            <w:hideMark/>
          </w:tcPr>
          <w:p w14:paraId="552EE8B3" w14:textId="77777777" w:rsidR="00000000" w:rsidRDefault="0053651E">
            <w:pPr>
              <w:rPr>
                <w:rFonts w:eastAsia="Times New Roman"/>
                <w:sz w:val="20"/>
                <w:szCs w:val="20"/>
              </w:rPr>
            </w:pPr>
            <w:r>
              <w:rPr>
                <w:rFonts w:eastAsia="Times New Roman"/>
                <w:sz w:val="20"/>
                <w:szCs w:val="20"/>
              </w:rPr>
              <w:t> </w:t>
            </w:r>
          </w:p>
        </w:tc>
        <w:tc>
          <w:tcPr>
            <w:tcW w:w="0" w:type="auto"/>
            <w:gridSpan w:val="6"/>
            <w:vAlign w:val="bottom"/>
            <w:hideMark/>
          </w:tcPr>
          <w:p w14:paraId="03A20A3A" w14:textId="77777777" w:rsidR="00000000" w:rsidRDefault="0053651E">
            <w:pPr>
              <w:jc w:val="center"/>
              <w:rPr>
                <w:rFonts w:eastAsia="Times New Roman"/>
                <w:sz w:val="20"/>
                <w:szCs w:val="20"/>
              </w:rPr>
            </w:pPr>
            <w:r>
              <w:rPr>
                <w:rFonts w:eastAsia="Times New Roman"/>
                <w:b/>
                <w:bCs/>
                <w:sz w:val="20"/>
                <w:szCs w:val="20"/>
              </w:rPr>
              <w:t>The Company's Investment</w:t>
            </w:r>
          </w:p>
        </w:tc>
        <w:tc>
          <w:tcPr>
            <w:tcW w:w="0" w:type="auto"/>
            <w:tcMar>
              <w:top w:w="0" w:type="dxa"/>
              <w:left w:w="0" w:type="dxa"/>
              <w:bottom w:w="15" w:type="dxa"/>
              <w:right w:w="0" w:type="dxa"/>
            </w:tcMar>
            <w:vAlign w:val="bottom"/>
            <w:hideMark/>
          </w:tcPr>
          <w:p w14:paraId="7A6EF576" w14:textId="77777777" w:rsidR="00000000" w:rsidRDefault="0053651E">
            <w:pPr>
              <w:rPr>
                <w:rFonts w:eastAsia="Times New Roman"/>
                <w:sz w:val="20"/>
                <w:szCs w:val="20"/>
              </w:rPr>
            </w:pPr>
            <w:r>
              <w:rPr>
                <w:rFonts w:eastAsia="Times New Roman"/>
                <w:sz w:val="20"/>
                <w:szCs w:val="20"/>
              </w:rPr>
              <w:t> </w:t>
            </w:r>
          </w:p>
        </w:tc>
      </w:tr>
      <w:tr w:rsidR="00000000" w14:paraId="6F860C22" w14:textId="77777777">
        <w:trPr>
          <w:tblCellSpacing w:w="0" w:type="dxa"/>
        </w:trPr>
        <w:tc>
          <w:tcPr>
            <w:tcW w:w="0" w:type="auto"/>
            <w:vAlign w:val="bottom"/>
            <w:hideMark/>
          </w:tcPr>
          <w:p w14:paraId="5693BDE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CE80DD7" w14:textId="77777777" w:rsidR="00000000" w:rsidRDefault="0053651E">
            <w:pPr>
              <w:rPr>
                <w:rFonts w:eastAsia="Times New Roman"/>
                <w:sz w:val="20"/>
                <w:szCs w:val="20"/>
              </w:rPr>
            </w:pPr>
            <w:r>
              <w:rPr>
                <w:rFonts w:eastAsia="Times New Roman"/>
                <w:sz w:val="20"/>
                <w:szCs w:val="20"/>
              </w:rPr>
              <w:t> </w:t>
            </w:r>
          </w:p>
        </w:tc>
        <w:tc>
          <w:tcPr>
            <w:tcW w:w="0" w:type="auto"/>
            <w:gridSpan w:val="2"/>
            <w:vAlign w:val="bottom"/>
            <w:hideMark/>
          </w:tcPr>
          <w:p w14:paraId="6D67FEA4" w14:textId="77777777" w:rsidR="00000000" w:rsidRDefault="0053651E">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14:paraId="49A0DE6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B81D763"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F30B7FE" w14:textId="77777777" w:rsidR="00000000" w:rsidRDefault="0053651E">
            <w:pPr>
              <w:pStyle w:val="a3"/>
              <w:spacing w:before="0" w:beforeAutospacing="0" w:after="0" w:afterAutospacing="0"/>
              <w:jc w:val="center"/>
              <w:rPr>
                <w:sz w:val="20"/>
                <w:szCs w:val="20"/>
              </w:rPr>
            </w:pPr>
            <w:r>
              <w:rPr>
                <w:b/>
                <w:bCs/>
                <w:sz w:val="20"/>
                <w:szCs w:val="20"/>
              </w:rPr>
              <w:t>as of December 31,</w:t>
            </w:r>
          </w:p>
        </w:tc>
        <w:tc>
          <w:tcPr>
            <w:tcW w:w="0" w:type="auto"/>
            <w:tcMar>
              <w:top w:w="0" w:type="dxa"/>
              <w:left w:w="0" w:type="dxa"/>
              <w:bottom w:w="15" w:type="dxa"/>
              <w:right w:w="0" w:type="dxa"/>
            </w:tcMar>
            <w:vAlign w:val="bottom"/>
            <w:hideMark/>
          </w:tcPr>
          <w:p w14:paraId="0B0F92F9" w14:textId="77777777" w:rsidR="00000000" w:rsidRDefault="0053651E">
            <w:pPr>
              <w:rPr>
                <w:rFonts w:eastAsia="Times New Roman"/>
                <w:sz w:val="20"/>
                <w:szCs w:val="20"/>
              </w:rPr>
            </w:pPr>
            <w:r>
              <w:rPr>
                <w:rFonts w:eastAsia="Times New Roman"/>
                <w:sz w:val="20"/>
                <w:szCs w:val="20"/>
              </w:rPr>
              <w:t> </w:t>
            </w:r>
          </w:p>
        </w:tc>
      </w:tr>
      <w:tr w:rsidR="00000000" w14:paraId="33C5749A" w14:textId="77777777">
        <w:trPr>
          <w:tblCellSpacing w:w="0" w:type="dxa"/>
        </w:trPr>
        <w:tc>
          <w:tcPr>
            <w:tcW w:w="2600" w:type="pct"/>
            <w:tcBorders>
              <w:bottom w:val="single" w:sz="6" w:space="0" w:color="000000"/>
            </w:tcBorders>
            <w:vAlign w:val="bottom"/>
            <w:hideMark/>
          </w:tcPr>
          <w:p w14:paraId="048C5E9B" w14:textId="77777777" w:rsidR="00000000" w:rsidRDefault="0053651E">
            <w:pPr>
              <w:pStyle w:val="a3"/>
              <w:spacing w:before="0" w:beforeAutospacing="0" w:after="0" w:afterAutospacing="0"/>
              <w:rPr>
                <w:sz w:val="20"/>
                <w:szCs w:val="20"/>
              </w:rPr>
            </w:pPr>
            <w:r>
              <w:rPr>
                <w:b/>
                <w:bCs/>
                <w:sz w:val="20"/>
                <w:szCs w:val="20"/>
              </w:rPr>
              <w:t>Joint Venture</w:t>
            </w:r>
          </w:p>
        </w:tc>
        <w:tc>
          <w:tcPr>
            <w:tcW w:w="0" w:type="auto"/>
            <w:vAlign w:val="bottom"/>
            <w:hideMark/>
          </w:tcPr>
          <w:p w14:paraId="1816034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F897425" w14:textId="77777777" w:rsidR="00000000" w:rsidRDefault="0053651E">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77397AB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326B9E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B73F9E"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41062B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3A904C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628A2B4"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FF6A283" w14:textId="77777777" w:rsidR="00000000" w:rsidRDefault="0053651E">
            <w:pPr>
              <w:rPr>
                <w:rFonts w:eastAsia="Times New Roman"/>
                <w:sz w:val="20"/>
                <w:szCs w:val="20"/>
              </w:rPr>
            </w:pPr>
            <w:r>
              <w:rPr>
                <w:rFonts w:eastAsia="Times New Roman"/>
                <w:sz w:val="20"/>
                <w:szCs w:val="20"/>
              </w:rPr>
              <w:t> </w:t>
            </w:r>
          </w:p>
        </w:tc>
      </w:tr>
      <w:tr w:rsidR="00000000" w14:paraId="436A3B05" w14:textId="77777777">
        <w:trPr>
          <w:tblCellSpacing w:w="0" w:type="dxa"/>
        </w:trPr>
        <w:tc>
          <w:tcPr>
            <w:tcW w:w="0" w:type="auto"/>
            <w:tcBorders>
              <w:bottom w:val="nil"/>
            </w:tcBorders>
            <w:shd w:val="clear" w:color="auto" w:fill="CCEEFF"/>
            <w:vAlign w:val="bottom"/>
            <w:hideMark/>
          </w:tcPr>
          <w:p w14:paraId="3916F8E9" w14:textId="77777777" w:rsidR="00000000" w:rsidRDefault="0053651E">
            <w:pPr>
              <w:pStyle w:val="a3"/>
              <w:spacing w:before="0" w:beforeAutospacing="0" w:after="0" w:afterAutospacing="0"/>
              <w:rPr>
                <w:sz w:val="20"/>
                <w:szCs w:val="20"/>
              </w:rPr>
            </w:pPr>
            <w:r>
              <w:rPr>
                <w:sz w:val="20"/>
                <w:szCs w:val="20"/>
              </w:rPr>
              <w:t>Prudential Investment Program (1) (2) </w:t>
            </w:r>
          </w:p>
        </w:tc>
        <w:tc>
          <w:tcPr>
            <w:tcW w:w="50" w:type="pct"/>
            <w:tcBorders>
              <w:bottom w:val="nil"/>
            </w:tcBorders>
            <w:shd w:val="clear" w:color="auto" w:fill="CCEEFF"/>
            <w:vAlign w:val="bottom"/>
            <w:hideMark/>
          </w:tcPr>
          <w:p w14:paraId="4157C8A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FB894FD" w14:textId="77777777" w:rsidR="00000000" w:rsidRDefault="0053651E">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14:paraId="47389935" w14:textId="77777777" w:rsidR="00000000" w:rsidRDefault="0053651E">
            <w:pPr>
              <w:ind w:left="114"/>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14:paraId="615A644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3C6432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80AE198" w14:textId="77777777" w:rsidR="00000000" w:rsidRDefault="0053651E">
            <w:pPr>
              <w:ind w:left="114"/>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647D676C" w14:textId="77777777" w:rsidR="00000000" w:rsidRDefault="0053651E">
            <w:pPr>
              <w:ind w:left="114"/>
              <w:jc w:val="right"/>
              <w:rPr>
                <w:rFonts w:eastAsia="Times New Roman"/>
                <w:sz w:val="20"/>
                <w:szCs w:val="20"/>
              </w:rPr>
            </w:pPr>
            <w:r>
              <w:rPr>
                <w:rFonts w:eastAsia="Times New Roman"/>
                <w:sz w:val="20"/>
                <w:szCs w:val="20"/>
              </w:rPr>
              <w:t>169.5</w:t>
            </w:r>
          </w:p>
        </w:tc>
        <w:tc>
          <w:tcPr>
            <w:tcW w:w="50" w:type="pct"/>
            <w:tcBorders>
              <w:bottom w:val="nil"/>
            </w:tcBorders>
            <w:shd w:val="clear" w:color="auto" w:fill="CCEEFF"/>
            <w:vAlign w:val="bottom"/>
            <w:hideMark/>
          </w:tcPr>
          <w:p w14:paraId="39F586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472D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BBF33E" w14:textId="77777777" w:rsidR="00000000" w:rsidRDefault="0053651E">
            <w:pPr>
              <w:ind w:left="114"/>
              <w:rPr>
                <w:rFonts w:eastAsia="Times New Roman"/>
                <w:sz w:val="20"/>
                <w:szCs w:val="20"/>
              </w:rPr>
            </w:pPr>
            <w:r>
              <w:rPr>
                <w:rFonts w:eastAsia="Times New Roman"/>
                <w:sz w:val="20"/>
                <w:szCs w:val="20"/>
              </w:rPr>
              <w:t>$</w:t>
            </w:r>
          </w:p>
        </w:tc>
        <w:tc>
          <w:tcPr>
            <w:tcW w:w="650" w:type="pct"/>
            <w:shd w:val="clear" w:color="auto" w:fill="CCEEFF"/>
            <w:vAlign w:val="bottom"/>
            <w:hideMark/>
          </w:tcPr>
          <w:p w14:paraId="096F4B12" w14:textId="77777777" w:rsidR="00000000" w:rsidRDefault="0053651E">
            <w:pPr>
              <w:ind w:left="114"/>
              <w:jc w:val="right"/>
              <w:rPr>
                <w:rFonts w:eastAsia="Times New Roman"/>
                <w:sz w:val="20"/>
                <w:szCs w:val="20"/>
              </w:rPr>
            </w:pPr>
            <w:r>
              <w:rPr>
                <w:rFonts w:eastAsia="Times New Roman"/>
                <w:sz w:val="20"/>
                <w:szCs w:val="20"/>
              </w:rPr>
              <w:t>175.2</w:t>
            </w:r>
          </w:p>
        </w:tc>
        <w:tc>
          <w:tcPr>
            <w:tcW w:w="50" w:type="pct"/>
            <w:shd w:val="clear" w:color="auto" w:fill="CCEEFF"/>
            <w:vAlign w:val="bottom"/>
            <w:hideMark/>
          </w:tcPr>
          <w:p w14:paraId="0D9FB833" w14:textId="77777777" w:rsidR="00000000" w:rsidRDefault="0053651E">
            <w:pPr>
              <w:rPr>
                <w:rFonts w:eastAsia="Times New Roman"/>
                <w:sz w:val="20"/>
                <w:szCs w:val="20"/>
              </w:rPr>
            </w:pPr>
            <w:r>
              <w:rPr>
                <w:rFonts w:eastAsia="Times New Roman"/>
                <w:sz w:val="20"/>
                <w:szCs w:val="20"/>
              </w:rPr>
              <w:t> </w:t>
            </w:r>
          </w:p>
        </w:tc>
      </w:tr>
      <w:tr w:rsidR="00000000" w14:paraId="0D36A45E" w14:textId="77777777">
        <w:trPr>
          <w:tblCellSpacing w:w="0" w:type="dxa"/>
        </w:trPr>
        <w:tc>
          <w:tcPr>
            <w:tcW w:w="0" w:type="auto"/>
            <w:shd w:val="clear" w:color="auto" w:fill="FFFFFF"/>
            <w:vAlign w:val="bottom"/>
            <w:hideMark/>
          </w:tcPr>
          <w:p w14:paraId="5D66F506" w14:textId="77777777" w:rsidR="00000000" w:rsidRDefault="0053651E">
            <w:pPr>
              <w:pStyle w:val="a3"/>
              <w:spacing w:before="0" w:beforeAutospacing="0" w:after="0" w:afterAutospacing="0"/>
              <w:rPr>
                <w:sz w:val="20"/>
                <w:szCs w:val="20"/>
              </w:rPr>
            </w:pPr>
            <w:r>
              <w:rPr>
                <w:sz w:val="20"/>
                <w:szCs w:val="20"/>
              </w:rPr>
              <w:t>Kimco Income Opportunity Portfolio (“KIR”) (2)</w:t>
            </w:r>
          </w:p>
        </w:tc>
        <w:tc>
          <w:tcPr>
            <w:tcW w:w="50" w:type="pct"/>
            <w:shd w:val="clear" w:color="auto" w:fill="FFFFFF"/>
            <w:vAlign w:val="bottom"/>
            <w:hideMark/>
          </w:tcPr>
          <w:p w14:paraId="51D2C8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66016E"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A5191C2" w14:textId="77777777" w:rsidR="00000000" w:rsidRDefault="0053651E">
            <w:pPr>
              <w:ind w:left="114"/>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36518D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A1DF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F6B82F"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904C169" w14:textId="77777777" w:rsidR="00000000" w:rsidRDefault="0053651E">
            <w:pPr>
              <w:ind w:left="114"/>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14:paraId="067CA6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1C74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9C8857"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52729E1" w14:textId="77777777" w:rsidR="00000000" w:rsidRDefault="0053651E">
            <w:pPr>
              <w:ind w:left="114"/>
              <w:jc w:val="right"/>
              <w:rPr>
                <w:rFonts w:eastAsia="Times New Roman"/>
                <w:sz w:val="20"/>
                <w:szCs w:val="20"/>
              </w:rPr>
            </w:pPr>
            <w:r>
              <w:rPr>
                <w:rFonts w:eastAsia="Times New Roman"/>
                <w:sz w:val="20"/>
                <w:szCs w:val="20"/>
              </w:rPr>
              <w:t>167.2</w:t>
            </w:r>
          </w:p>
        </w:tc>
        <w:tc>
          <w:tcPr>
            <w:tcW w:w="50" w:type="pct"/>
            <w:shd w:val="clear" w:color="auto" w:fill="FFFFFF"/>
            <w:vAlign w:val="bottom"/>
            <w:hideMark/>
          </w:tcPr>
          <w:p w14:paraId="6A7E6006" w14:textId="77777777" w:rsidR="00000000" w:rsidRDefault="0053651E">
            <w:pPr>
              <w:rPr>
                <w:rFonts w:eastAsia="Times New Roman"/>
                <w:sz w:val="20"/>
                <w:szCs w:val="20"/>
              </w:rPr>
            </w:pPr>
            <w:r>
              <w:rPr>
                <w:rFonts w:eastAsia="Times New Roman"/>
                <w:sz w:val="20"/>
                <w:szCs w:val="20"/>
              </w:rPr>
              <w:t> </w:t>
            </w:r>
          </w:p>
        </w:tc>
      </w:tr>
      <w:tr w:rsidR="00000000" w14:paraId="3D57A29D" w14:textId="77777777">
        <w:trPr>
          <w:tblCellSpacing w:w="0" w:type="dxa"/>
        </w:trPr>
        <w:tc>
          <w:tcPr>
            <w:tcW w:w="0" w:type="auto"/>
            <w:shd w:val="clear" w:color="auto" w:fill="CCEEFF"/>
            <w:vAlign w:val="bottom"/>
            <w:hideMark/>
          </w:tcPr>
          <w:p w14:paraId="044C69FE" w14:textId="77777777" w:rsidR="00000000" w:rsidRDefault="0053651E">
            <w:pPr>
              <w:pStyle w:val="a3"/>
              <w:spacing w:before="0" w:beforeAutospacing="0" w:after="0" w:afterAutospacing="0"/>
              <w:rPr>
                <w:sz w:val="20"/>
                <w:szCs w:val="20"/>
              </w:rPr>
            </w:pPr>
            <w:r>
              <w:rPr>
                <w:sz w:val="20"/>
                <w:szCs w:val="20"/>
              </w:rPr>
              <w:t>Canada Pension Plan Investment Board (“CPP”) (2)</w:t>
            </w:r>
          </w:p>
        </w:tc>
        <w:tc>
          <w:tcPr>
            <w:tcW w:w="50" w:type="pct"/>
            <w:shd w:val="clear" w:color="auto" w:fill="CCEEFF"/>
            <w:vAlign w:val="bottom"/>
            <w:hideMark/>
          </w:tcPr>
          <w:p w14:paraId="028ADF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AB6F76"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FDFC12F" w14:textId="77777777" w:rsidR="00000000" w:rsidRDefault="0053651E">
            <w:pPr>
              <w:ind w:left="114"/>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260305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EBB9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B02CA"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AB6DE19" w14:textId="77777777" w:rsidR="00000000" w:rsidRDefault="0053651E">
            <w:pPr>
              <w:ind w:left="114"/>
              <w:jc w:val="right"/>
              <w:rPr>
                <w:rFonts w:eastAsia="Times New Roman"/>
                <w:sz w:val="20"/>
                <w:szCs w:val="20"/>
              </w:rPr>
            </w:pPr>
            <w:r>
              <w:rPr>
                <w:rFonts w:eastAsia="Times New Roman"/>
                <w:sz w:val="20"/>
                <w:szCs w:val="20"/>
              </w:rPr>
              <w:t>151.7</w:t>
            </w:r>
          </w:p>
        </w:tc>
        <w:tc>
          <w:tcPr>
            <w:tcW w:w="50" w:type="pct"/>
            <w:shd w:val="clear" w:color="auto" w:fill="CCEEFF"/>
            <w:vAlign w:val="bottom"/>
            <w:hideMark/>
          </w:tcPr>
          <w:p w14:paraId="247308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2C12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CF5EE4"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B78444B" w14:textId="77777777" w:rsidR="00000000" w:rsidRDefault="0053651E">
            <w:pPr>
              <w:ind w:left="114"/>
              <w:jc w:val="right"/>
              <w:rPr>
                <w:rFonts w:eastAsia="Times New Roman"/>
                <w:sz w:val="20"/>
                <w:szCs w:val="20"/>
              </w:rPr>
            </w:pPr>
            <w:r>
              <w:rPr>
                <w:rFonts w:eastAsia="Times New Roman"/>
                <w:sz w:val="20"/>
                <w:szCs w:val="20"/>
              </w:rPr>
              <w:t>135.0</w:t>
            </w:r>
          </w:p>
        </w:tc>
        <w:tc>
          <w:tcPr>
            <w:tcW w:w="50" w:type="pct"/>
            <w:shd w:val="clear" w:color="auto" w:fill="CCEEFF"/>
            <w:vAlign w:val="bottom"/>
            <w:hideMark/>
          </w:tcPr>
          <w:p w14:paraId="0FE0C7A4" w14:textId="77777777" w:rsidR="00000000" w:rsidRDefault="0053651E">
            <w:pPr>
              <w:rPr>
                <w:rFonts w:eastAsia="Times New Roman"/>
                <w:sz w:val="20"/>
                <w:szCs w:val="20"/>
              </w:rPr>
            </w:pPr>
            <w:r>
              <w:rPr>
                <w:rFonts w:eastAsia="Times New Roman"/>
                <w:sz w:val="20"/>
                <w:szCs w:val="20"/>
              </w:rPr>
              <w:t> </w:t>
            </w:r>
          </w:p>
        </w:tc>
      </w:tr>
      <w:tr w:rsidR="00000000" w14:paraId="7684F379" w14:textId="77777777">
        <w:trPr>
          <w:tblCellSpacing w:w="0" w:type="dxa"/>
        </w:trPr>
        <w:tc>
          <w:tcPr>
            <w:tcW w:w="0" w:type="auto"/>
            <w:shd w:val="clear" w:color="auto" w:fill="FFFFFF"/>
            <w:vAlign w:val="bottom"/>
            <w:hideMark/>
          </w:tcPr>
          <w:p w14:paraId="6606382D" w14:textId="77777777" w:rsidR="00000000" w:rsidRDefault="0053651E">
            <w:pPr>
              <w:pStyle w:val="a3"/>
              <w:spacing w:before="0" w:beforeAutospacing="0" w:after="0" w:afterAutospacing="0"/>
              <w:rPr>
                <w:sz w:val="20"/>
                <w:szCs w:val="20"/>
              </w:rPr>
            </w:pPr>
            <w:r>
              <w:rPr>
                <w:sz w:val="20"/>
                <w:szCs w:val="20"/>
              </w:rPr>
              <w:t>Other Joint Venture Programs (3)</w:t>
            </w:r>
          </w:p>
        </w:tc>
        <w:tc>
          <w:tcPr>
            <w:tcW w:w="0" w:type="auto"/>
            <w:shd w:val="clear" w:color="auto" w:fill="FFFFFF"/>
            <w:vAlign w:val="bottom"/>
            <w:hideMark/>
          </w:tcPr>
          <w:p w14:paraId="17A5F9B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942AF" w14:textId="77777777" w:rsidR="00000000" w:rsidRDefault="0053651E">
            <w:pPr>
              <w:pStyle w:val="a3"/>
              <w:spacing w:before="0" w:beforeAutospacing="0" w:after="0" w:afterAutospacing="0"/>
              <w:ind w:left="228" w:hanging="114"/>
              <w:rPr>
                <w:sz w:val="20"/>
                <w:szCs w:val="20"/>
              </w:rPr>
            </w:pPr>
            <w:r>
              <w:rPr>
                <w:sz w:val="20"/>
                <w:szCs w:val="20"/>
              </w:rPr>
              <w:t> </w:t>
            </w:r>
          </w:p>
        </w:tc>
        <w:tc>
          <w:tcPr>
            <w:tcW w:w="0" w:type="auto"/>
            <w:shd w:val="clear" w:color="auto" w:fill="FFFFFF"/>
            <w:vAlign w:val="bottom"/>
            <w:hideMark/>
          </w:tcPr>
          <w:p w14:paraId="42301AAD" w14:textId="77777777" w:rsidR="00000000" w:rsidRDefault="0053651E">
            <w:pPr>
              <w:ind w:left="114"/>
              <w:jc w:val="center"/>
              <w:rPr>
                <w:rFonts w:eastAsia="Times New Roman"/>
                <w:sz w:val="20"/>
                <w:szCs w:val="20"/>
              </w:rPr>
            </w:pPr>
            <w:r>
              <w:rPr>
                <w:rStyle w:val="a6"/>
                <w:rFonts w:eastAsia="Times New Roman"/>
                <w:i w:val="0"/>
                <w:iCs w:val="0"/>
                <w:sz w:val="20"/>
                <w:szCs w:val="20"/>
              </w:rPr>
              <w:t>Various</w:t>
            </w:r>
          </w:p>
        </w:tc>
        <w:tc>
          <w:tcPr>
            <w:tcW w:w="0" w:type="auto"/>
            <w:shd w:val="clear" w:color="auto" w:fill="FFFFFF"/>
            <w:vAlign w:val="bottom"/>
            <w:hideMark/>
          </w:tcPr>
          <w:p w14:paraId="4A7C36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A3B8DC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9B9C28F" w14:textId="77777777" w:rsidR="00000000" w:rsidRDefault="0053651E">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6669D08C" w14:textId="77777777" w:rsidR="00000000" w:rsidRDefault="0053651E">
            <w:pPr>
              <w:ind w:left="114"/>
              <w:jc w:val="right"/>
              <w:rPr>
                <w:rFonts w:eastAsia="Times New Roman"/>
                <w:sz w:val="20"/>
                <w:szCs w:val="20"/>
              </w:rPr>
            </w:pPr>
            <w:r>
              <w:rPr>
                <w:rFonts w:eastAsia="Times New Roman"/>
                <w:sz w:val="20"/>
                <w:szCs w:val="20"/>
              </w:rPr>
              <w:t>81.9</w:t>
            </w:r>
          </w:p>
        </w:tc>
        <w:tc>
          <w:tcPr>
            <w:tcW w:w="50" w:type="pct"/>
            <w:shd w:val="clear" w:color="auto" w:fill="FFFFFF"/>
            <w:tcMar>
              <w:top w:w="0" w:type="dxa"/>
              <w:left w:w="0" w:type="dxa"/>
              <w:bottom w:w="15" w:type="dxa"/>
              <w:right w:w="0" w:type="dxa"/>
            </w:tcMar>
            <w:vAlign w:val="bottom"/>
            <w:hideMark/>
          </w:tcPr>
          <w:p w14:paraId="04727A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6D552F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0DB8C7E" w14:textId="77777777" w:rsidR="00000000" w:rsidRDefault="0053651E">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71A9864D" w14:textId="77777777" w:rsidR="00000000" w:rsidRDefault="0053651E">
            <w:pPr>
              <w:ind w:left="114"/>
              <w:jc w:val="right"/>
              <w:rPr>
                <w:rFonts w:eastAsia="Times New Roman"/>
                <w:sz w:val="20"/>
                <w:szCs w:val="20"/>
              </w:rPr>
            </w:pPr>
            <w:r>
              <w:rPr>
                <w:rFonts w:eastAsia="Times New Roman"/>
                <w:sz w:val="20"/>
                <w:szCs w:val="20"/>
              </w:rPr>
              <w:t>93.5</w:t>
            </w:r>
          </w:p>
        </w:tc>
        <w:tc>
          <w:tcPr>
            <w:tcW w:w="50" w:type="pct"/>
            <w:shd w:val="clear" w:color="auto" w:fill="FFFFFF"/>
            <w:tcMar>
              <w:top w:w="0" w:type="dxa"/>
              <w:left w:w="0" w:type="dxa"/>
              <w:bottom w:w="15" w:type="dxa"/>
              <w:right w:w="0" w:type="dxa"/>
            </w:tcMar>
            <w:vAlign w:val="bottom"/>
            <w:hideMark/>
          </w:tcPr>
          <w:p w14:paraId="0F923196" w14:textId="77777777" w:rsidR="00000000" w:rsidRDefault="0053651E">
            <w:pPr>
              <w:rPr>
                <w:rFonts w:eastAsia="Times New Roman"/>
                <w:sz w:val="20"/>
                <w:szCs w:val="20"/>
              </w:rPr>
            </w:pPr>
            <w:r>
              <w:rPr>
                <w:rFonts w:eastAsia="Times New Roman"/>
                <w:sz w:val="20"/>
                <w:szCs w:val="20"/>
              </w:rPr>
              <w:t> </w:t>
            </w:r>
          </w:p>
        </w:tc>
      </w:tr>
      <w:tr w:rsidR="00000000" w14:paraId="220B22E6" w14:textId="77777777">
        <w:trPr>
          <w:tblCellSpacing w:w="0" w:type="dxa"/>
        </w:trPr>
        <w:tc>
          <w:tcPr>
            <w:tcW w:w="0" w:type="auto"/>
            <w:shd w:val="clear" w:color="auto" w:fill="CCEEFF"/>
            <w:vAlign w:val="bottom"/>
            <w:hideMark/>
          </w:tcPr>
          <w:p w14:paraId="657D5AB2" w14:textId="77777777" w:rsidR="00000000" w:rsidRDefault="0053651E">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150D54A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764DE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497AE0C"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vAlign w:val="bottom"/>
            <w:hideMark/>
          </w:tcPr>
          <w:p w14:paraId="09FCEA5D"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6B7A9C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EF84541" w14:textId="77777777" w:rsidR="00000000" w:rsidRDefault="0053651E">
            <w:pPr>
              <w:ind w:left="114"/>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658596EB" w14:textId="77777777" w:rsidR="00000000" w:rsidRDefault="0053651E">
            <w:pPr>
              <w:ind w:left="114"/>
              <w:jc w:val="right"/>
              <w:rPr>
                <w:rFonts w:eastAsia="Times New Roman"/>
                <w:sz w:val="20"/>
                <w:szCs w:val="20"/>
              </w:rPr>
            </w:pPr>
            <w:r>
              <w:rPr>
                <w:rFonts w:eastAsia="Times New Roman"/>
                <w:b/>
                <w:bCs/>
                <w:sz w:val="20"/>
                <w:szCs w:val="20"/>
              </w:rPr>
              <w:t>578.1</w:t>
            </w:r>
          </w:p>
        </w:tc>
        <w:tc>
          <w:tcPr>
            <w:tcW w:w="50" w:type="pct"/>
            <w:shd w:val="clear" w:color="auto" w:fill="CCEEFF"/>
            <w:tcMar>
              <w:top w:w="0" w:type="dxa"/>
              <w:left w:w="0" w:type="dxa"/>
              <w:bottom w:w="45" w:type="dxa"/>
              <w:right w:w="0" w:type="dxa"/>
            </w:tcMar>
            <w:vAlign w:val="bottom"/>
            <w:hideMark/>
          </w:tcPr>
          <w:p w14:paraId="50FB9A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52A98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13ED66C" w14:textId="77777777" w:rsidR="00000000" w:rsidRDefault="0053651E">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62B4A50E" w14:textId="77777777" w:rsidR="00000000" w:rsidRDefault="0053651E">
            <w:pPr>
              <w:jc w:val="right"/>
              <w:rPr>
                <w:rFonts w:eastAsia="Times New Roman"/>
                <w:sz w:val="20"/>
                <w:szCs w:val="20"/>
              </w:rPr>
            </w:pPr>
            <w:r>
              <w:rPr>
                <w:rFonts w:eastAsia="Times New Roman"/>
                <w:b/>
                <w:bCs/>
                <w:sz w:val="20"/>
                <w:szCs w:val="20"/>
              </w:rPr>
              <w:t>570.9</w:t>
            </w:r>
          </w:p>
        </w:tc>
        <w:tc>
          <w:tcPr>
            <w:tcW w:w="50" w:type="pct"/>
            <w:shd w:val="clear" w:color="auto" w:fill="CCEEFF"/>
            <w:tcMar>
              <w:top w:w="0" w:type="dxa"/>
              <w:left w:w="0" w:type="dxa"/>
              <w:bottom w:w="45" w:type="dxa"/>
              <w:right w:w="0" w:type="dxa"/>
            </w:tcMar>
            <w:vAlign w:val="bottom"/>
            <w:hideMark/>
          </w:tcPr>
          <w:p w14:paraId="472CF04A" w14:textId="77777777" w:rsidR="00000000" w:rsidRDefault="0053651E">
            <w:pPr>
              <w:rPr>
                <w:rFonts w:eastAsia="Times New Roman"/>
                <w:sz w:val="20"/>
                <w:szCs w:val="20"/>
              </w:rPr>
            </w:pPr>
            <w:r>
              <w:rPr>
                <w:rFonts w:eastAsia="Times New Roman"/>
                <w:sz w:val="20"/>
                <w:szCs w:val="20"/>
              </w:rPr>
              <w:t> </w:t>
            </w:r>
          </w:p>
        </w:tc>
      </w:tr>
    </w:tbl>
    <w:p w14:paraId="20468721" w14:textId="77777777" w:rsidR="00000000" w:rsidRDefault="0053651E">
      <w:pPr>
        <w:pStyle w:val="a3"/>
        <w:spacing w:before="0" w:beforeAutospacing="0" w:after="0" w:afterAutospacing="0"/>
        <w:jc w:val="both"/>
        <w:rPr>
          <w:sz w:val="20"/>
          <w:szCs w:val="20"/>
        </w:rPr>
      </w:pPr>
      <w:r>
        <w:rPr>
          <w:sz w:val="20"/>
          <w:szCs w:val="20"/>
        </w:rPr>
        <w:t> </w:t>
      </w:r>
    </w:p>
    <w:p w14:paraId="4CBAD1F5" w14:textId="77777777" w:rsidR="00000000" w:rsidRDefault="0053651E">
      <w:pPr>
        <w:pStyle w:val="a3"/>
        <w:spacing w:before="0" w:beforeAutospacing="0" w:after="0" w:afterAutospacing="0"/>
        <w:ind w:left="180" w:hanging="180"/>
        <w:jc w:val="both"/>
        <w:rPr>
          <w:sz w:val="20"/>
          <w:szCs w:val="20"/>
        </w:rPr>
      </w:pPr>
      <w:r>
        <w:rPr>
          <w:sz w:val="20"/>
          <w:szCs w:val="20"/>
        </w:rPr>
        <w:t xml:space="preserve">* Representing 98 property interests and 21.3 </w:t>
      </w:r>
      <w:r>
        <w:rPr>
          <w:sz w:val="20"/>
          <w:szCs w:val="20"/>
        </w:rPr>
        <w:t>million square feet of GLA, as of</w:t>
      </w:r>
      <w:r>
        <w:rPr>
          <w:sz w:val="20"/>
          <w:szCs w:val="20"/>
        </w:rPr>
        <w:t xml:space="preserve"> </w:t>
      </w:r>
      <w:r>
        <w:rPr>
          <w:rStyle w:val="a6"/>
          <w:i w:val="0"/>
          <w:iCs w:val="0"/>
          <w:sz w:val="20"/>
          <w:szCs w:val="20"/>
        </w:rPr>
        <w:t xml:space="preserve">December 31, 2019, </w:t>
      </w:r>
      <w:r>
        <w:rPr>
          <w:sz w:val="20"/>
          <w:szCs w:val="20"/>
        </w:rPr>
        <w:t>and 109 property interests and 23.2 million square feet of GLA, as of</w:t>
      </w:r>
      <w:r>
        <w:rPr>
          <w:sz w:val="20"/>
          <w:szCs w:val="20"/>
        </w:rPr>
        <w:t xml:space="preserve"> </w:t>
      </w:r>
      <w:r>
        <w:rPr>
          <w:rStyle w:val="a6"/>
          <w:i w:val="0"/>
          <w:iCs w:val="0"/>
          <w:sz w:val="20"/>
          <w:szCs w:val="20"/>
        </w:rPr>
        <w:t>December 31, 2018.</w:t>
      </w:r>
    </w:p>
    <w:p w14:paraId="36157D18" w14:textId="77777777" w:rsidR="00000000" w:rsidRDefault="0053651E">
      <w:pPr>
        <w:pStyle w:val="a3"/>
        <w:spacing w:before="0" w:beforeAutospacing="0" w:after="0" w:afterAutospacing="0"/>
        <w:jc w:val="both"/>
        <w:rPr>
          <w:sz w:val="20"/>
          <w:szCs w:val="20"/>
        </w:rPr>
      </w:pPr>
      <w:r>
        <w:rPr>
          <w:sz w:val="20"/>
          <w:szCs w:val="20"/>
        </w:rPr>
        <w:t> </w:t>
      </w:r>
    </w:p>
    <w:p w14:paraId="716CDA6E" w14:textId="77777777" w:rsidR="00000000" w:rsidRDefault="0053651E">
      <w:pPr>
        <w:jc w:val="center"/>
        <w:divId w:val="562326400"/>
        <w:rPr>
          <w:rFonts w:eastAsia="Times New Roman"/>
          <w:sz w:val="20"/>
          <w:szCs w:val="20"/>
        </w:rPr>
      </w:pPr>
      <w:r>
        <w:rPr>
          <w:rStyle w:val="a6"/>
          <w:rFonts w:eastAsia="Times New Roman"/>
          <w:i w:val="0"/>
          <w:iCs w:val="0"/>
          <w:sz w:val="20"/>
          <w:szCs w:val="20"/>
        </w:rPr>
        <w:t>64</w:t>
      </w:r>
      <w:r>
        <w:rPr>
          <w:rFonts w:eastAsia="Times New Roman"/>
          <w:sz w:val="20"/>
          <w:szCs w:val="20"/>
        </w:rPr>
        <w:t xml:space="preserve"> </w:t>
      </w:r>
    </w:p>
    <w:p w14:paraId="7804B08F" w14:textId="77777777" w:rsidR="00000000" w:rsidRDefault="0053651E">
      <w:pPr>
        <w:divId w:val="562326400"/>
        <w:rPr>
          <w:rFonts w:eastAsia="Times New Roman"/>
          <w:sz w:val="20"/>
          <w:szCs w:val="20"/>
        </w:rPr>
      </w:pPr>
      <w:r>
        <w:rPr>
          <w:rFonts w:eastAsia="Times New Roman"/>
          <w:sz w:val="20"/>
          <w:szCs w:val="20"/>
        </w:rPr>
        <w:pict w14:anchorId="06222DF3">
          <v:rect id="_x0000_i1095" style="width:415.3pt;height:1.5pt" o:hralign="center" o:hrstd="t" o:hrnoshade="t" o:hr="t" fillcolor="black" stroked="f"/>
        </w:pict>
      </w:r>
    </w:p>
    <w:p w14:paraId="66F64EDD" w14:textId="77777777" w:rsidR="00000000" w:rsidRDefault="0053651E">
      <w:pPr>
        <w:divId w:val="5623264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23C6A4D" w14:textId="77777777" w:rsidR="00000000" w:rsidRDefault="0053651E">
      <w:pPr>
        <w:pStyle w:val="a3"/>
        <w:spacing w:before="0" w:beforeAutospacing="0" w:after="0" w:afterAutospacing="0"/>
        <w:rPr>
          <w:sz w:val="20"/>
          <w:szCs w:val="20"/>
        </w:rPr>
      </w:pPr>
      <w:r>
        <w:rPr>
          <w:sz w:val="20"/>
          <w:szCs w:val="20"/>
        </w:rPr>
        <w:t> </w:t>
      </w:r>
    </w:p>
    <w:p w14:paraId="32C6C2AC"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0E270AE4" w14:textId="77777777" w:rsidR="00000000" w:rsidRDefault="0053651E">
      <w:pPr>
        <w:pStyle w:val="a3"/>
        <w:spacing w:before="0" w:beforeAutospacing="0" w:after="0" w:afterAutospacing="0"/>
        <w:jc w:val="center"/>
        <w:rPr>
          <w:sz w:val="20"/>
          <w:szCs w:val="20"/>
        </w:rPr>
      </w:pPr>
      <w:r>
        <w:rPr>
          <w:sz w:val="20"/>
          <w:szCs w:val="20"/>
        </w:rPr>
        <w:t> </w:t>
      </w:r>
    </w:p>
    <w:p w14:paraId="0AD98E78"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73B4990"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404711E" w14:textId="77777777">
        <w:trPr>
          <w:tblCellSpacing w:w="0" w:type="dxa"/>
        </w:trPr>
        <w:tc>
          <w:tcPr>
            <w:tcW w:w="360" w:type="dxa"/>
            <w:hideMark/>
          </w:tcPr>
          <w:p w14:paraId="18820D74"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504AE372" w14:textId="77777777" w:rsidR="00000000" w:rsidRDefault="0053651E">
            <w:pPr>
              <w:pStyle w:val="a3"/>
              <w:spacing w:before="0" w:beforeAutospacing="0" w:after="0" w:afterAutospacing="0"/>
              <w:jc w:val="both"/>
              <w:rPr>
                <w:sz w:val="20"/>
                <w:szCs w:val="20"/>
              </w:rPr>
            </w:pPr>
            <w:r>
              <w:rPr>
                <w:sz w:val="20"/>
                <w:szCs w:val="20"/>
              </w:rPr>
              <w:t>Represents</w:t>
            </w:r>
            <w:r>
              <w:rPr>
                <w:sz w:val="20"/>
                <w:szCs w:val="20"/>
              </w:rPr>
              <w:t xml:space="preserve"> </w:t>
            </w:r>
            <w:r>
              <w:rPr>
                <w:sz w:val="20"/>
                <w:szCs w:val="20"/>
              </w:rPr>
              <w:t>fou</w:t>
            </w:r>
            <w:r>
              <w:rPr>
                <w:sz w:val="20"/>
                <w:szCs w:val="20"/>
              </w:rPr>
              <w:t>r</w:t>
            </w:r>
            <w:r>
              <w:rPr>
                <w:sz w:val="20"/>
                <w:szCs w:val="20"/>
              </w:rPr>
              <w:t xml:space="preserve"> </w:t>
            </w:r>
            <w:r>
              <w:rPr>
                <w:sz w:val="20"/>
                <w:szCs w:val="20"/>
              </w:rPr>
              <w:t>separate joint ventures, with</w:t>
            </w:r>
            <w:r>
              <w:rPr>
                <w:sz w:val="20"/>
                <w:szCs w:val="20"/>
              </w:rPr>
              <w:t xml:space="preserve"> </w:t>
            </w:r>
            <w:r>
              <w:rPr>
                <w:sz w:val="20"/>
                <w:szCs w:val="20"/>
              </w:rPr>
              <w:t>fou</w:t>
            </w:r>
            <w:r>
              <w:rPr>
                <w:sz w:val="20"/>
                <w:szCs w:val="20"/>
              </w:rPr>
              <w:t>r</w:t>
            </w:r>
            <w:r>
              <w:rPr>
                <w:sz w:val="20"/>
                <w:szCs w:val="20"/>
              </w:rPr>
              <w:t xml:space="preserve"> separate accounts managed by Prudential Global Investment Management.  One of these ventures disposed of all its properties during</w:t>
            </w:r>
            <w:r>
              <w:rPr>
                <w:sz w:val="20"/>
                <w:szCs w:val="20"/>
              </w:rPr>
              <w:t xml:space="preserve"> </w:t>
            </w:r>
            <w:r>
              <w:rPr>
                <w:rStyle w:val="a6"/>
                <w:i w:val="0"/>
                <w:iCs w:val="0"/>
                <w:sz w:val="20"/>
                <w:szCs w:val="20"/>
              </w:rPr>
              <w:t>2019.</w:t>
            </w:r>
          </w:p>
        </w:tc>
      </w:tr>
    </w:tbl>
    <w:p w14:paraId="19746A8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EC9ED45" w14:textId="77777777">
        <w:trPr>
          <w:tblCellSpacing w:w="0" w:type="dxa"/>
        </w:trPr>
        <w:tc>
          <w:tcPr>
            <w:tcW w:w="360" w:type="dxa"/>
            <w:hideMark/>
          </w:tcPr>
          <w:p w14:paraId="2227CD0F"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6BF27045" w14:textId="77777777" w:rsidR="00000000" w:rsidRDefault="0053651E">
            <w:pPr>
              <w:pStyle w:val="a3"/>
              <w:spacing w:before="0" w:beforeAutospacing="0" w:after="0" w:afterAutospacing="0"/>
              <w:jc w:val="both"/>
              <w:rPr>
                <w:sz w:val="20"/>
                <w:szCs w:val="20"/>
              </w:rPr>
            </w:pPr>
            <w:r>
              <w:rPr>
                <w:sz w:val="20"/>
                <w:szCs w:val="20"/>
              </w:rPr>
              <w:t>The Company manages these joint venture investments and, where applicable, ear</w:t>
            </w:r>
            <w:r>
              <w:rPr>
                <w:sz w:val="20"/>
                <w:szCs w:val="20"/>
              </w:rPr>
              <w:t>ns acquisition fees, leasing commissions, property management fees, asset management fees and construction management fees.</w:t>
            </w:r>
          </w:p>
        </w:tc>
      </w:tr>
    </w:tbl>
    <w:p w14:paraId="33A0409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34D13FD" w14:textId="77777777">
        <w:trPr>
          <w:tblCellSpacing w:w="0" w:type="dxa"/>
        </w:trPr>
        <w:tc>
          <w:tcPr>
            <w:tcW w:w="360" w:type="dxa"/>
            <w:hideMark/>
          </w:tcPr>
          <w:p w14:paraId="25DBAAFE"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3</w:t>
            </w:r>
            <w:r>
              <w:rPr>
                <w:sz w:val="20"/>
                <w:szCs w:val="20"/>
              </w:rPr>
              <w:t>)</w:t>
            </w:r>
          </w:p>
        </w:tc>
        <w:tc>
          <w:tcPr>
            <w:tcW w:w="0" w:type="auto"/>
            <w:hideMark/>
          </w:tcPr>
          <w:p w14:paraId="773B9196" w14:textId="77777777" w:rsidR="00000000" w:rsidRDefault="0053651E">
            <w:pPr>
              <w:pStyle w:val="a3"/>
              <w:spacing w:before="0" w:beforeAutospacing="0" w:after="0" w:afterAutospacing="0"/>
              <w:jc w:val="both"/>
              <w:rPr>
                <w:sz w:val="20"/>
                <w:szCs w:val="20"/>
              </w:rPr>
            </w:pPr>
            <w:r>
              <w:rPr>
                <w:sz w:val="20"/>
                <w:szCs w:val="20"/>
              </w:rPr>
              <w:t>During</w:t>
            </w:r>
            <w:r>
              <w:rPr>
                <w:sz w:val="20"/>
                <w:szCs w:val="20"/>
              </w:rPr>
              <w:t xml:space="preserve"> </w:t>
            </w:r>
            <w:r>
              <w:rPr>
                <w:rStyle w:val="a6"/>
                <w:i w:val="0"/>
                <w:iCs w:val="0"/>
                <w:sz w:val="20"/>
                <w:szCs w:val="20"/>
              </w:rPr>
              <w:t xml:space="preserve">March 2018, </w:t>
            </w:r>
            <w:r>
              <w:rPr>
                <w:sz w:val="20"/>
                <w:szCs w:val="20"/>
              </w:rPr>
              <w:t>the Company sold a portion of its investment in an operating property to its partner and amended the partne</w:t>
            </w:r>
            <w:r>
              <w:rPr>
                <w:sz w:val="20"/>
                <w:szCs w:val="20"/>
              </w:rPr>
              <w:t>rship agreement to provide for joint control of the entity. As a result of the amendment, the Company</w:t>
            </w:r>
            <w:r>
              <w:rPr>
                <w:sz w:val="20"/>
                <w:szCs w:val="20"/>
              </w:rPr>
              <w:t xml:space="preserve"> </w:t>
            </w:r>
            <w:r>
              <w:rPr>
                <w:rStyle w:val="a6"/>
                <w:i w:val="0"/>
                <w:iCs w:val="0"/>
                <w:sz w:val="20"/>
                <w:szCs w:val="20"/>
              </w:rPr>
              <w:t>no</w:t>
            </w:r>
            <w:r>
              <w:rPr>
                <w:sz w:val="20"/>
                <w:szCs w:val="20"/>
              </w:rPr>
              <w:t xml:space="preserve"> longer consolidates the entity. As of the date of deconsolidation, the Company had an investment in this unconsolidated property of $62.4 million. </w:t>
            </w:r>
          </w:p>
        </w:tc>
      </w:tr>
    </w:tbl>
    <w:p w14:paraId="7F04AB58" w14:textId="77777777" w:rsidR="00000000" w:rsidRDefault="0053651E">
      <w:pPr>
        <w:pStyle w:val="a3"/>
        <w:spacing w:before="0" w:beforeAutospacing="0" w:after="0" w:afterAutospacing="0"/>
        <w:rPr>
          <w:sz w:val="20"/>
          <w:szCs w:val="20"/>
        </w:rPr>
      </w:pPr>
      <w:r>
        <w:rPr>
          <w:sz w:val="20"/>
          <w:szCs w:val="20"/>
        </w:rPr>
        <w:t> </w:t>
      </w:r>
    </w:p>
    <w:p w14:paraId="712E5862" w14:textId="77777777" w:rsidR="00000000" w:rsidRDefault="0053651E">
      <w:pPr>
        <w:pStyle w:val="a3"/>
        <w:spacing w:before="0" w:beforeAutospacing="0" w:after="0" w:afterAutospacing="0"/>
        <w:ind w:left="360"/>
        <w:jc w:val="both"/>
        <w:rPr>
          <w:sz w:val="20"/>
          <w:szCs w:val="20"/>
        </w:rPr>
      </w:pPr>
      <w:r>
        <w:rPr>
          <w:sz w:val="20"/>
          <w:szCs w:val="20"/>
        </w:rPr>
        <w:t>The table below presents the Company’s share of net income for these investments which is included in Equity in income of joint ventures, net on the Company’s Consolidated Statements of Income (in millions):</w:t>
      </w:r>
    </w:p>
    <w:p w14:paraId="1A01ACE7"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8"/>
        <w:gridCol w:w="62"/>
        <w:gridCol w:w="100"/>
        <w:gridCol w:w="1050"/>
        <w:gridCol w:w="62"/>
        <w:gridCol w:w="62"/>
        <w:gridCol w:w="100"/>
        <w:gridCol w:w="1050"/>
        <w:gridCol w:w="62"/>
        <w:gridCol w:w="62"/>
        <w:gridCol w:w="100"/>
        <w:gridCol w:w="1050"/>
        <w:gridCol w:w="62"/>
      </w:tblGrid>
      <w:tr w:rsidR="00000000" w14:paraId="45F11398" w14:textId="77777777">
        <w:trPr>
          <w:tblCellSpacing w:w="0" w:type="dxa"/>
        </w:trPr>
        <w:tc>
          <w:tcPr>
            <w:tcW w:w="0" w:type="auto"/>
            <w:vAlign w:val="bottom"/>
            <w:hideMark/>
          </w:tcPr>
          <w:p w14:paraId="4D52D2C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D6D640C"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68A42A4D"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7CF7B53E" w14:textId="77777777" w:rsidR="00000000" w:rsidRDefault="0053651E">
            <w:pPr>
              <w:rPr>
                <w:rFonts w:eastAsia="Times New Roman"/>
                <w:sz w:val="20"/>
                <w:szCs w:val="20"/>
              </w:rPr>
            </w:pPr>
            <w:r>
              <w:rPr>
                <w:rFonts w:eastAsia="Times New Roman"/>
                <w:sz w:val="20"/>
                <w:szCs w:val="20"/>
              </w:rPr>
              <w:t> </w:t>
            </w:r>
          </w:p>
        </w:tc>
      </w:tr>
      <w:tr w:rsidR="00000000" w14:paraId="48A94D8C" w14:textId="77777777">
        <w:trPr>
          <w:tblCellSpacing w:w="0" w:type="dxa"/>
        </w:trPr>
        <w:tc>
          <w:tcPr>
            <w:tcW w:w="0" w:type="auto"/>
            <w:vAlign w:val="bottom"/>
            <w:hideMark/>
          </w:tcPr>
          <w:p w14:paraId="4C8982A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266826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A6AB86"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20F0D4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67DD96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5091DA1"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9C2769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44C552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F6C5C6A"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5B2229C5" w14:textId="77777777" w:rsidR="00000000" w:rsidRDefault="0053651E">
            <w:pPr>
              <w:rPr>
                <w:rFonts w:eastAsia="Times New Roman"/>
                <w:sz w:val="20"/>
                <w:szCs w:val="20"/>
              </w:rPr>
            </w:pPr>
            <w:r>
              <w:rPr>
                <w:rFonts w:eastAsia="Times New Roman"/>
                <w:sz w:val="20"/>
                <w:szCs w:val="20"/>
              </w:rPr>
              <w:t> </w:t>
            </w:r>
          </w:p>
        </w:tc>
      </w:tr>
      <w:tr w:rsidR="00000000" w14:paraId="18FFB681" w14:textId="77777777">
        <w:trPr>
          <w:tblCellSpacing w:w="0" w:type="dxa"/>
        </w:trPr>
        <w:tc>
          <w:tcPr>
            <w:tcW w:w="2300" w:type="pct"/>
            <w:shd w:val="clear" w:color="auto" w:fill="CCEEFF"/>
            <w:vAlign w:val="bottom"/>
            <w:hideMark/>
          </w:tcPr>
          <w:p w14:paraId="2210CBAD" w14:textId="77777777" w:rsidR="00000000" w:rsidRDefault="0053651E">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14:paraId="7962813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3030A5E"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6B1A2C6" w14:textId="77777777" w:rsidR="00000000" w:rsidRDefault="0053651E">
            <w:pPr>
              <w:jc w:val="right"/>
              <w:rPr>
                <w:rFonts w:eastAsia="Times New Roman"/>
                <w:sz w:val="20"/>
                <w:szCs w:val="20"/>
              </w:rPr>
            </w:pPr>
            <w:r>
              <w:rPr>
                <w:rFonts w:eastAsia="Times New Roman"/>
                <w:sz w:val="20"/>
                <w:szCs w:val="20"/>
              </w:rPr>
              <w:t>10.4</w:t>
            </w:r>
          </w:p>
        </w:tc>
        <w:tc>
          <w:tcPr>
            <w:tcW w:w="50" w:type="pct"/>
            <w:tcBorders>
              <w:bottom w:val="nil"/>
            </w:tcBorders>
            <w:shd w:val="clear" w:color="auto" w:fill="CCEEFF"/>
            <w:vAlign w:val="bottom"/>
            <w:hideMark/>
          </w:tcPr>
          <w:p w14:paraId="57BE4B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679D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FFEAF6"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7BE5BBE6" w14:textId="77777777" w:rsidR="00000000" w:rsidRDefault="0053651E">
            <w:pPr>
              <w:jc w:val="right"/>
              <w:rPr>
                <w:rFonts w:eastAsia="Times New Roman"/>
                <w:sz w:val="20"/>
                <w:szCs w:val="20"/>
              </w:rPr>
            </w:pPr>
            <w:r>
              <w:rPr>
                <w:rFonts w:eastAsia="Times New Roman"/>
                <w:sz w:val="20"/>
                <w:szCs w:val="20"/>
              </w:rPr>
              <w:t>15.2</w:t>
            </w:r>
          </w:p>
        </w:tc>
        <w:tc>
          <w:tcPr>
            <w:tcW w:w="50" w:type="pct"/>
            <w:shd w:val="clear" w:color="auto" w:fill="CCEEFF"/>
            <w:vAlign w:val="bottom"/>
            <w:hideMark/>
          </w:tcPr>
          <w:p w14:paraId="3766734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60FCB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3CB48AD"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8AFF32F" w14:textId="77777777" w:rsidR="00000000" w:rsidRDefault="0053651E">
            <w:pPr>
              <w:jc w:val="right"/>
              <w:rPr>
                <w:rFonts w:eastAsia="Times New Roman"/>
                <w:sz w:val="20"/>
                <w:szCs w:val="20"/>
              </w:rPr>
            </w:pPr>
            <w:r>
              <w:rPr>
                <w:rFonts w:eastAsia="Times New Roman"/>
                <w:sz w:val="20"/>
                <w:szCs w:val="20"/>
              </w:rPr>
              <w:t>13.0</w:t>
            </w:r>
          </w:p>
        </w:tc>
        <w:tc>
          <w:tcPr>
            <w:tcW w:w="50" w:type="pct"/>
            <w:tcBorders>
              <w:bottom w:val="nil"/>
            </w:tcBorders>
            <w:shd w:val="clear" w:color="auto" w:fill="CCEEFF"/>
            <w:vAlign w:val="bottom"/>
            <w:hideMark/>
          </w:tcPr>
          <w:p w14:paraId="51111FD9" w14:textId="77777777" w:rsidR="00000000" w:rsidRDefault="0053651E">
            <w:pPr>
              <w:rPr>
                <w:rFonts w:eastAsia="Times New Roman"/>
                <w:sz w:val="20"/>
                <w:szCs w:val="20"/>
              </w:rPr>
            </w:pPr>
            <w:r>
              <w:rPr>
                <w:rFonts w:eastAsia="Times New Roman"/>
                <w:sz w:val="20"/>
                <w:szCs w:val="20"/>
              </w:rPr>
              <w:t> </w:t>
            </w:r>
          </w:p>
        </w:tc>
      </w:tr>
      <w:tr w:rsidR="00000000" w14:paraId="14653602" w14:textId="77777777">
        <w:trPr>
          <w:tblCellSpacing w:w="0" w:type="dxa"/>
        </w:trPr>
        <w:tc>
          <w:tcPr>
            <w:tcW w:w="0" w:type="auto"/>
            <w:shd w:val="clear" w:color="auto" w:fill="FFFFFF"/>
            <w:vAlign w:val="bottom"/>
            <w:hideMark/>
          </w:tcPr>
          <w:p w14:paraId="25093135" w14:textId="77777777" w:rsidR="00000000" w:rsidRDefault="0053651E">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6CB176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CDC53"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13D60DA" w14:textId="77777777" w:rsidR="00000000" w:rsidRDefault="0053651E">
            <w:pPr>
              <w:jc w:val="right"/>
              <w:rPr>
                <w:rFonts w:eastAsia="Times New Roman"/>
                <w:sz w:val="20"/>
                <w:szCs w:val="20"/>
              </w:rPr>
            </w:pPr>
            <w:r>
              <w:rPr>
                <w:rFonts w:eastAsia="Times New Roman"/>
                <w:sz w:val="20"/>
                <w:szCs w:val="20"/>
              </w:rPr>
              <w:t>50.3</w:t>
            </w:r>
          </w:p>
        </w:tc>
        <w:tc>
          <w:tcPr>
            <w:tcW w:w="50" w:type="pct"/>
            <w:shd w:val="clear" w:color="auto" w:fill="FFFFFF"/>
            <w:vAlign w:val="bottom"/>
            <w:hideMark/>
          </w:tcPr>
          <w:p w14:paraId="6AB959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99F0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15770"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5741C55" w14:textId="77777777" w:rsidR="00000000" w:rsidRDefault="0053651E">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326FCF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65494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BA1D6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D072A72" w14:textId="77777777" w:rsidR="00000000" w:rsidRDefault="0053651E">
            <w:pPr>
              <w:jc w:val="right"/>
              <w:rPr>
                <w:rFonts w:eastAsia="Times New Roman"/>
                <w:sz w:val="20"/>
                <w:szCs w:val="20"/>
              </w:rPr>
            </w:pPr>
            <w:r>
              <w:rPr>
                <w:rFonts w:eastAsia="Times New Roman"/>
                <w:sz w:val="20"/>
                <w:szCs w:val="20"/>
              </w:rPr>
              <w:t>36.7</w:t>
            </w:r>
          </w:p>
        </w:tc>
        <w:tc>
          <w:tcPr>
            <w:tcW w:w="50" w:type="pct"/>
            <w:shd w:val="clear" w:color="auto" w:fill="FFFFFF"/>
            <w:vAlign w:val="bottom"/>
            <w:hideMark/>
          </w:tcPr>
          <w:p w14:paraId="76F4476E" w14:textId="77777777" w:rsidR="00000000" w:rsidRDefault="0053651E">
            <w:pPr>
              <w:rPr>
                <w:rFonts w:eastAsia="Times New Roman"/>
                <w:sz w:val="20"/>
                <w:szCs w:val="20"/>
              </w:rPr>
            </w:pPr>
            <w:r>
              <w:rPr>
                <w:rFonts w:eastAsia="Times New Roman"/>
                <w:sz w:val="20"/>
                <w:szCs w:val="20"/>
              </w:rPr>
              <w:t> </w:t>
            </w:r>
          </w:p>
        </w:tc>
      </w:tr>
      <w:tr w:rsidR="00000000" w14:paraId="05B68264" w14:textId="77777777">
        <w:trPr>
          <w:tblCellSpacing w:w="0" w:type="dxa"/>
        </w:trPr>
        <w:tc>
          <w:tcPr>
            <w:tcW w:w="0" w:type="auto"/>
            <w:shd w:val="clear" w:color="auto" w:fill="CCEEFF"/>
            <w:vAlign w:val="bottom"/>
            <w:hideMark/>
          </w:tcPr>
          <w:p w14:paraId="09D5A5B3" w14:textId="77777777" w:rsidR="00000000" w:rsidRDefault="0053651E">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644275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A784C4"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099D46E5" w14:textId="77777777" w:rsidR="00000000" w:rsidRDefault="0053651E">
            <w:pPr>
              <w:jc w:val="right"/>
              <w:rPr>
                <w:rFonts w:eastAsia="Times New Roman"/>
                <w:sz w:val="20"/>
                <w:szCs w:val="20"/>
              </w:rPr>
            </w:pPr>
            <w:r>
              <w:rPr>
                <w:rFonts w:eastAsia="Times New Roman"/>
                <w:sz w:val="20"/>
                <w:szCs w:val="20"/>
              </w:rPr>
              <w:t>5.8</w:t>
            </w:r>
          </w:p>
        </w:tc>
        <w:tc>
          <w:tcPr>
            <w:tcW w:w="50" w:type="pct"/>
            <w:shd w:val="clear" w:color="auto" w:fill="CCEEFF"/>
            <w:vAlign w:val="bottom"/>
            <w:hideMark/>
          </w:tcPr>
          <w:p w14:paraId="71B584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97BD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58CAEB"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46D7FB9" w14:textId="77777777" w:rsidR="00000000" w:rsidRDefault="0053651E">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07C9BA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0BF40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CFD8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BB69667" w14:textId="77777777" w:rsidR="00000000" w:rsidRDefault="0053651E">
            <w:pPr>
              <w:jc w:val="right"/>
              <w:rPr>
                <w:rFonts w:eastAsia="Times New Roman"/>
                <w:sz w:val="20"/>
                <w:szCs w:val="20"/>
              </w:rPr>
            </w:pPr>
            <w:r>
              <w:rPr>
                <w:rFonts w:eastAsia="Times New Roman"/>
                <w:sz w:val="20"/>
                <w:szCs w:val="20"/>
              </w:rPr>
              <w:t>7.2</w:t>
            </w:r>
          </w:p>
        </w:tc>
        <w:tc>
          <w:tcPr>
            <w:tcW w:w="50" w:type="pct"/>
            <w:shd w:val="clear" w:color="auto" w:fill="CCEEFF"/>
            <w:vAlign w:val="bottom"/>
            <w:hideMark/>
          </w:tcPr>
          <w:p w14:paraId="26B4EB60" w14:textId="77777777" w:rsidR="00000000" w:rsidRDefault="0053651E">
            <w:pPr>
              <w:rPr>
                <w:rFonts w:eastAsia="Times New Roman"/>
                <w:sz w:val="20"/>
                <w:szCs w:val="20"/>
              </w:rPr>
            </w:pPr>
            <w:r>
              <w:rPr>
                <w:rFonts w:eastAsia="Times New Roman"/>
                <w:sz w:val="20"/>
                <w:szCs w:val="20"/>
              </w:rPr>
              <w:t> </w:t>
            </w:r>
          </w:p>
        </w:tc>
      </w:tr>
      <w:tr w:rsidR="00000000" w14:paraId="7DFAC793" w14:textId="77777777">
        <w:trPr>
          <w:tblCellSpacing w:w="0" w:type="dxa"/>
        </w:trPr>
        <w:tc>
          <w:tcPr>
            <w:tcW w:w="0" w:type="auto"/>
            <w:shd w:val="clear" w:color="auto" w:fill="FFFFFF"/>
            <w:vAlign w:val="bottom"/>
            <w:hideMark/>
          </w:tcPr>
          <w:p w14:paraId="45B4F8DD" w14:textId="77777777" w:rsidR="00000000" w:rsidRDefault="0053651E">
            <w:pPr>
              <w:pStyle w:val="a3"/>
              <w:spacing w:before="0" w:beforeAutospacing="0" w:after="0" w:afterAutospacing="0"/>
              <w:rPr>
                <w:sz w:val="20"/>
                <w:szCs w:val="20"/>
              </w:rPr>
            </w:pPr>
            <w:r>
              <w:rPr>
                <w:sz w:val="20"/>
                <w:szCs w:val="20"/>
              </w:rPr>
              <w:t>Other Joint Venture Programs (2) (3) (4) (5)</w:t>
            </w:r>
          </w:p>
        </w:tc>
        <w:tc>
          <w:tcPr>
            <w:tcW w:w="50" w:type="pct"/>
            <w:shd w:val="clear" w:color="auto" w:fill="FFFFFF"/>
            <w:tcMar>
              <w:top w:w="0" w:type="dxa"/>
              <w:left w:w="0" w:type="dxa"/>
              <w:bottom w:w="15" w:type="dxa"/>
              <w:right w:w="0" w:type="dxa"/>
            </w:tcMar>
            <w:vAlign w:val="bottom"/>
            <w:hideMark/>
          </w:tcPr>
          <w:p w14:paraId="4ABC1B8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D7859A4"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7D13B560" w14:textId="77777777" w:rsidR="00000000" w:rsidRDefault="0053651E">
            <w:pPr>
              <w:jc w:val="right"/>
              <w:rPr>
                <w:rFonts w:eastAsia="Times New Roman"/>
                <w:sz w:val="20"/>
                <w:szCs w:val="20"/>
              </w:rPr>
            </w:pPr>
            <w:r>
              <w:rPr>
                <w:rFonts w:eastAsia="Times New Roman"/>
                <w:sz w:val="20"/>
                <w:szCs w:val="20"/>
              </w:rPr>
              <w:t>5.7</w:t>
            </w:r>
          </w:p>
        </w:tc>
        <w:tc>
          <w:tcPr>
            <w:tcW w:w="50" w:type="pct"/>
            <w:shd w:val="clear" w:color="auto" w:fill="FFFFFF"/>
            <w:tcMar>
              <w:top w:w="0" w:type="dxa"/>
              <w:left w:w="0" w:type="dxa"/>
              <w:bottom w:w="15" w:type="dxa"/>
              <w:right w:w="0" w:type="dxa"/>
            </w:tcMar>
            <w:vAlign w:val="bottom"/>
            <w:hideMark/>
          </w:tcPr>
          <w:p w14:paraId="78222B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1DA38E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C61C7C"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3A3F92B8" w14:textId="77777777" w:rsidR="00000000" w:rsidRDefault="0053651E">
            <w:pPr>
              <w:jc w:val="right"/>
              <w:rPr>
                <w:rFonts w:eastAsia="Times New Roman"/>
                <w:sz w:val="20"/>
                <w:szCs w:val="20"/>
              </w:rPr>
            </w:pPr>
            <w:r>
              <w:rPr>
                <w:rFonts w:eastAsia="Times New Roman"/>
                <w:sz w:val="20"/>
                <w:szCs w:val="20"/>
              </w:rPr>
              <w:t>12.6</w:t>
            </w:r>
          </w:p>
        </w:tc>
        <w:tc>
          <w:tcPr>
            <w:tcW w:w="50" w:type="pct"/>
            <w:shd w:val="clear" w:color="auto" w:fill="FFFFFF"/>
            <w:tcMar>
              <w:top w:w="0" w:type="dxa"/>
              <w:left w:w="0" w:type="dxa"/>
              <w:bottom w:w="15" w:type="dxa"/>
              <w:right w:w="0" w:type="dxa"/>
            </w:tcMar>
            <w:vAlign w:val="bottom"/>
            <w:hideMark/>
          </w:tcPr>
          <w:p w14:paraId="33EC76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180AA0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00773EF"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08F763CE" w14:textId="77777777" w:rsidR="00000000" w:rsidRDefault="0053651E">
            <w:pPr>
              <w:jc w:val="right"/>
              <w:rPr>
                <w:rFonts w:eastAsia="Times New Roman"/>
                <w:sz w:val="20"/>
                <w:szCs w:val="20"/>
              </w:rPr>
            </w:pPr>
            <w:r>
              <w:rPr>
                <w:rFonts w:eastAsia="Times New Roman"/>
                <w:sz w:val="20"/>
                <w:szCs w:val="20"/>
              </w:rPr>
              <w:t>3.9</w:t>
            </w:r>
          </w:p>
        </w:tc>
        <w:tc>
          <w:tcPr>
            <w:tcW w:w="50" w:type="pct"/>
            <w:shd w:val="clear" w:color="auto" w:fill="FFFFFF"/>
            <w:tcMar>
              <w:top w:w="0" w:type="dxa"/>
              <w:left w:w="0" w:type="dxa"/>
              <w:bottom w:w="15" w:type="dxa"/>
              <w:right w:w="0" w:type="dxa"/>
            </w:tcMar>
            <w:vAlign w:val="bottom"/>
            <w:hideMark/>
          </w:tcPr>
          <w:p w14:paraId="15BC905C" w14:textId="77777777" w:rsidR="00000000" w:rsidRDefault="0053651E">
            <w:pPr>
              <w:rPr>
                <w:rFonts w:eastAsia="Times New Roman"/>
                <w:sz w:val="20"/>
                <w:szCs w:val="20"/>
              </w:rPr>
            </w:pPr>
            <w:r>
              <w:rPr>
                <w:rFonts w:eastAsia="Times New Roman"/>
                <w:sz w:val="20"/>
                <w:szCs w:val="20"/>
              </w:rPr>
              <w:t> </w:t>
            </w:r>
          </w:p>
        </w:tc>
      </w:tr>
      <w:tr w:rsidR="00000000" w14:paraId="78215496" w14:textId="77777777">
        <w:trPr>
          <w:tblCellSpacing w:w="0" w:type="dxa"/>
        </w:trPr>
        <w:tc>
          <w:tcPr>
            <w:tcW w:w="0" w:type="auto"/>
            <w:shd w:val="clear" w:color="auto" w:fill="CCEEFF"/>
            <w:vAlign w:val="bottom"/>
            <w:hideMark/>
          </w:tcPr>
          <w:p w14:paraId="18C74E69" w14:textId="77777777" w:rsidR="00000000" w:rsidRDefault="0053651E">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14:paraId="3117DD4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B918D90" w14:textId="77777777" w:rsidR="00000000" w:rsidRDefault="0053651E">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14:paraId="19F0CF2A" w14:textId="77777777" w:rsidR="00000000" w:rsidRDefault="0053651E">
            <w:pPr>
              <w:jc w:val="right"/>
              <w:rPr>
                <w:rFonts w:eastAsia="Times New Roman"/>
                <w:sz w:val="20"/>
                <w:szCs w:val="20"/>
              </w:rPr>
            </w:pPr>
            <w:r>
              <w:rPr>
                <w:rFonts w:eastAsia="Times New Roman"/>
                <w:b/>
                <w:bCs/>
                <w:sz w:val="20"/>
                <w:szCs w:val="20"/>
              </w:rPr>
              <w:t>72.2</w:t>
            </w:r>
          </w:p>
        </w:tc>
        <w:tc>
          <w:tcPr>
            <w:tcW w:w="50" w:type="pct"/>
            <w:shd w:val="clear" w:color="auto" w:fill="CCEEFF"/>
            <w:tcMar>
              <w:top w:w="0" w:type="dxa"/>
              <w:left w:w="0" w:type="dxa"/>
              <w:bottom w:w="45" w:type="dxa"/>
              <w:right w:w="0" w:type="dxa"/>
            </w:tcMar>
            <w:vAlign w:val="bottom"/>
            <w:hideMark/>
          </w:tcPr>
          <w:p w14:paraId="46484F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2C56F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311AD88" w14:textId="77777777" w:rsidR="00000000" w:rsidRDefault="0053651E">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14:paraId="183B05C9" w14:textId="77777777" w:rsidR="00000000" w:rsidRDefault="0053651E">
            <w:pPr>
              <w:jc w:val="right"/>
              <w:rPr>
                <w:rFonts w:eastAsia="Times New Roman"/>
                <w:sz w:val="20"/>
                <w:szCs w:val="20"/>
              </w:rPr>
            </w:pPr>
            <w:r>
              <w:rPr>
                <w:rFonts w:eastAsia="Times New Roman"/>
                <w:b/>
                <w:bCs/>
                <w:sz w:val="20"/>
                <w:szCs w:val="20"/>
              </w:rPr>
              <w:t>71.6</w:t>
            </w:r>
          </w:p>
        </w:tc>
        <w:tc>
          <w:tcPr>
            <w:tcW w:w="50" w:type="pct"/>
            <w:shd w:val="clear" w:color="auto" w:fill="CCEEFF"/>
            <w:tcMar>
              <w:top w:w="0" w:type="dxa"/>
              <w:left w:w="0" w:type="dxa"/>
              <w:bottom w:w="45" w:type="dxa"/>
              <w:right w:w="0" w:type="dxa"/>
            </w:tcMar>
            <w:vAlign w:val="bottom"/>
            <w:hideMark/>
          </w:tcPr>
          <w:p w14:paraId="2B59BF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15207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E8A61B3" w14:textId="77777777" w:rsidR="00000000" w:rsidRDefault="0053651E">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14:paraId="3DD2D0EA" w14:textId="77777777" w:rsidR="00000000" w:rsidRDefault="0053651E">
            <w:pPr>
              <w:jc w:val="right"/>
              <w:rPr>
                <w:rFonts w:eastAsia="Times New Roman"/>
                <w:sz w:val="20"/>
                <w:szCs w:val="20"/>
              </w:rPr>
            </w:pPr>
            <w:r>
              <w:rPr>
                <w:rFonts w:eastAsia="Times New Roman"/>
                <w:b/>
                <w:bCs/>
                <w:sz w:val="20"/>
                <w:szCs w:val="20"/>
              </w:rPr>
              <w:t>60.8</w:t>
            </w:r>
          </w:p>
        </w:tc>
        <w:tc>
          <w:tcPr>
            <w:tcW w:w="50" w:type="pct"/>
            <w:shd w:val="clear" w:color="auto" w:fill="CCEEFF"/>
            <w:tcMar>
              <w:top w:w="0" w:type="dxa"/>
              <w:left w:w="0" w:type="dxa"/>
              <w:bottom w:w="45" w:type="dxa"/>
              <w:right w:w="0" w:type="dxa"/>
            </w:tcMar>
            <w:vAlign w:val="bottom"/>
            <w:hideMark/>
          </w:tcPr>
          <w:p w14:paraId="5BA58662" w14:textId="77777777" w:rsidR="00000000" w:rsidRDefault="0053651E">
            <w:pPr>
              <w:rPr>
                <w:rFonts w:eastAsia="Times New Roman"/>
                <w:sz w:val="20"/>
                <w:szCs w:val="20"/>
              </w:rPr>
            </w:pPr>
            <w:r>
              <w:rPr>
                <w:rFonts w:eastAsia="Times New Roman"/>
                <w:sz w:val="20"/>
                <w:szCs w:val="20"/>
              </w:rPr>
              <w:t> </w:t>
            </w:r>
          </w:p>
        </w:tc>
      </w:tr>
    </w:tbl>
    <w:p w14:paraId="31B6E96B" w14:textId="77777777" w:rsidR="00000000" w:rsidRDefault="0053651E">
      <w:pPr>
        <w:pStyle w:val="a3"/>
        <w:spacing w:before="0" w:beforeAutospacing="0" w:after="0" w:afterAutospacing="0"/>
        <w:ind w:left="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00EB562" w14:textId="77777777">
        <w:trPr>
          <w:tblCellSpacing w:w="0" w:type="dxa"/>
        </w:trPr>
        <w:tc>
          <w:tcPr>
            <w:tcW w:w="360" w:type="dxa"/>
            <w:hideMark/>
          </w:tcPr>
          <w:p w14:paraId="51256923"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1</w:t>
            </w:r>
            <w:r>
              <w:rPr>
                <w:sz w:val="20"/>
                <w:szCs w:val="20"/>
              </w:rPr>
              <w:t>)</w:t>
            </w:r>
          </w:p>
        </w:tc>
        <w:tc>
          <w:tcPr>
            <w:tcW w:w="0" w:type="auto"/>
            <w:hideMark/>
          </w:tcPr>
          <w:p w14:paraId="233F578E" w14:textId="77777777" w:rsidR="00000000" w:rsidRDefault="0053651E">
            <w:pPr>
              <w:pStyle w:val="a3"/>
              <w:spacing w:before="0" w:beforeAutospacing="0" w:after="0" w:afterAutospacing="0"/>
              <w:rPr>
                <w:sz w:val="20"/>
                <w:szCs w:val="20"/>
              </w:rPr>
            </w:pPr>
            <w:r>
              <w:rPr>
                <w:sz w:val="20"/>
                <w:szCs w:val="20"/>
              </w:rPr>
              <w:t>During the year ended</w:t>
            </w:r>
            <w:r>
              <w:rPr>
                <w:sz w:val="20"/>
                <w:szCs w:val="20"/>
              </w:rPr>
              <w:t xml:space="preserve"> </w:t>
            </w:r>
            <w:r>
              <w:rPr>
                <w:rStyle w:val="a6"/>
                <w:i w:val="0"/>
                <w:iCs w:val="0"/>
                <w:sz w:val="20"/>
                <w:szCs w:val="20"/>
              </w:rPr>
              <w:t xml:space="preserve">December 31, 2019, </w:t>
            </w:r>
            <w:r>
              <w:rPr>
                <w:sz w:val="20"/>
                <w:szCs w:val="20"/>
              </w:rPr>
              <w:t>the Prudential Investment Program recognized an impairment charge on a property of $29.9 million, of which the Company’s share was $3.7 million.</w:t>
            </w:r>
          </w:p>
        </w:tc>
      </w:tr>
    </w:tbl>
    <w:p w14:paraId="5F513F6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73CE9FF" w14:textId="77777777">
        <w:trPr>
          <w:tblCellSpacing w:w="0" w:type="dxa"/>
        </w:trPr>
        <w:tc>
          <w:tcPr>
            <w:tcW w:w="360" w:type="dxa"/>
            <w:hideMark/>
          </w:tcPr>
          <w:p w14:paraId="4AFB15BC"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2</w:t>
            </w:r>
            <w:r>
              <w:rPr>
                <w:sz w:val="20"/>
                <w:szCs w:val="20"/>
              </w:rPr>
              <w:t>)</w:t>
            </w:r>
          </w:p>
        </w:tc>
        <w:tc>
          <w:tcPr>
            <w:tcW w:w="0" w:type="auto"/>
            <w:hideMark/>
          </w:tcPr>
          <w:p w14:paraId="1D7D9EAC" w14:textId="77777777" w:rsidR="00000000" w:rsidRDefault="0053651E">
            <w:pPr>
              <w:pStyle w:val="a3"/>
              <w:spacing w:before="0" w:beforeAutospacing="0" w:after="0" w:afterAutospacing="0"/>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a joint venture investment distributed cash proceeds resulting f</w:t>
            </w:r>
            <w:r>
              <w:rPr>
                <w:sz w:val="20"/>
                <w:szCs w:val="20"/>
              </w:rPr>
              <w:t>rom the refinancing of an existing loan of which the Company’s share was $3.6 million. This distribution was in excess of the Company’s carrying basis in this joint venture investment and to that extent was recognized as income.</w:t>
            </w:r>
          </w:p>
        </w:tc>
      </w:tr>
    </w:tbl>
    <w:p w14:paraId="76E9E0B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916BBD9" w14:textId="77777777">
        <w:trPr>
          <w:tblCellSpacing w:w="0" w:type="dxa"/>
        </w:trPr>
        <w:tc>
          <w:tcPr>
            <w:tcW w:w="360" w:type="dxa"/>
            <w:hideMark/>
          </w:tcPr>
          <w:p w14:paraId="055E7060"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3</w:t>
            </w:r>
            <w:r>
              <w:rPr>
                <w:sz w:val="20"/>
                <w:szCs w:val="20"/>
              </w:rPr>
              <w:t>)</w:t>
            </w:r>
          </w:p>
        </w:tc>
        <w:tc>
          <w:tcPr>
            <w:tcW w:w="0" w:type="auto"/>
            <w:hideMark/>
          </w:tcPr>
          <w:p w14:paraId="1309C6A7" w14:textId="77777777" w:rsidR="00000000" w:rsidRDefault="0053651E">
            <w:pPr>
              <w:pStyle w:val="a3"/>
              <w:spacing w:before="0" w:beforeAutospacing="0" w:after="0" w:afterAutospacing="0"/>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a joint venture recognized an impairment charge related to the pending foreclosure of a property, of which the Company’s share was $5.2 million.</w:t>
            </w:r>
          </w:p>
        </w:tc>
      </w:tr>
    </w:tbl>
    <w:p w14:paraId="7831631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62103B6" w14:textId="77777777">
        <w:trPr>
          <w:tblCellSpacing w:w="0" w:type="dxa"/>
        </w:trPr>
        <w:tc>
          <w:tcPr>
            <w:tcW w:w="360" w:type="dxa"/>
            <w:hideMark/>
          </w:tcPr>
          <w:p w14:paraId="19B3AC3F"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4</w:t>
            </w:r>
            <w:r>
              <w:rPr>
                <w:sz w:val="20"/>
                <w:szCs w:val="20"/>
              </w:rPr>
              <w:t>)</w:t>
            </w:r>
          </w:p>
        </w:tc>
        <w:tc>
          <w:tcPr>
            <w:tcW w:w="0" w:type="auto"/>
            <w:hideMark/>
          </w:tcPr>
          <w:p w14:paraId="1CE3B199" w14:textId="77777777" w:rsidR="00000000" w:rsidRDefault="0053651E">
            <w:pPr>
              <w:pStyle w:val="a3"/>
              <w:spacing w:before="0" w:beforeAutospacing="0" w:after="0" w:afterAutospacing="0"/>
              <w:rPr>
                <w:sz w:val="20"/>
                <w:szCs w:val="20"/>
              </w:rPr>
            </w:pPr>
            <w:r>
              <w:rPr>
                <w:sz w:val="20"/>
                <w:szCs w:val="20"/>
              </w:rPr>
              <w:t>During the year ended</w:t>
            </w:r>
            <w:r>
              <w:rPr>
                <w:sz w:val="20"/>
                <w:szCs w:val="20"/>
              </w:rPr>
              <w:t xml:space="preserve"> </w:t>
            </w:r>
            <w:r>
              <w:rPr>
                <w:rStyle w:val="a6"/>
                <w:i w:val="0"/>
                <w:iCs w:val="0"/>
                <w:sz w:val="20"/>
                <w:szCs w:val="20"/>
              </w:rPr>
              <w:t xml:space="preserve">December 31, 2017, </w:t>
            </w:r>
            <w:r>
              <w:rPr>
                <w:sz w:val="20"/>
                <w:szCs w:val="20"/>
              </w:rPr>
              <w:t xml:space="preserve">the Company recognized </w:t>
            </w:r>
            <w:r>
              <w:rPr>
                <w:sz w:val="20"/>
                <w:szCs w:val="20"/>
              </w:rPr>
              <w:t>a cumulative foreign currency translation loss of $4.8 million due to the substantial liquidation of the Company’s investments in Canada during</w:t>
            </w:r>
            <w:r>
              <w:rPr>
                <w:sz w:val="20"/>
                <w:szCs w:val="20"/>
              </w:rPr>
              <w:t xml:space="preserve"> </w:t>
            </w:r>
            <w:r>
              <w:rPr>
                <w:rStyle w:val="a6"/>
                <w:i w:val="0"/>
                <w:iCs w:val="0"/>
                <w:sz w:val="20"/>
                <w:szCs w:val="20"/>
              </w:rPr>
              <w:t>2017.</w:t>
            </w:r>
          </w:p>
        </w:tc>
      </w:tr>
    </w:tbl>
    <w:p w14:paraId="1B9841C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DF1D395" w14:textId="77777777">
        <w:trPr>
          <w:tblCellSpacing w:w="0" w:type="dxa"/>
        </w:trPr>
        <w:tc>
          <w:tcPr>
            <w:tcW w:w="360" w:type="dxa"/>
            <w:hideMark/>
          </w:tcPr>
          <w:p w14:paraId="3B1F140E"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5</w:t>
            </w:r>
            <w:r>
              <w:rPr>
                <w:sz w:val="20"/>
                <w:szCs w:val="20"/>
              </w:rPr>
              <w:t>)</w:t>
            </w:r>
          </w:p>
        </w:tc>
        <w:tc>
          <w:tcPr>
            <w:tcW w:w="0" w:type="auto"/>
            <w:hideMark/>
          </w:tcPr>
          <w:p w14:paraId="3251247E" w14:textId="77777777" w:rsidR="00000000" w:rsidRDefault="0053651E">
            <w:pPr>
              <w:pStyle w:val="a3"/>
              <w:spacing w:before="0" w:beforeAutospacing="0" w:after="0" w:afterAutospacing="0"/>
              <w:rPr>
                <w:sz w:val="20"/>
                <w:szCs w:val="20"/>
              </w:rPr>
            </w:pPr>
            <w:r>
              <w:rPr>
                <w:sz w:val="20"/>
                <w:szCs w:val="20"/>
              </w:rPr>
              <w:t>During the year ended</w:t>
            </w:r>
            <w:r>
              <w:rPr>
                <w:sz w:val="20"/>
                <w:szCs w:val="20"/>
              </w:rPr>
              <w:t xml:space="preserve"> </w:t>
            </w:r>
            <w:r>
              <w:rPr>
                <w:rStyle w:val="a6"/>
                <w:i w:val="0"/>
                <w:iCs w:val="0"/>
                <w:sz w:val="20"/>
                <w:szCs w:val="20"/>
              </w:rPr>
              <w:t xml:space="preserve">December 31, 2017, </w:t>
            </w:r>
            <w:r>
              <w:rPr>
                <w:sz w:val="20"/>
                <w:szCs w:val="20"/>
              </w:rPr>
              <w:t xml:space="preserve">a joint venture recognized an impairment charge related to </w:t>
            </w:r>
            <w:r>
              <w:rPr>
                <w:sz w:val="20"/>
                <w:szCs w:val="20"/>
              </w:rPr>
              <w:t>the pending sale of a property, of which the Company’s share was $3.4 million.</w:t>
            </w:r>
          </w:p>
        </w:tc>
      </w:tr>
    </w:tbl>
    <w:p w14:paraId="714EE4DA" w14:textId="77777777" w:rsidR="00000000" w:rsidRDefault="0053651E">
      <w:pPr>
        <w:pStyle w:val="a3"/>
        <w:spacing w:before="0" w:beforeAutospacing="0" w:after="0" w:afterAutospacing="0"/>
        <w:rPr>
          <w:sz w:val="20"/>
          <w:szCs w:val="20"/>
        </w:rPr>
      </w:pPr>
      <w:r>
        <w:rPr>
          <w:sz w:val="20"/>
          <w:szCs w:val="20"/>
        </w:rPr>
        <w:t> </w:t>
      </w:r>
    </w:p>
    <w:p w14:paraId="7AAE646C"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2019,</w:t>
      </w:r>
      <w:r>
        <w:rPr>
          <w:sz w:val="20"/>
          <w:szCs w:val="20"/>
        </w:rPr>
        <w:t xml:space="preserve"> certain of the Company’s real estate joint ventures disposed of nine operating properties, in separate transactions, for an aggregate sales price of $247.4 milli</w:t>
      </w:r>
      <w:r>
        <w:rPr>
          <w:sz w:val="20"/>
          <w:szCs w:val="20"/>
        </w:rPr>
        <w:t>on. These transactions resulted in an aggregate net gain to the Company of $14.4 million, for the year ended</w:t>
      </w:r>
      <w:r>
        <w:rPr>
          <w:sz w:val="20"/>
          <w:szCs w:val="20"/>
        </w:rPr>
        <w:t xml:space="preserve"> </w:t>
      </w:r>
      <w:r>
        <w:rPr>
          <w:rStyle w:val="a6"/>
          <w:i w:val="0"/>
          <w:iCs w:val="0"/>
          <w:sz w:val="20"/>
          <w:szCs w:val="20"/>
        </w:rPr>
        <w:t>December 31, 2019.</w:t>
      </w:r>
    </w:p>
    <w:p w14:paraId="0F4F6C5D" w14:textId="77777777" w:rsidR="00000000" w:rsidRDefault="0053651E">
      <w:pPr>
        <w:pStyle w:val="a3"/>
        <w:spacing w:before="0" w:beforeAutospacing="0" w:after="0" w:afterAutospacing="0"/>
        <w:ind w:left="360"/>
        <w:jc w:val="both"/>
        <w:rPr>
          <w:sz w:val="20"/>
          <w:szCs w:val="20"/>
        </w:rPr>
      </w:pPr>
      <w:r>
        <w:rPr>
          <w:sz w:val="20"/>
          <w:szCs w:val="20"/>
        </w:rPr>
        <w:t> </w:t>
      </w:r>
    </w:p>
    <w:p w14:paraId="74FCD944"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2018,</w:t>
      </w:r>
      <w:r>
        <w:rPr>
          <w:sz w:val="20"/>
          <w:szCs w:val="20"/>
        </w:rPr>
        <w:t xml:space="preserve"> certain of the Company’s real estate joint ventures disposed of 11 operating properties, in separate transactions</w:t>
      </w:r>
      <w:r>
        <w:rPr>
          <w:sz w:val="20"/>
          <w:szCs w:val="20"/>
        </w:rPr>
        <w:t>, for an aggregate sales price of $213.5 million. These transactions resulted in an aggregate net gain to the Company of $18.5 million, for the year ended</w:t>
      </w:r>
      <w:r>
        <w:rPr>
          <w:sz w:val="20"/>
          <w:szCs w:val="20"/>
        </w:rPr>
        <w:t xml:space="preserve"> </w:t>
      </w:r>
      <w:r>
        <w:rPr>
          <w:rStyle w:val="a6"/>
          <w:i w:val="0"/>
          <w:iCs w:val="0"/>
          <w:sz w:val="20"/>
          <w:szCs w:val="20"/>
        </w:rPr>
        <w:t>December 31, 2018.</w:t>
      </w:r>
    </w:p>
    <w:p w14:paraId="2327E95C" w14:textId="77777777" w:rsidR="00000000" w:rsidRDefault="0053651E">
      <w:pPr>
        <w:pStyle w:val="a3"/>
        <w:spacing w:before="0" w:beforeAutospacing="0" w:after="0" w:afterAutospacing="0"/>
        <w:ind w:left="360"/>
        <w:jc w:val="both"/>
        <w:rPr>
          <w:sz w:val="20"/>
          <w:szCs w:val="20"/>
        </w:rPr>
      </w:pPr>
      <w:r>
        <w:rPr>
          <w:sz w:val="20"/>
          <w:szCs w:val="20"/>
        </w:rPr>
        <w:t> </w:t>
      </w:r>
    </w:p>
    <w:p w14:paraId="4D303860"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2017,</w:t>
      </w:r>
      <w:r>
        <w:rPr>
          <w:sz w:val="20"/>
          <w:szCs w:val="20"/>
        </w:rPr>
        <w:t xml:space="preserve"> certain of the Company’s real estate joint ventures disposed of or </w:t>
      </w:r>
      <w:r>
        <w:rPr>
          <w:sz w:val="20"/>
          <w:szCs w:val="20"/>
        </w:rPr>
        <w:t>transferred interest to joint venture partners in 13 operating properties and a portion of</w:t>
      </w:r>
      <w:r>
        <w:rPr>
          <w:sz w:val="20"/>
          <w:szCs w:val="20"/>
        </w:rPr>
        <w:t xml:space="preserve"> </w:t>
      </w:r>
      <w:r>
        <w:rPr>
          <w:rStyle w:val="a6"/>
          <w:i w:val="0"/>
          <w:iCs w:val="0"/>
          <w:sz w:val="20"/>
          <w:szCs w:val="20"/>
        </w:rPr>
        <w:t>one</w:t>
      </w:r>
      <w:r>
        <w:rPr>
          <w:sz w:val="20"/>
          <w:szCs w:val="20"/>
        </w:rPr>
        <w:t xml:space="preserve"> property, in separate transactions, for an aggregate sales price of $180.8 million. These transactions resulted in an aggregate net gain to the Company of $7.5 m</w:t>
      </w:r>
      <w:r>
        <w:rPr>
          <w:sz w:val="20"/>
          <w:szCs w:val="20"/>
        </w:rPr>
        <w:t>illion, for the year ended</w:t>
      </w:r>
      <w:r>
        <w:rPr>
          <w:sz w:val="20"/>
          <w:szCs w:val="20"/>
        </w:rPr>
        <w:t xml:space="preserve"> </w:t>
      </w:r>
      <w:r>
        <w:rPr>
          <w:rStyle w:val="a6"/>
          <w:i w:val="0"/>
          <w:iCs w:val="0"/>
          <w:sz w:val="20"/>
          <w:szCs w:val="20"/>
        </w:rPr>
        <w:t xml:space="preserve">December 31, 2017. </w:t>
      </w:r>
      <w:r>
        <w:rPr>
          <w:sz w:val="20"/>
          <w:szCs w:val="20"/>
        </w:rPr>
        <w:t>In addition, during</w:t>
      </w:r>
      <w:r>
        <w:rPr>
          <w:sz w:val="20"/>
          <w:szCs w:val="20"/>
        </w:rPr>
        <w:t xml:space="preserve"> </w:t>
      </w:r>
      <w:r>
        <w:rPr>
          <w:rStyle w:val="a6"/>
          <w:i w:val="0"/>
          <w:iCs w:val="0"/>
          <w:sz w:val="20"/>
          <w:szCs w:val="20"/>
        </w:rPr>
        <w:t>2017,</w:t>
      </w:r>
      <w:r>
        <w:rPr>
          <w:sz w:val="20"/>
          <w:szCs w:val="20"/>
        </w:rPr>
        <w:t xml:space="preserve"> the Company acquired a controlling interest in</w:t>
      </w:r>
      <w:r>
        <w:rPr>
          <w:sz w:val="20"/>
          <w:szCs w:val="20"/>
        </w:rPr>
        <w:t xml:space="preserve"> </w:t>
      </w:r>
      <w:r>
        <w:rPr>
          <w:sz w:val="20"/>
          <w:szCs w:val="20"/>
        </w:rPr>
        <w:t>thre</w:t>
      </w:r>
      <w:r>
        <w:rPr>
          <w:sz w:val="20"/>
          <w:szCs w:val="20"/>
        </w:rPr>
        <w:t>e</w:t>
      </w:r>
      <w:r>
        <w:rPr>
          <w:sz w:val="20"/>
          <w:szCs w:val="20"/>
        </w:rPr>
        <w:t xml:space="preserve"> operating properties from certain joint ventures, in separate transactions, with an aggregate gross fair value of $320.1 million. </w:t>
      </w:r>
    </w:p>
    <w:p w14:paraId="4DEF9F6E" w14:textId="77777777" w:rsidR="00000000" w:rsidRDefault="0053651E">
      <w:pPr>
        <w:pStyle w:val="a3"/>
        <w:spacing w:before="0" w:beforeAutospacing="0" w:after="0" w:afterAutospacing="0"/>
        <w:ind w:left="360"/>
        <w:jc w:val="both"/>
        <w:rPr>
          <w:sz w:val="20"/>
          <w:szCs w:val="20"/>
        </w:rPr>
      </w:pPr>
      <w:r>
        <w:rPr>
          <w:sz w:val="20"/>
          <w:szCs w:val="20"/>
        </w:rPr>
        <w:t> </w:t>
      </w:r>
    </w:p>
    <w:p w14:paraId="7CC40FA8" w14:textId="77777777" w:rsidR="00000000" w:rsidRDefault="0053651E">
      <w:pPr>
        <w:pStyle w:val="a3"/>
        <w:spacing w:before="0" w:beforeAutospacing="0" w:after="0" w:afterAutospacing="0"/>
        <w:ind w:left="360"/>
        <w:jc w:val="both"/>
        <w:rPr>
          <w:sz w:val="20"/>
          <w:szCs w:val="20"/>
        </w:rPr>
      </w:pPr>
      <w:r>
        <w:rPr>
          <w:sz w:val="20"/>
          <w:szCs w:val="20"/>
        </w:rPr>
        <w:t>The table below presents debt balances within the Company’s unconsolidated joint venture investments for which the Company held noncontrolling ownership interests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(dollars in millions):</w:t>
      </w:r>
    </w:p>
    <w:p w14:paraId="089991ED"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14:paraId="4B54DE6B" w14:textId="77777777">
        <w:trPr>
          <w:tblCellSpacing w:w="0" w:type="dxa"/>
        </w:trPr>
        <w:tc>
          <w:tcPr>
            <w:tcW w:w="0" w:type="auto"/>
            <w:vAlign w:val="bottom"/>
            <w:hideMark/>
          </w:tcPr>
          <w:p w14:paraId="067FE82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3FAA6DD"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71E0660A"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48B7944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5C0515E"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7DFE5A5D" w14:textId="77777777" w:rsidR="00000000" w:rsidRDefault="0053651E">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21DD8C1C" w14:textId="77777777" w:rsidR="00000000" w:rsidRDefault="0053651E">
            <w:pPr>
              <w:rPr>
                <w:rFonts w:eastAsia="Times New Roman"/>
                <w:sz w:val="20"/>
                <w:szCs w:val="20"/>
              </w:rPr>
            </w:pPr>
            <w:r>
              <w:rPr>
                <w:rFonts w:eastAsia="Times New Roman"/>
                <w:sz w:val="20"/>
                <w:szCs w:val="20"/>
              </w:rPr>
              <w:t> </w:t>
            </w:r>
          </w:p>
        </w:tc>
      </w:tr>
      <w:tr w:rsidR="00000000" w14:paraId="10F4C09C" w14:textId="77777777">
        <w:trPr>
          <w:tblCellSpacing w:w="0" w:type="dxa"/>
        </w:trPr>
        <w:tc>
          <w:tcPr>
            <w:tcW w:w="1400" w:type="pct"/>
            <w:tcBorders>
              <w:bottom w:val="single" w:sz="6" w:space="0" w:color="000000"/>
            </w:tcBorders>
            <w:vAlign w:val="bottom"/>
            <w:hideMark/>
          </w:tcPr>
          <w:p w14:paraId="11E59D52" w14:textId="77777777" w:rsidR="00000000" w:rsidRDefault="0053651E">
            <w:pPr>
              <w:pStyle w:val="a3"/>
              <w:spacing w:before="0" w:beforeAutospacing="0" w:after="0" w:afterAutospacing="0"/>
              <w:jc w:val="center"/>
              <w:rPr>
                <w:sz w:val="20"/>
                <w:szCs w:val="20"/>
              </w:rPr>
            </w:pPr>
            <w:r>
              <w:rPr>
                <w:b/>
                <w:bCs/>
                <w:sz w:val="20"/>
                <w:szCs w:val="20"/>
              </w:rPr>
              <w:t>Joint Venture</w:t>
            </w:r>
          </w:p>
        </w:tc>
        <w:tc>
          <w:tcPr>
            <w:tcW w:w="0" w:type="auto"/>
            <w:vAlign w:val="bottom"/>
            <w:hideMark/>
          </w:tcPr>
          <w:p w14:paraId="30D0FC3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6901B4" w14:textId="77777777" w:rsidR="00000000" w:rsidRDefault="0053651E">
            <w:pPr>
              <w:pStyle w:val="a3"/>
              <w:spacing w:before="0" w:beforeAutospacing="0" w:after="0" w:afterAutospacing="0"/>
              <w:jc w:val="center"/>
              <w:rPr>
                <w:sz w:val="20"/>
                <w:szCs w:val="20"/>
              </w:rPr>
            </w:pPr>
            <w:r>
              <w:rPr>
                <w:b/>
                <w:bCs/>
                <w:sz w:val="20"/>
                <w:szCs w:val="20"/>
              </w:rPr>
              <w:t>Mortgages and</w:t>
            </w:r>
          </w:p>
          <w:p w14:paraId="43733EEA" w14:textId="77777777" w:rsidR="00000000" w:rsidRDefault="0053651E">
            <w:pPr>
              <w:pStyle w:val="a3"/>
              <w:spacing w:before="0" w:beforeAutospacing="0" w:after="0" w:afterAutospacing="0"/>
              <w:jc w:val="center"/>
              <w:rPr>
                <w:sz w:val="20"/>
                <w:szCs w:val="20"/>
              </w:rPr>
            </w:pPr>
            <w:r>
              <w:rPr>
                <w:b/>
                <w:bCs/>
                <w:sz w:val="20"/>
                <w:szCs w:val="20"/>
              </w:rPr>
              <w:t>Notes Payable,</w:t>
            </w:r>
          </w:p>
          <w:p w14:paraId="37417FC2" w14:textId="77777777" w:rsidR="00000000" w:rsidRDefault="0053651E">
            <w:pPr>
              <w:pStyle w:val="a3"/>
              <w:spacing w:before="0" w:beforeAutospacing="0" w:after="0" w:afterAutospacing="0"/>
              <w:jc w:val="center"/>
              <w:rPr>
                <w:sz w:val="20"/>
                <w:szCs w:val="20"/>
              </w:rPr>
            </w:pPr>
            <w:r>
              <w:rPr>
                <w:b/>
                <w:bCs/>
                <w:sz w:val="20"/>
                <w:szCs w:val="20"/>
              </w:rPr>
              <w:t>Net</w:t>
            </w:r>
          </w:p>
        </w:tc>
        <w:tc>
          <w:tcPr>
            <w:tcW w:w="0" w:type="auto"/>
            <w:tcMar>
              <w:top w:w="0" w:type="dxa"/>
              <w:left w:w="0" w:type="dxa"/>
              <w:bottom w:w="15" w:type="dxa"/>
              <w:right w:w="0" w:type="dxa"/>
            </w:tcMar>
            <w:vAlign w:val="bottom"/>
            <w:hideMark/>
          </w:tcPr>
          <w:p w14:paraId="66CF0CC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029AC7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CB5030" w14:textId="77777777" w:rsidR="00000000" w:rsidRDefault="0053651E">
            <w:pPr>
              <w:pStyle w:val="a3"/>
              <w:spacing w:before="0" w:beforeAutospacing="0" w:after="0" w:afterAutospacing="0"/>
              <w:jc w:val="center"/>
              <w:rPr>
                <w:sz w:val="20"/>
                <w:szCs w:val="20"/>
              </w:rPr>
            </w:pPr>
            <w:r>
              <w:rPr>
                <w:b/>
                <w:bCs/>
                <w:sz w:val="20"/>
                <w:szCs w:val="20"/>
              </w:rPr>
              <w:t>Weighted</w:t>
            </w:r>
          </w:p>
          <w:p w14:paraId="17D0294A" w14:textId="77777777" w:rsidR="00000000" w:rsidRDefault="0053651E">
            <w:pPr>
              <w:pStyle w:val="a3"/>
              <w:spacing w:before="0" w:beforeAutospacing="0" w:after="0" w:afterAutospacing="0"/>
              <w:jc w:val="center"/>
              <w:rPr>
                <w:sz w:val="20"/>
                <w:szCs w:val="20"/>
              </w:rPr>
            </w:pPr>
            <w:r>
              <w:rPr>
                <w:b/>
                <w:bCs/>
                <w:sz w:val="20"/>
                <w:szCs w:val="20"/>
              </w:rPr>
              <w:t>Average</w:t>
            </w:r>
          </w:p>
          <w:p w14:paraId="27CCCC48" w14:textId="77777777" w:rsidR="00000000" w:rsidRDefault="0053651E">
            <w:pPr>
              <w:pStyle w:val="a3"/>
              <w:spacing w:before="0" w:beforeAutospacing="0" w:after="0" w:afterAutospacing="0"/>
              <w:jc w:val="center"/>
              <w:rPr>
                <w:sz w:val="20"/>
                <w:szCs w:val="20"/>
              </w:rPr>
            </w:pPr>
            <w:r>
              <w:rPr>
                <w:b/>
                <w:bCs/>
                <w:sz w:val="20"/>
                <w:szCs w:val="20"/>
              </w:rPr>
              <w:t>Interest</w:t>
            </w:r>
          </w:p>
          <w:p w14:paraId="76C5BC2C" w14:textId="77777777" w:rsidR="00000000" w:rsidRDefault="0053651E">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1AD0D1E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81176B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105191D" w14:textId="77777777" w:rsidR="00000000" w:rsidRDefault="0053651E">
            <w:pPr>
              <w:pStyle w:val="a3"/>
              <w:spacing w:before="0" w:beforeAutospacing="0" w:after="0" w:afterAutospacing="0"/>
              <w:jc w:val="center"/>
              <w:rPr>
                <w:sz w:val="20"/>
                <w:szCs w:val="20"/>
              </w:rPr>
            </w:pPr>
            <w:r>
              <w:rPr>
                <w:b/>
                <w:bCs/>
                <w:sz w:val="20"/>
                <w:szCs w:val="20"/>
              </w:rPr>
              <w:t>Weighted</w:t>
            </w:r>
          </w:p>
          <w:p w14:paraId="2BA128F4" w14:textId="77777777" w:rsidR="00000000" w:rsidRDefault="0053651E">
            <w:pPr>
              <w:pStyle w:val="a3"/>
              <w:spacing w:before="0" w:beforeAutospacing="0" w:after="0" w:afterAutospacing="0"/>
              <w:jc w:val="center"/>
              <w:rPr>
                <w:sz w:val="20"/>
                <w:szCs w:val="20"/>
              </w:rPr>
            </w:pPr>
            <w:r>
              <w:rPr>
                <w:b/>
                <w:bCs/>
                <w:sz w:val="20"/>
                <w:szCs w:val="20"/>
              </w:rPr>
              <w:t>Average</w:t>
            </w:r>
          </w:p>
          <w:p w14:paraId="60ACF40D" w14:textId="77777777" w:rsidR="00000000" w:rsidRDefault="0053651E">
            <w:pPr>
              <w:pStyle w:val="a3"/>
              <w:spacing w:before="0" w:beforeAutospacing="0" w:after="0" w:afterAutospacing="0"/>
              <w:jc w:val="center"/>
              <w:rPr>
                <w:sz w:val="20"/>
                <w:szCs w:val="20"/>
              </w:rPr>
            </w:pPr>
            <w:r>
              <w:rPr>
                <w:b/>
                <w:bCs/>
                <w:sz w:val="20"/>
                <w:szCs w:val="20"/>
              </w:rPr>
              <w:t>Remaining</w:t>
            </w:r>
          </w:p>
          <w:p w14:paraId="661B87A3" w14:textId="77777777" w:rsidR="00000000" w:rsidRDefault="0053651E">
            <w:pPr>
              <w:pStyle w:val="a3"/>
              <w:spacing w:before="0" w:beforeAutospacing="0" w:after="0" w:afterAutospacing="0"/>
              <w:jc w:val="center"/>
              <w:rPr>
                <w:sz w:val="20"/>
                <w:szCs w:val="20"/>
              </w:rPr>
            </w:pPr>
            <w:r>
              <w:rPr>
                <w:b/>
                <w:bCs/>
                <w:sz w:val="20"/>
                <w:szCs w:val="20"/>
              </w:rPr>
              <w:t>Term</w:t>
            </w:r>
          </w:p>
          <w:p w14:paraId="492F6E27" w14:textId="77777777" w:rsidR="00000000" w:rsidRDefault="0053651E">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14:paraId="3BA1A44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3276CD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8841E9" w14:textId="77777777" w:rsidR="00000000" w:rsidRDefault="0053651E">
            <w:pPr>
              <w:pStyle w:val="a3"/>
              <w:spacing w:before="0" w:beforeAutospacing="0" w:after="0" w:afterAutospacing="0"/>
              <w:jc w:val="center"/>
              <w:rPr>
                <w:sz w:val="20"/>
                <w:szCs w:val="20"/>
              </w:rPr>
            </w:pPr>
            <w:r>
              <w:rPr>
                <w:b/>
                <w:bCs/>
                <w:sz w:val="20"/>
                <w:szCs w:val="20"/>
              </w:rPr>
              <w:t>Mortgages and</w:t>
            </w:r>
          </w:p>
          <w:p w14:paraId="38556980" w14:textId="77777777" w:rsidR="00000000" w:rsidRDefault="0053651E">
            <w:pPr>
              <w:pStyle w:val="a3"/>
              <w:spacing w:before="0" w:beforeAutospacing="0" w:after="0" w:afterAutospacing="0"/>
              <w:jc w:val="center"/>
              <w:rPr>
                <w:sz w:val="20"/>
                <w:szCs w:val="20"/>
              </w:rPr>
            </w:pPr>
            <w:r>
              <w:rPr>
                <w:b/>
                <w:bCs/>
                <w:sz w:val="20"/>
                <w:szCs w:val="20"/>
              </w:rPr>
              <w:t>Notes Payable, Net</w:t>
            </w:r>
          </w:p>
        </w:tc>
        <w:tc>
          <w:tcPr>
            <w:tcW w:w="0" w:type="auto"/>
            <w:tcMar>
              <w:top w:w="0" w:type="dxa"/>
              <w:left w:w="0" w:type="dxa"/>
              <w:bottom w:w="15" w:type="dxa"/>
              <w:right w:w="0" w:type="dxa"/>
            </w:tcMar>
            <w:vAlign w:val="bottom"/>
            <w:hideMark/>
          </w:tcPr>
          <w:p w14:paraId="3FBD35E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8C8E58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E1A88B8" w14:textId="77777777" w:rsidR="00000000" w:rsidRDefault="0053651E">
            <w:pPr>
              <w:pStyle w:val="a3"/>
              <w:spacing w:before="0" w:beforeAutospacing="0" w:after="0" w:afterAutospacing="0"/>
              <w:jc w:val="center"/>
              <w:rPr>
                <w:sz w:val="20"/>
                <w:szCs w:val="20"/>
              </w:rPr>
            </w:pPr>
            <w:r>
              <w:rPr>
                <w:b/>
                <w:bCs/>
                <w:sz w:val="20"/>
                <w:szCs w:val="20"/>
              </w:rPr>
              <w:t>Weighted</w:t>
            </w:r>
          </w:p>
          <w:p w14:paraId="4AFBCD6A" w14:textId="77777777" w:rsidR="00000000" w:rsidRDefault="0053651E">
            <w:pPr>
              <w:pStyle w:val="a3"/>
              <w:spacing w:before="0" w:beforeAutospacing="0" w:after="0" w:afterAutospacing="0"/>
              <w:jc w:val="center"/>
              <w:rPr>
                <w:sz w:val="20"/>
                <w:szCs w:val="20"/>
              </w:rPr>
            </w:pPr>
            <w:r>
              <w:rPr>
                <w:b/>
                <w:bCs/>
                <w:sz w:val="20"/>
                <w:szCs w:val="20"/>
              </w:rPr>
              <w:t xml:space="preserve">Average </w:t>
            </w:r>
          </w:p>
          <w:p w14:paraId="39043BCB" w14:textId="77777777" w:rsidR="00000000" w:rsidRDefault="0053651E">
            <w:pPr>
              <w:pStyle w:val="a3"/>
              <w:spacing w:before="0" w:beforeAutospacing="0" w:after="0" w:afterAutospacing="0"/>
              <w:jc w:val="center"/>
              <w:rPr>
                <w:sz w:val="20"/>
                <w:szCs w:val="20"/>
              </w:rPr>
            </w:pPr>
            <w:r>
              <w:rPr>
                <w:b/>
                <w:bCs/>
                <w:sz w:val="20"/>
                <w:szCs w:val="20"/>
              </w:rPr>
              <w:t>Interest</w:t>
            </w:r>
          </w:p>
          <w:p w14:paraId="72769DE1" w14:textId="77777777" w:rsidR="00000000" w:rsidRDefault="0053651E">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4B93B75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CEDBFD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7E5E4F6" w14:textId="77777777" w:rsidR="00000000" w:rsidRDefault="0053651E">
            <w:pPr>
              <w:pStyle w:val="a3"/>
              <w:spacing w:before="0" w:beforeAutospacing="0" w:after="0" w:afterAutospacing="0"/>
              <w:jc w:val="center"/>
              <w:rPr>
                <w:sz w:val="20"/>
                <w:szCs w:val="20"/>
              </w:rPr>
            </w:pPr>
            <w:r>
              <w:rPr>
                <w:b/>
                <w:bCs/>
                <w:sz w:val="20"/>
                <w:szCs w:val="20"/>
              </w:rPr>
              <w:t xml:space="preserve">Weighted </w:t>
            </w:r>
          </w:p>
          <w:p w14:paraId="598D9864" w14:textId="77777777" w:rsidR="00000000" w:rsidRDefault="0053651E">
            <w:pPr>
              <w:pStyle w:val="a3"/>
              <w:spacing w:before="0" w:beforeAutospacing="0" w:after="0" w:afterAutospacing="0"/>
              <w:jc w:val="center"/>
              <w:rPr>
                <w:sz w:val="20"/>
                <w:szCs w:val="20"/>
              </w:rPr>
            </w:pPr>
            <w:r>
              <w:rPr>
                <w:b/>
                <w:bCs/>
                <w:sz w:val="20"/>
                <w:szCs w:val="20"/>
              </w:rPr>
              <w:t>Average</w:t>
            </w:r>
          </w:p>
          <w:p w14:paraId="281C2B2B" w14:textId="77777777" w:rsidR="00000000" w:rsidRDefault="0053651E">
            <w:pPr>
              <w:pStyle w:val="a3"/>
              <w:spacing w:before="0" w:beforeAutospacing="0" w:after="0" w:afterAutospacing="0"/>
              <w:jc w:val="center"/>
              <w:rPr>
                <w:sz w:val="20"/>
                <w:szCs w:val="20"/>
              </w:rPr>
            </w:pPr>
            <w:r>
              <w:rPr>
                <w:b/>
                <w:bCs/>
                <w:sz w:val="20"/>
                <w:szCs w:val="20"/>
              </w:rPr>
              <w:t xml:space="preserve">Remaining </w:t>
            </w:r>
          </w:p>
          <w:p w14:paraId="5BB0C73E" w14:textId="77777777" w:rsidR="00000000" w:rsidRDefault="0053651E">
            <w:pPr>
              <w:pStyle w:val="a3"/>
              <w:spacing w:before="0" w:beforeAutospacing="0" w:after="0" w:afterAutospacing="0"/>
              <w:jc w:val="center"/>
              <w:rPr>
                <w:sz w:val="20"/>
                <w:szCs w:val="20"/>
              </w:rPr>
            </w:pPr>
            <w:r>
              <w:rPr>
                <w:b/>
                <w:bCs/>
                <w:sz w:val="20"/>
                <w:szCs w:val="20"/>
              </w:rPr>
              <w:t>Term</w:t>
            </w:r>
          </w:p>
          <w:p w14:paraId="27D87F53" w14:textId="77777777" w:rsidR="00000000" w:rsidRDefault="0053651E">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14:paraId="379958E9" w14:textId="77777777" w:rsidR="00000000" w:rsidRDefault="0053651E">
            <w:pPr>
              <w:rPr>
                <w:rFonts w:eastAsia="Times New Roman"/>
                <w:sz w:val="20"/>
                <w:szCs w:val="20"/>
              </w:rPr>
            </w:pPr>
            <w:r>
              <w:rPr>
                <w:rFonts w:eastAsia="Times New Roman"/>
                <w:sz w:val="20"/>
                <w:szCs w:val="20"/>
              </w:rPr>
              <w:t> </w:t>
            </w:r>
          </w:p>
        </w:tc>
      </w:tr>
      <w:tr w:rsidR="00000000" w14:paraId="01681644" w14:textId="77777777">
        <w:trPr>
          <w:tblCellSpacing w:w="0" w:type="dxa"/>
        </w:trPr>
        <w:tc>
          <w:tcPr>
            <w:tcW w:w="0" w:type="auto"/>
            <w:shd w:val="clear" w:color="auto" w:fill="CCEEFF"/>
            <w:vAlign w:val="bottom"/>
            <w:hideMark/>
          </w:tcPr>
          <w:p w14:paraId="188DCB9C" w14:textId="77777777" w:rsidR="00000000" w:rsidRDefault="0053651E">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12C8D6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CF052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A06593A" w14:textId="77777777" w:rsidR="00000000" w:rsidRDefault="0053651E">
            <w:pPr>
              <w:jc w:val="right"/>
              <w:rPr>
                <w:rFonts w:eastAsia="Times New Roman"/>
                <w:sz w:val="20"/>
                <w:szCs w:val="20"/>
              </w:rPr>
            </w:pPr>
            <w:r>
              <w:rPr>
                <w:rFonts w:eastAsia="Times New Roman"/>
                <w:sz w:val="20"/>
                <w:szCs w:val="20"/>
              </w:rPr>
              <w:t>538.1</w:t>
            </w:r>
          </w:p>
        </w:tc>
        <w:tc>
          <w:tcPr>
            <w:tcW w:w="50" w:type="pct"/>
            <w:shd w:val="clear" w:color="auto" w:fill="CCEEFF"/>
            <w:vAlign w:val="bottom"/>
            <w:hideMark/>
          </w:tcPr>
          <w:p w14:paraId="7099E3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BF78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8C0E5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E0F4D4A" w14:textId="77777777" w:rsidR="00000000" w:rsidRDefault="0053651E">
            <w:pPr>
              <w:jc w:val="right"/>
              <w:rPr>
                <w:rFonts w:eastAsia="Times New Roman"/>
                <w:sz w:val="20"/>
                <w:szCs w:val="20"/>
              </w:rPr>
            </w:pPr>
            <w:r>
              <w:rPr>
                <w:rFonts w:eastAsia="Times New Roman"/>
                <w:sz w:val="20"/>
                <w:szCs w:val="20"/>
              </w:rPr>
              <w:t>3.46</w:t>
            </w:r>
          </w:p>
        </w:tc>
        <w:tc>
          <w:tcPr>
            <w:tcW w:w="50" w:type="pct"/>
            <w:shd w:val="clear" w:color="auto" w:fill="CCEEFF"/>
            <w:vAlign w:val="bottom"/>
            <w:hideMark/>
          </w:tcPr>
          <w:p w14:paraId="0C14EB86"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99C2C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6E918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D0D915" w14:textId="77777777" w:rsidR="00000000" w:rsidRDefault="0053651E">
            <w:pPr>
              <w:jc w:val="right"/>
              <w:rPr>
                <w:rFonts w:eastAsia="Times New Roman"/>
                <w:sz w:val="20"/>
                <w:szCs w:val="20"/>
              </w:rPr>
            </w:pPr>
            <w:r>
              <w:rPr>
                <w:rFonts w:eastAsia="Times New Roman"/>
                <w:sz w:val="20"/>
                <w:szCs w:val="20"/>
              </w:rPr>
              <w:t>46.8</w:t>
            </w:r>
          </w:p>
        </w:tc>
        <w:tc>
          <w:tcPr>
            <w:tcW w:w="50" w:type="pct"/>
            <w:shd w:val="clear" w:color="auto" w:fill="CCEEFF"/>
            <w:vAlign w:val="bottom"/>
            <w:hideMark/>
          </w:tcPr>
          <w:p w14:paraId="7224BE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B077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D32F2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2C5667A" w14:textId="77777777" w:rsidR="00000000" w:rsidRDefault="0053651E">
            <w:pPr>
              <w:jc w:val="right"/>
              <w:rPr>
                <w:rFonts w:eastAsia="Times New Roman"/>
                <w:sz w:val="20"/>
                <w:szCs w:val="20"/>
              </w:rPr>
            </w:pPr>
            <w:r>
              <w:rPr>
                <w:rFonts w:eastAsia="Times New Roman"/>
                <w:sz w:val="20"/>
                <w:szCs w:val="20"/>
              </w:rPr>
              <w:t>572.6</w:t>
            </w:r>
          </w:p>
        </w:tc>
        <w:tc>
          <w:tcPr>
            <w:tcW w:w="50" w:type="pct"/>
            <w:shd w:val="clear" w:color="auto" w:fill="CCEEFF"/>
            <w:vAlign w:val="bottom"/>
            <w:hideMark/>
          </w:tcPr>
          <w:p w14:paraId="79F938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0117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FBC99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71EB83" w14:textId="77777777" w:rsidR="00000000" w:rsidRDefault="0053651E">
            <w:pPr>
              <w:jc w:val="right"/>
              <w:rPr>
                <w:rFonts w:eastAsia="Times New Roman"/>
                <w:sz w:val="20"/>
                <w:szCs w:val="20"/>
              </w:rPr>
            </w:pPr>
            <w:r>
              <w:rPr>
                <w:rFonts w:eastAsia="Times New Roman"/>
                <w:sz w:val="20"/>
                <w:szCs w:val="20"/>
              </w:rPr>
              <w:t>4.29</w:t>
            </w:r>
          </w:p>
        </w:tc>
        <w:tc>
          <w:tcPr>
            <w:tcW w:w="50" w:type="pct"/>
            <w:shd w:val="clear" w:color="auto" w:fill="CCEEFF"/>
            <w:vAlign w:val="bottom"/>
            <w:hideMark/>
          </w:tcPr>
          <w:p w14:paraId="5C65073C"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AD372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77DB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FF32E5" w14:textId="77777777" w:rsidR="00000000" w:rsidRDefault="0053651E">
            <w:pPr>
              <w:jc w:val="right"/>
              <w:rPr>
                <w:rFonts w:eastAsia="Times New Roman"/>
                <w:sz w:val="20"/>
                <w:szCs w:val="20"/>
              </w:rPr>
            </w:pPr>
            <w:r>
              <w:rPr>
                <w:rFonts w:eastAsia="Times New Roman"/>
                <w:sz w:val="20"/>
                <w:szCs w:val="20"/>
              </w:rPr>
              <w:t>49.0</w:t>
            </w:r>
          </w:p>
        </w:tc>
        <w:tc>
          <w:tcPr>
            <w:tcW w:w="50" w:type="pct"/>
            <w:shd w:val="clear" w:color="auto" w:fill="CCEEFF"/>
            <w:vAlign w:val="bottom"/>
            <w:hideMark/>
          </w:tcPr>
          <w:p w14:paraId="76504B5D" w14:textId="77777777" w:rsidR="00000000" w:rsidRDefault="0053651E">
            <w:pPr>
              <w:rPr>
                <w:rFonts w:eastAsia="Times New Roman"/>
                <w:sz w:val="20"/>
                <w:szCs w:val="20"/>
              </w:rPr>
            </w:pPr>
            <w:r>
              <w:rPr>
                <w:rFonts w:eastAsia="Times New Roman"/>
                <w:sz w:val="20"/>
                <w:szCs w:val="20"/>
              </w:rPr>
              <w:t> </w:t>
            </w:r>
          </w:p>
        </w:tc>
      </w:tr>
      <w:tr w:rsidR="00000000" w14:paraId="6F65BAAE" w14:textId="77777777">
        <w:trPr>
          <w:tblCellSpacing w:w="0" w:type="dxa"/>
        </w:trPr>
        <w:tc>
          <w:tcPr>
            <w:tcW w:w="0" w:type="auto"/>
            <w:shd w:val="clear" w:color="auto" w:fill="FFFFFF"/>
            <w:vAlign w:val="bottom"/>
            <w:hideMark/>
          </w:tcPr>
          <w:p w14:paraId="112ADC56" w14:textId="77777777" w:rsidR="00000000" w:rsidRDefault="0053651E">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34539A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59E10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11A62D5" w14:textId="77777777" w:rsidR="00000000" w:rsidRDefault="0053651E">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14:paraId="2C4E57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86D6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CE85C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EE9043" w14:textId="77777777" w:rsidR="00000000" w:rsidRDefault="0053651E">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14:paraId="3F212EEF"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771263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D86A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5A34261" w14:textId="77777777" w:rsidR="00000000" w:rsidRDefault="0053651E">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14:paraId="233666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FF2A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FC462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C1B35EE" w14:textId="77777777" w:rsidR="00000000" w:rsidRDefault="0053651E">
            <w:pPr>
              <w:jc w:val="right"/>
              <w:rPr>
                <w:rFonts w:eastAsia="Times New Roman"/>
                <w:sz w:val="20"/>
                <w:szCs w:val="20"/>
              </w:rPr>
            </w:pPr>
            <w:r>
              <w:rPr>
                <w:rFonts w:eastAsia="Times New Roman"/>
                <w:sz w:val="20"/>
                <w:szCs w:val="20"/>
              </w:rPr>
              <w:t>651.4</w:t>
            </w:r>
          </w:p>
        </w:tc>
        <w:tc>
          <w:tcPr>
            <w:tcW w:w="50" w:type="pct"/>
            <w:shd w:val="clear" w:color="auto" w:fill="FFFFFF"/>
            <w:vAlign w:val="bottom"/>
            <w:hideMark/>
          </w:tcPr>
          <w:p w14:paraId="7AF0D2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C7D5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651C3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5F92188" w14:textId="77777777" w:rsidR="00000000" w:rsidRDefault="0053651E">
            <w:pPr>
              <w:jc w:val="right"/>
              <w:rPr>
                <w:rFonts w:eastAsia="Times New Roman"/>
                <w:sz w:val="20"/>
                <w:szCs w:val="20"/>
              </w:rPr>
            </w:pPr>
            <w:r>
              <w:rPr>
                <w:rFonts w:eastAsia="Times New Roman"/>
                <w:sz w:val="20"/>
                <w:szCs w:val="20"/>
              </w:rPr>
              <w:t>4.43</w:t>
            </w:r>
          </w:p>
        </w:tc>
        <w:tc>
          <w:tcPr>
            <w:tcW w:w="50" w:type="pct"/>
            <w:shd w:val="clear" w:color="auto" w:fill="FFFFFF"/>
            <w:vAlign w:val="bottom"/>
            <w:hideMark/>
          </w:tcPr>
          <w:p w14:paraId="51884249"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7363C9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2BA6B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3A68813" w14:textId="77777777" w:rsidR="00000000" w:rsidRDefault="0053651E">
            <w:pPr>
              <w:jc w:val="right"/>
              <w:rPr>
                <w:rFonts w:eastAsia="Times New Roman"/>
                <w:sz w:val="20"/>
                <w:szCs w:val="20"/>
              </w:rPr>
            </w:pPr>
            <w:r>
              <w:rPr>
                <w:rFonts w:eastAsia="Times New Roman"/>
                <w:sz w:val="20"/>
                <w:szCs w:val="20"/>
              </w:rPr>
              <w:t>40.4</w:t>
            </w:r>
          </w:p>
        </w:tc>
        <w:tc>
          <w:tcPr>
            <w:tcW w:w="50" w:type="pct"/>
            <w:shd w:val="clear" w:color="auto" w:fill="FFFFFF"/>
            <w:vAlign w:val="bottom"/>
            <w:hideMark/>
          </w:tcPr>
          <w:p w14:paraId="06BF2E74" w14:textId="77777777" w:rsidR="00000000" w:rsidRDefault="0053651E">
            <w:pPr>
              <w:rPr>
                <w:rFonts w:eastAsia="Times New Roman"/>
                <w:sz w:val="20"/>
                <w:szCs w:val="20"/>
              </w:rPr>
            </w:pPr>
            <w:r>
              <w:rPr>
                <w:rFonts w:eastAsia="Times New Roman"/>
                <w:sz w:val="20"/>
                <w:szCs w:val="20"/>
              </w:rPr>
              <w:t> </w:t>
            </w:r>
          </w:p>
        </w:tc>
      </w:tr>
      <w:tr w:rsidR="00000000" w14:paraId="7E365FF3" w14:textId="77777777">
        <w:trPr>
          <w:tblCellSpacing w:w="0" w:type="dxa"/>
        </w:trPr>
        <w:tc>
          <w:tcPr>
            <w:tcW w:w="0" w:type="auto"/>
            <w:shd w:val="clear" w:color="auto" w:fill="CCEEFF"/>
            <w:vAlign w:val="bottom"/>
            <w:hideMark/>
          </w:tcPr>
          <w:p w14:paraId="2CB79B4D" w14:textId="77777777" w:rsidR="00000000" w:rsidRDefault="0053651E">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1ACD96A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18D7D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01DFB4C" w14:textId="77777777" w:rsidR="00000000" w:rsidRDefault="0053651E">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14:paraId="593E6D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F8A7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48FAB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AC8447B" w14:textId="77777777" w:rsidR="00000000" w:rsidRDefault="0053651E">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7FF80D61"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6A2635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D5D18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D537B5" w14:textId="77777777" w:rsidR="00000000" w:rsidRDefault="0053651E">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14:paraId="05C716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A443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B34B7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627D00" w14:textId="77777777" w:rsidR="00000000" w:rsidRDefault="0053651E">
            <w:pPr>
              <w:jc w:val="right"/>
              <w:rPr>
                <w:rFonts w:eastAsia="Times New Roman"/>
                <w:sz w:val="20"/>
                <w:szCs w:val="20"/>
              </w:rPr>
            </w:pPr>
            <w:r>
              <w:rPr>
                <w:rFonts w:eastAsia="Times New Roman"/>
                <w:sz w:val="20"/>
                <w:szCs w:val="20"/>
              </w:rPr>
              <w:t>84.4</w:t>
            </w:r>
          </w:p>
        </w:tc>
        <w:tc>
          <w:tcPr>
            <w:tcW w:w="50" w:type="pct"/>
            <w:shd w:val="clear" w:color="auto" w:fill="CCEEFF"/>
            <w:vAlign w:val="bottom"/>
            <w:hideMark/>
          </w:tcPr>
          <w:p w14:paraId="0F625D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A495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1B2FF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20C6995" w14:textId="77777777" w:rsidR="00000000" w:rsidRDefault="0053651E">
            <w:pPr>
              <w:jc w:val="right"/>
              <w:rPr>
                <w:rFonts w:eastAsia="Times New Roman"/>
                <w:sz w:val="20"/>
                <w:szCs w:val="20"/>
              </w:rPr>
            </w:pPr>
            <w:r>
              <w:rPr>
                <w:rFonts w:eastAsia="Times New Roman"/>
                <w:sz w:val="20"/>
                <w:szCs w:val="20"/>
              </w:rPr>
              <w:t>3.85</w:t>
            </w:r>
          </w:p>
        </w:tc>
        <w:tc>
          <w:tcPr>
            <w:tcW w:w="50" w:type="pct"/>
            <w:shd w:val="clear" w:color="auto" w:fill="CCEEFF"/>
            <w:vAlign w:val="bottom"/>
            <w:hideMark/>
          </w:tcPr>
          <w:p w14:paraId="513B31D9"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66F43E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1EF5E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5CD20D3" w14:textId="77777777" w:rsidR="00000000" w:rsidRDefault="0053651E">
            <w:pPr>
              <w:jc w:val="right"/>
              <w:rPr>
                <w:rFonts w:eastAsia="Times New Roman"/>
                <w:sz w:val="20"/>
                <w:szCs w:val="20"/>
              </w:rPr>
            </w:pPr>
            <w:r>
              <w:rPr>
                <w:rFonts w:eastAsia="Times New Roman"/>
                <w:sz w:val="20"/>
                <w:szCs w:val="20"/>
              </w:rPr>
              <w:t>54.0</w:t>
            </w:r>
          </w:p>
        </w:tc>
        <w:tc>
          <w:tcPr>
            <w:tcW w:w="50" w:type="pct"/>
            <w:shd w:val="clear" w:color="auto" w:fill="CCEEFF"/>
            <w:vAlign w:val="bottom"/>
            <w:hideMark/>
          </w:tcPr>
          <w:p w14:paraId="7970FA11" w14:textId="77777777" w:rsidR="00000000" w:rsidRDefault="0053651E">
            <w:pPr>
              <w:rPr>
                <w:rFonts w:eastAsia="Times New Roman"/>
                <w:sz w:val="20"/>
                <w:szCs w:val="20"/>
              </w:rPr>
            </w:pPr>
            <w:r>
              <w:rPr>
                <w:rFonts w:eastAsia="Times New Roman"/>
                <w:sz w:val="20"/>
                <w:szCs w:val="20"/>
              </w:rPr>
              <w:t> </w:t>
            </w:r>
          </w:p>
        </w:tc>
      </w:tr>
      <w:tr w:rsidR="00000000" w14:paraId="129BB85D" w14:textId="77777777">
        <w:trPr>
          <w:tblCellSpacing w:w="0" w:type="dxa"/>
        </w:trPr>
        <w:tc>
          <w:tcPr>
            <w:tcW w:w="0" w:type="auto"/>
            <w:shd w:val="clear" w:color="auto" w:fill="FFFFFF"/>
            <w:vAlign w:val="bottom"/>
            <w:hideMark/>
          </w:tcPr>
          <w:p w14:paraId="070BDE33" w14:textId="77777777" w:rsidR="00000000" w:rsidRDefault="0053651E">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14:paraId="6D57F3C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314F9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8C877AE" w14:textId="77777777" w:rsidR="00000000" w:rsidRDefault="0053651E">
            <w:pPr>
              <w:jc w:val="right"/>
              <w:rPr>
                <w:rFonts w:eastAsia="Times New Roman"/>
                <w:sz w:val="20"/>
                <w:szCs w:val="20"/>
              </w:rPr>
            </w:pPr>
            <w:r>
              <w:rPr>
                <w:rFonts w:eastAsia="Times New Roman"/>
                <w:sz w:val="20"/>
                <w:szCs w:val="20"/>
              </w:rPr>
              <w:t>415.2</w:t>
            </w:r>
          </w:p>
        </w:tc>
        <w:tc>
          <w:tcPr>
            <w:tcW w:w="50" w:type="pct"/>
            <w:shd w:val="clear" w:color="auto" w:fill="FFFFFF"/>
            <w:tcMar>
              <w:top w:w="0" w:type="dxa"/>
              <w:left w:w="0" w:type="dxa"/>
              <w:bottom w:w="15" w:type="dxa"/>
              <w:right w:w="0" w:type="dxa"/>
            </w:tcMar>
            <w:vAlign w:val="bottom"/>
            <w:hideMark/>
          </w:tcPr>
          <w:p w14:paraId="5DA41D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177E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4DED1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48C4013" w14:textId="77777777" w:rsidR="00000000" w:rsidRDefault="0053651E">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5382FAC2"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62DAC6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0BAC5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DFEF02" w14:textId="77777777" w:rsidR="00000000" w:rsidRDefault="0053651E">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14:paraId="49E0F2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5BF0DC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D7FD73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C704FF7" w14:textId="77777777" w:rsidR="00000000" w:rsidRDefault="0053651E">
            <w:pPr>
              <w:jc w:val="right"/>
              <w:rPr>
                <w:rFonts w:eastAsia="Times New Roman"/>
                <w:sz w:val="20"/>
                <w:szCs w:val="20"/>
              </w:rPr>
            </w:pPr>
            <w:r>
              <w:rPr>
                <w:rFonts w:eastAsia="Times New Roman"/>
                <w:sz w:val="20"/>
                <w:szCs w:val="20"/>
              </w:rPr>
              <w:t>474.2</w:t>
            </w:r>
          </w:p>
        </w:tc>
        <w:tc>
          <w:tcPr>
            <w:tcW w:w="50" w:type="pct"/>
            <w:shd w:val="clear" w:color="auto" w:fill="FFFFFF"/>
            <w:tcMar>
              <w:top w:w="0" w:type="dxa"/>
              <w:left w:w="0" w:type="dxa"/>
              <w:bottom w:w="15" w:type="dxa"/>
              <w:right w:w="0" w:type="dxa"/>
            </w:tcMar>
            <w:vAlign w:val="bottom"/>
            <w:hideMark/>
          </w:tcPr>
          <w:p w14:paraId="0BB8A1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1E65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1E289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2078CAF" w14:textId="77777777" w:rsidR="00000000" w:rsidRDefault="0053651E">
            <w:pPr>
              <w:jc w:val="right"/>
              <w:rPr>
                <w:rFonts w:eastAsia="Times New Roman"/>
                <w:sz w:val="20"/>
                <w:szCs w:val="20"/>
              </w:rPr>
            </w:pPr>
            <w:r>
              <w:rPr>
                <w:rFonts w:eastAsia="Times New Roman"/>
                <w:sz w:val="20"/>
                <w:szCs w:val="20"/>
              </w:rPr>
              <w:t>4.26</w:t>
            </w:r>
          </w:p>
        </w:tc>
        <w:tc>
          <w:tcPr>
            <w:tcW w:w="50" w:type="pct"/>
            <w:shd w:val="clear" w:color="auto" w:fill="FFFFFF"/>
            <w:vAlign w:val="bottom"/>
            <w:hideMark/>
          </w:tcPr>
          <w:p w14:paraId="66ACE406" w14:textId="77777777" w:rsidR="00000000" w:rsidRDefault="0053651E">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11B49A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A4E9B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A719DA" w14:textId="77777777" w:rsidR="00000000" w:rsidRDefault="0053651E">
            <w:pPr>
              <w:jc w:val="right"/>
              <w:rPr>
                <w:rFonts w:eastAsia="Times New Roman"/>
                <w:sz w:val="20"/>
                <w:szCs w:val="20"/>
              </w:rPr>
            </w:pPr>
            <w:r>
              <w:rPr>
                <w:rFonts w:eastAsia="Times New Roman"/>
                <w:sz w:val="20"/>
                <w:szCs w:val="20"/>
              </w:rPr>
              <w:t>78.6</w:t>
            </w:r>
          </w:p>
        </w:tc>
        <w:tc>
          <w:tcPr>
            <w:tcW w:w="50" w:type="pct"/>
            <w:shd w:val="clear" w:color="auto" w:fill="FFFFFF"/>
            <w:vAlign w:val="bottom"/>
            <w:hideMark/>
          </w:tcPr>
          <w:p w14:paraId="2A978A27" w14:textId="77777777" w:rsidR="00000000" w:rsidRDefault="0053651E">
            <w:pPr>
              <w:rPr>
                <w:rFonts w:eastAsia="Times New Roman"/>
                <w:sz w:val="20"/>
                <w:szCs w:val="20"/>
              </w:rPr>
            </w:pPr>
            <w:r>
              <w:rPr>
                <w:rFonts w:eastAsia="Times New Roman"/>
                <w:sz w:val="20"/>
                <w:szCs w:val="20"/>
              </w:rPr>
              <w:t> </w:t>
            </w:r>
          </w:p>
        </w:tc>
      </w:tr>
      <w:tr w:rsidR="00000000" w14:paraId="351E4A8B" w14:textId="77777777">
        <w:trPr>
          <w:tblCellSpacing w:w="0" w:type="dxa"/>
        </w:trPr>
        <w:tc>
          <w:tcPr>
            <w:tcW w:w="0" w:type="auto"/>
            <w:shd w:val="clear" w:color="auto" w:fill="CCEEFF"/>
            <w:vAlign w:val="bottom"/>
            <w:hideMark/>
          </w:tcPr>
          <w:p w14:paraId="7AFC721E" w14:textId="77777777" w:rsidR="00000000" w:rsidRDefault="0053651E">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14:paraId="41B2DAC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58054D3"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2742C32C" w14:textId="77777777" w:rsidR="00000000" w:rsidRDefault="0053651E">
            <w:pPr>
              <w:jc w:val="right"/>
              <w:rPr>
                <w:rFonts w:eastAsia="Times New Roman"/>
                <w:sz w:val="20"/>
                <w:szCs w:val="20"/>
              </w:rPr>
            </w:pPr>
            <w:r>
              <w:rPr>
                <w:rFonts w:eastAsia="Times New Roman"/>
                <w:b/>
                <w:bCs/>
                <w:sz w:val="20"/>
                <w:szCs w:val="20"/>
              </w:rPr>
              <w:t>1,594.1</w:t>
            </w:r>
          </w:p>
        </w:tc>
        <w:tc>
          <w:tcPr>
            <w:tcW w:w="50" w:type="pct"/>
            <w:shd w:val="clear" w:color="auto" w:fill="CCEEFF"/>
            <w:tcMar>
              <w:top w:w="0" w:type="dxa"/>
              <w:left w:w="0" w:type="dxa"/>
              <w:bottom w:w="45" w:type="dxa"/>
              <w:right w:w="0" w:type="dxa"/>
            </w:tcMar>
            <w:vAlign w:val="bottom"/>
            <w:hideMark/>
          </w:tcPr>
          <w:p w14:paraId="474642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D63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CEEF3"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1B78E5B"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vAlign w:val="bottom"/>
            <w:hideMark/>
          </w:tcPr>
          <w:p w14:paraId="29DD2E19"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53E44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41783"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396D77A"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vAlign w:val="bottom"/>
            <w:hideMark/>
          </w:tcPr>
          <w:p w14:paraId="0CD549D3"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14:paraId="6D7DE9B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27BBE97"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304B67D2" w14:textId="77777777" w:rsidR="00000000" w:rsidRDefault="0053651E">
            <w:pPr>
              <w:jc w:val="right"/>
              <w:rPr>
                <w:rFonts w:eastAsia="Times New Roman"/>
                <w:sz w:val="20"/>
                <w:szCs w:val="20"/>
              </w:rPr>
            </w:pPr>
            <w:r>
              <w:rPr>
                <w:rFonts w:eastAsia="Times New Roman"/>
                <w:b/>
                <w:bCs/>
                <w:sz w:val="20"/>
                <w:szCs w:val="20"/>
              </w:rPr>
              <w:t>1,782.6</w:t>
            </w:r>
          </w:p>
        </w:tc>
        <w:tc>
          <w:tcPr>
            <w:tcW w:w="50" w:type="pct"/>
            <w:shd w:val="clear" w:color="auto" w:fill="CCEEFF"/>
            <w:tcMar>
              <w:top w:w="0" w:type="dxa"/>
              <w:left w:w="0" w:type="dxa"/>
              <w:bottom w:w="45" w:type="dxa"/>
              <w:right w:w="0" w:type="dxa"/>
            </w:tcMar>
            <w:vAlign w:val="bottom"/>
            <w:hideMark/>
          </w:tcPr>
          <w:p w14:paraId="57DAA9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9CAEE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FCBC2"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568AF82"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vAlign w:val="bottom"/>
            <w:hideMark/>
          </w:tcPr>
          <w:p w14:paraId="4C220CDB"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154067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A2748" w14:textId="77777777" w:rsidR="00000000" w:rsidRDefault="0053651E">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211B346"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vAlign w:val="bottom"/>
            <w:hideMark/>
          </w:tcPr>
          <w:p w14:paraId="4C174E29" w14:textId="77777777" w:rsidR="00000000" w:rsidRDefault="0053651E">
            <w:pPr>
              <w:rPr>
                <w:rFonts w:eastAsia="Times New Roman"/>
                <w:sz w:val="20"/>
                <w:szCs w:val="20"/>
              </w:rPr>
            </w:pPr>
            <w:r>
              <w:rPr>
                <w:rFonts w:eastAsia="Times New Roman"/>
                <w:b/>
                <w:bCs/>
                <w:sz w:val="20"/>
                <w:szCs w:val="20"/>
              </w:rPr>
              <w:t> </w:t>
            </w:r>
          </w:p>
        </w:tc>
      </w:tr>
    </w:tbl>
    <w:p w14:paraId="661E938E" w14:textId="77777777" w:rsidR="00000000" w:rsidRDefault="0053651E">
      <w:pPr>
        <w:pStyle w:val="a3"/>
        <w:spacing w:before="0" w:beforeAutospacing="0" w:after="0" w:afterAutospacing="0"/>
        <w:ind w:left="360"/>
        <w:rPr>
          <w:sz w:val="6"/>
          <w:szCs w:val="6"/>
        </w:rPr>
      </w:pPr>
      <w:r>
        <w:rPr>
          <w:sz w:val="6"/>
          <w:szCs w:val="6"/>
        </w:rPr>
        <w:t> </w:t>
      </w:r>
    </w:p>
    <w:p w14:paraId="3E0F9F5A" w14:textId="77777777" w:rsidR="00000000" w:rsidRDefault="0053651E">
      <w:pPr>
        <w:pStyle w:val="a3"/>
        <w:spacing w:before="0" w:beforeAutospacing="0" w:after="0" w:afterAutospacing="0"/>
        <w:ind w:left="360"/>
        <w:rPr>
          <w:sz w:val="20"/>
          <w:szCs w:val="20"/>
        </w:rPr>
      </w:pPr>
      <w:r>
        <w:rPr>
          <w:sz w:val="20"/>
          <w:szCs w:val="20"/>
        </w:rPr>
        <w:t>* Average remaining term includes extensions</w:t>
      </w:r>
    </w:p>
    <w:p w14:paraId="786127B1" w14:textId="77777777" w:rsidR="00000000" w:rsidRDefault="0053651E">
      <w:pPr>
        <w:pStyle w:val="a3"/>
        <w:spacing w:before="0" w:beforeAutospacing="0" w:after="0" w:afterAutospacing="0"/>
        <w:ind w:left="360"/>
        <w:jc w:val="both"/>
        <w:rPr>
          <w:sz w:val="20"/>
          <w:szCs w:val="20"/>
        </w:rPr>
      </w:pPr>
      <w:r>
        <w:rPr>
          <w:sz w:val="20"/>
          <w:szCs w:val="20"/>
        </w:rPr>
        <w:t> </w:t>
      </w:r>
    </w:p>
    <w:p w14:paraId="423CB600" w14:textId="77777777" w:rsidR="00000000" w:rsidRDefault="0053651E">
      <w:pPr>
        <w:jc w:val="center"/>
        <w:divId w:val="478427704"/>
        <w:rPr>
          <w:rFonts w:eastAsia="Times New Roman"/>
          <w:sz w:val="20"/>
          <w:szCs w:val="20"/>
        </w:rPr>
      </w:pPr>
      <w:r>
        <w:rPr>
          <w:rStyle w:val="a6"/>
          <w:rFonts w:eastAsia="Times New Roman"/>
          <w:i w:val="0"/>
          <w:iCs w:val="0"/>
          <w:sz w:val="20"/>
          <w:szCs w:val="20"/>
        </w:rPr>
        <w:t>65</w:t>
      </w:r>
      <w:r>
        <w:rPr>
          <w:rFonts w:eastAsia="Times New Roman"/>
          <w:sz w:val="20"/>
          <w:szCs w:val="20"/>
        </w:rPr>
        <w:t xml:space="preserve"> </w:t>
      </w:r>
    </w:p>
    <w:p w14:paraId="2E1EEBDA" w14:textId="77777777" w:rsidR="00000000" w:rsidRDefault="0053651E">
      <w:pPr>
        <w:divId w:val="478427704"/>
        <w:rPr>
          <w:rFonts w:eastAsia="Times New Roman"/>
          <w:sz w:val="20"/>
          <w:szCs w:val="20"/>
        </w:rPr>
      </w:pPr>
      <w:r>
        <w:rPr>
          <w:rFonts w:eastAsia="Times New Roman"/>
          <w:sz w:val="20"/>
          <w:szCs w:val="20"/>
        </w:rPr>
        <w:pict w14:anchorId="6849770D">
          <v:rect id="_x0000_i1096" style="width:415.3pt;height:1.5pt" o:hralign="center" o:hrstd="t" o:hrnoshade="t" o:hr="t" fillcolor="black" stroked="f"/>
        </w:pict>
      </w:r>
    </w:p>
    <w:p w14:paraId="734AD977" w14:textId="77777777" w:rsidR="00000000" w:rsidRDefault="0053651E">
      <w:pPr>
        <w:divId w:val="4784277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985B12E" w14:textId="77777777" w:rsidR="00000000" w:rsidRDefault="0053651E">
      <w:pPr>
        <w:pStyle w:val="a3"/>
        <w:spacing w:before="0" w:beforeAutospacing="0" w:after="0" w:afterAutospacing="0"/>
        <w:rPr>
          <w:sz w:val="20"/>
          <w:szCs w:val="20"/>
        </w:rPr>
      </w:pPr>
      <w:r>
        <w:rPr>
          <w:sz w:val="20"/>
          <w:szCs w:val="20"/>
        </w:rPr>
        <w:t> </w:t>
      </w:r>
    </w:p>
    <w:p w14:paraId="38EAEA6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27306B0F" w14:textId="77777777" w:rsidR="00000000" w:rsidRDefault="0053651E">
      <w:pPr>
        <w:pStyle w:val="a3"/>
        <w:spacing w:before="0" w:beforeAutospacing="0" w:after="0" w:afterAutospacing="0"/>
        <w:jc w:val="center"/>
        <w:rPr>
          <w:sz w:val="20"/>
          <w:szCs w:val="20"/>
        </w:rPr>
      </w:pPr>
      <w:r>
        <w:rPr>
          <w:sz w:val="20"/>
          <w:szCs w:val="20"/>
        </w:rPr>
        <w:t> </w:t>
      </w:r>
    </w:p>
    <w:p w14:paraId="0787E3E9"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033F23BC" w14:textId="77777777" w:rsidR="00000000" w:rsidRDefault="0053651E">
      <w:pPr>
        <w:pStyle w:val="a3"/>
        <w:spacing w:before="0" w:beforeAutospacing="0" w:after="0" w:afterAutospacing="0"/>
        <w:rPr>
          <w:sz w:val="20"/>
          <w:szCs w:val="20"/>
        </w:rPr>
      </w:pPr>
      <w:r>
        <w:rPr>
          <w:sz w:val="20"/>
          <w:szCs w:val="20"/>
        </w:rPr>
        <w:t> </w:t>
      </w:r>
    </w:p>
    <w:p w14:paraId="284A9EB7" w14:textId="77777777" w:rsidR="00000000" w:rsidRDefault="0053651E">
      <w:pPr>
        <w:pStyle w:val="a3"/>
        <w:spacing w:before="0" w:beforeAutospacing="0" w:after="0" w:afterAutospacing="0"/>
        <w:ind w:left="360"/>
        <w:jc w:val="both"/>
        <w:rPr>
          <w:sz w:val="20"/>
          <w:szCs w:val="20"/>
        </w:rPr>
      </w:pPr>
      <w:r>
        <w:rPr>
          <w:sz w:val="20"/>
          <w:szCs w:val="20"/>
        </w:rPr>
        <w:t>KIR –</w:t>
      </w:r>
    </w:p>
    <w:p w14:paraId="51B7ADE5" w14:textId="77777777" w:rsidR="00000000" w:rsidRDefault="0053651E">
      <w:pPr>
        <w:pStyle w:val="a3"/>
        <w:spacing w:before="0" w:beforeAutospacing="0" w:after="0" w:afterAutospacing="0"/>
        <w:ind w:left="360"/>
        <w:jc w:val="both"/>
        <w:rPr>
          <w:sz w:val="20"/>
          <w:szCs w:val="20"/>
        </w:rPr>
      </w:pPr>
      <w:r>
        <w:rPr>
          <w:sz w:val="20"/>
          <w:szCs w:val="20"/>
        </w:rPr>
        <w:t> </w:t>
      </w:r>
    </w:p>
    <w:p w14:paraId="0E970BC0" w14:textId="77777777" w:rsidR="00000000" w:rsidRDefault="0053651E">
      <w:pPr>
        <w:pStyle w:val="a3"/>
        <w:spacing w:before="0" w:beforeAutospacing="0" w:after="0" w:afterAutospacing="0"/>
        <w:ind w:left="360"/>
        <w:jc w:val="both"/>
        <w:rPr>
          <w:sz w:val="20"/>
          <w:szCs w:val="20"/>
        </w:rPr>
      </w:pPr>
      <w:r>
        <w:rPr>
          <w:sz w:val="20"/>
          <w:szCs w:val="20"/>
        </w:rPr>
        <w:t>The Company holds a 48.6% noncontrolling limited partnership inte</w:t>
      </w:r>
      <w:r>
        <w:rPr>
          <w:sz w:val="20"/>
          <w:szCs w:val="20"/>
        </w:rPr>
        <w:t>rest in KIR and has a master management agreement whereby the Company performs services for fees relating to the management, operation, supervision and maintenance of the joint venture properties.</w:t>
      </w:r>
    </w:p>
    <w:p w14:paraId="53AA8B42" w14:textId="77777777" w:rsidR="00000000" w:rsidRDefault="0053651E">
      <w:pPr>
        <w:pStyle w:val="a3"/>
        <w:spacing w:before="0" w:beforeAutospacing="0" w:after="0" w:afterAutospacing="0"/>
        <w:ind w:left="360"/>
        <w:jc w:val="both"/>
        <w:rPr>
          <w:sz w:val="20"/>
          <w:szCs w:val="20"/>
        </w:rPr>
      </w:pPr>
      <w:r>
        <w:rPr>
          <w:sz w:val="20"/>
          <w:szCs w:val="20"/>
        </w:rPr>
        <w:t> </w:t>
      </w:r>
    </w:p>
    <w:p w14:paraId="50AD39E5" w14:textId="77777777" w:rsidR="00000000" w:rsidRDefault="0053651E">
      <w:pPr>
        <w:pStyle w:val="a3"/>
        <w:spacing w:before="0" w:beforeAutospacing="0" w:after="0" w:afterAutospacing="0"/>
        <w:ind w:left="360"/>
        <w:jc w:val="both"/>
        <w:rPr>
          <w:sz w:val="20"/>
          <w:szCs w:val="20"/>
        </w:rPr>
      </w:pPr>
      <w:r>
        <w:rPr>
          <w:sz w:val="20"/>
          <w:szCs w:val="20"/>
        </w:rPr>
        <w:t>The Company’s equity in income from KIR for the year ende</w:t>
      </w:r>
      <w:r>
        <w:rPr>
          <w:sz w:val="20"/>
          <w:szCs w:val="20"/>
        </w:rPr>
        <w:t>d</w:t>
      </w:r>
      <w:r>
        <w:rPr>
          <w:sz w:val="20"/>
          <w:szCs w:val="20"/>
        </w:rPr>
        <w:t xml:space="preserve"> </w:t>
      </w:r>
      <w:r>
        <w:rPr>
          <w:rStyle w:val="a6"/>
          <w:i w:val="0"/>
          <w:iCs w:val="0"/>
          <w:sz w:val="20"/>
          <w:szCs w:val="20"/>
        </w:rPr>
        <w:t xml:space="preserve">December 31, 2019 </w:t>
      </w:r>
      <w:r>
        <w:rPr>
          <w:sz w:val="20"/>
          <w:szCs w:val="20"/>
        </w:rPr>
        <w:t>exceeded</w:t>
      </w:r>
      <w:r>
        <w:rPr>
          <w:sz w:val="20"/>
          <w:szCs w:val="20"/>
        </w:rPr>
        <w:t xml:space="preserve"> </w:t>
      </w:r>
      <w:r>
        <w:rPr>
          <w:rStyle w:val="a6"/>
          <w:i w:val="0"/>
          <w:iCs w:val="0"/>
          <w:sz w:val="20"/>
          <w:szCs w:val="20"/>
        </w:rPr>
        <w:t>10%</w:t>
      </w:r>
      <w:r>
        <w:rPr>
          <w:sz w:val="20"/>
          <w:szCs w:val="20"/>
        </w:rPr>
        <w:t xml:space="preserve"> of the Company’s income from continuing operations before income taxes; as such the Company is providing summarized financial information for KIR as follows (in millions):</w:t>
      </w:r>
    </w:p>
    <w:p w14:paraId="2092D4A5" w14:textId="77777777" w:rsidR="00000000" w:rsidRDefault="0053651E">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329382A2" w14:textId="77777777">
        <w:trPr>
          <w:tblCellSpacing w:w="0" w:type="dxa"/>
        </w:trPr>
        <w:tc>
          <w:tcPr>
            <w:tcW w:w="0" w:type="auto"/>
            <w:vAlign w:val="bottom"/>
            <w:hideMark/>
          </w:tcPr>
          <w:p w14:paraId="3BF4783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CB57BC7"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95A3CF0"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25E08D25" w14:textId="77777777" w:rsidR="00000000" w:rsidRDefault="0053651E">
            <w:pPr>
              <w:rPr>
                <w:rFonts w:eastAsia="Times New Roman"/>
                <w:sz w:val="20"/>
                <w:szCs w:val="20"/>
              </w:rPr>
            </w:pPr>
            <w:r>
              <w:rPr>
                <w:rFonts w:eastAsia="Times New Roman"/>
                <w:sz w:val="20"/>
                <w:szCs w:val="20"/>
              </w:rPr>
              <w:t> </w:t>
            </w:r>
          </w:p>
        </w:tc>
      </w:tr>
      <w:tr w:rsidR="00000000" w14:paraId="59D53E32" w14:textId="77777777">
        <w:trPr>
          <w:tblCellSpacing w:w="0" w:type="dxa"/>
        </w:trPr>
        <w:tc>
          <w:tcPr>
            <w:tcW w:w="0" w:type="auto"/>
            <w:vAlign w:val="bottom"/>
            <w:hideMark/>
          </w:tcPr>
          <w:p w14:paraId="6007518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3D059C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B0FF830"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EB1105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9CBED3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57045C"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84F0090" w14:textId="77777777" w:rsidR="00000000" w:rsidRDefault="0053651E">
            <w:pPr>
              <w:rPr>
                <w:rFonts w:eastAsia="Times New Roman"/>
                <w:sz w:val="20"/>
                <w:szCs w:val="20"/>
              </w:rPr>
            </w:pPr>
            <w:r>
              <w:rPr>
                <w:rFonts w:eastAsia="Times New Roman"/>
                <w:sz w:val="20"/>
                <w:szCs w:val="20"/>
              </w:rPr>
              <w:t> </w:t>
            </w:r>
          </w:p>
        </w:tc>
      </w:tr>
      <w:tr w:rsidR="00000000" w14:paraId="1485F9E8" w14:textId="77777777">
        <w:trPr>
          <w:tblCellSpacing w:w="0" w:type="dxa"/>
        </w:trPr>
        <w:tc>
          <w:tcPr>
            <w:tcW w:w="3100" w:type="pct"/>
            <w:shd w:val="clear" w:color="auto" w:fill="CCEEFF"/>
            <w:vAlign w:val="bottom"/>
            <w:hideMark/>
          </w:tcPr>
          <w:p w14:paraId="64BFF29B" w14:textId="77777777" w:rsidR="00000000" w:rsidRDefault="0053651E">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32CB1A7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3589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A816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24EF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D17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BFF0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674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A1575" w14:textId="77777777" w:rsidR="00000000" w:rsidRDefault="0053651E">
            <w:pPr>
              <w:rPr>
                <w:rFonts w:eastAsia="Times New Roman"/>
                <w:sz w:val="20"/>
                <w:szCs w:val="20"/>
              </w:rPr>
            </w:pPr>
            <w:r>
              <w:rPr>
                <w:rFonts w:eastAsia="Times New Roman"/>
                <w:sz w:val="20"/>
                <w:szCs w:val="20"/>
              </w:rPr>
              <w:t> </w:t>
            </w:r>
          </w:p>
        </w:tc>
      </w:tr>
      <w:tr w:rsidR="00000000" w14:paraId="60D11014" w14:textId="77777777">
        <w:trPr>
          <w:tblCellSpacing w:w="0" w:type="dxa"/>
        </w:trPr>
        <w:tc>
          <w:tcPr>
            <w:tcW w:w="0" w:type="auto"/>
            <w:shd w:val="clear" w:color="auto" w:fill="FFFFFF"/>
            <w:vAlign w:val="bottom"/>
            <w:hideMark/>
          </w:tcPr>
          <w:p w14:paraId="72D0E8EF" w14:textId="77777777" w:rsidR="00000000" w:rsidRDefault="0053651E">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538506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6092D9"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60EE50EB" w14:textId="77777777" w:rsidR="00000000" w:rsidRDefault="0053651E">
            <w:pPr>
              <w:jc w:val="right"/>
              <w:rPr>
                <w:rFonts w:eastAsia="Times New Roman"/>
                <w:sz w:val="20"/>
                <w:szCs w:val="20"/>
              </w:rPr>
            </w:pPr>
            <w:r>
              <w:rPr>
                <w:rFonts w:eastAsia="Times New Roman"/>
                <w:sz w:val="20"/>
                <w:szCs w:val="20"/>
              </w:rPr>
              <w:t>788.7</w:t>
            </w:r>
          </w:p>
        </w:tc>
        <w:tc>
          <w:tcPr>
            <w:tcW w:w="50" w:type="pct"/>
            <w:shd w:val="clear" w:color="auto" w:fill="FFFFFF"/>
            <w:vAlign w:val="bottom"/>
            <w:hideMark/>
          </w:tcPr>
          <w:p w14:paraId="31A329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E98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E056AF"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056A4727" w14:textId="77777777" w:rsidR="00000000" w:rsidRDefault="0053651E">
            <w:pPr>
              <w:jc w:val="right"/>
              <w:rPr>
                <w:rFonts w:eastAsia="Times New Roman"/>
                <w:sz w:val="20"/>
                <w:szCs w:val="20"/>
              </w:rPr>
            </w:pPr>
            <w:r>
              <w:rPr>
                <w:rFonts w:eastAsia="Times New Roman"/>
                <w:sz w:val="20"/>
                <w:szCs w:val="20"/>
              </w:rPr>
              <w:t>848.7</w:t>
            </w:r>
          </w:p>
        </w:tc>
        <w:tc>
          <w:tcPr>
            <w:tcW w:w="50" w:type="pct"/>
            <w:shd w:val="clear" w:color="auto" w:fill="FFFFFF"/>
            <w:vAlign w:val="bottom"/>
            <w:hideMark/>
          </w:tcPr>
          <w:p w14:paraId="593852E5" w14:textId="77777777" w:rsidR="00000000" w:rsidRDefault="0053651E">
            <w:pPr>
              <w:rPr>
                <w:rFonts w:eastAsia="Times New Roman"/>
                <w:sz w:val="20"/>
                <w:szCs w:val="20"/>
              </w:rPr>
            </w:pPr>
            <w:r>
              <w:rPr>
                <w:rFonts w:eastAsia="Times New Roman"/>
                <w:sz w:val="20"/>
                <w:szCs w:val="20"/>
              </w:rPr>
              <w:t> </w:t>
            </w:r>
          </w:p>
        </w:tc>
      </w:tr>
      <w:tr w:rsidR="00000000" w14:paraId="6DBA9D92" w14:textId="77777777">
        <w:trPr>
          <w:tblCellSpacing w:w="0" w:type="dxa"/>
        </w:trPr>
        <w:tc>
          <w:tcPr>
            <w:tcW w:w="0" w:type="auto"/>
            <w:shd w:val="clear" w:color="auto" w:fill="CCEEFF"/>
            <w:vAlign w:val="bottom"/>
            <w:hideMark/>
          </w:tcPr>
          <w:p w14:paraId="4F62B6E4" w14:textId="77777777" w:rsidR="00000000" w:rsidRDefault="0053651E">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14:paraId="190F2AB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5E55DF4"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B52466F" w14:textId="77777777" w:rsidR="00000000" w:rsidRDefault="0053651E">
            <w:pPr>
              <w:jc w:val="right"/>
              <w:rPr>
                <w:rFonts w:eastAsia="Times New Roman"/>
                <w:sz w:val="20"/>
                <w:szCs w:val="20"/>
              </w:rPr>
            </w:pPr>
            <w:r>
              <w:rPr>
                <w:rFonts w:eastAsia="Times New Roman"/>
                <w:sz w:val="20"/>
                <w:szCs w:val="20"/>
              </w:rPr>
              <w:t>83.6</w:t>
            </w:r>
          </w:p>
        </w:tc>
        <w:tc>
          <w:tcPr>
            <w:tcW w:w="50" w:type="pct"/>
            <w:shd w:val="clear" w:color="auto" w:fill="CCEEFF"/>
            <w:tcMar>
              <w:top w:w="0" w:type="dxa"/>
              <w:left w:w="0" w:type="dxa"/>
              <w:bottom w:w="15" w:type="dxa"/>
              <w:right w:w="0" w:type="dxa"/>
            </w:tcMar>
            <w:vAlign w:val="bottom"/>
            <w:hideMark/>
          </w:tcPr>
          <w:p w14:paraId="1E6506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BC6DD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BCF782C"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142155E" w14:textId="77777777" w:rsidR="00000000" w:rsidRDefault="0053651E">
            <w:pPr>
              <w:jc w:val="right"/>
              <w:rPr>
                <w:rFonts w:eastAsia="Times New Roman"/>
                <w:sz w:val="20"/>
                <w:szCs w:val="20"/>
              </w:rPr>
            </w:pPr>
            <w:r>
              <w:rPr>
                <w:rFonts w:eastAsia="Times New Roman"/>
                <w:sz w:val="20"/>
                <w:szCs w:val="20"/>
              </w:rPr>
              <w:t>98.5</w:t>
            </w:r>
          </w:p>
        </w:tc>
        <w:tc>
          <w:tcPr>
            <w:tcW w:w="50" w:type="pct"/>
            <w:shd w:val="clear" w:color="auto" w:fill="CCEEFF"/>
            <w:tcMar>
              <w:top w:w="0" w:type="dxa"/>
              <w:left w:w="0" w:type="dxa"/>
              <w:bottom w:w="15" w:type="dxa"/>
              <w:right w:w="0" w:type="dxa"/>
            </w:tcMar>
            <w:vAlign w:val="bottom"/>
            <w:hideMark/>
          </w:tcPr>
          <w:p w14:paraId="2F3A617C" w14:textId="77777777" w:rsidR="00000000" w:rsidRDefault="0053651E">
            <w:pPr>
              <w:rPr>
                <w:rFonts w:eastAsia="Times New Roman"/>
                <w:sz w:val="20"/>
                <w:szCs w:val="20"/>
              </w:rPr>
            </w:pPr>
            <w:r>
              <w:rPr>
                <w:rFonts w:eastAsia="Times New Roman"/>
                <w:sz w:val="20"/>
                <w:szCs w:val="20"/>
              </w:rPr>
              <w:t> </w:t>
            </w:r>
          </w:p>
        </w:tc>
      </w:tr>
      <w:tr w:rsidR="00000000" w14:paraId="1EFC59B6" w14:textId="77777777">
        <w:trPr>
          <w:tblCellSpacing w:w="0" w:type="dxa"/>
        </w:trPr>
        <w:tc>
          <w:tcPr>
            <w:tcW w:w="0" w:type="auto"/>
            <w:shd w:val="clear" w:color="auto" w:fill="FFFFFF"/>
            <w:vAlign w:val="bottom"/>
            <w:hideMark/>
          </w:tcPr>
          <w:p w14:paraId="2B3BEDD7" w14:textId="77777777" w:rsidR="00000000" w:rsidRDefault="0053651E">
            <w:pPr>
              <w:rPr>
                <w:rFonts w:eastAsia="Times New Roman"/>
                <w:sz w:val="20"/>
                <w:szCs w:val="20"/>
              </w:rPr>
            </w:pPr>
            <w:r>
              <w:rPr>
                <w:rFonts w:eastAsia="Times New Roman"/>
                <w:sz w:val="20"/>
                <w:szCs w:val="20"/>
              </w:rPr>
              <w:t>Total Assets</w:t>
            </w:r>
          </w:p>
        </w:tc>
        <w:tc>
          <w:tcPr>
            <w:tcW w:w="50" w:type="pct"/>
            <w:shd w:val="clear" w:color="auto" w:fill="FFFFFF"/>
            <w:vAlign w:val="bottom"/>
            <w:hideMark/>
          </w:tcPr>
          <w:p w14:paraId="3520181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47F82D"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0308B270" w14:textId="77777777" w:rsidR="00000000" w:rsidRDefault="0053651E">
            <w:pPr>
              <w:jc w:val="right"/>
              <w:rPr>
                <w:rFonts w:eastAsia="Times New Roman"/>
                <w:sz w:val="20"/>
                <w:szCs w:val="20"/>
              </w:rPr>
            </w:pPr>
            <w:r>
              <w:rPr>
                <w:rFonts w:eastAsia="Times New Roman"/>
                <w:sz w:val="20"/>
                <w:szCs w:val="20"/>
              </w:rPr>
              <w:t>872.3</w:t>
            </w:r>
          </w:p>
        </w:tc>
        <w:tc>
          <w:tcPr>
            <w:tcW w:w="50" w:type="pct"/>
            <w:shd w:val="clear" w:color="auto" w:fill="FFFFFF"/>
            <w:tcMar>
              <w:top w:w="0" w:type="dxa"/>
              <w:left w:w="0" w:type="dxa"/>
              <w:bottom w:w="45" w:type="dxa"/>
              <w:right w:w="0" w:type="dxa"/>
            </w:tcMar>
            <w:vAlign w:val="bottom"/>
            <w:hideMark/>
          </w:tcPr>
          <w:p w14:paraId="7FB22F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CABB4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97FA9A1"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019B2B55" w14:textId="77777777" w:rsidR="00000000" w:rsidRDefault="0053651E">
            <w:pPr>
              <w:jc w:val="right"/>
              <w:rPr>
                <w:rFonts w:eastAsia="Times New Roman"/>
                <w:sz w:val="20"/>
                <w:szCs w:val="20"/>
              </w:rPr>
            </w:pPr>
            <w:r>
              <w:rPr>
                <w:rFonts w:eastAsia="Times New Roman"/>
                <w:sz w:val="20"/>
                <w:szCs w:val="20"/>
              </w:rPr>
              <w:t>947.2</w:t>
            </w:r>
          </w:p>
        </w:tc>
        <w:tc>
          <w:tcPr>
            <w:tcW w:w="50" w:type="pct"/>
            <w:shd w:val="clear" w:color="auto" w:fill="FFFFFF"/>
            <w:tcMar>
              <w:top w:w="0" w:type="dxa"/>
              <w:left w:w="0" w:type="dxa"/>
              <w:bottom w:w="45" w:type="dxa"/>
              <w:right w:w="0" w:type="dxa"/>
            </w:tcMar>
            <w:vAlign w:val="bottom"/>
            <w:hideMark/>
          </w:tcPr>
          <w:p w14:paraId="38DA04F1" w14:textId="77777777" w:rsidR="00000000" w:rsidRDefault="0053651E">
            <w:pPr>
              <w:rPr>
                <w:rFonts w:eastAsia="Times New Roman"/>
                <w:sz w:val="20"/>
                <w:szCs w:val="20"/>
              </w:rPr>
            </w:pPr>
            <w:r>
              <w:rPr>
                <w:rFonts w:eastAsia="Times New Roman"/>
                <w:sz w:val="20"/>
                <w:szCs w:val="20"/>
              </w:rPr>
              <w:t> </w:t>
            </w:r>
          </w:p>
        </w:tc>
      </w:tr>
      <w:tr w:rsidR="00000000" w14:paraId="334EF682" w14:textId="77777777">
        <w:trPr>
          <w:tblCellSpacing w:w="0" w:type="dxa"/>
        </w:trPr>
        <w:tc>
          <w:tcPr>
            <w:tcW w:w="0" w:type="auto"/>
            <w:shd w:val="clear" w:color="auto" w:fill="CCEEFF"/>
            <w:vAlign w:val="bottom"/>
            <w:hideMark/>
          </w:tcPr>
          <w:p w14:paraId="520A56FC" w14:textId="77777777" w:rsidR="00000000" w:rsidRDefault="0053651E">
            <w:pPr>
              <w:pStyle w:val="a3"/>
              <w:spacing w:before="0" w:beforeAutospacing="0" w:after="0" w:afterAutospacing="0"/>
              <w:rPr>
                <w:sz w:val="20"/>
                <w:szCs w:val="20"/>
              </w:rPr>
            </w:pPr>
            <w:r>
              <w:rPr>
                <w:sz w:val="20"/>
                <w:szCs w:val="20"/>
              </w:rPr>
              <w:t>Liabilities and Partners’/Members’ Capital:</w:t>
            </w:r>
          </w:p>
        </w:tc>
        <w:tc>
          <w:tcPr>
            <w:tcW w:w="0" w:type="auto"/>
            <w:shd w:val="clear" w:color="auto" w:fill="CCEEFF"/>
            <w:vAlign w:val="bottom"/>
            <w:hideMark/>
          </w:tcPr>
          <w:p w14:paraId="71B7E0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8CDF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29B5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EB9F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F207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896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606A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949BE" w14:textId="77777777" w:rsidR="00000000" w:rsidRDefault="0053651E">
            <w:pPr>
              <w:rPr>
                <w:rFonts w:eastAsia="Times New Roman"/>
                <w:sz w:val="20"/>
                <w:szCs w:val="20"/>
              </w:rPr>
            </w:pPr>
            <w:r>
              <w:rPr>
                <w:rFonts w:eastAsia="Times New Roman"/>
                <w:sz w:val="20"/>
                <w:szCs w:val="20"/>
              </w:rPr>
              <w:t> </w:t>
            </w:r>
          </w:p>
        </w:tc>
      </w:tr>
      <w:tr w:rsidR="00000000" w14:paraId="33AE8606" w14:textId="77777777">
        <w:trPr>
          <w:tblCellSpacing w:w="0" w:type="dxa"/>
        </w:trPr>
        <w:tc>
          <w:tcPr>
            <w:tcW w:w="0" w:type="auto"/>
            <w:shd w:val="clear" w:color="auto" w:fill="FFFFFF"/>
            <w:vAlign w:val="bottom"/>
            <w:hideMark/>
          </w:tcPr>
          <w:p w14:paraId="7753B60F" w14:textId="77777777" w:rsidR="00000000" w:rsidRDefault="0053651E">
            <w:pPr>
              <w:pStyle w:val="a3"/>
              <w:spacing w:before="0" w:beforeAutospacing="0" w:after="0" w:afterAutospacing="0"/>
              <w:ind w:left="180"/>
              <w:rPr>
                <w:sz w:val="20"/>
                <w:szCs w:val="20"/>
              </w:rPr>
            </w:pPr>
            <w:r>
              <w:rPr>
                <w:sz w:val="20"/>
                <w:szCs w:val="20"/>
              </w:rPr>
              <w:t>Notes payable, net</w:t>
            </w:r>
          </w:p>
        </w:tc>
        <w:tc>
          <w:tcPr>
            <w:tcW w:w="50" w:type="pct"/>
            <w:shd w:val="clear" w:color="auto" w:fill="FFFFFF"/>
            <w:vAlign w:val="bottom"/>
            <w:hideMark/>
          </w:tcPr>
          <w:p w14:paraId="617C5F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6F3DFF"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75AA4AC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103D1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800C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61BD7A"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79AEB1D5" w14:textId="77777777" w:rsidR="00000000" w:rsidRDefault="0053651E">
            <w:pPr>
              <w:jc w:val="right"/>
              <w:rPr>
                <w:rFonts w:eastAsia="Times New Roman"/>
                <w:sz w:val="20"/>
                <w:szCs w:val="20"/>
              </w:rPr>
            </w:pPr>
            <w:r>
              <w:rPr>
                <w:rFonts w:eastAsia="Times New Roman"/>
                <w:sz w:val="20"/>
                <w:szCs w:val="20"/>
              </w:rPr>
              <w:t>73.0</w:t>
            </w:r>
          </w:p>
        </w:tc>
        <w:tc>
          <w:tcPr>
            <w:tcW w:w="50" w:type="pct"/>
            <w:shd w:val="clear" w:color="auto" w:fill="FFFFFF"/>
            <w:vAlign w:val="bottom"/>
            <w:hideMark/>
          </w:tcPr>
          <w:p w14:paraId="3DE92147" w14:textId="77777777" w:rsidR="00000000" w:rsidRDefault="0053651E">
            <w:pPr>
              <w:rPr>
                <w:rFonts w:eastAsia="Times New Roman"/>
                <w:sz w:val="20"/>
                <w:szCs w:val="20"/>
              </w:rPr>
            </w:pPr>
            <w:r>
              <w:rPr>
                <w:rFonts w:eastAsia="Times New Roman"/>
                <w:sz w:val="20"/>
                <w:szCs w:val="20"/>
              </w:rPr>
              <w:t> </w:t>
            </w:r>
          </w:p>
        </w:tc>
      </w:tr>
      <w:tr w:rsidR="00000000" w14:paraId="12483638" w14:textId="77777777">
        <w:trPr>
          <w:tblCellSpacing w:w="0" w:type="dxa"/>
        </w:trPr>
        <w:tc>
          <w:tcPr>
            <w:tcW w:w="0" w:type="auto"/>
            <w:shd w:val="clear" w:color="auto" w:fill="CCEEFF"/>
            <w:vAlign w:val="bottom"/>
            <w:hideMark/>
          </w:tcPr>
          <w:p w14:paraId="495856DE" w14:textId="77777777" w:rsidR="00000000" w:rsidRDefault="0053651E">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14:paraId="5D094F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39CF9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9DD7B0B" w14:textId="77777777" w:rsidR="00000000" w:rsidRDefault="0053651E">
            <w:pPr>
              <w:jc w:val="right"/>
              <w:rPr>
                <w:rFonts w:eastAsia="Times New Roman"/>
                <w:sz w:val="20"/>
                <w:szCs w:val="20"/>
              </w:rPr>
            </w:pPr>
            <w:r>
              <w:rPr>
                <w:rFonts w:eastAsia="Times New Roman"/>
                <w:sz w:val="20"/>
                <w:szCs w:val="20"/>
              </w:rPr>
              <w:t>556.0</w:t>
            </w:r>
          </w:p>
        </w:tc>
        <w:tc>
          <w:tcPr>
            <w:tcW w:w="50" w:type="pct"/>
            <w:shd w:val="clear" w:color="auto" w:fill="CCEEFF"/>
            <w:vAlign w:val="bottom"/>
            <w:hideMark/>
          </w:tcPr>
          <w:p w14:paraId="50C62E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FCB9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66E702"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DB90593" w14:textId="77777777" w:rsidR="00000000" w:rsidRDefault="0053651E">
            <w:pPr>
              <w:jc w:val="right"/>
              <w:rPr>
                <w:rFonts w:eastAsia="Times New Roman"/>
                <w:sz w:val="20"/>
                <w:szCs w:val="20"/>
              </w:rPr>
            </w:pPr>
            <w:r>
              <w:rPr>
                <w:rFonts w:eastAsia="Times New Roman"/>
                <w:sz w:val="20"/>
                <w:szCs w:val="20"/>
              </w:rPr>
              <w:t>578.5</w:t>
            </w:r>
          </w:p>
        </w:tc>
        <w:tc>
          <w:tcPr>
            <w:tcW w:w="50" w:type="pct"/>
            <w:shd w:val="clear" w:color="auto" w:fill="CCEEFF"/>
            <w:vAlign w:val="bottom"/>
            <w:hideMark/>
          </w:tcPr>
          <w:p w14:paraId="1E17CE0B" w14:textId="77777777" w:rsidR="00000000" w:rsidRDefault="0053651E">
            <w:pPr>
              <w:rPr>
                <w:rFonts w:eastAsia="Times New Roman"/>
                <w:sz w:val="20"/>
                <w:szCs w:val="20"/>
              </w:rPr>
            </w:pPr>
            <w:r>
              <w:rPr>
                <w:rFonts w:eastAsia="Times New Roman"/>
                <w:sz w:val="20"/>
                <w:szCs w:val="20"/>
              </w:rPr>
              <w:t> </w:t>
            </w:r>
          </w:p>
        </w:tc>
      </w:tr>
      <w:tr w:rsidR="00000000" w14:paraId="29E46D50" w14:textId="77777777">
        <w:trPr>
          <w:tblCellSpacing w:w="0" w:type="dxa"/>
        </w:trPr>
        <w:tc>
          <w:tcPr>
            <w:tcW w:w="0" w:type="auto"/>
            <w:shd w:val="clear" w:color="auto" w:fill="FFFFFF"/>
            <w:vAlign w:val="bottom"/>
            <w:hideMark/>
          </w:tcPr>
          <w:p w14:paraId="7754BAFD" w14:textId="77777777" w:rsidR="00000000" w:rsidRDefault="0053651E">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14:paraId="089662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3BE34A"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08B5690" w14:textId="77777777" w:rsidR="00000000" w:rsidRDefault="0053651E">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14:paraId="2C84B3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E6D9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28EBA7"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4E52E20" w14:textId="77777777" w:rsidR="00000000" w:rsidRDefault="0053651E">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27274DE7" w14:textId="77777777" w:rsidR="00000000" w:rsidRDefault="0053651E">
            <w:pPr>
              <w:rPr>
                <w:rFonts w:eastAsia="Times New Roman"/>
                <w:sz w:val="20"/>
                <w:szCs w:val="20"/>
              </w:rPr>
            </w:pPr>
            <w:r>
              <w:rPr>
                <w:rFonts w:eastAsia="Times New Roman"/>
                <w:sz w:val="20"/>
                <w:szCs w:val="20"/>
              </w:rPr>
              <w:t> </w:t>
            </w:r>
          </w:p>
        </w:tc>
      </w:tr>
      <w:tr w:rsidR="00000000" w14:paraId="6E7D326E" w14:textId="77777777">
        <w:trPr>
          <w:tblCellSpacing w:w="0" w:type="dxa"/>
        </w:trPr>
        <w:tc>
          <w:tcPr>
            <w:tcW w:w="0" w:type="auto"/>
            <w:shd w:val="clear" w:color="auto" w:fill="CCEEFF"/>
            <w:vAlign w:val="bottom"/>
            <w:hideMark/>
          </w:tcPr>
          <w:p w14:paraId="3B425A19" w14:textId="77777777" w:rsidR="00000000" w:rsidRDefault="0053651E">
            <w:pPr>
              <w:pStyle w:val="a3"/>
              <w:spacing w:before="0" w:beforeAutospacing="0" w:after="0" w:afterAutospacing="0"/>
              <w:ind w:left="180"/>
              <w:rPr>
                <w:sz w:val="20"/>
                <w:szCs w:val="20"/>
              </w:rPr>
            </w:pPr>
            <w:r>
              <w:rPr>
                <w:sz w:val="20"/>
                <w:szCs w:val="20"/>
              </w:rPr>
              <w:t>Members’ capital</w:t>
            </w:r>
          </w:p>
        </w:tc>
        <w:tc>
          <w:tcPr>
            <w:tcW w:w="50" w:type="pct"/>
            <w:shd w:val="clear" w:color="auto" w:fill="CCEEFF"/>
            <w:vAlign w:val="bottom"/>
            <w:hideMark/>
          </w:tcPr>
          <w:p w14:paraId="7B87483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FEA9611"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58BB842" w14:textId="77777777" w:rsidR="00000000" w:rsidRDefault="0053651E">
            <w:pPr>
              <w:jc w:val="right"/>
              <w:rPr>
                <w:rFonts w:eastAsia="Times New Roman"/>
                <w:sz w:val="20"/>
                <w:szCs w:val="20"/>
              </w:rPr>
            </w:pPr>
            <w:r>
              <w:rPr>
                <w:rFonts w:eastAsia="Times New Roman"/>
                <w:sz w:val="20"/>
                <w:szCs w:val="20"/>
              </w:rPr>
              <w:t>300.0</w:t>
            </w:r>
          </w:p>
        </w:tc>
        <w:tc>
          <w:tcPr>
            <w:tcW w:w="50" w:type="pct"/>
            <w:shd w:val="clear" w:color="auto" w:fill="CCEEFF"/>
            <w:tcMar>
              <w:top w:w="0" w:type="dxa"/>
              <w:left w:w="0" w:type="dxa"/>
              <w:bottom w:w="15" w:type="dxa"/>
              <w:right w:w="0" w:type="dxa"/>
            </w:tcMar>
            <w:vAlign w:val="bottom"/>
            <w:hideMark/>
          </w:tcPr>
          <w:p w14:paraId="4C288A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5BF7D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540D943"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3DBC278" w14:textId="77777777" w:rsidR="00000000" w:rsidRDefault="0053651E">
            <w:pPr>
              <w:jc w:val="right"/>
              <w:rPr>
                <w:rFonts w:eastAsia="Times New Roman"/>
                <w:sz w:val="20"/>
                <w:szCs w:val="20"/>
              </w:rPr>
            </w:pPr>
            <w:r>
              <w:rPr>
                <w:rFonts w:eastAsia="Times New Roman"/>
                <w:sz w:val="20"/>
                <w:szCs w:val="20"/>
              </w:rPr>
              <w:t>275.7</w:t>
            </w:r>
          </w:p>
        </w:tc>
        <w:tc>
          <w:tcPr>
            <w:tcW w:w="50" w:type="pct"/>
            <w:shd w:val="clear" w:color="auto" w:fill="CCEEFF"/>
            <w:tcMar>
              <w:top w:w="0" w:type="dxa"/>
              <w:left w:w="0" w:type="dxa"/>
              <w:bottom w:w="15" w:type="dxa"/>
              <w:right w:w="0" w:type="dxa"/>
            </w:tcMar>
            <w:vAlign w:val="bottom"/>
            <w:hideMark/>
          </w:tcPr>
          <w:p w14:paraId="00C05B5A" w14:textId="77777777" w:rsidR="00000000" w:rsidRDefault="0053651E">
            <w:pPr>
              <w:rPr>
                <w:rFonts w:eastAsia="Times New Roman"/>
                <w:sz w:val="20"/>
                <w:szCs w:val="20"/>
              </w:rPr>
            </w:pPr>
            <w:r>
              <w:rPr>
                <w:rFonts w:eastAsia="Times New Roman"/>
                <w:sz w:val="20"/>
                <w:szCs w:val="20"/>
              </w:rPr>
              <w:t> </w:t>
            </w:r>
          </w:p>
        </w:tc>
      </w:tr>
      <w:tr w:rsidR="00000000" w14:paraId="26E219B5" w14:textId="77777777">
        <w:trPr>
          <w:tblCellSpacing w:w="0" w:type="dxa"/>
        </w:trPr>
        <w:tc>
          <w:tcPr>
            <w:tcW w:w="0" w:type="auto"/>
            <w:shd w:val="clear" w:color="auto" w:fill="FFFFFF"/>
            <w:vAlign w:val="bottom"/>
            <w:hideMark/>
          </w:tcPr>
          <w:p w14:paraId="5404A2A4" w14:textId="77777777" w:rsidR="00000000" w:rsidRDefault="0053651E">
            <w:pPr>
              <w:rPr>
                <w:rFonts w:eastAsia="Times New Roman"/>
                <w:sz w:val="20"/>
                <w:szCs w:val="20"/>
              </w:rPr>
            </w:pPr>
            <w:r>
              <w:rPr>
                <w:rFonts w:eastAsia="Times New Roman"/>
                <w:sz w:val="20"/>
                <w:szCs w:val="20"/>
              </w:rPr>
              <w:t>Total Liabilities and Partners'/Members Capital</w:t>
            </w:r>
          </w:p>
        </w:tc>
        <w:tc>
          <w:tcPr>
            <w:tcW w:w="50" w:type="pct"/>
            <w:shd w:val="clear" w:color="auto" w:fill="FFFFFF"/>
            <w:vAlign w:val="bottom"/>
            <w:hideMark/>
          </w:tcPr>
          <w:p w14:paraId="50E05C8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A4B4113"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440C440D" w14:textId="77777777" w:rsidR="00000000" w:rsidRDefault="0053651E">
            <w:pPr>
              <w:jc w:val="right"/>
              <w:rPr>
                <w:rFonts w:eastAsia="Times New Roman"/>
                <w:sz w:val="20"/>
                <w:szCs w:val="20"/>
              </w:rPr>
            </w:pPr>
            <w:r>
              <w:rPr>
                <w:rFonts w:eastAsia="Times New Roman"/>
                <w:sz w:val="20"/>
                <w:szCs w:val="20"/>
              </w:rPr>
              <w:t>872.3</w:t>
            </w:r>
          </w:p>
        </w:tc>
        <w:tc>
          <w:tcPr>
            <w:tcW w:w="50" w:type="pct"/>
            <w:shd w:val="clear" w:color="auto" w:fill="FFFFFF"/>
            <w:tcMar>
              <w:top w:w="0" w:type="dxa"/>
              <w:left w:w="0" w:type="dxa"/>
              <w:bottom w:w="45" w:type="dxa"/>
              <w:right w:w="0" w:type="dxa"/>
            </w:tcMar>
            <w:vAlign w:val="bottom"/>
            <w:hideMark/>
          </w:tcPr>
          <w:p w14:paraId="259B91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37E81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7D05AAD"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3F339D41" w14:textId="77777777" w:rsidR="00000000" w:rsidRDefault="0053651E">
            <w:pPr>
              <w:jc w:val="right"/>
              <w:rPr>
                <w:rFonts w:eastAsia="Times New Roman"/>
                <w:sz w:val="20"/>
                <w:szCs w:val="20"/>
              </w:rPr>
            </w:pPr>
            <w:r>
              <w:rPr>
                <w:rFonts w:eastAsia="Times New Roman"/>
                <w:sz w:val="20"/>
                <w:szCs w:val="20"/>
              </w:rPr>
              <w:t>947.2</w:t>
            </w:r>
          </w:p>
        </w:tc>
        <w:tc>
          <w:tcPr>
            <w:tcW w:w="50" w:type="pct"/>
            <w:shd w:val="clear" w:color="auto" w:fill="FFFFFF"/>
            <w:tcMar>
              <w:top w:w="0" w:type="dxa"/>
              <w:left w:w="0" w:type="dxa"/>
              <w:bottom w:w="45" w:type="dxa"/>
              <w:right w:w="0" w:type="dxa"/>
            </w:tcMar>
            <w:vAlign w:val="bottom"/>
            <w:hideMark/>
          </w:tcPr>
          <w:p w14:paraId="3A248A80" w14:textId="77777777" w:rsidR="00000000" w:rsidRDefault="0053651E">
            <w:pPr>
              <w:rPr>
                <w:rFonts w:eastAsia="Times New Roman"/>
                <w:sz w:val="20"/>
                <w:szCs w:val="20"/>
              </w:rPr>
            </w:pPr>
            <w:r>
              <w:rPr>
                <w:rFonts w:eastAsia="Times New Roman"/>
                <w:sz w:val="20"/>
                <w:szCs w:val="20"/>
              </w:rPr>
              <w:t> </w:t>
            </w:r>
          </w:p>
        </w:tc>
      </w:tr>
    </w:tbl>
    <w:p w14:paraId="4B00F9FD" w14:textId="77777777" w:rsidR="00000000" w:rsidRDefault="0053651E">
      <w:pPr>
        <w:pStyle w:val="a3"/>
        <w:spacing w:before="0" w:beforeAutospacing="0" w:after="0" w:afterAutospacing="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7"/>
        <w:gridCol w:w="61"/>
        <w:gridCol w:w="100"/>
        <w:gridCol w:w="1049"/>
        <w:gridCol w:w="67"/>
        <w:gridCol w:w="56"/>
        <w:gridCol w:w="100"/>
        <w:gridCol w:w="1049"/>
        <w:gridCol w:w="67"/>
        <w:gridCol w:w="57"/>
        <w:gridCol w:w="100"/>
        <w:gridCol w:w="1050"/>
        <w:gridCol w:w="67"/>
      </w:tblGrid>
      <w:tr w:rsidR="00000000" w14:paraId="2E110C3C" w14:textId="77777777">
        <w:trPr>
          <w:tblCellSpacing w:w="0" w:type="dxa"/>
        </w:trPr>
        <w:tc>
          <w:tcPr>
            <w:tcW w:w="0" w:type="auto"/>
            <w:vAlign w:val="bottom"/>
            <w:hideMark/>
          </w:tcPr>
          <w:p w14:paraId="7F83327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7337A48"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3CE71CF5"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094EC610" w14:textId="77777777" w:rsidR="00000000" w:rsidRDefault="0053651E">
            <w:pPr>
              <w:rPr>
                <w:rFonts w:eastAsia="Times New Roman"/>
                <w:sz w:val="20"/>
                <w:szCs w:val="20"/>
              </w:rPr>
            </w:pPr>
            <w:r>
              <w:rPr>
                <w:rFonts w:eastAsia="Times New Roman"/>
                <w:sz w:val="20"/>
                <w:szCs w:val="20"/>
              </w:rPr>
              <w:t> </w:t>
            </w:r>
          </w:p>
        </w:tc>
      </w:tr>
      <w:tr w:rsidR="00000000" w14:paraId="63875D8E" w14:textId="77777777">
        <w:trPr>
          <w:tblCellSpacing w:w="0" w:type="dxa"/>
        </w:trPr>
        <w:tc>
          <w:tcPr>
            <w:tcW w:w="0" w:type="auto"/>
            <w:vAlign w:val="bottom"/>
            <w:hideMark/>
          </w:tcPr>
          <w:p w14:paraId="5F0F2B0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3F234C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DDEDD6D"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9E18E7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D234C5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E3468AA"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BA0317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B96E89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64D4F3"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324A32B0" w14:textId="77777777" w:rsidR="00000000" w:rsidRDefault="0053651E">
            <w:pPr>
              <w:rPr>
                <w:rFonts w:eastAsia="Times New Roman"/>
                <w:sz w:val="20"/>
                <w:szCs w:val="20"/>
              </w:rPr>
            </w:pPr>
            <w:r>
              <w:rPr>
                <w:rFonts w:eastAsia="Times New Roman"/>
                <w:sz w:val="20"/>
                <w:szCs w:val="20"/>
              </w:rPr>
              <w:t> </w:t>
            </w:r>
          </w:p>
        </w:tc>
      </w:tr>
      <w:tr w:rsidR="00000000" w14:paraId="0DAB868B" w14:textId="77777777">
        <w:trPr>
          <w:tblCellSpacing w:w="0" w:type="dxa"/>
        </w:trPr>
        <w:tc>
          <w:tcPr>
            <w:tcW w:w="2300" w:type="pct"/>
            <w:shd w:val="clear" w:color="auto" w:fill="CCEEFF"/>
            <w:vAlign w:val="bottom"/>
            <w:hideMark/>
          </w:tcPr>
          <w:p w14:paraId="5B1D05B3" w14:textId="77777777" w:rsidR="00000000" w:rsidRDefault="0053651E">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14:paraId="03707A3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D0CA5A9"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93C0189" w14:textId="77777777" w:rsidR="00000000" w:rsidRDefault="0053651E">
            <w:pPr>
              <w:jc w:val="right"/>
              <w:rPr>
                <w:rFonts w:eastAsia="Times New Roman"/>
                <w:sz w:val="20"/>
                <w:szCs w:val="20"/>
              </w:rPr>
            </w:pPr>
            <w:r>
              <w:rPr>
                <w:rFonts w:eastAsia="Times New Roman"/>
                <w:sz w:val="20"/>
                <w:szCs w:val="20"/>
              </w:rPr>
              <w:t>193.6</w:t>
            </w:r>
          </w:p>
        </w:tc>
        <w:tc>
          <w:tcPr>
            <w:tcW w:w="50" w:type="pct"/>
            <w:tcBorders>
              <w:bottom w:val="nil"/>
            </w:tcBorders>
            <w:shd w:val="clear" w:color="auto" w:fill="CCEEFF"/>
            <w:vAlign w:val="bottom"/>
            <w:hideMark/>
          </w:tcPr>
          <w:p w14:paraId="4E13C70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7C629D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840B51D"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2570EB5C" w14:textId="77777777" w:rsidR="00000000" w:rsidRDefault="0053651E">
            <w:pPr>
              <w:jc w:val="right"/>
              <w:rPr>
                <w:rFonts w:eastAsia="Times New Roman"/>
                <w:sz w:val="20"/>
                <w:szCs w:val="20"/>
              </w:rPr>
            </w:pPr>
            <w:r>
              <w:rPr>
                <w:rFonts w:eastAsia="Times New Roman"/>
                <w:sz w:val="20"/>
                <w:szCs w:val="20"/>
              </w:rPr>
              <w:t>197.2</w:t>
            </w:r>
          </w:p>
        </w:tc>
        <w:tc>
          <w:tcPr>
            <w:tcW w:w="50" w:type="pct"/>
            <w:tcBorders>
              <w:bottom w:val="nil"/>
            </w:tcBorders>
            <w:shd w:val="clear" w:color="auto" w:fill="CCEEFF"/>
            <w:vAlign w:val="bottom"/>
            <w:hideMark/>
          </w:tcPr>
          <w:p w14:paraId="7801E96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C6340F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6BF76EF"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7A425B67" w14:textId="77777777" w:rsidR="00000000" w:rsidRDefault="0053651E">
            <w:pPr>
              <w:jc w:val="right"/>
              <w:rPr>
                <w:rFonts w:eastAsia="Times New Roman"/>
                <w:sz w:val="20"/>
                <w:szCs w:val="20"/>
              </w:rPr>
            </w:pPr>
            <w:r>
              <w:rPr>
                <w:rFonts w:eastAsia="Times New Roman"/>
                <w:sz w:val="20"/>
                <w:szCs w:val="20"/>
              </w:rPr>
              <w:t>198.9</w:t>
            </w:r>
          </w:p>
        </w:tc>
        <w:tc>
          <w:tcPr>
            <w:tcW w:w="50" w:type="pct"/>
            <w:tcBorders>
              <w:bottom w:val="nil"/>
            </w:tcBorders>
            <w:shd w:val="clear" w:color="auto" w:fill="CCEEFF"/>
            <w:vAlign w:val="bottom"/>
            <w:hideMark/>
          </w:tcPr>
          <w:p w14:paraId="5EB9818A" w14:textId="77777777" w:rsidR="00000000" w:rsidRDefault="0053651E">
            <w:pPr>
              <w:rPr>
                <w:rFonts w:eastAsia="Times New Roman"/>
                <w:sz w:val="20"/>
                <w:szCs w:val="20"/>
              </w:rPr>
            </w:pPr>
            <w:r>
              <w:rPr>
                <w:rFonts w:eastAsia="Times New Roman"/>
                <w:sz w:val="20"/>
                <w:szCs w:val="20"/>
              </w:rPr>
              <w:t> </w:t>
            </w:r>
          </w:p>
        </w:tc>
      </w:tr>
      <w:tr w:rsidR="00000000" w14:paraId="205110AC" w14:textId="77777777">
        <w:trPr>
          <w:tblCellSpacing w:w="0" w:type="dxa"/>
        </w:trPr>
        <w:tc>
          <w:tcPr>
            <w:tcW w:w="0" w:type="auto"/>
            <w:shd w:val="clear" w:color="auto" w:fill="FFFFFF"/>
            <w:vAlign w:val="bottom"/>
            <w:hideMark/>
          </w:tcPr>
          <w:p w14:paraId="08553C32" w14:textId="77777777" w:rsidR="00000000" w:rsidRDefault="0053651E">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14:paraId="48F2F8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30174E"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BFAD24B" w14:textId="77777777" w:rsidR="00000000" w:rsidRDefault="0053651E">
            <w:pPr>
              <w:jc w:val="right"/>
              <w:rPr>
                <w:rFonts w:eastAsia="Times New Roman"/>
                <w:sz w:val="20"/>
                <w:szCs w:val="20"/>
              </w:rPr>
            </w:pPr>
            <w:r>
              <w:rPr>
                <w:rFonts w:eastAsia="Times New Roman"/>
                <w:sz w:val="20"/>
                <w:szCs w:val="20"/>
              </w:rPr>
              <w:t>(51.0</w:t>
            </w:r>
          </w:p>
        </w:tc>
        <w:tc>
          <w:tcPr>
            <w:tcW w:w="50" w:type="pct"/>
            <w:shd w:val="clear" w:color="auto" w:fill="FFFFFF"/>
            <w:vAlign w:val="bottom"/>
            <w:hideMark/>
          </w:tcPr>
          <w:p w14:paraId="7062619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94779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16EA7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82D6253" w14:textId="77777777" w:rsidR="00000000" w:rsidRDefault="0053651E">
            <w:pPr>
              <w:jc w:val="right"/>
              <w:rPr>
                <w:rFonts w:eastAsia="Times New Roman"/>
                <w:sz w:val="20"/>
                <w:szCs w:val="20"/>
              </w:rPr>
            </w:pPr>
            <w:r>
              <w:rPr>
                <w:rFonts w:eastAsia="Times New Roman"/>
                <w:sz w:val="20"/>
                <w:szCs w:val="20"/>
              </w:rPr>
              <w:t>(53.3</w:t>
            </w:r>
          </w:p>
        </w:tc>
        <w:tc>
          <w:tcPr>
            <w:tcW w:w="50" w:type="pct"/>
            <w:shd w:val="clear" w:color="auto" w:fill="FFFFFF"/>
            <w:vAlign w:val="bottom"/>
            <w:hideMark/>
          </w:tcPr>
          <w:p w14:paraId="5021B92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8C822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F07BD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4CBEB94" w14:textId="77777777" w:rsidR="00000000" w:rsidRDefault="0053651E">
            <w:pPr>
              <w:jc w:val="right"/>
              <w:rPr>
                <w:rFonts w:eastAsia="Times New Roman"/>
                <w:sz w:val="20"/>
                <w:szCs w:val="20"/>
              </w:rPr>
            </w:pPr>
            <w:r>
              <w:rPr>
                <w:rFonts w:eastAsia="Times New Roman"/>
                <w:sz w:val="20"/>
                <w:szCs w:val="20"/>
              </w:rPr>
              <w:t>(55.5</w:t>
            </w:r>
          </w:p>
        </w:tc>
        <w:tc>
          <w:tcPr>
            <w:tcW w:w="50" w:type="pct"/>
            <w:shd w:val="clear" w:color="auto" w:fill="FFFFFF"/>
            <w:vAlign w:val="bottom"/>
            <w:hideMark/>
          </w:tcPr>
          <w:p w14:paraId="2E196C00" w14:textId="77777777" w:rsidR="00000000" w:rsidRDefault="0053651E">
            <w:pPr>
              <w:rPr>
                <w:rFonts w:eastAsia="Times New Roman"/>
                <w:sz w:val="20"/>
                <w:szCs w:val="20"/>
              </w:rPr>
            </w:pPr>
            <w:r>
              <w:rPr>
                <w:rFonts w:eastAsia="Times New Roman"/>
                <w:sz w:val="20"/>
                <w:szCs w:val="20"/>
              </w:rPr>
              <w:t>)</w:t>
            </w:r>
          </w:p>
        </w:tc>
      </w:tr>
      <w:tr w:rsidR="00000000" w14:paraId="521F9857" w14:textId="77777777">
        <w:trPr>
          <w:tblCellSpacing w:w="0" w:type="dxa"/>
        </w:trPr>
        <w:tc>
          <w:tcPr>
            <w:tcW w:w="0" w:type="auto"/>
            <w:shd w:val="clear" w:color="auto" w:fill="CCEEFF"/>
            <w:vAlign w:val="bottom"/>
            <w:hideMark/>
          </w:tcPr>
          <w:p w14:paraId="60F953B3" w14:textId="77777777" w:rsidR="00000000" w:rsidRDefault="0053651E">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14:paraId="580CE3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7602D0"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75697C4" w14:textId="77777777" w:rsidR="00000000" w:rsidRDefault="0053651E">
            <w:pPr>
              <w:jc w:val="right"/>
              <w:rPr>
                <w:rFonts w:eastAsia="Times New Roman"/>
                <w:sz w:val="20"/>
                <w:szCs w:val="20"/>
              </w:rPr>
            </w:pPr>
            <w:r>
              <w:rPr>
                <w:rFonts w:eastAsia="Times New Roman"/>
                <w:sz w:val="20"/>
                <w:szCs w:val="20"/>
              </w:rPr>
              <w:t>(38.0</w:t>
            </w:r>
          </w:p>
        </w:tc>
        <w:tc>
          <w:tcPr>
            <w:tcW w:w="50" w:type="pct"/>
            <w:shd w:val="clear" w:color="auto" w:fill="CCEEFF"/>
            <w:vAlign w:val="bottom"/>
            <w:hideMark/>
          </w:tcPr>
          <w:p w14:paraId="4009088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5981B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53F17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A6306DE" w14:textId="77777777" w:rsidR="00000000" w:rsidRDefault="0053651E">
            <w:pPr>
              <w:jc w:val="right"/>
              <w:rPr>
                <w:rFonts w:eastAsia="Times New Roman"/>
                <w:sz w:val="20"/>
                <w:szCs w:val="20"/>
              </w:rPr>
            </w:pPr>
            <w:r>
              <w:rPr>
                <w:rFonts w:eastAsia="Times New Roman"/>
                <w:sz w:val="20"/>
                <w:szCs w:val="20"/>
              </w:rPr>
              <w:t>(42.2</w:t>
            </w:r>
          </w:p>
        </w:tc>
        <w:tc>
          <w:tcPr>
            <w:tcW w:w="50" w:type="pct"/>
            <w:shd w:val="clear" w:color="auto" w:fill="CCEEFF"/>
            <w:vAlign w:val="bottom"/>
            <w:hideMark/>
          </w:tcPr>
          <w:p w14:paraId="240B6C0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53C52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3B07F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1AE4768" w14:textId="77777777" w:rsidR="00000000" w:rsidRDefault="0053651E">
            <w:pPr>
              <w:jc w:val="right"/>
              <w:rPr>
                <w:rFonts w:eastAsia="Times New Roman"/>
                <w:sz w:val="20"/>
                <w:szCs w:val="20"/>
              </w:rPr>
            </w:pPr>
            <w:r>
              <w:rPr>
                <w:rFonts w:eastAsia="Times New Roman"/>
                <w:sz w:val="20"/>
                <w:szCs w:val="20"/>
              </w:rPr>
              <w:t>(39.4</w:t>
            </w:r>
          </w:p>
        </w:tc>
        <w:tc>
          <w:tcPr>
            <w:tcW w:w="50" w:type="pct"/>
            <w:shd w:val="clear" w:color="auto" w:fill="CCEEFF"/>
            <w:vAlign w:val="bottom"/>
            <w:hideMark/>
          </w:tcPr>
          <w:p w14:paraId="05F63A1A" w14:textId="77777777" w:rsidR="00000000" w:rsidRDefault="0053651E">
            <w:pPr>
              <w:rPr>
                <w:rFonts w:eastAsia="Times New Roman"/>
                <w:sz w:val="20"/>
                <w:szCs w:val="20"/>
              </w:rPr>
            </w:pPr>
            <w:r>
              <w:rPr>
                <w:rFonts w:eastAsia="Times New Roman"/>
                <w:sz w:val="20"/>
                <w:szCs w:val="20"/>
              </w:rPr>
              <w:t>)</w:t>
            </w:r>
          </w:p>
        </w:tc>
      </w:tr>
      <w:tr w:rsidR="00000000" w14:paraId="237AA9DC" w14:textId="77777777">
        <w:trPr>
          <w:tblCellSpacing w:w="0" w:type="dxa"/>
        </w:trPr>
        <w:tc>
          <w:tcPr>
            <w:tcW w:w="0" w:type="auto"/>
            <w:shd w:val="clear" w:color="auto" w:fill="FFFFFF"/>
            <w:vAlign w:val="bottom"/>
            <w:hideMark/>
          </w:tcPr>
          <w:p w14:paraId="2124117B" w14:textId="77777777" w:rsidR="00000000" w:rsidRDefault="0053651E">
            <w:pPr>
              <w:pStyle w:val="a3"/>
              <w:spacing w:before="0" w:beforeAutospacing="0" w:after="0" w:afterAutospacing="0"/>
              <w:rPr>
                <w:sz w:val="20"/>
                <w:szCs w:val="20"/>
              </w:rPr>
            </w:pPr>
            <w:r>
              <w:rPr>
                <w:sz w:val="20"/>
                <w:szCs w:val="20"/>
              </w:rPr>
              <w:t>Gain on sale of operating properties</w:t>
            </w:r>
          </w:p>
        </w:tc>
        <w:tc>
          <w:tcPr>
            <w:tcW w:w="50" w:type="pct"/>
            <w:shd w:val="clear" w:color="auto" w:fill="FFFFFF"/>
            <w:vAlign w:val="bottom"/>
            <w:hideMark/>
          </w:tcPr>
          <w:p w14:paraId="7FBF67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EA3FEC"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1A329DB" w14:textId="77777777" w:rsidR="00000000" w:rsidRDefault="0053651E">
            <w:pPr>
              <w:jc w:val="right"/>
              <w:rPr>
                <w:rFonts w:eastAsia="Times New Roman"/>
                <w:sz w:val="20"/>
                <w:szCs w:val="20"/>
              </w:rPr>
            </w:pPr>
            <w:r>
              <w:rPr>
                <w:rFonts w:eastAsia="Times New Roman"/>
                <w:sz w:val="20"/>
                <w:szCs w:val="20"/>
              </w:rPr>
              <w:t>32.2</w:t>
            </w:r>
          </w:p>
        </w:tc>
        <w:tc>
          <w:tcPr>
            <w:tcW w:w="50" w:type="pct"/>
            <w:shd w:val="clear" w:color="auto" w:fill="FFFFFF"/>
            <w:vAlign w:val="bottom"/>
            <w:hideMark/>
          </w:tcPr>
          <w:p w14:paraId="1B89B0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4F32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61CB9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3CC7F15" w14:textId="77777777" w:rsidR="00000000" w:rsidRDefault="0053651E">
            <w:pPr>
              <w:jc w:val="right"/>
              <w:rPr>
                <w:rFonts w:eastAsia="Times New Roman"/>
                <w:sz w:val="20"/>
                <w:szCs w:val="20"/>
              </w:rPr>
            </w:pPr>
            <w:r>
              <w:rPr>
                <w:rFonts w:eastAsia="Times New Roman"/>
                <w:sz w:val="20"/>
                <w:szCs w:val="20"/>
              </w:rPr>
              <w:t>13.5</w:t>
            </w:r>
          </w:p>
        </w:tc>
        <w:tc>
          <w:tcPr>
            <w:tcW w:w="50" w:type="pct"/>
            <w:shd w:val="clear" w:color="auto" w:fill="FFFFFF"/>
            <w:vAlign w:val="bottom"/>
            <w:hideMark/>
          </w:tcPr>
          <w:p w14:paraId="7733FB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474A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FD87E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E53EE94" w14:textId="77777777" w:rsidR="00000000" w:rsidRDefault="0053651E">
            <w:pPr>
              <w:jc w:val="right"/>
              <w:rPr>
                <w:rFonts w:eastAsia="Times New Roman"/>
                <w:sz w:val="20"/>
                <w:szCs w:val="20"/>
              </w:rPr>
            </w:pPr>
            <w:r>
              <w:rPr>
                <w:rFonts w:eastAsia="Times New Roman"/>
                <w:sz w:val="20"/>
                <w:szCs w:val="20"/>
              </w:rPr>
              <w:t>9.0</w:t>
            </w:r>
          </w:p>
        </w:tc>
        <w:tc>
          <w:tcPr>
            <w:tcW w:w="50" w:type="pct"/>
            <w:shd w:val="clear" w:color="auto" w:fill="FFFFFF"/>
            <w:vAlign w:val="bottom"/>
            <w:hideMark/>
          </w:tcPr>
          <w:p w14:paraId="34F4840D" w14:textId="77777777" w:rsidR="00000000" w:rsidRDefault="0053651E">
            <w:pPr>
              <w:rPr>
                <w:rFonts w:eastAsia="Times New Roman"/>
                <w:sz w:val="20"/>
                <w:szCs w:val="20"/>
              </w:rPr>
            </w:pPr>
            <w:r>
              <w:rPr>
                <w:rFonts w:eastAsia="Times New Roman"/>
                <w:sz w:val="20"/>
                <w:szCs w:val="20"/>
              </w:rPr>
              <w:t> </w:t>
            </w:r>
          </w:p>
        </w:tc>
      </w:tr>
      <w:tr w:rsidR="00000000" w14:paraId="13969C86" w14:textId="77777777">
        <w:trPr>
          <w:tblCellSpacing w:w="0" w:type="dxa"/>
        </w:trPr>
        <w:tc>
          <w:tcPr>
            <w:tcW w:w="0" w:type="auto"/>
            <w:shd w:val="clear" w:color="auto" w:fill="CCEEFF"/>
            <w:vAlign w:val="bottom"/>
            <w:hideMark/>
          </w:tcPr>
          <w:p w14:paraId="33D32D2C" w14:textId="77777777" w:rsidR="00000000" w:rsidRDefault="0053651E">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14:paraId="4778B9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6090F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CA68B74" w14:textId="77777777" w:rsidR="00000000" w:rsidRDefault="0053651E">
            <w:pPr>
              <w:jc w:val="right"/>
              <w:rPr>
                <w:rFonts w:eastAsia="Times New Roman"/>
                <w:sz w:val="20"/>
                <w:szCs w:val="20"/>
              </w:rPr>
            </w:pPr>
            <w:r>
              <w:rPr>
                <w:rFonts w:eastAsia="Times New Roman"/>
                <w:sz w:val="20"/>
                <w:szCs w:val="20"/>
              </w:rPr>
              <w:t>(28.2</w:t>
            </w:r>
          </w:p>
        </w:tc>
        <w:tc>
          <w:tcPr>
            <w:tcW w:w="50" w:type="pct"/>
            <w:shd w:val="clear" w:color="auto" w:fill="CCEEFF"/>
            <w:vAlign w:val="bottom"/>
            <w:hideMark/>
          </w:tcPr>
          <w:p w14:paraId="1C40C9A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C8567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39D64"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B19CC49" w14:textId="77777777" w:rsidR="00000000" w:rsidRDefault="0053651E">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14:paraId="37BEE6E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1AC48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5A3C5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5C9CCD1" w14:textId="77777777" w:rsidR="00000000" w:rsidRDefault="0053651E">
            <w:pPr>
              <w:jc w:val="right"/>
              <w:rPr>
                <w:rFonts w:eastAsia="Times New Roman"/>
                <w:sz w:val="20"/>
                <w:szCs w:val="20"/>
              </w:rPr>
            </w:pPr>
            <w:r>
              <w:rPr>
                <w:rFonts w:eastAsia="Times New Roman"/>
                <w:sz w:val="20"/>
                <w:szCs w:val="20"/>
              </w:rPr>
              <w:t>(35.3</w:t>
            </w:r>
          </w:p>
        </w:tc>
        <w:tc>
          <w:tcPr>
            <w:tcW w:w="50" w:type="pct"/>
            <w:shd w:val="clear" w:color="auto" w:fill="CCEEFF"/>
            <w:vAlign w:val="bottom"/>
            <w:hideMark/>
          </w:tcPr>
          <w:p w14:paraId="39C34764" w14:textId="77777777" w:rsidR="00000000" w:rsidRDefault="0053651E">
            <w:pPr>
              <w:rPr>
                <w:rFonts w:eastAsia="Times New Roman"/>
                <w:sz w:val="20"/>
                <w:szCs w:val="20"/>
              </w:rPr>
            </w:pPr>
            <w:r>
              <w:rPr>
                <w:rFonts w:eastAsia="Times New Roman"/>
                <w:sz w:val="20"/>
                <w:szCs w:val="20"/>
              </w:rPr>
              <w:t>)</w:t>
            </w:r>
          </w:p>
        </w:tc>
      </w:tr>
      <w:tr w:rsidR="00000000" w14:paraId="622732AD" w14:textId="77777777">
        <w:trPr>
          <w:tblCellSpacing w:w="0" w:type="dxa"/>
        </w:trPr>
        <w:tc>
          <w:tcPr>
            <w:tcW w:w="0" w:type="auto"/>
            <w:shd w:val="clear" w:color="auto" w:fill="FFFFFF"/>
            <w:vAlign w:val="bottom"/>
            <w:hideMark/>
          </w:tcPr>
          <w:p w14:paraId="13FF8850" w14:textId="77777777" w:rsidR="00000000" w:rsidRDefault="0053651E">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14:paraId="4D1D316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FD8CDE"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611206ED" w14:textId="77777777" w:rsidR="00000000" w:rsidRDefault="0053651E">
            <w:pPr>
              <w:jc w:val="right"/>
              <w:rPr>
                <w:rFonts w:eastAsia="Times New Roman"/>
                <w:sz w:val="20"/>
                <w:szCs w:val="20"/>
              </w:rPr>
            </w:pPr>
            <w:r>
              <w:rPr>
                <w:rFonts w:eastAsia="Times New Roman"/>
                <w:sz w:val="20"/>
                <w:szCs w:val="20"/>
              </w:rPr>
              <w:t>(1.1</w:t>
            </w:r>
          </w:p>
        </w:tc>
        <w:tc>
          <w:tcPr>
            <w:tcW w:w="50" w:type="pct"/>
            <w:shd w:val="clear" w:color="auto" w:fill="FFFFFF"/>
            <w:tcMar>
              <w:top w:w="0" w:type="dxa"/>
              <w:left w:w="0" w:type="dxa"/>
              <w:bottom w:w="15" w:type="dxa"/>
              <w:right w:w="0" w:type="dxa"/>
            </w:tcMar>
            <w:vAlign w:val="bottom"/>
            <w:hideMark/>
          </w:tcPr>
          <w:p w14:paraId="0BA089B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8CF0BB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A023398"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31821135" w14:textId="77777777" w:rsidR="00000000" w:rsidRDefault="0053651E">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15" w:type="dxa"/>
              <w:right w:w="0" w:type="dxa"/>
            </w:tcMar>
            <w:vAlign w:val="bottom"/>
            <w:hideMark/>
          </w:tcPr>
          <w:p w14:paraId="65DAE09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8E5EB0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7752E0D"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75747466" w14:textId="77777777" w:rsidR="00000000" w:rsidRDefault="0053651E">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15" w:type="dxa"/>
              <w:right w:w="0" w:type="dxa"/>
            </w:tcMar>
            <w:vAlign w:val="bottom"/>
            <w:hideMark/>
          </w:tcPr>
          <w:p w14:paraId="0FA2586E" w14:textId="77777777" w:rsidR="00000000" w:rsidRDefault="0053651E">
            <w:pPr>
              <w:rPr>
                <w:rFonts w:eastAsia="Times New Roman"/>
                <w:sz w:val="20"/>
                <w:szCs w:val="20"/>
              </w:rPr>
            </w:pPr>
            <w:r>
              <w:rPr>
                <w:rFonts w:eastAsia="Times New Roman"/>
                <w:sz w:val="20"/>
                <w:szCs w:val="20"/>
              </w:rPr>
              <w:t>)</w:t>
            </w:r>
          </w:p>
        </w:tc>
      </w:tr>
      <w:tr w:rsidR="00000000" w14:paraId="0EF1E16B" w14:textId="77777777">
        <w:trPr>
          <w:tblCellSpacing w:w="0" w:type="dxa"/>
        </w:trPr>
        <w:tc>
          <w:tcPr>
            <w:tcW w:w="0" w:type="auto"/>
            <w:shd w:val="clear" w:color="auto" w:fill="CCEEFF"/>
            <w:vAlign w:val="bottom"/>
            <w:hideMark/>
          </w:tcPr>
          <w:p w14:paraId="14CFF1F7" w14:textId="77777777" w:rsidR="00000000" w:rsidRDefault="0053651E">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14:paraId="08823F6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C77F35"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0B67C27D" w14:textId="77777777" w:rsidR="00000000" w:rsidRDefault="0053651E">
            <w:pPr>
              <w:jc w:val="right"/>
              <w:rPr>
                <w:rFonts w:eastAsia="Times New Roman"/>
                <w:sz w:val="20"/>
                <w:szCs w:val="20"/>
              </w:rPr>
            </w:pPr>
            <w:r>
              <w:rPr>
                <w:rFonts w:eastAsia="Times New Roman"/>
                <w:sz w:val="20"/>
                <w:szCs w:val="20"/>
              </w:rPr>
              <w:t>107.5</w:t>
            </w:r>
          </w:p>
        </w:tc>
        <w:tc>
          <w:tcPr>
            <w:tcW w:w="50" w:type="pct"/>
            <w:shd w:val="clear" w:color="auto" w:fill="CCEEFF"/>
            <w:tcMar>
              <w:top w:w="0" w:type="dxa"/>
              <w:left w:w="0" w:type="dxa"/>
              <w:bottom w:w="45" w:type="dxa"/>
              <w:right w:w="0" w:type="dxa"/>
            </w:tcMar>
            <w:vAlign w:val="bottom"/>
            <w:hideMark/>
          </w:tcPr>
          <w:p w14:paraId="269CEB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09795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F814C10"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3E4FB7B0" w14:textId="77777777" w:rsidR="00000000" w:rsidRDefault="0053651E">
            <w:pPr>
              <w:jc w:val="right"/>
              <w:rPr>
                <w:rFonts w:eastAsia="Times New Roman"/>
                <w:sz w:val="20"/>
                <w:szCs w:val="20"/>
              </w:rPr>
            </w:pPr>
            <w:r>
              <w:rPr>
                <w:rFonts w:eastAsia="Times New Roman"/>
                <w:sz w:val="20"/>
                <w:szCs w:val="20"/>
              </w:rPr>
              <w:t>80.4</w:t>
            </w:r>
          </w:p>
        </w:tc>
        <w:tc>
          <w:tcPr>
            <w:tcW w:w="50" w:type="pct"/>
            <w:shd w:val="clear" w:color="auto" w:fill="CCEEFF"/>
            <w:tcMar>
              <w:top w:w="0" w:type="dxa"/>
              <w:left w:w="0" w:type="dxa"/>
              <w:bottom w:w="45" w:type="dxa"/>
              <w:right w:w="0" w:type="dxa"/>
            </w:tcMar>
            <w:vAlign w:val="bottom"/>
            <w:hideMark/>
          </w:tcPr>
          <w:p w14:paraId="1346A56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44C27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0E59C89"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23B301EC" w14:textId="77777777" w:rsidR="00000000" w:rsidRDefault="0053651E">
            <w:pPr>
              <w:jc w:val="right"/>
              <w:rPr>
                <w:rFonts w:eastAsia="Times New Roman"/>
                <w:sz w:val="20"/>
                <w:szCs w:val="20"/>
              </w:rPr>
            </w:pPr>
            <w:r>
              <w:rPr>
                <w:rFonts w:eastAsia="Times New Roman"/>
                <w:sz w:val="20"/>
                <w:szCs w:val="20"/>
              </w:rPr>
              <w:t>76.2</w:t>
            </w:r>
          </w:p>
        </w:tc>
        <w:tc>
          <w:tcPr>
            <w:tcW w:w="50" w:type="pct"/>
            <w:shd w:val="clear" w:color="auto" w:fill="CCEEFF"/>
            <w:tcMar>
              <w:top w:w="0" w:type="dxa"/>
              <w:left w:w="0" w:type="dxa"/>
              <w:bottom w:w="45" w:type="dxa"/>
              <w:right w:w="0" w:type="dxa"/>
            </w:tcMar>
            <w:vAlign w:val="bottom"/>
            <w:hideMark/>
          </w:tcPr>
          <w:p w14:paraId="255D7F85" w14:textId="77777777" w:rsidR="00000000" w:rsidRDefault="0053651E">
            <w:pPr>
              <w:rPr>
                <w:rFonts w:eastAsia="Times New Roman"/>
                <w:sz w:val="20"/>
                <w:szCs w:val="20"/>
              </w:rPr>
            </w:pPr>
            <w:r>
              <w:rPr>
                <w:rFonts w:eastAsia="Times New Roman"/>
                <w:sz w:val="20"/>
                <w:szCs w:val="20"/>
              </w:rPr>
              <w:t> </w:t>
            </w:r>
          </w:p>
        </w:tc>
      </w:tr>
    </w:tbl>
    <w:p w14:paraId="70618003" w14:textId="77777777" w:rsidR="00000000" w:rsidRDefault="0053651E">
      <w:pPr>
        <w:pStyle w:val="a3"/>
        <w:spacing w:before="0" w:beforeAutospacing="0" w:after="0" w:afterAutospacing="0"/>
        <w:ind w:left="360"/>
        <w:jc w:val="both"/>
        <w:rPr>
          <w:sz w:val="20"/>
          <w:szCs w:val="20"/>
        </w:rPr>
      </w:pPr>
      <w:r>
        <w:rPr>
          <w:sz w:val="20"/>
          <w:szCs w:val="20"/>
        </w:rPr>
        <w:t> </w:t>
      </w:r>
    </w:p>
    <w:p w14:paraId="6778F17E" w14:textId="77777777" w:rsidR="00000000" w:rsidRDefault="0053651E">
      <w:pPr>
        <w:pStyle w:val="a3"/>
        <w:spacing w:before="0" w:beforeAutospacing="0" w:after="0" w:afterAutospacing="0"/>
        <w:ind w:left="360"/>
        <w:jc w:val="both"/>
        <w:rPr>
          <w:sz w:val="20"/>
          <w:szCs w:val="20"/>
        </w:rPr>
      </w:pPr>
      <w:r>
        <w:rPr>
          <w:sz w:val="20"/>
          <w:szCs w:val="20"/>
        </w:rPr>
        <w:t> </w:t>
      </w:r>
    </w:p>
    <w:p w14:paraId="25D55919" w14:textId="77777777" w:rsidR="00000000" w:rsidRDefault="0053651E">
      <w:pPr>
        <w:pStyle w:val="a3"/>
        <w:spacing w:before="0" w:beforeAutospacing="0" w:after="0" w:afterAutospacing="0"/>
        <w:ind w:left="360"/>
        <w:jc w:val="both"/>
        <w:rPr>
          <w:sz w:val="20"/>
          <w:szCs w:val="20"/>
        </w:rPr>
      </w:pPr>
      <w:r>
        <w:rPr>
          <w:sz w:val="20"/>
          <w:szCs w:val="20"/>
        </w:rPr>
        <w:t>Summarized financial information for the Company’s investment in and advances to all other real estate joint ventures is as follows (in millions):</w:t>
      </w:r>
    </w:p>
    <w:p w14:paraId="04C7E442" w14:textId="77777777" w:rsidR="00000000" w:rsidRDefault="0053651E">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440CD18F" w14:textId="77777777">
        <w:trPr>
          <w:tblCellSpacing w:w="0" w:type="dxa"/>
        </w:trPr>
        <w:tc>
          <w:tcPr>
            <w:tcW w:w="0" w:type="auto"/>
            <w:vAlign w:val="bottom"/>
            <w:hideMark/>
          </w:tcPr>
          <w:p w14:paraId="038C791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F0E3B47"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004D70E"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74BAF9C4" w14:textId="77777777" w:rsidR="00000000" w:rsidRDefault="0053651E">
            <w:pPr>
              <w:rPr>
                <w:rFonts w:eastAsia="Times New Roman"/>
                <w:sz w:val="20"/>
                <w:szCs w:val="20"/>
              </w:rPr>
            </w:pPr>
            <w:r>
              <w:rPr>
                <w:rFonts w:eastAsia="Times New Roman"/>
                <w:sz w:val="20"/>
                <w:szCs w:val="20"/>
              </w:rPr>
              <w:t> </w:t>
            </w:r>
          </w:p>
        </w:tc>
      </w:tr>
      <w:tr w:rsidR="00000000" w14:paraId="2AC1AA83" w14:textId="77777777">
        <w:trPr>
          <w:tblCellSpacing w:w="0" w:type="dxa"/>
        </w:trPr>
        <w:tc>
          <w:tcPr>
            <w:tcW w:w="0" w:type="auto"/>
            <w:vAlign w:val="bottom"/>
            <w:hideMark/>
          </w:tcPr>
          <w:p w14:paraId="3AD0307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FDF428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30923D2"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0AFE7C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75BE23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020370"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74AC704" w14:textId="77777777" w:rsidR="00000000" w:rsidRDefault="0053651E">
            <w:pPr>
              <w:rPr>
                <w:rFonts w:eastAsia="Times New Roman"/>
                <w:sz w:val="20"/>
                <w:szCs w:val="20"/>
              </w:rPr>
            </w:pPr>
            <w:r>
              <w:rPr>
                <w:rFonts w:eastAsia="Times New Roman"/>
                <w:sz w:val="20"/>
                <w:szCs w:val="20"/>
              </w:rPr>
              <w:t> </w:t>
            </w:r>
          </w:p>
        </w:tc>
      </w:tr>
      <w:tr w:rsidR="00000000" w14:paraId="37950C55" w14:textId="77777777">
        <w:trPr>
          <w:tblCellSpacing w:w="0" w:type="dxa"/>
        </w:trPr>
        <w:tc>
          <w:tcPr>
            <w:tcW w:w="3100" w:type="pct"/>
            <w:shd w:val="clear" w:color="auto" w:fill="CCEEFF"/>
            <w:vAlign w:val="bottom"/>
            <w:hideMark/>
          </w:tcPr>
          <w:p w14:paraId="62B7370F" w14:textId="77777777" w:rsidR="00000000" w:rsidRDefault="0053651E">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29C821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BED58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2BD8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D35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F44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2A04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0ACEF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374D0" w14:textId="77777777" w:rsidR="00000000" w:rsidRDefault="0053651E">
            <w:pPr>
              <w:rPr>
                <w:rFonts w:eastAsia="Times New Roman"/>
                <w:sz w:val="20"/>
                <w:szCs w:val="20"/>
              </w:rPr>
            </w:pPr>
            <w:r>
              <w:rPr>
                <w:rFonts w:eastAsia="Times New Roman"/>
                <w:sz w:val="20"/>
                <w:szCs w:val="20"/>
              </w:rPr>
              <w:t> </w:t>
            </w:r>
          </w:p>
        </w:tc>
      </w:tr>
      <w:tr w:rsidR="00000000" w14:paraId="4F1EC0A5" w14:textId="77777777">
        <w:trPr>
          <w:tblCellSpacing w:w="0" w:type="dxa"/>
        </w:trPr>
        <w:tc>
          <w:tcPr>
            <w:tcW w:w="0" w:type="auto"/>
            <w:shd w:val="clear" w:color="auto" w:fill="FFFFFF"/>
            <w:vAlign w:val="bottom"/>
            <w:hideMark/>
          </w:tcPr>
          <w:p w14:paraId="6C06D844" w14:textId="77777777" w:rsidR="00000000" w:rsidRDefault="0053651E">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5DA39C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AAF403"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0160017E" w14:textId="77777777" w:rsidR="00000000" w:rsidRDefault="0053651E">
            <w:pPr>
              <w:jc w:val="right"/>
              <w:rPr>
                <w:rFonts w:eastAsia="Times New Roman"/>
                <w:sz w:val="20"/>
                <w:szCs w:val="20"/>
              </w:rPr>
            </w:pPr>
            <w:r>
              <w:rPr>
                <w:rFonts w:eastAsia="Times New Roman"/>
                <w:sz w:val="20"/>
                <w:szCs w:val="20"/>
              </w:rPr>
              <w:t>2,596.9</w:t>
            </w:r>
          </w:p>
        </w:tc>
        <w:tc>
          <w:tcPr>
            <w:tcW w:w="50" w:type="pct"/>
            <w:shd w:val="clear" w:color="auto" w:fill="FFFFFF"/>
            <w:vAlign w:val="bottom"/>
            <w:hideMark/>
          </w:tcPr>
          <w:p w14:paraId="5B25EF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63D7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522886"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78E97BC3" w14:textId="77777777" w:rsidR="00000000" w:rsidRDefault="0053651E">
            <w:pPr>
              <w:jc w:val="right"/>
              <w:rPr>
                <w:rFonts w:eastAsia="Times New Roman"/>
                <w:sz w:val="20"/>
                <w:szCs w:val="20"/>
              </w:rPr>
            </w:pPr>
            <w:r>
              <w:rPr>
                <w:rFonts w:eastAsia="Times New Roman"/>
                <w:sz w:val="20"/>
                <w:szCs w:val="20"/>
              </w:rPr>
              <w:t>2,725.4</w:t>
            </w:r>
          </w:p>
        </w:tc>
        <w:tc>
          <w:tcPr>
            <w:tcW w:w="50" w:type="pct"/>
            <w:shd w:val="clear" w:color="auto" w:fill="FFFFFF"/>
            <w:vAlign w:val="bottom"/>
            <w:hideMark/>
          </w:tcPr>
          <w:p w14:paraId="303DD4F0" w14:textId="77777777" w:rsidR="00000000" w:rsidRDefault="0053651E">
            <w:pPr>
              <w:rPr>
                <w:rFonts w:eastAsia="Times New Roman"/>
                <w:sz w:val="20"/>
                <w:szCs w:val="20"/>
              </w:rPr>
            </w:pPr>
            <w:r>
              <w:rPr>
                <w:rFonts w:eastAsia="Times New Roman"/>
                <w:sz w:val="20"/>
                <w:szCs w:val="20"/>
              </w:rPr>
              <w:t> </w:t>
            </w:r>
          </w:p>
        </w:tc>
      </w:tr>
      <w:tr w:rsidR="00000000" w14:paraId="6B17BE09" w14:textId="77777777">
        <w:trPr>
          <w:tblCellSpacing w:w="0" w:type="dxa"/>
        </w:trPr>
        <w:tc>
          <w:tcPr>
            <w:tcW w:w="0" w:type="auto"/>
            <w:shd w:val="clear" w:color="auto" w:fill="CCEEFF"/>
            <w:vAlign w:val="bottom"/>
            <w:hideMark/>
          </w:tcPr>
          <w:p w14:paraId="69D16264" w14:textId="77777777" w:rsidR="00000000" w:rsidRDefault="0053651E">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14:paraId="20B8781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FE4A59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1B1360B" w14:textId="77777777" w:rsidR="00000000" w:rsidRDefault="0053651E">
            <w:pPr>
              <w:jc w:val="right"/>
              <w:rPr>
                <w:rFonts w:eastAsia="Times New Roman"/>
                <w:sz w:val="20"/>
                <w:szCs w:val="20"/>
              </w:rPr>
            </w:pPr>
            <w:r>
              <w:rPr>
                <w:rFonts w:eastAsia="Times New Roman"/>
                <w:sz w:val="20"/>
                <w:szCs w:val="20"/>
              </w:rPr>
              <w:t>140.3</w:t>
            </w:r>
          </w:p>
        </w:tc>
        <w:tc>
          <w:tcPr>
            <w:tcW w:w="50" w:type="pct"/>
            <w:shd w:val="clear" w:color="auto" w:fill="CCEEFF"/>
            <w:tcMar>
              <w:top w:w="0" w:type="dxa"/>
              <w:left w:w="0" w:type="dxa"/>
              <w:bottom w:w="15" w:type="dxa"/>
              <w:right w:w="0" w:type="dxa"/>
            </w:tcMar>
            <w:vAlign w:val="bottom"/>
            <w:hideMark/>
          </w:tcPr>
          <w:p w14:paraId="667339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825BE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D0D14E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9E77CD1" w14:textId="77777777" w:rsidR="00000000" w:rsidRDefault="0053651E">
            <w:pPr>
              <w:jc w:val="right"/>
              <w:rPr>
                <w:rFonts w:eastAsia="Times New Roman"/>
                <w:sz w:val="20"/>
                <w:szCs w:val="20"/>
              </w:rPr>
            </w:pPr>
            <w:r>
              <w:rPr>
                <w:rFonts w:eastAsia="Times New Roman"/>
                <w:sz w:val="20"/>
                <w:szCs w:val="20"/>
              </w:rPr>
              <w:t>128.5</w:t>
            </w:r>
          </w:p>
        </w:tc>
        <w:tc>
          <w:tcPr>
            <w:tcW w:w="50" w:type="pct"/>
            <w:shd w:val="clear" w:color="auto" w:fill="CCEEFF"/>
            <w:tcMar>
              <w:top w:w="0" w:type="dxa"/>
              <w:left w:w="0" w:type="dxa"/>
              <w:bottom w:w="15" w:type="dxa"/>
              <w:right w:w="0" w:type="dxa"/>
            </w:tcMar>
            <w:vAlign w:val="bottom"/>
            <w:hideMark/>
          </w:tcPr>
          <w:p w14:paraId="00AC3FC9" w14:textId="77777777" w:rsidR="00000000" w:rsidRDefault="0053651E">
            <w:pPr>
              <w:rPr>
                <w:rFonts w:eastAsia="Times New Roman"/>
                <w:sz w:val="20"/>
                <w:szCs w:val="20"/>
              </w:rPr>
            </w:pPr>
            <w:r>
              <w:rPr>
                <w:rFonts w:eastAsia="Times New Roman"/>
                <w:sz w:val="20"/>
                <w:szCs w:val="20"/>
              </w:rPr>
              <w:t> </w:t>
            </w:r>
          </w:p>
        </w:tc>
      </w:tr>
      <w:tr w:rsidR="00000000" w14:paraId="3C326B66" w14:textId="77777777">
        <w:trPr>
          <w:tblCellSpacing w:w="0" w:type="dxa"/>
        </w:trPr>
        <w:tc>
          <w:tcPr>
            <w:tcW w:w="0" w:type="auto"/>
            <w:shd w:val="clear" w:color="auto" w:fill="FFFFFF"/>
            <w:vAlign w:val="bottom"/>
            <w:hideMark/>
          </w:tcPr>
          <w:p w14:paraId="08E24C12" w14:textId="77777777" w:rsidR="00000000" w:rsidRDefault="0053651E">
            <w:pPr>
              <w:rPr>
                <w:rFonts w:eastAsia="Times New Roman"/>
                <w:sz w:val="20"/>
                <w:szCs w:val="20"/>
              </w:rPr>
            </w:pPr>
            <w:r>
              <w:rPr>
                <w:rFonts w:eastAsia="Times New Roman"/>
                <w:sz w:val="20"/>
                <w:szCs w:val="20"/>
              </w:rPr>
              <w:t>Total Assets</w:t>
            </w:r>
          </w:p>
        </w:tc>
        <w:tc>
          <w:tcPr>
            <w:tcW w:w="50" w:type="pct"/>
            <w:shd w:val="clear" w:color="auto" w:fill="FFFFFF"/>
            <w:vAlign w:val="bottom"/>
            <w:hideMark/>
          </w:tcPr>
          <w:p w14:paraId="6C8D03A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8D26247"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3A112F9C" w14:textId="77777777" w:rsidR="00000000" w:rsidRDefault="0053651E">
            <w:pPr>
              <w:jc w:val="right"/>
              <w:rPr>
                <w:rFonts w:eastAsia="Times New Roman"/>
                <w:sz w:val="20"/>
                <w:szCs w:val="20"/>
              </w:rPr>
            </w:pPr>
            <w:r>
              <w:rPr>
                <w:rFonts w:eastAsia="Times New Roman"/>
                <w:sz w:val="20"/>
                <w:szCs w:val="20"/>
              </w:rPr>
              <w:t>2,737.2</w:t>
            </w:r>
          </w:p>
        </w:tc>
        <w:tc>
          <w:tcPr>
            <w:tcW w:w="50" w:type="pct"/>
            <w:shd w:val="clear" w:color="auto" w:fill="FFFFFF"/>
            <w:tcMar>
              <w:top w:w="0" w:type="dxa"/>
              <w:left w:w="0" w:type="dxa"/>
              <w:bottom w:w="45" w:type="dxa"/>
              <w:right w:w="0" w:type="dxa"/>
            </w:tcMar>
            <w:vAlign w:val="bottom"/>
            <w:hideMark/>
          </w:tcPr>
          <w:p w14:paraId="405C4A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97F1F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329EC8A"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A644E3D" w14:textId="77777777" w:rsidR="00000000" w:rsidRDefault="0053651E">
            <w:pPr>
              <w:jc w:val="right"/>
              <w:rPr>
                <w:rFonts w:eastAsia="Times New Roman"/>
                <w:sz w:val="20"/>
                <w:szCs w:val="20"/>
              </w:rPr>
            </w:pPr>
            <w:r>
              <w:rPr>
                <w:rFonts w:eastAsia="Times New Roman"/>
                <w:sz w:val="20"/>
                <w:szCs w:val="20"/>
              </w:rPr>
              <w:t>2,853.9</w:t>
            </w:r>
          </w:p>
        </w:tc>
        <w:tc>
          <w:tcPr>
            <w:tcW w:w="50" w:type="pct"/>
            <w:shd w:val="clear" w:color="auto" w:fill="FFFFFF"/>
            <w:tcMar>
              <w:top w:w="0" w:type="dxa"/>
              <w:left w:w="0" w:type="dxa"/>
              <w:bottom w:w="45" w:type="dxa"/>
              <w:right w:w="0" w:type="dxa"/>
            </w:tcMar>
            <w:vAlign w:val="bottom"/>
            <w:hideMark/>
          </w:tcPr>
          <w:p w14:paraId="651A4769" w14:textId="77777777" w:rsidR="00000000" w:rsidRDefault="0053651E">
            <w:pPr>
              <w:rPr>
                <w:rFonts w:eastAsia="Times New Roman"/>
                <w:sz w:val="20"/>
                <w:szCs w:val="20"/>
              </w:rPr>
            </w:pPr>
            <w:r>
              <w:rPr>
                <w:rFonts w:eastAsia="Times New Roman"/>
                <w:sz w:val="20"/>
                <w:szCs w:val="20"/>
              </w:rPr>
              <w:t> </w:t>
            </w:r>
          </w:p>
        </w:tc>
      </w:tr>
      <w:tr w:rsidR="00000000" w14:paraId="5CF53A13" w14:textId="77777777">
        <w:trPr>
          <w:tblCellSpacing w:w="0" w:type="dxa"/>
        </w:trPr>
        <w:tc>
          <w:tcPr>
            <w:tcW w:w="0" w:type="auto"/>
            <w:shd w:val="clear" w:color="auto" w:fill="CCEEFF"/>
            <w:vAlign w:val="bottom"/>
            <w:hideMark/>
          </w:tcPr>
          <w:p w14:paraId="754F033D" w14:textId="77777777" w:rsidR="00000000" w:rsidRDefault="0053651E">
            <w:pPr>
              <w:pStyle w:val="a3"/>
              <w:spacing w:before="0" w:beforeAutospacing="0" w:after="0" w:afterAutospacing="0"/>
              <w:rPr>
                <w:sz w:val="20"/>
                <w:szCs w:val="20"/>
              </w:rPr>
            </w:pPr>
            <w:r>
              <w:rPr>
                <w:sz w:val="20"/>
                <w:szCs w:val="20"/>
              </w:rPr>
              <w:t>Liabilities and Partners’/Members’ Capital:</w:t>
            </w:r>
          </w:p>
        </w:tc>
        <w:tc>
          <w:tcPr>
            <w:tcW w:w="0" w:type="auto"/>
            <w:shd w:val="clear" w:color="auto" w:fill="CCEEFF"/>
            <w:vAlign w:val="bottom"/>
            <w:hideMark/>
          </w:tcPr>
          <w:p w14:paraId="733C3D8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118C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FD0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0A02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200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F1A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C00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DF98C9" w14:textId="77777777" w:rsidR="00000000" w:rsidRDefault="0053651E">
            <w:pPr>
              <w:rPr>
                <w:rFonts w:eastAsia="Times New Roman"/>
                <w:sz w:val="20"/>
                <w:szCs w:val="20"/>
              </w:rPr>
            </w:pPr>
            <w:r>
              <w:rPr>
                <w:rFonts w:eastAsia="Times New Roman"/>
                <w:sz w:val="20"/>
                <w:szCs w:val="20"/>
              </w:rPr>
              <w:t> </w:t>
            </w:r>
          </w:p>
        </w:tc>
      </w:tr>
      <w:tr w:rsidR="00000000" w14:paraId="56E0ECD3" w14:textId="77777777">
        <w:trPr>
          <w:tblCellSpacing w:w="0" w:type="dxa"/>
        </w:trPr>
        <w:tc>
          <w:tcPr>
            <w:tcW w:w="0" w:type="auto"/>
            <w:shd w:val="clear" w:color="auto" w:fill="FFFFFF"/>
            <w:vAlign w:val="bottom"/>
            <w:hideMark/>
          </w:tcPr>
          <w:p w14:paraId="46C1C9B0" w14:textId="77777777" w:rsidR="00000000" w:rsidRDefault="0053651E">
            <w:pPr>
              <w:pStyle w:val="a3"/>
              <w:spacing w:before="0" w:beforeAutospacing="0" w:after="0" w:afterAutospacing="0"/>
              <w:ind w:left="180"/>
              <w:rPr>
                <w:sz w:val="20"/>
                <w:szCs w:val="20"/>
              </w:rPr>
            </w:pPr>
            <w:r>
              <w:rPr>
                <w:sz w:val="20"/>
                <w:szCs w:val="20"/>
              </w:rPr>
              <w:t>Notes payable, net</w:t>
            </w:r>
          </w:p>
        </w:tc>
        <w:tc>
          <w:tcPr>
            <w:tcW w:w="50" w:type="pct"/>
            <w:shd w:val="clear" w:color="auto" w:fill="FFFFFF"/>
            <w:vAlign w:val="bottom"/>
            <w:hideMark/>
          </w:tcPr>
          <w:p w14:paraId="136336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198D6"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03F130B3" w14:textId="77777777" w:rsidR="00000000" w:rsidRDefault="0053651E">
            <w:pPr>
              <w:jc w:val="right"/>
              <w:rPr>
                <w:rFonts w:eastAsia="Times New Roman"/>
                <w:sz w:val="20"/>
                <w:szCs w:val="20"/>
              </w:rPr>
            </w:pPr>
            <w:r>
              <w:rPr>
                <w:rFonts w:eastAsia="Times New Roman"/>
                <w:sz w:val="20"/>
                <w:szCs w:val="20"/>
              </w:rPr>
              <w:t>199.8</w:t>
            </w:r>
          </w:p>
        </w:tc>
        <w:tc>
          <w:tcPr>
            <w:tcW w:w="50" w:type="pct"/>
            <w:shd w:val="clear" w:color="auto" w:fill="FFFFFF"/>
            <w:vAlign w:val="bottom"/>
            <w:hideMark/>
          </w:tcPr>
          <w:p w14:paraId="56E5E6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BBE0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A928FE"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1A9687EB" w14:textId="77777777" w:rsidR="00000000" w:rsidRDefault="0053651E">
            <w:pPr>
              <w:jc w:val="right"/>
              <w:rPr>
                <w:rFonts w:eastAsia="Times New Roman"/>
                <w:sz w:val="20"/>
                <w:szCs w:val="20"/>
              </w:rPr>
            </w:pPr>
            <w:r>
              <w:rPr>
                <w:rFonts w:eastAsia="Times New Roman"/>
                <w:sz w:val="20"/>
                <w:szCs w:val="20"/>
              </w:rPr>
              <w:t>199.7</w:t>
            </w:r>
          </w:p>
        </w:tc>
        <w:tc>
          <w:tcPr>
            <w:tcW w:w="50" w:type="pct"/>
            <w:shd w:val="clear" w:color="auto" w:fill="FFFFFF"/>
            <w:vAlign w:val="bottom"/>
            <w:hideMark/>
          </w:tcPr>
          <w:p w14:paraId="1BE90E93" w14:textId="77777777" w:rsidR="00000000" w:rsidRDefault="0053651E">
            <w:pPr>
              <w:rPr>
                <w:rFonts w:eastAsia="Times New Roman"/>
                <w:sz w:val="20"/>
                <w:szCs w:val="20"/>
              </w:rPr>
            </w:pPr>
            <w:r>
              <w:rPr>
                <w:rFonts w:eastAsia="Times New Roman"/>
                <w:sz w:val="20"/>
                <w:szCs w:val="20"/>
              </w:rPr>
              <w:t> </w:t>
            </w:r>
          </w:p>
        </w:tc>
      </w:tr>
      <w:tr w:rsidR="00000000" w14:paraId="5DE849C5" w14:textId="77777777">
        <w:trPr>
          <w:tblCellSpacing w:w="0" w:type="dxa"/>
        </w:trPr>
        <w:tc>
          <w:tcPr>
            <w:tcW w:w="0" w:type="auto"/>
            <w:shd w:val="clear" w:color="auto" w:fill="CCEEFF"/>
            <w:vAlign w:val="bottom"/>
            <w:hideMark/>
          </w:tcPr>
          <w:p w14:paraId="0DEA492D" w14:textId="77777777" w:rsidR="00000000" w:rsidRDefault="0053651E">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14:paraId="7005F3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64F3A1"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EE32A19" w14:textId="77777777" w:rsidR="00000000" w:rsidRDefault="0053651E">
            <w:pPr>
              <w:jc w:val="right"/>
              <w:rPr>
                <w:rFonts w:eastAsia="Times New Roman"/>
                <w:sz w:val="20"/>
                <w:szCs w:val="20"/>
              </w:rPr>
            </w:pPr>
            <w:r>
              <w:rPr>
                <w:rFonts w:eastAsia="Times New Roman"/>
                <w:sz w:val="20"/>
                <w:szCs w:val="20"/>
              </w:rPr>
              <w:t>838.3</w:t>
            </w:r>
          </w:p>
        </w:tc>
        <w:tc>
          <w:tcPr>
            <w:tcW w:w="50" w:type="pct"/>
            <w:shd w:val="clear" w:color="auto" w:fill="CCEEFF"/>
            <w:vAlign w:val="bottom"/>
            <w:hideMark/>
          </w:tcPr>
          <w:p w14:paraId="7BD2ED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E5A1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7A037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4E383C3" w14:textId="77777777" w:rsidR="00000000" w:rsidRDefault="0053651E">
            <w:pPr>
              <w:jc w:val="right"/>
              <w:rPr>
                <w:rFonts w:eastAsia="Times New Roman"/>
                <w:sz w:val="20"/>
                <w:szCs w:val="20"/>
              </w:rPr>
            </w:pPr>
            <w:r>
              <w:rPr>
                <w:rFonts w:eastAsia="Times New Roman"/>
                <w:sz w:val="20"/>
                <w:szCs w:val="20"/>
              </w:rPr>
              <w:t>931.4</w:t>
            </w:r>
          </w:p>
        </w:tc>
        <w:tc>
          <w:tcPr>
            <w:tcW w:w="50" w:type="pct"/>
            <w:shd w:val="clear" w:color="auto" w:fill="CCEEFF"/>
            <w:vAlign w:val="bottom"/>
            <w:hideMark/>
          </w:tcPr>
          <w:p w14:paraId="474284AA" w14:textId="77777777" w:rsidR="00000000" w:rsidRDefault="0053651E">
            <w:pPr>
              <w:rPr>
                <w:rFonts w:eastAsia="Times New Roman"/>
                <w:sz w:val="20"/>
                <w:szCs w:val="20"/>
              </w:rPr>
            </w:pPr>
            <w:r>
              <w:rPr>
                <w:rFonts w:eastAsia="Times New Roman"/>
                <w:sz w:val="20"/>
                <w:szCs w:val="20"/>
              </w:rPr>
              <w:t> </w:t>
            </w:r>
          </w:p>
        </w:tc>
      </w:tr>
      <w:tr w:rsidR="00000000" w14:paraId="2A9CB8ED" w14:textId="77777777">
        <w:trPr>
          <w:tblCellSpacing w:w="0" w:type="dxa"/>
        </w:trPr>
        <w:tc>
          <w:tcPr>
            <w:tcW w:w="0" w:type="auto"/>
            <w:shd w:val="clear" w:color="auto" w:fill="FFFFFF"/>
            <w:vAlign w:val="bottom"/>
            <w:hideMark/>
          </w:tcPr>
          <w:p w14:paraId="3362E681" w14:textId="77777777" w:rsidR="00000000" w:rsidRDefault="0053651E">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14:paraId="7431B7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663F7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79DB763" w14:textId="77777777" w:rsidR="00000000" w:rsidRDefault="0053651E">
            <w:pPr>
              <w:jc w:val="right"/>
              <w:rPr>
                <w:rFonts w:eastAsia="Times New Roman"/>
                <w:sz w:val="20"/>
                <w:szCs w:val="20"/>
              </w:rPr>
            </w:pPr>
            <w:r>
              <w:rPr>
                <w:rFonts w:eastAsia="Times New Roman"/>
                <w:sz w:val="20"/>
                <w:szCs w:val="20"/>
              </w:rPr>
              <w:t>59.5</w:t>
            </w:r>
          </w:p>
        </w:tc>
        <w:tc>
          <w:tcPr>
            <w:tcW w:w="50" w:type="pct"/>
            <w:shd w:val="clear" w:color="auto" w:fill="FFFFFF"/>
            <w:vAlign w:val="bottom"/>
            <w:hideMark/>
          </w:tcPr>
          <w:p w14:paraId="18910D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CB84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A92AEF"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DE0C328" w14:textId="77777777" w:rsidR="00000000" w:rsidRDefault="0053651E">
            <w:pPr>
              <w:jc w:val="right"/>
              <w:rPr>
                <w:rFonts w:eastAsia="Times New Roman"/>
                <w:sz w:val="20"/>
                <w:szCs w:val="20"/>
              </w:rPr>
            </w:pPr>
            <w:r>
              <w:rPr>
                <w:rFonts w:eastAsia="Times New Roman"/>
                <w:sz w:val="20"/>
                <w:szCs w:val="20"/>
              </w:rPr>
              <w:t>42.4</w:t>
            </w:r>
          </w:p>
        </w:tc>
        <w:tc>
          <w:tcPr>
            <w:tcW w:w="50" w:type="pct"/>
            <w:shd w:val="clear" w:color="auto" w:fill="FFFFFF"/>
            <w:vAlign w:val="bottom"/>
            <w:hideMark/>
          </w:tcPr>
          <w:p w14:paraId="22AB8F14" w14:textId="77777777" w:rsidR="00000000" w:rsidRDefault="0053651E">
            <w:pPr>
              <w:rPr>
                <w:rFonts w:eastAsia="Times New Roman"/>
                <w:sz w:val="20"/>
                <w:szCs w:val="20"/>
              </w:rPr>
            </w:pPr>
            <w:r>
              <w:rPr>
                <w:rFonts w:eastAsia="Times New Roman"/>
                <w:sz w:val="20"/>
                <w:szCs w:val="20"/>
              </w:rPr>
              <w:t> </w:t>
            </w:r>
          </w:p>
        </w:tc>
      </w:tr>
      <w:tr w:rsidR="00000000" w14:paraId="03A15015" w14:textId="77777777">
        <w:trPr>
          <w:tblCellSpacing w:w="0" w:type="dxa"/>
        </w:trPr>
        <w:tc>
          <w:tcPr>
            <w:tcW w:w="0" w:type="auto"/>
            <w:shd w:val="clear" w:color="auto" w:fill="CCEEFF"/>
            <w:vAlign w:val="bottom"/>
            <w:hideMark/>
          </w:tcPr>
          <w:p w14:paraId="596F1A96" w14:textId="77777777" w:rsidR="00000000" w:rsidRDefault="0053651E">
            <w:pPr>
              <w:pStyle w:val="a3"/>
              <w:spacing w:before="0" w:beforeAutospacing="0" w:after="0" w:afterAutospacing="0"/>
              <w:ind w:left="180"/>
              <w:rPr>
                <w:sz w:val="20"/>
                <w:szCs w:val="20"/>
              </w:rPr>
            </w:pPr>
            <w:r>
              <w:rPr>
                <w:sz w:val="20"/>
                <w:szCs w:val="20"/>
              </w:rPr>
              <w:t>Noncontrolling interests</w:t>
            </w:r>
          </w:p>
        </w:tc>
        <w:tc>
          <w:tcPr>
            <w:tcW w:w="50" w:type="pct"/>
            <w:shd w:val="clear" w:color="auto" w:fill="CCEEFF"/>
            <w:vAlign w:val="bottom"/>
            <w:hideMark/>
          </w:tcPr>
          <w:p w14:paraId="165BD9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A31C3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87E6F46" w14:textId="77777777" w:rsidR="00000000" w:rsidRDefault="0053651E">
            <w:pPr>
              <w:jc w:val="right"/>
              <w:rPr>
                <w:rFonts w:eastAsia="Times New Roman"/>
                <w:sz w:val="20"/>
                <w:szCs w:val="20"/>
              </w:rPr>
            </w:pPr>
            <w:r>
              <w:rPr>
                <w:rFonts w:eastAsia="Times New Roman"/>
                <w:sz w:val="20"/>
                <w:szCs w:val="20"/>
              </w:rPr>
              <w:t>17.7</w:t>
            </w:r>
          </w:p>
        </w:tc>
        <w:tc>
          <w:tcPr>
            <w:tcW w:w="50" w:type="pct"/>
            <w:shd w:val="clear" w:color="auto" w:fill="CCEEFF"/>
            <w:vAlign w:val="bottom"/>
            <w:hideMark/>
          </w:tcPr>
          <w:p w14:paraId="257FD5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FBF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A2140D"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0E7F0F1" w14:textId="77777777" w:rsidR="00000000" w:rsidRDefault="0053651E">
            <w:pPr>
              <w:jc w:val="right"/>
              <w:rPr>
                <w:rFonts w:eastAsia="Times New Roman"/>
                <w:sz w:val="20"/>
                <w:szCs w:val="20"/>
              </w:rPr>
            </w:pPr>
            <w:r>
              <w:rPr>
                <w:rFonts w:eastAsia="Times New Roman"/>
                <w:sz w:val="20"/>
                <w:szCs w:val="20"/>
              </w:rPr>
              <w:t>16.8</w:t>
            </w:r>
          </w:p>
        </w:tc>
        <w:tc>
          <w:tcPr>
            <w:tcW w:w="50" w:type="pct"/>
            <w:shd w:val="clear" w:color="auto" w:fill="CCEEFF"/>
            <w:vAlign w:val="bottom"/>
            <w:hideMark/>
          </w:tcPr>
          <w:p w14:paraId="1D132C90" w14:textId="77777777" w:rsidR="00000000" w:rsidRDefault="0053651E">
            <w:pPr>
              <w:rPr>
                <w:rFonts w:eastAsia="Times New Roman"/>
                <w:sz w:val="20"/>
                <w:szCs w:val="20"/>
              </w:rPr>
            </w:pPr>
            <w:r>
              <w:rPr>
                <w:rFonts w:eastAsia="Times New Roman"/>
                <w:sz w:val="20"/>
                <w:szCs w:val="20"/>
              </w:rPr>
              <w:t> </w:t>
            </w:r>
          </w:p>
        </w:tc>
      </w:tr>
      <w:tr w:rsidR="00000000" w14:paraId="2FF5DBB2" w14:textId="77777777">
        <w:trPr>
          <w:tblCellSpacing w:w="0" w:type="dxa"/>
        </w:trPr>
        <w:tc>
          <w:tcPr>
            <w:tcW w:w="0" w:type="auto"/>
            <w:shd w:val="clear" w:color="auto" w:fill="FFFFFF"/>
            <w:vAlign w:val="bottom"/>
            <w:hideMark/>
          </w:tcPr>
          <w:p w14:paraId="5E89D8D8" w14:textId="77777777" w:rsidR="00000000" w:rsidRDefault="0053651E">
            <w:pPr>
              <w:pStyle w:val="a3"/>
              <w:spacing w:before="0" w:beforeAutospacing="0" w:after="0" w:afterAutospacing="0"/>
              <w:ind w:left="180"/>
              <w:rPr>
                <w:sz w:val="20"/>
                <w:szCs w:val="20"/>
              </w:rPr>
            </w:pPr>
            <w:r>
              <w:rPr>
                <w:sz w:val="20"/>
                <w:szCs w:val="20"/>
              </w:rPr>
              <w:t>Partners’/Members’ capital</w:t>
            </w:r>
          </w:p>
        </w:tc>
        <w:tc>
          <w:tcPr>
            <w:tcW w:w="50" w:type="pct"/>
            <w:shd w:val="clear" w:color="auto" w:fill="FFFFFF"/>
            <w:vAlign w:val="bottom"/>
            <w:hideMark/>
          </w:tcPr>
          <w:p w14:paraId="6950BE8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9AABFCC"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68CE522" w14:textId="77777777" w:rsidR="00000000" w:rsidRDefault="0053651E">
            <w:pPr>
              <w:jc w:val="right"/>
              <w:rPr>
                <w:rFonts w:eastAsia="Times New Roman"/>
                <w:sz w:val="20"/>
                <w:szCs w:val="20"/>
              </w:rPr>
            </w:pPr>
            <w:r>
              <w:rPr>
                <w:rFonts w:eastAsia="Times New Roman"/>
                <w:sz w:val="20"/>
                <w:szCs w:val="20"/>
              </w:rPr>
              <w:t>1,621.9</w:t>
            </w:r>
          </w:p>
        </w:tc>
        <w:tc>
          <w:tcPr>
            <w:tcW w:w="50" w:type="pct"/>
            <w:shd w:val="clear" w:color="auto" w:fill="FFFFFF"/>
            <w:tcMar>
              <w:top w:w="0" w:type="dxa"/>
              <w:left w:w="0" w:type="dxa"/>
              <w:bottom w:w="15" w:type="dxa"/>
              <w:right w:w="0" w:type="dxa"/>
            </w:tcMar>
            <w:vAlign w:val="bottom"/>
            <w:hideMark/>
          </w:tcPr>
          <w:p w14:paraId="663EEB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E3E04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F20DA5E"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A660D4E" w14:textId="77777777" w:rsidR="00000000" w:rsidRDefault="0053651E">
            <w:pPr>
              <w:jc w:val="right"/>
              <w:rPr>
                <w:rFonts w:eastAsia="Times New Roman"/>
                <w:sz w:val="20"/>
                <w:szCs w:val="20"/>
              </w:rPr>
            </w:pPr>
            <w:r>
              <w:rPr>
                <w:rFonts w:eastAsia="Times New Roman"/>
                <w:sz w:val="20"/>
                <w:szCs w:val="20"/>
              </w:rPr>
              <w:t>1,663.6</w:t>
            </w:r>
          </w:p>
        </w:tc>
        <w:tc>
          <w:tcPr>
            <w:tcW w:w="50" w:type="pct"/>
            <w:shd w:val="clear" w:color="auto" w:fill="FFFFFF"/>
            <w:tcMar>
              <w:top w:w="0" w:type="dxa"/>
              <w:left w:w="0" w:type="dxa"/>
              <w:bottom w:w="15" w:type="dxa"/>
              <w:right w:w="0" w:type="dxa"/>
            </w:tcMar>
            <w:vAlign w:val="bottom"/>
            <w:hideMark/>
          </w:tcPr>
          <w:p w14:paraId="68195C46" w14:textId="77777777" w:rsidR="00000000" w:rsidRDefault="0053651E">
            <w:pPr>
              <w:rPr>
                <w:rFonts w:eastAsia="Times New Roman"/>
                <w:sz w:val="20"/>
                <w:szCs w:val="20"/>
              </w:rPr>
            </w:pPr>
            <w:r>
              <w:rPr>
                <w:rFonts w:eastAsia="Times New Roman"/>
                <w:sz w:val="20"/>
                <w:szCs w:val="20"/>
              </w:rPr>
              <w:t> </w:t>
            </w:r>
          </w:p>
        </w:tc>
      </w:tr>
      <w:tr w:rsidR="00000000" w14:paraId="00263925" w14:textId="77777777">
        <w:trPr>
          <w:tblCellSpacing w:w="0" w:type="dxa"/>
        </w:trPr>
        <w:tc>
          <w:tcPr>
            <w:tcW w:w="0" w:type="auto"/>
            <w:shd w:val="clear" w:color="auto" w:fill="CCEEFF"/>
            <w:vAlign w:val="bottom"/>
            <w:hideMark/>
          </w:tcPr>
          <w:p w14:paraId="05FA1595" w14:textId="77777777" w:rsidR="00000000" w:rsidRDefault="0053651E">
            <w:pPr>
              <w:rPr>
                <w:rFonts w:eastAsia="Times New Roman"/>
                <w:sz w:val="20"/>
                <w:szCs w:val="20"/>
              </w:rPr>
            </w:pPr>
            <w:r>
              <w:rPr>
                <w:rFonts w:eastAsia="Times New Roman"/>
                <w:sz w:val="20"/>
                <w:szCs w:val="20"/>
              </w:rPr>
              <w:t>Total Liabilities and Partners'/Members Capital</w:t>
            </w:r>
          </w:p>
        </w:tc>
        <w:tc>
          <w:tcPr>
            <w:tcW w:w="50" w:type="pct"/>
            <w:shd w:val="clear" w:color="auto" w:fill="CCEEFF"/>
            <w:vAlign w:val="bottom"/>
            <w:hideMark/>
          </w:tcPr>
          <w:p w14:paraId="661AA76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795160D"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1D7BBF53" w14:textId="77777777" w:rsidR="00000000" w:rsidRDefault="0053651E">
            <w:pPr>
              <w:jc w:val="right"/>
              <w:rPr>
                <w:rFonts w:eastAsia="Times New Roman"/>
                <w:sz w:val="20"/>
                <w:szCs w:val="20"/>
              </w:rPr>
            </w:pPr>
            <w:r>
              <w:rPr>
                <w:rFonts w:eastAsia="Times New Roman"/>
                <w:sz w:val="20"/>
                <w:szCs w:val="20"/>
              </w:rPr>
              <w:t>2,737.2</w:t>
            </w:r>
          </w:p>
        </w:tc>
        <w:tc>
          <w:tcPr>
            <w:tcW w:w="50" w:type="pct"/>
            <w:shd w:val="clear" w:color="auto" w:fill="CCEEFF"/>
            <w:tcMar>
              <w:top w:w="0" w:type="dxa"/>
              <w:left w:w="0" w:type="dxa"/>
              <w:bottom w:w="45" w:type="dxa"/>
              <w:right w:w="0" w:type="dxa"/>
            </w:tcMar>
            <w:vAlign w:val="bottom"/>
            <w:hideMark/>
          </w:tcPr>
          <w:p w14:paraId="2F679B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C0DC5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5D1B1FF"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38A66CE9" w14:textId="77777777" w:rsidR="00000000" w:rsidRDefault="0053651E">
            <w:pPr>
              <w:jc w:val="right"/>
              <w:rPr>
                <w:rFonts w:eastAsia="Times New Roman"/>
                <w:sz w:val="20"/>
                <w:szCs w:val="20"/>
              </w:rPr>
            </w:pPr>
            <w:r>
              <w:rPr>
                <w:rFonts w:eastAsia="Times New Roman"/>
                <w:sz w:val="20"/>
                <w:szCs w:val="20"/>
              </w:rPr>
              <w:t>2,853.9</w:t>
            </w:r>
          </w:p>
        </w:tc>
        <w:tc>
          <w:tcPr>
            <w:tcW w:w="50" w:type="pct"/>
            <w:shd w:val="clear" w:color="auto" w:fill="CCEEFF"/>
            <w:tcMar>
              <w:top w:w="0" w:type="dxa"/>
              <w:left w:w="0" w:type="dxa"/>
              <w:bottom w:w="45" w:type="dxa"/>
              <w:right w:w="0" w:type="dxa"/>
            </w:tcMar>
            <w:vAlign w:val="bottom"/>
            <w:hideMark/>
          </w:tcPr>
          <w:p w14:paraId="63AD0859" w14:textId="77777777" w:rsidR="00000000" w:rsidRDefault="0053651E">
            <w:pPr>
              <w:rPr>
                <w:rFonts w:eastAsia="Times New Roman"/>
                <w:sz w:val="20"/>
                <w:szCs w:val="20"/>
              </w:rPr>
            </w:pPr>
            <w:r>
              <w:rPr>
                <w:rFonts w:eastAsia="Times New Roman"/>
                <w:sz w:val="20"/>
                <w:szCs w:val="20"/>
              </w:rPr>
              <w:t> </w:t>
            </w:r>
          </w:p>
        </w:tc>
      </w:tr>
    </w:tbl>
    <w:p w14:paraId="556AE8C0" w14:textId="77777777" w:rsidR="00000000" w:rsidRDefault="0053651E">
      <w:pPr>
        <w:pStyle w:val="a3"/>
        <w:spacing w:before="0" w:beforeAutospacing="0" w:after="0" w:afterAutospacing="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7"/>
        <w:gridCol w:w="61"/>
        <w:gridCol w:w="100"/>
        <w:gridCol w:w="1049"/>
        <w:gridCol w:w="67"/>
        <w:gridCol w:w="56"/>
        <w:gridCol w:w="100"/>
        <w:gridCol w:w="1049"/>
        <w:gridCol w:w="67"/>
        <w:gridCol w:w="57"/>
        <w:gridCol w:w="100"/>
        <w:gridCol w:w="1050"/>
        <w:gridCol w:w="67"/>
      </w:tblGrid>
      <w:tr w:rsidR="00000000" w14:paraId="48A95BA6" w14:textId="77777777">
        <w:trPr>
          <w:tblCellSpacing w:w="0" w:type="dxa"/>
        </w:trPr>
        <w:tc>
          <w:tcPr>
            <w:tcW w:w="0" w:type="auto"/>
            <w:vAlign w:val="bottom"/>
            <w:hideMark/>
          </w:tcPr>
          <w:p w14:paraId="0170035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13BFC10"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3541D026"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38DB1B0C" w14:textId="77777777" w:rsidR="00000000" w:rsidRDefault="0053651E">
            <w:pPr>
              <w:rPr>
                <w:rFonts w:eastAsia="Times New Roman"/>
                <w:sz w:val="20"/>
                <w:szCs w:val="20"/>
              </w:rPr>
            </w:pPr>
            <w:r>
              <w:rPr>
                <w:rFonts w:eastAsia="Times New Roman"/>
                <w:sz w:val="20"/>
                <w:szCs w:val="20"/>
              </w:rPr>
              <w:t> </w:t>
            </w:r>
          </w:p>
        </w:tc>
      </w:tr>
      <w:tr w:rsidR="00000000" w14:paraId="18ABCB89" w14:textId="77777777">
        <w:trPr>
          <w:tblCellSpacing w:w="0" w:type="dxa"/>
        </w:trPr>
        <w:tc>
          <w:tcPr>
            <w:tcW w:w="0" w:type="auto"/>
            <w:vAlign w:val="bottom"/>
            <w:hideMark/>
          </w:tcPr>
          <w:p w14:paraId="242DC34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AAA2C3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6E8874"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475A18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FC1CA2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873F58F"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3A030C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37D687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1C7876"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584636A9" w14:textId="77777777" w:rsidR="00000000" w:rsidRDefault="0053651E">
            <w:pPr>
              <w:rPr>
                <w:rFonts w:eastAsia="Times New Roman"/>
                <w:sz w:val="20"/>
                <w:szCs w:val="20"/>
              </w:rPr>
            </w:pPr>
            <w:r>
              <w:rPr>
                <w:rFonts w:eastAsia="Times New Roman"/>
                <w:sz w:val="20"/>
                <w:szCs w:val="20"/>
              </w:rPr>
              <w:t> </w:t>
            </w:r>
          </w:p>
        </w:tc>
      </w:tr>
      <w:tr w:rsidR="00000000" w14:paraId="1486FA65" w14:textId="77777777">
        <w:trPr>
          <w:tblCellSpacing w:w="0" w:type="dxa"/>
        </w:trPr>
        <w:tc>
          <w:tcPr>
            <w:tcW w:w="2300" w:type="pct"/>
            <w:shd w:val="clear" w:color="auto" w:fill="CCEEFF"/>
            <w:vAlign w:val="bottom"/>
            <w:hideMark/>
          </w:tcPr>
          <w:p w14:paraId="11AC0DF4" w14:textId="77777777" w:rsidR="00000000" w:rsidRDefault="0053651E">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14:paraId="10A0128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7F45495"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235DBC29" w14:textId="77777777" w:rsidR="00000000" w:rsidRDefault="0053651E">
            <w:pPr>
              <w:jc w:val="right"/>
              <w:rPr>
                <w:rFonts w:eastAsia="Times New Roman"/>
                <w:sz w:val="20"/>
                <w:szCs w:val="20"/>
              </w:rPr>
            </w:pPr>
            <w:r>
              <w:rPr>
                <w:rFonts w:eastAsia="Times New Roman"/>
                <w:sz w:val="20"/>
                <w:szCs w:val="20"/>
              </w:rPr>
              <w:t>317.6</w:t>
            </w:r>
          </w:p>
        </w:tc>
        <w:tc>
          <w:tcPr>
            <w:tcW w:w="50" w:type="pct"/>
            <w:tcBorders>
              <w:bottom w:val="nil"/>
            </w:tcBorders>
            <w:shd w:val="clear" w:color="auto" w:fill="CCEEFF"/>
            <w:vAlign w:val="bottom"/>
            <w:hideMark/>
          </w:tcPr>
          <w:p w14:paraId="5E08372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C39A1B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9FE1105"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2DFCC5A" w14:textId="77777777" w:rsidR="00000000" w:rsidRDefault="0053651E">
            <w:pPr>
              <w:jc w:val="right"/>
              <w:rPr>
                <w:rFonts w:eastAsia="Times New Roman"/>
                <w:sz w:val="20"/>
                <w:szCs w:val="20"/>
              </w:rPr>
            </w:pPr>
            <w:r>
              <w:rPr>
                <w:rFonts w:eastAsia="Times New Roman"/>
                <w:sz w:val="20"/>
                <w:szCs w:val="20"/>
              </w:rPr>
              <w:t>309.1</w:t>
            </w:r>
          </w:p>
        </w:tc>
        <w:tc>
          <w:tcPr>
            <w:tcW w:w="50" w:type="pct"/>
            <w:tcBorders>
              <w:bottom w:val="nil"/>
            </w:tcBorders>
            <w:shd w:val="clear" w:color="auto" w:fill="CCEEFF"/>
            <w:vAlign w:val="bottom"/>
            <w:hideMark/>
          </w:tcPr>
          <w:p w14:paraId="4EAF62E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970FE7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EDF2C4B"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12B305E7" w14:textId="77777777" w:rsidR="00000000" w:rsidRDefault="0053651E">
            <w:pPr>
              <w:jc w:val="right"/>
              <w:rPr>
                <w:rFonts w:eastAsia="Times New Roman"/>
                <w:sz w:val="20"/>
                <w:szCs w:val="20"/>
              </w:rPr>
            </w:pPr>
            <w:r>
              <w:rPr>
                <w:rFonts w:eastAsia="Times New Roman"/>
                <w:sz w:val="20"/>
                <w:szCs w:val="20"/>
              </w:rPr>
              <w:t>317.1</w:t>
            </w:r>
          </w:p>
        </w:tc>
        <w:tc>
          <w:tcPr>
            <w:tcW w:w="50" w:type="pct"/>
            <w:tcBorders>
              <w:bottom w:val="nil"/>
            </w:tcBorders>
            <w:shd w:val="clear" w:color="auto" w:fill="CCEEFF"/>
            <w:vAlign w:val="bottom"/>
            <w:hideMark/>
          </w:tcPr>
          <w:p w14:paraId="78F61B6C" w14:textId="77777777" w:rsidR="00000000" w:rsidRDefault="0053651E">
            <w:pPr>
              <w:rPr>
                <w:rFonts w:eastAsia="Times New Roman"/>
                <w:sz w:val="20"/>
                <w:szCs w:val="20"/>
              </w:rPr>
            </w:pPr>
            <w:r>
              <w:rPr>
                <w:rFonts w:eastAsia="Times New Roman"/>
                <w:sz w:val="20"/>
                <w:szCs w:val="20"/>
              </w:rPr>
              <w:t> </w:t>
            </w:r>
          </w:p>
        </w:tc>
      </w:tr>
      <w:tr w:rsidR="00000000" w14:paraId="13FAFF7F" w14:textId="77777777">
        <w:trPr>
          <w:tblCellSpacing w:w="0" w:type="dxa"/>
        </w:trPr>
        <w:tc>
          <w:tcPr>
            <w:tcW w:w="0" w:type="auto"/>
            <w:shd w:val="clear" w:color="auto" w:fill="FFFFFF"/>
            <w:vAlign w:val="bottom"/>
            <w:hideMark/>
          </w:tcPr>
          <w:p w14:paraId="1940A76C" w14:textId="77777777" w:rsidR="00000000" w:rsidRDefault="0053651E">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14:paraId="60638C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1532BA"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647FA69" w14:textId="77777777" w:rsidR="00000000" w:rsidRDefault="0053651E">
            <w:pPr>
              <w:jc w:val="right"/>
              <w:rPr>
                <w:rFonts w:eastAsia="Times New Roman"/>
                <w:sz w:val="20"/>
                <w:szCs w:val="20"/>
              </w:rPr>
            </w:pPr>
            <w:r>
              <w:rPr>
                <w:rFonts w:eastAsia="Times New Roman"/>
                <w:sz w:val="20"/>
                <w:szCs w:val="20"/>
              </w:rPr>
              <w:t>(99.4</w:t>
            </w:r>
          </w:p>
        </w:tc>
        <w:tc>
          <w:tcPr>
            <w:tcW w:w="50" w:type="pct"/>
            <w:shd w:val="clear" w:color="auto" w:fill="FFFFFF"/>
            <w:vAlign w:val="bottom"/>
            <w:hideMark/>
          </w:tcPr>
          <w:p w14:paraId="225E7D1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DF29B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4DE2E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A067CB3" w14:textId="77777777" w:rsidR="00000000" w:rsidRDefault="0053651E">
            <w:pPr>
              <w:jc w:val="right"/>
              <w:rPr>
                <w:rFonts w:eastAsia="Times New Roman"/>
                <w:sz w:val="20"/>
                <w:szCs w:val="20"/>
              </w:rPr>
            </w:pPr>
            <w:r>
              <w:rPr>
                <w:rFonts w:eastAsia="Times New Roman"/>
                <w:sz w:val="20"/>
                <w:szCs w:val="20"/>
              </w:rPr>
              <w:t>(92.8</w:t>
            </w:r>
          </w:p>
        </w:tc>
        <w:tc>
          <w:tcPr>
            <w:tcW w:w="50" w:type="pct"/>
            <w:shd w:val="clear" w:color="auto" w:fill="FFFFFF"/>
            <w:vAlign w:val="bottom"/>
            <w:hideMark/>
          </w:tcPr>
          <w:p w14:paraId="15EAD5A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12BC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DC6F32"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DA295DF" w14:textId="77777777" w:rsidR="00000000" w:rsidRDefault="0053651E">
            <w:pPr>
              <w:jc w:val="right"/>
              <w:rPr>
                <w:rFonts w:eastAsia="Times New Roman"/>
                <w:sz w:val="20"/>
                <w:szCs w:val="20"/>
              </w:rPr>
            </w:pPr>
            <w:r>
              <w:rPr>
                <w:rFonts w:eastAsia="Times New Roman"/>
                <w:sz w:val="20"/>
                <w:szCs w:val="20"/>
              </w:rPr>
              <w:t>(95.1</w:t>
            </w:r>
          </w:p>
        </w:tc>
        <w:tc>
          <w:tcPr>
            <w:tcW w:w="50" w:type="pct"/>
            <w:shd w:val="clear" w:color="auto" w:fill="FFFFFF"/>
            <w:vAlign w:val="bottom"/>
            <w:hideMark/>
          </w:tcPr>
          <w:p w14:paraId="415C7B82" w14:textId="77777777" w:rsidR="00000000" w:rsidRDefault="0053651E">
            <w:pPr>
              <w:rPr>
                <w:rFonts w:eastAsia="Times New Roman"/>
                <w:sz w:val="20"/>
                <w:szCs w:val="20"/>
              </w:rPr>
            </w:pPr>
            <w:r>
              <w:rPr>
                <w:rFonts w:eastAsia="Times New Roman"/>
                <w:sz w:val="20"/>
                <w:szCs w:val="20"/>
              </w:rPr>
              <w:t>)</w:t>
            </w:r>
          </w:p>
        </w:tc>
      </w:tr>
      <w:tr w:rsidR="00000000" w14:paraId="08D0C92B" w14:textId="77777777">
        <w:trPr>
          <w:tblCellSpacing w:w="0" w:type="dxa"/>
        </w:trPr>
        <w:tc>
          <w:tcPr>
            <w:tcW w:w="0" w:type="auto"/>
            <w:shd w:val="clear" w:color="auto" w:fill="CCEEFF"/>
            <w:vAlign w:val="bottom"/>
            <w:hideMark/>
          </w:tcPr>
          <w:p w14:paraId="1F2879BD" w14:textId="77777777" w:rsidR="00000000" w:rsidRDefault="0053651E">
            <w:pPr>
              <w:pStyle w:val="a3"/>
              <w:spacing w:before="0" w:beforeAutospacing="0" w:after="0" w:afterAutospacing="0"/>
              <w:rPr>
                <w:sz w:val="20"/>
                <w:szCs w:val="20"/>
              </w:rPr>
            </w:pPr>
            <w:r>
              <w:rPr>
                <w:sz w:val="20"/>
                <w:szCs w:val="20"/>
              </w:rPr>
              <w:t>Impairment charges</w:t>
            </w:r>
          </w:p>
        </w:tc>
        <w:tc>
          <w:tcPr>
            <w:tcW w:w="50" w:type="pct"/>
            <w:shd w:val="clear" w:color="auto" w:fill="CCEEFF"/>
            <w:vAlign w:val="bottom"/>
            <w:hideMark/>
          </w:tcPr>
          <w:p w14:paraId="6ED30FE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157B91"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D322624" w14:textId="77777777" w:rsidR="00000000" w:rsidRDefault="0053651E">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14:paraId="07EE235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5CDDE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DE9D6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84A9499" w14:textId="77777777" w:rsidR="00000000" w:rsidRDefault="0053651E">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14:paraId="403393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5A652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B12F31"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06C3A00" w14:textId="77777777" w:rsidR="00000000" w:rsidRDefault="0053651E">
            <w:pPr>
              <w:jc w:val="right"/>
              <w:rPr>
                <w:rFonts w:eastAsia="Times New Roman"/>
                <w:sz w:val="20"/>
                <w:szCs w:val="20"/>
              </w:rPr>
            </w:pPr>
            <w:r>
              <w:rPr>
                <w:rFonts w:eastAsia="Times New Roman"/>
                <w:sz w:val="20"/>
                <w:szCs w:val="20"/>
              </w:rPr>
              <w:t>(12.8</w:t>
            </w:r>
          </w:p>
        </w:tc>
        <w:tc>
          <w:tcPr>
            <w:tcW w:w="50" w:type="pct"/>
            <w:shd w:val="clear" w:color="auto" w:fill="CCEEFF"/>
            <w:vAlign w:val="bottom"/>
            <w:hideMark/>
          </w:tcPr>
          <w:p w14:paraId="42F9EB9D" w14:textId="77777777" w:rsidR="00000000" w:rsidRDefault="0053651E">
            <w:pPr>
              <w:rPr>
                <w:rFonts w:eastAsia="Times New Roman"/>
                <w:sz w:val="20"/>
                <w:szCs w:val="20"/>
              </w:rPr>
            </w:pPr>
            <w:r>
              <w:rPr>
                <w:rFonts w:eastAsia="Times New Roman"/>
                <w:sz w:val="20"/>
                <w:szCs w:val="20"/>
              </w:rPr>
              <w:t>)</w:t>
            </w:r>
          </w:p>
        </w:tc>
      </w:tr>
      <w:tr w:rsidR="00000000" w14:paraId="27D767EB" w14:textId="77777777">
        <w:trPr>
          <w:tblCellSpacing w:w="0" w:type="dxa"/>
        </w:trPr>
        <w:tc>
          <w:tcPr>
            <w:tcW w:w="0" w:type="auto"/>
            <w:shd w:val="clear" w:color="auto" w:fill="FFFFFF"/>
            <w:vAlign w:val="bottom"/>
            <w:hideMark/>
          </w:tcPr>
          <w:p w14:paraId="4CC23603" w14:textId="77777777" w:rsidR="00000000" w:rsidRDefault="0053651E">
            <w:pPr>
              <w:pStyle w:val="a3"/>
              <w:spacing w:before="0" w:beforeAutospacing="0" w:after="0" w:afterAutospacing="0"/>
              <w:rPr>
                <w:sz w:val="20"/>
                <w:szCs w:val="20"/>
              </w:rPr>
            </w:pPr>
            <w:r>
              <w:rPr>
                <w:sz w:val="20"/>
                <w:szCs w:val="20"/>
              </w:rPr>
              <w:t>Depreciation and amortization</w:t>
            </w:r>
          </w:p>
        </w:tc>
        <w:tc>
          <w:tcPr>
            <w:tcW w:w="50" w:type="pct"/>
            <w:shd w:val="clear" w:color="auto" w:fill="FFFFFF"/>
            <w:vAlign w:val="bottom"/>
            <w:hideMark/>
          </w:tcPr>
          <w:p w14:paraId="519EDE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BED41E"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1DC6653" w14:textId="77777777" w:rsidR="00000000" w:rsidRDefault="0053651E">
            <w:pPr>
              <w:jc w:val="right"/>
              <w:rPr>
                <w:rFonts w:eastAsia="Times New Roman"/>
                <w:sz w:val="20"/>
                <w:szCs w:val="20"/>
              </w:rPr>
            </w:pPr>
            <w:r>
              <w:rPr>
                <w:rFonts w:eastAsia="Times New Roman"/>
                <w:sz w:val="20"/>
                <w:szCs w:val="20"/>
              </w:rPr>
              <w:t>(76.9</w:t>
            </w:r>
          </w:p>
        </w:tc>
        <w:tc>
          <w:tcPr>
            <w:tcW w:w="50" w:type="pct"/>
            <w:shd w:val="clear" w:color="auto" w:fill="FFFFFF"/>
            <w:vAlign w:val="bottom"/>
            <w:hideMark/>
          </w:tcPr>
          <w:p w14:paraId="2F4E7FC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188D8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E38CF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9A4932A" w14:textId="77777777" w:rsidR="00000000" w:rsidRDefault="0053651E">
            <w:pPr>
              <w:jc w:val="right"/>
              <w:rPr>
                <w:rFonts w:eastAsia="Times New Roman"/>
                <w:sz w:val="20"/>
                <w:szCs w:val="20"/>
              </w:rPr>
            </w:pPr>
            <w:r>
              <w:rPr>
                <w:rFonts w:eastAsia="Times New Roman"/>
                <w:sz w:val="20"/>
                <w:szCs w:val="20"/>
              </w:rPr>
              <w:t>(80.3</w:t>
            </w:r>
          </w:p>
        </w:tc>
        <w:tc>
          <w:tcPr>
            <w:tcW w:w="50" w:type="pct"/>
            <w:shd w:val="clear" w:color="auto" w:fill="FFFFFF"/>
            <w:vAlign w:val="bottom"/>
            <w:hideMark/>
          </w:tcPr>
          <w:p w14:paraId="59AE702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4113C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5DB84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A73A475" w14:textId="77777777" w:rsidR="00000000" w:rsidRDefault="0053651E">
            <w:pPr>
              <w:jc w:val="right"/>
              <w:rPr>
                <w:rFonts w:eastAsia="Times New Roman"/>
                <w:sz w:val="20"/>
                <w:szCs w:val="20"/>
              </w:rPr>
            </w:pPr>
            <w:r>
              <w:rPr>
                <w:rFonts w:eastAsia="Times New Roman"/>
                <w:sz w:val="20"/>
                <w:szCs w:val="20"/>
              </w:rPr>
              <w:t>(76.8</w:t>
            </w:r>
          </w:p>
        </w:tc>
        <w:tc>
          <w:tcPr>
            <w:tcW w:w="50" w:type="pct"/>
            <w:shd w:val="clear" w:color="auto" w:fill="FFFFFF"/>
            <w:vAlign w:val="bottom"/>
            <w:hideMark/>
          </w:tcPr>
          <w:p w14:paraId="5178F18C" w14:textId="77777777" w:rsidR="00000000" w:rsidRDefault="0053651E">
            <w:pPr>
              <w:rPr>
                <w:rFonts w:eastAsia="Times New Roman"/>
                <w:sz w:val="20"/>
                <w:szCs w:val="20"/>
              </w:rPr>
            </w:pPr>
            <w:r>
              <w:rPr>
                <w:rFonts w:eastAsia="Times New Roman"/>
                <w:sz w:val="20"/>
                <w:szCs w:val="20"/>
              </w:rPr>
              <w:t>)</w:t>
            </w:r>
          </w:p>
        </w:tc>
      </w:tr>
      <w:tr w:rsidR="00000000" w14:paraId="3175AF0A" w14:textId="77777777">
        <w:trPr>
          <w:tblCellSpacing w:w="0" w:type="dxa"/>
        </w:trPr>
        <w:tc>
          <w:tcPr>
            <w:tcW w:w="0" w:type="auto"/>
            <w:shd w:val="clear" w:color="auto" w:fill="CCEEFF"/>
            <w:vAlign w:val="bottom"/>
            <w:hideMark/>
          </w:tcPr>
          <w:p w14:paraId="0DBA76F8" w14:textId="77777777" w:rsidR="00000000" w:rsidRDefault="0053651E">
            <w:pPr>
              <w:pStyle w:val="a3"/>
              <w:spacing w:before="0" w:beforeAutospacing="0" w:after="0" w:afterAutospacing="0"/>
              <w:rPr>
                <w:sz w:val="20"/>
                <w:szCs w:val="20"/>
              </w:rPr>
            </w:pPr>
            <w:r>
              <w:rPr>
                <w:sz w:val="20"/>
                <w:szCs w:val="20"/>
              </w:rPr>
              <w:t>Gain on sale of operating properties</w:t>
            </w:r>
          </w:p>
        </w:tc>
        <w:tc>
          <w:tcPr>
            <w:tcW w:w="50" w:type="pct"/>
            <w:shd w:val="clear" w:color="auto" w:fill="CCEEFF"/>
            <w:vAlign w:val="bottom"/>
            <w:hideMark/>
          </w:tcPr>
          <w:p w14:paraId="4572BE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FCFCE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D7FEA76" w14:textId="77777777" w:rsidR="00000000" w:rsidRDefault="0053651E">
            <w:pPr>
              <w:jc w:val="right"/>
              <w:rPr>
                <w:rFonts w:eastAsia="Times New Roman"/>
                <w:sz w:val="20"/>
                <w:szCs w:val="20"/>
              </w:rPr>
            </w:pPr>
            <w:r>
              <w:rPr>
                <w:rFonts w:eastAsia="Times New Roman"/>
                <w:sz w:val="20"/>
                <w:szCs w:val="20"/>
              </w:rPr>
              <w:t>15.0</w:t>
            </w:r>
          </w:p>
        </w:tc>
        <w:tc>
          <w:tcPr>
            <w:tcW w:w="50" w:type="pct"/>
            <w:shd w:val="clear" w:color="auto" w:fill="CCEEFF"/>
            <w:vAlign w:val="bottom"/>
            <w:hideMark/>
          </w:tcPr>
          <w:p w14:paraId="3F528C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F64F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567EB4"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147BF38" w14:textId="77777777" w:rsidR="00000000" w:rsidRDefault="0053651E">
            <w:pPr>
              <w:jc w:val="right"/>
              <w:rPr>
                <w:rFonts w:eastAsia="Times New Roman"/>
                <w:sz w:val="20"/>
                <w:szCs w:val="20"/>
              </w:rPr>
            </w:pPr>
            <w:r>
              <w:rPr>
                <w:rFonts w:eastAsia="Times New Roman"/>
                <w:sz w:val="20"/>
                <w:szCs w:val="20"/>
              </w:rPr>
              <w:t>46.8</w:t>
            </w:r>
          </w:p>
        </w:tc>
        <w:tc>
          <w:tcPr>
            <w:tcW w:w="50" w:type="pct"/>
            <w:shd w:val="clear" w:color="auto" w:fill="CCEEFF"/>
            <w:vAlign w:val="bottom"/>
            <w:hideMark/>
          </w:tcPr>
          <w:p w14:paraId="787F9C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AAE1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99FC7E"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E780D18" w14:textId="77777777" w:rsidR="00000000" w:rsidRDefault="0053651E">
            <w:pPr>
              <w:jc w:val="right"/>
              <w:rPr>
                <w:rFonts w:eastAsia="Times New Roman"/>
                <w:sz w:val="20"/>
                <w:szCs w:val="20"/>
              </w:rPr>
            </w:pPr>
            <w:r>
              <w:rPr>
                <w:rFonts w:eastAsia="Times New Roman"/>
                <w:sz w:val="20"/>
                <w:szCs w:val="20"/>
              </w:rPr>
              <w:t>17.0</w:t>
            </w:r>
          </w:p>
        </w:tc>
        <w:tc>
          <w:tcPr>
            <w:tcW w:w="50" w:type="pct"/>
            <w:shd w:val="clear" w:color="auto" w:fill="CCEEFF"/>
            <w:vAlign w:val="bottom"/>
            <w:hideMark/>
          </w:tcPr>
          <w:p w14:paraId="4E9B28B6" w14:textId="77777777" w:rsidR="00000000" w:rsidRDefault="0053651E">
            <w:pPr>
              <w:rPr>
                <w:rFonts w:eastAsia="Times New Roman"/>
                <w:sz w:val="20"/>
                <w:szCs w:val="20"/>
              </w:rPr>
            </w:pPr>
            <w:r>
              <w:rPr>
                <w:rFonts w:eastAsia="Times New Roman"/>
                <w:sz w:val="20"/>
                <w:szCs w:val="20"/>
              </w:rPr>
              <w:t> </w:t>
            </w:r>
          </w:p>
        </w:tc>
      </w:tr>
      <w:tr w:rsidR="00000000" w14:paraId="4020A599" w14:textId="77777777">
        <w:trPr>
          <w:tblCellSpacing w:w="0" w:type="dxa"/>
        </w:trPr>
        <w:tc>
          <w:tcPr>
            <w:tcW w:w="0" w:type="auto"/>
            <w:shd w:val="clear" w:color="auto" w:fill="FFFFFF"/>
            <w:vAlign w:val="bottom"/>
            <w:hideMark/>
          </w:tcPr>
          <w:p w14:paraId="0AC8D76C" w14:textId="77777777" w:rsidR="00000000" w:rsidRDefault="0053651E">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14:paraId="55FCF3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28519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9CF58FC" w14:textId="77777777" w:rsidR="00000000" w:rsidRDefault="0053651E">
            <w:pPr>
              <w:jc w:val="right"/>
              <w:rPr>
                <w:rFonts w:eastAsia="Times New Roman"/>
                <w:sz w:val="20"/>
                <w:szCs w:val="20"/>
              </w:rPr>
            </w:pPr>
            <w:r>
              <w:rPr>
                <w:rFonts w:eastAsia="Times New Roman"/>
                <w:sz w:val="20"/>
                <w:szCs w:val="20"/>
              </w:rPr>
              <w:t>(47.1</w:t>
            </w:r>
          </w:p>
        </w:tc>
        <w:tc>
          <w:tcPr>
            <w:tcW w:w="50" w:type="pct"/>
            <w:shd w:val="clear" w:color="auto" w:fill="FFFFFF"/>
            <w:vAlign w:val="bottom"/>
            <w:hideMark/>
          </w:tcPr>
          <w:p w14:paraId="2295A5C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2064C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B0446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33CEEB8" w14:textId="77777777" w:rsidR="00000000" w:rsidRDefault="0053651E">
            <w:pPr>
              <w:jc w:val="right"/>
              <w:rPr>
                <w:rFonts w:eastAsia="Times New Roman"/>
                <w:sz w:val="20"/>
                <w:szCs w:val="20"/>
              </w:rPr>
            </w:pPr>
            <w:r>
              <w:rPr>
                <w:rFonts w:eastAsia="Times New Roman"/>
                <w:sz w:val="20"/>
                <w:szCs w:val="20"/>
              </w:rPr>
              <w:t>(46.8</w:t>
            </w:r>
          </w:p>
        </w:tc>
        <w:tc>
          <w:tcPr>
            <w:tcW w:w="50" w:type="pct"/>
            <w:shd w:val="clear" w:color="auto" w:fill="FFFFFF"/>
            <w:vAlign w:val="bottom"/>
            <w:hideMark/>
          </w:tcPr>
          <w:p w14:paraId="639EF7B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492E0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CAF68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2616A00" w14:textId="77777777" w:rsidR="00000000" w:rsidRDefault="0053651E">
            <w:pPr>
              <w:jc w:val="right"/>
              <w:rPr>
                <w:rFonts w:eastAsia="Times New Roman"/>
                <w:sz w:val="20"/>
                <w:szCs w:val="20"/>
              </w:rPr>
            </w:pPr>
            <w:r>
              <w:rPr>
                <w:rFonts w:eastAsia="Times New Roman"/>
                <w:sz w:val="20"/>
                <w:szCs w:val="20"/>
              </w:rPr>
              <w:t>(46.6</w:t>
            </w:r>
          </w:p>
        </w:tc>
        <w:tc>
          <w:tcPr>
            <w:tcW w:w="50" w:type="pct"/>
            <w:shd w:val="clear" w:color="auto" w:fill="FFFFFF"/>
            <w:vAlign w:val="bottom"/>
            <w:hideMark/>
          </w:tcPr>
          <w:p w14:paraId="3E2C2F55" w14:textId="77777777" w:rsidR="00000000" w:rsidRDefault="0053651E">
            <w:pPr>
              <w:rPr>
                <w:rFonts w:eastAsia="Times New Roman"/>
                <w:sz w:val="20"/>
                <w:szCs w:val="20"/>
              </w:rPr>
            </w:pPr>
            <w:r>
              <w:rPr>
                <w:rFonts w:eastAsia="Times New Roman"/>
                <w:sz w:val="20"/>
                <w:szCs w:val="20"/>
              </w:rPr>
              <w:t>)</w:t>
            </w:r>
          </w:p>
        </w:tc>
      </w:tr>
      <w:tr w:rsidR="00000000" w14:paraId="1838A49D" w14:textId="77777777">
        <w:trPr>
          <w:tblCellSpacing w:w="0" w:type="dxa"/>
        </w:trPr>
        <w:tc>
          <w:tcPr>
            <w:tcW w:w="0" w:type="auto"/>
            <w:shd w:val="clear" w:color="auto" w:fill="CCEEFF"/>
            <w:vAlign w:val="bottom"/>
            <w:hideMark/>
          </w:tcPr>
          <w:p w14:paraId="3F7DB0A1" w14:textId="77777777" w:rsidR="00000000" w:rsidRDefault="0053651E">
            <w:pPr>
              <w:pStyle w:val="a3"/>
              <w:spacing w:before="0" w:beforeAutospacing="0" w:after="0" w:afterAutospacing="0"/>
              <w:rPr>
                <w:sz w:val="20"/>
                <w:szCs w:val="20"/>
              </w:rPr>
            </w:pPr>
            <w:r>
              <w:rPr>
                <w:sz w:val="20"/>
                <w:szCs w:val="20"/>
              </w:rPr>
              <w:t>Other (expense)/income, net</w:t>
            </w:r>
          </w:p>
        </w:tc>
        <w:tc>
          <w:tcPr>
            <w:tcW w:w="50" w:type="pct"/>
            <w:shd w:val="clear" w:color="auto" w:fill="CCEEFF"/>
            <w:vAlign w:val="bottom"/>
            <w:hideMark/>
          </w:tcPr>
          <w:p w14:paraId="53EDE65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AB110A"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05B9A0A0" w14:textId="77777777" w:rsidR="00000000" w:rsidRDefault="0053651E">
            <w:pPr>
              <w:jc w:val="right"/>
              <w:rPr>
                <w:rFonts w:eastAsia="Times New Roman"/>
                <w:sz w:val="20"/>
                <w:szCs w:val="20"/>
              </w:rPr>
            </w:pPr>
            <w:r>
              <w:rPr>
                <w:rFonts w:eastAsia="Times New Roman"/>
                <w:sz w:val="20"/>
                <w:szCs w:val="20"/>
              </w:rPr>
              <w:t>(14.2</w:t>
            </w:r>
          </w:p>
        </w:tc>
        <w:tc>
          <w:tcPr>
            <w:tcW w:w="50" w:type="pct"/>
            <w:shd w:val="clear" w:color="auto" w:fill="CCEEFF"/>
            <w:tcMar>
              <w:top w:w="0" w:type="dxa"/>
              <w:left w:w="0" w:type="dxa"/>
              <w:bottom w:w="15" w:type="dxa"/>
              <w:right w:w="0" w:type="dxa"/>
            </w:tcMar>
            <w:vAlign w:val="bottom"/>
            <w:hideMark/>
          </w:tcPr>
          <w:p w14:paraId="3D53D47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40BD2B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9FBABA"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5ECB6243" w14:textId="77777777" w:rsidR="00000000" w:rsidRDefault="0053651E">
            <w:pPr>
              <w:jc w:val="right"/>
              <w:rPr>
                <w:rFonts w:eastAsia="Times New Roman"/>
                <w:sz w:val="20"/>
                <w:szCs w:val="20"/>
              </w:rPr>
            </w:pPr>
            <w:r>
              <w:rPr>
                <w:rFonts w:eastAsia="Times New Roman"/>
                <w:sz w:val="20"/>
                <w:szCs w:val="20"/>
              </w:rPr>
              <w:t>(2.9</w:t>
            </w:r>
          </w:p>
        </w:tc>
        <w:tc>
          <w:tcPr>
            <w:tcW w:w="50" w:type="pct"/>
            <w:shd w:val="clear" w:color="auto" w:fill="CCEEFF"/>
            <w:tcMar>
              <w:top w:w="0" w:type="dxa"/>
              <w:left w:w="0" w:type="dxa"/>
              <w:bottom w:w="15" w:type="dxa"/>
              <w:right w:w="0" w:type="dxa"/>
            </w:tcMar>
            <w:vAlign w:val="bottom"/>
            <w:hideMark/>
          </w:tcPr>
          <w:p w14:paraId="3B85855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C5A6FF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864A80"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2EE4B5F7" w14:textId="77777777" w:rsidR="00000000" w:rsidRDefault="0053651E">
            <w:pPr>
              <w:jc w:val="right"/>
              <w:rPr>
                <w:rFonts w:eastAsia="Times New Roman"/>
                <w:sz w:val="20"/>
                <w:szCs w:val="20"/>
              </w:rPr>
            </w:pPr>
            <w:r>
              <w:rPr>
                <w:rFonts w:eastAsia="Times New Roman"/>
                <w:sz w:val="20"/>
                <w:szCs w:val="20"/>
              </w:rPr>
              <w:t>(1.5</w:t>
            </w:r>
          </w:p>
        </w:tc>
        <w:tc>
          <w:tcPr>
            <w:tcW w:w="50" w:type="pct"/>
            <w:shd w:val="clear" w:color="auto" w:fill="CCEEFF"/>
            <w:tcMar>
              <w:top w:w="0" w:type="dxa"/>
              <w:left w:w="0" w:type="dxa"/>
              <w:bottom w:w="15" w:type="dxa"/>
              <w:right w:w="0" w:type="dxa"/>
            </w:tcMar>
            <w:vAlign w:val="bottom"/>
            <w:hideMark/>
          </w:tcPr>
          <w:p w14:paraId="172597AE" w14:textId="77777777" w:rsidR="00000000" w:rsidRDefault="0053651E">
            <w:pPr>
              <w:rPr>
                <w:rFonts w:eastAsia="Times New Roman"/>
                <w:sz w:val="20"/>
                <w:szCs w:val="20"/>
              </w:rPr>
            </w:pPr>
            <w:r>
              <w:rPr>
                <w:rFonts w:eastAsia="Times New Roman"/>
                <w:sz w:val="20"/>
                <w:szCs w:val="20"/>
              </w:rPr>
              <w:t>)</w:t>
            </w:r>
          </w:p>
        </w:tc>
      </w:tr>
      <w:tr w:rsidR="00000000" w14:paraId="300FFC2A" w14:textId="77777777">
        <w:trPr>
          <w:tblCellSpacing w:w="0" w:type="dxa"/>
        </w:trPr>
        <w:tc>
          <w:tcPr>
            <w:tcW w:w="0" w:type="auto"/>
            <w:shd w:val="clear" w:color="auto" w:fill="FFFFFF"/>
            <w:vAlign w:val="bottom"/>
            <w:hideMark/>
          </w:tcPr>
          <w:p w14:paraId="500FC991" w14:textId="77777777" w:rsidR="00000000" w:rsidRDefault="0053651E">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08B491C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24A1BF3"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401EEEC7" w14:textId="77777777" w:rsidR="00000000" w:rsidRDefault="0053651E">
            <w:pPr>
              <w:jc w:val="right"/>
              <w:rPr>
                <w:rFonts w:eastAsia="Times New Roman"/>
                <w:sz w:val="20"/>
                <w:szCs w:val="20"/>
              </w:rPr>
            </w:pPr>
            <w:r>
              <w:rPr>
                <w:rFonts w:eastAsia="Times New Roman"/>
                <w:sz w:val="20"/>
                <w:szCs w:val="20"/>
              </w:rPr>
              <w:t>55.5</w:t>
            </w:r>
          </w:p>
        </w:tc>
        <w:tc>
          <w:tcPr>
            <w:tcW w:w="50" w:type="pct"/>
            <w:shd w:val="clear" w:color="auto" w:fill="FFFFFF"/>
            <w:tcMar>
              <w:top w:w="0" w:type="dxa"/>
              <w:left w:w="0" w:type="dxa"/>
              <w:bottom w:w="45" w:type="dxa"/>
              <w:right w:w="0" w:type="dxa"/>
            </w:tcMar>
            <w:vAlign w:val="bottom"/>
            <w:hideMark/>
          </w:tcPr>
          <w:p w14:paraId="7DBB16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53187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7DE18D8"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2E6BF63A" w14:textId="77777777" w:rsidR="00000000" w:rsidRDefault="0053651E">
            <w:pPr>
              <w:jc w:val="right"/>
              <w:rPr>
                <w:rFonts w:eastAsia="Times New Roman"/>
                <w:sz w:val="20"/>
                <w:szCs w:val="20"/>
              </w:rPr>
            </w:pPr>
            <w:r>
              <w:rPr>
                <w:rFonts w:eastAsia="Times New Roman"/>
                <w:sz w:val="20"/>
                <w:szCs w:val="20"/>
              </w:rPr>
              <w:t>112.4</w:t>
            </w:r>
          </w:p>
        </w:tc>
        <w:tc>
          <w:tcPr>
            <w:tcW w:w="50" w:type="pct"/>
            <w:shd w:val="clear" w:color="auto" w:fill="FFFFFF"/>
            <w:tcMar>
              <w:top w:w="0" w:type="dxa"/>
              <w:left w:w="0" w:type="dxa"/>
              <w:bottom w:w="45" w:type="dxa"/>
              <w:right w:w="0" w:type="dxa"/>
            </w:tcMar>
            <w:vAlign w:val="bottom"/>
            <w:hideMark/>
          </w:tcPr>
          <w:p w14:paraId="7ED1EE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AA3B4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BB06529"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1925BE59" w14:textId="77777777" w:rsidR="00000000" w:rsidRDefault="0053651E">
            <w:pPr>
              <w:jc w:val="right"/>
              <w:rPr>
                <w:rFonts w:eastAsia="Times New Roman"/>
                <w:sz w:val="20"/>
                <w:szCs w:val="20"/>
              </w:rPr>
            </w:pPr>
            <w:r>
              <w:rPr>
                <w:rFonts w:eastAsia="Times New Roman"/>
                <w:sz w:val="20"/>
                <w:szCs w:val="20"/>
              </w:rPr>
              <w:t>101.3</w:t>
            </w:r>
          </w:p>
        </w:tc>
        <w:tc>
          <w:tcPr>
            <w:tcW w:w="50" w:type="pct"/>
            <w:shd w:val="clear" w:color="auto" w:fill="FFFFFF"/>
            <w:tcMar>
              <w:top w:w="0" w:type="dxa"/>
              <w:left w:w="0" w:type="dxa"/>
              <w:bottom w:w="45" w:type="dxa"/>
              <w:right w:w="0" w:type="dxa"/>
            </w:tcMar>
            <w:vAlign w:val="bottom"/>
            <w:hideMark/>
          </w:tcPr>
          <w:p w14:paraId="580417C0" w14:textId="77777777" w:rsidR="00000000" w:rsidRDefault="0053651E">
            <w:pPr>
              <w:rPr>
                <w:rFonts w:eastAsia="Times New Roman"/>
                <w:sz w:val="20"/>
                <w:szCs w:val="20"/>
              </w:rPr>
            </w:pPr>
            <w:r>
              <w:rPr>
                <w:rFonts w:eastAsia="Times New Roman"/>
                <w:sz w:val="20"/>
                <w:szCs w:val="20"/>
              </w:rPr>
              <w:t> </w:t>
            </w:r>
          </w:p>
        </w:tc>
      </w:tr>
    </w:tbl>
    <w:p w14:paraId="7049A1CF" w14:textId="77777777" w:rsidR="00000000" w:rsidRDefault="0053651E">
      <w:pPr>
        <w:pStyle w:val="a3"/>
        <w:spacing w:before="0" w:beforeAutospacing="0" w:after="0" w:afterAutospacing="0"/>
        <w:ind w:left="360"/>
        <w:jc w:val="both"/>
        <w:rPr>
          <w:sz w:val="20"/>
          <w:szCs w:val="20"/>
        </w:rPr>
      </w:pPr>
      <w:r>
        <w:rPr>
          <w:sz w:val="20"/>
          <w:szCs w:val="20"/>
        </w:rPr>
        <w:t> </w:t>
      </w:r>
    </w:p>
    <w:p w14:paraId="53D17823" w14:textId="77777777" w:rsidR="00000000" w:rsidRDefault="0053651E">
      <w:pPr>
        <w:jc w:val="center"/>
        <w:divId w:val="1401488823"/>
        <w:rPr>
          <w:rFonts w:eastAsia="Times New Roman"/>
          <w:sz w:val="20"/>
          <w:szCs w:val="20"/>
        </w:rPr>
      </w:pPr>
      <w:r>
        <w:rPr>
          <w:rStyle w:val="a6"/>
          <w:rFonts w:eastAsia="Times New Roman"/>
          <w:i w:val="0"/>
          <w:iCs w:val="0"/>
          <w:sz w:val="20"/>
          <w:szCs w:val="20"/>
        </w:rPr>
        <w:t>66</w:t>
      </w:r>
      <w:r>
        <w:rPr>
          <w:rFonts w:eastAsia="Times New Roman"/>
          <w:sz w:val="20"/>
          <w:szCs w:val="20"/>
        </w:rPr>
        <w:t xml:space="preserve"> </w:t>
      </w:r>
    </w:p>
    <w:p w14:paraId="25FAACF6" w14:textId="77777777" w:rsidR="00000000" w:rsidRDefault="0053651E">
      <w:pPr>
        <w:divId w:val="1401488823"/>
        <w:rPr>
          <w:rFonts w:eastAsia="Times New Roman"/>
          <w:sz w:val="20"/>
          <w:szCs w:val="20"/>
        </w:rPr>
      </w:pPr>
      <w:r>
        <w:rPr>
          <w:rFonts w:eastAsia="Times New Roman"/>
          <w:sz w:val="20"/>
          <w:szCs w:val="20"/>
        </w:rPr>
        <w:pict w14:anchorId="65691B44">
          <v:rect id="_x0000_i1097" style="width:415.3pt;height:1.5pt" o:hralign="center" o:hrstd="t" o:hrnoshade="t" o:hr="t" fillcolor="black" stroked="f"/>
        </w:pict>
      </w:r>
    </w:p>
    <w:p w14:paraId="1CCA0F78" w14:textId="77777777" w:rsidR="00000000" w:rsidRDefault="0053651E">
      <w:pPr>
        <w:divId w:val="14014888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EC0279E" w14:textId="77777777" w:rsidR="00000000" w:rsidRDefault="0053651E">
      <w:pPr>
        <w:pStyle w:val="a3"/>
        <w:spacing w:before="0" w:beforeAutospacing="0" w:after="0" w:afterAutospacing="0"/>
        <w:rPr>
          <w:sz w:val="20"/>
          <w:szCs w:val="20"/>
        </w:rPr>
      </w:pPr>
      <w:r>
        <w:rPr>
          <w:sz w:val="20"/>
          <w:szCs w:val="20"/>
        </w:rPr>
        <w:t> </w:t>
      </w:r>
    </w:p>
    <w:p w14:paraId="7CBC94A3"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699F32EA" w14:textId="77777777" w:rsidR="00000000" w:rsidRDefault="0053651E">
      <w:pPr>
        <w:pStyle w:val="a3"/>
        <w:spacing w:before="0" w:beforeAutospacing="0" w:after="0" w:afterAutospacing="0"/>
        <w:jc w:val="center"/>
        <w:rPr>
          <w:sz w:val="20"/>
          <w:szCs w:val="20"/>
        </w:rPr>
      </w:pPr>
      <w:r>
        <w:rPr>
          <w:sz w:val="20"/>
          <w:szCs w:val="20"/>
        </w:rPr>
        <w:t> </w:t>
      </w:r>
    </w:p>
    <w:p w14:paraId="1B712509"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EA67E91" w14:textId="77777777" w:rsidR="00000000" w:rsidRDefault="0053651E">
      <w:pPr>
        <w:pStyle w:val="a3"/>
        <w:spacing w:before="0" w:beforeAutospacing="0" w:after="0" w:afterAutospacing="0"/>
        <w:rPr>
          <w:sz w:val="20"/>
          <w:szCs w:val="20"/>
        </w:rPr>
      </w:pPr>
      <w:r>
        <w:rPr>
          <w:sz w:val="20"/>
          <w:szCs w:val="20"/>
        </w:rPr>
        <w:t> </w:t>
      </w:r>
    </w:p>
    <w:p w14:paraId="345278A3" w14:textId="77777777" w:rsidR="00000000" w:rsidRDefault="0053651E">
      <w:pPr>
        <w:pStyle w:val="a3"/>
        <w:spacing w:before="0" w:beforeAutospacing="0" w:after="0" w:afterAutospacing="0"/>
        <w:ind w:left="360"/>
        <w:jc w:val="both"/>
        <w:rPr>
          <w:sz w:val="20"/>
          <w:szCs w:val="20"/>
        </w:rPr>
      </w:pPr>
      <w:r>
        <w:rPr>
          <w:sz w:val="20"/>
          <w:szCs w:val="20"/>
        </w:rPr>
        <w:t>Other liabilities included in the Company’s accompanying Consolidated Balance Sheets include accounts with ce</w:t>
      </w:r>
      <w:r>
        <w:rPr>
          <w:sz w:val="20"/>
          <w:szCs w:val="20"/>
        </w:rPr>
        <w:t>rtain real estate joint ventures totaling $3.5 million and $2.5 million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respectively. The Company has varying equity interests in these real estate joint ventures, which</w:t>
      </w:r>
      <w:r>
        <w:rPr>
          <w:sz w:val="20"/>
          <w:szCs w:val="20"/>
        </w:rPr>
        <w:t xml:space="preserve"> </w:t>
      </w:r>
      <w:r>
        <w:rPr>
          <w:rStyle w:val="a6"/>
          <w:i w:val="0"/>
          <w:iCs w:val="0"/>
          <w:sz w:val="20"/>
          <w:szCs w:val="20"/>
        </w:rPr>
        <w:t xml:space="preserve">may </w:t>
      </w:r>
      <w:r>
        <w:rPr>
          <w:sz w:val="20"/>
          <w:szCs w:val="20"/>
        </w:rPr>
        <w:t>differ from their proportionate share of net income</w:t>
      </w:r>
      <w:r>
        <w:rPr>
          <w:sz w:val="20"/>
          <w:szCs w:val="20"/>
        </w:rPr>
        <w:t xml:space="preserve"> or loss recognized in accordance with GAAP.</w:t>
      </w:r>
    </w:p>
    <w:p w14:paraId="5AEAD7A2" w14:textId="77777777" w:rsidR="00000000" w:rsidRDefault="0053651E">
      <w:pPr>
        <w:pStyle w:val="a3"/>
        <w:spacing w:before="0" w:beforeAutospacing="0" w:after="0" w:afterAutospacing="0"/>
        <w:ind w:left="360"/>
        <w:jc w:val="both"/>
        <w:rPr>
          <w:sz w:val="20"/>
          <w:szCs w:val="20"/>
        </w:rPr>
      </w:pPr>
      <w:r>
        <w:rPr>
          <w:sz w:val="20"/>
          <w:szCs w:val="20"/>
        </w:rPr>
        <w:t> </w:t>
      </w:r>
    </w:p>
    <w:p w14:paraId="7E5F5A8F" w14:textId="77777777" w:rsidR="00000000" w:rsidRDefault="0053651E">
      <w:pPr>
        <w:pStyle w:val="a3"/>
        <w:spacing w:before="0" w:beforeAutospacing="0" w:after="0" w:afterAutospacing="0"/>
        <w:ind w:left="360"/>
        <w:jc w:val="both"/>
        <w:rPr>
          <w:sz w:val="20"/>
          <w:szCs w:val="20"/>
        </w:rPr>
      </w:pPr>
      <w:r>
        <w:rPr>
          <w:sz w:val="20"/>
          <w:szCs w:val="20"/>
        </w:rPr>
        <w:t>The Company’s maximum exposure to losses associated with its unconsolidated joint ventures is primarily limited to its carrying value in these investments. Generally, such investments contain operating propert</w:t>
      </w:r>
      <w:r>
        <w:rPr>
          <w:sz w:val="20"/>
          <w:szCs w:val="20"/>
        </w:rPr>
        <w:t>ies and the Company has determined these entities do</w:t>
      </w:r>
      <w:r>
        <w:rPr>
          <w:sz w:val="20"/>
          <w:szCs w:val="20"/>
        </w:rPr>
        <w:t xml:space="preserve"> </w:t>
      </w:r>
      <w:r>
        <w:rPr>
          <w:rStyle w:val="a6"/>
          <w:i w:val="0"/>
          <w:iCs w:val="0"/>
          <w:sz w:val="20"/>
          <w:szCs w:val="20"/>
        </w:rPr>
        <w:t>not</w:t>
      </w:r>
      <w:r>
        <w:rPr>
          <w:sz w:val="20"/>
          <w:szCs w:val="20"/>
        </w:rPr>
        <w:t xml:space="preserve"> contain the characteristics of a VIE.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the Company’s carrying value in these investments was $578.1 million and $570.9 million, respectively.</w:t>
      </w:r>
    </w:p>
    <w:p w14:paraId="2B2211B1" w14:textId="77777777" w:rsidR="00000000" w:rsidRDefault="0053651E">
      <w:pPr>
        <w:pStyle w:val="a3"/>
        <w:spacing w:before="0" w:beforeAutospacing="0" w:after="0" w:afterAutospacing="0"/>
        <w:ind w:left="360"/>
        <w:jc w:val="both"/>
        <w:rPr>
          <w:sz w:val="20"/>
          <w:szCs w:val="20"/>
        </w:rPr>
      </w:pPr>
      <w:r>
        <w:rPr>
          <w:sz w:val="20"/>
          <w:szCs w:val="20"/>
        </w:rPr>
        <w:t> </w:t>
      </w:r>
    </w:p>
    <w:p w14:paraId="550D82F3" w14:textId="77777777" w:rsidR="00000000" w:rsidRDefault="0053651E">
      <w:pPr>
        <w:divId w:val="1081291773"/>
        <w:rPr>
          <w:rFonts w:eastAsia="Times New Roman"/>
          <w:sz w:val="20"/>
          <w:szCs w:val="20"/>
        </w:rPr>
      </w:pPr>
      <w:r>
        <w:rPr>
          <w:rFonts w:eastAsia="Times New Roman"/>
          <w:sz w:val="20"/>
          <w:szCs w:val="20"/>
        </w:rPr>
        <w:t xml:space="preserve">  </w:t>
      </w:r>
    </w:p>
    <w:p w14:paraId="02658158" w14:textId="77777777" w:rsidR="00000000" w:rsidRDefault="0053651E">
      <w:pPr>
        <w:pStyle w:val="a3"/>
        <w:spacing w:before="0" w:beforeAutospacing="0" w:after="0" w:afterAutospacing="0"/>
        <w:rPr>
          <w:sz w:val="20"/>
          <w:szCs w:val="20"/>
        </w:rPr>
      </w:pPr>
      <w:r>
        <w:rPr>
          <w:rStyle w:val="a6"/>
          <w:i w:val="0"/>
          <w:iCs w:val="0"/>
          <w:sz w:val="20"/>
          <w:szCs w:val="20"/>
        </w:rPr>
        <w:t>8.</w:t>
      </w:r>
      <w:r>
        <w:rPr>
          <w:sz w:val="20"/>
          <w:szCs w:val="20"/>
        </w:rPr>
        <w:t>    </w:t>
      </w:r>
      <w:r>
        <w:rPr>
          <w:sz w:val="20"/>
          <w:szCs w:val="20"/>
          <w:u w:val="single"/>
        </w:rPr>
        <w:t>Other Real Es</w:t>
      </w:r>
      <w:r>
        <w:rPr>
          <w:sz w:val="20"/>
          <w:szCs w:val="20"/>
          <w:u w:val="single"/>
        </w:rPr>
        <w:t>tate Investments:</w:t>
      </w:r>
    </w:p>
    <w:p w14:paraId="0B1FB103" w14:textId="77777777" w:rsidR="00000000" w:rsidRDefault="0053651E">
      <w:pPr>
        <w:pStyle w:val="a3"/>
        <w:spacing w:before="0" w:beforeAutospacing="0" w:after="0" w:afterAutospacing="0"/>
        <w:ind w:left="360"/>
        <w:jc w:val="both"/>
        <w:rPr>
          <w:sz w:val="20"/>
          <w:szCs w:val="20"/>
        </w:rPr>
      </w:pPr>
      <w:r>
        <w:rPr>
          <w:sz w:val="20"/>
          <w:szCs w:val="20"/>
        </w:rPr>
        <w:t> </w:t>
      </w:r>
    </w:p>
    <w:p w14:paraId="59D681BA" w14:textId="77777777" w:rsidR="00000000" w:rsidRDefault="0053651E">
      <w:pPr>
        <w:pStyle w:val="a3"/>
        <w:spacing w:before="0" w:beforeAutospacing="0" w:after="0" w:afterAutospacing="0"/>
        <w:ind w:left="360"/>
        <w:rPr>
          <w:sz w:val="20"/>
          <w:szCs w:val="20"/>
        </w:rPr>
      </w:pPr>
      <w:r>
        <w:rPr>
          <w:i/>
          <w:iCs/>
          <w:sz w:val="20"/>
          <w:szCs w:val="20"/>
        </w:rPr>
        <w:t xml:space="preserve">Preferred Equity Capital – </w:t>
      </w:r>
    </w:p>
    <w:p w14:paraId="153BB1E7" w14:textId="77777777" w:rsidR="00000000" w:rsidRDefault="0053651E">
      <w:pPr>
        <w:pStyle w:val="a3"/>
        <w:spacing w:before="0" w:beforeAutospacing="0" w:after="0" w:afterAutospacing="0"/>
        <w:jc w:val="both"/>
        <w:rPr>
          <w:sz w:val="20"/>
          <w:szCs w:val="20"/>
        </w:rPr>
      </w:pPr>
      <w:r>
        <w:rPr>
          <w:sz w:val="20"/>
          <w:szCs w:val="20"/>
        </w:rPr>
        <w:t> </w:t>
      </w:r>
    </w:p>
    <w:p w14:paraId="2E24A058" w14:textId="77777777" w:rsidR="00000000" w:rsidRDefault="0053651E">
      <w:pPr>
        <w:pStyle w:val="a3"/>
        <w:spacing w:before="0" w:beforeAutospacing="0" w:after="0" w:afterAutospacing="0"/>
        <w:ind w:left="360"/>
        <w:jc w:val="both"/>
        <w:rPr>
          <w:sz w:val="20"/>
          <w:szCs w:val="20"/>
        </w:rPr>
      </w:pPr>
      <w:r>
        <w:rPr>
          <w:sz w:val="20"/>
          <w:szCs w:val="20"/>
        </w:rPr>
        <w:t>The Company previously provided capital to owners and developers of real estate properties through its Preferred Equity program. The Company’s maximum exposure to losses associated with its preferred equity</w:t>
      </w:r>
      <w:r>
        <w:rPr>
          <w:sz w:val="20"/>
          <w:szCs w:val="20"/>
        </w:rPr>
        <w:t xml:space="preserve"> investments is primarily limited to its net investment. As of</w:t>
      </w:r>
      <w:r>
        <w:rPr>
          <w:sz w:val="20"/>
          <w:szCs w:val="20"/>
        </w:rPr>
        <w:t xml:space="preserve"> </w:t>
      </w:r>
      <w:r>
        <w:rPr>
          <w:rStyle w:val="a6"/>
          <w:i w:val="0"/>
          <w:iCs w:val="0"/>
          <w:sz w:val="20"/>
          <w:szCs w:val="20"/>
        </w:rPr>
        <w:t xml:space="preserve">December 31, 2019, </w:t>
      </w:r>
      <w:r>
        <w:rPr>
          <w:sz w:val="20"/>
          <w:szCs w:val="20"/>
        </w:rPr>
        <w:t xml:space="preserve">the Company’s net investment under the Preferred Equity program was $175.3 million relating to 240 properties, including 230 net leased properties which are accounted for as </w:t>
      </w:r>
      <w:r>
        <w:rPr>
          <w:sz w:val="20"/>
          <w:szCs w:val="20"/>
        </w:rPr>
        <w:t>direct financing leases. For the year ended</w:t>
      </w:r>
      <w:r>
        <w:rPr>
          <w:sz w:val="20"/>
          <w:szCs w:val="20"/>
        </w:rPr>
        <w:t xml:space="preserve"> </w:t>
      </w:r>
      <w:r>
        <w:rPr>
          <w:rStyle w:val="a6"/>
          <w:i w:val="0"/>
          <w:iCs w:val="0"/>
          <w:sz w:val="20"/>
          <w:szCs w:val="20"/>
        </w:rPr>
        <w:t xml:space="preserve">December 31, 2019, </w:t>
      </w:r>
      <w:r>
        <w:rPr>
          <w:sz w:val="20"/>
          <w:szCs w:val="20"/>
        </w:rPr>
        <w:t>the Company earned $25.8 million from its preferred equity investments, including net profit participation of $7.3 million. As of</w:t>
      </w:r>
      <w:r>
        <w:rPr>
          <w:sz w:val="20"/>
          <w:szCs w:val="20"/>
        </w:rPr>
        <w:t xml:space="preserve"> </w:t>
      </w:r>
      <w:r>
        <w:rPr>
          <w:rStyle w:val="a6"/>
          <w:i w:val="0"/>
          <w:iCs w:val="0"/>
          <w:sz w:val="20"/>
          <w:szCs w:val="20"/>
        </w:rPr>
        <w:t xml:space="preserve">December 31, 2018, </w:t>
      </w:r>
      <w:r>
        <w:rPr>
          <w:sz w:val="20"/>
          <w:szCs w:val="20"/>
        </w:rPr>
        <w:t>the Company’</w:t>
      </w:r>
      <w:r>
        <w:rPr>
          <w:sz w:val="20"/>
          <w:szCs w:val="20"/>
        </w:rPr>
        <w:t>s net investment under the Preferred Equity program was $176.3 million relating to 285 properties, including 273 net leased properties which are accounted for as direct financing leases. For the year ended</w:t>
      </w:r>
      <w:r>
        <w:rPr>
          <w:sz w:val="20"/>
          <w:szCs w:val="20"/>
        </w:rPr>
        <w:t xml:space="preserve"> </w:t>
      </w:r>
      <w:r>
        <w:rPr>
          <w:rStyle w:val="a6"/>
          <w:i w:val="0"/>
          <w:iCs w:val="0"/>
          <w:sz w:val="20"/>
          <w:szCs w:val="20"/>
        </w:rPr>
        <w:t xml:space="preserve">December 31, 2018, </w:t>
      </w:r>
      <w:r>
        <w:rPr>
          <w:sz w:val="20"/>
          <w:szCs w:val="20"/>
        </w:rPr>
        <w:t>the Company earned $28.8 millio</w:t>
      </w:r>
      <w:r>
        <w:rPr>
          <w:sz w:val="20"/>
          <w:szCs w:val="20"/>
        </w:rPr>
        <w:t>n from its preferred equity investments, including profit participation of $10.6 million.</w:t>
      </w:r>
    </w:p>
    <w:p w14:paraId="4E281700" w14:textId="77777777" w:rsidR="00000000" w:rsidRDefault="0053651E">
      <w:pPr>
        <w:pStyle w:val="a3"/>
        <w:spacing w:before="0" w:beforeAutospacing="0" w:after="0" w:afterAutospacing="0"/>
        <w:ind w:left="360"/>
        <w:jc w:val="both"/>
        <w:rPr>
          <w:sz w:val="20"/>
          <w:szCs w:val="20"/>
        </w:rPr>
      </w:pPr>
      <w:r>
        <w:rPr>
          <w:sz w:val="20"/>
          <w:szCs w:val="20"/>
        </w:rPr>
        <w:t> </w:t>
      </w:r>
    </w:p>
    <w:p w14:paraId="73073C54" w14:textId="77777777" w:rsidR="00000000" w:rsidRDefault="0053651E">
      <w:pPr>
        <w:pStyle w:val="a3"/>
        <w:spacing w:before="0" w:beforeAutospacing="0" w:after="0" w:afterAutospacing="0"/>
        <w:ind w:left="360"/>
        <w:jc w:val="both"/>
        <w:rPr>
          <w:sz w:val="20"/>
          <w:szCs w:val="20"/>
        </w:rPr>
      </w:pPr>
      <w:r>
        <w:rPr>
          <w:sz w:val="20"/>
          <w:szCs w:val="20"/>
        </w:rPr>
        <w:t>As of</w:t>
      </w:r>
      <w:r>
        <w:rPr>
          <w:sz w:val="20"/>
          <w:szCs w:val="20"/>
        </w:rPr>
        <w:t xml:space="preserve"> </w:t>
      </w:r>
      <w:r>
        <w:rPr>
          <w:rStyle w:val="a6"/>
          <w:i w:val="0"/>
          <w:iCs w:val="0"/>
          <w:sz w:val="20"/>
          <w:szCs w:val="20"/>
        </w:rPr>
        <w:t xml:space="preserve">December 31, 2019, </w:t>
      </w:r>
      <w:r>
        <w:rPr>
          <w:sz w:val="20"/>
          <w:szCs w:val="20"/>
        </w:rPr>
        <w:t>these preferred equity investment properties had non-recourse mortgage loans aggregating $236.1 million (including fair market value of deb</w:t>
      </w:r>
      <w:r>
        <w:rPr>
          <w:sz w:val="20"/>
          <w:szCs w:val="20"/>
        </w:rPr>
        <w:t>t adjustments aggregating $9.3 million). These loans have scheduled maturities ranging from</w:t>
      </w:r>
      <w:r>
        <w:rPr>
          <w:sz w:val="20"/>
          <w:szCs w:val="20"/>
        </w:rPr>
        <w:t xml:space="preserve"> </w:t>
      </w:r>
      <w:r>
        <w:rPr>
          <w:sz w:val="20"/>
          <w:szCs w:val="20"/>
        </w:rPr>
        <w:t>seve</w:t>
      </w:r>
      <w:r>
        <w:rPr>
          <w:sz w:val="20"/>
          <w:szCs w:val="20"/>
        </w:rPr>
        <w:t>n</w:t>
      </w:r>
      <w:r>
        <w:rPr>
          <w:sz w:val="20"/>
          <w:szCs w:val="20"/>
        </w:rPr>
        <w:t xml:space="preserve"> months to</w:t>
      </w:r>
      <w:r>
        <w:rPr>
          <w:sz w:val="20"/>
          <w:szCs w:val="20"/>
        </w:rPr>
        <w:t xml:space="preserve"> </w:t>
      </w:r>
      <w:r>
        <w:rPr>
          <w:sz w:val="20"/>
          <w:szCs w:val="20"/>
        </w:rPr>
        <w:t>fiv</w:t>
      </w:r>
      <w:r>
        <w:rPr>
          <w:sz w:val="20"/>
          <w:szCs w:val="20"/>
        </w:rPr>
        <w:t>e</w:t>
      </w:r>
      <w:r>
        <w:rPr>
          <w:sz w:val="20"/>
          <w:szCs w:val="20"/>
        </w:rPr>
        <w:t xml:space="preserve"> years and bear interest at rates ranging from 4.19% to 10.47%. Due to the Company’s preferred position in these investments, the Company’s shar</w:t>
      </w:r>
      <w:r>
        <w:rPr>
          <w:sz w:val="20"/>
          <w:szCs w:val="20"/>
        </w:rPr>
        <w:t>e of each investment is subject to fluctuation and is dependent upon property cash flows. The Company’s maximum exposure to losses associated with its preferred equity investments is primarily limited to its invested capital.</w:t>
      </w:r>
    </w:p>
    <w:p w14:paraId="77A260D7" w14:textId="77777777" w:rsidR="00000000" w:rsidRDefault="0053651E">
      <w:pPr>
        <w:pStyle w:val="a3"/>
        <w:spacing w:before="0" w:beforeAutospacing="0" w:after="0" w:afterAutospacing="0"/>
        <w:ind w:left="360"/>
        <w:jc w:val="both"/>
        <w:rPr>
          <w:sz w:val="20"/>
          <w:szCs w:val="20"/>
        </w:rPr>
      </w:pPr>
      <w:r>
        <w:rPr>
          <w:sz w:val="20"/>
          <w:szCs w:val="20"/>
        </w:rPr>
        <w:t> </w:t>
      </w:r>
    </w:p>
    <w:p w14:paraId="2B6A21E6" w14:textId="77777777" w:rsidR="00000000" w:rsidRDefault="0053651E">
      <w:pPr>
        <w:pStyle w:val="a3"/>
        <w:spacing w:before="0" w:beforeAutospacing="0" w:after="0" w:afterAutospacing="0"/>
        <w:ind w:left="360"/>
        <w:jc w:val="both"/>
        <w:rPr>
          <w:sz w:val="20"/>
          <w:szCs w:val="20"/>
        </w:rPr>
      </w:pPr>
      <w:r>
        <w:rPr>
          <w:sz w:val="20"/>
          <w:szCs w:val="20"/>
        </w:rPr>
        <w:t>Summarized financial information relating to the Company’s preferred equity investments is as follows (in millions):</w:t>
      </w:r>
    </w:p>
    <w:p w14:paraId="21A34FE5" w14:textId="77777777" w:rsidR="00000000" w:rsidRDefault="0053651E">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04C0EEA4" w14:textId="77777777">
        <w:trPr>
          <w:tblCellSpacing w:w="0" w:type="dxa"/>
        </w:trPr>
        <w:tc>
          <w:tcPr>
            <w:tcW w:w="0" w:type="auto"/>
            <w:vAlign w:val="bottom"/>
            <w:hideMark/>
          </w:tcPr>
          <w:p w14:paraId="113CC7C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3C8F0FC"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ED1EFA1"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46E2C589" w14:textId="77777777" w:rsidR="00000000" w:rsidRDefault="0053651E">
            <w:pPr>
              <w:rPr>
                <w:rFonts w:eastAsia="Times New Roman"/>
                <w:sz w:val="20"/>
                <w:szCs w:val="20"/>
              </w:rPr>
            </w:pPr>
            <w:r>
              <w:rPr>
                <w:rFonts w:eastAsia="Times New Roman"/>
                <w:sz w:val="20"/>
                <w:szCs w:val="20"/>
              </w:rPr>
              <w:t> </w:t>
            </w:r>
          </w:p>
        </w:tc>
      </w:tr>
      <w:tr w:rsidR="00000000" w14:paraId="6917653F" w14:textId="77777777">
        <w:trPr>
          <w:tblCellSpacing w:w="0" w:type="dxa"/>
        </w:trPr>
        <w:tc>
          <w:tcPr>
            <w:tcW w:w="0" w:type="auto"/>
            <w:vAlign w:val="bottom"/>
            <w:hideMark/>
          </w:tcPr>
          <w:p w14:paraId="788FC33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E40492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3433DE7"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5AA8D8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B03456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789B14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8636B48" w14:textId="77777777" w:rsidR="00000000" w:rsidRDefault="0053651E">
            <w:pPr>
              <w:rPr>
                <w:rFonts w:eastAsia="Times New Roman"/>
                <w:sz w:val="20"/>
                <w:szCs w:val="20"/>
              </w:rPr>
            </w:pPr>
            <w:r>
              <w:rPr>
                <w:rFonts w:eastAsia="Times New Roman"/>
                <w:sz w:val="20"/>
                <w:szCs w:val="20"/>
              </w:rPr>
              <w:t> </w:t>
            </w:r>
          </w:p>
        </w:tc>
      </w:tr>
      <w:tr w:rsidR="00000000" w14:paraId="7CAD7506" w14:textId="77777777">
        <w:trPr>
          <w:tblCellSpacing w:w="0" w:type="dxa"/>
        </w:trPr>
        <w:tc>
          <w:tcPr>
            <w:tcW w:w="3100" w:type="pct"/>
            <w:shd w:val="clear" w:color="auto" w:fill="CCEEFF"/>
            <w:vAlign w:val="bottom"/>
            <w:hideMark/>
          </w:tcPr>
          <w:p w14:paraId="419415A7" w14:textId="77777777" w:rsidR="00000000" w:rsidRDefault="0053651E">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690F737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EA21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CDC6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FBD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B05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7B72D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1F1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BC7A51" w14:textId="77777777" w:rsidR="00000000" w:rsidRDefault="0053651E">
            <w:pPr>
              <w:rPr>
                <w:rFonts w:eastAsia="Times New Roman"/>
                <w:sz w:val="20"/>
                <w:szCs w:val="20"/>
              </w:rPr>
            </w:pPr>
            <w:r>
              <w:rPr>
                <w:rFonts w:eastAsia="Times New Roman"/>
                <w:sz w:val="20"/>
                <w:szCs w:val="20"/>
              </w:rPr>
              <w:t> </w:t>
            </w:r>
          </w:p>
        </w:tc>
      </w:tr>
      <w:tr w:rsidR="00000000" w14:paraId="17A64719" w14:textId="77777777">
        <w:trPr>
          <w:tblCellSpacing w:w="0" w:type="dxa"/>
        </w:trPr>
        <w:tc>
          <w:tcPr>
            <w:tcW w:w="0" w:type="auto"/>
            <w:shd w:val="clear" w:color="auto" w:fill="FFFFFF"/>
            <w:vAlign w:val="bottom"/>
            <w:hideMark/>
          </w:tcPr>
          <w:p w14:paraId="256F7446" w14:textId="77777777" w:rsidR="00000000" w:rsidRDefault="0053651E">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3FCC56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1017E3"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0D711D49" w14:textId="77777777" w:rsidR="00000000" w:rsidRDefault="0053651E">
            <w:pPr>
              <w:jc w:val="right"/>
              <w:rPr>
                <w:rFonts w:eastAsia="Times New Roman"/>
                <w:sz w:val="20"/>
                <w:szCs w:val="20"/>
              </w:rPr>
            </w:pPr>
            <w:r>
              <w:rPr>
                <w:rFonts w:eastAsia="Times New Roman"/>
                <w:sz w:val="20"/>
                <w:szCs w:val="20"/>
              </w:rPr>
              <w:t>91.6</w:t>
            </w:r>
          </w:p>
        </w:tc>
        <w:tc>
          <w:tcPr>
            <w:tcW w:w="50" w:type="pct"/>
            <w:shd w:val="clear" w:color="auto" w:fill="FFFFFF"/>
            <w:vAlign w:val="bottom"/>
            <w:hideMark/>
          </w:tcPr>
          <w:p w14:paraId="477D27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5C6E0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F51E4B"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1997D560" w14:textId="77777777" w:rsidR="00000000" w:rsidRDefault="0053651E">
            <w:pPr>
              <w:jc w:val="right"/>
              <w:rPr>
                <w:rFonts w:eastAsia="Times New Roman"/>
                <w:sz w:val="20"/>
                <w:szCs w:val="20"/>
              </w:rPr>
            </w:pPr>
            <w:r>
              <w:rPr>
                <w:rFonts w:eastAsia="Times New Roman"/>
                <w:sz w:val="20"/>
                <w:szCs w:val="20"/>
              </w:rPr>
              <w:t>110.4</w:t>
            </w:r>
          </w:p>
        </w:tc>
        <w:tc>
          <w:tcPr>
            <w:tcW w:w="50" w:type="pct"/>
            <w:shd w:val="clear" w:color="auto" w:fill="FFFFFF"/>
            <w:vAlign w:val="bottom"/>
            <w:hideMark/>
          </w:tcPr>
          <w:p w14:paraId="70E18B34" w14:textId="77777777" w:rsidR="00000000" w:rsidRDefault="0053651E">
            <w:pPr>
              <w:rPr>
                <w:rFonts w:eastAsia="Times New Roman"/>
                <w:sz w:val="20"/>
                <w:szCs w:val="20"/>
              </w:rPr>
            </w:pPr>
            <w:r>
              <w:rPr>
                <w:rFonts w:eastAsia="Times New Roman"/>
                <w:sz w:val="20"/>
                <w:szCs w:val="20"/>
              </w:rPr>
              <w:t> </w:t>
            </w:r>
          </w:p>
        </w:tc>
      </w:tr>
      <w:tr w:rsidR="00000000" w14:paraId="12425AEA" w14:textId="77777777">
        <w:trPr>
          <w:tblCellSpacing w:w="0" w:type="dxa"/>
        </w:trPr>
        <w:tc>
          <w:tcPr>
            <w:tcW w:w="0" w:type="auto"/>
            <w:shd w:val="clear" w:color="auto" w:fill="CCEEFF"/>
            <w:vAlign w:val="bottom"/>
            <w:hideMark/>
          </w:tcPr>
          <w:p w14:paraId="610251A3" w14:textId="77777777" w:rsidR="00000000" w:rsidRDefault="0053651E">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14:paraId="3102C5F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2714FD9"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0111DBC" w14:textId="77777777" w:rsidR="00000000" w:rsidRDefault="0053651E">
            <w:pPr>
              <w:jc w:val="right"/>
              <w:rPr>
                <w:rFonts w:eastAsia="Times New Roman"/>
                <w:sz w:val="20"/>
                <w:szCs w:val="20"/>
              </w:rPr>
            </w:pPr>
            <w:r>
              <w:rPr>
                <w:rFonts w:eastAsia="Times New Roman"/>
                <w:sz w:val="20"/>
                <w:szCs w:val="20"/>
              </w:rPr>
              <w:t>484.6</w:t>
            </w:r>
          </w:p>
        </w:tc>
        <w:tc>
          <w:tcPr>
            <w:tcW w:w="50" w:type="pct"/>
            <w:shd w:val="clear" w:color="auto" w:fill="CCEEFF"/>
            <w:tcMar>
              <w:top w:w="0" w:type="dxa"/>
              <w:left w:w="0" w:type="dxa"/>
              <w:bottom w:w="15" w:type="dxa"/>
              <w:right w:w="0" w:type="dxa"/>
            </w:tcMar>
            <w:vAlign w:val="bottom"/>
            <w:hideMark/>
          </w:tcPr>
          <w:p w14:paraId="0BAE90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E4015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013649B"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3076287" w14:textId="77777777" w:rsidR="00000000" w:rsidRDefault="0053651E">
            <w:pPr>
              <w:jc w:val="right"/>
              <w:rPr>
                <w:rFonts w:eastAsia="Times New Roman"/>
                <w:sz w:val="20"/>
                <w:szCs w:val="20"/>
              </w:rPr>
            </w:pPr>
            <w:r>
              <w:rPr>
                <w:rFonts w:eastAsia="Times New Roman"/>
                <w:sz w:val="20"/>
                <w:szCs w:val="20"/>
              </w:rPr>
              <w:t>578.8</w:t>
            </w:r>
          </w:p>
        </w:tc>
        <w:tc>
          <w:tcPr>
            <w:tcW w:w="50" w:type="pct"/>
            <w:shd w:val="clear" w:color="auto" w:fill="CCEEFF"/>
            <w:tcMar>
              <w:top w:w="0" w:type="dxa"/>
              <w:left w:w="0" w:type="dxa"/>
              <w:bottom w:w="15" w:type="dxa"/>
              <w:right w:w="0" w:type="dxa"/>
            </w:tcMar>
            <w:vAlign w:val="bottom"/>
            <w:hideMark/>
          </w:tcPr>
          <w:p w14:paraId="0D5BB52E" w14:textId="77777777" w:rsidR="00000000" w:rsidRDefault="0053651E">
            <w:pPr>
              <w:rPr>
                <w:rFonts w:eastAsia="Times New Roman"/>
                <w:sz w:val="20"/>
                <w:szCs w:val="20"/>
              </w:rPr>
            </w:pPr>
            <w:r>
              <w:rPr>
                <w:rFonts w:eastAsia="Times New Roman"/>
                <w:sz w:val="20"/>
                <w:szCs w:val="20"/>
              </w:rPr>
              <w:t> </w:t>
            </w:r>
          </w:p>
        </w:tc>
      </w:tr>
      <w:tr w:rsidR="00000000" w14:paraId="20573AE1" w14:textId="77777777">
        <w:trPr>
          <w:tblCellSpacing w:w="0" w:type="dxa"/>
        </w:trPr>
        <w:tc>
          <w:tcPr>
            <w:tcW w:w="0" w:type="auto"/>
            <w:shd w:val="clear" w:color="auto" w:fill="FFFFFF"/>
            <w:vAlign w:val="bottom"/>
            <w:hideMark/>
          </w:tcPr>
          <w:p w14:paraId="16A67523" w14:textId="77777777" w:rsidR="00000000" w:rsidRDefault="0053651E">
            <w:pPr>
              <w:rPr>
                <w:rFonts w:eastAsia="Times New Roman"/>
                <w:sz w:val="20"/>
                <w:szCs w:val="20"/>
              </w:rPr>
            </w:pPr>
            <w:r>
              <w:rPr>
                <w:rFonts w:eastAsia="Times New Roman"/>
                <w:sz w:val="20"/>
                <w:szCs w:val="20"/>
              </w:rPr>
              <w:t>Total Assets</w:t>
            </w:r>
          </w:p>
        </w:tc>
        <w:tc>
          <w:tcPr>
            <w:tcW w:w="50" w:type="pct"/>
            <w:shd w:val="clear" w:color="auto" w:fill="FFFFFF"/>
            <w:vAlign w:val="bottom"/>
            <w:hideMark/>
          </w:tcPr>
          <w:p w14:paraId="0AE8870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591AE34"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10D4C860" w14:textId="77777777" w:rsidR="00000000" w:rsidRDefault="0053651E">
            <w:pPr>
              <w:jc w:val="right"/>
              <w:rPr>
                <w:rFonts w:eastAsia="Times New Roman"/>
                <w:sz w:val="20"/>
                <w:szCs w:val="20"/>
              </w:rPr>
            </w:pPr>
            <w:r>
              <w:rPr>
                <w:rFonts w:eastAsia="Times New Roman"/>
                <w:sz w:val="20"/>
                <w:szCs w:val="20"/>
              </w:rPr>
              <w:t>576.2</w:t>
            </w:r>
          </w:p>
        </w:tc>
        <w:tc>
          <w:tcPr>
            <w:tcW w:w="50" w:type="pct"/>
            <w:shd w:val="clear" w:color="auto" w:fill="FFFFFF"/>
            <w:tcMar>
              <w:top w:w="0" w:type="dxa"/>
              <w:left w:w="0" w:type="dxa"/>
              <w:bottom w:w="45" w:type="dxa"/>
              <w:right w:w="0" w:type="dxa"/>
            </w:tcMar>
            <w:vAlign w:val="bottom"/>
            <w:hideMark/>
          </w:tcPr>
          <w:p w14:paraId="4E17C9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92017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94FD793"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70E00F6" w14:textId="77777777" w:rsidR="00000000" w:rsidRDefault="0053651E">
            <w:pPr>
              <w:jc w:val="right"/>
              <w:rPr>
                <w:rFonts w:eastAsia="Times New Roman"/>
                <w:sz w:val="20"/>
                <w:szCs w:val="20"/>
              </w:rPr>
            </w:pPr>
            <w:r>
              <w:rPr>
                <w:rFonts w:eastAsia="Times New Roman"/>
                <w:sz w:val="20"/>
                <w:szCs w:val="20"/>
              </w:rPr>
              <w:t>689.2</w:t>
            </w:r>
          </w:p>
        </w:tc>
        <w:tc>
          <w:tcPr>
            <w:tcW w:w="50" w:type="pct"/>
            <w:shd w:val="clear" w:color="auto" w:fill="FFFFFF"/>
            <w:tcMar>
              <w:top w:w="0" w:type="dxa"/>
              <w:left w:w="0" w:type="dxa"/>
              <w:bottom w:w="45" w:type="dxa"/>
              <w:right w:w="0" w:type="dxa"/>
            </w:tcMar>
            <w:vAlign w:val="bottom"/>
            <w:hideMark/>
          </w:tcPr>
          <w:p w14:paraId="1F47CB84" w14:textId="77777777" w:rsidR="00000000" w:rsidRDefault="0053651E">
            <w:pPr>
              <w:rPr>
                <w:rFonts w:eastAsia="Times New Roman"/>
                <w:sz w:val="20"/>
                <w:szCs w:val="20"/>
              </w:rPr>
            </w:pPr>
            <w:r>
              <w:rPr>
                <w:rFonts w:eastAsia="Times New Roman"/>
                <w:sz w:val="20"/>
                <w:szCs w:val="20"/>
              </w:rPr>
              <w:t> </w:t>
            </w:r>
          </w:p>
        </w:tc>
      </w:tr>
      <w:tr w:rsidR="00000000" w14:paraId="02B6F27A" w14:textId="77777777">
        <w:trPr>
          <w:tblCellSpacing w:w="0" w:type="dxa"/>
        </w:trPr>
        <w:tc>
          <w:tcPr>
            <w:tcW w:w="0" w:type="auto"/>
            <w:shd w:val="clear" w:color="auto" w:fill="CCEEFF"/>
            <w:vAlign w:val="bottom"/>
            <w:hideMark/>
          </w:tcPr>
          <w:p w14:paraId="4D7A9EDB" w14:textId="77777777" w:rsidR="00000000" w:rsidRDefault="0053651E">
            <w:pPr>
              <w:pStyle w:val="a3"/>
              <w:spacing w:before="0" w:beforeAutospacing="0" w:after="0" w:afterAutospacing="0"/>
              <w:rPr>
                <w:sz w:val="20"/>
                <w:szCs w:val="20"/>
              </w:rPr>
            </w:pPr>
            <w:r>
              <w:rPr>
                <w:sz w:val="20"/>
                <w:szCs w:val="20"/>
              </w:rPr>
              <w:t>Liabilities and Partners’/Members’ Capital:</w:t>
            </w:r>
          </w:p>
        </w:tc>
        <w:tc>
          <w:tcPr>
            <w:tcW w:w="0" w:type="auto"/>
            <w:shd w:val="clear" w:color="auto" w:fill="CCEEFF"/>
            <w:vAlign w:val="bottom"/>
            <w:hideMark/>
          </w:tcPr>
          <w:p w14:paraId="742D1E9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B30F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250D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3526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088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8910A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161A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1B8B2B" w14:textId="77777777" w:rsidR="00000000" w:rsidRDefault="0053651E">
            <w:pPr>
              <w:rPr>
                <w:rFonts w:eastAsia="Times New Roman"/>
                <w:sz w:val="20"/>
                <w:szCs w:val="20"/>
              </w:rPr>
            </w:pPr>
            <w:r>
              <w:rPr>
                <w:rFonts w:eastAsia="Times New Roman"/>
                <w:sz w:val="20"/>
                <w:szCs w:val="20"/>
              </w:rPr>
              <w:t> </w:t>
            </w:r>
          </w:p>
        </w:tc>
      </w:tr>
      <w:tr w:rsidR="00000000" w14:paraId="7BEA7CA8" w14:textId="77777777">
        <w:trPr>
          <w:tblCellSpacing w:w="0" w:type="dxa"/>
        </w:trPr>
        <w:tc>
          <w:tcPr>
            <w:tcW w:w="0" w:type="auto"/>
            <w:shd w:val="clear" w:color="auto" w:fill="FFFFFF"/>
            <w:vAlign w:val="bottom"/>
            <w:hideMark/>
          </w:tcPr>
          <w:p w14:paraId="3F80DD8E" w14:textId="77777777" w:rsidR="00000000" w:rsidRDefault="0053651E">
            <w:pPr>
              <w:pStyle w:val="a3"/>
              <w:spacing w:before="0" w:beforeAutospacing="0" w:after="0" w:afterAutospacing="0"/>
              <w:ind w:left="180"/>
              <w:rPr>
                <w:sz w:val="20"/>
                <w:szCs w:val="20"/>
              </w:rPr>
            </w:pPr>
            <w:r>
              <w:rPr>
                <w:sz w:val="20"/>
                <w:szCs w:val="20"/>
              </w:rPr>
              <w:t>Mortgages payable, net</w:t>
            </w:r>
          </w:p>
        </w:tc>
        <w:tc>
          <w:tcPr>
            <w:tcW w:w="50" w:type="pct"/>
            <w:shd w:val="clear" w:color="auto" w:fill="FFFFFF"/>
            <w:vAlign w:val="bottom"/>
            <w:hideMark/>
          </w:tcPr>
          <w:p w14:paraId="4DC063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A32D13"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57051A93" w14:textId="77777777" w:rsidR="00000000" w:rsidRDefault="0053651E">
            <w:pPr>
              <w:jc w:val="right"/>
              <w:rPr>
                <w:rFonts w:eastAsia="Times New Roman"/>
                <w:sz w:val="20"/>
                <w:szCs w:val="20"/>
              </w:rPr>
            </w:pPr>
            <w:r>
              <w:rPr>
                <w:rFonts w:eastAsia="Times New Roman"/>
                <w:sz w:val="20"/>
                <w:szCs w:val="20"/>
              </w:rPr>
              <w:t>236.1</w:t>
            </w:r>
          </w:p>
        </w:tc>
        <w:tc>
          <w:tcPr>
            <w:tcW w:w="50" w:type="pct"/>
            <w:shd w:val="clear" w:color="auto" w:fill="FFFFFF"/>
            <w:vAlign w:val="bottom"/>
            <w:hideMark/>
          </w:tcPr>
          <w:p w14:paraId="79D970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ADF1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12EE89"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7A55C9BE" w14:textId="77777777" w:rsidR="00000000" w:rsidRDefault="0053651E">
            <w:pPr>
              <w:jc w:val="right"/>
              <w:rPr>
                <w:rFonts w:eastAsia="Times New Roman"/>
                <w:sz w:val="20"/>
                <w:szCs w:val="20"/>
              </w:rPr>
            </w:pPr>
            <w:r>
              <w:rPr>
                <w:rFonts w:eastAsia="Times New Roman"/>
                <w:sz w:val="20"/>
                <w:szCs w:val="20"/>
              </w:rPr>
              <w:t>314.0</w:t>
            </w:r>
          </w:p>
        </w:tc>
        <w:tc>
          <w:tcPr>
            <w:tcW w:w="50" w:type="pct"/>
            <w:shd w:val="clear" w:color="auto" w:fill="FFFFFF"/>
            <w:vAlign w:val="bottom"/>
            <w:hideMark/>
          </w:tcPr>
          <w:p w14:paraId="48298545" w14:textId="77777777" w:rsidR="00000000" w:rsidRDefault="0053651E">
            <w:pPr>
              <w:rPr>
                <w:rFonts w:eastAsia="Times New Roman"/>
                <w:sz w:val="20"/>
                <w:szCs w:val="20"/>
              </w:rPr>
            </w:pPr>
            <w:r>
              <w:rPr>
                <w:rFonts w:eastAsia="Times New Roman"/>
                <w:sz w:val="20"/>
                <w:szCs w:val="20"/>
              </w:rPr>
              <w:t> </w:t>
            </w:r>
          </w:p>
        </w:tc>
      </w:tr>
      <w:tr w:rsidR="00000000" w14:paraId="48C97EC5" w14:textId="77777777">
        <w:trPr>
          <w:tblCellSpacing w:w="0" w:type="dxa"/>
        </w:trPr>
        <w:tc>
          <w:tcPr>
            <w:tcW w:w="0" w:type="auto"/>
            <w:shd w:val="clear" w:color="auto" w:fill="CCEEFF"/>
            <w:vAlign w:val="bottom"/>
            <w:hideMark/>
          </w:tcPr>
          <w:p w14:paraId="6DBD3C01" w14:textId="77777777" w:rsidR="00000000" w:rsidRDefault="0053651E">
            <w:pPr>
              <w:pStyle w:val="a3"/>
              <w:spacing w:before="0" w:beforeAutospacing="0" w:after="0" w:afterAutospacing="0"/>
              <w:ind w:left="180"/>
              <w:rPr>
                <w:sz w:val="20"/>
                <w:szCs w:val="20"/>
              </w:rPr>
            </w:pPr>
            <w:r>
              <w:rPr>
                <w:sz w:val="20"/>
                <w:szCs w:val="20"/>
              </w:rPr>
              <w:t>Other liabilities</w:t>
            </w:r>
          </w:p>
        </w:tc>
        <w:tc>
          <w:tcPr>
            <w:tcW w:w="50" w:type="pct"/>
            <w:shd w:val="clear" w:color="auto" w:fill="CCEEFF"/>
            <w:vAlign w:val="bottom"/>
            <w:hideMark/>
          </w:tcPr>
          <w:p w14:paraId="0FB3DF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991704"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614B125" w14:textId="77777777" w:rsidR="00000000" w:rsidRDefault="0053651E">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22DCB7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6E14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0D747D"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93AA0D2" w14:textId="77777777" w:rsidR="00000000" w:rsidRDefault="0053651E">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14:paraId="39388816" w14:textId="77777777" w:rsidR="00000000" w:rsidRDefault="0053651E">
            <w:pPr>
              <w:rPr>
                <w:rFonts w:eastAsia="Times New Roman"/>
                <w:sz w:val="20"/>
                <w:szCs w:val="20"/>
              </w:rPr>
            </w:pPr>
            <w:r>
              <w:rPr>
                <w:rFonts w:eastAsia="Times New Roman"/>
                <w:sz w:val="20"/>
                <w:szCs w:val="20"/>
              </w:rPr>
              <w:t> </w:t>
            </w:r>
          </w:p>
        </w:tc>
      </w:tr>
      <w:tr w:rsidR="00000000" w14:paraId="3B16C3F7" w14:textId="77777777">
        <w:trPr>
          <w:tblCellSpacing w:w="0" w:type="dxa"/>
        </w:trPr>
        <w:tc>
          <w:tcPr>
            <w:tcW w:w="0" w:type="auto"/>
            <w:shd w:val="clear" w:color="auto" w:fill="FFFFFF"/>
            <w:vAlign w:val="bottom"/>
            <w:hideMark/>
          </w:tcPr>
          <w:p w14:paraId="7511300B" w14:textId="77777777" w:rsidR="00000000" w:rsidRDefault="0053651E">
            <w:pPr>
              <w:pStyle w:val="a3"/>
              <w:spacing w:before="0" w:beforeAutospacing="0" w:after="0" w:afterAutospacing="0"/>
              <w:ind w:left="180"/>
              <w:rPr>
                <w:sz w:val="20"/>
                <w:szCs w:val="20"/>
              </w:rPr>
            </w:pPr>
            <w:r>
              <w:rPr>
                <w:sz w:val="20"/>
                <w:szCs w:val="20"/>
              </w:rPr>
              <w:t xml:space="preserve">Partners’/Members’ </w:t>
            </w:r>
            <w:r>
              <w:rPr>
                <w:sz w:val="20"/>
                <w:szCs w:val="20"/>
              </w:rPr>
              <w:t>capital</w:t>
            </w:r>
          </w:p>
        </w:tc>
        <w:tc>
          <w:tcPr>
            <w:tcW w:w="50" w:type="pct"/>
            <w:shd w:val="clear" w:color="auto" w:fill="FFFFFF"/>
            <w:vAlign w:val="bottom"/>
            <w:hideMark/>
          </w:tcPr>
          <w:p w14:paraId="2F6D061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48F7002"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DC8B36D" w14:textId="77777777" w:rsidR="00000000" w:rsidRDefault="0053651E">
            <w:pPr>
              <w:jc w:val="right"/>
              <w:rPr>
                <w:rFonts w:eastAsia="Times New Roman"/>
                <w:sz w:val="20"/>
                <w:szCs w:val="20"/>
              </w:rPr>
            </w:pPr>
            <w:r>
              <w:rPr>
                <w:rFonts w:eastAsia="Times New Roman"/>
                <w:sz w:val="20"/>
                <w:szCs w:val="20"/>
              </w:rPr>
              <w:t>337.5</w:t>
            </w:r>
          </w:p>
        </w:tc>
        <w:tc>
          <w:tcPr>
            <w:tcW w:w="50" w:type="pct"/>
            <w:shd w:val="clear" w:color="auto" w:fill="FFFFFF"/>
            <w:tcMar>
              <w:top w:w="0" w:type="dxa"/>
              <w:left w:w="0" w:type="dxa"/>
              <w:bottom w:w="15" w:type="dxa"/>
              <w:right w:w="0" w:type="dxa"/>
            </w:tcMar>
            <w:vAlign w:val="bottom"/>
            <w:hideMark/>
          </w:tcPr>
          <w:p w14:paraId="679827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1D130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D6EC556"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D954205" w14:textId="77777777" w:rsidR="00000000" w:rsidRDefault="0053651E">
            <w:pPr>
              <w:jc w:val="right"/>
              <w:rPr>
                <w:rFonts w:eastAsia="Times New Roman"/>
                <w:sz w:val="20"/>
                <w:szCs w:val="20"/>
              </w:rPr>
            </w:pPr>
            <w:r>
              <w:rPr>
                <w:rFonts w:eastAsia="Times New Roman"/>
                <w:sz w:val="20"/>
                <w:szCs w:val="20"/>
              </w:rPr>
              <w:t>372.2</w:t>
            </w:r>
          </w:p>
        </w:tc>
        <w:tc>
          <w:tcPr>
            <w:tcW w:w="50" w:type="pct"/>
            <w:shd w:val="clear" w:color="auto" w:fill="FFFFFF"/>
            <w:tcMar>
              <w:top w:w="0" w:type="dxa"/>
              <w:left w:w="0" w:type="dxa"/>
              <w:bottom w:w="15" w:type="dxa"/>
              <w:right w:w="0" w:type="dxa"/>
            </w:tcMar>
            <w:vAlign w:val="bottom"/>
            <w:hideMark/>
          </w:tcPr>
          <w:p w14:paraId="22128220" w14:textId="77777777" w:rsidR="00000000" w:rsidRDefault="0053651E">
            <w:pPr>
              <w:rPr>
                <w:rFonts w:eastAsia="Times New Roman"/>
                <w:sz w:val="20"/>
                <w:szCs w:val="20"/>
              </w:rPr>
            </w:pPr>
            <w:r>
              <w:rPr>
                <w:rFonts w:eastAsia="Times New Roman"/>
                <w:sz w:val="20"/>
                <w:szCs w:val="20"/>
              </w:rPr>
              <w:t> </w:t>
            </w:r>
          </w:p>
        </w:tc>
      </w:tr>
      <w:tr w:rsidR="00000000" w14:paraId="725367FA" w14:textId="77777777">
        <w:trPr>
          <w:tblCellSpacing w:w="0" w:type="dxa"/>
        </w:trPr>
        <w:tc>
          <w:tcPr>
            <w:tcW w:w="0" w:type="auto"/>
            <w:shd w:val="clear" w:color="auto" w:fill="CCEEFF"/>
            <w:vAlign w:val="bottom"/>
            <w:hideMark/>
          </w:tcPr>
          <w:p w14:paraId="7368B95D" w14:textId="77777777" w:rsidR="00000000" w:rsidRDefault="0053651E">
            <w:pPr>
              <w:rPr>
                <w:rFonts w:eastAsia="Times New Roman"/>
                <w:sz w:val="20"/>
                <w:szCs w:val="20"/>
              </w:rPr>
            </w:pPr>
            <w:r>
              <w:rPr>
                <w:rFonts w:eastAsia="Times New Roman"/>
                <w:sz w:val="20"/>
                <w:szCs w:val="20"/>
              </w:rPr>
              <w:t>Total Liabilities and Partners'/Members Capital</w:t>
            </w:r>
          </w:p>
        </w:tc>
        <w:tc>
          <w:tcPr>
            <w:tcW w:w="50" w:type="pct"/>
            <w:shd w:val="clear" w:color="auto" w:fill="CCEEFF"/>
            <w:vAlign w:val="bottom"/>
            <w:hideMark/>
          </w:tcPr>
          <w:p w14:paraId="139C0E7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4E296A8"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63BA9F2B" w14:textId="77777777" w:rsidR="00000000" w:rsidRDefault="0053651E">
            <w:pPr>
              <w:jc w:val="right"/>
              <w:rPr>
                <w:rFonts w:eastAsia="Times New Roman"/>
                <w:sz w:val="20"/>
                <w:szCs w:val="20"/>
              </w:rPr>
            </w:pPr>
            <w:r>
              <w:rPr>
                <w:rFonts w:eastAsia="Times New Roman"/>
                <w:sz w:val="20"/>
                <w:szCs w:val="20"/>
              </w:rPr>
              <w:t>576.2</w:t>
            </w:r>
          </w:p>
        </w:tc>
        <w:tc>
          <w:tcPr>
            <w:tcW w:w="50" w:type="pct"/>
            <w:shd w:val="clear" w:color="auto" w:fill="CCEEFF"/>
            <w:tcMar>
              <w:top w:w="0" w:type="dxa"/>
              <w:left w:w="0" w:type="dxa"/>
              <w:bottom w:w="45" w:type="dxa"/>
              <w:right w:w="0" w:type="dxa"/>
            </w:tcMar>
            <w:vAlign w:val="bottom"/>
            <w:hideMark/>
          </w:tcPr>
          <w:p w14:paraId="097923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4BB29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E0F0320"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20F7CC47" w14:textId="77777777" w:rsidR="00000000" w:rsidRDefault="0053651E">
            <w:pPr>
              <w:jc w:val="right"/>
              <w:rPr>
                <w:rFonts w:eastAsia="Times New Roman"/>
                <w:sz w:val="20"/>
                <w:szCs w:val="20"/>
              </w:rPr>
            </w:pPr>
            <w:r>
              <w:rPr>
                <w:rFonts w:eastAsia="Times New Roman"/>
                <w:sz w:val="20"/>
                <w:szCs w:val="20"/>
              </w:rPr>
              <w:t>689.2</w:t>
            </w:r>
          </w:p>
        </w:tc>
        <w:tc>
          <w:tcPr>
            <w:tcW w:w="50" w:type="pct"/>
            <w:shd w:val="clear" w:color="auto" w:fill="CCEEFF"/>
            <w:tcMar>
              <w:top w:w="0" w:type="dxa"/>
              <w:left w:w="0" w:type="dxa"/>
              <w:bottom w:w="45" w:type="dxa"/>
              <w:right w:w="0" w:type="dxa"/>
            </w:tcMar>
            <w:vAlign w:val="bottom"/>
            <w:hideMark/>
          </w:tcPr>
          <w:p w14:paraId="5D6477C3" w14:textId="77777777" w:rsidR="00000000" w:rsidRDefault="0053651E">
            <w:pPr>
              <w:rPr>
                <w:rFonts w:eastAsia="Times New Roman"/>
                <w:sz w:val="20"/>
                <w:szCs w:val="20"/>
              </w:rPr>
            </w:pPr>
            <w:r>
              <w:rPr>
                <w:rFonts w:eastAsia="Times New Roman"/>
                <w:sz w:val="20"/>
                <w:szCs w:val="20"/>
              </w:rPr>
              <w:t> </w:t>
            </w:r>
          </w:p>
        </w:tc>
      </w:tr>
    </w:tbl>
    <w:p w14:paraId="04C8D07E" w14:textId="77777777" w:rsidR="00000000" w:rsidRDefault="0053651E">
      <w:pPr>
        <w:pStyle w:val="a3"/>
        <w:spacing w:before="0" w:beforeAutospacing="0" w:after="0" w:afterAutospacing="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14:paraId="508D4BD2" w14:textId="77777777">
        <w:trPr>
          <w:tblCellSpacing w:w="0" w:type="dxa"/>
        </w:trPr>
        <w:tc>
          <w:tcPr>
            <w:tcW w:w="0" w:type="auto"/>
            <w:vAlign w:val="bottom"/>
            <w:hideMark/>
          </w:tcPr>
          <w:p w14:paraId="26F3303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A8C870A"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5C257029"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234CB375" w14:textId="77777777" w:rsidR="00000000" w:rsidRDefault="0053651E">
            <w:pPr>
              <w:rPr>
                <w:rFonts w:eastAsia="Times New Roman"/>
                <w:sz w:val="20"/>
                <w:szCs w:val="20"/>
              </w:rPr>
            </w:pPr>
            <w:r>
              <w:rPr>
                <w:rFonts w:eastAsia="Times New Roman"/>
                <w:sz w:val="20"/>
                <w:szCs w:val="20"/>
              </w:rPr>
              <w:t> </w:t>
            </w:r>
          </w:p>
        </w:tc>
      </w:tr>
      <w:tr w:rsidR="00000000" w14:paraId="2E556E11" w14:textId="77777777">
        <w:trPr>
          <w:tblCellSpacing w:w="0" w:type="dxa"/>
        </w:trPr>
        <w:tc>
          <w:tcPr>
            <w:tcW w:w="0" w:type="auto"/>
            <w:vAlign w:val="bottom"/>
            <w:hideMark/>
          </w:tcPr>
          <w:p w14:paraId="57A2999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3EB420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3519A6E"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C9E402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E10225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0214F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6EBD5E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07A986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A365155"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40DB0B83" w14:textId="77777777" w:rsidR="00000000" w:rsidRDefault="0053651E">
            <w:pPr>
              <w:rPr>
                <w:rFonts w:eastAsia="Times New Roman"/>
                <w:sz w:val="20"/>
                <w:szCs w:val="20"/>
              </w:rPr>
            </w:pPr>
            <w:r>
              <w:rPr>
                <w:rFonts w:eastAsia="Times New Roman"/>
                <w:sz w:val="20"/>
                <w:szCs w:val="20"/>
              </w:rPr>
              <w:t> </w:t>
            </w:r>
          </w:p>
        </w:tc>
      </w:tr>
      <w:tr w:rsidR="00000000" w14:paraId="2E007989" w14:textId="77777777">
        <w:trPr>
          <w:tblCellSpacing w:w="0" w:type="dxa"/>
        </w:trPr>
        <w:tc>
          <w:tcPr>
            <w:tcW w:w="2450" w:type="pct"/>
            <w:shd w:val="clear" w:color="auto" w:fill="CCEEFF"/>
            <w:vAlign w:val="bottom"/>
            <w:hideMark/>
          </w:tcPr>
          <w:p w14:paraId="1E6C54F9" w14:textId="77777777" w:rsidR="00000000" w:rsidRDefault="0053651E">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14:paraId="3D04A34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5F8DE4A"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6774B49E" w14:textId="77777777" w:rsidR="00000000" w:rsidRDefault="0053651E">
            <w:pPr>
              <w:jc w:val="right"/>
              <w:rPr>
                <w:rFonts w:eastAsia="Times New Roman"/>
                <w:sz w:val="20"/>
                <w:szCs w:val="20"/>
              </w:rPr>
            </w:pPr>
            <w:r>
              <w:rPr>
                <w:rFonts w:eastAsia="Times New Roman"/>
                <w:sz w:val="20"/>
                <w:szCs w:val="20"/>
              </w:rPr>
              <w:t>66.6</w:t>
            </w:r>
          </w:p>
        </w:tc>
        <w:tc>
          <w:tcPr>
            <w:tcW w:w="50" w:type="pct"/>
            <w:tcBorders>
              <w:bottom w:val="nil"/>
            </w:tcBorders>
            <w:shd w:val="clear" w:color="auto" w:fill="CCEEFF"/>
            <w:vAlign w:val="bottom"/>
            <w:hideMark/>
          </w:tcPr>
          <w:p w14:paraId="0341F5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7143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D89E6"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6102E5E" w14:textId="77777777" w:rsidR="00000000" w:rsidRDefault="0053651E">
            <w:pPr>
              <w:jc w:val="right"/>
              <w:rPr>
                <w:rFonts w:eastAsia="Times New Roman"/>
                <w:sz w:val="20"/>
                <w:szCs w:val="20"/>
              </w:rPr>
            </w:pPr>
            <w:r>
              <w:rPr>
                <w:rFonts w:eastAsia="Times New Roman"/>
                <w:sz w:val="20"/>
                <w:szCs w:val="20"/>
              </w:rPr>
              <w:t>77.0</w:t>
            </w:r>
          </w:p>
        </w:tc>
        <w:tc>
          <w:tcPr>
            <w:tcW w:w="50" w:type="pct"/>
            <w:shd w:val="clear" w:color="auto" w:fill="CCEEFF"/>
            <w:vAlign w:val="bottom"/>
            <w:hideMark/>
          </w:tcPr>
          <w:p w14:paraId="15CFC8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5E10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9FD475"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2CA6703C" w14:textId="77777777" w:rsidR="00000000" w:rsidRDefault="0053651E">
            <w:pPr>
              <w:jc w:val="right"/>
              <w:rPr>
                <w:rFonts w:eastAsia="Times New Roman"/>
                <w:sz w:val="20"/>
                <w:szCs w:val="20"/>
              </w:rPr>
            </w:pPr>
            <w:r>
              <w:rPr>
                <w:rFonts w:eastAsia="Times New Roman"/>
                <w:sz w:val="20"/>
                <w:szCs w:val="20"/>
              </w:rPr>
              <w:t>75.4</w:t>
            </w:r>
          </w:p>
        </w:tc>
        <w:tc>
          <w:tcPr>
            <w:tcW w:w="50" w:type="pct"/>
            <w:shd w:val="clear" w:color="auto" w:fill="CCEEFF"/>
            <w:vAlign w:val="bottom"/>
            <w:hideMark/>
          </w:tcPr>
          <w:p w14:paraId="082C7E93" w14:textId="77777777" w:rsidR="00000000" w:rsidRDefault="0053651E">
            <w:pPr>
              <w:rPr>
                <w:rFonts w:eastAsia="Times New Roman"/>
                <w:sz w:val="20"/>
                <w:szCs w:val="20"/>
              </w:rPr>
            </w:pPr>
            <w:r>
              <w:rPr>
                <w:rFonts w:eastAsia="Times New Roman"/>
                <w:sz w:val="20"/>
                <w:szCs w:val="20"/>
              </w:rPr>
              <w:t> </w:t>
            </w:r>
          </w:p>
        </w:tc>
      </w:tr>
      <w:tr w:rsidR="00000000" w14:paraId="5030CA5D" w14:textId="77777777">
        <w:trPr>
          <w:tblCellSpacing w:w="0" w:type="dxa"/>
        </w:trPr>
        <w:tc>
          <w:tcPr>
            <w:tcW w:w="0" w:type="auto"/>
            <w:shd w:val="clear" w:color="auto" w:fill="FFFFFF"/>
            <w:vAlign w:val="bottom"/>
            <w:hideMark/>
          </w:tcPr>
          <w:p w14:paraId="63435615" w14:textId="77777777" w:rsidR="00000000" w:rsidRDefault="0053651E">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14:paraId="294A51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1BD42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DA59B39" w14:textId="77777777" w:rsidR="00000000" w:rsidRDefault="0053651E">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14:paraId="5540E47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589DF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3FFC6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2C2B1BF" w14:textId="77777777" w:rsidR="00000000" w:rsidRDefault="0053651E">
            <w:pPr>
              <w:jc w:val="right"/>
              <w:rPr>
                <w:rFonts w:eastAsia="Times New Roman"/>
                <w:sz w:val="20"/>
                <w:szCs w:val="20"/>
              </w:rPr>
            </w:pPr>
            <w:r>
              <w:rPr>
                <w:rFonts w:eastAsia="Times New Roman"/>
                <w:sz w:val="20"/>
                <w:szCs w:val="20"/>
              </w:rPr>
              <w:t>(15.5</w:t>
            </w:r>
          </w:p>
        </w:tc>
        <w:tc>
          <w:tcPr>
            <w:tcW w:w="50" w:type="pct"/>
            <w:shd w:val="clear" w:color="auto" w:fill="FFFFFF"/>
            <w:vAlign w:val="bottom"/>
            <w:hideMark/>
          </w:tcPr>
          <w:p w14:paraId="022993F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01DA7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B08CC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C157CFC" w14:textId="77777777" w:rsidR="00000000" w:rsidRDefault="0053651E">
            <w:pPr>
              <w:jc w:val="right"/>
              <w:rPr>
                <w:rFonts w:eastAsia="Times New Roman"/>
                <w:sz w:val="20"/>
                <w:szCs w:val="20"/>
              </w:rPr>
            </w:pPr>
            <w:r>
              <w:rPr>
                <w:rFonts w:eastAsia="Times New Roman"/>
                <w:sz w:val="20"/>
                <w:szCs w:val="20"/>
              </w:rPr>
              <w:t>(14.7</w:t>
            </w:r>
          </w:p>
        </w:tc>
        <w:tc>
          <w:tcPr>
            <w:tcW w:w="50" w:type="pct"/>
            <w:shd w:val="clear" w:color="auto" w:fill="FFFFFF"/>
            <w:vAlign w:val="bottom"/>
            <w:hideMark/>
          </w:tcPr>
          <w:p w14:paraId="5F68BD3E" w14:textId="77777777" w:rsidR="00000000" w:rsidRDefault="0053651E">
            <w:pPr>
              <w:rPr>
                <w:rFonts w:eastAsia="Times New Roman"/>
                <w:sz w:val="20"/>
                <w:szCs w:val="20"/>
              </w:rPr>
            </w:pPr>
            <w:r>
              <w:rPr>
                <w:rFonts w:eastAsia="Times New Roman"/>
                <w:sz w:val="20"/>
                <w:szCs w:val="20"/>
              </w:rPr>
              <w:t>)</w:t>
            </w:r>
          </w:p>
        </w:tc>
      </w:tr>
      <w:tr w:rsidR="00000000" w14:paraId="15E01292" w14:textId="77777777">
        <w:trPr>
          <w:tblCellSpacing w:w="0" w:type="dxa"/>
        </w:trPr>
        <w:tc>
          <w:tcPr>
            <w:tcW w:w="0" w:type="auto"/>
            <w:shd w:val="clear" w:color="auto" w:fill="CCEEFF"/>
            <w:vAlign w:val="bottom"/>
            <w:hideMark/>
          </w:tcPr>
          <w:p w14:paraId="7AD03FA0" w14:textId="77777777" w:rsidR="00000000" w:rsidRDefault="0053651E">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14:paraId="2225E8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4C5E62"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3CD9BBC" w14:textId="77777777" w:rsidR="00000000" w:rsidRDefault="0053651E">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14:paraId="41DC55B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CD1F0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FE8B7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C39BEE8" w14:textId="77777777" w:rsidR="00000000" w:rsidRDefault="0053651E">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14:paraId="3E5DA03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8D891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58C9E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4465DA9" w14:textId="77777777" w:rsidR="00000000" w:rsidRDefault="0053651E">
            <w:pPr>
              <w:jc w:val="right"/>
              <w:rPr>
                <w:rFonts w:eastAsia="Times New Roman"/>
                <w:sz w:val="20"/>
                <w:szCs w:val="20"/>
              </w:rPr>
            </w:pPr>
            <w:r>
              <w:rPr>
                <w:rFonts w:eastAsia="Times New Roman"/>
                <w:sz w:val="20"/>
                <w:szCs w:val="20"/>
              </w:rPr>
              <w:t>(4.6</w:t>
            </w:r>
          </w:p>
        </w:tc>
        <w:tc>
          <w:tcPr>
            <w:tcW w:w="50" w:type="pct"/>
            <w:shd w:val="clear" w:color="auto" w:fill="CCEEFF"/>
            <w:vAlign w:val="bottom"/>
            <w:hideMark/>
          </w:tcPr>
          <w:p w14:paraId="5A8405D1" w14:textId="77777777" w:rsidR="00000000" w:rsidRDefault="0053651E">
            <w:pPr>
              <w:rPr>
                <w:rFonts w:eastAsia="Times New Roman"/>
                <w:sz w:val="20"/>
                <w:szCs w:val="20"/>
              </w:rPr>
            </w:pPr>
            <w:r>
              <w:rPr>
                <w:rFonts w:eastAsia="Times New Roman"/>
                <w:sz w:val="20"/>
                <w:szCs w:val="20"/>
              </w:rPr>
              <w:t>)</w:t>
            </w:r>
          </w:p>
        </w:tc>
      </w:tr>
      <w:tr w:rsidR="00000000" w14:paraId="3DE2759C" w14:textId="77777777">
        <w:trPr>
          <w:tblCellSpacing w:w="0" w:type="dxa"/>
        </w:trPr>
        <w:tc>
          <w:tcPr>
            <w:tcW w:w="0" w:type="auto"/>
            <w:shd w:val="clear" w:color="auto" w:fill="FFFFFF"/>
            <w:vAlign w:val="bottom"/>
            <w:hideMark/>
          </w:tcPr>
          <w:p w14:paraId="5035373E" w14:textId="77777777" w:rsidR="00000000" w:rsidRDefault="0053651E">
            <w:pPr>
              <w:pStyle w:val="a3"/>
              <w:spacing w:before="0" w:beforeAutospacing="0" w:after="0" w:afterAutospacing="0"/>
              <w:rPr>
                <w:sz w:val="20"/>
                <w:szCs w:val="20"/>
              </w:rPr>
            </w:pPr>
            <w:r>
              <w:rPr>
                <w:sz w:val="20"/>
                <w:szCs w:val="20"/>
              </w:rPr>
              <w:t>Gain on sale of operating properties</w:t>
            </w:r>
          </w:p>
        </w:tc>
        <w:tc>
          <w:tcPr>
            <w:tcW w:w="50" w:type="pct"/>
            <w:shd w:val="clear" w:color="auto" w:fill="FFFFFF"/>
            <w:vAlign w:val="bottom"/>
            <w:hideMark/>
          </w:tcPr>
          <w:p w14:paraId="249514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51767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E395716" w14:textId="77777777" w:rsidR="00000000" w:rsidRDefault="0053651E">
            <w:pPr>
              <w:jc w:val="right"/>
              <w:rPr>
                <w:rFonts w:eastAsia="Times New Roman"/>
                <w:sz w:val="20"/>
                <w:szCs w:val="20"/>
              </w:rPr>
            </w:pPr>
            <w:r>
              <w:rPr>
                <w:rFonts w:eastAsia="Times New Roman"/>
                <w:sz w:val="20"/>
                <w:szCs w:val="20"/>
              </w:rPr>
              <w:t>13.6</w:t>
            </w:r>
          </w:p>
        </w:tc>
        <w:tc>
          <w:tcPr>
            <w:tcW w:w="50" w:type="pct"/>
            <w:shd w:val="clear" w:color="auto" w:fill="FFFFFF"/>
            <w:vAlign w:val="bottom"/>
            <w:hideMark/>
          </w:tcPr>
          <w:p w14:paraId="78CEF4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7C64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24D60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9349C9E" w14:textId="77777777" w:rsidR="00000000" w:rsidRDefault="0053651E">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14:paraId="226948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1B57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FBF14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F641E2F" w14:textId="77777777" w:rsidR="00000000" w:rsidRDefault="0053651E">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3EE6F8C5" w14:textId="77777777" w:rsidR="00000000" w:rsidRDefault="0053651E">
            <w:pPr>
              <w:rPr>
                <w:rFonts w:eastAsia="Times New Roman"/>
                <w:sz w:val="20"/>
                <w:szCs w:val="20"/>
              </w:rPr>
            </w:pPr>
            <w:r>
              <w:rPr>
                <w:rFonts w:eastAsia="Times New Roman"/>
                <w:sz w:val="20"/>
                <w:szCs w:val="20"/>
              </w:rPr>
              <w:t> </w:t>
            </w:r>
          </w:p>
        </w:tc>
      </w:tr>
      <w:tr w:rsidR="00000000" w14:paraId="6C2F904E" w14:textId="77777777">
        <w:trPr>
          <w:tblCellSpacing w:w="0" w:type="dxa"/>
        </w:trPr>
        <w:tc>
          <w:tcPr>
            <w:tcW w:w="0" w:type="auto"/>
            <w:shd w:val="clear" w:color="auto" w:fill="CCEEFF"/>
            <w:vAlign w:val="bottom"/>
            <w:hideMark/>
          </w:tcPr>
          <w:p w14:paraId="33C6A58F" w14:textId="77777777" w:rsidR="00000000" w:rsidRDefault="0053651E">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14:paraId="66CA28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734BC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62E71C1" w14:textId="77777777" w:rsidR="00000000" w:rsidRDefault="0053651E">
            <w:pPr>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14:paraId="3ECE9A9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70E0D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2B44A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3F661E3" w14:textId="77777777" w:rsidR="00000000" w:rsidRDefault="0053651E">
            <w:pPr>
              <w:jc w:val="right"/>
              <w:rPr>
                <w:rFonts w:eastAsia="Times New Roman"/>
                <w:sz w:val="20"/>
                <w:szCs w:val="20"/>
              </w:rPr>
            </w:pPr>
            <w:r>
              <w:rPr>
                <w:rFonts w:eastAsia="Times New Roman"/>
                <w:sz w:val="20"/>
                <w:szCs w:val="20"/>
              </w:rPr>
              <w:t>(16.9</w:t>
            </w:r>
          </w:p>
        </w:tc>
        <w:tc>
          <w:tcPr>
            <w:tcW w:w="50" w:type="pct"/>
            <w:shd w:val="clear" w:color="auto" w:fill="CCEEFF"/>
            <w:vAlign w:val="bottom"/>
            <w:hideMark/>
          </w:tcPr>
          <w:p w14:paraId="5E160E6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F33E74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3B6DE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3F4D13F" w14:textId="77777777" w:rsidR="00000000" w:rsidRDefault="0053651E">
            <w:pPr>
              <w:jc w:val="right"/>
              <w:rPr>
                <w:rFonts w:eastAsia="Times New Roman"/>
                <w:sz w:val="20"/>
                <w:szCs w:val="20"/>
              </w:rPr>
            </w:pPr>
            <w:r>
              <w:rPr>
                <w:rFonts w:eastAsia="Times New Roman"/>
                <w:sz w:val="20"/>
                <w:szCs w:val="20"/>
              </w:rPr>
              <w:t>(20.4</w:t>
            </w:r>
          </w:p>
        </w:tc>
        <w:tc>
          <w:tcPr>
            <w:tcW w:w="50" w:type="pct"/>
            <w:shd w:val="clear" w:color="auto" w:fill="CCEEFF"/>
            <w:vAlign w:val="bottom"/>
            <w:hideMark/>
          </w:tcPr>
          <w:p w14:paraId="420C47E9" w14:textId="77777777" w:rsidR="00000000" w:rsidRDefault="0053651E">
            <w:pPr>
              <w:rPr>
                <w:rFonts w:eastAsia="Times New Roman"/>
                <w:sz w:val="20"/>
                <w:szCs w:val="20"/>
              </w:rPr>
            </w:pPr>
            <w:r>
              <w:rPr>
                <w:rFonts w:eastAsia="Times New Roman"/>
                <w:sz w:val="20"/>
                <w:szCs w:val="20"/>
              </w:rPr>
              <w:t>)</w:t>
            </w:r>
          </w:p>
        </w:tc>
      </w:tr>
      <w:tr w:rsidR="00000000" w14:paraId="1759BC10" w14:textId="77777777">
        <w:trPr>
          <w:tblCellSpacing w:w="0" w:type="dxa"/>
        </w:trPr>
        <w:tc>
          <w:tcPr>
            <w:tcW w:w="0" w:type="auto"/>
            <w:shd w:val="clear" w:color="auto" w:fill="FFFFFF"/>
            <w:vAlign w:val="bottom"/>
            <w:hideMark/>
          </w:tcPr>
          <w:p w14:paraId="77BFF84B" w14:textId="77777777" w:rsidR="00000000" w:rsidRDefault="0053651E">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14:paraId="1AA54E1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2B23B3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1A95E1C1" w14:textId="77777777" w:rsidR="00000000" w:rsidRDefault="0053651E">
            <w:pPr>
              <w:jc w:val="right"/>
              <w:rPr>
                <w:rFonts w:eastAsia="Times New Roman"/>
                <w:sz w:val="20"/>
                <w:szCs w:val="20"/>
              </w:rPr>
            </w:pPr>
            <w:r>
              <w:rPr>
                <w:rFonts w:eastAsia="Times New Roman"/>
                <w:sz w:val="20"/>
                <w:szCs w:val="20"/>
              </w:rPr>
              <w:t>(7.9</w:t>
            </w:r>
          </w:p>
        </w:tc>
        <w:tc>
          <w:tcPr>
            <w:tcW w:w="50" w:type="pct"/>
            <w:shd w:val="clear" w:color="auto" w:fill="FFFFFF"/>
            <w:tcMar>
              <w:top w:w="0" w:type="dxa"/>
              <w:left w:w="0" w:type="dxa"/>
              <w:bottom w:w="15" w:type="dxa"/>
              <w:right w:w="0" w:type="dxa"/>
            </w:tcMar>
            <w:vAlign w:val="bottom"/>
            <w:hideMark/>
          </w:tcPr>
          <w:p w14:paraId="030274D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04A34A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9D1BF03"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4E999B40" w14:textId="77777777" w:rsidR="00000000" w:rsidRDefault="0053651E">
            <w:pPr>
              <w:jc w:val="right"/>
              <w:rPr>
                <w:rFonts w:eastAsia="Times New Roman"/>
                <w:sz w:val="20"/>
                <w:szCs w:val="20"/>
              </w:rPr>
            </w:pPr>
            <w:r>
              <w:rPr>
                <w:rFonts w:eastAsia="Times New Roman"/>
                <w:sz w:val="20"/>
                <w:szCs w:val="20"/>
              </w:rPr>
              <w:t>(8.2</w:t>
            </w:r>
          </w:p>
        </w:tc>
        <w:tc>
          <w:tcPr>
            <w:tcW w:w="50" w:type="pct"/>
            <w:shd w:val="clear" w:color="auto" w:fill="FFFFFF"/>
            <w:tcMar>
              <w:top w:w="0" w:type="dxa"/>
              <w:left w:w="0" w:type="dxa"/>
              <w:bottom w:w="15" w:type="dxa"/>
              <w:right w:w="0" w:type="dxa"/>
            </w:tcMar>
            <w:vAlign w:val="bottom"/>
            <w:hideMark/>
          </w:tcPr>
          <w:p w14:paraId="75E5B2D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80A3AE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B83235D"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40F06008" w14:textId="77777777" w:rsidR="00000000" w:rsidRDefault="0053651E">
            <w:pPr>
              <w:jc w:val="right"/>
              <w:rPr>
                <w:rFonts w:eastAsia="Times New Roman"/>
                <w:sz w:val="20"/>
                <w:szCs w:val="20"/>
              </w:rPr>
            </w:pPr>
            <w:r>
              <w:rPr>
                <w:rFonts w:eastAsia="Times New Roman"/>
                <w:sz w:val="20"/>
                <w:szCs w:val="20"/>
              </w:rPr>
              <w:t>(5.9</w:t>
            </w:r>
          </w:p>
        </w:tc>
        <w:tc>
          <w:tcPr>
            <w:tcW w:w="50" w:type="pct"/>
            <w:shd w:val="clear" w:color="auto" w:fill="FFFFFF"/>
            <w:tcMar>
              <w:top w:w="0" w:type="dxa"/>
              <w:left w:w="0" w:type="dxa"/>
              <w:bottom w:w="15" w:type="dxa"/>
              <w:right w:w="0" w:type="dxa"/>
            </w:tcMar>
            <w:vAlign w:val="bottom"/>
            <w:hideMark/>
          </w:tcPr>
          <w:p w14:paraId="60A0E40D" w14:textId="77777777" w:rsidR="00000000" w:rsidRDefault="0053651E">
            <w:pPr>
              <w:rPr>
                <w:rFonts w:eastAsia="Times New Roman"/>
                <w:sz w:val="20"/>
                <w:szCs w:val="20"/>
              </w:rPr>
            </w:pPr>
            <w:r>
              <w:rPr>
                <w:rFonts w:eastAsia="Times New Roman"/>
                <w:sz w:val="20"/>
                <w:szCs w:val="20"/>
              </w:rPr>
              <w:t>)</w:t>
            </w:r>
          </w:p>
        </w:tc>
      </w:tr>
      <w:tr w:rsidR="00000000" w14:paraId="35FD4DDA" w14:textId="77777777">
        <w:trPr>
          <w:tblCellSpacing w:w="0" w:type="dxa"/>
        </w:trPr>
        <w:tc>
          <w:tcPr>
            <w:tcW w:w="0" w:type="auto"/>
            <w:shd w:val="clear" w:color="auto" w:fill="CCEEFF"/>
            <w:vAlign w:val="bottom"/>
            <w:hideMark/>
          </w:tcPr>
          <w:p w14:paraId="68907685" w14:textId="77777777" w:rsidR="00000000" w:rsidRDefault="0053651E">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14:paraId="091FBBD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174D8D5"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AAF14AF" w14:textId="77777777" w:rsidR="00000000" w:rsidRDefault="0053651E">
            <w:pPr>
              <w:jc w:val="right"/>
              <w:rPr>
                <w:rFonts w:eastAsia="Times New Roman"/>
                <w:sz w:val="20"/>
                <w:szCs w:val="20"/>
              </w:rPr>
            </w:pPr>
            <w:r>
              <w:rPr>
                <w:rFonts w:eastAsia="Times New Roman"/>
                <w:sz w:val="20"/>
                <w:szCs w:val="20"/>
              </w:rPr>
              <w:t>41.2</w:t>
            </w:r>
          </w:p>
        </w:tc>
        <w:tc>
          <w:tcPr>
            <w:tcW w:w="50" w:type="pct"/>
            <w:shd w:val="clear" w:color="auto" w:fill="CCEEFF"/>
            <w:tcMar>
              <w:top w:w="0" w:type="dxa"/>
              <w:left w:w="0" w:type="dxa"/>
              <w:bottom w:w="45" w:type="dxa"/>
              <w:right w:w="0" w:type="dxa"/>
            </w:tcMar>
            <w:vAlign w:val="bottom"/>
            <w:hideMark/>
          </w:tcPr>
          <w:p w14:paraId="49B944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982EF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04FAFFF"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6C1FAECA" w14:textId="77777777" w:rsidR="00000000" w:rsidRDefault="0053651E">
            <w:pPr>
              <w:jc w:val="right"/>
              <w:rPr>
                <w:rFonts w:eastAsia="Times New Roman"/>
                <w:sz w:val="20"/>
                <w:szCs w:val="20"/>
              </w:rPr>
            </w:pPr>
            <w:r>
              <w:rPr>
                <w:rFonts w:eastAsia="Times New Roman"/>
                <w:sz w:val="20"/>
                <w:szCs w:val="20"/>
              </w:rPr>
              <w:t>34.0</w:t>
            </w:r>
          </w:p>
        </w:tc>
        <w:tc>
          <w:tcPr>
            <w:tcW w:w="50" w:type="pct"/>
            <w:shd w:val="clear" w:color="auto" w:fill="CCEEFF"/>
            <w:tcMar>
              <w:top w:w="0" w:type="dxa"/>
              <w:left w:w="0" w:type="dxa"/>
              <w:bottom w:w="45" w:type="dxa"/>
              <w:right w:w="0" w:type="dxa"/>
            </w:tcMar>
            <w:vAlign w:val="bottom"/>
            <w:hideMark/>
          </w:tcPr>
          <w:p w14:paraId="16815D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EB6F3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216EB79"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4544DE9" w14:textId="77777777" w:rsidR="00000000" w:rsidRDefault="0053651E">
            <w:pPr>
              <w:jc w:val="right"/>
              <w:rPr>
                <w:rFonts w:eastAsia="Times New Roman"/>
                <w:sz w:val="20"/>
                <w:szCs w:val="20"/>
              </w:rPr>
            </w:pPr>
            <w:r>
              <w:rPr>
                <w:rFonts w:eastAsia="Times New Roman"/>
                <w:sz w:val="20"/>
                <w:szCs w:val="20"/>
              </w:rPr>
              <w:t>34.1</w:t>
            </w:r>
          </w:p>
        </w:tc>
        <w:tc>
          <w:tcPr>
            <w:tcW w:w="50" w:type="pct"/>
            <w:shd w:val="clear" w:color="auto" w:fill="CCEEFF"/>
            <w:tcMar>
              <w:top w:w="0" w:type="dxa"/>
              <w:left w:w="0" w:type="dxa"/>
              <w:bottom w:w="45" w:type="dxa"/>
              <w:right w:w="0" w:type="dxa"/>
            </w:tcMar>
            <w:vAlign w:val="bottom"/>
            <w:hideMark/>
          </w:tcPr>
          <w:p w14:paraId="013DAC08" w14:textId="77777777" w:rsidR="00000000" w:rsidRDefault="0053651E">
            <w:pPr>
              <w:rPr>
                <w:rFonts w:eastAsia="Times New Roman"/>
                <w:sz w:val="20"/>
                <w:szCs w:val="20"/>
              </w:rPr>
            </w:pPr>
            <w:r>
              <w:rPr>
                <w:rFonts w:eastAsia="Times New Roman"/>
                <w:sz w:val="20"/>
                <w:szCs w:val="20"/>
              </w:rPr>
              <w:t> </w:t>
            </w:r>
          </w:p>
        </w:tc>
      </w:tr>
    </w:tbl>
    <w:p w14:paraId="51A07EB6" w14:textId="77777777" w:rsidR="00000000" w:rsidRDefault="0053651E">
      <w:pPr>
        <w:pStyle w:val="a3"/>
        <w:spacing w:before="0" w:beforeAutospacing="0" w:after="0" w:afterAutospacing="0"/>
        <w:ind w:left="360"/>
        <w:jc w:val="both"/>
        <w:rPr>
          <w:sz w:val="20"/>
          <w:szCs w:val="20"/>
        </w:rPr>
      </w:pPr>
      <w:r>
        <w:rPr>
          <w:sz w:val="20"/>
          <w:szCs w:val="20"/>
        </w:rPr>
        <w:t> </w:t>
      </w:r>
    </w:p>
    <w:p w14:paraId="1529DB3F" w14:textId="77777777" w:rsidR="00000000" w:rsidRDefault="0053651E">
      <w:pPr>
        <w:jc w:val="center"/>
        <w:divId w:val="125395485"/>
        <w:rPr>
          <w:rFonts w:eastAsia="Times New Roman"/>
          <w:sz w:val="20"/>
          <w:szCs w:val="20"/>
        </w:rPr>
      </w:pPr>
      <w:r>
        <w:rPr>
          <w:rStyle w:val="a6"/>
          <w:rFonts w:eastAsia="Times New Roman"/>
          <w:i w:val="0"/>
          <w:iCs w:val="0"/>
          <w:sz w:val="20"/>
          <w:szCs w:val="20"/>
        </w:rPr>
        <w:t>67</w:t>
      </w:r>
      <w:r>
        <w:rPr>
          <w:rFonts w:eastAsia="Times New Roman"/>
          <w:sz w:val="20"/>
          <w:szCs w:val="20"/>
        </w:rPr>
        <w:t xml:space="preserve"> </w:t>
      </w:r>
    </w:p>
    <w:p w14:paraId="01CCAC2C" w14:textId="77777777" w:rsidR="00000000" w:rsidRDefault="0053651E">
      <w:pPr>
        <w:divId w:val="125395485"/>
        <w:rPr>
          <w:rFonts w:eastAsia="Times New Roman"/>
          <w:sz w:val="20"/>
          <w:szCs w:val="20"/>
        </w:rPr>
      </w:pPr>
      <w:r>
        <w:rPr>
          <w:rFonts w:eastAsia="Times New Roman"/>
          <w:sz w:val="20"/>
          <w:szCs w:val="20"/>
        </w:rPr>
        <w:pict w14:anchorId="0C47EEFA">
          <v:rect id="_x0000_i1098" style="width:415.3pt;height:1.5pt" o:hralign="center" o:hrstd="t" o:hrnoshade="t" o:hr="t" fillcolor="black" stroked="f"/>
        </w:pict>
      </w:r>
    </w:p>
    <w:p w14:paraId="23F5D4E0" w14:textId="77777777" w:rsidR="00000000" w:rsidRDefault="0053651E">
      <w:pPr>
        <w:divId w:val="1253954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8F45465" w14:textId="77777777" w:rsidR="00000000" w:rsidRDefault="0053651E">
      <w:pPr>
        <w:pStyle w:val="a3"/>
        <w:spacing w:before="0" w:beforeAutospacing="0" w:after="0" w:afterAutospacing="0"/>
        <w:rPr>
          <w:sz w:val="20"/>
          <w:szCs w:val="20"/>
        </w:rPr>
      </w:pPr>
      <w:r>
        <w:rPr>
          <w:sz w:val="20"/>
          <w:szCs w:val="20"/>
        </w:rPr>
        <w:t> </w:t>
      </w:r>
    </w:p>
    <w:p w14:paraId="405667F4"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DDEDD7F" w14:textId="77777777" w:rsidR="00000000" w:rsidRDefault="0053651E">
      <w:pPr>
        <w:pStyle w:val="a3"/>
        <w:spacing w:before="0" w:beforeAutospacing="0" w:after="0" w:afterAutospacing="0"/>
        <w:jc w:val="center"/>
        <w:rPr>
          <w:sz w:val="20"/>
          <w:szCs w:val="20"/>
        </w:rPr>
      </w:pPr>
      <w:r>
        <w:rPr>
          <w:sz w:val="20"/>
          <w:szCs w:val="20"/>
        </w:rPr>
        <w:t> </w:t>
      </w:r>
    </w:p>
    <w:p w14:paraId="79E43384"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42993BC0" w14:textId="77777777" w:rsidR="00000000" w:rsidRDefault="0053651E">
      <w:pPr>
        <w:pStyle w:val="a3"/>
        <w:spacing w:before="0" w:beforeAutospacing="0" w:after="0" w:afterAutospacing="0"/>
        <w:ind w:left="360"/>
        <w:jc w:val="both"/>
        <w:rPr>
          <w:sz w:val="20"/>
          <w:szCs w:val="20"/>
        </w:rPr>
      </w:pPr>
      <w:r>
        <w:rPr>
          <w:sz w:val="20"/>
          <w:szCs w:val="20"/>
        </w:rPr>
        <w:t> </w:t>
      </w:r>
    </w:p>
    <w:p w14:paraId="0B9604B4" w14:textId="77777777" w:rsidR="00000000" w:rsidRDefault="0053651E">
      <w:pPr>
        <w:divId w:val="644702690"/>
        <w:rPr>
          <w:rFonts w:eastAsia="Times New Roman"/>
          <w:sz w:val="20"/>
          <w:szCs w:val="20"/>
        </w:rPr>
      </w:pPr>
      <w:r>
        <w:rPr>
          <w:rFonts w:eastAsia="Times New Roman"/>
          <w:sz w:val="20"/>
          <w:szCs w:val="20"/>
        </w:rPr>
        <w:t xml:space="preserve">  </w:t>
      </w:r>
    </w:p>
    <w:p w14:paraId="153F199A" w14:textId="77777777" w:rsidR="00000000" w:rsidRDefault="0053651E">
      <w:pPr>
        <w:pStyle w:val="a3"/>
        <w:spacing w:before="0" w:beforeAutospacing="0" w:after="0" w:afterAutospacing="0"/>
        <w:rPr>
          <w:sz w:val="20"/>
          <w:szCs w:val="20"/>
        </w:rPr>
      </w:pPr>
      <w:r>
        <w:rPr>
          <w:rStyle w:val="a6"/>
          <w:i w:val="0"/>
          <w:iCs w:val="0"/>
          <w:sz w:val="20"/>
          <w:szCs w:val="20"/>
        </w:rPr>
        <w:t>9.</w:t>
      </w:r>
      <w:r>
        <w:rPr>
          <w:sz w:val="20"/>
          <w:szCs w:val="20"/>
        </w:rPr>
        <w:t>    </w:t>
      </w:r>
      <w:r>
        <w:rPr>
          <w:sz w:val="20"/>
          <w:szCs w:val="20"/>
          <w:u w:val="single"/>
        </w:rPr>
        <w:t>Variable Interest Entities (“VIE”)</w:t>
      </w:r>
      <w:r>
        <w:rPr>
          <w:sz w:val="20"/>
          <w:szCs w:val="20"/>
        </w:rPr>
        <w:t>:</w:t>
      </w:r>
    </w:p>
    <w:p w14:paraId="30C5E2DE" w14:textId="77777777" w:rsidR="00000000" w:rsidRDefault="0053651E">
      <w:pPr>
        <w:pStyle w:val="a3"/>
        <w:spacing w:before="0" w:beforeAutospacing="0" w:after="0" w:afterAutospacing="0"/>
        <w:ind w:left="360"/>
        <w:jc w:val="both"/>
        <w:rPr>
          <w:sz w:val="20"/>
          <w:szCs w:val="20"/>
        </w:rPr>
      </w:pPr>
      <w:r>
        <w:rPr>
          <w:sz w:val="20"/>
          <w:szCs w:val="20"/>
        </w:rPr>
        <w:t> </w:t>
      </w:r>
    </w:p>
    <w:p w14:paraId="329D21C9" w14:textId="77777777" w:rsidR="00000000" w:rsidRDefault="0053651E">
      <w:pPr>
        <w:pStyle w:val="a3"/>
        <w:spacing w:before="0" w:beforeAutospacing="0" w:after="0" w:afterAutospacing="0"/>
        <w:ind w:left="360"/>
        <w:jc w:val="both"/>
        <w:rPr>
          <w:sz w:val="20"/>
          <w:szCs w:val="20"/>
        </w:rPr>
      </w:pPr>
      <w:r>
        <w:rPr>
          <w:sz w:val="20"/>
          <w:szCs w:val="20"/>
        </w:rPr>
        <w:t>Included within the Company’s operating properties at</w:t>
      </w:r>
      <w:r>
        <w:rPr>
          <w:sz w:val="20"/>
          <w:szCs w:val="20"/>
        </w:rPr>
        <w:t xml:space="preserve"> </w:t>
      </w:r>
      <w:r>
        <w:rPr>
          <w:rStyle w:val="a6"/>
          <w:i w:val="0"/>
          <w:iCs w:val="0"/>
          <w:sz w:val="20"/>
          <w:szCs w:val="20"/>
        </w:rPr>
        <w:t>December</w:t>
      </w:r>
      <w:r>
        <w:rPr>
          <w:rStyle w:val="a6"/>
          <w:i w:val="0"/>
          <w:iCs w:val="0"/>
          <w:sz w:val="20"/>
          <w:szCs w:val="20"/>
        </w:rPr>
        <w:t xml:space="preserve"> 31, 2019 </w:t>
      </w:r>
      <w:r>
        <w:rPr>
          <w:sz w:val="20"/>
          <w:szCs w:val="20"/>
        </w:rPr>
        <w:t>and</w:t>
      </w:r>
      <w:r>
        <w:rPr>
          <w:sz w:val="20"/>
          <w:szCs w:val="20"/>
        </w:rPr>
        <w:t xml:space="preserve"> </w:t>
      </w:r>
      <w:r>
        <w:rPr>
          <w:rStyle w:val="a6"/>
          <w:i w:val="0"/>
          <w:iCs w:val="0"/>
          <w:sz w:val="20"/>
          <w:szCs w:val="20"/>
        </w:rPr>
        <w:t>2018,</w:t>
      </w:r>
      <w:r>
        <w:rPr>
          <w:sz w:val="20"/>
          <w:szCs w:val="20"/>
        </w:rPr>
        <w:t xml:space="preserve"> are 22 and</w:t>
      </w:r>
      <w:r>
        <w:rPr>
          <w:sz w:val="20"/>
          <w:szCs w:val="20"/>
        </w:rPr>
        <w:t xml:space="preserve"> </w:t>
      </w:r>
      <w:r>
        <w:rPr>
          <w:rStyle w:val="a6"/>
          <w:i w:val="0"/>
          <w:iCs w:val="0"/>
          <w:sz w:val="20"/>
          <w:szCs w:val="20"/>
        </w:rPr>
        <w:t>23</w:t>
      </w:r>
      <w:r>
        <w:rPr>
          <w:sz w:val="20"/>
          <w:szCs w:val="20"/>
        </w:rPr>
        <w:t> consolidated entities that are VIEs, respectively for which the Company is the primary beneficiary. These entities have been established to own and operate real estate property. The Company’s involvement with these entitie</w:t>
      </w:r>
      <w:r>
        <w:rPr>
          <w:sz w:val="20"/>
          <w:szCs w:val="20"/>
        </w:rPr>
        <w:t>s is through its majority ownership and management of the properties. The entities were deemed VIEs primarily because the unrelated investors do</w:t>
      </w:r>
      <w:r>
        <w:rPr>
          <w:sz w:val="20"/>
          <w:szCs w:val="20"/>
        </w:rPr>
        <w:t xml:space="preserve"> </w:t>
      </w:r>
      <w:r>
        <w:rPr>
          <w:rStyle w:val="a6"/>
          <w:i w:val="0"/>
          <w:iCs w:val="0"/>
          <w:sz w:val="20"/>
          <w:szCs w:val="20"/>
        </w:rPr>
        <w:t>not</w:t>
      </w:r>
      <w:r>
        <w:rPr>
          <w:sz w:val="20"/>
          <w:szCs w:val="20"/>
        </w:rPr>
        <w:t xml:space="preserve"> have substantive kick-out rights to remove the general or managing partner by a vote of a simple majority o</w:t>
      </w:r>
      <w:r>
        <w:rPr>
          <w:sz w:val="20"/>
          <w:szCs w:val="20"/>
        </w:rPr>
        <w:t>r less and they do</w:t>
      </w:r>
      <w:r>
        <w:rPr>
          <w:sz w:val="20"/>
          <w:szCs w:val="20"/>
        </w:rPr>
        <w:t xml:space="preserve"> </w:t>
      </w:r>
      <w:r>
        <w:rPr>
          <w:rStyle w:val="a6"/>
          <w:i w:val="0"/>
          <w:iCs w:val="0"/>
          <w:sz w:val="20"/>
          <w:szCs w:val="20"/>
        </w:rPr>
        <w:t>not</w:t>
      </w:r>
      <w:r>
        <w:rPr>
          <w:sz w:val="20"/>
          <w:szCs w:val="20"/>
        </w:rPr>
        <w:t xml:space="preserve"> have substantive participating rights. The Company determined that it was the primary beneficiary of these VIEs as a result of its controlling financial interest. At</w:t>
      </w:r>
      <w:r>
        <w:rPr>
          <w:sz w:val="20"/>
          <w:szCs w:val="20"/>
        </w:rPr>
        <w:t xml:space="preserve"> </w:t>
      </w:r>
      <w:r>
        <w:rPr>
          <w:rStyle w:val="a6"/>
          <w:i w:val="0"/>
          <w:iCs w:val="0"/>
          <w:sz w:val="20"/>
          <w:szCs w:val="20"/>
        </w:rPr>
        <w:t xml:space="preserve">December 31, 2019, </w:t>
      </w:r>
      <w:r>
        <w:rPr>
          <w:sz w:val="20"/>
          <w:szCs w:val="20"/>
        </w:rPr>
        <w:t>total assets of these VIEs were $0.9 billion and</w:t>
      </w:r>
      <w:r>
        <w:rPr>
          <w:sz w:val="20"/>
          <w:szCs w:val="20"/>
        </w:rPr>
        <w:t xml:space="preserve"> total liabilities were $70.9 million. At</w:t>
      </w:r>
      <w:r>
        <w:rPr>
          <w:sz w:val="20"/>
          <w:szCs w:val="20"/>
        </w:rPr>
        <w:t xml:space="preserve"> </w:t>
      </w:r>
      <w:r>
        <w:rPr>
          <w:rStyle w:val="a6"/>
          <w:i w:val="0"/>
          <w:iCs w:val="0"/>
          <w:sz w:val="20"/>
          <w:szCs w:val="20"/>
        </w:rPr>
        <w:t xml:space="preserve">December 31, 2018, </w:t>
      </w:r>
      <w:r>
        <w:rPr>
          <w:sz w:val="20"/>
          <w:szCs w:val="20"/>
        </w:rPr>
        <w:t>total assets of these VIEs were $1.1 billion and total liabilities were $75.2 million.</w:t>
      </w:r>
    </w:p>
    <w:p w14:paraId="5125EC44" w14:textId="77777777" w:rsidR="00000000" w:rsidRDefault="0053651E">
      <w:pPr>
        <w:pStyle w:val="a3"/>
        <w:spacing w:before="0" w:beforeAutospacing="0" w:after="0" w:afterAutospacing="0"/>
        <w:ind w:left="360"/>
        <w:jc w:val="both"/>
        <w:rPr>
          <w:sz w:val="20"/>
          <w:szCs w:val="20"/>
        </w:rPr>
      </w:pPr>
      <w:r>
        <w:rPr>
          <w:sz w:val="20"/>
          <w:szCs w:val="20"/>
        </w:rPr>
        <w:t> </w:t>
      </w:r>
    </w:p>
    <w:p w14:paraId="36E5DB26" w14:textId="77777777" w:rsidR="00000000" w:rsidRDefault="0053651E">
      <w:pPr>
        <w:pStyle w:val="a3"/>
        <w:spacing w:before="0" w:beforeAutospacing="0" w:after="0" w:afterAutospacing="0"/>
        <w:ind w:left="360"/>
        <w:jc w:val="both"/>
        <w:rPr>
          <w:sz w:val="20"/>
          <w:szCs w:val="20"/>
        </w:rPr>
      </w:pPr>
      <w:r>
        <w:rPr>
          <w:sz w:val="20"/>
          <w:szCs w:val="20"/>
        </w:rPr>
        <w:t>The majority of the operations of these VIEs are funded with cash flows generated from the properties. The</w:t>
      </w:r>
      <w:r>
        <w:rPr>
          <w:sz w:val="20"/>
          <w:szCs w:val="20"/>
        </w:rPr>
        <w:t xml:space="preserve"> Company has</w:t>
      </w:r>
      <w:r>
        <w:rPr>
          <w:sz w:val="20"/>
          <w:szCs w:val="20"/>
        </w:rPr>
        <w:t xml:space="preserve"> </w:t>
      </w:r>
      <w:r>
        <w:rPr>
          <w:rStyle w:val="a6"/>
          <w:i w:val="0"/>
          <w:iCs w:val="0"/>
          <w:sz w:val="20"/>
          <w:szCs w:val="20"/>
        </w:rPr>
        <w:t>not</w:t>
      </w:r>
      <w:r>
        <w:rPr>
          <w:sz w:val="20"/>
          <w:szCs w:val="20"/>
        </w:rPr>
        <w:t xml:space="preserve"> provided financial support to any of these VIEs that it was</w:t>
      </w:r>
      <w:r>
        <w:rPr>
          <w:sz w:val="20"/>
          <w:szCs w:val="20"/>
        </w:rPr>
        <w:t xml:space="preserve"> </w:t>
      </w:r>
      <w:r>
        <w:rPr>
          <w:rStyle w:val="a6"/>
          <w:i w:val="0"/>
          <w:iCs w:val="0"/>
          <w:sz w:val="20"/>
          <w:szCs w:val="20"/>
        </w:rPr>
        <w:t>not</w:t>
      </w:r>
      <w:r>
        <w:rPr>
          <w:sz w:val="20"/>
          <w:szCs w:val="20"/>
        </w:rPr>
        <w:t xml:space="preserve"> previously contractually required to provide, which consists primarily of funding any capital expenditures, including tenant improvements, which are deemed necessary to contin</w:t>
      </w:r>
      <w:r>
        <w:rPr>
          <w:sz w:val="20"/>
          <w:szCs w:val="20"/>
        </w:rPr>
        <w:t>ue to operate the entity and any operating cash shortfalls that the entity</w:t>
      </w:r>
      <w:r>
        <w:rPr>
          <w:sz w:val="20"/>
          <w:szCs w:val="20"/>
        </w:rPr>
        <w:t xml:space="preserve"> </w:t>
      </w:r>
      <w:r>
        <w:rPr>
          <w:rStyle w:val="a6"/>
          <w:i w:val="0"/>
          <w:iCs w:val="0"/>
          <w:sz w:val="20"/>
          <w:szCs w:val="20"/>
        </w:rPr>
        <w:t xml:space="preserve">may </w:t>
      </w:r>
      <w:r>
        <w:rPr>
          <w:sz w:val="20"/>
          <w:szCs w:val="20"/>
        </w:rPr>
        <w:t>experience.</w:t>
      </w:r>
    </w:p>
    <w:p w14:paraId="2B15109B" w14:textId="77777777" w:rsidR="00000000" w:rsidRDefault="0053651E">
      <w:pPr>
        <w:pStyle w:val="a3"/>
        <w:spacing w:before="0" w:beforeAutospacing="0" w:after="0" w:afterAutospacing="0"/>
        <w:ind w:left="360"/>
        <w:jc w:val="both"/>
        <w:rPr>
          <w:sz w:val="20"/>
          <w:szCs w:val="20"/>
        </w:rPr>
      </w:pPr>
      <w:r>
        <w:rPr>
          <w:sz w:val="20"/>
          <w:szCs w:val="20"/>
        </w:rPr>
        <w:t> </w:t>
      </w:r>
    </w:p>
    <w:p w14:paraId="622ACEF1" w14:textId="77777777" w:rsidR="00000000" w:rsidRDefault="0053651E">
      <w:pPr>
        <w:pStyle w:val="a3"/>
        <w:spacing w:before="0" w:beforeAutospacing="0" w:after="0" w:afterAutospacing="0"/>
        <w:ind w:left="360"/>
        <w:jc w:val="both"/>
        <w:rPr>
          <w:sz w:val="20"/>
          <w:szCs w:val="20"/>
        </w:rPr>
      </w:pPr>
      <w:r>
        <w:rPr>
          <w:sz w:val="20"/>
          <w:szCs w:val="20"/>
        </w:rPr>
        <w:t>Additionally, included within the Company’s real estate development projects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one consolidated entity </w:t>
      </w:r>
      <w:r>
        <w:rPr>
          <w:sz w:val="20"/>
          <w:szCs w:val="20"/>
        </w:rPr>
        <w:t>that is a VIE, for which the Company is the primary beneficiary. This entity has been established to develop a real estate property to hold as a long-term investment. The Company’s involvement with this entity is through its majority ownership and manageme</w:t>
      </w:r>
      <w:r>
        <w:rPr>
          <w:sz w:val="20"/>
          <w:szCs w:val="20"/>
        </w:rPr>
        <w:t>nt of this property. This entity was deemed a VIE primarily because the equity investment at risk were</w:t>
      </w:r>
      <w:r>
        <w:rPr>
          <w:sz w:val="20"/>
          <w:szCs w:val="20"/>
        </w:rPr>
        <w:t xml:space="preserve"> </w:t>
      </w:r>
      <w:r>
        <w:rPr>
          <w:rStyle w:val="a6"/>
          <w:i w:val="0"/>
          <w:iCs w:val="0"/>
          <w:sz w:val="20"/>
          <w:szCs w:val="20"/>
        </w:rPr>
        <w:t>not</w:t>
      </w:r>
      <w:r>
        <w:rPr>
          <w:sz w:val="20"/>
          <w:szCs w:val="20"/>
        </w:rPr>
        <w:t xml:space="preserve"> sufficient to permit the entity to finance its activities without additional financial support. The initial equity contributed to this entity was</w:t>
      </w:r>
      <w:r>
        <w:rPr>
          <w:sz w:val="20"/>
          <w:szCs w:val="20"/>
        </w:rPr>
        <w:t xml:space="preserve"> </w:t>
      </w:r>
      <w:r>
        <w:rPr>
          <w:rStyle w:val="a6"/>
          <w:i w:val="0"/>
          <w:iCs w:val="0"/>
          <w:sz w:val="20"/>
          <w:szCs w:val="20"/>
        </w:rPr>
        <w:t>not</w:t>
      </w:r>
      <w:r>
        <w:rPr>
          <w:sz w:val="20"/>
          <w:szCs w:val="20"/>
        </w:rPr>
        <w:t xml:space="preserve"> sufficient to fully finance the real estate construction as development costs are funded by the partners throughout the construction period. The Company determined that it was the primary beneficiary of this VIE as a result of its controlling financial in</w:t>
      </w:r>
      <w:r>
        <w:rPr>
          <w:sz w:val="20"/>
          <w:szCs w:val="20"/>
        </w:rPr>
        <w:t>terest. At</w:t>
      </w:r>
      <w:r>
        <w:rPr>
          <w:sz w:val="20"/>
          <w:szCs w:val="20"/>
        </w:rPr>
        <w:t xml:space="preserve"> </w:t>
      </w:r>
      <w:r>
        <w:rPr>
          <w:rStyle w:val="a6"/>
          <w:i w:val="0"/>
          <w:iCs w:val="0"/>
          <w:sz w:val="20"/>
          <w:szCs w:val="20"/>
        </w:rPr>
        <w:t xml:space="preserve">December 31, 2019, </w:t>
      </w:r>
      <w:r>
        <w:rPr>
          <w:sz w:val="20"/>
          <w:szCs w:val="20"/>
        </w:rPr>
        <w:t>total assets of this real estate development VIE were $346.9 million and total liabilities were $82.5 million. At</w:t>
      </w:r>
      <w:r>
        <w:rPr>
          <w:sz w:val="20"/>
          <w:szCs w:val="20"/>
        </w:rPr>
        <w:t xml:space="preserve"> </w:t>
      </w:r>
      <w:r>
        <w:rPr>
          <w:rStyle w:val="a6"/>
          <w:i w:val="0"/>
          <w:iCs w:val="0"/>
          <w:sz w:val="20"/>
          <w:szCs w:val="20"/>
        </w:rPr>
        <w:t xml:space="preserve">December 31, 2018, </w:t>
      </w:r>
      <w:r>
        <w:rPr>
          <w:sz w:val="20"/>
          <w:szCs w:val="20"/>
        </w:rPr>
        <w:t>total assets of this real estate development VIE were $275.6 million and total liabilities we</w:t>
      </w:r>
      <w:r>
        <w:rPr>
          <w:sz w:val="20"/>
          <w:szCs w:val="20"/>
        </w:rPr>
        <w:t>re $68.0 million.</w:t>
      </w:r>
    </w:p>
    <w:p w14:paraId="1F51DC14" w14:textId="77777777" w:rsidR="00000000" w:rsidRDefault="0053651E">
      <w:pPr>
        <w:pStyle w:val="a3"/>
        <w:spacing w:before="0" w:beforeAutospacing="0" w:after="0" w:afterAutospacing="0"/>
        <w:ind w:left="360"/>
        <w:jc w:val="both"/>
        <w:rPr>
          <w:sz w:val="20"/>
          <w:szCs w:val="20"/>
        </w:rPr>
      </w:pPr>
      <w:r>
        <w:rPr>
          <w:sz w:val="20"/>
          <w:szCs w:val="20"/>
        </w:rPr>
        <w:t> </w:t>
      </w:r>
    </w:p>
    <w:p w14:paraId="2274ADA7" w14:textId="77777777" w:rsidR="00000000" w:rsidRDefault="0053651E">
      <w:pPr>
        <w:pStyle w:val="a3"/>
        <w:spacing w:before="0" w:beforeAutospacing="0" w:after="0" w:afterAutospacing="0"/>
        <w:ind w:left="360"/>
        <w:jc w:val="both"/>
        <w:rPr>
          <w:sz w:val="20"/>
          <w:szCs w:val="20"/>
        </w:rPr>
      </w:pPr>
      <w:r>
        <w:rPr>
          <w:sz w:val="20"/>
          <w:szCs w:val="20"/>
        </w:rPr>
        <w:t xml:space="preserve">Substantially all the projected remaining development costs to be funded for this real estate development project, aggregating $40.0 million, will be funded with capital contributions from the Company, when contractually obligated. The </w:t>
      </w:r>
      <w:r>
        <w:rPr>
          <w:sz w:val="20"/>
          <w:szCs w:val="20"/>
        </w:rPr>
        <w:t>Company has</w:t>
      </w:r>
      <w:r>
        <w:rPr>
          <w:sz w:val="20"/>
          <w:szCs w:val="20"/>
        </w:rPr>
        <w:t xml:space="preserve"> </w:t>
      </w:r>
      <w:r>
        <w:rPr>
          <w:rStyle w:val="a6"/>
          <w:i w:val="0"/>
          <w:iCs w:val="0"/>
          <w:sz w:val="20"/>
          <w:szCs w:val="20"/>
        </w:rPr>
        <w:t>not</w:t>
      </w:r>
      <w:r>
        <w:rPr>
          <w:sz w:val="20"/>
          <w:szCs w:val="20"/>
        </w:rPr>
        <w:t xml:space="preserve"> provided financial support to this VIE that it was</w:t>
      </w:r>
      <w:r>
        <w:rPr>
          <w:sz w:val="20"/>
          <w:szCs w:val="20"/>
        </w:rPr>
        <w:t xml:space="preserve"> </w:t>
      </w:r>
      <w:r>
        <w:rPr>
          <w:rStyle w:val="a6"/>
          <w:i w:val="0"/>
          <w:iCs w:val="0"/>
          <w:sz w:val="20"/>
          <w:szCs w:val="20"/>
        </w:rPr>
        <w:t>not</w:t>
      </w:r>
      <w:r>
        <w:rPr>
          <w:sz w:val="20"/>
          <w:szCs w:val="20"/>
        </w:rPr>
        <w:t xml:space="preserve"> previously contractually required to provide.</w:t>
      </w:r>
    </w:p>
    <w:p w14:paraId="7136B6F5" w14:textId="77777777" w:rsidR="00000000" w:rsidRDefault="0053651E">
      <w:pPr>
        <w:pStyle w:val="a3"/>
        <w:spacing w:before="0" w:beforeAutospacing="0" w:after="0" w:afterAutospacing="0"/>
        <w:ind w:left="360"/>
        <w:jc w:val="both"/>
        <w:rPr>
          <w:sz w:val="20"/>
          <w:szCs w:val="20"/>
        </w:rPr>
      </w:pPr>
      <w:r>
        <w:rPr>
          <w:sz w:val="20"/>
          <w:szCs w:val="20"/>
        </w:rPr>
        <w:t>  </w:t>
      </w:r>
    </w:p>
    <w:p w14:paraId="5B15C64B" w14:textId="77777777" w:rsidR="00000000" w:rsidRDefault="0053651E">
      <w:pPr>
        <w:pStyle w:val="a3"/>
        <w:spacing w:before="0" w:beforeAutospacing="0" w:after="0" w:afterAutospacing="0"/>
        <w:ind w:left="360"/>
        <w:jc w:val="both"/>
        <w:rPr>
          <w:sz w:val="20"/>
          <w:szCs w:val="20"/>
        </w:rPr>
      </w:pPr>
      <w:r>
        <w:rPr>
          <w:sz w:val="20"/>
          <w:szCs w:val="20"/>
        </w:rPr>
        <w:t>All liabilities of these VIEs are non-recourse to the Company (“VIE Liabilities”). The assets of the unencumbered VIEs are</w:t>
      </w:r>
      <w:r>
        <w:rPr>
          <w:sz w:val="20"/>
          <w:szCs w:val="20"/>
        </w:rPr>
        <w:t xml:space="preserve"> </w:t>
      </w:r>
      <w:r>
        <w:rPr>
          <w:rStyle w:val="a6"/>
          <w:i w:val="0"/>
          <w:iCs w:val="0"/>
          <w:sz w:val="20"/>
          <w:szCs w:val="20"/>
        </w:rPr>
        <w:t>not</w:t>
      </w:r>
      <w:r>
        <w:rPr>
          <w:sz w:val="20"/>
          <w:szCs w:val="20"/>
        </w:rPr>
        <w:t xml:space="preserve"> restricte</w:t>
      </w:r>
      <w:r>
        <w:rPr>
          <w:sz w:val="20"/>
          <w:szCs w:val="20"/>
        </w:rPr>
        <w:t>d for use to settle only the obligations of these VIEs. The remaining VIE assets are encumbered by</w:t>
      </w:r>
      <w:r>
        <w:rPr>
          <w:sz w:val="20"/>
          <w:szCs w:val="20"/>
        </w:rPr>
        <w:t xml:space="preserve"> </w:t>
      </w:r>
      <w:r>
        <w:rPr>
          <w:rStyle w:val="a6"/>
          <w:i w:val="0"/>
          <w:iCs w:val="0"/>
          <w:sz w:val="20"/>
          <w:szCs w:val="20"/>
        </w:rPr>
        <w:t>third</w:t>
      </w:r>
      <w:r>
        <w:rPr>
          <w:sz w:val="20"/>
          <w:szCs w:val="20"/>
        </w:rPr>
        <w:t xml:space="preserve"> party non-recourse mortgage debt. The assets associated with these encumbered VIEs (“Restricted Assets”) are collateral under the respective mortgages </w:t>
      </w:r>
      <w:r>
        <w:rPr>
          <w:sz w:val="20"/>
          <w:szCs w:val="20"/>
        </w:rPr>
        <w:t>and are therefore restricted and can only be used to settle the corresponding liabilities of the VIE. The classification of the Restricted Assets and VIE Liabilities on the Company’s Consolidated Balance Sheets are as follows (in millions):</w:t>
      </w:r>
    </w:p>
    <w:p w14:paraId="6D651DA9"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1"/>
        <w:gridCol w:w="1050"/>
        <w:gridCol w:w="62"/>
        <w:gridCol w:w="62"/>
        <w:gridCol w:w="101"/>
        <w:gridCol w:w="1050"/>
        <w:gridCol w:w="63"/>
      </w:tblGrid>
      <w:tr w:rsidR="00000000" w14:paraId="12B37543" w14:textId="77777777">
        <w:trPr>
          <w:tblCellSpacing w:w="0" w:type="dxa"/>
        </w:trPr>
        <w:tc>
          <w:tcPr>
            <w:tcW w:w="0" w:type="auto"/>
            <w:vAlign w:val="bottom"/>
            <w:hideMark/>
          </w:tcPr>
          <w:p w14:paraId="5B2FC43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288756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80E0747"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2D3A147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8302C1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B1848CB" w14:textId="77777777" w:rsidR="00000000" w:rsidRDefault="0053651E">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4DAD76CD" w14:textId="77777777" w:rsidR="00000000" w:rsidRDefault="0053651E">
            <w:pPr>
              <w:rPr>
                <w:rFonts w:eastAsia="Times New Roman"/>
                <w:sz w:val="20"/>
                <w:szCs w:val="20"/>
              </w:rPr>
            </w:pPr>
            <w:r>
              <w:rPr>
                <w:rFonts w:eastAsia="Times New Roman"/>
                <w:sz w:val="20"/>
                <w:szCs w:val="20"/>
              </w:rPr>
              <w:t> </w:t>
            </w:r>
          </w:p>
        </w:tc>
      </w:tr>
      <w:tr w:rsidR="00000000" w14:paraId="56953E0E" w14:textId="77777777">
        <w:trPr>
          <w:tblCellSpacing w:w="0" w:type="dxa"/>
        </w:trPr>
        <w:tc>
          <w:tcPr>
            <w:tcW w:w="0" w:type="auto"/>
            <w:vAlign w:val="bottom"/>
            <w:hideMark/>
          </w:tcPr>
          <w:p w14:paraId="09A6363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87A187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F099A8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E7AB65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4B2EEE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F838A4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45BA8E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B6B256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886631D" w14:textId="77777777" w:rsidR="00000000" w:rsidRDefault="0053651E">
            <w:pPr>
              <w:rPr>
                <w:rFonts w:eastAsia="Times New Roman"/>
                <w:sz w:val="20"/>
                <w:szCs w:val="20"/>
              </w:rPr>
            </w:pPr>
            <w:r>
              <w:rPr>
                <w:rFonts w:eastAsia="Times New Roman"/>
                <w:sz w:val="20"/>
                <w:szCs w:val="20"/>
              </w:rPr>
              <w:t> </w:t>
            </w:r>
          </w:p>
        </w:tc>
      </w:tr>
      <w:tr w:rsidR="00000000" w14:paraId="0E4F2563" w14:textId="77777777">
        <w:trPr>
          <w:tblCellSpacing w:w="0" w:type="dxa"/>
        </w:trPr>
        <w:tc>
          <w:tcPr>
            <w:tcW w:w="3200" w:type="pct"/>
            <w:shd w:val="clear" w:color="auto" w:fill="CCEEFF"/>
            <w:vAlign w:val="bottom"/>
            <w:hideMark/>
          </w:tcPr>
          <w:p w14:paraId="367A75EE" w14:textId="77777777" w:rsidR="00000000" w:rsidRDefault="0053651E">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14:paraId="130AF2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16EC5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875381E" w14:textId="77777777" w:rsidR="00000000" w:rsidRDefault="0053651E">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23F6BC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A780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C613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E5A36EC" w14:textId="77777777" w:rsidR="00000000" w:rsidRDefault="0053651E">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75F9E18F" w14:textId="77777777" w:rsidR="00000000" w:rsidRDefault="0053651E">
            <w:pPr>
              <w:rPr>
                <w:rFonts w:eastAsia="Times New Roman"/>
                <w:sz w:val="20"/>
                <w:szCs w:val="20"/>
              </w:rPr>
            </w:pPr>
            <w:r>
              <w:rPr>
                <w:rFonts w:eastAsia="Times New Roman"/>
                <w:sz w:val="20"/>
                <w:szCs w:val="20"/>
              </w:rPr>
              <w:t> </w:t>
            </w:r>
          </w:p>
        </w:tc>
      </w:tr>
      <w:tr w:rsidR="00000000" w14:paraId="4CC64033" w14:textId="77777777">
        <w:trPr>
          <w:tblCellSpacing w:w="0" w:type="dxa"/>
        </w:trPr>
        <w:tc>
          <w:tcPr>
            <w:tcW w:w="0" w:type="auto"/>
            <w:shd w:val="clear" w:color="auto" w:fill="FFFFFF"/>
            <w:vAlign w:val="bottom"/>
            <w:hideMark/>
          </w:tcPr>
          <w:p w14:paraId="0D59F2F4" w14:textId="77777777" w:rsidR="00000000" w:rsidRDefault="0053651E">
            <w:pPr>
              <w:pStyle w:val="a3"/>
              <w:spacing w:before="0" w:beforeAutospacing="0" w:after="0" w:afterAutospacing="0"/>
              <w:rPr>
                <w:sz w:val="20"/>
                <w:szCs w:val="20"/>
              </w:rPr>
            </w:pPr>
            <w:r>
              <w:rPr>
                <w:sz w:val="20"/>
                <w:szCs w:val="20"/>
              </w:rPr>
              <w:t>Number of encumbered VIEs</w:t>
            </w:r>
          </w:p>
        </w:tc>
        <w:tc>
          <w:tcPr>
            <w:tcW w:w="50" w:type="pct"/>
            <w:shd w:val="clear" w:color="auto" w:fill="FFFFFF"/>
            <w:vAlign w:val="bottom"/>
            <w:hideMark/>
          </w:tcPr>
          <w:p w14:paraId="4ECA1FA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2D3F88"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51EB1388"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42591B0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6FA8F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9B23DD6"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35FB0B71"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7AF2B993" w14:textId="77777777" w:rsidR="00000000" w:rsidRDefault="0053651E">
            <w:pPr>
              <w:rPr>
                <w:rFonts w:eastAsia="Times New Roman"/>
                <w:sz w:val="20"/>
                <w:szCs w:val="20"/>
              </w:rPr>
            </w:pPr>
            <w:r>
              <w:rPr>
                <w:rFonts w:eastAsia="Times New Roman"/>
                <w:sz w:val="20"/>
                <w:szCs w:val="20"/>
              </w:rPr>
              <w:t> </w:t>
            </w:r>
          </w:p>
        </w:tc>
      </w:tr>
      <w:tr w:rsidR="00000000" w14:paraId="72E9A3D6" w14:textId="77777777">
        <w:trPr>
          <w:tblCellSpacing w:w="0" w:type="dxa"/>
        </w:trPr>
        <w:tc>
          <w:tcPr>
            <w:tcW w:w="0" w:type="auto"/>
            <w:shd w:val="clear" w:color="auto" w:fill="CCEEFF"/>
            <w:vAlign w:val="bottom"/>
            <w:hideMark/>
          </w:tcPr>
          <w:p w14:paraId="6C99D1D8" w14:textId="77777777" w:rsidR="00000000" w:rsidRDefault="0053651E">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14:paraId="64144C3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9BBF666" w14:textId="77777777" w:rsidR="00000000" w:rsidRDefault="0053651E">
            <w:pP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3AE897E6" w14:textId="77777777" w:rsidR="00000000" w:rsidRDefault="0053651E">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14:paraId="08181B5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FDC8DD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B3AAA1A" w14:textId="77777777" w:rsidR="00000000" w:rsidRDefault="0053651E">
            <w:pP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449C9358" w14:textId="77777777" w:rsidR="00000000" w:rsidRDefault="0053651E">
            <w:pPr>
              <w:jc w:val="right"/>
              <w:rPr>
                <w:rFonts w:eastAsia="Times New Roman"/>
                <w:sz w:val="20"/>
                <w:szCs w:val="20"/>
              </w:rPr>
            </w:pPr>
            <w:r>
              <w:rPr>
                <w:rFonts w:eastAsia="Times New Roman"/>
                <w:sz w:val="20"/>
                <w:szCs w:val="20"/>
              </w:rPr>
              <w:t>24</w:t>
            </w:r>
          </w:p>
        </w:tc>
        <w:tc>
          <w:tcPr>
            <w:tcW w:w="50" w:type="pct"/>
            <w:tcBorders>
              <w:bottom w:val="nil"/>
            </w:tcBorders>
            <w:shd w:val="clear" w:color="auto" w:fill="CCEEFF"/>
            <w:vAlign w:val="bottom"/>
            <w:hideMark/>
          </w:tcPr>
          <w:p w14:paraId="45CD6006" w14:textId="77777777" w:rsidR="00000000" w:rsidRDefault="0053651E">
            <w:pPr>
              <w:rPr>
                <w:rFonts w:eastAsia="Times New Roman"/>
                <w:sz w:val="20"/>
                <w:szCs w:val="20"/>
              </w:rPr>
            </w:pPr>
            <w:r>
              <w:rPr>
                <w:rFonts w:eastAsia="Times New Roman"/>
                <w:sz w:val="20"/>
                <w:szCs w:val="20"/>
              </w:rPr>
              <w:t> </w:t>
            </w:r>
          </w:p>
        </w:tc>
      </w:tr>
      <w:tr w:rsidR="00000000" w14:paraId="3EED2CDF" w14:textId="77777777">
        <w:trPr>
          <w:tblCellSpacing w:w="0" w:type="dxa"/>
        </w:trPr>
        <w:tc>
          <w:tcPr>
            <w:tcW w:w="0" w:type="auto"/>
            <w:shd w:val="clear" w:color="auto" w:fill="FFFFFF"/>
            <w:vAlign w:val="bottom"/>
            <w:hideMark/>
          </w:tcPr>
          <w:p w14:paraId="083F4AE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8FA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71DE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3477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A6A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3D7F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818E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50276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04D85C" w14:textId="77777777" w:rsidR="00000000" w:rsidRDefault="0053651E">
            <w:pPr>
              <w:rPr>
                <w:rFonts w:eastAsia="Times New Roman"/>
                <w:sz w:val="20"/>
                <w:szCs w:val="20"/>
              </w:rPr>
            </w:pPr>
            <w:r>
              <w:rPr>
                <w:rFonts w:eastAsia="Times New Roman"/>
                <w:sz w:val="20"/>
                <w:szCs w:val="20"/>
              </w:rPr>
              <w:t> </w:t>
            </w:r>
          </w:p>
        </w:tc>
      </w:tr>
      <w:tr w:rsidR="00000000" w14:paraId="15665FB7" w14:textId="77777777">
        <w:trPr>
          <w:tblCellSpacing w:w="0" w:type="dxa"/>
        </w:trPr>
        <w:tc>
          <w:tcPr>
            <w:tcW w:w="0" w:type="auto"/>
            <w:shd w:val="clear" w:color="auto" w:fill="CCEEFF"/>
            <w:vAlign w:val="bottom"/>
            <w:hideMark/>
          </w:tcPr>
          <w:p w14:paraId="2BDF2CC6" w14:textId="77777777" w:rsidR="00000000" w:rsidRDefault="0053651E">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14:paraId="2BC55F8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EE8F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DD98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E7F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90B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A54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ABD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B3EBB5" w14:textId="77777777" w:rsidR="00000000" w:rsidRDefault="0053651E">
            <w:pPr>
              <w:rPr>
                <w:rFonts w:eastAsia="Times New Roman"/>
                <w:sz w:val="20"/>
                <w:szCs w:val="20"/>
              </w:rPr>
            </w:pPr>
            <w:r>
              <w:rPr>
                <w:rFonts w:eastAsia="Times New Roman"/>
                <w:sz w:val="20"/>
                <w:szCs w:val="20"/>
              </w:rPr>
              <w:t> </w:t>
            </w:r>
          </w:p>
        </w:tc>
      </w:tr>
      <w:tr w:rsidR="00000000" w14:paraId="1803F0D7" w14:textId="77777777">
        <w:trPr>
          <w:tblCellSpacing w:w="0" w:type="dxa"/>
        </w:trPr>
        <w:tc>
          <w:tcPr>
            <w:tcW w:w="0" w:type="auto"/>
            <w:shd w:val="clear" w:color="auto" w:fill="FFFFFF"/>
            <w:vAlign w:val="bottom"/>
            <w:hideMark/>
          </w:tcPr>
          <w:p w14:paraId="1372A49C" w14:textId="77777777" w:rsidR="00000000" w:rsidRDefault="0053651E">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30219F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FD79D6"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5B37B6D8" w14:textId="77777777" w:rsidR="00000000" w:rsidRDefault="0053651E">
            <w:pPr>
              <w:jc w:val="right"/>
              <w:rPr>
                <w:rFonts w:eastAsia="Times New Roman"/>
                <w:sz w:val="20"/>
                <w:szCs w:val="20"/>
              </w:rPr>
            </w:pPr>
            <w:r>
              <w:rPr>
                <w:rFonts w:eastAsia="Times New Roman"/>
                <w:sz w:val="20"/>
                <w:szCs w:val="20"/>
              </w:rPr>
              <w:t>228.9</w:t>
            </w:r>
          </w:p>
        </w:tc>
        <w:tc>
          <w:tcPr>
            <w:tcW w:w="50" w:type="pct"/>
            <w:shd w:val="clear" w:color="auto" w:fill="FFFFFF"/>
            <w:vAlign w:val="bottom"/>
            <w:hideMark/>
          </w:tcPr>
          <w:p w14:paraId="036E6D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787D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7D8592"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7D7A02CF" w14:textId="77777777" w:rsidR="00000000" w:rsidRDefault="0053651E">
            <w:pPr>
              <w:jc w:val="right"/>
              <w:rPr>
                <w:rFonts w:eastAsia="Times New Roman"/>
                <w:sz w:val="20"/>
                <w:szCs w:val="20"/>
              </w:rPr>
            </w:pPr>
            <w:r>
              <w:rPr>
                <w:rFonts w:eastAsia="Times New Roman"/>
                <w:sz w:val="20"/>
                <w:szCs w:val="20"/>
              </w:rPr>
              <w:t>229.2</w:t>
            </w:r>
          </w:p>
        </w:tc>
        <w:tc>
          <w:tcPr>
            <w:tcW w:w="50" w:type="pct"/>
            <w:shd w:val="clear" w:color="auto" w:fill="FFFFFF"/>
            <w:vAlign w:val="bottom"/>
            <w:hideMark/>
          </w:tcPr>
          <w:p w14:paraId="4CCAB80F" w14:textId="77777777" w:rsidR="00000000" w:rsidRDefault="0053651E">
            <w:pPr>
              <w:rPr>
                <w:rFonts w:eastAsia="Times New Roman"/>
                <w:sz w:val="20"/>
                <w:szCs w:val="20"/>
              </w:rPr>
            </w:pPr>
            <w:r>
              <w:rPr>
                <w:rFonts w:eastAsia="Times New Roman"/>
                <w:sz w:val="20"/>
                <w:szCs w:val="20"/>
              </w:rPr>
              <w:t> </w:t>
            </w:r>
          </w:p>
        </w:tc>
      </w:tr>
      <w:tr w:rsidR="00000000" w14:paraId="292FEA76" w14:textId="77777777">
        <w:trPr>
          <w:tblCellSpacing w:w="0" w:type="dxa"/>
        </w:trPr>
        <w:tc>
          <w:tcPr>
            <w:tcW w:w="0" w:type="auto"/>
            <w:shd w:val="clear" w:color="auto" w:fill="CCEEFF"/>
            <w:vAlign w:val="bottom"/>
            <w:hideMark/>
          </w:tcPr>
          <w:p w14:paraId="6A3B3654" w14:textId="77777777" w:rsidR="00000000" w:rsidRDefault="0053651E">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7CA026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F6E0D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681C060C" w14:textId="77777777" w:rsidR="00000000" w:rsidRDefault="0053651E">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1620DC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C40B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F3615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FEA3FEA" w14:textId="77777777" w:rsidR="00000000" w:rsidRDefault="0053651E">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14:paraId="48A2D0C5" w14:textId="77777777" w:rsidR="00000000" w:rsidRDefault="0053651E">
            <w:pPr>
              <w:rPr>
                <w:rFonts w:eastAsia="Times New Roman"/>
                <w:sz w:val="20"/>
                <w:szCs w:val="20"/>
              </w:rPr>
            </w:pPr>
            <w:r>
              <w:rPr>
                <w:rFonts w:eastAsia="Times New Roman"/>
                <w:sz w:val="20"/>
                <w:szCs w:val="20"/>
              </w:rPr>
              <w:t> </w:t>
            </w:r>
          </w:p>
        </w:tc>
      </w:tr>
      <w:tr w:rsidR="00000000" w14:paraId="6C7B44BC" w14:textId="77777777">
        <w:trPr>
          <w:tblCellSpacing w:w="0" w:type="dxa"/>
        </w:trPr>
        <w:tc>
          <w:tcPr>
            <w:tcW w:w="0" w:type="auto"/>
            <w:shd w:val="clear" w:color="auto" w:fill="FFFFFF"/>
            <w:vAlign w:val="bottom"/>
            <w:hideMark/>
          </w:tcPr>
          <w:p w14:paraId="2E4282FD" w14:textId="77777777" w:rsidR="00000000" w:rsidRDefault="0053651E">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48A800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317B3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5521440" w14:textId="77777777" w:rsidR="00000000" w:rsidRDefault="0053651E">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14:paraId="28DFB8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B73F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FBBDE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5B12660" w14:textId="77777777" w:rsidR="00000000" w:rsidRDefault="0053651E">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14:paraId="081A1A9A" w14:textId="77777777" w:rsidR="00000000" w:rsidRDefault="0053651E">
            <w:pPr>
              <w:rPr>
                <w:rFonts w:eastAsia="Times New Roman"/>
                <w:sz w:val="20"/>
                <w:szCs w:val="20"/>
              </w:rPr>
            </w:pPr>
            <w:r>
              <w:rPr>
                <w:rFonts w:eastAsia="Times New Roman"/>
                <w:sz w:val="20"/>
                <w:szCs w:val="20"/>
              </w:rPr>
              <w:t> </w:t>
            </w:r>
          </w:p>
        </w:tc>
      </w:tr>
      <w:tr w:rsidR="00000000" w14:paraId="59C2120F" w14:textId="77777777">
        <w:trPr>
          <w:tblCellSpacing w:w="0" w:type="dxa"/>
        </w:trPr>
        <w:tc>
          <w:tcPr>
            <w:tcW w:w="0" w:type="auto"/>
            <w:shd w:val="clear" w:color="auto" w:fill="CCEEFF"/>
            <w:vAlign w:val="bottom"/>
            <w:hideMark/>
          </w:tcPr>
          <w:p w14:paraId="5008C261" w14:textId="77777777" w:rsidR="00000000" w:rsidRDefault="0053651E">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7B15D43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F7BE934"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1FAE167B" w14:textId="77777777" w:rsidR="00000000" w:rsidRDefault="0053651E">
            <w:pPr>
              <w:jc w:val="right"/>
              <w:rPr>
                <w:rFonts w:eastAsia="Times New Roman"/>
                <w:sz w:val="20"/>
                <w:szCs w:val="20"/>
              </w:rPr>
            </w:pPr>
            <w:r>
              <w:rPr>
                <w:rFonts w:eastAsia="Times New Roman"/>
                <w:sz w:val="20"/>
                <w:szCs w:val="20"/>
              </w:rPr>
              <w:t>3.6</w:t>
            </w:r>
          </w:p>
        </w:tc>
        <w:tc>
          <w:tcPr>
            <w:tcW w:w="50" w:type="pct"/>
            <w:shd w:val="clear" w:color="auto" w:fill="CCEEFF"/>
            <w:tcMar>
              <w:top w:w="0" w:type="dxa"/>
              <w:left w:w="0" w:type="dxa"/>
              <w:bottom w:w="15" w:type="dxa"/>
              <w:right w:w="0" w:type="dxa"/>
            </w:tcMar>
            <w:vAlign w:val="bottom"/>
            <w:hideMark/>
          </w:tcPr>
          <w:p w14:paraId="74A135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77D927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76979A2"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046C2CD9" w14:textId="77777777" w:rsidR="00000000" w:rsidRDefault="0053651E">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14:paraId="45013103" w14:textId="77777777" w:rsidR="00000000" w:rsidRDefault="0053651E">
            <w:pPr>
              <w:rPr>
                <w:rFonts w:eastAsia="Times New Roman"/>
                <w:sz w:val="20"/>
                <w:szCs w:val="20"/>
              </w:rPr>
            </w:pPr>
            <w:r>
              <w:rPr>
                <w:rFonts w:eastAsia="Times New Roman"/>
                <w:sz w:val="20"/>
                <w:szCs w:val="20"/>
              </w:rPr>
              <w:t> </w:t>
            </w:r>
          </w:p>
        </w:tc>
      </w:tr>
      <w:tr w:rsidR="00000000" w14:paraId="5F1D55E2" w14:textId="77777777">
        <w:trPr>
          <w:tblCellSpacing w:w="0" w:type="dxa"/>
        </w:trPr>
        <w:tc>
          <w:tcPr>
            <w:tcW w:w="0" w:type="auto"/>
            <w:shd w:val="clear" w:color="auto" w:fill="FFFFFF"/>
            <w:vAlign w:val="bottom"/>
            <w:hideMark/>
          </w:tcPr>
          <w:p w14:paraId="053BBEB7" w14:textId="77777777" w:rsidR="00000000" w:rsidRDefault="0053651E">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6010303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16C7F5"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4D01E642" w14:textId="77777777" w:rsidR="00000000" w:rsidRDefault="0053651E">
            <w:pPr>
              <w:jc w:val="right"/>
              <w:rPr>
                <w:rFonts w:eastAsia="Times New Roman"/>
                <w:sz w:val="20"/>
                <w:szCs w:val="20"/>
              </w:rPr>
            </w:pPr>
            <w:r>
              <w:rPr>
                <w:rFonts w:eastAsia="Times New Roman"/>
                <w:sz w:val="20"/>
                <w:szCs w:val="20"/>
              </w:rPr>
              <w:t>245.5</w:t>
            </w:r>
          </w:p>
        </w:tc>
        <w:tc>
          <w:tcPr>
            <w:tcW w:w="50" w:type="pct"/>
            <w:shd w:val="clear" w:color="auto" w:fill="FFFFFF"/>
            <w:tcMar>
              <w:top w:w="0" w:type="dxa"/>
              <w:left w:w="0" w:type="dxa"/>
              <w:bottom w:w="45" w:type="dxa"/>
              <w:right w:w="0" w:type="dxa"/>
            </w:tcMar>
            <w:vAlign w:val="bottom"/>
            <w:hideMark/>
          </w:tcPr>
          <w:p w14:paraId="5CEB4D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FC204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6ED300"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7EA1A254" w14:textId="77777777" w:rsidR="00000000" w:rsidRDefault="0053651E">
            <w:pPr>
              <w:jc w:val="right"/>
              <w:rPr>
                <w:rFonts w:eastAsia="Times New Roman"/>
                <w:sz w:val="20"/>
                <w:szCs w:val="20"/>
              </w:rPr>
            </w:pPr>
            <w:r>
              <w:rPr>
                <w:rFonts w:eastAsia="Times New Roman"/>
                <w:sz w:val="20"/>
                <w:szCs w:val="20"/>
              </w:rPr>
              <w:t>239.0</w:t>
            </w:r>
          </w:p>
        </w:tc>
        <w:tc>
          <w:tcPr>
            <w:tcW w:w="50" w:type="pct"/>
            <w:shd w:val="clear" w:color="auto" w:fill="FFFFFF"/>
            <w:tcMar>
              <w:top w:w="0" w:type="dxa"/>
              <w:left w:w="0" w:type="dxa"/>
              <w:bottom w:w="45" w:type="dxa"/>
              <w:right w:w="0" w:type="dxa"/>
            </w:tcMar>
            <w:vAlign w:val="bottom"/>
            <w:hideMark/>
          </w:tcPr>
          <w:p w14:paraId="19DD6FF9" w14:textId="77777777" w:rsidR="00000000" w:rsidRDefault="0053651E">
            <w:pPr>
              <w:rPr>
                <w:rFonts w:eastAsia="Times New Roman"/>
                <w:sz w:val="20"/>
                <w:szCs w:val="20"/>
              </w:rPr>
            </w:pPr>
            <w:r>
              <w:rPr>
                <w:rFonts w:eastAsia="Times New Roman"/>
                <w:sz w:val="20"/>
                <w:szCs w:val="20"/>
              </w:rPr>
              <w:t> </w:t>
            </w:r>
          </w:p>
        </w:tc>
      </w:tr>
      <w:tr w:rsidR="00000000" w14:paraId="0B49F1C8" w14:textId="77777777">
        <w:trPr>
          <w:tblCellSpacing w:w="0" w:type="dxa"/>
        </w:trPr>
        <w:tc>
          <w:tcPr>
            <w:tcW w:w="0" w:type="auto"/>
            <w:shd w:val="clear" w:color="auto" w:fill="CCEEFF"/>
            <w:vAlign w:val="bottom"/>
            <w:hideMark/>
          </w:tcPr>
          <w:p w14:paraId="0374A2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3770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B43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6A9A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74B9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B336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09B1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A87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F80B8" w14:textId="77777777" w:rsidR="00000000" w:rsidRDefault="0053651E">
            <w:pPr>
              <w:rPr>
                <w:rFonts w:eastAsia="Times New Roman"/>
                <w:sz w:val="20"/>
                <w:szCs w:val="20"/>
              </w:rPr>
            </w:pPr>
            <w:r>
              <w:rPr>
                <w:rFonts w:eastAsia="Times New Roman"/>
                <w:sz w:val="20"/>
                <w:szCs w:val="20"/>
              </w:rPr>
              <w:t> </w:t>
            </w:r>
          </w:p>
        </w:tc>
      </w:tr>
      <w:tr w:rsidR="00000000" w14:paraId="6AD7CCD4" w14:textId="77777777">
        <w:trPr>
          <w:tblCellSpacing w:w="0" w:type="dxa"/>
        </w:trPr>
        <w:tc>
          <w:tcPr>
            <w:tcW w:w="0" w:type="auto"/>
            <w:shd w:val="clear" w:color="auto" w:fill="FFFFFF"/>
            <w:vAlign w:val="bottom"/>
            <w:hideMark/>
          </w:tcPr>
          <w:p w14:paraId="2ECD3E74" w14:textId="77777777" w:rsidR="00000000" w:rsidRDefault="0053651E">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14:paraId="12E1B5D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09E0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0227A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85CB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A3FB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FAF1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CA1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9D5B1" w14:textId="77777777" w:rsidR="00000000" w:rsidRDefault="0053651E">
            <w:pPr>
              <w:rPr>
                <w:rFonts w:eastAsia="Times New Roman"/>
                <w:sz w:val="20"/>
                <w:szCs w:val="20"/>
              </w:rPr>
            </w:pPr>
            <w:r>
              <w:rPr>
                <w:rFonts w:eastAsia="Times New Roman"/>
                <w:sz w:val="20"/>
                <w:szCs w:val="20"/>
              </w:rPr>
              <w:t> </w:t>
            </w:r>
          </w:p>
        </w:tc>
      </w:tr>
      <w:tr w:rsidR="00000000" w14:paraId="45A2304B" w14:textId="77777777">
        <w:trPr>
          <w:tblCellSpacing w:w="0" w:type="dxa"/>
        </w:trPr>
        <w:tc>
          <w:tcPr>
            <w:tcW w:w="0" w:type="auto"/>
            <w:shd w:val="clear" w:color="auto" w:fill="CCEEFF"/>
            <w:vAlign w:val="bottom"/>
            <w:hideMark/>
          </w:tcPr>
          <w:p w14:paraId="73D9BF93" w14:textId="77777777" w:rsidR="00000000" w:rsidRDefault="0053651E">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14:paraId="03974D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7AC0C0"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26416A4E" w14:textId="77777777" w:rsidR="00000000" w:rsidRDefault="0053651E">
            <w:pPr>
              <w:jc w:val="right"/>
              <w:rPr>
                <w:rFonts w:eastAsia="Times New Roman"/>
                <w:sz w:val="20"/>
                <w:szCs w:val="20"/>
              </w:rPr>
            </w:pPr>
            <w:r>
              <w:rPr>
                <w:rFonts w:eastAsia="Times New Roman"/>
                <w:sz w:val="20"/>
                <w:szCs w:val="20"/>
              </w:rPr>
              <w:t>104.5</w:t>
            </w:r>
          </w:p>
        </w:tc>
        <w:tc>
          <w:tcPr>
            <w:tcW w:w="50" w:type="pct"/>
            <w:shd w:val="clear" w:color="auto" w:fill="CCEEFF"/>
            <w:vAlign w:val="bottom"/>
            <w:hideMark/>
          </w:tcPr>
          <w:p w14:paraId="369803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B93B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37DE8B"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436167BE" w14:textId="77777777" w:rsidR="00000000" w:rsidRDefault="0053651E">
            <w:pPr>
              <w:jc w:val="right"/>
              <w:rPr>
                <w:rFonts w:eastAsia="Times New Roman"/>
                <w:sz w:val="20"/>
                <w:szCs w:val="20"/>
              </w:rPr>
            </w:pPr>
            <w:r>
              <w:rPr>
                <w:rFonts w:eastAsia="Times New Roman"/>
                <w:sz w:val="20"/>
                <w:szCs w:val="20"/>
              </w:rPr>
              <w:t>83.8</w:t>
            </w:r>
          </w:p>
        </w:tc>
        <w:tc>
          <w:tcPr>
            <w:tcW w:w="50" w:type="pct"/>
            <w:shd w:val="clear" w:color="auto" w:fill="CCEEFF"/>
            <w:vAlign w:val="bottom"/>
            <w:hideMark/>
          </w:tcPr>
          <w:p w14:paraId="0AD5C2E3" w14:textId="77777777" w:rsidR="00000000" w:rsidRDefault="0053651E">
            <w:pPr>
              <w:rPr>
                <w:rFonts w:eastAsia="Times New Roman"/>
                <w:sz w:val="20"/>
                <w:szCs w:val="20"/>
              </w:rPr>
            </w:pPr>
            <w:r>
              <w:rPr>
                <w:rFonts w:eastAsia="Times New Roman"/>
                <w:sz w:val="20"/>
                <w:szCs w:val="20"/>
              </w:rPr>
              <w:t> </w:t>
            </w:r>
          </w:p>
        </w:tc>
      </w:tr>
      <w:tr w:rsidR="00000000" w14:paraId="42F067D7" w14:textId="77777777">
        <w:trPr>
          <w:tblCellSpacing w:w="0" w:type="dxa"/>
        </w:trPr>
        <w:tc>
          <w:tcPr>
            <w:tcW w:w="0" w:type="auto"/>
            <w:shd w:val="clear" w:color="auto" w:fill="FFFFFF"/>
            <w:vAlign w:val="bottom"/>
            <w:hideMark/>
          </w:tcPr>
          <w:p w14:paraId="7A237F11" w14:textId="77777777" w:rsidR="00000000" w:rsidRDefault="0053651E">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3ECE968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67098ED"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78A76934" w14:textId="77777777" w:rsidR="00000000" w:rsidRDefault="0053651E">
            <w:pPr>
              <w:jc w:val="right"/>
              <w:rPr>
                <w:rFonts w:eastAsia="Times New Roman"/>
                <w:sz w:val="20"/>
                <w:szCs w:val="20"/>
              </w:rPr>
            </w:pPr>
            <w:r>
              <w:rPr>
                <w:rFonts w:eastAsia="Times New Roman"/>
                <w:sz w:val="20"/>
                <w:szCs w:val="20"/>
              </w:rPr>
              <w:t>48.9</w:t>
            </w:r>
          </w:p>
        </w:tc>
        <w:tc>
          <w:tcPr>
            <w:tcW w:w="50" w:type="pct"/>
            <w:shd w:val="clear" w:color="auto" w:fill="FFFFFF"/>
            <w:tcMar>
              <w:top w:w="0" w:type="dxa"/>
              <w:left w:w="0" w:type="dxa"/>
              <w:bottom w:w="15" w:type="dxa"/>
              <w:right w:w="0" w:type="dxa"/>
            </w:tcMar>
            <w:vAlign w:val="bottom"/>
            <w:hideMark/>
          </w:tcPr>
          <w:p w14:paraId="497BD7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EF685A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272801B"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3DA9723C" w14:textId="77777777" w:rsidR="00000000" w:rsidRDefault="0053651E">
            <w:pPr>
              <w:jc w:val="right"/>
              <w:rPr>
                <w:rFonts w:eastAsia="Times New Roman"/>
                <w:sz w:val="20"/>
                <w:szCs w:val="20"/>
              </w:rPr>
            </w:pPr>
            <w:r>
              <w:rPr>
                <w:rFonts w:eastAsia="Times New Roman"/>
                <w:sz w:val="20"/>
                <w:szCs w:val="20"/>
              </w:rPr>
              <w:t>59.4</w:t>
            </w:r>
          </w:p>
        </w:tc>
        <w:tc>
          <w:tcPr>
            <w:tcW w:w="50" w:type="pct"/>
            <w:shd w:val="clear" w:color="auto" w:fill="FFFFFF"/>
            <w:tcMar>
              <w:top w:w="0" w:type="dxa"/>
              <w:left w:w="0" w:type="dxa"/>
              <w:bottom w:w="15" w:type="dxa"/>
              <w:right w:w="0" w:type="dxa"/>
            </w:tcMar>
            <w:vAlign w:val="bottom"/>
            <w:hideMark/>
          </w:tcPr>
          <w:p w14:paraId="28904D40" w14:textId="77777777" w:rsidR="00000000" w:rsidRDefault="0053651E">
            <w:pPr>
              <w:rPr>
                <w:rFonts w:eastAsia="Times New Roman"/>
                <w:sz w:val="20"/>
                <w:szCs w:val="20"/>
              </w:rPr>
            </w:pPr>
            <w:r>
              <w:rPr>
                <w:rFonts w:eastAsia="Times New Roman"/>
                <w:sz w:val="20"/>
                <w:szCs w:val="20"/>
              </w:rPr>
              <w:t> </w:t>
            </w:r>
          </w:p>
        </w:tc>
      </w:tr>
      <w:tr w:rsidR="00000000" w14:paraId="5C9914F5" w14:textId="77777777">
        <w:trPr>
          <w:tblCellSpacing w:w="0" w:type="dxa"/>
        </w:trPr>
        <w:tc>
          <w:tcPr>
            <w:tcW w:w="0" w:type="auto"/>
            <w:shd w:val="clear" w:color="auto" w:fill="CCEEFF"/>
            <w:vAlign w:val="bottom"/>
            <w:hideMark/>
          </w:tcPr>
          <w:p w14:paraId="1BCC89E9" w14:textId="77777777" w:rsidR="00000000" w:rsidRDefault="0053651E">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14:paraId="10D36B3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9C4DFF8"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30D0EF68" w14:textId="77777777" w:rsidR="00000000" w:rsidRDefault="0053651E">
            <w:pPr>
              <w:jc w:val="right"/>
              <w:rPr>
                <w:rFonts w:eastAsia="Times New Roman"/>
                <w:sz w:val="20"/>
                <w:szCs w:val="20"/>
              </w:rPr>
            </w:pPr>
            <w:r>
              <w:rPr>
                <w:rFonts w:eastAsia="Times New Roman"/>
                <w:sz w:val="20"/>
                <w:szCs w:val="20"/>
              </w:rPr>
              <w:t>153.4</w:t>
            </w:r>
          </w:p>
        </w:tc>
        <w:tc>
          <w:tcPr>
            <w:tcW w:w="50" w:type="pct"/>
            <w:shd w:val="clear" w:color="auto" w:fill="CCEEFF"/>
            <w:tcMar>
              <w:top w:w="0" w:type="dxa"/>
              <w:left w:w="0" w:type="dxa"/>
              <w:bottom w:w="45" w:type="dxa"/>
              <w:right w:w="0" w:type="dxa"/>
            </w:tcMar>
            <w:vAlign w:val="bottom"/>
            <w:hideMark/>
          </w:tcPr>
          <w:p w14:paraId="5A7D39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048FD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70FB699"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30DCF6F5" w14:textId="77777777" w:rsidR="00000000" w:rsidRDefault="0053651E">
            <w:pPr>
              <w:jc w:val="right"/>
              <w:rPr>
                <w:rFonts w:eastAsia="Times New Roman"/>
                <w:sz w:val="20"/>
                <w:szCs w:val="20"/>
              </w:rPr>
            </w:pPr>
            <w:r>
              <w:rPr>
                <w:rFonts w:eastAsia="Times New Roman"/>
                <w:sz w:val="20"/>
                <w:szCs w:val="20"/>
              </w:rPr>
              <w:t>143.2</w:t>
            </w:r>
          </w:p>
        </w:tc>
        <w:tc>
          <w:tcPr>
            <w:tcW w:w="50" w:type="pct"/>
            <w:shd w:val="clear" w:color="auto" w:fill="CCEEFF"/>
            <w:tcMar>
              <w:top w:w="0" w:type="dxa"/>
              <w:left w:w="0" w:type="dxa"/>
              <w:bottom w:w="45" w:type="dxa"/>
              <w:right w:w="0" w:type="dxa"/>
            </w:tcMar>
            <w:vAlign w:val="bottom"/>
            <w:hideMark/>
          </w:tcPr>
          <w:p w14:paraId="27FAD3B8" w14:textId="77777777" w:rsidR="00000000" w:rsidRDefault="0053651E">
            <w:pPr>
              <w:rPr>
                <w:rFonts w:eastAsia="Times New Roman"/>
                <w:sz w:val="20"/>
                <w:szCs w:val="20"/>
              </w:rPr>
            </w:pPr>
            <w:r>
              <w:rPr>
                <w:rFonts w:eastAsia="Times New Roman"/>
                <w:sz w:val="20"/>
                <w:szCs w:val="20"/>
              </w:rPr>
              <w:t> </w:t>
            </w:r>
          </w:p>
        </w:tc>
      </w:tr>
    </w:tbl>
    <w:p w14:paraId="77C5D00B" w14:textId="77777777" w:rsidR="00000000" w:rsidRDefault="0053651E">
      <w:pPr>
        <w:pStyle w:val="a3"/>
        <w:spacing w:before="0" w:beforeAutospacing="0" w:after="0" w:afterAutospacing="0"/>
        <w:ind w:firstLine="720"/>
        <w:jc w:val="both"/>
        <w:rPr>
          <w:sz w:val="20"/>
          <w:szCs w:val="20"/>
        </w:rPr>
      </w:pPr>
      <w:r>
        <w:rPr>
          <w:sz w:val="20"/>
          <w:szCs w:val="20"/>
        </w:rPr>
        <w:t> </w:t>
      </w:r>
    </w:p>
    <w:p w14:paraId="7ACB3C6A" w14:textId="77777777" w:rsidR="00000000" w:rsidRDefault="0053651E">
      <w:pPr>
        <w:jc w:val="center"/>
        <w:divId w:val="237132058"/>
        <w:rPr>
          <w:rFonts w:eastAsia="Times New Roman"/>
          <w:sz w:val="20"/>
          <w:szCs w:val="20"/>
        </w:rPr>
      </w:pPr>
      <w:r>
        <w:rPr>
          <w:rStyle w:val="a6"/>
          <w:rFonts w:eastAsia="Times New Roman"/>
          <w:i w:val="0"/>
          <w:iCs w:val="0"/>
          <w:sz w:val="20"/>
          <w:szCs w:val="20"/>
        </w:rPr>
        <w:t>68</w:t>
      </w:r>
      <w:r>
        <w:rPr>
          <w:rFonts w:eastAsia="Times New Roman"/>
          <w:sz w:val="20"/>
          <w:szCs w:val="20"/>
        </w:rPr>
        <w:t xml:space="preserve"> </w:t>
      </w:r>
    </w:p>
    <w:p w14:paraId="61D9A99D" w14:textId="77777777" w:rsidR="00000000" w:rsidRDefault="0053651E">
      <w:pPr>
        <w:divId w:val="237132058"/>
        <w:rPr>
          <w:rFonts w:eastAsia="Times New Roman"/>
          <w:sz w:val="20"/>
          <w:szCs w:val="20"/>
        </w:rPr>
      </w:pPr>
      <w:r>
        <w:rPr>
          <w:rFonts w:eastAsia="Times New Roman"/>
          <w:sz w:val="20"/>
          <w:szCs w:val="20"/>
        </w:rPr>
        <w:pict w14:anchorId="3EA7962E">
          <v:rect id="_x0000_i1099" style="width:415.3pt;height:1.5pt" o:hralign="center" o:hrstd="t" o:hrnoshade="t" o:hr="t" fillcolor="black" stroked="f"/>
        </w:pict>
      </w:r>
    </w:p>
    <w:p w14:paraId="764CD6A8" w14:textId="77777777" w:rsidR="00000000" w:rsidRDefault="0053651E">
      <w:pPr>
        <w:divId w:val="23713205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7CD3D713" w14:textId="77777777" w:rsidR="00000000" w:rsidRDefault="0053651E">
      <w:pPr>
        <w:pStyle w:val="a3"/>
        <w:spacing w:before="0" w:beforeAutospacing="0" w:after="0" w:afterAutospacing="0"/>
        <w:rPr>
          <w:sz w:val="20"/>
          <w:szCs w:val="20"/>
        </w:rPr>
      </w:pPr>
      <w:r>
        <w:rPr>
          <w:sz w:val="20"/>
          <w:szCs w:val="20"/>
        </w:rPr>
        <w:t> </w:t>
      </w:r>
    </w:p>
    <w:p w14:paraId="65EEF168"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AB00637" w14:textId="77777777" w:rsidR="00000000" w:rsidRDefault="0053651E">
      <w:pPr>
        <w:pStyle w:val="a3"/>
        <w:spacing w:before="0" w:beforeAutospacing="0" w:after="0" w:afterAutospacing="0"/>
        <w:jc w:val="center"/>
        <w:rPr>
          <w:sz w:val="20"/>
          <w:szCs w:val="20"/>
        </w:rPr>
      </w:pPr>
      <w:r>
        <w:rPr>
          <w:sz w:val="20"/>
          <w:szCs w:val="20"/>
        </w:rPr>
        <w:t> </w:t>
      </w:r>
    </w:p>
    <w:p w14:paraId="6DEB20E1"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70593AB7" w14:textId="77777777" w:rsidR="00000000" w:rsidRDefault="0053651E">
      <w:pPr>
        <w:pStyle w:val="a3"/>
        <w:spacing w:before="0" w:beforeAutospacing="0" w:after="0" w:afterAutospacing="0"/>
        <w:rPr>
          <w:sz w:val="20"/>
          <w:szCs w:val="20"/>
        </w:rPr>
      </w:pPr>
      <w:r>
        <w:rPr>
          <w:sz w:val="20"/>
          <w:szCs w:val="20"/>
        </w:rPr>
        <w:t> </w:t>
      </w:r>
    </w:p>
    <w:p w14:paraId="2A2E7CBC" w14:textId="77777777" w:rsidR="00000000" w:rsidRDefault="0053651E">
      <w:pPr>
        <w:divId w:val="1575969590"/>
        <w:rPr>
          <w:rFonts w:eastAsia="Times New Roman"/>
          <w:sz w:val="20"/>
          <w:szCs w:val="20"/>
        </w:rPr>
      </w:pPr>
      <w:r>
        <w:rPr>
          <w:rFonts w:eastAsia="Times New Roman"/>
          <w:sz w:val="20"/>
          <w:szCs w:val="20"/>
        </w:rPr>
        <w:t xml:space="preserve">  </w:t>
      </w:r>
    </w:p>
    <w:p w14:paraId="547414AF" w14:textId="77777777" w:rsidR="00000000" w:rsidRDefault="0053651E">
      <w:pPr>
        <w:pStyle w:val="a3"/>
        <w:spacing w:before="0" w:beforeAutospacing="0" w:after="0" w:afterAutospacing="0"/>
        <w:jc w:val="both"/>
        <w:rPr>
          <w:sz w:val="20"/>
          <w:szCs w:val="20"/>
        </w:rPr>
      </w:pPr>
      <w:r>
        <w:rPr>
          <w:rStyle w:val="a6"/>
          <w:i w:val="0"/>
          <w:iCs w:val="0"/>
          <w:sz w:val="20"/>
          <w:szCs w:val="20"/>
        </w:rPr>
        <w:t>10.</w:t>
      </w:r>
      <w:r>
        <w:rPr>
          <w:sz w:val="20"/>
          <w:szCs w:val="20"/>
        </w:rPr>
        <w:t>  </w:t>
      </w:r>
      <w:r>
        <w:rPr>
          <w:sz w:val="20"/>
          <w:szCs w:val="20"/>
          <w:u w:val="single"/>
        </w:rPr>
        <w:t>Leases</w:t>
      </w:r>
    </w:p>
    <w:p w14:paraId="044A55FE" w14:textId="77777777" w:rsidR="00000000" w:rsidRDefault="0053651E">
      <w:pPr>
        <w:pStyle w:val="a3"/>
        <w:spacing w:before="0" w:beforeAutospacing="0" w:after="0" w:afterAutospacing="0"/>
        <w:jc w:val="both"/>
        <w:rPr>
          <w:sz w:val="20"/>
          <w:szCs w:val="20"/>
        </w:rPr>
      </w:pPr>
      <w:r>
        <w:rPr>
          <w:sz w:val="20"/>
          <w:szCs w:val="20"/>
        </w:rPr>
        <w:t> </w:t>
      </w:r>
    </w:p>
    <w:p w14:paraId="32D1B1A3" w14:textId="77777777" w:rsidR="00000000" w:rsidRDefault="0053651E">
      <w:pPr>
        <w:pStyle w:val="a3"/>
        <w:spacing w:before="0" w:beforeAutospacing="0" w:after="0" w:afterAutospacing="0"/>
        <w:ind w:firstLine="360"/>
        <w:jc w:val="both"/>
        <w:rPr>
          <w:sz w:val="20"/>
          <w:szCs w:val="20"/>
        </w:rPr>
      </w:pPr>
      <w:r>
        <w:rPr>
          <w:sz w:val="20"/>
          <w:szCs w:val="20"/>
        </w:rPr>
        <w:t>The Company adopted Topic</w:t>
      </w:r>
      <w:r>
        <w:rPr>
          <w:sz w:val="20"/>
          <w:szCs w:val="20"/>
        </w:rPr>
        <w:t xml:space="preserve"> </w:t>
      </w:r>
      <w:r>
        <w:rPr>
          <w:rStyle w:val="a6"/>
          <w:i w:val="0"/>
          <w:iCs w:val="0"/>
          <w:sz w:val="20"/>
          <w:szCs w:val="20"/>
        </w:rPr>
        <w:t>842,</w:t>
      </w:r>
      <w:r>
        <w:rPr>
          <w:sz w:val="20"/>
          <w:szCs w:val="20"/>
        </w:rPr>
        <w:t xml:space="preserve"> on</w:t>
      </w:r>
      <w:r>
        <w:rPr>
          <w:sz w:val="20"/>
          <w:szCs w:val="20"/>
        </w:rPr>
        <w:t xml:space="preserve"> </w:t>
      </w:r>
      <w:r>
        <w:rPr>
          <w:rStyle w:val="a6"/>
          <w:i w:val="0"/>
          <w:iCs w:val="0"/>
          <w:sz w:val="20"/>
          <w:szCs w:val="20"/>
        </w:rPr>
        <w:t xml:space="preserve">January 1, 2019, </w:t>
      </w:r>
      <w:r>
        <w:rPr>
          <w:sz w:val="20"/>
          <w:szCs w:val="20"/>
        </w:rPr>
        <w:t>and as a result, recorded a ROU asset of $106.0 million and a corresponding lease</w:t>
      </w:r>
      <w:r>
        <w:rPr>
          <w:sz w:val="20"/>
          <w:szCs w:val="20"/>
        </w:rPr>
        <w:t xml:space="preserve"> liability of $98.7 million (see Footnote</w:t>
      </w:r>
      <w:r>
        <w:rPr>
          <w:sz w:val="20"/>
          <w:szCs w:val="20"/>
        </w:rPr>
        <w:t xml:space="preserve"> </w:t>
      </w:r>
      <w:r>
        <w:rPr>
          <w:rStyle w:val="a6"/>
          <w:i w:val="0"/>
          <w:iCs w:val="0"/>
          <w:sz w:val="20"/>
          <w:szCs w:val="20"/>
        </w:rPr>
        <w:t>1</w:t>
      </w:r>
      <w:r>
        <w:rPr>
          <w:sz w:val="20"/>
          <w:szCs w:val="20"/>
        </w:rPr>
        <w:t> to the Company’s Consolidated Financial Statements for further discussion on the adoption of Topic</w:t>
      </w:r>
      <w:r>
        <w:rPr>
          <w:sz w:val="20"/>
          <w:szCs w:val="20"/>
        </w:rPr>
        <w:t xml:space="preserve"> </w:t>
      </w:r>
      <w:r>
        <w:rPr>
          <w:rStyle w:val="a6"/>
          <w:i w:val="0"/>
          <w:iCs w:val="0"/>
          <w:sz w:val="20"/>
          <w:szCs w:val="20"/>
        </w:rPr>
        <w:t>842</w:t>
      </w:r>
      <w:r>
        <w:rPr>
          <w:sz w:val="20"/>
          <w:szCs w:val="20"/>
        </w:rPr>
        <w:t>). As the lessee, the Company currently leases real estate space under noncancelable operating lease agreement</w:t>
      </w:r>
      <w:r>
        <w:rPr>
          <w:sz w:val="20"/>
          <w:szCs w:val="20"/>
        </w:rPr>
        <w:t>s for ground leases and administrative office leases. The Company’s leases have remaining lease terms ranging from less than</w:t>
      </w:r>
      <w:r>
        <w:rPr>
          <w:sz w:val="20"/>
          <w:szCs w:val="20"/>
        </w:rPr>
        <w:t xml:space="preserve"> </w:t>
      </w:r>
      <w:r>
        <w:rPr>
          <w:sz w:val="20"/>
          <w:szCs w:val="20"/>
        </w:rPr>
        <w:t>on</w:t>
      </w:r>
      <w:r>
        <w:rPr>
          <w:sz w:val="20"/>
          <w:szCs w:val="20"/>
        </w:rPr>
        <w:t>e</w:t>
      </w:r>
      <w:r>
        <w:rPr>
          <w:sz w:val="20"/>
          <w:szCs w:val="20"/>
        </w:rPr>
        <w:t xml:space="preserve"> year to 52 years, some of which include options to extend the terms for up to an additional 75 years. The Company does</w:t>
      </w:r>
      <w:r>
        <w:rPr>
          <w:sz w:val="20"/>
          <w:szCs w:val="20"/>
        </w:rPr>
        <w:t xml:space="preserve"> </w:t>
      </w:r>
      <w:r>
        <w:rPr>
          <w:rStyle w:val="a6"/>
          <w:i w:val="0"/>
          <w:iCs w:val="0"/>
          <w:sz w:val="20"/>
          <w:szCs w:val="20"/>
        </w:rPr>
        <w:t>not</w:t>
      </w:r>
      <w:r>
        <w:rPr>
          <w:sz w:val="20"/>
          <w:szCs w:val="20"/>
        </w:rPr>
        <w:t xml:space="preserve"> incl</w:t>
      </w:r>
      <w:r>
        <w:rPr>
          <w:sz w:val="20"/>
          <w:szCs w:val="20"/>
        </w:rPr>
        <w:t>ude any of its renewal options in its lease terms for calculating its lease liability as the renewal options allow the Company to maintain operational flexibility, and the Company is</w:t>
      </w:r>
      <w:r>
        <w:rPr>
          <w:sz w:val="20"/>
          <w:szCs w:val="20"/>
        </w:rPr>
        <w:t xml:space="preserve"> </w:t>
      </w:r>
      <w:r>
        <w:rPr>
          <w:rStyle w:val="a6"/>
          <w:i w:val="0"/>
          <w:iCs w:val="0"/>
          <w:sz w:val="20"/>
          <w:szCs w:val="20"/>
        </w:rPr>
        <w:t>not</w:t>
      </w:r>
      <w:r>
        <w:rPr>
          <w:sz w:val="20"/>
          <w:szCs w:val="20"/>
        </w:rPr>
        <w:t xml:space="preserve"> reasonably certain it will exercise these renewal options at this tim</w:t>
      </w:r>
      <w:r>
        <w:rPr>
          <w:sz w:val="20"/>
          <w:szCs w:val="20"/>
        </w:rPr>
        <w:t>e. The weighted-average remaining non-cancelable lease term for the Company’s operating leases was 21.1 years at</w:t>
      </w:r>
      <w:r>
        <w:rPr>
          <w:sz w:val="20"/>
          <w:szCs w:val="20"/>
        </w:rPr>
        <w:t xml:space="preserve"> </w:t>
      </w:r>
      <w:r>
        <w:rPr>
          <w:rStyle w:val="a6"/>
          <w:i w:val="0"/>
          <w:iCs w:val="0"/>
          <w:sz w:val="20"/>
          <w:szCs w:val="20"/>
        </w:rPr>
        <w:t xml:space="preserve">December 31, 2019. </w:t>
      </w:r>
      <w:r>
        <w:rPr>
          <w:sz w:val="20"/>
          <w:szCs w:val="20"/>
        </w:rPr>
        <w:t>The Company’s operating lease liabilities are determined based on the estimated present value of the Company’s minimum lease</w:t>
      </w:r>
      <w:r>
        <w:rPr>
          <w:sz w:val="20"/>
          <w:szCs w:val="20"/>
        </w:rPr>
        <w:t xml:space="preserve"> payments under its lease agreements. The discount rate used to determine the lease liabilities is based on the estimated incremental borrowing rate on a lease by lease basis. When calculating the incremental borrowing rates, the Company utilized data from</w:t>
      </w:r>
      <w:r>
        <w:rPr>
          <w:sz w:val="20"/>
          <w:szCs w:val="20"/>
        </w:rPr>
        <w:t xml:space="preserve"> (i) its recent debt issuances, (ii) publicly available data for instruments with similar characteristics, (iii) observable mortgage rates and (iv) unlevered property yields and discount rates. The Company then applied adjustments to account for considerat</w:t>
      </w:r>
      <w:r>
        <w:rPr>
          <w:sz w:val="20"/>
          <w:szCs w:val="20"/>
        </w:rPr>
        <w:t>ions related to term and security that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be fully incorporated by the data sets. The weighted-average discount rate was 6.65% at</w:t>
      </w:r>
      <w:r>
        <w:rPr>
          <w:sz w:val="20"/>
          <w:szCs w:val="20"/>
        </w:rPr>
        <w:t xml:space="preserve"> </w:t>
      </w:r>
      <w:r>
        <w:rPr>
          <w:rStyle w:val="a6"/>
          <w:i w:val="0"/>
          <w:iCs w:val="0"/>
          <w:sz w:val="20"/>
          <w:szCs w:val="20"/>
        </w:rPr>
        <w:t>December 31, 2019.</w:t>
      </w:r>
    </w:p>
    <w:p w14:paraId="3198952E" w14:textId="77777777" w:rsidR="00000000" w:rsidRDefault="0053651E">
      <w:pPr>
        <w:pStyle w:val="a3"/>
        <w:spacing w:before="0" w:beforeAutospacing="0" w:after="0" w:afterAutospacing="0"/>
        <w:ind w:firstLine="360"/>
        <w:jc w:val="both"/>
        <w:rPr>
          <w:sz w:val="20"/>
          <w:szCs w:val="20"/>
        </w:rPr>
      </w:pPr>
      <w:r>
        <w:rPr>
          <w:sz w:val="20"/>
          <w:szCs w:val="20"/>
        </w:rPr>
        <w:t> </w:t>
      </w:r>
    </w:p>
    <w:p w14:paraId="459FCCD1" w14:textId="77777777" w:rsidR="00000000" w:rsidRDefault="0053651E">
      <w:pPr>
        <w:pStyle w:val="a3"/>
        <w:spacing w:before="0" w:beforeAutospacing="0" w:after="0" w:afterAutospacing="0"/>
        <w:ind w:firstLine="360"/>
        <w:jc w:val="both"/>
        <w:rPr>
          <w:sz w:val="20"/>
          <w:szCs w:val="20"/>
        </w:rPr>
      </w:pPr>
      <w:r>
        <w:rPr>
          <w:sz w:val="20"/>
          <w:szCs w:val="20"/>
        </w:rPr>
        <w:t>The components of the Company’s lease expense, which are included in rent expense and general and ad</w:t>
      </w:r>
      <w:r>
        <w:rPr>
          <w:sz w:val="20"/>
          <w:szCs w:val="20"/>
        </w:rPr>
        <w:t>ministrative expense on the Company’s Consolidated Statements of Income, were as follows (in thousands):</w:t>
      </w:r>
    </w:p>
    <w:p w14:paraId="1E81563A"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4"/>
        <w:gridCol w:w="58"/>
        <w:gridCol w:w="100"/>
        <w:gridCol w:w="1055"/>
        <w:gridCol w:w="58"/>
      </w:tblGrid>
      <w:tr w:rsidR="00000000" w14:paraId="743B2832" w14:textId="77777777">
        <w:trPr>
          <w:tblCellSpacing w:w="0" w:type="dxa"/>
        </w:trPr>
        <w:tc>
          <w:tcPr>
            <w:tcW w:w="0" w:type="auto"/>
            <w:vAlign w:val="bottom"/>
            <w:hideMark/>
          </w:tcPr>
          <w:p w14:paraId="62D5C2E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DA36EA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D93990" w14:textId="77777777" w:rsidR="00000000" w:rsidRDefault="0053651E">
            <w:pPr>
              <w:pStyle w:val="a3"/>
              <w:spacing w:before="0" w:beforeAutospacing="0" w:after="0" w:afterAutospacing="0"/>
              <w:jc w:val="center"/>
              <w:rPr>
                <w:sz w:val="20"/>
                <w:szCs w:val="20"/>
              </w:rPr>
            </w:pPr>
            <w:r>
              <w:rPr>
                <w:b/>
                <w:bCs/>
                <w:sz w:val="20"/>
                <w:szCs w:val="20"/>
              </w:rPr>
              <w:t>As of</w:t>
            </w:r>
          </w:p>
          <w:p w14:paraId="45821FEE"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2C0FC667" w14:textId="77777777" w:rsidR="00000000" w:rsidRDefault="0053651E">
            <w:pPr>
              <w:rPr>
                <w:rFonts w:eastAsia="Times New Roman"/>
                <w:sz w:val="20"/>
                <w:szCs w:val="20"/>
              </w:rPr>
            </w:pPr>
            <w:r>
              <w:rPr>
                <w:rFonts w:eastAsia="Times New Roman"/>
                <w:sz w:val="20"/>
                <w:szCs w:val="20"/>
              </w:rPr>
              <w:t> </w:t>
            </w:r>
          </w:p>
        </w:tc>
      </w:tr>
      <w:tr w:rsidR="00000000" w14:paraId="5323E5E2" w14:textId="77777777">
        <w:trPr>
          <w:tblCellSpacing w:w="0" w:type="dxa"/>
        </w:trPr>
        <w:tc>
          <w:tcPr>
            <w:tcW w:w="4050" w:type="pct"/>
            <w:shd w:val="clear" w:color="auto" w:fill="CCEEFF"/>
            <w:vAlign w:val="bottom"/>
            <w:hideMark/>
          </w:tcPr>
          <w:p w14:paraId="1C81EAA5" w14:textId="77777777" w:rsidR="00000000" w:rsidRDefault="0053651E">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14:paraId="3F1385B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EC70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54A4E" w14:textId="77777777" w:rsidR="00000000" w:rsidRDefault="0053651E">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0A05D30" w14:textId="77777777" w:rsidR="00000000" w:rsidRDefault="0053651E">
            <w:pPr>
              <w:rPr>
                <w:rFonts w:eastAsia="Times New Roman"/>
                <w:sz w:val="20"/>
                <w:szCs w:val="20"/>
              </w:rPr>
            </w:pPr>
            <w:r>
              <w:rPr>
                <w:rFonts w:eastAsia="Times New Roman"/>
                <w:sz w:val="20"/>
                <w:szCs w:val="20"/>
              </w:rPr>
              <w:t> </w:t>
            </w:r>
          </w:p>
        </w:tc>
      </w:tr>
      <w:tr w:rsidR="00000000" w14:paraId="50885D4A" w14:textId="77777777">
        <w:trPr>
          <w:tblCellSpacing w:w="0" w:type="dxa"/>
        </w:trPr>
        <w:tc>
          <w:tcPr>
            <w:tcW w:w="0" w:type="auto"/>
            <w:shd w:val="clear" w:color="auto" w:fill="FFFFFF"/>
            <w:vAlign w:val="bottom"/>
            <w:hideMark/>
          </w:tcPr>
          <w:p w14:paraId="2336FB3A" w14:textId="77777777" w:rsidR="00000000" w:rsidRDefault="0053651E">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14:paraId="0F5097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D74C6C"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5B9B81C8" w14:textId="77777777" w:rsidR="00000000" w:rsidRDefault="0053651E">
            <w:pPr>
              <w:jc w:val="right"/>
              <w:rPr>
                <w:rFonts w:eastAsia="Times New Roman"/>
                <w:sz w:val="20"/>
                <w:szCs w:val="20"/>
              </w:rPr>
            </w:pPr>
            <w:r>
              <w:rPr>
                <w:rFonts w:eastAsia="Times New Roman"/>
                <w:sz w:val="20"/>
                <w:szCs w:val="20"/>
              </w:rPr>
              <w:t>12,630</w:t>
            </w:r>
          </w:p>
        </w:tc>
        <w:tc>
          <w:tcPr>
            <w:tcW w:w="50" w:type="pct"/>
            <w:shd w:val="clear" w:color="auto" w:fill="FFFFFF"/>
            <w:vAlign w:val="bottom"/>
            <w:hideMark/>
          </w:tcPr>
          <w:p w14:paraId="77CEB87C" w14:textId="77777777" w:rsidR="00000000" w:rsidRDefault="0053651E">
            <w:pPr>
              <w:rPr>
                <w:rFonts w:eastAsia="Times New Roman"/>
                <w:sz w:val="20"/>
                <w:szCs w:val="20"/>
              </w:rPr>
            </w:pPr>
            <w:r>
              <w:rPr>
                <w:rFonts w:eastAsia="Times New Roman"/>
                <w:sz w:val="20"/>
                <w:szCs w:val="20"/>
              </w:rPr>
              <w:t> </w:t>
            </w:r>
          </w:p>
        </w:tc>
      </w:tr>
      <w:tr w:rsidR="00000000" w14:paraId="4CB25869" w14:textId="77777777">
        <w:trPr>
          <w:tblCellSpacing w:w="0" w:type="dxa"/>
        </w:trPr>
        <w:tc>
          <w:tcPr>
            <w:tcW w:w="0" w:type="auto"/>
            <w:shd w:val="clear" w:color="auto" w:fill="CCEEFF"/>
            <w:vAlign w:val="bottom"/>
            <w:hideMark/>
          </w:tcPr>
          <w:p w14:paraId="1A6FBD9F" w14:textId="77777777" w:rsidR="00000000" w:rsidRDefault="0053651E">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14:paraId="4BCA392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7FF7672"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E6FAEC3" w14:textId="77777777" w:rsidR="00000000" w:rsidRDefault="0053651E">
            <w:pPr>
              <w:jc w:val="right"/>
              <w:rPr>
                <w:rFonts w:eastAsia="Times New Roman"/>
                <w:sz w:val="20"/>
                <w:szCs w:val="20"/>
              </w:rPr>
            </w:pPr>
            <w:r>
              <w:rPr>
                <w:rFonts w:eastAsia="Times New Roman"/>
                <w:sz w:val="20"/>
                <w:szCs w:val="20"/>
              </w:rPr>
              <w:t>2,038</w:t>
            </w:r>
          </w:p>
        </w:tc>
        <w:tc>
          <w:tcPr>
            <w:tcW w:w="50" w:type="pct"/>
            <w:shd w:val="clear" w:color="auto" w:fill="CCEEFF"/>
            <w:tcMar>
              <w:top w:w="0" w:type="dxa"/>
              <w:left w:w="0" w:type="dxa"/>
              <w:bottom w:w="15" w:type="dxa"/>
              <w:right w:w="0" w:type="dxa"/>
            </w:tcMar>
            <w:vAlign w:val="bottom"/>
            <w:hideMark/>
          </w:tcPr>
          <w:p w14:paraId="6D901CEB" w14:textId="77777777" w:rsidR="00000000" w:rsidRDefault="0053651E">
            <w:pPr>
              <w:rPr>
                <w:rFonts w:eastAsia="Times New Roman"/>
                <w:sz w:val="20"/>
                <w:szCs w:val="20"/>
              </w:rPr>
            </w:pPr>
            <w:r>
              <w:rPr>
                <w:rFonts w:eastAsia="Times New Roman"/>
                <w:sz w:val="20"/>
                <w:szCs w:val="20"/>
              </w:rPr>
              <w:t> </w:t>
            </w:r>
          </w:p>
        </w:tc>
      </w:tr>
      <w:tr w:rsidR="00000000" w14:paraId="6DD680CE" w14:textId="77777777">
        <w:trPr>
          <w:tblCellSpacing w:w="0" w:type="dxa"/>
        </w:trPr>
        <w:tc>
          <w:tcPr>
            <w:tcW w:w="0" w:type="auto"/>
            <w:shd w:val="clear" w:color="auto" w:fill="FFFFFF"/>
            <w:vAlign w:val="bottom"/>
            <w:hideMark/>
          </w:tcPr>
          <w:p w14:paraId="70F6837E" w14:textId="77777777" w:rsidR="00000000" w:rsidRDefault="0053651E">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14:paraId="3C1F605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ABF2B31"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32E8C4E1" w14:textId="77777777" w:rsidR="00000000" w:rsidRDefault="0053651E">
            <w:pPr>
              <w:jc w:val="right"/>
              <w:rPr>
                <w:rFonts w:eastAsia="Times New Roman"/>
                <w:sz w:val="20"/>
                <w:szCs w:val="20"/>
              </w:rPr>
            </w:pPr>
            <w:r>
              <w:rPr>
                <w:rFonts w:eastAsia="Times New Roman"/>
                <w:sz w:val="20"/>
                <w:szCs w:val="20"/>
              </w:rPr>
              <w:t>14,668</w:t>
            </w:r>
          </w:p>
        </w:tc>
        <w:tc>
          <w:tcPr>
            <w:tcW w:w="50" w:type="pct"/>
            <w:shd w:val="clear" w:color="auto" w:fill="FFFFFF"/>
            <w:tcMar>
              <w:top w:w="0" w:type="dxa"/>
              <w:left w:w="0" w:type="dxa"/>
              <w:bottom w:w="45" w:type="dxa"/>
              <w:right w:w="0" w:type="dxa"/>
            </w:tcMar>
            <w:vAlign w:val="bottom"/>
            <w:hideMark/>
          </w:tcPr>
          <w:p w14:paraId="26D5A98E" w14:textId="77777777" w:rsidR="00000000" w:rsidRDefault="0053651E">
            <w:pPr>
              <w:rPr>
                <w:rFonts w:eastAsia="Times New Roman"/>
                <w:sz w:val="20"/>
                <w:szCs w:val="20"/>
              </w:rPr>
            </w:pPr>
            <w:r>
              <w:rPr>
                <w:rFonts w:eastAsia="Times New Roman"/>
                <w:sz w:val="20"/>
                <w:szCs w:val="20"/>
              </w:rPr>
              <w:t> </w:t>
            </w:r>
          </w:p>
        </w:tc>
      </w:tr>
    </w:tbl>
    <w:p w14:paraId="59183EF8" w14:textId="77777777" w:rsidR="00000000" w:rsidRDefault="0053651E">
      <w:pPr>
        <w:pStyle w:val="a3"/>
        <w:spacing w:before="0" w:beforeAutospacing="0" w:after="0" w:afterAutospacing="0"/>
        <w:ind w:firstLine="360"/>
        <w:jc w:val="both"/>
        <w:rPr>
          <w:sz w:val="20"/>
          <w:szCs w:val="20"/>
        </w:rPr>
      </w:pPr>
      <w:r>
        <w:rPr>
          <w:sz w:val="20"/>
          <w:szCs w:val="20"/>
        </w:rPr>
        <w:t> </w:t>
      </w:r>
    </w:p>
    <w:p w14:paraId="12348BBC" w14:textId="77777777" w:rsidR="00000000" w:rsidRDefault="0053651E">
      <w:pPr>
        <w:pStyle w:val="a3"/>
        <w:spacing w:before="0" w:beforeAutospacing="0" w:after="0" w:afterAutospacing="0"/>
        <w:ind w:firstLine="360"/>
        <w:jc w:val="both"/>
        <w:rPr>
          <w:sz w:val="20"/>
          <w:szCs w:val="20"/>
        </w:rPr>
      </w:pPr>
      <w:r>
        <w:rPr>
          <w:sz w:val="20"/>
          <w:szCs w:val="20"/>
        </w:rPr>
        <w:t>The table below reconciles the undiscounted cash flows for each of the</w:t>
      </w:r>
      <w:r>
        <w:rPr>
          <w:sz w:val="20"/>
          <w:szCs w:val="20"/>
        </w:rPr>
        <w:t xml:space="preserve"> </w:t>
      </w:r>
      <w:r>
        <w:rPr>
          <w:rStyle w:val="a6"/>
          <w:i w:val="0"/>
          <w:iCs w:val="0"/>
          <w:sz w:val="20"/>
          <w:szCs w:val="20"/>
        </w:rPr>
        <w:t>first</w:t>
      </w:r>
      <w:r>
        <w:rPr>
          <w:sz w:val="20"/>
          <w:szCs w:val="20"/>
        </w:rPr>
        <w:t xml:space="preserve"> </w:t>
      </w:r>
      <w:r>
        <w:rPr>
          <w:rStyle w:val="a6"/>
          <w:i w:val="0"/>
          <w:iCs w:val="0"/>
          <w:sz w:val="20"/>
          <w:szCs w:val="20"/>
        </w:rPr>
        <w:t>five</w:t>
      </w:r>
      <w:r>
        <w:rPr>
          <w:sz w:val="20"/>
          <w:szCs w:val="20"/>
        </w:rPr>
        <w:t xml:space="preserve"> </w:t>
      </w:r>
      <w:r>
        <w:rPr>
          <w:sz w:val="20"/>
          <w:szCs w:val="20"/>
        </w:rPr>
        <w:t>years and total of the remaining years to the finance lease liabilities and operating lease liabilities recorded on the balance sheets (in thousands):</w:t>
      </w:r>
    </w:p>
    <w:p w14:paraId="04E16465" w14:textId="77777777" w:rsidR="00000000" w:rsidRDefault="0053651E">
      <w:pPr>
        <w:pStyle w:val="a3"/>
        <w:spacing w:before="0" w:beforeAutospacing="0" w:after="0" w:afterAutospacing="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5941"/>
        <w:gridCol w:w="88"/>
        <w:gridCol w:w="100"/>
        <w:gridCol w:w="1258"/>
        <w:gridCol w:w="88"/>
      </w:tblGrid>
      <w:tr w:rsidR="00000000" w14:paraId="4A26942A" w14:textId="77777777">
        <w:trPr>
          <w:tblCellSpacing w:w="0" w:type="dxa"/>
        </w:trPr>
        <w:tc>
          <w:tcPr>
            <w:tcW w:w="3300" w:type="pct"/>
            <w:tcBorders>
              <w:bottom w:val="single" w:sz="6" w:space="0" w:color="000000"/>
            </w:tcBorders>
            <w:vAlign w:val="bottom"/>
            <w:hideMark/>
          </w:tcPr>
          <w:p w14:paraId="55D539E7" w14:textId="77777777" w:rsidR="00000000" w:rsidRDefault="0053651E">
            <w:pPr>
              <w:pStyle w:val="a3"/>
              <w:spacing w:before="0" w:beforeAutospacing="0" w:after="0" w:afterAutospacing="0"/>
              <w:jc w:val="center"/>
              <w:rPr>
                <w:sz w:val="20"/>
                <w:szCs w:val="20"/>
              </w:rPr>
            </w:pPr>
            <w:r>
              <w:rPr>
                <w:b/>
                <w:bCs/>
                <w:sz w:val="20"/>
                <w:szCs w:val="20"/>
              </w:rPr>
              <w:t>Year Ending December 31,</w:t>
            </w:r>
          </w:p>
        </w:tc>
        <w:tc>
          <w:tcPr>
            <w:tcW w:w="0" w:type="auto"/>
            <w:vAlign w:val="bottom"/>
            <w:hideMark/>
          </w:tcPr>
          <w:p w14:paraId="701B2A22" w14:textId="77777777" w:rsidR="00000000" w:rsidRDefault="0053651E">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5D2C44AC" w14:textId="77777777" w:rsidR="00000000" w:rsidRDefault="0053651E">
            <w:pPr>
              <w:pStyle w:val="a3"/>
              <w:spacing w:before="0" w:beforeAutospacing="0" w:after="0" w:afterAutospacing="0"/>
              <w:jc w:val="center"/>
              <w:rPr>
                <w:sz w:val="20"/>
                <w:szCs w:val="20"/>
              </w:rPr>
            </w:pPr>
            <w:r>
              <w:rPr>
                <w:sz w:val="20"/>
                <w:szCs w:val="20"/>
              </w:rPr>
              <w:t> </w:t>
            </w:r>
          </w:p>
        </w:tc>
        <w:tc>
          <w:tcPr>
            <w:tcW w:w="0" w:type="auto"/>
            <w:tcMar>
              <w:top w:w="0" w:type="dxa"/>
              <w:left w:w="0" w:type="dxa"/>
              <w:bottom w:w="15" w:type="dxa"/>
              <w:right w:w="0" w:type="dxa"/>
            </w:tcMar>
            <w:vAlign w:val="bottom"/>
            <w:hideMark/>
          </w:tcPr>
          <w:p w14:paraId="0653711A" w14:textId="77777777" w:rsidR="00000000" w:rsidRDefault="0053651E">
            <w:pPr>
              <w:rPr>
                <w:rFonts w:eastAsia="Times New Roman"/>
                <w:sz w:val="20"/>
                <w:szCs w:val="20"/>
              </w:rPr>
            </w:pPr>
            <w:r>
              <w:rPr>
                <w:rFonts w:eastAsia="Times New Roman"/>
                <w:sz w:val="20"/>
                <w:szCs w:val="20"/>
              </w:rPr>
              <w:t> </w:t>
            </w:r>
          </w:p>
        </w:tc>
      </w:tr>
      <w:tr w:rsidR="00000000" w14:paraId="21CF17B0" w14:textId="77777777">
        <w:trPr>
          <w:tblCellSpacing w:w="0" w:type="dxa"/>
        </w:trPr>
        <w:tc>
          <w:tcPr>
            <w:tcW w:w="0" w:type="auto"/>
            <w:tcBorders>
              <w:bottom w:val="nil"/>
            </w:tcBorders>
            <w:shd w:val="clear" w:color="auto" w:fill="CCEEFF"/>
            <w:vAlign w:val="bottom"/>
            <w:hideMark/>
          </w:tcPr>
          <w:p w14:paraId="450EDF0E" w14:textId="77777777" w:rsidR="00000000" w:rsidRDefault="0053651E">
            <w:pPr>
              <w:pStyle w:val="a3"/>
              <w:spacing w:before="0" w:beforeAutospacing="0" w:after="0" w:afterAutospacing="0"/>
              <w:rPr>
                <w:sz w:val="20"/>
                <w:szCs w:val="20"/>
              </w:rPr>
            </w:pPr>
            <w:r>
              <w:rPr>
                <w:sz w:val="20"/>
                <w:szCs w:val="20"/>
              </w:rPr>
              <w:t>2020</w:t>
            </w:r>
          </w:p>
        </w:tc>
        <w:tc>
          <w:tcPr>
            <w:tcW w:w="50" w:type="pct"/>
            <w:tcBorders>
              <w:bottom w:val="nil"/>
            </w:tcBorders>
            <w:shd w:val="clear" w:color="auto" w:fill="CCEEFF"/>
            <w:vAlign w:val="bottom"/>
            <w:hideMark/>
          </w:tcPr>
          <w:p w14:paraId="6690071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E6C9927"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673C55EA" w14:textId="77777777" w:rsidR="00000000" w:rsidRDefault="0053651E">
            <w:pPr>
              <w:jc w:val="right"/>
              <w:rPr>
                <w:rFonts w:eastAsia="Times New Roman"/>
                <w:sz w:val="20"/>
                <w:szCs w:val="20"/>
              </w:rPr>
            </w:pPr>
            <w:r>
              <w:rPr>
                <w:rFonts w:eastAsia="Times New Roman"/>
                <w:sz w:val="20"/>
                <w:szCs w:val="20"/>
              </w:rPr>
              <w:t>10,715</w:t>
            </w:r>
          </w:p>
        </w:tc>
        <w:tc>
          <w:tcPr>
            <w:tcW w:w="50" w:type="pct"/>
            <w:tcBorders>
              <w:bottom w:val="nil"/>
            </w:tcBorders>
            <w:shd w:val="clear" w:color="auto" w:fill="CCEEFF"/>
            <w:vAlign w:val="bottom"/>
            <w:hideMark/>
          </w:tcPr>
          <w:p w14:paraId="10B8EFAA" w14:textId="77777777" w:rsidR="00000000" w:rsidRDefault="0053651E">
            <w:pPr>
              <w:rPr>
                <w:rFonts w:eastAsia="Times New Roman"/>
                <w:sz w:val="20"/>
                <w:szCs w:val="20"/>
              </w:rPr>
            </w:pPr>
            <w:r>
              <w:rPr>
                <w:rFonts w:eastAsia="Times New Roman"/>
                <w:sz w:val="20"/>
                <w:szCs w:val="20"/>
              </w:rPr>
              <w:t> </w:t>
            </w:r>
          </w:p>
        </w:tc>
      </w:tr>
      <w:tr w:rsidR="00000000" w14:paraId="14C5BE74" w14:textId="77777777">
        <w:trPr>
          <w:tblCellSpacing w:w="0" w:type="dxa"/>
        </w:trPr>
        <w:tc>
          <w:tcPr>
            <w:tcW w:w="0" w:type="auto"/>
            <w:shd w:val="clear" w:color="auto" w:fill="FFFFFF"/>
            <w:vAlign w:val="bottom"/>
            <w:hideMark/>
          </w:tcPr>
          <w:p w14:paraId="20CC86FE" w14:textId="77777777" w:rsidR="00000000" w:rsidRDefault="0053651E">
            <w:pPr>
              <w:pStyle w:val="a3"/>
              <w:spacing w:before="0" w:beforeAutospacing="0" w:after="0" w:afterAutospacing="0"/>
              <w:rPr>
                <w:sz w:val="20"/>
                <w:szCs w:val="20"/>
              </w:rPr>
            </w:pPr>
            <w:r>
              <w:rPr>
                <w:sz w:val="20"/>
                <w:szCs w:val="20"/>
              </w:rPr>
              <w:t>2021</w:t>
            </w:r>
          </w:p>
        </w:tc>
        <w:tc>
          <w:tcPr>
            <w:tcW w:w="50" w:type="pct"/>
            <w:shd w:val="clear" w:color="auto" w:fill="FFFFFF"/>
            <w:vAlign w:val="bottom"/>
            <w:hideMark/>
          </w:tcPr>
          <w:p w14:paraId="61637F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292C3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392F62D" w14:textId="77777777" w:rsidR="00000000" w:rsidRDefault="0053651E">
            <w:pPr>
              <w:jc w:val="right"/>
              <w:rPr>
                <w:rFonts w:eastAsia="Times New Roman"/>
                <w:sz w:val="20"/>
                <w:szCs w:val="20"/>
              </w:rPr>
            </w:pPr>
            <w:r>
              <w:rPr>
                <w:rFonts w:eastAsia="Times New Roman"/>
                <w:sz w:val="20"/>
                <w:szCs w:val="20"/>
              </w:rPr>
              <w:t>10,499</w:t>
            </w:r>
          </w:p>
        </w:tc>
        <w:tc>
          <w:tcPr>
            <w:tcW w:w="50" w:type="pct"/>
            <w:shd w:val="clear" w:color="auto" w:fill="FFFFFF"/>
            <w:vAlign w:val="bottom"/>
            <w:hideMark/>
          </w:tcPr>
          <w:p w14:paraId="17FB0A45" w14:textId="77777777" w:rsidR="00000000" w:rsidRDefault="0053651E">
            <w:pPr>
              <w:rPr>
                <w:rFonts w:eastAsia="Times New Roman"/>
                <w:sz w:val="20"/>
                <w:szCs w:val="20"/>
              </w:rPr>
            </w:pPr>
            <w:r>
              <w:rPr>
                <w:rFonts w:eastAsia="Times New Roman"/>
                <w:sz w:val="20"/>
                <w:szCs w:val="20"/>
              </w:rPr>
              <w:t> </w:t>
            </w:r>
          </w:p>
        </w:tc>
      </w:tr>
      <w:tr w:rsidR="00000000" w14:paraId="648D33A8" w14:textId="77777777">
        <w:trPr>
          <w:tblCellSpacing w:w="0" w:type="dxa"/>
        </w:trPr>
        <w:tc>
          <w:tcPr>
            <w:tcW w:w="0" w:type="auto"/>
            <w:shd w:val="clear" w:color="auto" w:fill="CCEEFF"/>
            <w:vAlign w:val="bottom"/>
            <w:hideMark/>
          </w:tcPr>
          <w:p w14:paraId="01282343" w14:textId="77777777" w:rsidR="00000000" w:rsidRDefault="0053651E">
            <w:pPr>
              <w:pStyle w:val="a3"/>
              <w:spacing w:before="0" w:beforeAutospacing="0" w:after="0" w:afterAutospacing="0"/>
              <w:rPr>
                <w:sz w:val="20"/>
                <w:szCs w:val="20"/>
              </w:rPr>
            </w:pPr>
            <w:r>
              <w:rPr>
                <w:sz w:val="20"/>
                <w:szCs w:val="20"/>
              </w:rPr>
              <w:t>2022</w:t>
            </w:r>
          </w:p>
        </w:tc>
        <w:tc>
          <w:tcPr>
            <w:tcW w:w="50" w:type="pct"/>
            <w:shd w:val="clear" w:color="auto" w:fill="CCEEFF"/>
            <w:vAlign w:val="bottom"/>
            <w:hideMark/>
          </w:tcPr>
          <w:p w14:paraId="7BDD80E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A612C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D2B35FC" w14:textId="77777777" w:rsidR="00000000" w:rsidRDefault="0053651E">
            <w:pPr>
              <w:jc w:val="right"/>
              <w:rPr>
                <w:rFonts w:eastAsia="Times New Roman"/>
                <w:sz w:val="20"/>
                <w:szCs w:val="20"/>
              </w:rPr>
            </w:pPr>
            <w:r>
              <w:rPr>
                <w:rFonts w:eastAsia="Times New Roman"/>
                <w:sz w:val="20"/>
                <w:szCs w:val="20"/>
              </w:rPr>
              <w:t>9,906</w:t>
            </w:r>
          </w:p>
        </w:tc>
        <w:tc>
          <w:tcPr>
            <w:tcW w:w="50" w:type="pct"/>
            <w:shd w:val="clear" w:color="auto" w:fill="CCEEFF"/>
            <w:vAlign w:val="bottom"/>
            <w:hideMark/>
          </w:tcPr>
          <w:p w14:paraId="6DC2C85B" w14:textId="77777777" w:rsidR="00000000" w:rsidRDefault="0053651E">
            <w:pPr>
              <w:rPr>
                <w:rFonts w:eastAsia="Times New Roman"/>
                <w:sz w:val="20"/>
                <w:szCs w:val="20"/>
              </w:rPr>
            </w:pPr>
            <w:r>
              <w:rPr>
                <w:rFonts w:eastAsia="Times New Roman"/>
                <w:sz w:val="20"/>
                <w:szCs w:val="20"/>
              </w:rPr>
              <w:t> </w:t>
            </w:r>
          </w:p>
        </w:tc>
      </w:tr>
      <w:tr w:rsidR="00000000" w14:paraId="560C6122" w14:textId="77777777">
        <w:trPr>
          <w:tblCellSpacing w:w="0" w:type="dxa"/>
        </w:trPr>
        <w:tc>
          <w:tcPr>
            <w:tcW w:w="0" w:type="auto"/>
            <w:shd w:val="clear" w:color="auto" w:fill="FFFFFF"/>
            <w:vAlign w:val="bottom"/>
            <w:hideMark/>
          </w:tcPr>
          <w:p w14:paraId="1803A3C1" w14:textId="77777777" w:rsidR="00000000" w:rsidRDefault="0053651E">
            <w:pPr>
              <w:pStyle w:val="a3"/>
              <w:spacing w:before="0" w:beforeAutospacing="0" w:after="0" w:afterAutospacing="0"/>
              <w:rPr>
                <w:sz w:val="20"/>
                <w:szCs w:val="20"/>
              </w:rPr>
            </w:pPr>
            <w:r>
              <w:rPr>
                <w:sz w:val="20"/>
                <w:szCs w:val="20"/>
              </w:rPr>
              <w:t>2023</w:t>
            </w:r>
          </w:p>
        </w:tc>
        <w:tc>
          <w:tcPr>
            <w:tcW w:w="50" w:type="pct"/>
            <w:shd w:val="clear" w:color="auto" w:fill="FFFFFF"/>
            <w:vAlign w:val="bottom"/>
            <w:hideMark/>
          </w:tcPr>
          <w:p w14:paraId="5EADCF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0E5C09"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AEDB42A" w14:textId="77777777" w:rsidR="00000000" w:rsidRDefault="0053651E">
            <w:pPr>
              <w:jc w:val="right"/>
              <w:rPr>
                <w:rFonts w:eastAsia="Times New Roman"/>
                <w:sz w:val="20"/>
                <w:szCs w:val="20"/>
              </w:rPr>
            </w:pPr>
            <w:r>
              <w:rPr>
                <w:rFonts w:eastAsia="Times New Roman"/>
                <w:sz w:val="20"/>
                <w:szCs w:val="20"/>
              </w:rPr>
              <w:t>9,918</w:t>
            </w:r>
          </w:p>
        </w:tc>
        <w:tc>
          <w:tcPr>
            <w:tcW w:w="50" w:type="pct"/>
            <w:shd w:val="clear" w:color="auto" w:fill="FFFFFF"/>
            <w:vAlign w:val="bottom"/>
            <w:hideMark/>
          </w:tcPr>
          <w:p w14:paraId="4C258281" w14:textId="77777777" w:rsidR="00000000" w:rsidRDefault="0053651E">
            <w:pPr>
              <w:rPr>
                <w:rFonts w:eastAsia="Times New Roman"/>
                <w:sz w:val="20"/>
                <w:szCs w:val="20"/>
              </w:rPr>
            </w:pPr>
            <w:r>
              <w:rPr>
                <w:rFonts w:eastAsia="Times New Roman"/>
                <w:sz w:val="20"/>
                <w:szCs w:val="20"/>
              </w:rPr>
              <w:t> </w:t>
            </w:r>
          </w:p>
        </w:tc>
      </w:tr>
      <w:tr w:rsidR="00000000" w14:paraId="6E6FB239" w14:textId="77777777">
        <w:trPr>
          <w:tblCellSpacing w:w="0" w:type="dxa"/>
        </w:trPr>
        <w:tc>
          <w:tcPr>
            <w:tcW w:w="0" w:type="auto"/>
            <w:shd w:val="clear" w:color="auto" w:fill="CCEEFF"/>
            <w:vAlign w:val="bottom"/>
            <w:hideMark/>
          </w:tcPr>
          <w:p w14:paraId="33F74020" w14:textId="77777777" w:rsidR="00000000" w:rsidRDefault="0053651E">
            <w:pPr>
              <w:pStyle w:val="a3"/>
              <w:spacing w:before="0" w:beforeAutospacing="0" w:after="0" w:afterAutospacing="0"/>
              <w:rPr>
                <w:sz w:val="20"/>
                <w:szCs w:val="20"/>
              </w:rPr>
            </w:pPr>
            <w:r>
              <w:rPr>
                <w:sz w:val="20"/>
                <w:szCs w:val="20"/>
              </w:rPr>
              <w:t>2024</w:t>
            </w:r>
          </w:p>
        </w:tc>
        <w:tc>
          <w:tcPr>
            <w:tcW w:w="50" w:type="pct"/>
            <w:shd w:val="clear" w:color="auto" w:fill="CCEEFF"/>
            <w:vAlign w:val="bottom"/>
            <w:hideMark/>
          </w:tcPr>
          <w:p w14:paraId="2F63DF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7842A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1A13D63" w14:textId="77777777" w:rsidR="00000000" w:rsidRDefault="0053651E">
            <w:pPr>
              <w:jc w:val="right"/>
              <w:rPr>
                <w:rFonts w:eastAsia="Times New Roman"/>
                <w:sz w:val="20"/>
                <w:szCs w:val="20"/>
              </w:rPr>
            </w:pPr>
            <w:r>
              <w:rPr>
                <w:rFonts w:eastAsia="Times New Roman"/>
                <w:sz w:val="20"/>
                <w:szCs w:val="20"/>
              </w:rPr>
              <w:t>9,016</w:t>
            </w:r>
          </w:p>
        </w:tc>
        <w:tc>
          <w:tcPr>
            <w:tcW w:w="50" w:type="pct"/>
            <w:shd w:val="clear" w:color="auto" w:fill="CCEEFF"/>
            <w:vAlign w:val="bottom"/>
            <w:hideMark/>
          </w:tcPr>
          <w:p w14:paraId="71BCAE18" w14:textId="77777777" w:rsidR="00000000" w:rsidRDefault="0053651E">
            <w:pPr>
              <w:rPr>
                <w:rFonts w:eastAsia="Times New Roman"/>
                <w:sz w:val="20"/>
                <w:szCs w:val="20"/>
              </w:rPr>
            </w:pPr>
            <w:r>
              <w:rPr>
                <w:rFonts w:eastAsia="Times New Roman"/>
                <w:sz w:val="20"/>
                <w:szCs w:val="20"/>
              </w:rPr>
              <w:t> </w:t>
            </w:r>
          </w:p>
        </w:tc>
      </w:tr>
      <w:tr w:rsidR="00000000" w14:paraId="400F5981" w14:textId="77777777">
        <w:trPr>
          <w:tblCellSpacing w:w="0" w:type="dxa"/>
        </w:trPr>
        <w:tc>
          <w:tcPr>
            <w:tcW w:w="0" w:type="auto"/>
            <w:shd w:val="clear" w:color="auto" w:fill="FFFFFF"/>
            <w:vAlign w:val="bottom"/>
            <w:hideMark/>
          </w:tcPr>
          <w:p w14:paraId="4E1516F0" w14:textId="77777777" w:rsidR="00000000" w:rsidRDefault="0053651E">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14:paraId="1A1DD42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5F886D"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3D0164EF" w14:textId="77777777" w:rsidR="00000000" w:rsidRDefault="0053651E">
            <w:pPr>
              <w:jc w:val="right"/>
              <w:rPr>
                <w:rFonts w:eastAsia="Times New Roman"/>
                <w:sz w:val="20"/>
                <w:szCs w:val="20"/>
              </w:rPr>
            </w:pPr>
            <w:r>
              <w:rPr>
                <w:rFonts w:eastAsia="Times New Roman"/>
                <w:sz w:val="20"/>
                <w:szCs w:val="20"/>
              </w:rPr>
              <w:t>128,589</w:t>
            </w:r>
          </w:p>
        </w:tc>
        <w:tc>
          <w:tcPr>
            <w:tcW w:w="50" w:type="pct"/>
            <w:shd w:val="clear" w:color="auto" w:fill="FFFFFF"/>
            <w:tcMar>
              <w:top w:w="0" w:type="dxa"/>
              <w:left w:w="0" w:type="dxa"/>
              <w:bottom w:w="15" w:type="dxa"/>
              <w:right w:w="0" w:type="dxa"/>
            </w:tcMar>
            <w:vAlign w:val="bottom"/>
            <w:hideMark/>
          </w:tcPr>
          <w:p w14:paraId="798A0C86" w14:textId="77777777" w:rsidR="00000000" w:rsidRDefault="0053651E">
            <w:pPr>
              <w:rPr>
                <w:rFonts w:eastAsia="Times New Roman"/>
                <w:sz w:val="20"/>
                <w:szCs w:val="20"/>
              </w:rPr>
            </w:pPr>
            <w:r>
              <w:rPr>
                <w:rFonts w:eastAsia="Times New Roman"/>
                <w:sz w:val="20"/>
                <w:szCs w:val="20"/>
              </w:rPr>
              <w:t> </w:t>
            </w:r>
          </w:p>
        </w:tc>
      </w:tr>
      <w:tr w:rsidR="00000000" w14:paraId="7D92C107" w14:textId="77777777">
        <w:trPr>
          <w:tblCellSpacing w:w="0" w:type="dxa"/>
        </w:trPr>
        <w:tc>
          <w:tcPr>
            <w:tcW w:w="0" w:type="auto"/>
            <w:shd w:val="clear" w:color="auto" w:fill="CCEEFF"/>
            <w:vAlign w:val="bottom"/>
            <w:hideMark/>
          </w:tcPr>
          <w:p w14:paraId="27E98833" w14:textId="77777777" w:rsidR="00000000" w:rsidRDefault="0053651E">
            <w:pPr>
              <w:pStyle w:val="a3"/>
              <w:spacing w:before="0" w:beforeAutospacing="0" w:after="0" w:afterAutospacing="0"/>
              <w:rPr>
                <w:sz w:val="20"/>
                <w:szCs w:val="20"/>
              </w:rPr>
            </w:pPr>
            <w:r>
              <w:rPr>
                <w:sz w:val="20"/>
                <w:szCs w:val="20"/>
              </w:rPr>
              <w:t>Total minimum lease payments</w:t>
            </w:r>
          </w:p>
        </w:tc>
        <w:tc>
          <w:tcPr>
            <w:tcW w:w="50" w:type="pct"/>
            <w:tcBorders>
              <w:bottom w:val="nil"/>
            </w:tcBorders>
            <w:shd w:val="clear" w:color="auto" w:fill="CCEEFF"/>
            <w:vAlign w:val="bottom"/>
            <w:hideMark/>
          </w:tcPr>
          <w:p w14:paraId="451ADA4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235AAA5"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4FE03A48" w14:textId="77777777" w:rsidR="00000000" w:rsidRDefault="0053651E">
            <w:pPr>
              <w:jc w:val="right"/>
              <w:rPr>
                <w:rFonts w:eastAsia="Times New Roman"/>
                <w:sz w:val="20"/>
                <w:szCs w:val="20"/>
              </w:rPr>
            </w:pPr>
            <w:r>
              <w:rPr>
                <w:rFonts w:eastAsia="Times New Roman"/>
                <w:sz w:val="20"/>
                <w:szCs w:val="20"/>
              </w:rPr>
              <w:t>178,643</w:t>
            </w:r>
          </w:p>
        </w:tc>
        <w:tc>
          <w:tcPr>
            <w:tcW w:w="50" w:type="pct"/>
            <w:tcBorders>
              <w:bottom w:val="nil"/>
            </w:tcBorders>
            <w:shd w:val="clear" w:color="auto" w:fill="CCEEFF"/>
            <w:vAlign w:val="bottom"/>
            <w:hideMark/>
          </w:tcPr>
          <w:p w14:paraId="6828BACA" w14:textId="77777777" w:rsidR="00000000" w:rsidRDefault="0053651E">
            <w:pPr>
              <w:rPr>
                <w:rFonts w:eastAsia="Times New Roman"/>
                <w:sz w:val="20"/>
                <w:szCs w:val="20"/>
              </w:rPr>
            </w:pPr>
            <w:r>
              <w:rPr>
                <w:rFonts w:eastAsia="Times New Roman"/>
                <w:sz w:val="20"/>
                <w:szCs w:val="20"/>
              </w:rPr>
              <w:t> </w:t>
            </w:r>
          </w:p>
        </w:tc>
      </w:tr>
      <w:tr w:rsidR="00000000" w14:paraId="43344519" w14:textId="77777777">
        <w:trPr>
          <w:tblCellSpacing w:w="0" w:type="dxa"/>
        </w:trPr>
        <w:tc>
          <w:tcPr>
            <w:tcW w:w="0" w:type="auto"/>
            <w:shd w:val="clear" w:color="auto" w:fill="FFFFFF"/>
            <w:vAlign w:val="bottom"/>
            <w:hideMark/>
          </w:tcPr>
          <w:p w14:paraId="02042E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90E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63345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DCF11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8B067" w14:textId="77777777" w:rsidR="00000000" w:rsidRDefault="0053651E">
            <w:pPr>
              <w:rPr>
                <w:rFonts w:eastAsia="Times New Roman"/>
                <w:sz w:val="20"/>
                <w:szCs w:val="20"/>
              </w:rPr>
            </w:pPr>
            <w:r>
              <w:rPr>
                <w:rFonts w:eastAsia="Times New Roman"/>
                <w:sz w:val="20"/>
                <w:szCs w:val="20"/>
              </w:rPr>
              <w:t> </w:t>
            </w:r>
          </w:p>
        </w:tc>
      </w:tr>
      <w:tr w:rsidR="00000000" w14:paraId="40F11B00" w14:textId="77777777">
        <w:trPr>
          <w:tblCellSpacing w:w="0" w:type="dxa"/>
        </w:trPr>
        <w:tc>
          <w:tcPr>
            <w:tcW w:w="0" w:type="auto"/>
            <w:shd w:val="clear" w:color="auto" w:fill="CCEEFF"/>
            <w:vAlign w:val="bottom"/>
            <w:hideMark/>
          </w:tcPr>
          <w:p w14:paraId="474B964A" w14:textId="77777777" w:rsidR="00000000" w:rsidRDefault="0053651E">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14:paraId="39D1764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3B3D3D1"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14D1D816" w14:textId="77777777" w:rsidR="00000000" w:rsidRDefault="0053651E">
            <w:pPr>
              <w:jc w:val="right"/>
              <w:rPr>
                <w:rFonts w:eastAsia="Times New Roman"/>
                <w:sz w:val="20"/>
                <w:szCs w:val="20"/>
              </w:rPr>
            </w:pPr>
            <w:r>
              <w:rPr>
                <w:rFonts w:eastAsia="Times New Roman"/>
                <w:sz w:val="20"/>
                <w:szCs w:val="20"/>
              </w:rPr>
              <w:t>(85,932</w:t>
            </w:r>
          </w:p>
        </w:tc>
        <w:tc>
          <w:tcPr>
            <w:tcW w:w="50" w:type="pct"/>
            <w:shd w:val="clear" w:color="auto" w:fill="CCEEFF"/>
            <w:tcMar>
              <w:top w:w="0" w:type="dxa"/>
              <w:left w:w="0" w:type="dxa"/>
              <w:bottom w:w="15" w:type="dxa"/>
              <w:right w:w="0" w:type="dxa"/>
            </w:tcMar>
            <w:vAlign w:val="bottom"/>
            <w:hideMark/>
          </w:tcPr>
          <w:p w14:paraId="515B91B1" w14:textId="77777777" w:rsidR="00000000" w:rsidRDefault="0053651E">
            <w:pPr>
              <w:rPr>
                <w:rFonts w:eastAsia="Times New Roman"/>
                <w:sz w:val="20"/>
                <w:szCs w:val="20"/>
              </w:rPr>
            </w:pPr>
            <w:r>
              <w:rPr>
                <w:rFonts w:eastAsia="Times New Roman"/>
                <w:sz w:val="20"/>
                <w:szCs w:val="20"/>
              </w:rPr>
              <w:t>)</w:t>
            </w:r>
          </w:p>
        </w:tc>
      </w:tr>
      <w:tr w:rsidR="00000000" w14:paraId="489C77A2" w14:textId="77777777">
        <w:trPr>
          <w:tblCellSpacing w:w="0" w:type="dxa"/>
        </w:trPr>
        <w:tc>
          <w:tcPr>
            <w:tcW w:w="0" w:type="auto"/>
            <w:shd w:val="clear" w:color="auto" w:fill="FFFFFF"/>
            <w:vAlign w:val="bottom"/>
            <w:hideMark/>
          </w:tcPr>
          <w:p w14:paraId="7CA5B7D2" w14:textId="77777777" w:rsidR="00000000" w:rsidRDefault="0053651E">
            <w:pPr>
              <w:pStyle w:val="a3"/>
              <w:spacing w:before="0" w:beforeAutospacing="0" w:after="0" w:afterAutospacing="0"/>
              <w:rPr>
                <w:sz w:val="20"/>
                <w:szCs w:val="20"/>
              </w:rPr>
            </w:pPr>
            <w:r>
              <w:rPr>
                <w:sz w:val="20"/>
                <w:szCs w:val="20"/>
              </w:rPr>
              <w:t>Total operating lease liabilities</w:t>
            </w:r>
          </w:p>
        </w:tc>
        <w:tc>
          <w:tcPr>
            <w:tcW w:w="50" w:type="pct"/>
            <w:shd w:val="clear" w:color="auto" w:fill="FFFFFF"/>
            <w:vAlign w:val="bottom"/>
            <w:hideMark/>
          </w:tcPr>
          <w:p w14:paraId="7C89F7E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3F892F7"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022AE82C" w14:textId="77777777" w:rsidR="00000000" w:rsidRDefault="0053651E">
            <w:pPr>
              <w:jc w:val="right"/>
              <w:rPr>
                <w:rFonts w:eastAsia="Times New Roman"/>
                <w:sz w:val="20"/>
                <w:szCs w:val="20"/>
              </w:rPr>
            </w:pPr>
            <w:r>
              <w:rPr>
                <w:rFonts w:eastAsia="Times New Roman"/>
                <w:sz w:val="20"/>
                <w:szCs w:val="20"/>
              </w:rPr>
              <w:t>92,711</w:t>
            </w:r>
          </w:p>
        </w:tc>
        <w:tc>
          <w:tcPr>
            <w:tcW w:w="50" w:type="pct"/>
            <w:shd w:val="clear" w:color="auto" w:fill="FFFFFF"/>
            <w:tcMar>
              <w:top w:w="0" w:type="dxa"/>
              <w:left w:w="0" w:type="dxa"/>
              <w:bottom w:w="45" w:type="dxa"/>
              <w:right w:w="0" w:type="dxa"/>
            </w:tcMar>
            <w:vAlign w:val="bottom"/>
            <w:hideMark/>
          </w:tcPr>
          <w:p w14:paraId="43199CAD" w14:textId="77777777" w:rsidR="00000000" w:rsidRDefault="0053651E">
            <w:pPr>
              <w:rPr>
                <w:rFonts w:eastAsia="Times New Roman"/>
                <w:sz w:val="20"/>
                <w:szCs w:val="20"/>
              </w:rPr>
            </w:pPr>
            <w:r>
              <w:rPr>
                <w:rFonts w:eastAsia="Times New Roman"/>
                <w:sz w:val="20"/>
                <w:szCs w:val="20"/>
              </w:rPr>
              <w:t> </w:t>
            </w:r>
          </w:p>
        </w:tc>
      </w:tr>
    </w:tbl>
    <w:p w14:paraId="35A66A14" w14:textId="77777777" w:rsidR="00000000" w:rsidRDefault="0053651E">
      <w:pPr>
        <w:pStyle w:val="a3"/>
        <w:spacing w:before="0" w:beforeAutospacing="0" w:after="0" w:afterAutospacing="0"/>
        <w:jc w:val="both"/>
        <w:rPr>
          <w:sz w:val="20"/>
          <w:szCs w:val="20"/>
        </w:rPr>
      </w:pPr>
      <w:r>
        <w:rPr>
          <w:sz w:val="20"/>
          <w:szCs w:val="20"/>
        </w:rPr>
        <w:t> </w:t>
      </w:r>
    </w:p>
    <w:p w14:paraId="4C404E24" w14:textId="77777777" w:rsidR="00000000" w:rsidRDefault="0053651E">
      <w:pPr>
        <w:pStyle w:val="a3"/>
        <w:spacing w:before="0" w:beforeAutospacing="0" w:after="0" w:afterAutospacing="0"/>
        <w:jc w:val="both"/>
        <w:rPr>
          <w:sz w:val="20"/>
          <w:szCs w:val="20"/>
        </w:rPr>
      </w:pPr>
      <w:r>
        <w:rPr>
          <w:sz w:val="20"/>
          <w:szCs w:val="20"/>
        </w:rPr>
        <w:t> </w:t>
      </w:r>
    </w:p>
    <w:p w14:paraId="5A02A2DA" w14:textId="77777777" w:rsidR="00000000" w:rsidRDefault="0053651E">
      <w:pPr>
        <w:pStyle w:val="a3"/>
        <w:spacing w:before="0" w:beforeAutospacing="0" w:after="0" w:afterAutospacing="0"/>
        <w:jc w:val="both"/>
        <w:rPr>
          <w:sz w:val="20"/>
          <w:szCs w:val="20"/>
        </w:rPr>
      </w:pPr>
      <w:r>
        <w:rPr>
          <w:sz w:val="20"/>
          <w:szCs w:val="20"/>
        </w:rPr>
        <w:t>       </w:t>
      </w:r>
      <w:r>
        <w:rPr>
          <w:sz w:val="20"/>
          <w:szCs w:val="20"/>
        </w:rPr>
        <w:t>The future minimum lease payments to be paid by the Company under noncancelable operating leases as of</w:t>
      </w:r>
      <w:r>
        <w:rPr>
          <w:sz w:val="20"/>
          <w:szCs w:val="20"/>
        </w:rPr>
        <w:t xml:space="preserve"> </w:t>
      </w:r>
      <w:r>
        <w:rPr>
          <w:rStyle w:val="a6"/>
          <w:i w:val="0"/>
          <w:iCs w:val="0"/>
          <w:sz w:val="20"/>
          <w:szCs w:val="20"/>
        </w:rPr>
        <w:t>December</w:t>
      </w:r>
      <w:r>
        <w:rPr>
          <w:rStyle w:val="a6"/>
          <w:i w:val="0"/>
          <w:iCs w:val="0"/>
          <w:sz w:val="20"/>
          <w:szCs w:val="20"/>
        </w:rPr>
        <w:t> </w:t>
      </w:r>
      <w:r>
        <w:rPr>
          <w:rStyle w:val="a6"/>
          <w:i w:val="0"/>
          <w:iCs w:val="0"/>
          <w:sz w:val="20"/>
          <w:szCs w:val="20"/>
        </w:rPr>
        <w:t>31,</w:t>
      </w:r>
      <w:r>
        <w:rPr>
          <w:sz w:val="20"/>
          <w:szCs w:val="20"/>
        </w:rPr>
        <w:t xml:space="preserve"> </w:t>
      </w:r>
      <w:r>
        <w:rPr>
          <w:rStyle w:val="a6"/>
          <w:i w:val="0"/>
          <w:iCs w:val="0"/>
          <w:sz w:val="20"/>
          <w:szCs w:val="20"/>
        </w:rPr>
        <w:t>2018,</w:t>
      </w:r>
      <w:r>
        <w:rPr>
          <w:sz w:val="20"/>
          <w:szCs w:val="20"/>
        </w:rPr>
        <w:t xml:space="preserve"> as reported in the</w:t>
      </w:r>
      <w:r>
        <w:rPr>
          <w:sz w:val="20"/>
          <w:szCs w:val="20"/>
        </w:rPr>
        <w:t xml:space="preserve"> </w:t>
      </w:r>
      <w:r>
        <w:rPr>
          <w:rStyle w:val="a6"/>
          <w:i w:val="0"/>
          <w:iCs w:val="0"/>
          <w:sz w:val="20"/>
          <w:szCs w:val="20"/>
        </w:rPr>
        <w:t>2018</w:t>
      </w:r>
      <w:r>
        <w:rPr>
          <w:sz w:val="20"/>
          <w:szCs w:val="20"/>
        </w:rPr>
        <w:t xml:space="preserve"> Annual Report on Form</w:t>
      </w:r>
      <w:r>
        <w:rPr>
          <w:sz w:val="20"/>
          <w:szCs w:val="20"/>
        </w:rPr>
        <w:t xml:space="preserve"> </w:t>
      </w:r>
      <w:r>
        <w:rPr>
          <w:rStyle w:val="a6"/>
          <w:i w:val="0"/>
          <w:iCs w:val="0"/>
          <w:sz w:val="20"/>
          <w:szCs w:val="20"/>
        </w:rPr>
        <w:t>10</w:t>
      </w:r>
      <w:r>
        <w:rPr>
          <w:sz w:val="20"/>
          <w:szCs w:val="20"/>
        </w:rPr>
        <w:t>-K for the year ended</w:t>
      </w:r>
      <w:r>
        <w:rPr>
          <w:sz w:val="20"/>
          <w:szCs w:val="20"/>
        </w:rPr>
        <w:t xml:space="preserve"> </w:t>
      </w:r>
      <w:r>
        <w:rPr>
          <w:rStyle w:val="a6"/>
          <w:i w:val="0"/>
          <w:iCs w:val="0"/>
          <w:sz w:val="20"/>
          <w:szCs w:val="20"/>
        </w:rPr>
        <w:t xml:space="preserve">December 31, 2018, </w:t>
      </w:r>
      <w:r>
        <w:rPr>
          <w:sz w:val="20"/>
          <w:szCs w:val="20"/>
        </w:rPr>
        <w:t>are as follows (in thousands):</w:t>
      </w:r>
    </w:p>
    <w:p w14:paraId="322E74FD" w14:textId="77777777" w:rsidR="00000000" w:rsidRDefault="0053651E">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5941"/>
        <w:gridCol w:w="88"/>
        <w:gridCol w:w="100"/>
        <w:gridCol w:w="1258"/>
        <w:gridCol w:w="88"/>
      </w:tblGrid>
      <w:tr w:rsidR="00000000" w14:paraId="1E3D1FED" w14:textId="77777777">
        <w:trPr>
          <w:tblCellSpacing w:w="0" w:type="dxa"/>
        </w:trPr>
        <w:tc>
          <w:tcPr>
            <w:tcW w:w="3300" w:type="pct"/>
            <w:tcBorders>
              <w:bottom w:val="single" w:sz="6" w:space="0" w:color="000000"/>
            </w:tcBorders>
            <w:vAlign w:val="bottom"/>
            <w:hideMark/>
          </w:tcPr>
          <w:p w14:paraId="3B4AE80D" w14:textId="77777777" w:rsidR="00000000" w:rsidRDefault="0053651E">
            <w:pPr>
              <w:pStyle w:val="a3"/>
              <w:spacing w:before="0" w:beforeAutospacing="0" w:after="0" w:afterAutospacing="0"/>
              <w:jc w:val="center"/>
              <w:rPr>
                <w:sz w:val="20"/>
                <w:szCs w:val="20"/>
              </w:rPr>
            </w:pPr>
            <w:r>
              <w:rPr>
                <w:b/>
                <w:bCs/>
                <w:sz w:val="20"/>
                <w:szCs w:val="20"/>
              </w:rPr>
              <w:t xml:space="preserve">Year Ending </w:t>
            </w:r>
            <w:r>
              <w:rPr>
                <w:b/>
                <w:bCs/>
                <w:sz w:val="20"/>
                <w:szCs w:val="20"/>
              </w:rPr>
              <w:t>December 31,</w:t>
            </w:r>
          </w:p>
        </w:tc>
        <w:tc>
          <w:tcPr>
            <w:tcW w:w="0" w:type="auto"/>
            <w:vAlign w:val="bottom"/>
            <w:hideMark/>
          </w:tcPr>
          <w:p w14:paraId="43B501E8" w14:textId="77777777" w:rsidR="00000000" w:rsidRDefault="0053651E">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1216EA31" w14:textId="77777777" w:rsidR="00000000" w:rsidRDefault="0053651E">
            <w:pPr>
              <w:pStyle w:val="a3"/>
              <w:spacing w:before="0" w:beforeAutospacing="0" w:after="0" w:afterAutospacing="0"/>
              <w:jc w:val="center"/>
              <w:rPr>
                <w:sz w:val="20"/>
                <w:szCs w:val="20"/>
              </w:rPr>
            </w:pPr>
            <w:r>
              <w:rPr>
                <w:sz w:val="20"/>
                <w:szCs w:val="20"/>
              </w:rPr>
              <w:t> </w:t>
            </w:r>
          </w:p>
        </w:tc>
        <w:tc>
          <w:tcPr>
            <w:tcW w:w="0" w:type="auto"/>
            <w:tcMar>
              <w:top w:w="0" w:type="dxa"/>
              <w:left w:w="0" w:type="dxa"/>
              <w:bottom w:w="15" w:type="dxa"/>
              <w:right w:w="0" w:type="dxa"/>
            </w:tcMar>
            <w:vAlign w:val="bottom"/>
            <w:hideMark/>
          </w:tcPr>
          <w:p w14:paraId="1423032A" w14:textId="77777777" w:rsidR="00000000" w:rsidRDefault="0053651E">
            <w:pPr>
              <w:rPr>
                <w:rFonts w:eastAsia="Times New Roman"/>
                <w:sz w:val="20"/>
                <w:szCs w:val="20"/>
              </w:rPr>
            </w:pPr>
            <w:r>
              <w:rPr>
                <w:rFonts w:eastAsia="Times New Roman"/>
                <w:sz w:val="20"/>
                <w:szCs w:val="20"/>
              </w:rPr>
              <w:t> </w:t>
            </w:r>
          </w:p>
        </w:tc>
      </w:tr>
      <w:tr w:rsidR="00000000" w14:paraId="3F24FC9D" w14:textId="77777777">
        <w:trPr>
          <w:tblCellSpacing w:w="0" w:type="dxa"/>
        </w:trPr>
        <w:tc>
          <w:tcPr>
            <w:tcW w:w="0" w:type="auto"/>
            <w:tcBorders>
              <w:bottom w:val="nil"/>
            </w:tcBorders>
            <w:shd w:val="clear" w:color="auto" w:fill="CCEEFF"/>
            <w:vAlign w:val="bottom"/>
            <w:hideMark/>
          </w:tcPr>
          <w:p w14:paraId="29FE8D62" w14:textId="77777777" w:rsidR="00000000" w:rsidRDefault="0053651E">
            <w:pPr>
              <w:pStyle w:val="a3"/>
              <w:spacing w:before="0" w:beforeAutospacing="0" w:after="0" w:afterAutospacing="0"/>
              <w:rPr>
                <w:sz w:val="20"/>
                <w:szCs w:val="20"/>
              </w:rPr>
            </w:pPr>
            <w:r>
              <w:rPr>
                <w:sz w:val="20"/>
                <w:szCs w:val="20"/>
              </w:rPr>
              <w:t>2019</w:t>
            </w:r>
          </w:p>
        </w:tc>
        <w:tc>
          <w:tcPr>
            <w:tcW w:w="50" w:type="pct"/>
            <w:tcBorders>
              <w:bottom w:val="nil"/>
            </w:tcBorders>
            <w:shd w:val="clear" w:color="auto" w:fill="CCEEFF"/>
            <w:vAlign w:val="bottom"/>
            <w:hideMark/>
          </w:tcPr>
          <w:p w14:paraId="2582AA9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0D823DA"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1EE41B5E" w14:textId="77777777" w:rsidR="00000000" w:rsidRDefault="0053651E">
            <w:pPr>
              <w:jc w:val="right"/>
              <w:rPr>
                <w:rFonts w:eastAsia="Times New Roman"/>
                <w:sz w:val="20"/>
                <w:szCs w:val="20"/>
              </w:rPr>
            </w:pPr>
            <w:r>
              <w:rPr>
                <w:rFonts w:eastAsia="Times New Roman"/>
                <w:sz w:val="20"/>
                <w:szCs w:val="20"/>
              </w:rPr>
              <w:t>12,206</w:t>
            </w:r>
          </w:p>
        </w:tc>
        <w:tc>
          <w:tcPr>
            <w:tcW w:w="50" w:type="pct"/>
            <w:tcBorders>
              <w:bottom w:val="nil"/>
            </w:tcBorders>
            <w:shd w:val="clear" w:color="auto" w:fill="CCEEFF"/>
            <w:vAlign w:val="bottom"/>
            <w:hideMark/>
          </w:tcPr>
          <w:p w14:paraId="2FFAAF54" w14:textId="77777777" w:rsidR="00000000" w:rsidRDefault="0053651E">
            <w:pPr>
              <w:rPr>
                <w:rFonts w:eastAsia="Times New Roman"/>
                <w:sz w:val="20"/>
                <w:szCs w:val="20"/>
              </w:rPr>
            </w:pPr>
            <w:r>
              <w:rPr>
                <w:rFonts w:eastAsia="Times New Roman"/>
                <w:sz w:val="20"/>
                <w:szCs w:val="20"/>
              </w:rPr>
              <w:t> </w:t>
            </w:r>
          </w:p>
        </w:tc>
      </w:tr>
      <w:tr w:rsidR="00000000" w14:paraId="6625BE3B" w14:textId="77777777">
        <w:trPr>
          <w:tblCellSpacing w:w="0" w:type="dxa"/>
        </w:trPr>
        <w:tc>
          <w:tcPr>
            <w:tcW w:w="0" w:type="auto"/>
            <w:shd w:val="clear" w:color="auto" w:fill="FFFFFF"/>
            <w:vAlign w:val="bottom"/>
            <w:hideMark/>
          </w:tcPr>
          <w:p w14:paraId="08FBD760" w14:textId="77777777" w:rsidR="00000000" w:rsidRDefault="0053651E">
            <w:pPr>
              <w:pStyle w:val="a3"/>
              <w:spacing w:before="0" w:beforeAutospacing="0" w:after="0" w:afterAutospacing="0"/>
              <w:rPr>
                <w:sz w:val="20"/>
                <w:szCs w:val="20"/>
              </w:rPr>
            </w:pPr>
            <w:r>
              <w:rPr>
                <w:sz w:val="20"/>
                <w:szCs w:val="20"/>
              </w:rPr>
              <w:t>2020</w:t>
            </w:r>
          </w:p>
        </w:tc>
        <w:tc>
          <w:tcPr>
            <w:tcW w:w="50" w:type="pct"/>
            <w:shd w:val="clear" w:color="auto" w:fill="FFFFFF"/>
            <w:vAlign w:val="bottom"/>
            <w:hideMark/>
          </w:tcPr>
          <w:p w14:paraId="408224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B23221"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E39F1C8" w14:textId="77777777" w:rsidR="00000000" w:rsidRDefault="0053651E">
            <w:pPr>
              <w:jc w:val="right"/>
              <w:rPr>
                <w:rFonts w:eastAsia="Times New Roman"/>
                <w:sz w:val="20"/>
                <w:szCs w:val="20"/>
              </w:rPr>
            </w:pPr>
            <w:r>
              <w:rPr>
                <w:rFonts w:eastAsia="Times New Roman"/>
                <w:sz w:val="20"/>
                <w:szCs w:val="20"/>
              </w:rPr>
              <w:t>9,901</w:t>
            </w:r>
          </w:p>
        </w:tc>
        <w:tc>
          <w:tcPr>
            <w:tcW w:w="50" w:type="pct"/>
            <w:shd w:val="clear" w:color="auto" w:fill="FFFFFF"/>
            <w:vAlign w:val="bottom"/>
            <w:hideMark/>
          </w:tcPr>
          <w:p w14:paraId="6FFD5EAB" w14:textId="77777777" w:rsidR="00000000" w:rsidRDefault="0053651E">
            <w:pPr>
              <w:rPr>
                <w:rFonts w:eastAsia="Times New Roman"/>
                <w:sz w:val="20"/>
                <w:szCs w:val="20"/>
              </w:rPr>
            </w:pPr>
            <w:r>
              <w:rPr>
                <w:rFonts w:eastAsia="Times New Roman"/>
                <w:sz w:val="20"/>
                <w:szCs w:val="20"/>
              </w:rPr>
              <w:t> </w:t>
            </w:r>
          </w:p>
        </w:tc>
      </w:tr>
      <w:tr w:rsidR="00000000" w14:paraId="4DB17277" w14:textId="77777777">
        <w:trPr>
          <w:tblCellSpacing w:w="0" w:type="dxa"/>
        </w:trPr>
        <w:tc>
          <w:tcPr>
            <w:tcW w:w="0" w:type="auto"/>
            <w:shd w:val="clear" w:color="auto" w:fill="CCEEFF"/>
            <w:vAlign w:val="bottom"/>
            <w:hideMark/>
          </w:tcPr>
          <w:p w14:paraId="50FFBDDE" w14:textId="77777777" w:rsidR="00000000" w:rsidRDefault="0053651E">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14:paraId="7E23BE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58873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B4811E3" w14:textId="77777777" w:rsidR="00000000" w:rsidRDefault="0053651E">
            <w:pPr>
              <w:jc w:val="right"/>
              <w:rPr>
                <w:rFonts w:eastAsia="Times New Roman"/>
                <w:sz w:val="20"/>
                <w:szCs w:val="20"/>
              </w:rPr>
            </w:pPr>
            <w:r>
              <w:rPr>
                <w:rFonts w:eastAsia="Times New Roman"/>
                <w:sz w:val="20"/>
                <w:szCs w:val="20"/>
              </w:rPr>
              <w:t>9,716</w:t>
            </w:r>
          </w:p>
        </w:tc>
        <w:tc>
          <w:tcPr>
            <w:tcW w:w="50" w:type="pct"/>
            <w:shd w:val="clear" w:color="auto" w:fill="CCEEFF"/>
            <w:vAlign w:val="bottom"/>
            <w:hideMark/>
          </w:tcPr>
          <w:p w14:paraId="06E30131" w14:textId="77777777" w:rsidR="00000000" w:rsidRDefault="0053651E">
            <w:pPr>
              <w:rPr>
                <w:rFonts w:eastAsia="Times New Roman"/>
                <w:sz w:val="20"/>
                <w:szCs w:val="20"/>
              </w:rPr>
            </w:pPr>
            <w:r>
              <w:rPr>
                <w:rFonts w:eastAsia="Times New Roman"/>
                <w:sz w:val="20"/>
                <w:szCs w:val="20"/>
              </w:rPr>
              <w:t> </w:t>
            </w:r>
          </w:p>
        </w:tc>
      </w:tr>
      <w:tr w:rsidR="00000000" w14:paraId="0ACBDC0F" w14:textId="77777777">
        <w:trPr>
          <w:tblCellSpacing w:w="0" w:type="dxa"/>
        </w:trPr>
        <w:tc>
          <w:tcPr>
            <w:tcW w:w="0" w:type="auto"/>
            <w:shd w:val="clear" w:color="auto" w:fill="FFFFFF"/>
            <w:vAlign w:val="bottom"/>
            <w:hideMark/>
          </w:tcPr>
          <w:p w14:paraId="2B812BE1" w14:textId="77777777" w:rsidR="00000000" w:rsidRDefault="0053651E">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14:paraId="157D18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2B588F"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8F16BD9" w14:textId="77777777" w:rsidR="00000000" w:rsidRDefault="0053651E">
            <w:pPr>
              <w:jc w:val="right"/>
              <w:rPr>
                <w:rFonts w:eastAsia="Times New Roman"/>
                <w:sz w:val="20"/>
                <w:szCs w:val="20"/>
              </w:rPr>
            </w:pPr>
            <w:r>
              <w:rPr>
                <w:rFonts w:eastAsia="Times New Roman"/>
                <w:sz w:val="20"/>
                <w:szCs w:val="20"/>
              </w:rPr>
              <w:t>9,236</w:t>
            </w:r>
          </w:p>
        </w:tc>
        <w:tc>
          <w:tcPr>
            <w:tcW w:w="50" w:type="pct"/>
            <w:shd w:val="clear" w:color="auto" w:fill="FFFFFF"/>
            <w:vAlign w:val="bottom"/>
            <w:hideMark/>
          </w:tcPr>
          <w:p w14:paraId="70C32E15" w14:textId="77777777" w:rsidR="00000000" w:rsidRDefault="0053651E">
            <w:pPr>
              <w:rPr>
                <w:rFonts w:eastAsia="Times New Roman"/>
                <w:sz w:val="20"/>
                <w:szCs w:val="20"/>
              </w:rPr>
            </w:pPr>
            <w:r>
              <w:rPr>
                <w:rFonts w:eastAsia="Times New Roman"/>
                <w:sz w:val="20"/>
                <w:szCs w:val="20"/>
              </w:rPr>
              <w:t> </w:t>
            </w:r>
          </w:p>
        </w:tc>
      </w:tr>
      <w:tr w:rsidR="00000000" w14:paraId="500C5666" w14:textId="77777777">
        <w:trPr>
          <w:tblCellSpacing w:w="0" w:type="dxa"/>
        </w:trPr>
        <w:tc>
          <w:tcPr>
            <w:tcW w:w="0" w:type="auto"/>
            <w:shd w:val="clear" w:color="auto" w:fill="CCEEFF"/>
            <w:vAlign w:val="bottom"/>
            <w:hideMark/>
          </w:tcPr>
          <w:p w14:paraId="49C5EBD0" w14:textId="77777777" w:rsidR="00000000" w:rsidRDefault="0053651E">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14:paraId="48F465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E7B32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DD0A11A" w14:textId="77777777" w:rsidR="00000000" w:rsidRDefault="0053651E">
            <w:pPr>
              <w:jc w:val="right"/>
              <w:rPr>
                <w:rFonts w:eastAsia="Times New Roman"/>
                <w:sz w:val="20"/>
                <w:szCs w:val="20"/>
              </w:rPr>
            </w:pPr>
            <w:r>
              <w:rPr>
                <w:rFonts w:eastAsia="Times New Roman"/>
                <w:sz w:val="20"/>
                <w:szCs w:val="20"/>
              </w:rPr>
              <w:t>8,936</w:t>
            </w:r>
          </w:p>
        </w:tc>
        <w:tc>
          <w:tcPr>
            <w:tcW w:w="50" w:type="pct"/>
            <w:shd w:val="clear" w:color="auto" w:fill="CCEEFF"/>
            <w:vAlign w:val="bottom"/>
            <w:hideMark/>
          </w:tcPr>
          <w:p w14:paraId="77C15CA6" w14:textId="77777777" w:rsidR="00000000" w:rsidRDefault="0053651E">
            <w:pPr>
              <w:rPr>
                <w:rFonts w:eastAsia="Times New Roman"/>
                <w:sz w:val="20"/>
                <w:szCs w:val="20"/>
              </w:rPr>
            </w:pPr>
            <w:r>
              <w:rPr>
                <w:rFonts w:eastAsia="Times New Roman"/>
                <w:sz w:val="20"/>
                <w:szCs w:val="20"/>
              </w:rPr>
              <w:t> </w:t>
            </w:r>
          </w:p>
        </w:tc>
      </w:tr>
      <w:tr w:rsidR="00000000" w14:paraId="11D3783D" w14:textId="77777777">
        <w:trPr>
          <w:tblCellSpacing w:w="0" w:type="dxa"/>
        </w:trPr>
        <w:tc>
          <w:tcPr>
            <w:tcW w:w="0" w:type="auto"/>
            <w:shd w:val="clear" w:color="auto" w:fill="FFFFFF"/>
            <w:vAlign w:val="bottom"/>
            <w:hideMark/>
          </w:tcPr>
          <w:p w14:paraId="045B57E8" w14:textId="77777777" w:rsidR="00000000" w:rsidRDefault="0053651E">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14:paraId="3F48126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F60ECB"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CA26FBD" w14:textId="77777777" w:rsidR="00000000" w:rsidRDefault="0053651E">
            <w:pPr>
              <w:jc w:val="right"/>
              <w:rPr>
                <w:rFonts w:eastAsia="Times New Roman"/>
                <w:sz w:val="20"/>
                <w:szCs w:val="20"/>
              </w:rPr>
            </w:pPr>
            <w:r>
              <w:rPr>
                <w:rFonts w:eastAsia="Times New Roman"/>
                <w:sz w:val="20"/>
                <w:szCs w:val="20"/>
              </w:rPr>
              <w:t>115,788</w:t>
            </w:r>
          </w:p>
        </w:tc>
        <w:tc>
          <w:tcPr>
            <w:tcW w:w="50" w:type="pct"/>
            <w:shd w:val="clear" w:color="auto" w:fill="FFFFFF"/>
            <w:tcMar>
              <w:top w:w="0" w:type="dxa"/>
              <w:left w:w="0" w:type="dxa"/>
              <w:bottom w:w="15" w:type="dxa"/>
              <w:right w:w="0" w:type="dxa"/>
            </w:tcMar>
            <w:vAlign w:val="bottom"/>
            <w:hideMark/>
          </w:tcPr>
          <w:p w14:paraId="5EA59860" w14:textId="77777777" w:rsidR="00000000" w:rsidRDefault="0053651E">
            <w:pPr>
              <w:rPr>
                <w:rFonts w:eastAsia="Times New Roman"/>
                <w:sz w:val="20"/>
                <w:szCs w:val="20"/>
              </w:rPr>
            </w:pPr>
            <w:r>
              <w:rPr>
                <w:rFonts w:eastAsia="Times New Roman"/>
                <w:sz w:val="20"/>
                <w:szCs w:val="20"/>
              </w:rPr>
              <w:t> </w:t>
            </w:r>
          </w:p>
        </w:tc>
      </w:tr>
      <w:tr w:rsidR="00000000" w14:paraId="48306560" w14:textId="77777777">
        <w:trPr>
          <w:tblCellSpacing w:w="0" w:type="dxa"/>
        </w:trPr>
        <w:tc>
          <w:tcPr>
            <w:tcW w:w="0" w:type="auto"/>
            <w:shd w:val="clear" w:color="auto" w:fill="CCEEFF"/>
            <w:vAlign w:val="bottom"/>
            <w:hideMark/>
          </w:tcPr>
          <w:p w14:paraId="78B87C12" w14:textId="77777777" w:rsidR="00000000" w:rsidRDefault="0053651E">
            <w:pPr>
              <w:rPr>
                <w:rFonts w:eastAsia="Times New Roman"/>
                <w:sz w:val="20"/>
                <w:szCs w:val="20"/>
              </w:rPr>
            </w:pPr>
            <w:r>
              <w:rPr>
                <w:rFonts w:eastAsia="Times New Roman"/>
                <w:sz w:val="20"/>
                <w:szCs w:val="20"/>
              </w:rPr>
              <w:t>Total minimum lease payments</w:t>
            </w:r>
          </w:p>
        </w:tc>
        <w:tc>
          <w:tcPr>
            <w:tcW w:w="50" w:type="pct"/>
            <w:shd w:val="clear" w:color="auto" w:fill="CCEEFF"/>
            <w:vAlign w:val="bottom"/>
            <w:hideMark/>
          </w:tcPr>
          <w:p w14:paraId="587CBC6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5534B4"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3D3C372" w14:textId="77777777" w:rsidR="00000000" w:rsidRDefault="0053651E">
            <w:pPr>
              <w:jc w:val="right"/>
              <w:rPr>
                <w:rFonts w:eastAsia="Times New Roman"/>
                <w:sz w:val="20"/>
                <w:szCs w:val="20"/>
              </w:rPr>
            </w:pPr>
            <w:r>
              <w:rPr>
                <w:rFonts w:eastAsia="Times New Roman"/>
                <w:sz w:val="20"/>
                <w:szCs w:val="20"/>
              </w:rPr>
              <w:t>165,783</w:t>
            </w:r>
          </w:p>
        </w:tc>
        <w:tc>
          <w:tcPr>
            <w:tcW w:w="50" w:type="pct"/>
            <w:shd w:val="clear" w:color="auto" w:fill="CCEEFF"/>
            <w:tcMar>
              <w:top w:w="0" w:type="dxa"/>
              <w:left w:w="0" w:type="dxa"/>
              <w:bottom w:w="45" w:type="dxa"/>
              <w:right w:w="0" w:type="dxa"/>
            </w:tcMar>
            <w:vAlign w:val="bottom"/>
            <w:hideMark/>
          </w:tcPr>
          <w:p w14:paraId="3DFDAF07" w14:textId="77777777" w:rsidR="00000000" w:rsidRDefault="0053651E">
            <w:pPr>
              <w:rPr>
                <w:rFonts w:eastAsia="Times New Roman"/>
                <w:sz w:val="20"/>
                <w:szCs w:val="20"/>
              </w:rPr>
            </w:pPr>
            <w:r>
              <w:rPr>
                <w:rFonts w:eastAsia="Times New Roman"/>
                <w:sz w:val="20"/>
                <w:szCs w:val="20"/>
              </w:rPr>
              <w:t> </w:t>
            </w:r>
          </w:p>
        </w:tc>
      </w:tr>
    </w:tbl>
    <w:p w14:paraId="03ADF8CF" w14:textId="77777777" w:rsidR="00000000" w:rsidRDefault="0053651E">
      <w:pPr>
        <w:pStyle w:val="a3"/>
        <w:spacing w:before="0" w:beforeAutospacing="0" w:after="0" w:afterAutospacing="0"/>
        <w:jc w:val="both"/>
        <w:rPr>
          <w:sz w:val="20"/>
          <w:szCs w:val="20"/>
        </w:rPr>
      </w:pPr>
      <w:r>
        <w:rPr>
          <w:sz w:val="20"/>
          <w:szCs w:val="20"/>
        </w:rPr>
        <w:t> </w:t>
      </w:r>
    </w:p>
    <w:p w14:paraId="442EC403" w14:textId="77777777" w:rsidR="00000000" w:rsidRDefault="0053651E">
      <w:pPr>
        <w:jc w:val="center"/>
        <w:divId w:val="400568957"/>
        <w:rPr>
          <w:rFonts w:eastAsia="Times New Roman"/>
          <w:sz w:val="20"/>
          <w:szCs w:val="20"/>
        </w:rPr>
      </w:pPr>
      <w:r>
        <w:rPr>
          <w:rStyle w:val="a6"/>
          <w:rFonts w:eastAsia="Times New Roman"/>
          <w:i w:val="0"/>
          <w:iCs w:val="0"/>
          <w:sz w:val="20"/>
          <w:szCs w:val="20"/>
        </w:rPr>
        <w:t>69</w:t>
      </w:r>
      <w:r>
        <w:rPr>
          <w:rFonts w:eastAsia="Times New Roman"/>
          <w:sz w:val="20"/>
          <w:szCs w:val="20"/>
        </w:rPr>
        <w:t xml:space="preserve"> </w:t>
      </w:r>
    </w:p>
    <w:p w14:paraId="51228460" w14:textId="77777777" w:rsidR="00000000" w:rsidRDefault="0053651E">
      <w:pPr>
        <w:divId w:val="400568957"/>
        <w:rPr>
          <w:rFonts w:eastAsia="Times New Roman"/>
          <w:sz w:val="20"/>
          <w:szCs w:val="20"/>
        </w:rPr>
      </w:pPr>
      <w:r>
        <w:rPr>
          <w:rFonts w:eastAsia="Times New Roman"/>
          <w:sz w:val="20"/>
          <w:szCs w:val="20"/>
        </w:rPr>
        <w:pict w14:anchorId="3E3946BE">
          <v:rect id="_x0000_i1100" style="width:415.3pt;height:1.5pt" o:hralign="center" o:hrstd="t" o:hrnoshade="t" o:hr="t" fillcolor="black" stroked="f"/>
        </w:pict>
      </w:r>
    </w:p>
    <w:p w14:paraId="343D362F" w14:textId="77777777" w:rsidR="00000000" w:rsidRDefault="0053651E">
      <w:pPr>
        <w:divId w:val="4005689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B5484B7" w14:textId="77777777" w:rsidR="00000000" w:rsidRDefault="0053651E">
      <w:pPr>
        <w:pStyle w:val="a3"/>
        <w:spacing w:before="0" w:beforeAutospacing="0" w:after="0" w:afterAutospacing="0"/>
        <w:rPr>
          <w:sz w:val="20"/>
          <w:szCs w:val="20"/>
        </w:rPr>
      </w:pPr>
      <w:r>
        <w:rPr>
          <w:sz w:val="20"/>
          <w:szCs w:val="20"/>
        </w:rPr>
        <w:t> </w:t>
      </w:r>
    </w:p>
    <w:p w14:paraId="64741993"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550605FA" w14:textId="77777777" w:rsidR="00000000" w:rsidRDefault="0053651E">
      <w:pPr>
        <w:pStyle w:val="a3"/>
        <w:spacing w:before="0" w:beforeAutospacing="0" w:after="0" w:afterAutospacing="0"/>
        <w:jc w:val="center"/>
        <w:rPr>
          <w:sz w:val="20"/>
          <w:szCs w:val="20"/>
        </w:rPr>
      </w:pPr>
      <w:r>
        <w:rPr>
          <w:sz w:val="20"/>
          <w:szCs w:val="20"/>
        </w:rPr>
        <w:t> </w:t>
      </w:r>
    </w:p>
    <w:p w14:paraId="63201F09"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62538697" w14:textId="77777777" w:rsidR="00000000" w:rsidRDefault="0053651E">
      <w:pPr>
        <w:pStyle w:val="a3"/>
        <w:spacing w:before="0" w:beforeAutospacing="0" w:after="0" w:afterAutospacing="0"/>
        <w:rPr>
          <w:sz w:val="20"/>
          <w:szCs w:val="20"/>
        </w:rPr>
      </w:pPr>
      <w:r>
        <w:rPr>
          <w:sz w:val="20"/>
          <w:szCs w:val="20"/>
        </w:rPr>
        <w:t> </w:t>
      </w:r>
    </w:p>
    <w:p w14:paraId="395F4565" w14:textId="77777777" w:rsidR="00000000" w:rsidRDefault="0053651E">
      <w:pPr>
        <w:divId w:val="1993948686"/>
        <w:rPr>
          <w:rFonts w:eastAsia="Times New Roman"/>
          <w:sz w:val="20"/>
          <w:szCs w:val="20"/>
        </w:rPr>
      </w:pPr>
      <w:r>
        <w:rPr>
          <w:rFonts w:eastAsia="Times New Roman"/>
          <w:sz w:val="20"/>
          <w:szCs w:val="20"/>
        </w:rPr>
        <w:t xml:space="preserve">  </w:t>
      </w:r>
    </w:p>
    <w:p w14:paraId="16F5F4CF" w14:textId="77777777" w:rsidR="00000000" w:rsidRDefault="0053651E">
      <w:pPr>
        <w:pStyle w:val="a3"/>
        <w:spacing w:before="0" w:beforeAutospacing="0" w:after="0" w:afterAutospacing="0"/>
        <w:rPr>
          <w:sz w:val="20"/>
          <w:szCs w:val="20"/>
        </w:rPr>
      </w:pPr>
      <w:r>
        <w:rPr>
          <w:rStyle w:val="a6"/>
          <w:i w:val="0"/>
          <w:iCs w:val="0"/>
          <w:sz w:val="20"/>
          <w:szCs w:val="20"/>
        </w:rPr>
        <w:t>11.</w:t>
      </w:r>
      <w:r>
        <w:rPr>
          <w:sz w:val="20"/>
          <w:szCs w:val="20"/>
        </w:rPr>
        <w:t>  </w:t>
      </w:r>
      <w:r>
        <w:rPr>
          <w:sz w:val="20"/>
          <w:szCs w:val="20"/>
          <w:u w:val="single"/>
        </w:rPr>
        <w:t>Other Assets</w:t>
      </w:r>
      <w:r>
        <w:rPr>
          <w:sz w:val="20"/>
          <w:szCs w:val="20"/>
        </w:rPr>
        <w:t>:</w:t>
      </w:r>
    </w:p>
    <w:p w14:paraId="74BD56C1" w14:textId="77777777" w:rsidR="00000000" w:rsidRDefault="0053651E">
      <w:pPr>
        <w:pStyle w:val="a3"/>
        <w:spacing w:before="0" w:beforeAutospacing="0" w:after="0" w:afterAutospacing="0"/>
        <w:rPr>
          <w:sz w:val="20"/>
          <w:szCs w:val="20"/>
        </w:rPr>
      </w:pPr>
      <w:r>
        <w:rPr>
          <w:sz w:val="20"/>
          <w:szCs w:val="20"/>
        </w:rPr>
        <w:t> </w:t>
      </w:r>
    </w:p>
    <w:p w14:paraId="1EB614BD" w14:textId="77777777" w:rsidR="00000000" w:rsidRDefault="0053651E">
      <w:pPr>
        <w:pStyle w:val="a3"/>
        <w:spacing w:before="0" w:beforeAutospacing="0" w:after="0" w:afterAutospacing="0"/>
        <w:rPr>
          <w:sz w:val="20"/>
          <w:szCs w:val="20"/>
        </w:rPr>
      </w:pPr>
      <w:r>
        <w:rPr>
          <w:i/>
          <w:iCs/>
          <w:sz w:val="20"/>
          <w:szCs w:val="20"/>
        </w:rPr>
        <w:t>Mortgages and Other Financing Receivables</w:t>
      </w:r>
    </w:p>
    <w:p w14:paraId="4A465C6B" w14:textId="77777777" w:rsidR="00000000" w:rsidRDefault="0053651E">
      <w:pPr>
        <w:pStyle w:val="a3"/>
        <w:spacing w:before="0" w:beforeAutospacing="0" w:after="0" w:afterAutospacing="0"/>
        <w:rPr>
          <w:sz w:val="20"/>
          <w:szCs w:val="20"/>
        </w:rPr>
      </w:pPr>
      <w:r>
        <w:rPr>
          <w:i/>
          <w:iCs/>
          <w:sz w:val="20"/>
          <w:szCs w:val="20"/>
        </w:rPr>
        <w:t> </w:t>
      </w:r>
    </w:p>
    <w:p w14:paraId="085452D6" w14:textId="77777777" w:rsidR="00000000" w:rsidRDefault="0053651E">
      <w:pPr>
        <w:pStyle w:val="a3"/>
        <w:spacing w:before="0" w:beforeAutospacing="0" w:after="0" w:afterAutospacing="0"/>
        <w:ind w:left="360"/>
        <w:jc w:val="both"/>
        <w:rPr>
          <w:sz w:val="20"/>
          <w:szCs w:val="20"/>
        </w:rPr>
      </w:pPr>
      <w:r>
        <w:rPr>
          <w:sz w:val="20"/>
          <w:szCs w:val="20"/>
        </w:rPr>
        <w:t>The Company has various mortgages and other financing receivables which consist of loans acquired and loans originated by the Company. For a complete listing of the Company’s mortgages and other financing receiva</w:t>
      </w:r>
      <w:r>
        <w:rPr>
          <w:sz w:val="20"/>
          <w:szCs w:val="20"/>
        </w:rPr>
        <w:t>bles at</w:t>
      </w:r>
      <w:r>
        <w:rPr>
          <w:sz w:val="20"/>
          <w:szCs w:val="20"/>
        </w:rPr>
        <w:t xml:space="preserve"> </w:t>
      </w:r>
      <w:r>
        <w:rPr>
          <w:rStyle w:val="a6"/>
          <w:i w:val="0"/>
          <w:iCs w:val="0"/>
          <w:sz w:val="20"/>
          <w:szCs w:val="20"/>
        </w:rPr>
        <w:t xml:space="preserve">December 31, 2019, </w:t>
      </w:r>
      <w:r>
        <w:rPr>
          <w:sz w:val="20"/>
          <w:szCs w:val="20"/>
        </w:rPr>
        <w:t>see Financial Statement Schedule IV included in this annual report on Form</w:t>
      </w:r>
      <w:r>
        <w:rPr>
          <w:sz w:val="20"/>
          <w:szCs w:val="20"/>
        </w:rPr>
        <w:t xml:space="preserve"> </w:t>
      </w:r>
      <w:r>
        <w:rPr>
          <w:rStyle w:val="a6"/>
          <w:i w:val="0"/>
          <w:iCs w:val="0"/>
          <w:sz w:val="20"/>
          <w:szCs w:val="20"/>
        </w:rPr>
        <w:t>10</w:t>
      </w:r>
      <w:r>
        <w:rPr>
          <w:sz w:val="20"/>
          <w:szCs w:val="20"/>
        </w:rPr>
        <w:t>-K.</w:t>
      </w:r>
    </w:p>
    <w:p w14:paraId="25FA86AE" w14:textId="77777777" w:rsidR="00000000" w:rsidRDefault="0053651E">
      <w:pPr>
        <w:pStyle w:val="a3"/>
        <w:spacing w:before="0" w:beforeAutospacing="0" w:after="0" w:afterAutospacing="0"/>
        <w:ind w:left="360"/>
        <w:jc w:val="both"/>
        <w:rPr>
          <w:sz w:val="20"/>
          <w:szCs w:val="20"/>
        </w:rPr>
      </w:pPr>
      <w:r>
        <w:rPr>
          <w:sz w:val="20"/>
          <w:szCs w:val="20"/>
        </w:rPr>
        <w:t> </w:t>
      </w:r>
    </w:p>
    <w:p w14:paraId="170D77C3" w14:textId="77777777" w:rsidR="00000000" w:rsidRDefault="0053651E">
      <w:pPr>
        <w:pStyle w:val="a3"/>
        <w:spacing w:before="0" w:beforeAutospacing="0" w:after="0" w:afterAutospacing="0"/>
        <w:ind w:left="360"/>
        <w:jc w:val="both"/>
        <w:rPr>
          <w:sz w:val="20"/>
          <w:szCs w:val="20"/>
        </w:rPr>
      </w:pPr>
      <w:r>
        <w:rPr>
          <w:sz w:val="20"/>
          <w:szCs w:val="20"/>
        </w:rPr>
        <w:t>The following table reconciles mortgage loans and other financing receivables from</w:t>
      </w:r>
      <w:r>
        <w:rPr>
          <w:sz w:val="20"/>
          <w:szCs w:val="20"/>
        </w:rPr>
        <w:t xml:space="preserve"> </w:t>
      </w:r>
      <w:r>
        <w:rPr>
          <w:rStyle w:val="a6"/>
          <w:i w:val="0"/>
          <w:iCs w:val="0"/>
          <w:sz w:val="20"/>
          <w:szCs w:val="20"/>
        </w:rPr>
        <w:t>January 1, 2017 </w:t>
      </w:r>
      <w:r>
        <w:rPr>
          <w:sz w:val="20"/>
          <w:szCs w:val="20"/>
        </w:rPr>
        <w:t>to</w:t>
      </w:r>
      <w:r>
        <w:rPr>
          <w:sz w:val="20"/>
          <w:szCs w:val="20"/>
        </w:rPr>
        <w:t xml:space="preserve"> </w:t>
      </w:r>
      <w:r>
        <w:rPr>
          <w:rStyle w:val="a6"/>
          <w:i w:val="0"/>
          <w:iCs w:val="0"/>
          <w:sz w:val="20"/>
          <w:szCs w:val="20"/>
        </w:rPr>
        <w:t>December 31, 2019 (</w:t>
      </w:r>
      <w:r>
        <w:rPr>
          <w:sz w:val="20"/>
          <w:szCs w:val="20"/>
        </w:rPr>
        <w:t>in thousands):</w:t>
      </w:r>
    </w:p>
    <w:p w14:paraId="7AB8304E" w14:textId="77777777" w:rsidR="00000000" w:rsidRDefault="0053651E">
      <w:pPr>
        <w:pStyle w:val="a3"/>
        <w:spacing w:before="0" w:beforeAutospacing="0" w:after="0" w:afterAutospacing="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7"/>
        <w:gridCol w:w="61"/>
        <w:gridCol w:w="100"/>
        <w:gridCol w:w="1049"/>
        <w:gridCol w:w="67"/>
        <w:gridCol w:w="56"/>
        <w:gridCol w:w="100"/>
        <w:gridCol w:w="1049"/>
        <w:gridCol w:w="67"/>
        <w:gridCol w:w="57"/>
        <w:gridCol w:w="100"/>
        <w:gridCol w:w="1050"/>
        <w:gridCol w:w="67"/>
      </w:tblGrid>
      <w:tr w:rsidR="00000000" w14:paraId="5A6153BA" w14:textId="77777777">
        <w:trPr>
          <w:tblCellSpacing w:w="0" w:type="dxa"/>
        </w:trPr>
        <w:tc>
          <w:tcPr>
            <w:tcW w:w="0" w:type="auto"/>
            <w:vAlign w:val="bottom"/>
            <w:hideMark/>
          </w:tcPr>
          <w:p w14:paraId="0722109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0E2DB8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0BA041" w14:textId="77777777" w:rsidR="00000000" w:rsidRDefault="0053651E">
            <w:pPr>
              <w:pStyle w:val="a3"/>
              <w:spacing w:before="0" w:beforeAutospacing="0" w:after="0" w:afterAutospacing="0"/>
              <w:jc w:val="center"/>
              <w:rPr>
                <w:sz w:val="20"/>
                <w:szCs w:val="20"/>
              </w:rPr>
            </w:pPr>
            <w:r>
              <w:rPr>
                <w:b/>
                <w:bCs/>
                <w:sz w:val="20"/>
                <w:szCs w:val="20"/>
              </w:rPr>
              <w:t>201</w:t>
            </w:r>
            <w:r>
              <w:rPr>
                <w:b/>
                <w:bCs/>
                <w:sz w:val="20"/>
                <w:szCs w:val="20"/>
              </w:rPr>
              <w:t>9</w:t>
            </w:r>
          </w:p>
        </w:tc>
        <w:tc>
          <w:tcPr>
            <w:tcW w:w="0" w:type="auto"/>
            <w:tcMar>
              <w:top w:w="0" w:type="dxa"/>
              <w:left w:w="0" w:type="dxa"/>
              <w:bottom w:w="15" w:type="dxa"/>
              <w:right w:w="0" w:type="dxa"/>
            </w:tcMar>
            <w:vAlign w:val="bottom"/>
            <w:hideMark/>
          </w:tcPr>
          <w:p w14:paraId="0B0FC6E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74DD42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FD1706D"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20D2FAB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8E8EE5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0D1BE1"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40F38C7C" w14:textId="77777777" w:rsidR="00000000" w:rsidRDefault="0053651E">
            <w:pPr>
              <w:rPr>
                <w:rFonts w:eastAsia="Times New Roman"/>
                <w:sz w:val="20"/>
                <w:szCs w:val="20"/>
              </w:rPr>
            </w:pPr>
            <w:r>
              <w:rPr>
                <w:rFonts w:eastAsia="Times New Roman"/>
                <w:sz w:val="20"/>
                <w:szCs w:val="20"/>
              </w:rPr>
              <w:t> </w:t>
            </w:r>
          </w:p>
        </w:tc>
      </w:tr>
      <w:tr w:rsidR="00000000" w14:paraId="7D774509" w14:textId="77777777">
        <w:trPr>
          <w:tblCellSpacing w:w="0" w:type="dxa"/>
        </w:trPr>
        <w:tc>
          <w:tcPr>
            <w:tcW w:w="2300" w:type="pct"/>
            <w:shd w:val="clear" w:color="auto" w:fill="CCEEFF"/>
            <w:vAlign w:val="bottom"/>
            <w:hideMark/>
          </w:tcPr>
          <w:p w14:paraId="62D5E8E0" w14:textId="77777777" w:rsidR="00000000" w:rsidRDefault="0053651E">
            <w:pPr>
              <w:pStyle w:val="a3"/>
              <w:spacing w:before="0" w:beforeAutospacing="0" w:after="0" w:afterAutospacing="0"/>
              <w:rPr>
                <w:sz w:val="20"/>
                <w:szCs w:val="20"/>
              </w:rPr>
            </w:pPr>
            <w:r>
              <w:rPr>
                <w:sz w:val="20"/>
                <w:szCs w:val="20"/>
              </w:rPr>
              <w:t>Balance at January 1,</w:t>
            </w:r>
          </w:p>
        </w:tc>
        <w:tc>
          <w:tcPr>
            <w:tcW w:w="50" w:type="pct"/>
            <w:tcBorders>
              <w:bottom w:val="nil"/>
            </w:tcBorders>
            <w:shd w:val="clear" w:color="auto" w:fill="CCEEFF"/>
            <w:vAlign w:val="bottom"/>
            <w:hideMark/>
          </w:tcPr>
          <w:p w14:paraId="4353BF3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EDB01F5"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2E70C91" w14:textId="77777777" w:rsidR="00000000" w:rsidRDefault="0053651E">
            <w:pPr>
              <w:jc w:val="right"/>
              <w:rPr>
                <w:rFonts w:eastAsia="Times New Roman"/>
                <w:sz w:val="20"/>
                <w:szCs w:val="20"/>
              </w:rPr>
            </w:pPr>
            <w:r>
              <w:rPr>
                <w:rFonts w:eastAsia="Times New Roman"/>
                <w:sz w:val="20"/>
                <w:szCs w:val="20"/>
              </w:rPr>
              <w:t>14,448</w:t>
            </w:r>
          </w:p>
        </w:tc>
        <w:tc>
          <w:tcPr>
            <w:tcW w:w="50" w:type="pct"/>
            <w:tcBorders>
              <w:bottom w:val="nil"/>
            </w:tcBorders>
            <w:shd w:val="clear" w:color="auto" w:fill="CCEEFF"/>
            <w:vAlign w:val="bottom"/>
            <w:hideMark/>
          </w:tcPr>
          <w:p w14:paraId="64D9D43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3AE3A8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E077DD9"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2073A189" w14:textId="77777777" w:rsidR="00000000" w:rsidRDefault="0053651E">
            <w:pPr>
              <w:jc w:val="right"/>
              <w:rPr>
                <w:rFonts w:eastAsia="Times New Roman"/>
                <w:sz w:val="20"/>
                <w:szCs w:val="20"/>
              </w:rPr>
            </w:pPr>
            <w:r>
              <w:rPr>
                <w:rFonts w:eastAsia="Times New Roman"/>
                <w:sz w:val="20"/>
                <w:szCs w:val="20"/>
              </w:rPr>
              <w:t>21,838</w:t>
            </w:r>
          </w:p>
        </w:tc>
        <w:tc>
          <w:tcPr>
            <w:tcW w:w="50" w:type="pct"/>
            <w:tcBorders>
              <w:bottom w:val="nil"/>
            </w:tcBorders>
            <w:shd w:val="clear" w:color="auto" w:fill="CCEEFF"/>
            <w:vAlign w:val="bottom"/>
            <w:hideMark/>
          </w:tcPr>
          <w:p w14:paraId="0F08C4F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E79C49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0770AC1"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71E44F4C" w14:textId="77777777" w:rsidR="00000000" w:rsidRDefault="0053651E">
            <w:pPr>
              <w:jc w:val="right"/>
              <w:rPr>
                <w:rFonts w:eastAsia="Times New Roman"/>
                <w:sz w:val="20"/>
                <w:szCs w:val="20"/>
              </w:rPr>
            </w:pPr>
            <w:r>
              <w:rPr>
                <w:rFonts w:eastAsia="Times New Roman"/>
                <w:sz w:val="20"/>
                <w:szCs w:val="20"/>
              </w:rPr>
              <w:t>23,197</w:t>
            </w:r>
          </w:p>
        </w:tc>
        <w:tc>
          <w:tcPr>
            <w:tcW w:w="50" w:type="pct"/>
            <w:tcBorders>
              <w:bottom w:val="nil"/>
            </w:tcBorders>
            <w:shd w:val="clear" w:color="auto" w:fill="CCEEFF"/>
            <w:vAlign w:val="bottom"/>
            <w:hideMark/>
          </w:tcPr>
          <w:p w14:paraId="5EC317DC" w14:textId="77777777" w:rsidR="00000000" w:rsidRDefault="0053651E">
            <w:pPr>
              <w:rPr>
                <w:rFonts w:eastAsia="Times New Roman"/>
                <w:sz w:val="20"/>
                <w:szCs w:val="20"/>
              </w:rPr>
            </w:pPr>
            <w:r>
              <w:rPr>
                <w:rFonts w:eastAsia="Times New Roman"/>
                <w:sz w:val="20"/>
                <w:szCs w:val="20"/>
              </w:rPr>
              <w:t> </w:t>
            </w:r>
          </w:p>
        </w:tc>
      </w:tr>
      <w:tr w:rsidR="00000000" w14:paraId="1DC7B05E" w14:textId="77777777">
        <w:trPr>
          <w:tblCellSpacing w:w="0" w:type="dxa"/>
        </w:trPr>
        <w:tc>
          <w:tcPr>
            <w:tcW w:w="0" w:type="auto"/>
            <w:shd w:val="clear" w:color="auto" w:fill="FFFFFF"/>
            <w:vAlign w:val="bottom"/>
            <w:hideMark/>
          </w:tcPr>
          <w:p w14:paraId="63A05C9C" w14:textId="77777777" w:rsidR="00000000" w:rsidRDefault="0053651E">
            <w:pPr>
              <w:pStyle w:val="a3"/>
              <w:spacing w:before="0" w:beforeAutospacing="0" w:after="0" w:afterAutospacing="0"/>
              <w:rPr>
                <w:sz w:val="20"/>
                <w:szCs w:val="20"/>
              </w:rPr>
            </w:pPr>
            <w:r>
              <w:rPr>
                <w:sz w:val="20"/>
                <w:szCs w:val="20"/>
              </w:rPr>
              <w:t>Additions:</w:t>
            </w:r>
          </w:p>
        </w:tc>
        <w:tc>
          <w:tcPr>
            <w:tcW w:w="0" w:type="auto"/>
            <w:shd w:val="clear" w:color="auto" w:fill="FFFFFF"/>
            <w:vAlign w:val="bottom"/>
            <w:hideMark/>
          </w:tcPr>
          <w:p w14:paraId="1A0DADB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CDB4D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FB63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1EE7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8B81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A674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9C9D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21BC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031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418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4502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3EBBE" w14:textId="77777777" w:rsidR="00000000" w:rsidRDefault="0053651E">
            <w:pPr>
              <w:rPr>
                <w:rFonts w:eastAsia="Times New Roman"/>
                <w:sz w:val="20"/>
                <w:szCs w:val="20"/>
              </w:rPr>
            </w:pPr>
            <w:r>
              <w:rPr>
                <w:rFonts w:eastAsia="Times New Roman"/>
                <w:sz w:val="20"/>
                <w:szCs w:val="20"/>
              </w:rPr>
              <w:t> </w:t>
            </w:r>
          </w:p>
        </w:tc>
      </w:tr>
      <w:tr w:rsidR="00000000" w14:paraId="250E034A" w14:textId="77777777">
        <w:trPr>
          <w:tblCellSpacing w:w="0" w:type="dxa"/>
        </w:trPr>
        <w:tc>
          <w:tcPr>
            <w:tcW w:w="0" w:type="auto"/>
            <w:shd w:val="clear" w:color="auto" w:fill="CCEEFF"/>
            <w:vAlign w:val="bottom"/>
            <w:hideMark/>
          </w:tcPr>
          <w:p w14:paraId="10C5BF8C" w14:textId="77777777" w:rsidR="00000000" w:rsidRDefault="0053651E">
            <w:pPr>
              <w:pStyle w:val="a3"/>
              <w:spacing w:before="0" w:beforeAutospacing="0" w:after="0" w:afterAutospacing="0"/>
              <w:ind w:left="180"/>
              <w:rPr>
                <w:sz w:val="20"/>
                <w:szCs w:val="20"/>
              </w:rPr>
            </w:pPr>
            <w:r>
              <w:rPr>
                <w:sz w:val="20"/>
                <w:szCs w:val="20"/>
              </w:rPr>
              <w:t>New mortgage loans</w:t>
            </w:r>
          </w:p>
        </w:tc>
        <w:tc>
          <w:tcPr>
            <w:tcW w:w="50" w:type="pct"/>
            <w:shd w:val="clear" w:color="auto" w:fill="CCEEFF"/>
            <w:vAlign w:val="bottom"/>
            <w:hideMark/>
          </w:tcPr>
          <w:p w14:paraId="0D5216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3918D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67B9BBF" w14:textId="77777777" w:rsidR="00000000" w:rsidRDefault="0053651E">
            <w:pPr>
              <w:jc w:val="right"/>
              <w:rPr>
                <w:rFonts w:eastAsia="Times New Roman"/>
                <w:sz w:val="20"/>
                <w:szCs w:val="20"/>
              </w:rPr>
            </w:pPr>
            <w:r>
              <w:rPr>
                <w:rFonts w:eastAsia="Times New Roman"/>
                <w:sz w:val="20"/>
                <w:szCs w:val="20"/>
              </w:rPr>
              <w:t>3,750</w:t>
            </w:r>
          </w:p>
        </w:tc>
        <w:tc>
          <w:tcPr>
            <w:tcW w:w="50" w:type="pct"/>
            <w:shd w:val="clear" w:color="auto" w:fill="CCEEFF"/>
            <w:vAlign w:val="bottom"/>
            <w:hideMark/>
          </w:tcPr>
          <w:p w14:paraId="6F12B0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08F3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7B752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84A0453" w14:textId="77777777" w:rsidR="00000000" w:rsidRDefault="0053651E">
            <w:pPr>
              <w:jc w:val="right"/>
              <w:rPr>
                <w:rFonts w:eastAsia="Times New Roman"/>
                <w:sz w:val="20"/>
                <w:szCs w:val="20"/>
              </w:rPr>
            </w:pPr>
            <w:r>
              <w:rPr>
                <w:rFonts w:eastAsia="Times New Roman"/>
                <w:sz w:val="20"/>
                <w:szCs w:val="20"/>
              </w:rPr>
              <w:t>14,825</w:t>
            </w:r>
          </w:p>
        </w:tc>
        <w:tc>
          <w:tcPr>
            <w:tcW w:w="50" w:type="pct"/>
            <w:shd w:val="clear" w:color="auto" w:fill="CCEEFF"/>
            <w:vAlign w:val="bottom"/>
            <w:hideMark/>
          </w:tcPr>
          <w:p w14:paraId="2A94D5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E161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689C51"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F41A27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401D326" w14:textId="77777777" w:rsidR="00000000" w:rsidRDefault="0053651E">
            <w:pPr>
              <w:rPr>
                <w:rFonts w:eastAsia="Times New Roman"/>
                <w:sz w:val="20"/>
                <w:szCs w:val="20"/>
              </w:rPr>
            </w:pPr>
            <w:r>
              <w:rPr>
                <w:rFonts w:eastAsia="Times New Roman"/>
                <w:sz w:val="20"/>
                <w:szCs w:val="20"/>
              </w:rPr>
              <w:t> </w:t>
            </w:r>
          </w:p>
        </w:tc>
      </w:tr>
      <w:tr w:rsidR="00000000" w14:paraId="479FB065" w14:textId="77777777">
        <w:trPr>
          <w:tblCellSpacing w:w="0" w:type="dxa"/>
        </w:trPr>
        <w:tc>
          <w:tcPr>
            <w:tcW w:w="0" w:type="auto"/>
            <w:shd w:val="clear" w:color="auto" w:fill="FFFFFF"/>
            <w:vAlign w:val="bottom"/>
            <w:hideMark/>
          </w:tcPr>
          <w:p w14:paraId="25A10759" w14:textId="77777777" w:rsidR="00000000" w:rsidRDefault="0053651E">
            <w:pPr>
              <w:pStyle w:val="a3"/>
              <w:spacing w:before="0" w:beforeAutospacing="0" w:after="0" w:afterAutospacing="0"/>
              <w:ind w:left="180"/>
              <w:rPr>
                <w:sz w:val="20"/>
                <w:szCs w:val="20"/>
              </w:rPr>
            </w:pPr>
            <w:r>
              <w:rPr>
                <w:sz w:val="20"/>
                <w:szCs w:val="20"/>
              </w:rPr>
              <w:t>Additions under existing mortgage loans</w:t>
            </w:r>
          </w:p>
        </w:tc>
        <w:tc>
          <w:tcPr>
            <w:tcW w:w="50" w:type="pct"/>
            <w:shd w:val="clear" w:color="auto" w:fill="FFFFFF"/>
            <w:vAlign w:val="bottom"/>
            <w:hideMark/>
          </w:tcPr>
          <w:p w14:paraId="2DA3B6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9E20AC"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9585933" w14:textId="77777777" w:rsidR="00000000" w:rsidRDefault="0053651E">
            <w:pPr>
              <w:jc w:val="right"/>
              <w:rPr>
                <w:rFonts w:eastAsia="Times New Roman"/>
                <w:sz w:val="20"/>
                <w:szCs w:val="20"/>
              </w:rPr>
            </w:pPr>
            <w:r>
              <w:rPr>
                <w:rFonts w:eastAsia="Times New Roman"/>
                <w:sz w:val="20"/>
                <w:szCs w:val="20"/>
              </w:rPr>
              <w:t>48</w:t>
            </w:r>
          </w:p>
        </w:tc>
        <w:tc>
          <w:tcPr>
            <w:tcW w:w="50" w:type="pct"/>
            <w:shd w:val="clear" w:color="auto" w:fill="FFFFFF"/>
            <w:vAlign w:val="bottom"/>
            <w:hideMark/>
          </w:tcPr>
          <w:p w14:paraId="2D62D6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DD88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EC26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B05D62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9F612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2336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F013D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235F26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AA218D6" w14:textId="77777777" w:rsidR="00000000" w:rsidRDefault="0053651E">
            <w:pPr>
              <w:rPr>
                <w:rFonts w:eastAsia="Times New Roman"/>
                <w:sz w:val="20"/>
                <w:szCs w:val="20"/>
              </w:rPr>
            </w:pPr>
            <w:r>
              <w:rPr>
                <w:rFonts w:eastAsia="Times New Roman"/>
                <w:sz w:val="20"/>
                <w:szCs w:val="20"/>
              </w:rPr>
              <w:t> </w:t>
            </w:r>
          </w:p>
        </w:tc>
      </w:tr>
      <w:tr w:rsidR="00000000" w14:paraId="22235A5C" w14:textId="77777777">
        <w:trPr>
          <w:tblCellSpacing w:w="0" w:type="dxa"/>
        </w:trPr>
        <w:tc>
          <w:tcPr>
            <w:tcW w:w="0" w:type="auto"/>
            <w:shd w:val="clear" w:color="auto" w:fill="CCEEFF"/>
            <w:vAlign w:val="bottom"/>
            <w:hideMark/>
          </w:tcPr>
          <w:p w14:paraId="543EE6AF" w14:textId="77777777" w:rsidR="00000000" w:rsidRDefault="0053651E">
            <w:pPr>
              <w:pStyle w:val="a3"/>
              <w:spacing w:before="0" w:beforeAutospacing="0" w:after="0" w:afterAutospacing="0"/>
              <w:ind w:left="180"/>
              <w:rPr>
                <w:sz w:val="20"/>
                <w:szCs w:val="20"/>
              </w:rPr>
            </w:pPr>
            <w:r>
              <w:rPr>
                <w:sz w:val="20"/>
                <w:szCs w:val="20"/>
              </w:rPr>
              <w:t>Foreign currency translation</w:t>
            </w:r>
          </w:p>
        </w:tc>
        <w:tc>
          <w:tcPr>
            <w:tcW w:w="50" w:type="pct"/>
            <w:shd w:val="clear" w:color="auto" w:fill="CCEEFF"/>
            <w:vAlign w:val="bottom"/>
            <w:hideMark/>
          </w:tcPr>
          <w:p w14:paraId="0C24B9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E0682E"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709AA7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8DC83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9E2C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BC922"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02FE6DB" w14:textId="77777777" w:rsidR="00000000" w:rsidRDefault="0053651E">
            <w:pPr>
              <w:jc w:val="right"/>
              <w:rPr>
                <w:rFonts w:eastAsia="Times New Roman"/>
                <w:sz w:val="20"/>
                <w:szCs w:val="20"/>
              </w:rPr>
            </w:pPr>
            <w:r>
              <w:rPr>
                <w:rFonts w:eastAsia="Times New Roman"/>
                <w:sz w:val="20"/>
                <w:szCs w:val="20"/>
              </w:rPr>
              <w:t>116</w:t>
            </w:r>
          </w:p>
        </w:tc>
        <w:tc>
          <w:tcPr>
            <w:tcW w:w="50" w:type="pct"/>
            <w:shd w:val="clear" w:color="auto" w:fill="CCEEFF"/>
            <w:vAlign w:val="bottom"/>
            <w:hideMark/>
          </w:tcPr>
          <w:p w14:paraId="58B840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95A3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A20B5B"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59A6E42" w14:textId="77777777" w:rsidR="00000000" w:rsidRDefault="0053651E">
            <w:pPr>
              <w:jc w:val="right"/>
              <w:rPr>
                <w:rFonts w:eastAsia="Times New Roman"/>
                <w:sz w:val="20"/>
                <w:szCs w:val="20"/>
              </w:rPr>
            </w:pPr>
            <w:r>
              <w:rPr>
                <w:rFonts w:eastAsia="Times New Roman"/>
                <w:sz w:val="20"/>
                <w:szCs w:val="20"/>
              </w:rPr>
              <w:t>385</w:t>
            </w:r>
          </w:p>
        </w:tc>
        <w:tc>
          <w:tcPr>
            <w:tcW w:w="50" w:type="pct"/>
            <w:shd w:val="clear" w:color="auto" w:fill="CCEEFF"/>
            <w:vAlign w:val="bottom"/>
            <w:hideMark/>
          </w:tcPr>
          <w:p w14:paraId="2084CFC4" w14:textId="77777777" w:rsidR="00000000" w:rsidRDefault="0053651E">
            <w:pPr>
              <w:rPr>
                <w:rFonts w:eastAsia="Times New Roman"/>
                <w:sz w:val="20"/>
                <w:szCs w:val="20"/>
              </w:rPr>
            </w:pPr>
            <w:r>
              <w:rPr>
                <w:rFonts w:eastAsia="Times New Roman"/>
                <w:sz w:val="20"/>
                <w:szCs w:val="20"/>
              </w:rPr>
              <w:t> </w:t>
            </w:r>
          </w:p>
        </w:tc>
      </w:tr>
      <w:tr w:rsidR="00000000" w14:paraId="3CA61F6F" w14:textId="77777777">
        <w:trPr>
          <w:tblCellSpacing w:w="0" w:type="dxa"/>
        </w:trPr>
        <w:tc>
          <w:tcPr>
            <w:tcW w:w="0" w:type="auto"/>
            <w:shd w:val="clear" w:color="auto" w:fill="FFFFFF"/>
            <w:vAlign w:val="bottom"/>
            <w:hideMark/>
          </w:tcPr>
          <w:p w14:paraId="414E5230" w14:textId="77777777" w:rsidR="00000000" w:rsidRDefault="0053651E">
            <w:pPr>
              <w:pStyle w:val="a3"/>
              <w:spacing w:before="0" w:beforeAutospacing="0" w:after="0" w:afterAutospacing="0"/>
              <w:ind w:left="180"/>
              <w:rPr>
                <w:sz w:val="20"/>
                <w:szCs w:val="20"/>
              </w:rPr>
            </w:pPr>
            <w:r>
              <w:rPr>
                <w:sz w:val="20"/>
                <w:szCs w:val="20"/>
              </w:rPr>
              <w:t>Amortization of loan discounts</w:t>
            </w:r>
          </w:p>
        </w:tc>
        <w:tc>
          <w:tcPr>
            <w:tcW w:w="50" w:type="pct"/>
            <w:shd w:val="clear" w:color="auto" w:fill="FFFFFF"/>
            <w:vAlign w:val="bottom"/>
            <w:hideMark/>
          </w:tcPr>
          <w:p w14:paraId="74B3E2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FDFFF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2516599" w14:textId="77777777" w:rsidR="00000000" w:rsidRDefault="0053651E">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14:paraId="77B361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A760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3C058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8AD06ED" w14:textId="77777777" w:rsidR="00000000" w:rsidRDefault="0053651E">
            <w:pPr>
              <w:jc w:val="right"/>
              <w:rPr>
                <w:rFonts w:eastAsia="Times New Roman"/>
                <w:sz w:val="20"/>
                <w:szCs w:val="20"/>
              </w:rPr>
            </w:pPr>
            <w:r>
              <w:rPr>
                <w:rFonts w:eastAsia="Times New Roman"/>
                <w:sz w:val="20"/>
                <w:szCs w:val="20"/>
              </w:rPr>
              <w:t>125</w:t>
            </w:r>
          </w:p>
        </w:tc>
        <w:tc>
          <w:tcPr>
            <w:tcW w:w="50" w:type="pct"/>
            <w:shd w:val="clear" w:color="auto" w:fill="FFFFFF"/>
            <w:vAlign w:val="bottom"/>
            <w:hideMark/>
          </w:tcPr>
          <w:p w14:paraId="60EF87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374F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E2726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E4CEBEF"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FFFFFF"/>
            <w:vAlign w:val="bottom"/>
            <w:hideMark/>
          </w:tcPr>
          <w:p w14:paraId="280400F9" w14:textId="77777777" w:rsidR="00000000" w:rsidRDefault="0053651E">
            <w:pPr>
              <w:rPr>
                <w:rFonts w:eastAsia="Times New Roman"/>
                <w:sz w:val="20"/>
                <w:szCs w:val="20"/>
              </w:rPr>
            </w:pPr>
            <w:r>
              <w:rPr>
                <w:rFonts w:eastAsia="Times New Roman"/>
                <w:sz w:val="20"/>
                <w:szCs w:val="20"/>
              </w:rPr>
              <w:t> </w:t>
            </w:r>
          </w:p>
        </w:tc>
      </w:tr>
      <w:tr w:rsidR="00000000" w14:paraId="5AF8AF4A" w14:textId="77777777">
        <w:trPr>
          <w:tblCellSpacing w:w="0" w:type="dxa"/>
        </w:trPr>
        <w:tc>
          <w:tcPr>
            <w:tcW w:w="0" w:type="auto"/>
            <w:shd w:val="clear" w:color="auto" w:fill="CCEEFF"/>
            <w:vAlign w:val="bottom"/>
            <w:hideMark/>
          </w:tcPr>
          <w:p w14:paraId="4C10AA08" w14:textId="77777777" w:rsidR="00000000" w:rsidRDefault="0053651E">
            <w:pPr>
              <w:pStyle w:val="a3"/>
              <w:spacing w:before="0" w:beforeAutospacing="0" w:after="0" w:afterAutospacing="0"/>
              <w:rPr>
                <w:sz w:val="20"/>
                <w:szCs w:val="20"/>
              </w:rPr>
            </w:pPr>
            <w:r>
              <w:rPr>
                <w:sz w:val="20"/>
                <w:szCs w:val="20"/>
              </w:rPr>
              <w:t>Deductions:</w:t>
            </w:r>
          </w:p>
        </w:tc>
        <w:tc>
          <w:tcPr>
            <w:tcW w:w="0" w:type="auto"/>
            <w:shd w:val="clear" w:color="auto" w:fill="CCEEFF"/>
            <w:vAlign w:val="bottom"/>
            <w:hideMark/>
          </w:tcPr>
          <w:p w14:paraId="3657E4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201A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76E3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D07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613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E27C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9559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262A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1C8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A2D5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6B65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D418D" w14:textId="77777777" w:rsidR="00000000" w:rsidRDefault="0053651E">
            <w:pPr>
              <w:rPr>
                <w:rFonts w:eastAsia="Times New Roman"/>
                <w:sz w:val="20"/>
                <w:szCs w:val="20"/>
              </w:rPr>
            </w:pPr>
            <w:r>
              <w:rPr>
                <w:rFonts w:eastAsia="Times New Roman"/>
                <w:sz w:val="20"/>
                <w:szCs w:val="20"/>
              </w:rPr>
              <w:t> </w:t>
            </w:r>
          </w:p>
        </w:tc>
      </w:tr>
      <w:tr w:rsidR="00000000" w14:paraId="3FB6C90C" w14:textId="77777777">
        <w:trPr>
          <w:tblCellSpacing w:w="0" w:type="dxa"/>
        </w:trPr>
        <w:tc>
          <w:tcPr>
            <w:tcW w:w="0" w:type="auto"/>
            <w:shd w:val="clear" w:color="auto" w:fill="FFFFFF"/>
            <w:vAlign w:val="bottom"/>
            <w:hideMark/>
          </w:tcPr>
          <w:p w14:paraId="11698766" w14:textId="77777777" w:rsidR="00000000" w:rsidRDefault="0053651E">
            <w:pPr>
              <w:pStyle w:val="a3"/>
              <w:spacing w:before="0" w:beforeAutospacing="0" w:after="0" w:afterAutospacing="0"/>
              <w:ind w:left="180"/>
              <w:rPr>
                <w:sz w:val="20"/>
                <w:szCs w:val="20"/>
              </w:rPr>
            </w:pPr>
            <w:r>
              <w:rPr>
                <w:sz w:val="20"/>
                <w:szCs w:val="20"/>
              </w:rPr>
              <w:t>Loan repayments</w:t>
            </w:r>
          </w:p>
        </w:tc>
        <w:tc>
          <w:tcPr>
            <w:tcW w:w="50" w:type="pct"/>
            <w:shd w:val="clear" w:color="auto" w:fill="FFFFFF"/>
            <w:vAlign w:val="bottom"/>
            <w:hideMark/>
          </w:tcPr>
          <w:p w14:paraId="187BFB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6DD2C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B3BB025" w14:textId="77777777" w:rsidR="00000000" w:rsidRDefault="0053651E">
            <w:pPr>
              <w:jc w:val="right"/>
              <w:rPr>
                <w:rFonts w:eastAsia="Times New Roman"/>
                <w:sz w:val="20"/>
                <w:szCs w:val="20"/>
              </w:rPr>
            </w:pPr>
            <w:r>
              <w:rPr>
                <w:rFonts w:eastAsia="Times New Roman"/>
                <w:sz w:val="20"/>
                <w:szCs w:val="20"/>
              </w:rPr>
              <w:t>(10,136</w:t>
            </w:r>
          </w:p>
        </w:tc>
        <w:tc>
          <w:tcPr>
            <w:tcW w:w="50" w:type="pct"/>
            <w:shd w:val="clear" w:color="auto" w:fill="FFFFFF"/>
            <w:vAlign w:val="bottom"/>
            <w:hideMark/>
          </w:tcPr>
          <w:p w14:paraId="3BE180D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51791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3CFCE2"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2BE2BD1" w14:textId="77777777" w:rsidR="00000000" w:rsidRDefault="0053651E">
            <w:pPr>
              <w:jc w:val="right"/>
              <w:rPr>
                <w:rFonts w:eastAsia="Times New Roman"/>
                <w:sz w:val="20"/>
                <w:szCs w:val="20"/>
              </w:rPr>
            </w:pPr>
            <w:r>
              <w:rPr>
                <w:rFonts w:eastAsia="Times New Roman"/>
                <w:sz w:val="20"/>
                <w:szCs w:val="20"/>
              </w:rPr>
              <w:t>(21,012</w:t>
            </w:r>
          </w:p>
        </w:tc>
        <w:tc>
          <w:tcPr>
            <w:tcW w:w="50" w:type="pct"/>
            <w:shd w:val="clear" w:color="auto" w:fill="FFFFFF"/>
            <w:vAlign w:val="bottom"/>
            <w:hideMark/>
          </w:tcPr>
          <w:p w14:paraId="44A3AFD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69EA1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9EF60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350D8A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F93AF3E" w14:textId="77777777" w:rsidR="00000000" w:rsidRDefault="0053651E">
            <w:pPr>
              <w:rPr>
                <w:rFonts w:eastAsia="Times New Roman"/>
                <w:sz w:val="20"/>
                <w:szCs w:val="20"/>
              </w:rPr>
            </w:pPr>
            <w:r>
              <w:rPr>
                <w:rFonts w:eastAsia="Times New Roman"/>
                <w:sz w:val="20"/>
                <w:szCs w:val="20"/>
              </w:rPr>
              <w:t> </w:t>
            </w:r>
          </w:p>
        </w:tc>
      </w:tr>
      <w:tr w:rsidR="00000000" w14:paraId="79F6DAFD" w14:textId="77777777">
        <w:trPr>
          <w:tblCellSpacing w:w="0" w:type="dxa"/>
        </w:trPr>
        <w:tc>
          <w:tcPr>
            <w:tcW w:w="0" w:type="auto"/>
            <w:shd w:val="clear" w:color="auto" w:fill="CCEEFF"/>
            <w:vAlign w:val="bottom"/>
            <w:hideMark/>
          </w:tcPr>
          <w:p w14:paraId="624B9DEF" w14:textId="77777777" w:rsidR="00000000" w:rsidRDefault="0053651E">
            <w:pPr>
              <w:pStyle w:val="a3"/>
              <w:spacing w:before="0" w:beforeAutospacing="0" w:after="0" w:afterAutospacing="0"/>
              <w:ind w:left="180"/>
              <w:rPr>
                <w:sz w:val="20"/>
                <w:szCs w:val="20"/>
              </w:rPr>
            </w:pPr>
            <w:r>
              <w:rPr>
                <w:sz w:val="20"/>
                <w:szCs w:val="20"/>
              </w:rPr>
              <w:t>Charge off/foreign currency translation</w:t>
            </w:r>
          </w:p>
        </w:tc>
        <w:tc>
          <w:tcPr>
            <w:tcW w:w="50" w:type="pct"/>
            <w:shd w:val="clear" w:color="auto" w:fill="CCEEFF"/>
            <w:vAlign w:val="bottom"/>
            <w:hideMark/>
          </w:tcPr>
          <w:p w14:paraId="09F6CC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00684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16ACF7B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4A7B0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8A4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7654E3"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2A36634" w14:textId="77777777" w:rsidR="00000000" w:rsidRDefault="0053651E">
            <w:pPr>
              <w:jc w:val="right"/>
              <w:rPr>
                <w:rFonts w:eastAsia="Times New Roman"/>
                <w:sz w:val="20"/>
                <w:szCs w:val="20"/>
              </w:rPr>
            </w:pPr>
            <w:r>
              <w:rPr>
                <w:rFonts w:eastAsia="Times New Roman"/>
                <w:sz w:val="20"/>
                <w:szCs w:val="20"/>
              </w:rPr>
              <w:t>(155</w:t>
            </w:r>
          </w:p>
        </w:tc>
        <w:tc>
          <w:tcPr>
            <w:tcW w:w="50" w:type="pct"/>
            <w:shd w:val="clear" w:color="auto" w:fill="CCEEFF"/>
            <w:vAlign w:val="bottom"/>
            <w:hideMark/>
          </w:tcPr>
          <w:p w14:paraId="7194954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C2FD4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F561B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DB39183" w14:textId="77777777" w:rsidR="00000000" w:rsidRDefault="0053651E">
            <w:pPr>
              <w:jc w:val="right"/>
              <w:rPr>
                <w:rFonts w:eastAsia="Times New Roman"/>
                <w:sz w:val="20"/>
                <w:szCs w:val="20"/>
              </w:rPr>
            </w:pPr>
            <w:r>
              <w:rPr>
                <w:rFonts w:eastAsia="Times New Roman"/>
                <w:sz w:val="20"/>
                <w:szCs w:val="20"/>
              </w:rPr>
              <w:t>(449</w:t>
            </w:r>
          </w:p>
        </w:tc>
        <w:tc>
          <w:tcPr>
            <w:tcW w:w="50" w:type="pct"/>
            <w:shd w:val="clear" w:color="auto" w:fill="CCEEFF"/>
            <w:vAlign w:val="bottom"/>
            <w:hideMark/>
          </w:tcPr>
          <w:p w14:paraId="2CE2201E" w14:textId="77777777" w:rsidR="00000000" w:rsidRDefault="0053651E">
            <w:pPr>
              <w:rPr>
                <w:rFonts w:eastAsia="Times New Roman"/>
                <w:sz w:val="20"/>
                <w:szCs w:val="20"/>
              </w:rPr>
            </w:pPr>
            <w:r>
              <w:rPr>
                <w:rFonts w:eastAsia="Times New Roman"/>
                <w:sz w:val="20"/>
                <w:szCs w:val="20"/>
              </w:rPr>
              <w:t>)</w:t>
            </w:r>
          </w:p>
        </w:tc>
      </w:tr>
      <w:tr w:rsidR="00000000" w14:paraId="4D951B8E" w14:textId="77777777">
        <w:trPr>
          <w:tblCellSpacing w:w="0" w:type="dxa"/>
        </w:trPr>
        <w:tc>
          <w:tcPr>
            <w:tcW w:w="0" w:type="auto"/>
            <w:shd w:val="clear" w:color="auto" w:fill="FFFFFF"/>
            <w:vAlign w:val="bottom"/>
            <w:hideMark/>
          </w:tcPr>
          <w:p w14:paraId="0E3C0FAE" w14:textId="77777777" w:rsidR="00000000" w:rsidRDefault="0053651E">
            <w:pPr>
              <w:pStyle w:val="a3"/>
              <w:spacing w:before="0" w:beforeAutospacing="0" w:after="0" w:afterAutospacing="0"/>
              <w:ind w:left="180"/>
              <w:rPr>
                <w:sz w:val="20"/>
                <w:szCs w:val="20"/>
              </w:rPr>
            </w:pPr>
            <w:r>
              <w:rPr>
                <w:sz w:val="20"/>
                <w:szCs w:val="20"/>
              </w:rPr>
              <w:t>Collections of principal</w:t>
            </w:r>
          </w:p>
        </w:tc>
        <w:tc>
          <w:tcPr>
            <w:tcW w:w="50" w:type="pct"/>
            <w:shd w:val="clear" w:color="auto" w:fill="FFFFFF"/>
            <w:vAlign w:val="bottom"/>
            <w:hideMark/>
          </w:tcPr>
          <w:p w14:paraId="31322B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C53EA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601D865" w14:textId="77777777" w:rsidR="00000000" w:rsidRDefault="0053651E">
            <w:pPr>
              <w:jc w:val="right"/>
              <w:rPr>
                <w:rFonts w:eastAsia="Times New Roman"/>
                <w:sz w:val="20"/>
                <w:szCs w:val="20"/>
              </w:rPr>
            </w:pPr>
            <w:r>
              <w:rPr>
                <w:rFonts w:eastAsia="Times New Roman"/>
                <w:sz w:val="20"/>
                <w:szCs w:val="20"/>
              </w:rPr>
              <w:t>(313</w:t>
            </w:r>
          </w:p>
        </w:tc>
        <w:tc>
          <w:tcPr>
            <w:tcW w:w="50" w:type="pct"/>
            <w:shd w:val="clear" w:color="auto" w:fill="FFFFFF"/>
            <w:vAlign w:val="bottom"/>
            <w:hideMark/>
          </w:tcPr>
          <w:p w14:paraId="6FD7966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CB19C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D26A63"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7481DA7" w14:textId="77777777" w:rsidR="00000000" w:rsidRDefault="0053651E">
            <w:pPr>
              <w:jc w:val="right"/>
              <w:rPr>
                <w:rFonts w:eastAsia="Times New Roman"/>
                <w:sz w:val="20"/>
                <w:szCs w:val="20"/>
              </w:rPr>
            </w:pPr>
            <w:r>
              <w:rPr>
                <w:rFonts w:eastAsia="Times New Roman"/>
                <w:sz w:val="20"/>
                <w:szCs w:val="20"/>
              </w:rPr>
              <w:t>(1,287</w:t>
            </w:r>
          </w:p>
        </w:tc>
        <w:tc>
          <w:tcPr>
            <w:tcW w:w="50" w:type="pct"/>
            <w:shd w:val="clear" w:color="auto" w:fill="FFFFFF"/>
            <w:vAlign w:val="bottom"/>
            <w:hideMark/>
          </w:tcPr>
          <w:p w14:paraId="44A6404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8FD79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8DE14"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80C8B9F" w14:textId="77777777" w:rsidR="00000000" w:rsidRDefault="0053651E">
            <w:pPr>
              <w:jc w:val="right"/>
              <w:rPr>
                <w:rFonts w:eastAsia="Times New Roman"/>
                <w:sz w:val="20"/>
                <w:szCs w:val="20"/>
              </w:rPr>
            </w:pPr>
            <w:r>
              <w:rPr>
                <w:rFonts w:eastAsia="Times New Roman"/>
                <w:sz w:val="20"/>
                <w:szCs w:val="20"/>
              </w:rPr>
              <w:t>(1,405</w:t>
            </w:r>
          </w:p>
        </w:tc>
        <w:tc>
          <w:tcPr>
            <w:tcW w:w="50" w:type="pct"/>
            <w:shd w:val="clear" w:color="auto" w:fill="FFFFFF"/>
            <w:vAlign w:val="bottom"/>
            <w:hideMark/>
          </w:tcPr>
          <w:p w14:paraId="04550B09" w14:textId="77777777" w:rsidR="00000000" w:rsidRDefault="0053651E">
            <w:pPr>
              <w:rPr>
                <w:rFonts w:eastAsia="Times New Roman"/>
                <w:sz w:val="20"/>
                <w:szCs w:val="20"/>
              </w:rPr>
            </w:pPr>
            <w:r>
              <w:rPr>
                <w:rFonts w:eastAsia="Times New Roman"/>
                <w:sz w:val="20"/>
                <w:szCs w:val="20"/>
              </w:rPr>
              <w:t>)</w:t>
            </w:r>
          </w:p>
        </w:tc>
      </w:tr>
      <w:tr w:rsidR="00000000" w14:paraId="62027AEE" w14:textId="77777777">
        <w:trPr>
          <w:tblCellSpacing w:w="0" w:type="dxa"/>
        </w:trPr>
        <w:tc>
          <w:tcPr>
            <w:tcW w:w="0" w:type="auto"/>
            <w:shd w:val="clear" w:color="auto" w:fill="CCEEFF"/>
            <w:vAlign w:val="bottom"/>
            <w:hideMark/>
          </w:tcPr>
          <w:p w14:paraId="6C4EF4C5" w14:textId="77777777" w:rsidR="00000000" w:rsidRDefault="0053651E">
            <w:pPr>
              <w:pStyle w:val="a3"/>
              <w:spacing w:before="0" w:beforeAutospacing="0" w:after="0" w:afterAutospacing="0"/>
              <w:ind w:left="180"/>
              <w:rPr>
                <w:sz w:val="20"/>
                <w:szCs w:val="20"/>
              </w:rPr>
            </w:pPr>
            <w:r>
              <w:rPr>
                <w:sz w:val="20"/>
                <w:szCs w:val="20"/>
              </w:rPr>
              <w:t>Amortization of loan costs</w:t>
            </w:r>
          </w:p>
        </w:tc>
        <w:tc>
          <w:tcPr>
            <w:tcW w:w="50" w:type="pct"/>
            <w:shd w:val="clear" w:color="auto" w:fill="CCEEFF"/>
            <w:vAlign w:val="bottom"/>
            <w:hideMark/>
          </w:tcPr>
          <w:p w14:paraId="2C110FC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596C91E"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24AE417E" w14:textId="77777777" w:rsidR="00000000" w:rsidRDefault="0053651E">
            <w:pPr>
              <w:jc w:val="right"/>
              <w:rPr>
                <w:rFonts w:eastAsia="Times New Roman"/>
                <w:sz w:val="20"/>
                <w:szCs w:val="20"/>
              </w:rPr>
            </w:pPr>
            <w:r>
              <w:rPr>
                <w:rFonts w:eastAsia="Times New Roman"/>
                <w:sz w:val="20"/>
                <w:szCs w:val="20"/>
              </w:rPr>
              <w:t>(1</w:t>
            </w:r>
          </w:p>
        </w:tc>
        <w:tc>
          <w:tcPr>
            <w:tcW w:w="50" w:type="pct"/>
            <w:shd w:val="clear" w:color="auto" w:fill="CCEEFF"/>
            <w:tcMar>
              <w:top w:w="0" w:type="dxa"/>
              <w:left w:w="0" w:type="dxa"/>
              <w:bottom w:w="15" w:type="dxa"/>
              <w:right w:w="0" w:type="dxa"/>
            </w:tcMar>
            <w:vAlign w:val="bottom"/>
            <w:hideMark/>
          </w:tcPr>
          <w:p w14:paraId="4C133E1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941BE7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A359BDA"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45A8B6E3" w14:textId="77777777" w:rsidR="00000000" w:rsidRDefault="0053651E">
            <w:pPr>
              <w:jc w:val="right"/>
              <w:rPr>
                <w:rFonts w:eastAsia="Times New Roman"/>
                <w:sz w:val="20"/>
                <w:szCs w:val="20"/>
              </w:rPr>
            </w:pPr>
            <w:r>
              <w:rPr>
                <w:rFonts w:eastAsia="Times New Roman"/>
                <w:sz w:val="20"/>
                <w:szCs w:val="20"/>
              </w:rPr>
              <w:t>(2</w:t>
            </w:r>
          </w:p>
        </w:tc>
        <w:tc>
          <w:tcPr>
            <w:tcW w:w="50" w:type="pct"/>
            <w:shd w:val="clear" w:color="auto" w:fill="CCEEFF"/>
            <w:tcMar>
              <w:top w:w="0" w:type="dxa"/>
              <w:left w:w="0" w:type="dxa"/>
              <w:bottom w:w="15" w:type="dxa"/>
              <w:right w:w="0" w:type="dxa"/>
            </w:tcMar>
            <w:vAlign w:val="bottom"/>
            <w:hideMark/>
          </w:tcPr>
          <w:p w14:paraId="747D013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AA5C57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9588E6"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37B1C695" w14:textId="77777777" w:rsidR="00000000" w:rsidRDefault="0053651E">
            <w:pPr>
              <w:jc w:val="right"/>
              <w:rPr>
                <w:rFonts w:eastAsia="Times New Roman"/>
                <w:sz w:val="20"/>
                <w:szCs w:val="20"/>
              </w:rPr>
            </w:pPr>
            <w:r>
              <w:rPr>
                <w:rFonts w:eastAsia="Times New Roman"/>
                <w:sz w:val="20"/>
                <w:szCs w:val="20"/>
              </w:rPr>
              <w:t>(2</w:t>
            </w:r>
          </w:p>
        </w:tc>
        <w:tc>
          <w:tcPr>
            <w:tcW w:w="50" w:type="pct"/>
            <w:shd w:val="clear" w:color="auto" w:fill="CCEEFF"/>
            <w:tcMar>
              <w:top w:w="0" w:type="dxa"/>
              <w:left w:w="0" w:type="dxa"/>
              <w:bottom w:w="15" w:type="dxa"/>
              <w:right w:w="0" w:type="dxa"/>
            </w:tcMar>
            <w:vAlign w:val="bottom"/>
            <w:hideMark/>
          </w:tcPr>
          <w:p w14:paraId="3A1C129A" w14:textId="77777777" w:rsidR="00000000" w:rsidRDefault="0053651E">
            <w:pPr>
              <w:rPr>
                <w:rFonts w:eastAsia="Times New Roman"/>
                <w:sz w:val="20"/>
                <w:szCs w:val="20"/>
              </w:rPr>
            </w:pPr>
            <w:r>
              <w:rPr>
                <w:rFonts w:eastAsia="Times New Roman"/>
                <w:sz w:val="20"/>
                <w:szCs w:val="20"/>
              </w:rPr>
              <w:t>)</w:t>
            </w:r>
          </w:p>
        </w:tc>
      </w:tr>
      <w:tr w:rsidR="00000000" w14:paraId="715EC563" w14:textId="77777777">
        <w:trPr>
          <w:tblCellSpacing w:w="0" w:type="dxa"/>
        </w:trPr>
        <w:tc>
          <w:tcPr>
            <w:tcW w:w="0" w:type="auto"/>
            <w:shd w:val="clear" w:color="auto" w:fill="FFFFFF"/>
            <w:vAlign w:val="bottom"/>
            <w:hideMark/>
          </w:tcPr>
          <w:p w14:paraId="1432E643" w14:textId="77777777" w:rsidR="00000000" w:rsidRDefault="0053651E">
            <w:pPr>
              <w:pStyle w:val="a3"/>
              <w:spacing w:before="0" w:beforeAutospacing="0" w:after="0" w:afterAutospacing="0"/>
              <w:rPr>
                <w:sz w:val="20"/>
                <w:szCs w:val="20"/>
              </w:rPr>
            </w:pPr>
            <w:r>
              <w:rPr>
                <w:sz w:val="20"/>
                <w:szCs w:val="20"/>
              </w:rPr>
              <w:t>Balance at December 31,</w:t>
            </w:r>
          </w:p>
        </w:tc>
        <w:tc>
          <w:tcPr>
            <w:tcW w:w="50" w:type="pct"/>
            <w:shd w:val="clear" w:color="auto" w:fill="FFFFFF"/>
            <w:vAlign w:val="bottom"/>
            <w:hideMark/>
          </w:tcPr>
          <w:p w14:paraId="7FB85E1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EFEC30A"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6E8D4E71" w14:textId="77777777" w:rsidR="00000000" w:rsidRDefault="0053651E">
            <w:pPr>
              <w:jc w:val="right"/>
              <w:rPr>
                <w:rFonts w:eastAsia="Times New Roman"/>
                <w:sz w:val="20"/>
                <w:szCs w:val="20"/>
              </w:rPr>
            </w:pPr>
            <w:r>
              <w:rPr>
                <w:rFonts w:eastAsia="Times New Roman"/>
                <w:sz w:val="20"/>
                <w:szCs w:val="20"/>
              </w:rPr>
              <w:t>7,829</w:t>
            </w:r>
          </w:p>
        </w:tc>
        <w:tc>
          <w:tcPr>
            <w:tcW w:w="50" w:type="pct"/>
            <w:shd w:val="clear" w:color="auto" w:fill="FFFFFF"/>
            <w:tcMar>
              <w:top w:w="0" w:type="dxa"/>
              <w:left w:w="0" w:type="dxa"/>
              <w:bottom w:w="45" w:type="dxa"/>
              <w:right w:w="0" w:type="dxa"/>
            </w:tcMar>
            <w:vAlign w:val="bottom"/>
            <w:hideMark/>
          </w:tcPr>
          <w:p w14:paraId="3E072F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C5654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3CBC6D0"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0B96E7DE" w14:textId="77777777" w:rsidR="00000000" w:rsidRDefault="0053651E">
            <w:pPr>
              <w:jc w:val="right"/>
              <w:rPr>
                <w:rFonts w:eastAsia="Times New Roman"/>
                <w:sz w:val="20"/>
                <w:szCs w:val="20"/>
              </w:rPr>
            </w:pPr>
            <w:r>
              <w:rPr>
                <w:rFonts w:eastAsia="Times New Roman"/>
                <w:sz w:val="20"/>
                <w:szCs w:val="20"/>
              </w:rPr>
              <w:t>14,448</w:t>
            </w:r>
          </w:p>
        </w:tc>
        <w:tc>
          <w:tcPr>
            <w:tcW w:w="50" w:type="pct"/>
            <w:shd w:val="clear" w:color="auto" w:fill="FFFFFF"/>
            <w:tcMar>
              <w:top w:w="0" w:type="dxa"/>
              <w:left w:w="0" w:type="dxa"/>
              <w:bottom w:w="45" w:type="dxa"/>
              <w:right w:w="0" w:type="dxa"/>
            </w:tcMar>
            <w:vAlign w:val="bottom"/>
            <w:hideMark/>
          </w:tcPr>
          <w:p w14:paraId="3749DC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8A009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4453562"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1E1DE7F7" w14:textId="77777777" w:rsidR="00000000" w:rsidRDefault="0053651E">
            <w:pPr>
              <w:jc w:val="right"/>
              <w:rPr>
                <w:rFonts w:eastAsia="Times New Roman"/>
                <w:sz w:val="20"/>
                <w:szCs w:val="20"/>
              </w:rPr>
            </w:pPr>
            <w:r>
              <w:rPr>
                <w:rFonts w:eastAsia="Times New Roman"/>
                <w:sz w:val="20"/>
                <w:szCs w:val="20"/>
              </w:rPr>
              <w:t>21,838</w:t>
            </w:r>
          </w:p>
        </w:tc>
        <w:tc>
          <w:tcPr>
            <w:tcW w:w="50" w:type="pct"/>
            <w:shd w:val="clear" w:color="auto" w:fill="FFFFFF"/>
            <w:tcMar>
              <w:top w:w="0" w:type="dxa"/>
              <w:left w:w="0" w:type="dxa"/>
              <w:bottom w:w="45" w:type="dxa"/>
              <w:right w:w="0" w:type="dxa"/>
            </w:tcMar>
            <w:vAlign w:val="bottom"/>
            <w:hideMark/>
          </w:tcPr>
          <w:p w14:paraId="7C58AFD7" w14:textId="77777777" w:rsidR="00000000" w:rsidRDefault="0053651E">
            <w:pPr>
              <w:rPr>
                <w:rFonts w:eastAsia="Times New Roman"/>
                <w:sz w:val="20"/>
                <w:szCs w:val="20"/>
              </w:rPr>
            </w:pPr>
            <w:r>
              <w:rPr>
                <w:rFonts w:eastAsia="Times New Roman"/>
                <w:sz w:val="20"/>
                <w:szCs w:val="20"/>
              </w:rPr>
              <w:t> </w:t>
            </w:r>
          </w:p>
        </w:tc>
      </w:tr>
    </w:tbl>
    <w:p w14:paraId="5BC75196" w14:textId="77777777" w:rsidR="00000000" w:rsidRDefault="0053651E">
      <w:pPr>
        <w:pStyle w:val="a3"/>
        <w:spacing w:before="0" w:beforeAutospacing="0" w:after="0" w:afterAutospacing="0"/>
        <w:ind w:left="360"/>
        <w:jc w:val="both"/>
        <w:rPr>
          <w:sz w:val="20"/>
          <w:szCs w:val="20"/>
        </w:rPr>
      </w:pPr>
      <w:r>
        <w:rPr>
          <w:sz w:val="20"/>
          <w:szCs w:val="20"/>
        </w:rPr>
        <w:t> </w:t>
      </w:r>
    </w:p>
    <w:p w14:paraId="0891D39E" w14:textId="77777777" w:rsidR="00000000" w:rsidRDefault="0053651E">
      <w:pPr>
        <w:pStyle w:val="a3"/>
        <w:spacing w:before="0" w:beforeAutospacing="0" w:after="0" w:afterAutospacing="0"/>
        <w:ind w:left="360"/>
        <w:jc w:val="both"/>
        <w:rPr>
          <w:sz w:val="20"/>
          <w:szCs w:val="20"/>
        </w:rPr>
      </w:pPr>
      <w:r>
        <w:rPr>
          <w:sz w:val="20"/>
          <w:szCs w:val="20"/>
        </w:rPr>
        <w:t>The Company reviews payment status to identify performing versus non-performing loans. As of</w:t>
      </w:r>
      <w:r>
        <w:rPr>
          <w:sz w:val="20"/>
          <w:szCs w:val="20"/>
        </w:rPr>
        <w:t xml:space="preserve"> </w:t>
      </w:r>
      <w:r>
        <w:rPr>
          <w:rStyle w:val="a6"/>
          <w:i w:val="0"/>
          <w:iCs w:val="0"/>
          <w:sz w:val="20"/>
          <w:szCs w:val="20"/>
        </w:rPr>
        <w:t xml:space="preserve">December 31, 2019, </w:t>
      </w:r>
      <w:r>
        <w:rPr>
          <w:sz w:val="20"/>
          <w:szCs w:val="20"/>
        </w:rPr>
        <w:t>the Company had a total of</w:t>
      </w:r>
      <w:r>
        <w:rPr>
          <w:sz w:val="20"/>
          <w:szCs w:val="20"/>
        </w:rPr>
        <w:t xml:space="preserve"> </w:t>
      </w:r>
      <w:r>
        <w:rPr>
          <w:rStyle w:val="a6"/>
          <w:i w:val="0"/>
          <w:iCs w:val="0"/>
          <w:sz w:val="20"/>
          <w:szCs w:val="20"/>
        </w:rPr>
        <w:t>seven</w:t>
      </w:r>
      <w:r>
        <w:rPr>
          <w:sz w:val="20"/>
          <w:szCs w:val="20"/>
        </w:rPr>
        <w:t> loans, all of which were identified as performing loans.</w:t>
      </w:r>
    </w:p>
    <w:p w14:paraId="5D700BFE" w14:textId="77777777" w:rsidR="00000000" w:rsidRDefault="0053651E">
      <w:pPr>
        <w:pStyle w:val="a3"/>
        <w:spacing w:before="0" w:beforeAutospacing="0" w:after="0" w:afterAutospacing="0"/>
        <w:rPr>
          <w:sz w:val="20"/>
          <w:szCs w:val="20"/>
        </w:rPr>
      </w:pPr>
      <w:r>
        <w:rPr>
          <w:sz w:val="20"/>
          <w:szCs w:val="20"/>
        </w:rPr>
        <w:t> </w:t>
      </w:r>
    </w:p>
    <w:p w14:paraId="2E8906EF" w14:textId="77777777" w:rsidR="00000000" w:rsidRDefault="0053651E">
      <w:pPr>
        <w:pStyle w:val="a3"/>
        <w:spacing w:before="0" w:beforeAutospacing="0" w:after="0" w:afterAutospacing="0"/>
        <w:ind w:left="360"/>
        <w:rPr>
          <w:sz w:val="20"/>
          <w:szCs w:val="20"/>
        </w:rPr>
      </w:pPr>
      <w:r>
        <w:rPr>
          <w:i/>
          <w:iCs/>
          <w:sz w:val="20"/>
          <w:szCs w:val="20"/>
        </w:rPr>
        <w:t xml:space="preserve">Albertsons – </w:t>
      </w:r>
    </w:p>
    <w:p w14:paraId="59DBDBBC" w14:textId="77777777" w:rsidR="00000000" w:rsidRDefault="0053651E">
      <w:pPr>
        <w:pStyle w:val="a3"/>
        <w:spacing w:before="0" w:beforeAutospacing="0" w:after="0" w:afterAutospacing="0"/>
        <w:ind w:left="360"/>
        <w:rPr>
          <w:sz w:val="20"/>
          <w:szCs w:val="20"/>
        </w:rPr>
      </w:pPr>
      <w:r>
        <w:rPr>
          <w:sz w:val="20"/>
          <w:szCs w:val="20"/>
        </w:rPr>
        <w:t> </w:t>
      </w:r>
    </w:p>
    <w:p w14:paraId="62899E20" w14:textId="77777777" w:rsidR="00000000" w:rsidRDefault="0053651E">
      <w:pPr>
        <w:pStyle w:val="a3"/>
        <w:spacing w:before="0" w:beforeAutospacing="0" w:after="0" w:afterAutospacing="0"/>
        <w:ind w:left="360"/>
        <w:jc w:val="both"/>
        <w:rPr>
          <w:sz w:val="20"/>
          <w:szCs w:val="20"/>
        </w:rPr>
      </w:pPr>
      <w:r>
        <w:rPr>
          <w:sz w:val="20"/>
          <w:szCs w:val="20"/>
        </w:rPr>
        <w:t>The Company owns 9.48% of the common</w:t>
      </w:r>
      <w:r>
        <w:rPr>
          <w:sz w:val="20"/>
          <w:szCs w:val="20"/>
        </w:rPr>
        <w:t xml:space="preserve"> stock of Albertsons Companies, Inc. ("ACI"),</w:t>
      </w:r>
      <w:r>
        <w:rPr>
          <w:sz w:val="20"/>
          <w:szCs w:val="20"/>
        </w:rPr>
        <w:t xml:space="preserve"> </w:t>
      </w:r>
      <w:r>
        <w:rPr>
          <w:rStyle w:val="a6"/>
          <w:i w:val="0"/>
          <w:iCs w:val="0"/>
          <w:sz w:val="20"/>
          <w:szCs w:val="20"/>
        </w:rPr>
        <w:t>one</w:t>
      </w:r>
      <w:r>
        <w:rPr>
          <w:sz w:val="20"/>
          <w:szCs w:val="20"/>
        </w:rPr>
        <w:t xml:space="preserve"> of the largest food and drug retailers in the United States and accounts for this investment on the cost method. The Company's net investment in ACI is $140.2 million and is included in Other assets on the </w:t>
      </w:r>
      <w:r>
        <w:rPr>
          <w:sz w:val="20"/>
          <w:szCs w:val="20"/>
        </w:rPr>
        <w:t>Company's Consolidated Balance Sheets. As of</w:t>
      </w:r>
      <w:r>
        <w:rPr>
          <w:sz w:val="20"/>
          <w:szCs w:val="20"/>
        </w:rPr>
        <w:t xml:space="preserve"> </w:t>
      </w:r>
      <w:r>
        <w:rPr>
          <w:rStyle w:val="a6"/>
          <w:i w:val="0"/>
          <w:iCs w:val="0"/>
          <w:sz w:val="20"/>
          <w:szCs w:val="20"/>
        </w:rPr>
        <w:t>December</w:t>
      </w:r>
      <w:r>
        <w:rPr>
          <w:rStyle w:val="a6"/>
          <w:i w:val="0"/>
          <w:iCs w:val="0"/>
          <w:sz w:val="20"/>
          <w:szCs w:val="20"/>
        </w:rPr>
        <w:t xml:space="preserve"> </w:t>
      </w:r>
      <w:r>
        <w:rPr>
          <w:rStyle w:val="a6"/>
          <w:i w:val="0"/>
          <w:iCs w:val="0"/>
          <w:sz w:val="20"/>
          <w:szCs w:val="20"/>
        </w:rPr>
        <w:t>31,2019,</w:t>
      </w:r>
      <w:r>
        <w:rPr>
          <w:sz w:val="20"/>
          <w:szCs w:val="20"/>
        </w:rPr>
        <w:t xml:space="preserve"> there were</w:t>
      </w:r>
      <w:r>
        <w:rPr>
          <w:sz w:val="20"/>
          <w:szCs w:val="20"/>
        </w:rPr>
        <w:t xml:space="preserve"> </w:t>
      </w:r>
      <w:r>
        <w:rPr>
          <w:rStyle w:val="a6"/>
          <w:i w:val="0"/>
          <w:iCs w:val="0"/>
          <w:sz w:val="20"/>
          <w:szCs w:val="20"/>
        </w:rPr>
        <w:t>no</w:t>
      </w:r>
      <w:r>
        <w:rPr>
          <w:sz w:val="20"/>
          <w:szCs w:val="20"/>
        </w:rPr>
        <w:t xml:space="preserve"> identified events or changes in circumstances that</w:t>
      </w:r>
      <w:r>
        <w:rPr>
          <w:sz w:val="20"/>
          <w:szCs w:val="20"/>
        </w:rPr>
        <w:t xml:space="preserve"> </w:t>
      </w:r>
      <w:r>
        <w:rPr>
          <w:rStyle w:val="a6"/>
          <w:i w:val="0"/>
          <w:iCs w:val="0"/>
          <w:sz w:val="20"/>
          <w:szCs w:val="20"/>
        </w:rPr>
        <w:t xml:space="preserve">may </w:t>
      </w:r>
      <w:r>
        <w:rPr>
          <w:sz w:val="20"/>
          <w:szCs w:val="20"/>
        </w:rPr>
        <w:t>have a significant adverse effect on the fair value of this cost method investment.</w:t>
      </w:r>
    </w:p>
    <w:p w14:paraId="548421DE" w14:textId="77777777" w:rsidR="00000000" w:rsidRDefault="0053651E">
      <w:pPr>
        <w:pStyle w:val="a3"/>
        <w:spacing w:before="0" w:beforeAutospacing="0" w:after="0" w:afterAutospacing="0"/>
        <w:ind w:left="360"/>
        <w:jc w:val="both"/>
        <w:rPr>
          <w:sz w:val="20"/>
          <w:szCs w:val="20"/>
        </w:rPr>
      </w:pPr>
      <w:r>
        <w:rPr>
          <w:sz w:val="20"/>
          <w:szCs w:val="20"/>
        </w:rPr>
        <w:t> </w:t>
      </w:r>
    </w:p>
    <w:p w14:paraId="6C141F3B" w14:textId="77777777" w:rsidR="00000000" w:rsidRDefault="0053651E">
      <w:pPr>
        <w:pStyle w:val="a3"/>
        <w:spacing w:before="0" w:beforeAutospacing="0" w:after="0" w:afterAutospacing="0"/>
        <w:ind w:left="360"/>
        <w:jc w:val="both"/>
        <w:rPr>
          <w:sz w:val="20"/>
          <w:szCs w:val="20"/>
        </w:rPr>
      </w:pPr>
      <w:r>
        <w:rPr>
          <w:i/>
          <w:iCs/>
          <w:sz w:val="20"/>
          <w:szCs w:val="20"/>
        </w:rPr>
        <w:t>Held-for-Sale - </w:t>
      </w:r>
    </w:p>
    <w:p w14:paraId="5AFF159D" w14:textId="77777777" w:rsidR="00000000" w:rsidRDefault="0053651E">
      <w:pPr>
        <w:pStyle w:val="a3"/>
        <w:spacing w:before="0" w:beforeAutospacing="0" w:after="0" w:afterAutospacing="0"/>
        <w:ind w:left="360"/>
        <w:jc w:val="both"/>
        <w:rPr>
          <w:sz w:val="20"/>
          <w:szCs w:val="20"/>
        </w:rPr>
      </w:pPr>
      <w:r>
        <w:rPr>
          <w:sz w:val="20"/>
          <w:szCs w:val="20"/>
        </w:rPr>
        <w:t> </w:t>
      </w:r>
    </w:p>
    <w:p w14:paraId="06ED198E" w14:textId="77777777" w:rsidR="00000000" w:rsidRDefault="0053651E">
      <w:pPr>
        <w:pStyle w:val="a3"/>
        <w:spacing w:before="0" w:beforeAutospacing="0" w:after="0" w:afterAutospacing="0"/>
        <w:ind w:left="360"/>
        <w:jc w:val="both"/>
        <w:rPr>
          <w:sz w:val="20"/>
          <w:szCs w:val="20"/>
        </w:rPr>
      </w:pPr>
      <w:r>
        <w:rPr>
          <w:sz w:val="20"/>
          <w:szCs w:val="20"/>
        </w:rPr>
        <w:t>At</w:t>
      </w:r>
      <w:r>
        <w:rPr>
          <w:sz w:val="20"/>
          <w:szCs w:val="20"/>
        </w:rPr>
        <w:t xml:space="preserve"> </w:t>
      </w:r>
      <w:r>
        <w:rPr>
          <w:rStyle w:val="a6"/>
          <w:i w:val="0"/>
          <w:iCs w:val="0"/>
          <w:sz w:val="20"/>
          <w:szCs w:val="20"/>
        </w:rPr>
        <w:t>December 31, 201</w:t>
      </w:r>
      <w:r>
        <w:rPr>
          <w:rStyle w:val="a6"/>
          <w:i w:val="0"/>
          <w:iCs w:val="0"/>
          <w:sz w:val="20"/>
          <w:szCs w:val="20"/>
        </w:rPr>
        <w:t xml:space="preserve">8, </w:t>
      </w:r>
      <w:r>
        <w:rPr>
          <w:sz w:val="20"/>
          <w:szCs w:val="20"/>
        </w:rPr>
        <w:t>the Company had</w:t>
      </w:r>
      <w:r>
        <w:rPr>
          <w:sz w:val="20"/>
          <w:szCs w:val="20"/>
        </w:rPr>
        <w:t xml:space="preserve"> </w:t>
      </w:r>
      <w:r>
        <w:rPr>
          <w:rStyle w:val="a6"/>
          <w:i w:val="0"/>
          <w:iCs w:val="0"/>
          <w:sz w:val="20"/>
          <w:szCs w:val="20"/>
        </w:rPr>
        <w:t>two</w:t>
      </w:r>
      <w:r>
        <w:rPr>
          <w:sz w:val="20"/>
          <w:szCs w:val="20"/>
        </w:rPr>
        <w:t xml:space="preserve"> consolidated properties classified as held-for-sale at an aggregate carrying amount of $17.2 million, net of accumulated depreciation of $5.5 million, which are included in Other assets on the Company’s Consolidated Balance Sheets.  </w:t>
      </w:r>
      <w:r>
        <w:rPr>
          <w:sz w:val="20"/>
          <w:szCs w:val="20"/>
        </w:rPr>
        <w:t>The Company’s determination of the fair value of the properties was based upon executed contracts of sale with</w:t>
      </w:r>
      <w:r>
        <w:rPr>
          <w:sz w:val="20"/>
          <w:szCs w:val="20"/>
        </w:rPr>
        <w:t xml:space="preserve"> </w:t>
      </w:r>
      <w:r>
        <w:rPr>
          <w:rStyle w:val="a6"/>
          <w:i w:val="0"/>
          <w:iCs w:val="0"/>
          <w:sz w:val="20"/>
          <w:szCs w:val="20"/>
        </w:rPr>
        <w:t>third</w:t>
      </w:r>
      <w:r>
        <w:rPr>
          <w:sz w:val="20"/>
          <w:szCs w:val="20"/>
        </w:rPr>
        <w:t xml:space="preserve"> parties, which are in excess of the carrying values of the properties. There were</w:t>
      </w:r>
      <w:r>
        <w:rPr>
          <w:sz w:val="20"/>
          <w:szCs w:val="20"/>
        </w:rPr>
        <w:t xml:space="preserve"> </w:t>
      </w:r>
      <w:r>
        <w:rPr>
          <w:rStyle w:val="a6"/>
          <w:i w:val="0"/>
          <w:iCs w:val="0"/>
          <w:sz w:val="20"/>
          <w:szCs w:val="20"/>
        </w:rPr>
        <w:t>no</w:t>
      </w:r>
      <w:r>
        <w:rPr>
          <w:sz w:val="20"/>
          <w:szCs w:val="20"/>
        </w:rPr>
        <w:t xml:space="preserve"> properties held-for-sale at</w:t>
      </w:r>
      <w:r>
        <w:rPr>
          <w:sz w:val="20"/>
          <w:szCs w:val="20"/>
        </w:rPr>
        <w:t xml:space="preserve"> </w:t>
      </w:r>
      <w:r>
        <w:rPr>
          <w:rStyle w:val="a6"/>
          <w:i w:val="0"/>
          <w:iCs w:val="0"/>
          <w:sz w:val="20"/>
          <w:szCs w:val="20"/>
        </w:rPr>
        <w:t>December 31, 2019.</w:t>
      </w:r>
    </w:p>
    <w:p w14:paraId="50FA172E" w14:textId="77777777" w:rsidR="00000000" w:rsidRDefault="0053651E">
      <w:pPr>
        <w:pStyle w:val="a3"/>
        <w:spacing w:before="0" w:beforeAutospacing="0" w:after="0" w:afterAutospacing="0"/>
        <w:rPr>
          <w:sz w:val="20"/>
          <w:szCs w:val="20"/>
        </w:rPr>
      </w:pPr>
      <w:r>
        <w:rPr>
          <w:sz w:val="20"/>
          <w:szCs w:val="20"/>
        </w:rPr>
        <w:t> </w:t>
      </w:r>
    </w:p>
    <w:p w14:paraId="25581B33" w14:textId="77777777" w:rsidR="00000000" w:rsidRDefault="0053651E">
      <w:pPr>
        <w:jc w:val="center"/>
        <w:divId w:val="611404160"/>
        <w:rPr>
          <w:rFonts w:eastAsia="Times New Roman"/>
          <w:sz w:val="20"/>
          <w:szCs w:val="20"/>
        </w:rPr>
      </w:pPr>
      <w:r>
        <w:rPr>
          <w:rStyle w:val="a6"/>
          <w:rFonts w:eastAsia="Times New Roman"/>
          <w:i w:val="0"/>
          <w:iCs w:val="0"/>
          <w:sz w:val="20"/>
          <w:szCs w:val="20"/>
        </w:rPr>
        <w:t>70</w:t>
      </w:r>
      <w:r>
        <w:rPr>
          <w:rFonts w:eastAsia="Times New Roman"/>
          <w:sz w:val="20"/>
          <w:szCs w:val="20"/>
        </w:rPr>
        <w:t xml:space="preserve"> </w:t>
      </w:r>
    </w:p>
    <w:p w14:paraId="4018450D" w14:textId="77777777" w:rsidR="00000000" w:rsidRDefault="0053651E">
      <w:pPr>
        <w:divId w:val="611404160"/>
        <w:rPr>
          <w:rFonts w:eastAsia="Times New Roman"/>
          <w:sz w:val="20"/>
          <w:szCs w:val="20"/>
        </w:rPr>
      </w:pPr>
      <w:r>
        <w:rPr>
          <w:rFonts w:eastAsia="Times New Roman"/>
          <w:sz w:val="20"/>
          <w:szCs w:val="20"/>
        </w:rPr>
        <w:pict w14:anchorId="365BAD4F">
          <v:rect id="_x0000_i1101" style="width:415.3pt;height:1.5pt" o:hralign="center" o:hrstd="t" o:hrnoshade="t" o:hr="t" fillcolor="black" stroked="f"/>
        </w:pict>
      </w:r>
    </w:p>
    <w:p w14:paraId="7E1DCF2C" w14:textId="77777777" w:rsidR="00000000" w:rsidRDefault="0053651E">
      <w:pPr>
        <w:divId w:val="6114041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8A1C7D0" w14:textId="77777777" w:rsidR="00000000" w:rsidRDefault="0053651E">
      <w:pPr>
        <w:pStyle w:val="a3"/>
        <w:spacing w:before="0" w:beforeAutospacing="0" w:after="0" w:afterAutospacing="0"/>
        <w:rPr>
          <w:sz w:val="20"/>
          <w:szCs w:val="20"/>
        </w:rPr>
      </w:pPr>
      <w:r>
        <w:rPr>
          <w:sz w:val="20"/>
          <w:szCs w:val="20"/>
        </w:rPr>
        <w:t> </w:t>
      </w:r>
    </w:p>
    <w:p w14:paraId="517B6814"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0654A83A" w14:textId="77777777" w:rsidR="00000000" w:rsidRDefault="0053651E">
      <w:pPr>
        <w:pStyle w:val="a3"/>
        <w:spacing w:before="0" w:beforeAutospacing="0" w:after="0" w:afterAutospacing="0"/>
        <w:jc w:val="center"/>
        <w:rPr>
          <w:sz w:val="20"/>
          <w:szCs w:val="20"/>
        </w:rPr>
      </w:pPr>
      <w:r>
        <w:rPr>
          <w:sz w:val="20"/>
          <w:szCs w:val="20"/>
        </w:rPr>
        <w:t> </w:t>
      </w:r>
    </w:p>
    <w:p w14:paraId="78C66E31"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6F7E45AF" w14:textId="77777777" w:rsidR="00000000" w:rsidRDefault="0053651E">
      <w:pPr>
        <w:pStyle w:val="a3"/>
        <w:spacing w:before="0" w:beforeAutospacing="0" w:after="0" w:afterAutospacing="0"/>
        <w:jc w:val="both"/>
        <w:rPr>
          <w:sz w:val="20"/>
          <w:szCs w:val="20"/>
        </w:rPr>
      </w:pPr>
      <w:r>
        <w:rPr>
          <w:sz w:val="20"/>
          <w:szCs w:val="20"/>
        </w:rPr>
        <w:t> </w:t>
      </w:r>
    </w:p>
    <w:p w14:paraId="5A443C64" w14:textId="77777777" w:rsidR="00000000" w:rsidRDefault="0053651E">
      <w:pPr>
        <w:divId w:val="1453016549"/>
        <w:rPr>
          <w:rFonts w:eastAsia="Times New Roman"/>
          <w:sz w:val="20"/>
          <w:szCs w:val="20"/>
        </w:rPr>
      </w:pPr>
      <w:r>
        <w:rPr>
          <w:rFonts w:eastAsia="Times New Roman"/>
          <w:sz w:val="20"/>
          <w:szCs w:val="20"/>
        </w:rPr>
        <w:t xml:space="preserve">  </w:t>
      </w:r>
    </w:p>
    <w:p w14:paraId="06CD9EE0" w14:textId="77777777" w:rsidR="00000000" w:rsidRDefault="0053651E">
      <w:pPr>
        <w:pStyle w:val="a3"/>
        <w:spacing w:before="0" w:beforeAutospacing="0" w:after="0" w:afterAutospacing="0"/>
        <w:rPr>
          <w:sz w:val="20"/>
          <w:szCs w:val="20"/>
        </w:rPr>
      </w:pPr>
      <w:r>
        <w:rPr>
          <w:rStyle w:val="a6"/>
          <w:i w:val="0"/>
          <w:iCs w:val="0"/>
          <w:sz w:val="20"/>
          <w:szCs w:val="20"/>
        </w:rPr>
        <w:t>12.</w:t>
      </w:r>
      <w:r>
        <w:rPr>
          <w:sz w:val="20"/>
          <w:szCs w:val="20"/>
        </w:rPr>
        <w:t>  </w:t>
      </w:r>
      <w:r>
        <w:rPr>
          <w:sz w:val="20"/>
          <w:szCs w:val="20"/>
          <w:u w:val="single"/>
        </w:rPr>
        <w:t>Notes Payable</w:t>
      </w:r>
      <w:r>
        <w:rPr>
          <w:sz w:val="20"/>
          <w:szCs w:val="20"/>
        </w:rPr>
        <w:t>:</w:t>
      </w:r>
    </w:p>
    <w:p w14:paraId="1954A2FC" w14:textId="77777777" w:rsidR="00000000" w:rsidRDefault="0053651E">
      <w:pPr>
        <w:pStyle w:val="a3"/>
        <w:spacing w:before="0" w:beforeAutospacing="0" w:after="0" w:afterAutospacing="0"/>
        <w:ind w:left="360"/>
        <w:jc w:val="both"/>
        <w:rPr>
          <w:sz w:val="20"/>
          <w:szCs w:val="20"/>
        </w:rPr>
      </w:pPr>
      <w:r>
        <w:rPr>
          <w:sz w:val="20"/>
          <w:szCs w:val="20"/>
        </w:rPr>
        <w:t> </w:t>
      </w:r>
    </w:p>
    <w:p w14:paraId="5EFD6C72" w14:textId="77777777" w:rsidR="00000000" w:rsidRDefault="0053651E">
      <w:pPr>
        <w:pStyle w:val="a3"/>
        <w:spacing w:before="0" w:beforeAutospacing="0" w:after="0" w:afterAutospacing="0"/>
        <w:ind w:left="360"/>
        <w:jc w:val="both"/>
        <w:rPr>
          <w:sz w:val="20"/>
          <w:szCs w:val="20"/>
        </w:rPr>
      </w:pPr>
      <w:r>
        <w:rPr>
          <w:sz w:val="20"/>
          <w:szCs w:val="20"/>
        </w:rPr>
        <w:t>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the Company’s Notes</w:t>
      </w:r>
      <w:r>
        <w:rPr>
          <w:sz w:val="20"/>
          <w:szCs w:val="20"/>
        </w:rPr>
        <w:t xml:space="preserve"> payable, net consisted of the following (dollars in millions):</w:t>
      </w:r>
    </w:p>
    <w:p w14:paraId="3B363585"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6"/>
        <w:gridCol w:w="56"/>
        <w:gridCol w:w="100"/>
        <w:gridCol w:w="721"/>
        <w:gridCol w:w="67"/>
        <w:gridCol w:w="50"/>
        <w:gridCol w:w="100"/>
        <w:gridCol w:w="719"/>
        <w:gridCol w:w="67"/>
        <w:gridCol w:w="50"/>
        <w:gridCol w:w="54"/>
        <w:gridCol w:w="517"/>
        <w:gridCol w:w="140"/>
        <w:gridCol w:w="517"/>
        <w:gridCol w:w="57"/>
        <w:gridCol w:w="57"/>
        <w:gridCol w:w="57"/>
        <w:gridCol w:w="545"/>
        <w:gridCol w:w="140"/>
        <w:gridCol w:w="545"/>
        <w:gridCol w:w="57"/>
        <w:gridCol w:w="57"/>
        <w:gridCol w:w="57"/>
        <w:gridCol w:w="1303"/>
        <w:gridCol w:w="57"/>
      </w:tblGrid>
      <w:tr w:rsidR="00000000" w14:paraId="2283A674" w14:textId="77777777">
        <w:trPr>
          <w:tblCellSpacing w:w="0" w:type="dxa"/>
        </w:trPr>
        <w:tc>
          <w:tcPr>
            <w:tcW w:w="1350" w:type="pct"/>
            <w:vAlign w:val="bottom"/>
            <w:hideMark/>
          </w:tcPr>
          <w:p w14:paraId="29AFFC92"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F792AEE" w14:textId="77777777" w:rsidR="00000000" w:rsidRDefault="0053651E">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14:paraId="4670C7A6" w14:textId="77777777" w:rsidR="00000000" w:rsidRDefault="0053651E">
            <w:pPr>
              <w:pStyle w:val="a3"/>
              <w:spacing w:before="0" w:beforeAutospacing="0" w:after="0" w:afterAutospacing="0"/>
              <w:jc w:val="center"/>
              <w:rPr>
                <w:sz w:val="20"/>
                <w:szCs w:val="20"/>
              </w:rPr>
            </w:pPr>
            <w:r>
              <w:rPr>
                <w:b/>
                <w:bCs/>
                <w:sz w:val="20"/>
                <w:szCs w:val="20"/>
              </w:rPr>
              <w:t>Carrying Amount at</w:t>
            </w:r>
          </w:p>
          <w:p w14:paraId="6FA80750"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14:paraId="1C2D8A5E"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A21E6D5" w14:textId="77777777" w:rsidR="00000000" w:rsidRDefault="0053651E">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21A13313" w14:textId="77777777" w:rsidR="00000000" w:rsidRDefault="0053651E">
            <w:pPr>
              <w:pStyle w:val="a3"/>
              <w:spacing w:before="0" w:beforeAutospacing="0" w:after="0" w:afterAutospacing="0"/>
              <w:jc w:val="center"/>
              <w:rPr>
                <w:sz w:val="20"/>
                <w:szCs w:val="20"/>
              </w:rPr>
            </w:pPr>
            <w:r>
              <w:rPr>
                <w:b/>
                <w:bCs/>
                <w:sz w:val="20"/>
                <w:szCs w:val="20"/>
              </w:rPr>
              <w:t>Interest Rate at</w:t>
            </w:r>
          </w:p>
          <w:p w14:paraId="4031347F"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14:paraId="3AB7C8C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79D34B5" w14:textId="77777777" w:rsidR="00000000" w:rsidRDefault="0053651E">
            <w:pPr>
              <w:rPr>
                <w:rFonts w:eastAsia="Times New Roman"/>
                <w:sz w:val="20"/>
                <w:szCs w:val="20"/>
              </w:rPr>
            </w:pPr>
            <w:r>
              <w:rPr>
                <w:rFonts w:eastAsia="Times New Roman"/>
                <w:sz w:val="20"/>
                <w:szCs w:val="20"/>
              </w:rPr>
              <w:t> </w:t>
            </w:r>
          </w:p>
        </w:tc>
        <w:tc>
          <w:tcPr>
            <w:tcW w:w="50" w:type="pct"/>
            <w:gridSpan w:val="2"/>
            <w:vAlign w:val="bottom"/>
            <w:hideMark/>
          </w:tcPr>
          <w:p w14:paraId="24FBDE1F" w14:textId="77777777" w:rsidR="00000000" w:rsidRDefault="0053651E">
            <w:pPr>
              <w:pStyle w:val="a3"/>
              <w:spacing w:before="0" w:beforeAutospacing="0" w:after="0" w:afterAutospacing="0"/>
              <w:jc w:val="center"/>
              <w:rPr>
                <w:sz w:val="20"/>
                <w:szCs w:val="20"/>
              </w:rPr>
            </w:pPr>
            <w:r>
              <w:rPr>
                <w:b/>
                <w:bCs/>
                <w:sz w:val="20"/>
                <w:szCs w:val="20"/>
              </w:rPr>
              <w:t xml:space="preserve">Maturity Date at </w:t>
            </w:r>
          </w:p>
        </w:tc>
        <w:tc>
          <w:tcPr>
            <w:tcW w:w="50" w:type="pct"/>
            <w:tcMar>
              <w:top w:w="0" w:type="dxa"/>
              <w:left w:w="0" w:type="dxa"/>
              <w:bottom w:w="15" w:type="dxa"/>
              <w:right w:w="0" w:type="dxa"/>
            </w:tcMar>
            <w:vAlign w:val="bottom"/>
            <w:hideMark/>
          </w:tcPr>
          <w:p w14:paraId="6D8500FC" w14:textId="77777777" w:rsidR="00000000" w:rsidRDefault="0053651E">
            <w:pPr>
              <w:rPr>
                <w:rFonts w:eastAsia="Times New Roman"/>
                <w:sz w:val="20"/>
                <w:szCs w:val="20"/>
              </w:rPr>
            </w:pPr>
            <w:r>
              <w:rPr>
                <w:rFonts w:eastAsia="Times New Roman"/>
                <w:sz w:val="20"/>
                <w:szCs w:val="20"/>
              </w:rPr>
              <w:t> </w:t>
            </w:r>
          </w:p>
        </w:tc>
      </w:tr>
      <w:tr w:rsidR="00000000" w14:paraId="464D419B" w14:textId="77777777">
        <w:trPr>
          <w:tblCellSpacing w:w="0" w:type="dxa"/>
        </w:trPr>
        <w:tc>
          <w:tcPr>
            <w:tcW w:w="1350" w:type="pct"/>
            <w:vAlign w:val="bottom"/>
            <w:hideMark/>
          </w:tcPr>
          <w:p w14:paraId="2F9580F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582436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15F8F12"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0A006D2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D68FD56"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FCBA99A"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53365F39"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7EFE539" w14:textId="77777777" w:rsidR="00000000" w:rsidRDefault="0053651E">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14:paraId="79399B8A"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3210E33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CE86B33" w14:textId="77777777" w:rsidR="00000000" w:rsidRDefault="0053651E">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14:paraId="0B65574D"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49D2DB4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933C089"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16E1E04" w14:textId="77777777" w:rsidR="00000000" w:rsidRDefault="0053651E">
            <w:pPr>
              <w:jc w:val="center"/>
              <w:rPr>
                <w:rFonts w:eastAsia="Times New Roman"/>
                <w:sz w:val="20"/>
                <w:szCs w:val="20"/>
              </w:rPr>
            </w:pPr>
            <w:r>
              <w:rPr>
                <w:rFonts w:eastAsia="Times New Roman"/>
                <w:b/>
                <w:bCs/>
                <w:sz w:val="20"/>
                <w:szCs w:val="20"/>
              </w:rPr>
              <w:t>December 31, 2019  </w:t>
            </w:r>
          </w:p>
        </w:tc>
        <w:tc>
          <w:tcPr>
            <w:tcW w:w="50" w:type="pct"/>
            <w:tcMar>
              <w:top w:w="0" w:type="dxa"/>
              <w:left w:w="0" w:type="dxa"/>
              <w:bottom w:w="15" w:type="dxa"/>
              <w:right w:w="0" w:type="dxa"/>
            </w:tcMar>
            <w:vAlign w:val="bottom"/>
            <w:hideMark/>
          </w:tcPr>
          <w:p w14:paraId="4882358D" w14:textId="77777777" w:rsidR="00000000" w:rsidRDefault="0053651E">
            <w:pPr>
              <w:rPr>
                <w:rFonts w:eastAsia="Times New Roman"/>
                <w:sz w:val="20"/>
                <w:szCs w:val="20"/>
              </w:rPr>
            </w:pPr>
            <w:r>
              <w:rPr>
                <w:rFonts w:eastAsia="Times New Roman"/>
                <w:b/>
                <w:bCs/>
                <w:sz w:val="20"/>
                <w:szCs w:val="20"/>
              </w:rPr>
              <w:t> </w:t>
            </w:r>
          </w:p>
        </w:tc>
      </w:tr>
      <w:tr w:rsidR="00000000" w14:paraId="6C87A1A2" w14:textId="77777777">
        <w:trPr>
          <w:tblCellSpacing w:w="0" w:type="dxa"/>
        </w:trPr>
        <w:tc>
          <w:tcPr>
            <w:tcW w:w="1350" w:type="pct"/>
            <w:shd w:val="clear" w:color="auto" w:fill="CCEEFF"/>
            <w:vAlign w:val="bottom"/>
            <w:hideMark/>
          </w:tcPr>
          <w:p w14:paraId="1CDAB9EB" w14:textId="77777777" w:rsidR="00000000" w:rsidRDefault="0053651E">
            <w:pPr>
              <w:pStyle w:val="a3"/>
              <w:spacing w:before="0" w:beforeAutospacing="0" w:after="0" w:afterAutospacing="0"/>
              <w:rPr>
                <w:sz w:val="20"/>
                <w:szCs w:val="20"/>
              </w:rPr>
            </w:pPr>
            <w:r>
              <w:rPr>
                <w:sz w:val="20"/>
                <w:szCs w:val="20"/>
              </w:rPr>
              <w:t>Senior unsecured notes</w:t>
            </w:r>
          </w:p>
        </w:tc>
        <w:tc>
          <w:tcPr>
            <w:tcW w:w="50" w:type="pct"/>
            <w:shd w:val="clear" w:color="auto" w:fill="CCEEFF"/>
            <w:vAlign w:val="bottom"/>
            <w:hideMark/>
          </w:tcPr>
          <w:p w14:paraId="0E1B21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DB16E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D0B0912" w14:textId="77777777" w:rsidR="00000000" w:rsidRDefault="0053651E">
            <w:pPr>
              <w:jc w:val="right"/>
              <w:rPr>
                <w:rFonts w:eastAsia="Times New Roman"/>
                <w:sz w:val="20"/>
                <w:szCs w:val="20"/>
              </w:rPr>
            </w:pPr>
            <w:r>
              <w:rPr>
                <w:rFonts w:eastAsia="Times New Roman"/>
                <w:sz w:val="20"/>
                <w:szCs w:val="20"/>
              </w:rPr>
              <w:t>4,684.9</w:t>
            </w:r>
          </w:p>
        </w:tc>
        <w:tc>
          <w:tcPr>
            <w:tcW w:w="50" w:type="pct"/>
            <w:shd w:val="clear" w:color="auto" w:fill="CCEEFF"/>
            <w:vAlign w:val="bottom"/>
            <w:hideMark/>
          </w:tcPr>
          <w:p w14:paraId="7B67A6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7A71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57071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2BB85766" w14:textId="77777777" w:rsidR="00000000" w:rsidRDefault="0053651E">
            <w:pPr>
              <w:jc w:val="right"/>
              <w:rPr>
                <w:rFonts w:eastAsia="Times New Roman"/>
                <w:sz w:val="20"/>
                <w:szCs w:val="20"/>
              </w:rPr>
            </w:pPr>
            <w:r>
              <w:rPr>
                <w:rFonts w:eastAsia="Times New Roman"/>
                <w:sz w:val="20"/>
                <w:szCs w:val="20"/>
              </w:rPr>
              <w:t>4,334.9</w:t>
            </w:r>
          </w:p>
        </w:tc>
        <w:tc>
          <w:tcPr>
            <w:tcW w:w="50" w:type="pct"/>
            <w:shd w:val="clear" w:color="auto" w:fill="CCEEFF"/>
            <w:vAlign w:val="bottom"/>
            <w:hideMark/>
          </w:tcPr>
          <w:p w14:paraId="59FDAD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F828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258A83" w14:textId="77777777" w:rsidR="00000000" w:rsidRDefault="0053651E">
            <w:pPr>
              <w:rPr>
                <w:rFonts w:eastAsia="Times New Roman"/>
                <w:sz w:val="20"/>
                <w:szCs w:val="20"/>
              </w:rPr>
            </w:pPr>
            <w:r>
              <w:rPr>
                <w:rFonts w:eastAsia="Times New Roman"/>
                <w:sz w:val="20"/>
                <w:szCs w:val="20"/>
              </w:rPr>
              <w:t> </w:t>
            </w:r>
          </w:p>
        </w:tc>
        <w:tc>
          <w:tcPr>
            <w:tcW w:w="250" w:type="pct"/>
            <w:shd w:val="clear" w:color="auto" w:fill="CCEEFF"/>
            <w:vAlign w:val="bottom"/>
            <w:hideMark/>
          </w:tcPr>
          <w:p w14:paraId="453F8CF2" w14:textId="77777777" w:rsidR="00000000" w:rsidRDefault="0053651E">
            <w:pPr>
              <w:jc w:val="right"/>
              <w:rPr>
                <w:rFonts w:eastAsia="Times New Roman"/>
                <w:sz w:val="20"/>
                <w:szCs w:val="20"/>
              </w:rPr>
            </w:pPr>
            <w:r>
              <w:rPr>
                <w:rFonts w:eastAsia="Times New Roman"/>
                <w:sz w:val="20"/>
                <w:szCs w:val="20"/>
              </w:rPr>
              <w:t>2.70%</w:t>
            </w:r>
          </w:p>
        </w:tc>
        <w:tc>
          <w:tcPr>
            <w:tcW w:w="100" w:type="pct"/>
            <w:shd w:val="clear" w:color="auto" w:fill="CCEEFF"/>
            <w:vAlign w:val="bottom"/>
            <w:hideMark/>
          </w:tcPr>
          <w:p w14:paraId="320EF316" w14:textId="77777777" w:rsidR="00000000" w:rsidRDefault="0053651E">
            <w:pPr>
              <w:jc w:val="center"/>
              <w:rPr>
                <w:rFonts w:eastAsia="Times New Roman"/>
                <w:sz w:val="20"/>
                <w:szCs w:val="20"/>
              </w:rPr>
            </w:pPr>
            <w:r>
              <w:rPr>
                <w:rStyle w:val="a6"/>
                <w:rFonts w:eastAsia="Times New Roman"/>
                <w:i w:val="0"/>
                <w:iCs w:val="0"/>
                <w:sz w:val="20"/>
                <w:szCs w:val="20"/>
              </w:rPr>
              <w:t>-</w:t>
            </w:r>
          </w:p>
        </w:tc>
        <w:tc>
          <w:tcPr>
            <w:tcW w:w="250" w:type="pct"/>
            <w:shd w:val="clear" w:color="auto" w:fill="CCEEFF"/>
            <w:vAlign w:val="bottom"/>
            <w:hideMark/>
          </w:tcPr>
          <w:p w14:paraId="02905E4D" w14:textId="77777777" w:rsidR="00000000" w:rsidRDefault="0053651E">
            <w:pPr>
              <w:rPr>
                <w:rFonts w:eastAsia="Times New Roman"/>
                <w:sz w:val="20"/>
                <w:szCs w:val="20"/>
              </w:rPr>
            </w:pPr>
            <w:r>
              <w:rPr>
                <w:rFonts w:eastAsia="Times New Roman"/>
                <w:sz w:val="20"/>
                <w:szCs w:val="20"/>
              </w:rPr>
              <w:t>4.45%</w:t>
            </w:r>
          </w:p>
        </w:tc>
        <w:tc>
          <w:tcPr>
            <w:tcW w:w="50" w:type="pct"/>
            <w:shd w:val="clear" w:color="auto" w:fill="CCEEFF"/>
            <w:vAlign w:val="bottom"/>
            <w:hideMark/>
          </w:tcPr>
          <w:p w14:paraId="777E52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2202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C0136D" w14:textId="77777777" w:rsidR="00000000" w:rsidRDefault="0053651E">
            <w:pPr>
              <w:rPr>
                <w:rFonts w:eastAsia="Times New Roman"/>
                <w:sz w:val="20"/>
                <w:szCs w:val="20"/>
              </w:rPr>
            </w:pPr>
            <w:r>
              <w:rPr>
                <w:rFonts w:eastAsia="Times New Roman"/>
                <w:sz w:val="20"/>
                <w:szCs w:val="20"/>
              </w:rPr>
              <w:t> </w:t>
            </w:r>
          </w:p>
        </w:tc>
        <w:tc>
          <w:tcPr>
            <w:tcW w:w="250" w:type="pct"/>
            <w:shd w:val="clear" w:color="auto" w:fill="CCEEFF"/>
            <w:vAlign w:val="bottom"/>
            <w:hideMark/>
          </w:tcPr>
          <w:p w14:paraId="4EB61E4E" w14:textId="77777777" w:rsidR="00000000" w:rsidRDefault="0053651E">
            <w:pPr>
              <w:ind w:left="28"/>
              <w:jc w:val="right"/>
              <w:rPr>
                <w:rFonts w:eastAsia="Times New Roman"/>
                <w:sz w:val="20"/>
                <w:szCs w:val="20"/>
              </w:rPr>
            </w:pPr>
            <w:r>
              <w:rPr>
                <w:rFonts w:eastAsia="Times New Roman"/>
                <w:sz w:val="20"/>
                <w:szCs w:val="20"/>
              </w:rPr>
              <w:t>2.70%</w:t>
            </w:r>
          </w:p>
        </w:tc>
        <w:tc>
          <w:tcPr>
            <w:tcW w:w="100" w:type="pct"/>
            <w:shd w:val="clear" w:color="auto" w:fill="CCEEFF"/>
            <w:vAlign w:val="bottom"/>
            <w:hideMark/>
          </w:tcPr>
          <w:p w14:paraId="3BB56AC8" w14:textId="77777777" w:rsidR="00000000" w:rsidRDefault="0053651E">
            <w:pPr>
              <w:ind w:left="28"/>
              <w:jc w:val="center"/>
              <w:rPr>
                <w:rFonts w:eastAsia="Times New Roman"/>
                <w:sz w:val="20"/>
                <w:szCs w:val="20"/>
              </w:rPr>
            </w:pPr>
            <w:r>
              <w:rPr>
                <w:rStyle w:val="a6"/>
                <w:rFonts w:eastAsia="Times New Roman"/>
                <w:i w:val="0"/>
                <w:iCs w:val="0"/>
                <w:sz w:val="20"/>
                <w:szCs w:val="20"/>
              </w:rPr>
              <w:t>-</w:t>
            </w:r>
          </w:p>
        </w:tc>
        <w:tc>
          <w:tcPr>
            <w:tcW w:w="250" w:type="pct"/>
            <w:shd w:val="clear" w:color="auto" w:fill="CCEEFF"/>
            <w:vAlign w:val="bottom"/>
            <w:hideMark/>
          </w:tcPr>
          <w:p w14:paraId="39CE4955" w14:textId="77777777" w:rsidR="00000000" w:rsidRDefault="0053651E">
            <w:pPr>
              <w:ind w:left="28"/>
              <w:rPr>
                <w:rFonts w:eastAsia="Times New Roman"/>
                <w:sz w:val="20"/>
                <w:szCs w:val="20"/>
              </w:rPr>
            </w:pPr>
            <w:r>
              <w:rPr>
                <w:rFonts w:eastAsia="Times New Roman"/>
                <w:sz w:val="20"/>
                <w:szCs w:val="20"/>
              </w:rPr>
              <w:t>6.88%</w:t>
            </w:r>
          </w:p>
        </w:tc>
        <w:tc>
          <w:tcPr>
            <w:tcW w:w="50" w:type="pct"/>
            <w:shd w:val="clear" w:color="auto" w:fill="CCEEFF"/>
            <w:vAlign w:val="bottom"/>
            <w:hideMark/>
          </w:tcPr>
          <w:p w14:paraId="39E011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FC05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7A6BDE" w14:textId="77777777" w:rsidR="00000000" w:rsidRDefault="0053651E">
            <w:pPr>
              <w:pStyle w:val="a3"/>
              <w:spacing w:before="0" w:beforeAutospacing="0" w:after="0" w:afterAutospacing="0"/>
              <w:jc w:val="center"/>
              <w:rPr>
                <w:sz w:val="20"/>
                <w:szCs w:val="20"/>
              </w:rPr>
            </w:pPr>
            <w:r>
              <w:rPr>
                <w:sz w:val="20"/>
                <w:szCs w:val="20"/>
              </w:rPr>
              <w:t> </w:t>
            </w:r>
          </w:p>
        </w:tc>
        <w:tc>
          <w:tcPr>
            <w:tcW w:w="800" w:type="pct"/>
            <w:shd w:val="clear" w:color="auto" w:fill="CCEEFF"/>
            <w:vAlign w:val="bottom"/>
            <w:hideMark/>
          </w:tcPr>
          <w:p w14:paraId="31890967" w14:textId="77777777" w:rsidR="00000000" w:rsidRDefault="0053651E">
            <w:pPr>
              <w:jc w:val="center"/>
              <w:rPr>
                <w:rFonts w:eastAsia="Times New Roman"/>
                <w:sz w:val="20"/>
                <w:szCs w:val="20"/>
              </w:rPr>
            </w:pPr>
            <w:r>
              <w:rPr>
                <w:rStyle w:val="a6"/>
                <w:rFonts w:eastAsia="Times New Roman"/>
                <w:i w:val="0"/>
                <w:iCs w:val="0"/>
                <w:sz w:val="20"/>
                <w:szCs w:val="20"/>
              </w:rPr>
              <w:t>May-2021– Oct 2049</w:t>
            </w:r>
          </w:p>
        </w:tc>
        <w:tc>
          <w:tcPr>
            <w:tcW w:w="50" w:type="pct"/>
            <w:shd w:val="clear" w:color="auto" w:fill="CCEEFF"/>
            <w:vAlign w:val="bottom"/>
            <w:hideMark/>
          </w:tcPr>
          <w:p w14:paraId="713A8184" w14:textId="77777777" w:rsidR="00000000" w:rsidRDefault="0053651E">
            <w:pPr>
              <w:rPr>
                <w:rFonts w:eastAsia="Times New Roman"/>
                <w:sz w:val="20"/>
                <w:szCs w:val="20"/>
              </w:rPr>
            </w:pPr>
            <w:r>
              <w:rPr>
                <w:rFonts w:eastAsia="Times New Roman"/>
                <w:sz w:val="20"/>
                <w:szCs w:val="20"/>
              </w:rPr>
              <w:t> </w:t>
            </w:r>
          </w:p>
        </w:tc>
      </w:tr>
      <w:tr w:rsidR="00000000" w14:paraId="2819C161" w14:textId="77777777">
        <w:trPr>
          <w:tblCellSpacing w:w="0" w:type="dxa"/>
        </w:trPr>
        <w:tc>
          <w:tcPr>
            <w:tcW w:w="1350" w:type="pct"/>
            <w:shd w:val="clear" w:color="auto" w:fill="FFFFFF"/>
            <w:vAlign w:val="bottom"/>
            <w:hideMark/>
          </w:tcPr>
          <w:p w14:paraId="2A50A748" w14:textId="77777777" w:rsidR="00000000" w:rsidRDefault="0053651E">
            <w:pPr>
              <w:pStyle w:val="a3"/>
              <w:spacing w:before="0" w:beforeAutospacing="0" w:after="0" w:afterAutospacing="0"/>
              <w:rPr>
                <w:sz w:val="20"/>
                <w:szCs w:val="20"/>
              </w:rPr>
            </w:pPr>
            <w:r>
              <w:rPr>
                <w:sz w:val="20"/>
                <w:szCs w:val="20"/>
              </w:rPr>
              <w:t>Credit facility</w:t>
            </w:r>
          </w:p>
        </w:tc>
        <w:tc>
          <w:tcPr>
            <w:tcW w:w="50" w:type="pct"/>
            <w:shd w:val="clear" w:color="auto" w:fill="FFFFFF"/>
            <w:vAlign w:val="bottom"/>
            <w:hideMark/>
          </w:tcPr>
          <w:p w14:paraId="732E50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D2DBB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E441C0C" w14:textId="77777777" w:rsidR="00000000" w:rsidRDefault="0053651E">
            <w:pPr>
              <w:jc w:val="right"/>
              <w:rPr>
                <w:rFonts w:eastAsia="Times New Roman"/>
                <w:sz w:val="20"/>
                <w:szCs w:val="20"/>
              </w:rPr>
            </w:pPr>
            <w:r>
              <w:rPr>
                <w:rFonts w:eastAsia="Times New Roman"/>
                <w:sz w:val="20"/>
                <w:szCs w:val="20"/>
              </w:rPr>
              <w:t>200.0</w:t>
            </w:r>
          </w:p>
        </w:tc>
        <w:tc>
          <w:tcPr>
            <w:tcW w:w="50" w:type="pct"/>
            <w:shd w:val="clear" w:color="auto" w:fill="FFFFFF"/>
            <w:vAlign w:val="bottom"/>
            <w:hideMark/>
          </w:tcPr>
          <w:p w14:paraId="15F502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690D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2BF55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7074E8" w14:textId="77777777" w:rsidR="00000000" w:rsidRDefault="0053651E">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14:paraId="6241C1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B291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87C8C2" w14:textId="77777777" w:rsidR="00000000" w:rsidRDefault="0053651E">
            <w:pPr>
              <w:pStyle w:val="a3"/>
              <w:spacing w:before="0" w:beforeAutospacing="0" w:after="0" w:afterAutospacing="0"/>
              <w:rPr>
                <w:sz w:val="20"/>
                <w:szCs w:val="20"/>
              </w:rPr>
            </w:pPr>
            <w:r>
              <w:rPr>
                <w:sz w:val="20"/>
                <w:szCs w:val="20"/>
              </w:rPr>
              <w:t> </w:t>
            </w:r>
          </w:p>
        </w:tc>
        <w:tc>
          <w:tcPr>
            <w:tcW w:w="350" w:type="pct"/>
            <w:gridSpan w:val="3"/>
            <w:shd w:val="clear" w:color="auto" w:fill="FFFFFF"/>
            <w:vAlign w:val="bottom"/>
            <w:hideMark/>
          </w:tcPr>
          <w:p w14:paraId="042DAD32" w14:textId="77777777" w:rsidR="00000000" w:rsidRDefault="0053651E">
            <w:pPr>
              <w:jc w:val="center"/>
              <w:rPr>
                <w:rFonts w:eastAsia="Times New Roman"/>
                <w:sz w:val="20"/>
                <w:szCs w:val="20"/>
              </w:rPr>
            </w:pPr>
            <w:r>
              <w:rPr>
                <w:rStyle w:val="a6"/>
                <w:rFonts w:eastAsia="Times New Roman"/>
                <w:i w:val="0"/>
                <w:iCs w:val="0"/>
                <w:sz w:val="20"/>
                <w:szCs w:val="20"/>
              </w:rPr>
              <w:t>(a)</w:t>
            </w:r>
          </w:p>
        </w:tc>
        <w:tc>
          <w:tcPr>
            <w:tcW w:w="50" w:type="pct"/>
            <w:shd w:val="clear" w:color="auto" w:fill="FFFFFF"/>
            <w:vAlign w:val="bottom"/>
            <w:hideMark/>
          </w:tcPr>
          <w:p w14:paraId="675A0E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DE21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AB6C80" w14:textId="77777777" w:rsidR="00000000" w:rsidRDefault="0053651E">
            <w:pPr>
              <w:pStyle w:val="a3"/>
              <w:spacing w:before="0" w:beforeAutospacing="0" w:after="0" w:afterAutospacing="0"/>
              <w:rPr>
                <w:sz w:val="20"/>
                <w:szCs w:val="20"/>
              </w:rPr>
            </w:pPr>
            <w:r>
              <w:rPr>
                <w:sz w:val="20"/>
                <w:szCs w:val="20"/>
              </w:rPr>
              <w:t> </w:t>
            </w:r>
          </w:p>
        </w:tc>
        <w:tc>
          <w:tcPr>
            <w:tcW w:w="350" w:type="pct"/>
            <w:gridSpan w:val="3"/>
            <w:shd w:val="clear" w:color="auto" w:fill="FFFFFF"/>
            <w:vAlign w:val="bottom"/>
            <w:hideMark/>
          </w:tcPr>
          <w:p w14:paraId="436E4A55" w14:textId="77777777" w:rsidR="00000000" w:rsidRDefault="0053651E">
            <w:pPr>
              <w:jc w:val="center"/>
              <w:rPr>
                <w:rFonts w:eastAsia="Times New Roman"/>
                <w:sz w:val="20"/>
                <w:szCs w:val="20"/>
              </w:rPr>
            </w:pPr>
            <w:r>
              <w:rPr>
                <w:rStyle w:val="a6"/>
                <w:rFonts w:eastAsia="Times New Roman"/>
                <w:i w:val="0"/>
                <w:iCs w:val="0"/>
                <w:sz w:val="20"/>
                <w:szCs w:val="20"/>
              </w:rPr>
              <w:t>(a)</w:t>
            </w:r>
          </w:p>
        </w:tc>
        <w:tc>
          <w:tcPr>
            <w:tcW w:w="50" w:type="pct"/>
            <w:shd w:val="clear" w:color="auto" w:fill="FFFFFF"/>
            <w:vAlign w:val="bottom"/>
            <w:hideMark/>
          </w:tcPr>
          <w:p w14:paraId="792684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C687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469999" w14:textId="77777777" w:rsidR="00000000" w:rsidRDefault="0053651E">
            <w:pPr>
              <w:pStyle w:val="a3"/>
              <w:spacing w:before="0" w:beforeAutospacing="0" w:after="0" w:afterAutospacing="0"/>
              <w:rPr>
                <w:sz w:val="20"/>
                <w:szCs w:val="20"/>
              </w:rPr>
            </w:pPr>
            <w:r>
              <w:rPr>
                <w:sz w:val="20"/>
                <w:szCs w:val="20"/>
              </w:rPr>
              <w:t> </w:t>
            </w:r>
          </w:p>
        </w:tc>
        <w:tc>
          <w:tcPr>
            <w:tcW w:w="800" w:type="pct"/>
            <w:shd w:val="clear" w:color="auto" w:fill="FFFFFF"/>
            <w:vAlign w:val="bottom"/>
            <w:hideMark/>
          </w:tcPr>
          <w:p w14:paraId="7B7F481D" w14:textId="77777777" w:rsidR="00000000" w:rsidRDefault="0053651E">
            <w:pPr>
              <w:jc w:val="center"/>
              <w:rPr>
                <w:rFonts w:eastAsia="Times New Roman"/>
                <w:sz w:val="20"/>
                <w:szCs w:val="20"/>
              </w:rPr>
            </w:pPr>
            <w:r>
              <w:rPr>
                <w:rStyle w:val="a6"/>
                <w:rFonts w:eastAsia="Times New Roman"/>
                <w:i w:val="0"/>
                <w:iCs w:val="0"/>
                <w:sz w:val="20"/>
                <w:szCs w:val="20"/>
              </w:rPr>
              <w:t>Mar-2021</w:t>
            </w:r>
          </w:p>
        </w:tc>
        <w:tc>
          <w:tcPr>
            <w:tcW w:w="50" w:type="pct"/>
            <w:shd w:val="clear" w:color="auto" w:fill="FFFFFF"/>
            <w:vAlign w:val="bottom"/>
            <w:hideMark/>
          </w:tcPr>
          <w:p w14:paraId="5CFE6FF4" w14:textId="77777777" w:rsidR="00000000" w:rsidRDefault="0053651E">
            <w:pPr>
              <w:rPr>
                <w:rFonts w:eastAsia="Times New Roman"/>
                <w:sz w:val="20"/>
                <w:szCs w:val="20"/>
              </w:rPr>
            </w:pPr>
            <w:r>
              <w:rPr>
                <w:rFonts w:eastAsia="Times New Roman"/>
                <w:sz w:val="20"/>
                <w:szCs w:val="20"/>
              </w:rPr>
              <w:t> </w:t>
            </w:r>
          </w:p>
        </w:tc>
      </w:tr>
      <w:tr w:rsidR="00000000" w14:paraId="33C7A15C" w14:textId="77777777">
        <w:trPr>
          <w:tblCellSpacing w:w="0" w:type="dxa"/>
        </w:trPr>
        <w:tc>
          <w:tcPr>
            <w:tcW w:w="1350" w:type="pct"/>
            <w:shd w:val="clear" w:color="auto" w:fill="CCEEFF"/>
            <w:vAlign w:val="bottom"/>
            <w:hideMark/>
          </w:tcPr>
          <w:p w14:paraId="7F1C62A1" w14:textId="77777777" w:rsidR="00000000" w:rsidRDefault="0053651E">
            <w:pPr>
              <w:pStyle w:val="a3"/>
              <w:spacing w:before="0" w:beforeAutospacing="0" w:after="0" w:afterAutospacing="0"/>
              <w:rPr>
                <w:sz w:val="20"/>
                <w:szCs w:val="20"/>
              </w:rPr>
            </w:pPr>
            <w:r>
              <w:rPr>
                <w:sz w:val="20"/>
                <w:szCs w:val="20"/>
              </w:rPr>
              <w:t>Deferred financing costs, net</w:t>
            </w:r>
          </w:p>
        </w:tc>
        <w:tc>
          <w:tcPr>
            <w:tcW w:w="50" w:type="pct"/>
            <w:shd w:val="clear" w:color="auto" w:fill="CCEEFF"/>
            <w:vAlign w:val="bottom"/>
            <w:hideMark/>
          </w:tcPr>
          <w:p w14:paraId="7F00A3C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97519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6231C41" w14:textId="77777777" w:rsidR="00000000" w:rsidRDefault="0053651E">
            <w:pPr>
              <w:jc w:val="right"/>
              <w:rPr>
                <w:rFonts w:eastAsia="Times New Roman"/>
                <w:sz w:val="20"/>
                <w:szCs w:val="20"/>
              </w:rPr>
            </w:pPr>
            <w:r>
              <w:rPr>
                <w:rFonts w:eastAsia="Times New Roman"/>
                <w:sz w:val="20"/>
                <w:szCs w:val="20"/>
              </w:rPr>
              <w:t>(53.1</w:t>
            </w:r>
          </w:p>
        </w:tc>
        <w:tc>
          <w:tcPr>
            <w:tcW w:w="50" w:type="pct"/>
            <w:shd w:val="clear" w:color="auto" w:fill="CCEEFF"/>
            <w:tcMar>
              <w:top w:w="0" w:type="dxa"/>
              <w:left w:w="0" w:type="dxa"/>
              <w:bottom w:w="15" w:type="dxa"/>
              <w:right w:w="0" w:type="dxa"/>
            </w:tcMar>
            <w:vAlign w:val="bottom"/>
            <w:hideMark/>
          </w:tcPr>
          <w:p w14:paraId="0BFF94C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6FB3B6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F21F511"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4C37E8A" w14:textId="77777777" w:rsidR="00000000" w:rsidRDefault="0053651E">
            <w:pPr>
              <w:jc w:val="right"/>
              <w:rPr>
                <w:rFonts w:eastAsia="Times New Roman"/>
                <w:sz w:val="20"/>
                <w:szCs w:val="20"/>
              </w:rPr>
            </w:pPr>
            <w:r>
              <w:rPr>
                <w:rFonts w:eastAsia="Times New Roman"/>
                <w:sz w:val="20"/>
                <w:szCs w:val="20"/>
              </w:rPr>
              <w:t>(53.4</w:t>
            </w:r>
          </w:p>
        </w:tc>
        <w:tc>
          <w:tcPr>
            <w:tcW w:w="50" w:type="pct"/>
            <w:shd w:val="clear" w:color="auto" w:fill="CCEEFF"/>
            <w:tcMar>
              <w:top w:w="0" w:type="dxa"/>
              <w:left w:w="0" w:type="dxa"/>
              <w:bottom w:w="15" w:type="dxa"/>
              <w:right w:w="0" w:type="dxa"/>
            </w:tcMar>
            <w:vAlign w:val="bottom"/>
            <w:hideMark/>
          </w:tcPr>
          <w:p w14:paraId="3ADA6D8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8A844A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5FBE59" w14:textId="77777777" w:rsidR="00000000" w:rsidRDefault="0053651E">
            <w:pPr>
              <w:rPr>
                <w:rFonts w:eastAsia="Times New Roman"/>
                <w:sz w:val="20"/>
                <w:szCs w:val="20"/>
              </w:rPr>
            </w:pPr>
            <w:r>
              <w:rPr>
                <w:rFonts w:eastAsia="Times New Roman"/>
                <w:sz w:val="20"/>
                <w:szCs w:val="20"/>
              </w:rPr>
              <w:t> </w:t>
            </w:r>
          </w:p>
        </w:tc>
        <w:tc>
          <w:tcPr>
            <w:tcW w:w="350" w:type="pct"/>
            <w:gridSpan w:val="3"/>
            <w:tcBorders>
              <w:bottom w:val="single" w:sz="6" w:space="0" w:color="000000"/>
            </w:tcBorders>
            <w:shd w:val="clear" w:color="auto" w:fill="CCEEFF"/>
            <w:vAlign w:val="bottom"/>
            <w:hideMark/>
          </w:tcPr>
          <w:p w14:paraId="66162ED3"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tcMar>
              <w:top w:w="0" w:type="dxa"/>
              <w:left w:w="0" w:type="dxa"/>
              <w:bottom w:w="15" w:type="dxa"/>
              <w:right w:w="0" w:type="dxa"/>
            </w:tcMar>
            <w:vAlign w:val="bottom"/>
            <w:hideMark/>
          </w:tcPr>
          <w:p w14:paraId="7C0F54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23082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1FBF6AA" w14:textId="77777777" w:rsidR="00000000" w:rsidRDefault="0053651E">
            <w:pPr>
              <w:rPr>
                <w:rFonts w:eastAsia="Times New Roman"/>
                <w:sz w:val="20"/>
                <w:szCs w:val="20"/>
              </w:rPr>
            </w:pPr>
            <w:r>
              <w:rPr>
                <w:rFonts w:eastAsia="Times New Roman"/>
                <w:sz w:val="20"/>
                <w:szCs w:val="20"/>
              </w:rPr>
              <w:t> </w:t>
            </w:r>
          </w:p>
        </w:tc>
        <w:tc>
          <w:tcPr>
            <w:tcW w:w="350" w:type="pct"/>
            <w:gridSpan w:val="3"/>
            <w:tcBorders>
              <w:bottom w:val="single" w:sz="6" w:space="0" w:color="000000"/>
            </w:tcBorders>
            <w:shd w:val="clear" w:color="auto" w:fill="CCEEFF"/>
            <w:vAlign w:val="bottom"/>
            <w:hideMark/>
          </w:tcPr>
          <w:p w14:paraId="5A32AA67"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tcMar>
              <w:top w:w="0" w:type="dxa"/>
              <w:left w:w="0" w:type="dxa"/>
              <w:bottom w:w="15" w:type="dxa"/>
              <w:right w:w="0" w:type="dxa"/>
            </w:tcMar>
            <w:vAlign w:val="bottom"/>
            <w:hideMark/>
          </w:tcPr>
          <w:p w14:paraId="64C018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7F3D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672820"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47B1830"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tcMar>
              <w:top w:w="0" w:type="dxa"/>
              <w:left w:w="0" w:type="dxa"/>
              <w:bottom w:w="15" w:type="dxa"/>
              <w:right w:w="0" w:type="dxa"/>
            </w:tcMar>
            <w:vAlign w:val="bottom"/>
            <w:hideMark/>
          </w:tcPr>
          <w:p w14:paraId="015BA4A3" w14:textId="77777777" w:rsidR="00000000" w:rsidRDefault="0053651E">
            <w:pPr>
              <w:rPr>
                <w:rFonts w:eastAsia="Times New Roman"/>
                <w:sz w:val="20"/>
                <w:szCs w:val="20"/>
              </w:rPr>
            </w:pPr>
            <w:r>
              <w:rPr>
                <w:rFonts w:eastAsia="Times New Roman"/>
                <w:sz w:val="20"/>
                <w:szCs w:val="20"/>
              </w:rPr>
              <w:t> </w:t>
            </w:r>
          </w:p>
        </w:tc>
      </w:tr>
      <w:tr w:rsidR="00000000" w14:paraId="5AB8C38A" w14:textId="77777777">
        <w:trPr>
          <w:tblCellSpacing w:w="0" w:type="dxa"/>
        </w:trPr>
        <w:tc>
          <w:tcPr>
            <w:tcW w:w="1350" w:type="pct"/>
            <w:shd w:val="clear" w:color="auto" w:fill="FFFFFF"/>
            <w:vAlign w:val="bottom"/>
            <w:hideMark/>
          </w:tcPr>
          <w:p w14:paraId="0C861D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206C8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6F172E4"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37D17B38" w14:textId="77777777" w:rsidR="00000000" w:rsidRDefault="0053651E">
            <w:pPr>
              <w:jc w:val="right"/>
              <w:rPr>
                <w:rFonts w:eastAsia="Times New Roman"/>
                <w:sz w:val="20"/>
                <w:szCs w:val="20"/>
              </w:rPr>
            </w:pPr>
            <w:r>
              <w:rPr>
                <w:rFonts w:eastAsia="Times New Roman"/>
                <w:b/>
                <w:bCs/>
                <w:sz w:val="20"/>
                <w:szCs w:val="20"/>
              </w:rPr>
              <w:t>4,831.8</w:t>
            </w:r>
          </w:p>
        </w:tc>
        <w:tc>
          <w:tcPr>
            <w:tcW w:w="50" w:type="pct"/>
            <w:shd w:val="clear" w:color="auto" w:fill="FFFFFF"/>
            <w:tcMar>
              <w:top w:w="0" w:type="dxa"/>
              <w:left w:w="0" w:type="dxa"/>
              <w:bottom w:w="45" w:type="dxa"/>
              <w:right w:w="0" w:type="dxa"/>
            </w:tcMar>
            <w:vAlign w:val="bottom"/>
            <w:hideMark/>
          </w:tcPr>
          <w:p w14:paraId="7A70E2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A168C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63CABEC"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409C6795" w14:textId="77777777" w:rsidR="00000000" w:rsidRDefault="0053651E">
            <w:pPr>
              <w:jc w:val="right"/>
              <w:rPr>
                <w:rFonts w:eastAsia="Times New Roman"/>
                <w:sz w:val="20"/>
                <w:szCs w:val="20"/>
              </w:rPr>
            </w:pPr>
            <w:r>
              <w:rPr>
                <w:rFonts w:eastAsia="Times New Roman"/>
                <w:b/>
                <w:bCs/>
                <w:sz w:val="20"/>
                <w:szCs w:val="20"/>
              </w:rPr>
              <w:t>4,381.5</w:t>
            </w:r>
          </w:p>
        </w:tc>
        <w:tc>
          <w:tcPr>
            <w:tcW w:w="50" w:type="pct"/>
            <w:shd w:val="clear" w:color="auto" w:fill="FFFFFF"/>
            <w:tcMar>
              <w:top w:w="0" w:type="dxa"/>
              <w:left w:w="0" w:type="dxa"/>
              <w:bottom w:w="45" w:type="dxa"/>
              <w:right w:w="0" w:type="dxa"/>
            </w:tcMar>
            <w:vAlign w:val="bottom"/>
            <w:hideMark/>
          </w:tcPr>
          <w:p w14:paraId="4B3E99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9BF27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B1E27F" w14:textId="77777777" w:rsidR="00000000" w:rsidRDefault="0053651E">
            <w:pPr>
              <w:rPr>
                <w:rFonts w:eastAsia="Times New Roman"/>
                <w:sz w:val="20"/>
                <w:szCs w:val="20"/>
              </w:rPr>
            </w:pPr>
            <w:r>
              <w:rPr>
                <w:rFonts w:eastAsia="Times New Roman"/>
                <w:b/>
                <w:bCs/>
                <w:sz w:val="20"/>
                <w:szCs w:val="20"/>
              </w:rPr>
              <w:t> </w:t>
            </w:r>
          </w:p>
        </w:tc>
        <w:tc>
          <w:tcPr>
            <w:tcW w:w="350" w:type="pct"/>
            <w:gridSpan w:val="3"/>
            <w:tcBorders>
              <w:bottom w:val="double" w:sz="6" w:space="0" w:color="000000"/>
            </w:tcBorders>
            <w:shd w:val="clear" w:color="auto" w:fill="FFFFFF"/>
            <w:vAlign w:val="bottom"/>
            <w:hideMark/>
          </w:tcPr>
          <w:p w14:paraId="0B4B1A7A" w14:textId="77777777" w:rsidR="00000000" w:rsidRDefault="0053651E">
            <w:pPr>
              <w:jc w:val="center"/>
              <w:rPr>
                <w:rFonts w:eastAsia="Times New Roman"/>
                <w:sz w:val="20"/>
                <w:szCs w:val="20"/>
              </w:rPr>
            </w:pPr>
            <w:r>
              <w:rPr>
                <w:rStyle w:val="a6"/>
                <w:rFonts w:eastAsia="Times New Roman"/>
                <w:b/>
                <w:bCs/>
                <w:i w:val="0"/>
                <w:iCs w:val="0"/>
                <w:sz w:val="20"/>
                <w:szCs w:val="20"/>
              </w:rPr>
              <w:t>3.46%*</w:t>
            </w:r>
          </w:p>
        </w:tc>
        <w:tc>
          <w:tcPr>
            <w:tcW w:w="50" w:type="pct"/>
            <w:shd w:val="clear" w:color="auto" w:fill="FFFFFF"/>
            <w:tcMar>
              <w:top w:w="0" w:type="dxa"/>
              <w:left w:w="0" w:type="dxa"/>
              <w:bottom w:w="45" w:type="dxa"/>
              <w:right w:w="0" w:type="dxa"/>
            </w:tcMar>
            <w:vAlign w:val="bottom"/>
            <w:hideMark/>
          </w:tcPr>
          <w:p w14:paraId="5B4362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344FA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8E0FA02" w14:textId="77777777" w:rsidR="00000000" w:rsidRDefault="0053651E">
            <w:pPr>
              <w:rPr>
                <w:rFonts w:eastAsia="Times New Roman"/>
                <w:sz w:val="20"/>
                <w:szCs w:val="20"/>
              </w:rPr>
            </w:pPr>
            <w:r>
              <w:rPr>
                <w:rFonts w:eastAsia="Times New Roman"/>
                <w:b/>
                <w:bCs/>
                <w:sz w:val="20"/>
                <w:szCs w:val="20"/>
              </w:rPr>
              <w:t> </w:t>
            </w:r>
          </w:p>
        </w:tc>
        <w:tc>
          <w:tcPr>
            <w:tcW w:w="350" w:type="pct"/>
            <w:gridSpan w:val="3"/>
            <w:tcBorders>
              <w:bottom w:val="double" w:sz="6" w:space="0" w:color="000000"/>
            </w:tcBorders>
            <w:shd w:val="clear" w:color="auto" w:fill="FFFFFF"/>
            <w:vAlign w:val="bottom"/>
            <w:hideMark/>
          </w:tcPr>
          <w:p w14:paraId="79E402FA" w14:textId="77777777" w:rsidR="00000000" w:rsidRDefault="0053651E">
            <w:pPr>
              <w:jc w:val="center"/>
              <w:rPr>
                <w:rFonts w:eastAsia="Times New Roman"/>
                <w:sz w:val="20"/>
                <w:szCs w:val="20"/>
              </w:rPr>
            </w:pPr>
            <w:r>
              <w:rPr>
                <w:rStyle w:val="a6"/>
                <w:rFonts w:eastAsia="Times New Roman"/>
                <w:b/>
                <w:bCs/>
                <w:i w:val="0"/>
                <w:iCs w:val="0"/>
                <w:sz w:val="20"/>
                <w:szCs w:val="20"/>
              </w:rPr>
              <w:t>3.48%*</w:t>
            </w:r>
          </w:p>
        </w:tc>
        <w:tc>
          <w:tcPr>
            <w:tcW w:w="50" w:type="pct"/>
            <w:shd w:val="clear" w:color="auto" w:fill="FFFFFF"/>
            <w:tcMar>
              <w:top w:w="0" w:type="dxa"/>
              <w:left w:w="0" w:type="dxa"/>
              <w:bottom w:w="45" w:type="dxa"/>
              <w:right w:w="0" w:type="dxa"/>
            </w:tcMar>
            <w:vAlign w:val="bottom"/>
            <w:hideMark/>
          </w:tcPr>
          <w:p w14:paraId="3B5332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C0429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C7CA7D" w14:textId="77777777" w:rsidR="00000000" w:rsidRDefault="0053651E">
            <w:pPr>
              <w:rPr>
                <w:rFonts w:eastAsia="Times New Roman"/>
                <w:sz w:val="20"/>
                <w:szCs w:val="20"/>
              </w:rPr>
            </w:pPr>
            <w:r>
              <w:rPr>
                <w:rFonts w:eastAsia="Times New Roman"/>
                <w:b/>
                <w:bCs/>
                <w:sz w:val="20"/>
                <w:szCs w:val="20"/>
              </w:rPr>
              <w:t> </w:t>
            </w:r>
          </w:p>
        </w:tc>
        <w:tc>
          <w:tcPr>
            <w:tcW w:w="800" w:type="pct"/>
            <w:shd w:val="clear" w:color="auto" w:fill="FFFFFF"/>
            <w:vAlign w:val="bottom"/>
            <w:hideMark/>
          </w:tcPr>
          <w:p w14:paraId="56AFEE42" w14:textId="77777777" w:rsidR="00000000" w:rsidRDefault="0053651E">
            <w:pPr>
              <w:jc w:val="center"/>
              <w:rPr>
                <w:rFonts w:eastAsia="Times New Roman"/>
                <w:sz w:val="20"/>
                <w:szCs w:val="20"/>
              </w:rPr>
            </w:pPr>
            <w:r>
              <w:rPr>
                <w:rStyle w:val="a6"/>
                <w:rFonts w:eastAsia="Times New Roman"/>
                <w:b/>
                <w:bCs/>
                <w:i w:val="0"/>
                <w:iCs w:val="0"/>
                <w:sz w:val="20"/>
                <w:szCs w:val="20"/>
              </w:rPr>
              <w:t> </w:t>
            </w:r>
          </w:p>
        </w:tc>
        <w:tc>
          <w:tcPr>
            <w:tcW w:w="50" w:type="pct"/>
            <w:shd w:val="clear" w:color="auto" w:fill="FFFFFF"/>
            <w:tcMar>
              <w:top w:w="0" w:type="dxa"/>
              <w:left w:w="0" w:type="dxa"/>
              <w:bottom w:w="45" w:type="dxa"/>
              <w:right w:w="0" w:type="dxa"/>
            </w:tcMar>
            <w:vAlign w:val="bottom"/>
            <w:hideMark/>
          </w:tcPr>
          <w:p w14:paraId="36544A72" w14:textId="77777777" w:rsidR="00000000" w:rsidRDefault="0053651E">
            <w:pPr>
              <w:rPr>
                <w:rFonts w:eastAsia="Times New Roman"/>
                <w:sz w:val="20"/>
                <w:szCs w:val="20"/>
              </w:rPr>
            </w:pPr>
            <w:r>
              <w:rPr>
                <w:rFonts w:eastAsia="Times New Roman"/>
                <w:b/>
                <w:bCs/>
                <w:sz w:val="20"/>
                <w:szCs w:val="20"/>
              </w:rPr>
              <w:t> </w:t>
            </w:r>
          </w:p>
        </w:tc>
      </w:tr>
    </w:tbl>
    <w:p w14:paraId="7D3273F3" w14:textId="77777777" w:rsidR="00000000" w:rsidRDefault="0053651E">
      <w:pPr>
        <w:pStyle w:val="a3"/>
        <w:spacing w:before="0" w:beforeAutospacing="0" w:after="0" w:afterAutospacing="0"/>
        <w:jc w:val="both"/>
        <w:rPr>
          <w:sz w:val="20"/>
          <w:szCs w:val="20"/>
        </w:rPr>
      </w:pPr>
      <w:r>
        <w:rPr>
          <w:sz w:val="20"/>
          <w:szCs w:val="20"/>
        </w:rPr>
        <w:t>* Weighted-average interest rate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AC26A15" w14:textId="77777777">
        <w:trPr>
          <w:tblCellSpacing w:w="0" w:type="dxa"/>
        </w:trPr>
        <w:tc>
          <w:tcPr>
            <w:tcW w:w="360" w:type="dxa"/>
            <w:vAlign w:val="center"/>
            <w:hideMark/>
          </w:tcPr>
          <w:p w14:paraId="139723EC" w14:textId="77777777" w:rsidR="00000000" w:rsidRDefault="0053651E">
            <w:pPr>
              <w:rPr>
                <w:rFonts w:eastAsia="Times New Roman"/>
                <w:sz w:val="20"/>
                <w:szCs w:val="20"/>
              </w:rPr>
            </w:pPr>
            <w:r>
              <w:rPr>
                <w:rFonts w:eastAsia="Times New Roman"/>
                <w:sz w:val="20"/>
                <w:szCs w:val="20"/>
              </w:rPr>
              <w:t> </w:t>
            </w:r>
          </w:p>
        </w:tc>
        <w:tc>
          <w:tcPr>
            <w:tcW w:w="360" w:type="dxa"/>
            <w:hideMark/>
          </w:tcPr>
          <w:p w14:paraId="2849C4EA" w14:textId="77777777" w:rsidR="00000000" w:rsidRDefault="0053651E">
            <w:pPr>
              <w:pStyle w:val="a3"/>
              <w:spacing w:before="0" w:beforeAutospacing="0" w:after="0" w:afterAutospacing="0"/>
              <w:jc w:val="both"/>
              <w:rPr>
                <w:sz w:val="20"/>
                <w:szCs w:val="20"/>
              </w:rPr>
            </w:pPr>
            <w:r>
              <w:rPr>
                <w:sz w:val="20"/>
                <w:szCs w:val="20"/>
              </w:rPr>
              <w:t>(a)</w:t>
            </w:r>
          </w:p>
        </w:tc>
        <w:tc>
          <w:tcPr>
            <w:tcW w:w="0" w:type="auto"/>
            <w:hideMark/>
          </w:tcPr>
          <w:p w14:paraId="311416FB" w14:textId="77777777" w:rsidR="00000000" w:rsidRDefault="0053651E">
            <w:pPr>
              <w:pStyle w:val="a3"/>
              <w:spacing w:before="0" w:beforeAutospacing="0" w:after="0" w:afterAutospacing="0"/>
              <w:jc w:val="both"/>
              <w:rPr>
                <w:sz w:val="20"/>
                <w:szCs w:val="20"/>
              </w:rPr>
            </w:pPr>
            <w:r>
              <w:rPr>
                <w:sz w:val="20"/>
                <w:szCs w:val="20"/>
              </w:rPr>
              <w:t>Accrues interest at a rate of LIBOR plus 0.875% (2.64% and 3.31%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respectively).</w:t>
            </w:r>
          </w:p>
        </w:tc>
      </w:tr>
    </w:tbl>
    <w:p w14:paraId="3F6C8BBC" w14:textId="77777777" w:rsidR="00000000" w:rsidRDefault="0053651E">
      <w:pPr>
        <w:pStyle w:val="a3"/>
        <w:spacing w:before="0" w:beforeAutospacing="0" w:after="0" w:afterAutospacing="0"/>
        <w:ind w:left="360"/>
        <w:jc w:val="both"/>
        <w:rPr>
          <w:sz w:val="20"/>
          <w:szCs w:val="20"/>
        </w:rPr>
      </w:pPr>
      <w:r>
        <w:rPr>
          <w:sz w:val="20"/>
          <w:szCs w:val="20"/>
        </w:rPr>
        <w:t> </w:t>
      </w:r>
    </w:p>
    <w:p w14:paraId="4239788C" w14:textId="77777777" w:rsidR="00000000" w:rsidRDefault="0053651E">
      <w:pPr>
        <w:pStyle w:val="a3"/>
        <w:spacing w:before="0" w:beforeAutospacing="0" w:after="0" w:afterAutospacing="0"/>
        <w:ind w:left="36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2019, </w:t>
      </w:r>
      <w:r>
        <w:rPr>
          <w:sz w:val="20"/>
          <w:szCs w:val="20"/>
        </w:rPr>
        <w:t>the Company issued the following senior unsecured notes (dollars in millions):</w:t>
      </w:r>
    </w:p>
    <w:p w14:paraId="31D2771D" w14:textId="77777777" w:rsidR="00000000" w:rsidRDefault="0053651E">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591"/>
        <w:gridCol w:w="63"/>
        <w:gridCol w:w="1525"/>
        <w:gridCol w:w="63"/>
        <w:gridCol w:w="101"/>
        <w:gridCol w:w="1525"/>
        <w:gridCol w:w="63"/>
        <w:gridCol w:w="63"/>
        <w:gridCol w:w="63"/>
        <w:gridCol w:w="1525"/>
        <w:gridCol w:w="63"/>
      </w:tblGrid>
      <w:tr w:rsidR="00000000" w14:paraId="505C23CE" w14:textId="77777777">
        <w:trPr>
          <w:tblCellSpacing w:w="0" w:type="dxa"/>
        </w:trPr>
        <w:tc>
          <w:tcPr>
            <w:tcW w:w="1200" w:type="pct"/>
            <w:tcBorders>
              <w:bottom w:val="single" w:sz="6" w:space="0" w:color="000000"/>
            </w:tcBorders>
            <w:vAlign w:val="bottom"/>
            <w:hideMark/>
          </w:tcPr>
          <w:p w14:paraId="72306EB8" w14:textId="77777777" w:rsidR="00000000" w:rsidRDefault="0053651E">
            <w:pPr>
              <w:pStyle w:val="a3"/>
              <w:spacing w:before="0" w:beforeAutospacing="0" w:after="0" w:afterAutospacing="0"/>
              <w:jc w:val="center"/>
              <w:rPr>
                <w:sz w:val="20"/>
                <w:szCs w:val="20"/>
              </w:rPr>
            </w:pPr>
            <w:r>
              <w:rPr>
                <w:b/>
                <w:bCs/>
                <w:sz w:val="20"/>
                <w:szCs w:val="20"/>
              </w:rPr>
              <w:t>Date Issued</w:t>
            </w:r>
          </w:p>
        </w:tc>
        <w:tc>
          <w:tcPr>
            <w:tcW w:w="50" w:type="pct"/>
            <w:vAlign w:val="bottom"/>
            <w:hideMark/>
          </w:tcPr>
          <w:p w14:paraId="47148B38" w14:textId="77777777" w:rsidR="00000000" w:rsidRDefault="0053651E">
            <w:pPr>
              <w:rPr>
                <w:rFonts w:eastAsia="Times New Roman"/>
                <w:sz w:val="20"/>
                <w:szCs w:val="20"/>
              </w:rPr>
            </w:pPr>
            <w:r>
              <w:rPr>
                <w:rFonts w:eastAsia="Times New Roman"/>
                <w:sz w:val="20"/>
                <w:szCs w:val="20"/>
              </w:rPr>
              <w:t> </w:t>
            </w:r>
          </w:p>
        </w:tc>
        <w:tc>
          <w:tcPr>
            <w:tcW w:w="1150" w:type="pct"/>
            <w:tcBorders>
              <w:bottom w:val="single" w:sz="6" w:space="0" w:color="000000"/>
            </w:tcBorders>
            <w:vAlign w:val="bottom"/>
            <w:hideMark/>
          </w:tcPr>
          <w:p w14:paraId="7A2DBF47" w14:textId="77777777" w:rsidR="00000000" w:rsidRDefault="0053651E">
            <w:pPr>
              <w:pStyle w:val="a3"/>
              <w:spacing w:before="0" w:beforeAutospacing="0" w:after="0" w:afterAutospacing="0"/>
              <w:jc w:val="center"/>
              <w:rPr>
                <w:sz w:val="20"/>
                <w:szCs w:val="20"/>
              </w:rPr>
            </w:pPr>
            <w:r>
              <w:rPr>
                <w:b/>
                <w:bCs/>
                <w:sz w:val="20"/>
                <w:szCs w:val="20"/>
              </w:rPr>
              <w:t>Maturity Date</w:t>
            </w:r>
          </w:p>
        </w:tc>
        <w:tc>
          <w:tcPr>
            <w:tcW w:w="50" w:type="pct"/>
            <w:vAlign w:val="bottom"/>
            <w:hideMark/>
          </w:tcPr>
          <w:p w14:paraId="4810022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92E5EDE" w14:textId="77777777" w:rsidR="00000000" w:rsidRDefault="0053651E">
            <w:pPr>
              <w:pStyle w:val="a3"/>
              <w:spacing w:before="0" w:beforeAutospacing="0" w:after="0" w:afterAutospacing="0"/>
              <w:jc w:val="center"/>
              <w:rPr>
                <w:sz w:val="20"/>
                <w:szCs w:val="20"/>
              </w:rPr>
            </w:pPr>
            <w:r>
              <w:rPr>
                <w:b/>
                <w:bCs/>
                <w:sz w:val="20"/>
                <w:szCs w:val="20"/>
              </w:rPr>
              <w:t xml:space="preserve">Amount Issued </w:t>
            </w:r>
          </w:p>
        </w:tc>
        <w:tc>
          <w:tcPr>
            <w:tcW w:w="50" w:type="pct"/>
            <w:tcMar>
              <w:top w:w="0" w:type="dxa"/>
              <w:left w:w="0" w:type="dxa"/>
              <w:bottom w:w="15" w:type="dxa"/>
              <w:right w:w="0" w:type="dxa"/>
            </w:tcMar>
            <w:vAlign w:val="bottom"/>
            <w:hideMark/>
          </w:tcPr>
          <w:p w14:paraId="72FA2AE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24E0D3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75C8F62" w14:textId="77777777" w:rsidR="00000000" w:rsidRDefault="0053651E">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14:paraId="04F544C6" w14:textId="77777777" w:rsidR="00000000" w:rsidRDefault="0053651E">
            <w:pPr>
              <w:rPr>
                <w:rFonts w:eastAsia="Times New Roman"/>
                <w:sz w:val="20"/>
                <w:szCs w:val="20"/>
              </w:rPr>
            </w:pPr>
            <w:r>
              <w:rPr>
                <w:rFonts w:eastAsia="Times New Roman"/>
                <w:sz w:val="20"/>
                <w:szCs w:val="20"/>
              </w:rPr>
              <w:t> </w:t>
            </w:r>
          </w:p>
        </w:tc>
      </w:tr>
      <w:tr w:rsidR="00000000" w14:paraId="0E9A5D54" w14:textId="77777777">
        <w:trPr>
          <w:tblCellSpacing w:w="0" w:type="dxa"/>
        </w:trPr>
        <w:tc>
          <w:tcPr>
            <w:tcW w:w="1200" w:type="pct"/>
            <w:shd w:val="clear" w:color="auto" w:fill="CCEEFF"/>
            <w:vAlign w:val="bottom"/>
            <w:hideMark/>
          </w:tcPr>
          <w:p w14:paraId="79D67625" w14:textId="77777777" w:rsidR="00000000" w:rsidRDefault="0053651E">
            <w:pPr>
              <w:pStyle w:val="a3"/>
              <w:spacing w:before="0" w:beforeAutospacing="0" w:after="0" w:afterAutospacing="0"/>
              <w:jc w:val="center"/>
              <w:rPr>
                <w:sz w:val="20"/>
                <w:szCs w:val="20"/>
              </w:rPr>
            </w:pPr>
            <w:r>
              <w:rPr>
                <w:sz w:val="20"/>
                <w:szCs w:val="20"/>
              </w:rPr>
              <w:t>Aug-19</w:t>
            </w:r>
          </w:p>
        </w:tc>
        <w:tc>
          <w:tcPr>
            <w:tcW w:w="50" w:type="pct"/>
            <w:shd w:val="clear" w:color="auto" w:fill="CCEEFF"/>
            <w:vAlign w:val="bottom"/>
            <w:hideMark/>
          </w:tcPr>
          <w:p w14:paraId="337F5A5C" w14:textId="77777777" w:rsidR="00000000" w:rsidRDefault="0053651E">
            <w:pPr>
              <w:rPr>
                <w:rFonts w:eastAsia="Times New Roman"/>
                <w:sz w:val="20"/>
                <w:szCs w:val="20"/>
              </w:rPr>
            </w:pPr>
            <w:r>
              <w:rPr>
                <w:rFonts w:eastAsia="Times New Roman"/>
                <w:sz w:val="20"/>
                <w:szCs w:val="20"/>
              </w:rPr>
              <w:t> </w:t>
            </w:r>
          </w:p>
        </w:tc>
        <w:tc>
          <w:tcPr>
            <w:tcW w:w="1150" w:type="pct"/>
            <w:shd w:val="clear" w:color="auto" w:fill="CCEEFF"/>
            <w:vAlign w:val="bottom"/>
            <w:hideMark/>
          </w:tcPr>
          <w:p w14:paraId="37BA4B12" w14:textId="77777777" w:rsidR="00000000" w:rsidRDefault="0053651E">
            <w:pPr>
              <w:pStyle w:val="a3"/>
              <w:spacing w:before="0" w:beforeAutospacing="0" w:after="0" w:afterAutospacing="0"/>
              <w:jc w:val="center"/>
              <w:rPr>
                <w:sz w:val="20"/>
                <w:szCs w:val="20"/>
              </w:rPr>
            </w:pPr>
            <w:r>
              <w:rPr>
                <w:rStyle w:val="a6"/>
                <w:i w:val="0"/>
                <w:iCs w:val="0"/>
                <w:sz w:val="20"/>
                <w:szCs w:val="20"/>
              </w:rPr>
              <w:t>Oct-49</w:t>
            </w:r>
          </w:p>
        </w:tc>
        <w:tc>
          <w:tcPr>
            <w:tcW w:w="50" w:type="pct"/>
            <w:shd w:val="clear" w:color="auto" w:fill="CCEEFF"/>
            <w:vAlign w:val="bottom"/>
            <w:hideMark/>
          </w:tcPr>
          <w:p w14:paraId="00DECE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A8B458" w14:textId="77777777" w:rsidR="00000000" w:rsidRDefault="0053651E">
            <w:pPr>
              <w:rPr>
                <w:rFonts w:eastAsia="Times New Roman"/>
                <w:sz w:val="20"/>
                <w:szCs w:val="20"/>
              </w:rPr>
            </w:pPr>
            <w:r>
              <w:rPr>
                <w:rFonts w:eastAsia="Times New Roman"/>
                <w:sz w:val="20"/>
                <w:szCs w:val="20"/>
              </w:rPr>
              <w:t>$</w:t>
            </w:r>
          </w:p>
        </w:tc>
        <w:tc>
          <w:tcPr>
            <w:tcW w:w="1150" w:type="pct"/>
            <w:shd w:val="clear" w:color="auto" w:fill="CCEEFF"/>
            <w:vAlign w:val="bottom"/>
            <w:hideMark/>
          </w:tcPr>
          <w:p w14:paraId="291BA256" w14:textId="77777777" w:rsidR="00000000" w:rsidRDefault="0053651E">
            <w:pPr>
              <w:jc w:val="center"/>
              <w:rPr>
                <w:rFonts w:eastAsia="Times New Roman"/>
                <w:sz w:val="20"/>
                <w:szCs w:val="20"/>
              </w:rPr>
            </w:pPr>
            <w:r>
              <w:rPr>
                <w:rFonts w:eastAsia="Times New Roman"/>
                <w:sz w:val="20"/>
                <w:szCs w:val="20"/>
              </w:rPr>
              <w:t>350.0</w:t>
            </w:r>
          </w:p>
        </w:tc>
        <w:tc>
          <w:tcPr>
            <w:tcW w:w="50" w:type="pct"/>
            <w:shd w:val="clear" w:color="auto" w:fill="CCEEFF"/>
            <w:vAlign w:val="bottom"/>
            <w:hideMark/>
          </w:tcPr>
          <w:p w14:paraId="242F80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6B38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7069F2" w14:textId="77777777" w:rsidR="00000000" w:rsidRDefault="0053651E">
            <w:pPr>
              <w:rPr>
                <w:rFonts w:eastAsia="Times New Roman"/>
                <w:sz w:val="20"/>
                <w:szCs w:val="20"/>
              </w:rPr>
            </w:pPr>
            <w:r>
              <w:rPr>
                <w:rFonts w:eastAsia="Times New Roman"/>
                <w:sz w:val="20"/>
                <w:szCs w:val="20"/>
              </w:rPr>
              <w:t> </w:t>
            </w:r>
          </w:p>
        </w:tc>
        <w:tc>
          <w:tcPr>
            <w:tcW w:w="1150" w:type="pct"/>
            <w:shd w:val="clear" w:color="auto" w:fill="CCEEFF"/>
            <w:vAlign w:val="bottom"/>
            <w:hideMark/>
          </w:tcPr>
          <w:p w14:paraId="649D3A96" w14:textId="77777777" w:rsidR="00000000" w:rsidRDefault="0053651E">
            <w:pPr>
              <w:jc w:val="center"/>
              <w:rPr>
                <w:rFonts w:eastAsia="Times New Roman"/>
                <w:sz w:val="20"/>
                <w:szCs w:val="20"/>
              </w:rPr>
            </w:pPr>
            <w:r>
              <w:rPr>
                <w:rFonts w:eastAsia="Times New Roman"/>
                <w:sz w:val="20"/>
                <w:szCs w:val="20"/>
              </w:rPr>
              <w:t>3.70%</w:t>
            </w:r>
          </w:p>
        </w:tc>
        <w:tc>
          <w:tcPr>
            <w:tcW w:w="50" w:type="pct"/>
            <w:shd w:val="clear" w:color="auto" w:fill="CCEEFF"/>
            <w:vAlign w:val="bottom"/>
            <w:hideMark/>
          </w:tcPr>
          <w:p w14:paraId="7EDD65E1" w14:textId="77777777" w:rsidR="00000000" w:rsidRDefault="0053651E">
            <w:pPr>
              <w:rPr>
                <w:rFonts w:eastAsia="Times New Roman"/>
                <w:sz w:val="20"/>
                <w:szCs w:val="20"/>
              </w:rPr>
            </w:pPr>
            <w:r>
              <w:rPr>
                <w:rFonts w:eastAsia="Times New Roman"/>
                <w:sz w:val="20"/>
                <w:szCs w:val="20"/>
              </w:rPr>
              <w:t> </w:t>
            </w:r>
          </w:p>
        </w:tc>
      </w:tr>
    </w:tbl>
    <w:p w14:paraId="52FB2B44" w14:textId="77777777" w:rsidR="00000000" w:rsidRDefault="0053651E">
      <w:pPr>
        <w:pStyle w:val="a3"/>
        <w:spacing w:before="0" w:beforeAutospacing="0" w:after="0" w:afterAutospacing="0"/>
        <w:ind w:left="360"/>
        <w:jc w:val="both"/>
        <w:rPr>
          <w:sz w:val="20"/>
          <w:szCs w:val="20"/>
        </w:rPr>
      </w:pPr>
      <w:r>
        <w:rPr>
          <w:sz w:val="20"/>
          <w:szCs w:val="20"/>
        </w:rPr>
        <w:t> </w:t>
      </w:r>
    </w:p>
    <w:p w14:paraId="08B7C20C" w14:textId="77777777" w:rsidR="00000000" w:rsidRDefault="0053651E">
      <w:pPr>
        <w:pStyle w:val="a3"/>
        <w:spacing w:before="0" w:beforeAutospacing="0" w:after="0" w:afterAutospacing="0"/>
        <w:ind w:left="36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the Company repaid the following notes (dollars in millions):</w:t>
      </w:r>
    </w:p>
    <w:p w14:paraId="0C9C00E2"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365"/>
        <w:gridCol w:w="77"/>
        <w:gridCol w:w="1576"/>
        <w:gridCol w:w="77"/>
        <w:gridCol w:w="101"/>
        <w:gridCol w:w="866"/>
        <w:gridCol w:w="77"/>
        <w:gridCol w:w="77"/>
        <w:gridCol w:w="77"/>
        <w:gridCol w:w="866"/>
        <w:gridCol w:w="77"/>
        <w:gridCol w:w="78"/>
        <w:gridCol w:w="1577"/>
      </w:tblGrid>
      <w:tr w:rsidR="00000000" w14:paraId="61F7F7AE" w14:textId="77777777">
        <w:trPr>
          <w:tblCellSpacing w:w="0" w:type="dxa"/>
        </w:trPr>
        <w:tc>
          <w:tcPr>
            <w:tcW w:w="1500" w:type="pct"/>
            <w:tcBorders>
              <w:bottom w:val="single" w:sz="6" w:space="0" w:color="000000"/>
            </w:tcBorders>
            <w:vAlign w:val="bottom"/>
            <w:hideMark/>
          </w:tcPr>
          <w:p w14:paraId="57DA8C42" w14:textId="77777777" w:rsidR="00000000" w:rsidRDefault="0053651E">
            <w:pPr>
              <w:pStyle w:val="a3"/>
              <w:spacing w:before="0" w:beforeAutospacing="0" w:after="0" w:afterAutospacing="0"/>
              <w:jc w:val="center"/>
              <w:rPr>
                <w:sz w:val="20"/>
                <w:szCs w:val="20"/>
              </w:rPr>
            </w:pPr>
            <w:r>
              <w:rPr>
                <w:b/>
                <w:bCs/>
                <w:sz w:val="20"/>
                <w:szCs w:val="20"/>
              </w:rPr>
              <w:t>Type</w:t>
            </w:r>
          </w:p>
        </w:tc>
        <w:tc>
          <w:tcPr>
            <w:tcW w:w="50" w:type="pct"/>
            <w:vAlign w:val="bottom"/>
            <w:hideMark/>
          </w:tcPr>
          <w:p w14:paraId="7643959E" w14:textId="77777777" w:rsidR="00000000" w:rsidRDefault="0053651E">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19CFBFD8" w14:textId="77777777" w:rsidR="00000000" w:rsidRDefault="0053651E">
            <w:pPr>
              <w:pStyle w:val="a3"/>
              <w:spacing w:before="0" w:beforeAutospacing="0" w:after="0" w:afterAutospacing="0"/>
              <w:jc w:val="center"/>
              <w:rPr>
                <w:sz w:val="20"/>
                <w:szCs w:val="20"/>
              </w:rPr>
            </w:pPr>
            <w:r>
              <w:rPr>
                <w:b/>
                <w:bCs/>
                <w:sz w:val="20"/>
                <w:szCs w:val="20"/>
              </w:rPr>
              <w:t>Date Paid</w:t>
            </w:r>
          </w:p>
        </w:tc>
        <w:tc>
          <w:tcPr>
            <w:tcW w:w="50" w:type="pct"/>
            <w:vAlign w:val="bottom"/>
            <w:hideMark/>
          </w:tcPr>
          <w:p w14:paraId="51FF753E"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041B911" w14:textId="77777777" w:rsidR="00000000" w:rsidRDefault="0053651E">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14:paraId="0465B07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C2ED523"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BB383BF" w14:textId="77777777" w:rsidR="00000000" w:rsidRDefault="0053651E">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14:paraId="70D1FCAB" w14:textId="77777777" w:rsidR="00000000" w:rsidRDefault="0053651E">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42D7147F" w14:textId="77777777" w:rsidR="00000000" w:rsidRDefault="0053651E">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503A2706" w14:textId="77777777" w:rsidR="00000000" w:rsidRDefault="0053651E">
            <w:pPr>
              <w:pStyle w:val="a3"/>
              <w:spacing w:before="0" w:beforeAutospacing="0" w:after="0" w:afterAutospacing="0"/>
              <w:jc w:val="center"/>
              <w:rPr>
                <w:sz w:val="20"/>
                <w:szCs w:val="20"/>
              </w:rPr>
            </w:pPr>
            <w:r>
              <w:rPr>
                <w:b/>
                <w:bCs/>
                <w:sz w:val="20"/>
                <w:szCs w:val="20"/>
              </w:rPr>
              <w:t>Maturity Date</w:t>
            </w:r>
          </w:p>
        </w:tc>
      </w:tr>
      <w:tr w:rsidR="00000000" w14:paraId="7DC2924B" w14:textId="77777777">
        <w:trPr>
          <w:tblCellSpacing w:w="0" w:type="dxa"/>
        </w:trPr>
        <w:tc>
          <w:tcPr>
            <w:tcW w:w="1500" w:type="pct"/>
            <w:tcBorders>
              <w:bottom w:val="nil"/>
            </w:tcBorders>
            <w:shd w:val="clear" w:color="auto" w:fill="CCEEFF"/>
            <w:vAlign w:val="bottom"/>
            <w:hideMark/>
          </w:tcPr>
          <w:p w14:paraId="00E5BAA3" w14:textId="77777777" w:rsidR="00000000" w:rsidRDefault="0053651E">
            <w:pPr>
              <w:pStyle w:val="a3"/>
              <w:spacing w:before="0" w:beforeAutospacing="0" w:after="0" w:afterAutospacing="0"/>
              <w:rPr>
                <w:sz w:val="20"/>
                <w:szCs w:val="20"/>
              </w:rPr>
            </w:pPr>
            <w:r>
              <w:rPr>
                <w:sz w:val="20"/>
                <w:szCs w:val="20"/>
              </w:rPr>
              <w:t>Senior unsecured notes (1)</w:t>
            </w:r>
          </w:p>
        </w:tc>
        <w:tc>
          <w:tcPr>
            <w:tcW w:w="50" w:type="pct"/>
            <w:tcBorders>
              <w:bottom w:val="nil"/>
            </w:tcBorders>
            <w:shd w:val="clear" w:color="auto" w:fill="CCEEFF"/>
            <w:vAlign w:val="bottom"/>
            <w:hideMark/>
          </w:tcPr>
          <w:p w14:paraId="0835AC53" w14:textId="77777777" w:rsidR="00000000" w:rsidRDefault="0053651E">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0E20ACF8" w14:textId="77777777" w:rsidR="00000000" w:rsidRDefault="0053651E">
            <w:pPr>
              <w:pStyle w:val="a3"/>
              <w:spacing w:before="0" w:beforeAutospacing="0" w:after="0" w:afterAutospacing="0"/>
              <w:jc w:val="center"/>
              <w:rPr>
                <w:sz w:val="20"/>
                <w:szCs w:val="20"/>
              </w:rPr>
            </w:pPr>
            <w:r>
              <w:rPr>
                <w:rStyle w:val="a6"/>
                <w:i w:val="0"/>
                <w:iCs w:val="0"/>
                <w:sz w:val="20"/>
                <w:szCs w:val="20"/>
              </w:rPr>
              <w:t>Aug-18</w:t>
            </w:r>
          </w:p>
        </w:tc>
        <w:tc>
          <w:tcPr>
            <w:tcW w:w="50" w:type="pct"/>
            <w:tcBorders>
              <w:bottom w:val="nil"/>
            </w:tcBorders>
            <w:shd w:val="clear" w:color="auto" w:fill="CCEEFF"/>
            <w:vAlign w:val="bottom"/>
            <w:hideMark/>
          </w:tcPr>
          <w:p w14:paraId="169869A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199BF8" w14:textId="77777777" w:rsidR="00000000" w:rsidRDefault="0053651E">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2181640E" w14:textId="77777777" w:rsidR="00000000" w:rsidRDefault="0053651E">
            <w:pPr>
              <w:jc w:val="right"/>
              <w:rPr>
                <w:rFonts w:eastAsia="Times New Roman"/>
                <w:sz w:val="20"/>
                <w:szCs w:val="20"/>
              </w:rPr>
            </w:pPr>
            <w:r>
              <w:rPr>
                <w:rFonts w:eastAsia="Times New Roman"/>
                <w:sz w:val="20"/>
                <w:szCs w:val="20"/>
              </w:rPr>
              <w:t>300.0</w:t>
            </w:r>
          </w:p>
        </w:tc>
        <w:tc>
          <w:tcPr>
            <w:tcW w:w="50" w:type="pct"/>
            <w:tcBorders>
              <w:bottom w:val="nil"/>
            </w:tcBorders>
            <w:shd w:val="clear" w:color="auto" w:fill="CCEEFF"/>
            <w:vAlign w:val="bottom"/>
            <w:hideMark/>
          </w:tcPr>
          <w:p w14:paraId="7BE83EF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7C5117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E3C5D8B" w14:textId="77777777" w:rsidR="00000000" w:rsidRDefault="0053651E">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6CDD90BC" w14:textId="77777777" w:rsidR="00000000" w:rsidRDefault="0053651E">
            <w:pPr>
              <w:jc w:val="center"/>
              <w:rPr>
                <w:rFonts w:eastAsia="Times New Roman"/>
                <w:sz w:val="20"/>
                <w:szCs w:val="20"/>
              </w:rPr>
            </w:pPr>
            <w:r>
              <w:rPr>
                <w:rFonts w:eastAsia="Times New Roman"/>
                <w:sz w:val="20"/>
                <w:szCs w:val="20"/>
              </w:rPr>
              <w:t>6.875%</w:t>
            </w:r>
          </w:p>
        </w:tc>
        <w:tc>
          <w:tcPr>
            <w:tcW w:w="50" w:type="pct"/>
            <w:tcBorders>
              <w:bottom w:val="nil"/>
            </w:tcBorders>
            <w:shd w:val="clear" w:color="auto" w:fill="CCEEFF"/>
            <w:vAlign w:val="bottom"/>
            <w:hideMark/>
          </w:tcPr>
          <w:p w14:paraId="0B06643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F3FB627" w14:textId="77777777" w:rsidR="00000000" w:rsidRDefault="0053651E">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1A3BA8AC" w14:textId="77777777" w:rsidR="00000000" w:rsidRDefault="0053651E">
            <w:pPr>
              <w:pStyle w:val="a3"/>
              <w:spacing w:before="0" w:beforeAutospacing="0" w:after="0" w:afterAutospacing="0"/>
              <w:jc w:val="center"/>
              <w:rPr>
                <w:sz w:val="20"/>
                <w:szCs w:val="20"/>
              </w:rPr>
            </w:pPr>
            <w:r>
              <w:rPr>
                <w:rStyle w:val="a6"/>
                <w:i w:val="0"/>
                <w:iCs w:val="0"/>
                <w:sz w:val="20"/>
                <w:szCs w:val="20"/>
              </w:rPr>
              <w:t>Oct-19</w:t>
            </w:r>
          </w:p>
        </w:tc>
      </w:tr>
      <w:tr w:rsidR="00000000" w14:paraId="6BA1422C" w14:textId="77777777">
        <w:trPr>
          <w:tblCellSpacing w:w="0" w:type="dxa"/>
        </w:trPr>
        <w:tc>
          <w:tcPr>
            <w:tcW w:w="1500" w:type="pct"/>
            <w:shd w:val="clear" w:color="auto" w:fill="FFFFFF"/>
            <w:vAlign w:val="bottom"/>
            <w:hideMark/>
          </w:tcPr>
          <w:p w14:paraId="2C732FD9" w14:textId="77777777" w:rsidR="00000000" w:rsidRDefault="0053651E">
            <w:pPr>
              <w:pStyle w:val="a3"/>
              <w:spacing w:before="0" w:beforeAutospacing="0" w:after="0" w:afterAutospacing="0"/>
              <w:rPr>
                <w:sz w:val="20"/>
                <w:szCs w:val="20"/>
              </w:rPr>
            </w:pPr>
            <w:r>
              <w:rPr>
                <w:sz w:val="20"/>
                <w:szCs w:val="20"/>
              </w:rPr>
              <w:t>Senior unsecured notes (2)</w:t>
            </w:r>
          </w:p>
        </w:tc>
        <w:tc>
          <w:tcPr>
            <w:tcW w:w="50" w:type="pct"/>
            <w:shd w:val="clear" w:color="auto" w:fill="FFFFFF"/>
            <w:vAlign w:val="bottom"/>
            <w:hideMark/>
          </w:tcPr>
          <w:p w14:paraId="59FF6130" w14:textId="77777777" w:rsidR="00000000" w:rsidRDefault="0053651E">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3540419C" w14:textId="77777777" w:rsidR="00000000" w:rsidRDefault="0053651E">
            <w:pPr>
              <w:pStyle w:val="a3"/>
              <w:spacing w:before="0" w:beforeAutospacing="0" w:after="0" w:afterAutospacing="0"/>
              <w:jc w:val="center"/>
              <w:rPr>
                <w:sz w:val="20"/>
                <w:szCs w:val="20"/>
              </w:rPr>
            </w:pPr>
            <w:r>
              <w:rPr>
                <w:rStyle w:val="a6"/>
                <w:i w:val="0"/>
                <w:iCs w:val="0"/>
                <w:sz w:val="20"/>
                <w:szCs w:val="20"/>
              </w:rPr>
              <w:t>Jun-18 &amp; Jul-18</w:t>
            </w:r>
          </w:p>
        </w:tc>
        <w:tc>
          <w:tcPr>
            <w:tcW w:w="50" w:type="pct"/>
            <w:shd w:val="clear" w:color="auto" w:fill="FFFFFF"/>
            <w:vAlign w:val="bottom"/>
            <w:hideMark/>
          </w:tcPr>
          <w:p w14:paraId="7D21C8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27E75B"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59E33AF0" w14:textId="77777777" w:rsidR="00000000" w:rsidRDefault="0053651E">
            <w:pPr>
              <w:jc w:val="right"/>
              <w:rPr>
                <w:rFonts w:eastAsia="Times New Roman"/>
                <w:sz w:val="20"/>
                <w:szCs w:val="20"/>
              </w:rPr>
            </w:pPr>
            <w:r>
              <w:rPr>
                <w:rFonts w:eastAsia="Times New Roman"/>
                <w:sz w:val="20"/>
                <w:szCs w:val="20"/>
              </w:rPr>
              <w:t>15.1</w:t>
            </w:r>
          </w:p>
        </w:tc>
        <w:tc>
          <w:tcPr>
            <w:tcW w:w="50" w:type="pct"/>
            <w:shd w:val="clear" w:color="auto" w:fill="FFFFFF"/>
            <w:vAlign w:val="bottom"/>
            <w:hideMark/>
          </w:tcPr>
          <w:p w14:paraId="7D5901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A7C0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7FF981" w14:textId="77777777" w:rsidR="00000000" w:rsidRDefault="0053651E">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893C5F1" w14:textId="77777777" w:rsidR="00000000" w:rsidRDefault="0053651E">
            <w:pPr>
              <w:jc w:val="center"/>
              <w:rPr>
                <w:rFonts w:eastAsia="Times New Roman"/>
                <w:sz w:val="20"/>
                <w:szCs w:val="20"/>
              </w:rPr>
            </w:pPr>
            <w:r>
              <w:rPr>
                <w:rFonts w:eastAsia="Times New Roman"/>
                <w:sz w:val="20"/>
                <w:szCs w:val="20"/>
              </w:rPr>
              <w:t>3.200%</w:t>
            </w:r>
          </w:p>
        </w:tc>
        <w:tc>
          <w:tcPr>
            <w:tcW w:w="50" w:type="pct"/>
            <w:shd w:val="clear" w:color="auto" w:fill="FFFFFF"/>
            <w:vAlign w:val="bottom"/>
            <w:hideMark/>
          </w:tcPr>
          <w:p w14:paraId="581DA6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9B0150" w14:textId="77777777" w:rsidR="00000000" w:rsidRDefault="0053651E">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498E1AA7" w14:textId="77777777" w:rsidR="00000000" w:rsidRDefault="0053651E">
            <w:pPr>
              <w:pStyle w:val="a3"/>
              <w:spacing w:before="0" w:beforeAutospacing="0" w:after="0" w:afterAutospacing="0"/>
              <w:jc w:val="center"/>
              <w:rPr>
                <w:sz w:val="20"/>
                <w:szCs w:val="20"/>
              </w:rPr>
            </w:pPr>
            <w:r>
              <w:rPr>
                <w:rStyle w:val="a6"/>
                <w:i w:val="0"/>
                <w:iCs w:val="0"/>
                <w:sz w:val="20"/>
                <w:szCs w:val="20"/>
              </w:rPr>
              <w:t>May-21</w:t>
            </w:r>
          </w:p>
        </w:tc>
      </w:tr>
    </w:tbl>
    <w:p w14:paraId="24747318"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993D5C0" w14:textId="77777777">
        <w:trPr>
          <w:tblCellSpacing w:w="0" w:type="dxa"/>
        </w:trPr>
        <w:tc>
          <w:tcPr>
            <w:tcW w:w="360" w:type="dxa"/>
            <w:vAlign w:val="center"/>
            <w:hideMark/>
          </w:tcPr>
          <w:p w14:paraId="227022C8" w14:textId="77777777" w:rsidR="00000000" w:rsidRDefault="0053651E">
            <w:pPr>
              <w:rPr>
                <w:rFonts w:eastAsia="Times New Roman"/>
                <w:sz w:val="20"/>
                <w:szCs w:val="20"/>
              </w:rPr>
            </w:pPr>
            <w:r>
              <w:rPr>
                <w:rFonts w:eastAsia="Times New Roman"/>
                <w:sz w:val="20"/>
                <w:szCs w:val="20"/>
              </w:rPr>
              <w:t> </w:t>
            </w:r>
          </w:p>
        </w:tc>
        <w:tc>
          <w:tcPr>
            <w:tcW w:w="360" w:type="dxa"/>
            <w:hideMark/>
          </w:tcPr>
          <w:p w14:paraId="42F31BF0"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1</w:t>
            </w:r>
            <w:r>
              <w:rPr>
                <w:sz w:val="20"/>
                <w:szCs w:val="20"/>
              </w:rPr>
              <w:t>)</w:t>
            </w:r>
          </w:p>
        </w:tc>
        <w:tc>
          <w:tcPr>
            <w:tcW w:w="0" w:type="auto"/>
            <w:hideMark/>
          </w:tcPr>
          <w:p w14:paraId="03839265" w14:textId="77777777" w:rsidR="00000000" w:rsidRDefault="0053651E">
            <w:pPr>
              <w:pStyle w:val="a3"/>
              <w:spacing w:before="0" w:beforeAutospacing="0" w:after="0" w:afterAutospacing="0"/>
              <w:rPr>
                <w:sz w:val="20"/>
                <w:szCs w:val="20"/>
              </w:rPr>
            </w:pPr>
            <w:r>
              <w:rPr>
                <w:sz w:val="20"/>
                <w:szCs w:val="20"/>
              </w:rPr>
              <w:t xml:space="preserve">The Company recorded an early extinguishment of debt charge of $12.8 </w:t>
            </w:r>
            <w:r>
              <w:rPr>
                <w:sz w:val="20"/>
                <w:szCs w:val="20"/>
              </w:rPr>
              <w:t>million resulting from the early repayment of these notes.</w:t>
            </w:r>
          </w:p>
        </w:tc>
      </w:tr>
    </w:tbl>
    <w:p w14:paraId="677C1544"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C95BCD2" w14:textId="77777777">
        <w:trPr>
          <w:tblCellSpacing w:w="0" w:type="dxa"/>
        </w:trPr>
        <w:tc>
          <w:tcPr>
            <w:tcW w:w="360" w:type="dxa"/>
            <w:vAlign w:val="center"/>
            <w:hideMark/>
          </w:tcPr>
          <w:p w14:paraId="1E48CED6" w14:textId="77777777" w:rsidR="00000000" w:rsidRDefault="0053651E">
            <w:pPr>
              <w:rPr>
                <w:rFonts w:eastAsia="Times New Roman"/>
                <w:sz w:val="20"/>
                <w:szCs w:val="20"/>
              </w:rPr>
            </w:pPr>
            <w:r>
              <w:rPr>
                <w:rFonts w:eastAsia="Times New Roman"/>
                <w:sz w:val="20"/>
                <w:szCs w:val="20"/>
              </w:rPr>
              <w:t> </w:t>
            </w:r>
          </w:p>
        </w:tc>
        <w:tc>
          <w:tcPr>
            <w:tcW w:w="360" w:type="dxa"/>
            <w:hideMark/>
          </w:tcPr>
          <w:p w14:paraId="6A33A841" w14:textId="77777777" w:rsidR="00000000" w:rsidRDefault="0053651E">
            <w:pPr>
              <w:pStyle w:val="a3"/>
              <w:spacing w:before="0" w:beforeAutospacing="0" w:after="0" w:afterAutospacing="0"/>
              <w:rPr>
                <w:sz w:val="20"/>
                <w:szCs w:val="20"/>
              </w:rPr>
            </w:pPr>
            <w:r>
              <w:rPr>
                <w:sz w:val="20"/>
                <w:szCs w:val="20"/>
              </w:rPr>
              <w:t>(</w:t>
            </w:r>
            <w:r>
              <w:rPr>
                <w:rStyle w:val="a6"/>
                <w:i w:val="0"/>
                <w:iCs w:val="0"/>
                <w:sz w:val="20"/>
                <w:szCs w:val="20"/>
              </w:rPr>
              <w:t>2</w:t>
            </w:r>
            <w:r>
              <w:rPr>
                <w:sz w:val="20"/>
                <w:szCs w:val="20"/>
              </w:rPr>
              <w:t>)</w:t>
            </w:r>
          </w:p>
        </w:tc>
        <w:tc>
          <w:tcPr>
            <w:tcW w:w="0" w:type="auto"/>
            <w:hideMark/>
          </w:tcPr>
          <w:p w14:paraId="5ACAAE83" w14:textId="77777777" w:rsidR="00000000" w:rsidRDefault="0053651E">
            <w:pPr>
              <w:pStyle w:val="a3"/>
              <w:spacing w:before="0" w:beforeAutospacing="0" w:after="0" w:afterAutospacing="0"/>
              <w:rPr>
                <w:sz w:val="20"/>
                <w:szCs w:val="20"/>
              </w:rPr>
            </w:pPr>
            <w:r>
              <w:rPr>
                <w:sz w:val="20"/>
                <w:szCs w:val="20"/>
              </w:rPr>
              <w:t>Represents partial repayments. As of</w:t>
            </w:r>
            <w:r>
              <w:rPr>
                <w:sz w:val="20"/>
                <w:szCs w:val="20"/>
              </w:rPr>
              <w:t xml:space="preserve"> </w:t>
            </w:r>
            <w:r>
              <w:rPr>
                <w:rStyle w:val="a6"/>
                <w:i w:val="0"/>
                <w:iCs w:val="0"/>
                <w:sz w:val="20"/>
                <w:szCs w:val="20"/>
              </w:rPr>
              <w:t xml:space="preserve">December 31, 2018, </w:t>
            </w:r>
            <w:r>
              <w:rPr>
                <w:sz w:val="20"/>
                <w:szCs w:val="20"/>
              </w:rPr>
              <w:t>these notes had an outstanding balance of $484.9 million.</w:t>
            </w:r>
          </w:p>
        </w:tc>
      </w:tr>
    </w:tbl>
    <w:p w14:paraId="077986FB" w14:textId="77777777" w:rsidR="00000000" w:rsidRDefault="0053651E">
      <w:pPr>
        <w:pStyle w:val="a3"/>
        <w:spacing w:before="0" w:beforeAutospacing="0" w:after="0" w:afterAutospacing="0"/>
        <w:ind w:left="720"/>
        <w:rPr>
          <w:sz w:val="20"/>
          <w:szCs w:val="20"/>
        </w:rPr>
      </w:pPr>
      <w:r>
        <w:rPr>
          <w:sz w:val="20"/>
          <w:szCs w:val="20"/>
        </w:rPr>
        <w:t> </w:t>
      </w:r>
    </w:p>
    <w:p w14:paraId="5C3BF19F" w14:textId="77777777" w:rsidR="00000000" w:rsidRDefault="0053651E">
      <w:pPr>
        <w:pStyle w:val="a3"/>
        <w:spacing w:before="0" w:beforeAutospacing="0" w:after="0" w:afterAutospacing="0"/>
        <w:ind w:left="360"/>
        <w:jc w:val="both"/>
        <w:rPr>
          <w:sz w:val="20"/>
          <w:szCs w:val="20"/>
        </w:rPr>
      </w:pPr>
      <w:r>
        <w:rPr>
          <w:sz w:val="20"/>
          <w:szCs w:val="20"/>
        </w:rPr>
        <w:t>The scheduled maturities of all notes payable excluding unamortized debt issuance costs of $53.1 million, as of</w:t>
      </w:r>
      <w:r>
        <w:rPr>
          <w:sz w:val="20"/>
          <w:szCs w:val="20"/>
        </w:rPr>
        <w:t xml:space="preserve"> </w:t>
      </w:r>
      <w:r>
        <w:rPr>
          <w:rStyle w:val="a6"/>
          <w:i w:val="0"/>
          <w:iCs w:val="0"/>
          <w:sz w:val="20"/>
          <w:szCs w:val="20"/>
        </w:rPr>
        <w:t xml:space="preserve">December 31, 2019, </w:t>
      </w:r>
      <w:r>
        <w:rPr>
          <w:sz w:val="20"/>
          <w:szCs w:val="20"/>
        </w:rPr>
        <w:t>were as follows (in millions):</w:t>
      </w:r>
    </w:p>
    <w:p w14:paraId="02B14193"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3"/>
        <w:gridCol w:w="64"/>
        <w:gridCol w:w="100"/>
        <w:gridCol w:w="562"/>
        <w:gridCol w:w="64"/>
        <w:gridCol w:w="64"/>
        <w:gridCol w:w="100"/>
        <w:gridCol w:w="562"/>
        <w:gridCol w:w="64"/>
        <w:gridCol w:w="64"/>
        <w:gridCol w:w="100"/>
        <w:gridCol w:w="562"/>
        <w:gridCol w:w="64"/>
        <w:gridCol w:w="64"/>
        <w:gridCol w:w="100"/>
        <w:gridCol w:w="562"/>
        <w:gridCol w:w="64"/>
        <w:gridCol w:w="64"/>
        <w:gridCol w:w="100"/>
        <w:gridCol w:w="562"/>
        <w:gridCol w:w="65"/>
        <w:gridCol w:w="65"/>
        <w:gridCol w:w="116"/>
        <w:gridCol w:w="806"/>
        <w:gridCol w:w="65"/>
        <w:gridCol w:w="65"/>
        <w:gridCol w:w="100"/>
        <w:gridCol w:w="600"/>
        <w:gridCol w:w="65"/>
      </w:tblGrid>
      <w:tr w:rsidR="00000000" w14:paraId="36E25FB1" w14:textId="77777777">
        <w:trPr>
          <w:tblCellSpacing w:w="0" w:type="dxa"/>
        </w:trPr>
        <w:tc>
          <w:tcPr>
            <w:tcW w:w="0" w:type="auto"/>
            <w:vAlign w:val="bottom"/>
            <w:hideMark/>
          </w:tcPr>
          <w:p w14:paraId="652D4B9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5B9B9A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112EA79" w14:textId="77777777" w:rsidR="00000000" w:rsidRDefault="0053651E">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DB9D20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CBB984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3CEDDE6" w14:textId="77777777" w:rsidR="00000000" w:rsidRDefault="0053651E">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2239A3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AE1269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938366" w14:textId="77777777" w:rsidR="00000000" w:rsidRDefault="0053651E">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824872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C624F6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28D8AB2" w14:textId="77777777" w:rsidR="00000000" w:rsidRDefault="0053651E">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7B0EABC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CE1A8D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174A7F" w14:textId="77777777" w:rsidR="00000000" w:rsidRDefault="0053651E">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14:paraId="3091D6D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5EC7EF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D01A7B" w14:textId="77777777" w:rsidR="00000000" w:rsidRDefault="0053651E">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1694BC7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30F34F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70AF3E" w14:textId="77777777" w:rsidR="00000000" w:rsidRDefault="0053651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52FFB57D" w14:textId="77777777" w:rsidR="00000000" w:rsidRDefault="0053651E">
            <w:pPr>
              <w:rPr>
                <w:rFonts w:eastAsia="Times New Roman"/>
                <w:sz w:val="20"/>
                <w:szCs w:val="20"/>
              </w:rPr>
            </w:pPr>
            <w:r>
              <w:rPr>
                <w:rFonts w:eastAsia="Times New Roman"/>
                <w:sz w:val="20"/>
                <w:szCs w:val="20"/>
              </w:rPr>
              <w:t> </w:t>
            </w:r>
          </w:p>
        </w:tc>
      </w:tr>
      <w:tr w:rsidR="0053651E" w14:paraId="476B89A0" w14:textId="77777777">
        <w:trPr>
          <w:tblCellSpacing w:w="0" w:type="dxa"/>
        </w:trPr>
        <w:tc>
          <w:tcPr>
            <w:tcW w:w="1500" w:type="pct"/>
            <w:shd w:val="clear" w:color="auto" w:fill="CCEEFF"/>
            <w:vAlign w:val="bottom"/>
            <w:hideMark/>
          </w:tcPr>
          <w:p w14:paraId="257DD6A1" w14:textId="77777777" w:rsidR="00000000" w:rsidRDefault="0053651E">
            <w:pPr>
              <w:pStyle w:val="a3"/>
              <w:spacing w:before="0" w:beforeAutospacing="0" w:after="0" w:afterAutospacing="0"/>
              <w:rPr>
                <w:sz w:val="20"/>
                <w:szCs w:val="20"/>
              </w:rPr>
            </w:pPr>
            <w:r>
              <w:rPr>
                <w:sz w:val="20"/>
                <w:szCs w:val="20"/>
              </w:rPr>
              <w:t>Principal payments</w:t>
            </w:r>
          </w:p>
        </w:tc>
        <w:tc>
          <w:tcPr>
            <w:tcW w:w="50" w:type="pct"/>
            <w:tcBorders>
              <w:bottom w:val="nil"/>
            </w:tcBorders>
            <w:shd w:val="clear" w:color="auto" w:fill="CCEEFF"/>
            <w:vAlign w:val="bottom"/>
            <w:hideMark/>
          </w:tcPr>
          <w:p w14:paraId="679FA35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24A6465"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2AFA7971" w14:textId="77777777" w:rsidR="00000000" w:rsidRDefault="0053651E">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6611BC8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17AE7D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31C86DB"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286E6D68" w14:textId="77777777" w:rsidR="00000000" w:rsidRDefault="0053651E">
            <w:pPr>
              <w:jc w:val="right"/>
              <w:rPr>
                <w:rFonts w:eastAsia="Times New Roman"/>
                <w:sz w:val="20"/>
                <w:szCs w:val="20"/>
              </w:rPr>
            </w:pPr>
            <w:r>
              <w:rPr>
                <w:rFonts w:eastAsia="Times New Roman"/>
                <w:sz w:val="20"/>
                <w:szCs w:val="20"/>
              </w:rPr>
              <w:t>684.9</w:t>
            </w:r>
          </w:p>
        </w:tc>
        <w:tc>
          <w:tcPr>
            <w:tcW w:w="50" w:type="pct"/>
            <w:tcBorders>
              <w:bottom w:val="nil"/>
            </w:tcBorders>
            <w:shd w:val="clear" w:color="auto" w:fill="CCEEFF"/>
            <w:vAlign w:val="bottom"/>
            <w:hideMark/>
          </w:tcPr>
          <w:p w14:paraId="2F67ED5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1093C8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632484"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687C94E6" w14:textId="77777777" w:rsidR="00000000" w:rsidRDefault="0053651E">
            <w:pPr>
              <w:jc w:val="right"/>
              <w:rPr>
                <w:rFonts w:eastAsia="Times New Roman"/>
                <w:sz w:val="20"/>
                <w:szCs w:val="20"/>
              </w:rPr>
            </w:pPr>
            <w:r>
              <w:rPr>
                <w:rFonts w:eastAsia="Times New Roman"/>
                <w:sz w:val="20"/>
                <w:szCs w:val="20"/>
              </w:rPr>
              <w:t>500.0</w:t>
            </w:r>
          </w:p>
        </w:tc>
        <w:tc>
          <w:tcPr>
            <w:tcW w:w="50" w:type="pct"/>
            <w:tcBorders>
              <w:bottom w:val="nil"/>
            </w:tcBorders>
            <w:shd w:val="clear" w:color="auto" w:fill="CCEEFF"/>
            <w:vAlign w:val="bottom"/>
            <w:hideMark/>
          </w:tcPr>
          <w:p w14:paraId="0E69173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AB924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116D78E"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64581383" w14:textId="77777777" w:rsidR="00000000" w:rsidRDefault="0053651E">
            <w:pPr>
              <w:jc w:val="right"/>
              <w:rPr>
                <w:rFonts w:eastAsia="Times New Roman"/>
                <w:sz w:val="20"/>
                <w:szCs w:val="20"/>
              </w:rPr>
            </w:pPr>
            <w:r>
              <w:rPr>
                <w:rFonts w:eastAsia="Times New Roman"/>
                <w:sz w:val="20"/>
                <w:szCs w:val="20"/>
              </w:rPr>
              <w:t>350.0</w:t>
            </w:r>
          </w:p>
        </w:tc>
        <w:tc>
          <w:tcPr>
            <w:tcW w:w="50" w:type="pct"/>
            <w:tcBorders>
              <w:bottom w:val="nil"/>
            </w:tcBorders>
            <w:shd w:val="clear" w:color="auto" w:fill="CCEEFF"/>
            <w:vAlign w:val="bottom"/>
            <w:hideMark/>
          </w:tcPr>
          <w:p w14:paraId="21F179E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DDAA9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DE74F3C"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4DD7707C" w14:textId="77777777" w:rsidR="00000000" w:rsidRDefault="0053651E">
            <w:pPr>
              <w:jc w:val="right"/>
              <w:rPr>
                <w:rFonts w:eastAsia="Times New Roman"/>
                <w:sz w:val="20"/>
                <w:szCs w:val="20"/>
              </w:rPr>
            </w:pPr>
            <w:r>
              <w:rPr>
                <w:rFonts w:eastAsia="Times New Roman"/>
                <w:sz w:val="20"/>
                <w:szCs w:val="20"/>
              </w:rPr>
              <w:t>400.0</w:t>
            </w:r>
          </w:p>
        </w:tc>
        <w:tc>
          <w:tcPr>
            <w:tcW w:w="50" w:type="pct"/>
            <w:tcBorders>
              <w:bottom w:val="nil"/>
            </w:tcBorders>
            <w:shd w:val="clear" w:color="auto" w:fill="CCEEFF"/>
            <w:vAlign w:val="bottom"/>
            <w:hideMark/>
          </w:tcPr>
          <w:p w14:paraId="5D032E0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E09620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901F205"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4AAE76FE" w14:textId="77777777" w:rsidR="00000000" w:rsidRDefault="0053651E">
            <w:pPr>
              <w:jc w:val="right"/>
              <w:rPr>
                <w:rFonts w:eastAsia="Times New Roman"/>
                <w:sz w:val="20"/>
                <w:szCs w:val="20"/>
              </w:rPr>
            </w:pPr>
            <w:r>
              <w:rPr>
                <w:rFonts w:eastAsia="Times New Roman"/>
                <w:sz w:val="20"/>
                <w:szCs w:val="20"/>
              </w:rPr>
              <w:t>2,950.0</w:t>
            </w:r>
          </w:p>
        </w:tc>
        <w:tc>
          <w:tcPr>
            <w:tcW w:w="50" w:type="pct"/>
            <w:tcBorders>
              <w:bottom w:val="nil"/>
            </w:tcBorders>
            <w:shd w:val="clear" w:color="auto" w:fill="CCEEFF"/>
            <w:vAlign w:val="bottom"/>
            <w:hideMark/>
          </w:tcPr>
          <w:p w14:paraId="2217CB9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5E90C4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8881B9D"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7898357E" w14:textId="77777777" w:rsidR="00000000" w:rsidRDefault="0053651E">
            <w:pPr>
              <w:jc w:val="right"/>
              <w:rPr>
                <w:rFonts w:eastAsia="Times New Roman"/>
                <w:sz w:val="20"/>
                <w:szCs w:val="20"/>
              </w:rPr>
            </w:pPr>
            <w:r>
              <w:rPr>
                <w:rFonts w:eastAsia="Times New Roman"/>
                <w:sz w:val="20"/>
                <w:szCs w:val="20"/>
              </w:rPr>
              <w:t>4,884.9</w:t>
            </w:r>
          </w:p>
        </w:tc>
        <w:tc>
          <w:tcPr>
            <w:tcW w:w="50" w:type="pct"/>
            <w:tcBorders>
              <w:bottom w:val="nil"/>
            </w:tcBorders>
            <w:shd w:val="clear" w:color="auto" w:fill="CCEEFF"/>
            <w:vAlign w:val="bottom"/>
            <w:hideMark/>
          </w:tcPr>
          <w:p w14:paraId="02490C5A" w14:textId="77777777" w:rsidR="00000000" w:rsidRDefault="0053651E">
            <w:pPr>
              <w:rPr>
                <w:rFonts w:eastAsia="Times New Roman"/>
                <w:sz w:val="20"/>
                <w:szCs w:val="20"/>
              </w:rPr>
            </w:pPr>
            <w:r>
              <w:rPr>
                <w:rFonts w:eastAsia="Times New Roman"/>
                <w:sz w:val="20"/>
                <w:szCs w:val="20"/>
              </w:rPr>
              <w:t> </w:t>
            </w:r>
          </w:p>
        </w:tc>
      </w:tr>
    </w:tbl>
    <w:p w14:paraId="038B8A0F" w14:textId="77777777" w:rsidR="00000000" w:rsidRDefault="0053651E">
      <w:pPr>
        <w:pStyle w:val="a3"/>
        <w:spacing w:before="0" w:beforeAutospacing="0" w:after="0" w:afterAutospacing="0"/>
        <w:ind w:left="360"/>
        <w:jc w:val="both"/>
        <w:rPr>
          <w:sz w:val="20"/>
          <w:szCs w:val="20"/>
        </w:rPr>
      </w:pPr>
      <w:r>
        <w:rPr>
          <w:sz w:val="20"/>
          <w:szCs w:val="20"/>
        </w:rPr>
        <w:t> </w:t>
      </w:r>
    </w:p>
    <w:p w14:paraId="1B3C1E25" w14:textId="77777777" w:rsidR="00000000" w:rsidRDefault="0053651E">
      <w:pPr>
        <w:pStyle w:val="a3"/>
        <w:spacing w:before="0" w:beforeAutospacing="0" w:after="0" w:afterAutospacing="0"/>
        <w:ind w:left="360"/>
        <w:jc w:val="both"/>
        <w:rPr>
          <w:sz w:val="20"/>
          <w:szCs w:val="20"/>
        </w:rPr>
      </w:pPr>
      <w:r>
        <w:rPr>
          <w:sz w:val="20"/>
          <w:szCs w:val="20"/>
        </w:rPr>
        <w:t>The Company’</w:t>
      </w:r>
      <w:r>
        <w:rPr>
          <w:sz w:val="20"/>
          <w:szCs w:val="20"/>
        </w:rPr>
        <w:t>s supplemental indentures governing its Senior Unsecured Notes contain covenants whereby the Company is subject to maintaining (a) certain maximum leverage ratios on both unsecured senior corporate and secured debt, minimum debt service coverage ratios and</w:t>
      </w:r>
      <w:r>
        <w:rPr>
          <w:sz w:val="20"/>
          <w:szCs w:val="20"/>
        </w:rPr>
        <w:t xml:space="preserve"> minimum equity levels, (b) certain debt service ratios and (c) certain asset to debt ratios. In addition, the Company is restricted from paying dividends in amounts that exceed by more than $26.0 million the funds from operations, as defined, generated th</w:t>
      </w:r>
      <w:r>
        <w:rPr>
          <w:sz w:val="20"/>
          <w:szCs w:val="20"/>
        </w:rPr>
        <w:t>rough the end of the calendar quarter most recently completed prior to the declaration of such dividend; however, this dividend limitation does</w:t>
      </w:r>
      <w:r>
        <w:rPr>
          <w:sz w:val="20"/>
          <w:szCs w:val="20"/>
        </w:rPr>
        <w:t xml:space="preserve"> </w:t>
      </w:r>
      <w:r>
        <w:rPr>
          <w:rStyle w:val="a6"/>
          <w:i w:val="0"/>
          <w:iCs w:val="0"/>
          <w:sz w:val="20"/>
          <w:szCs w:val="20"/>
        </w:rPr>
        <w:t>not</w:t>
      </w:r>
      <w:r>
        <w:rPr>
          <w:sz w:val="20"/>
          <w:szCs w:val="20"/>
        </w:rPr>
        <w:t xml:space="preserve"> apply to any distributions necessary to maintain the Company's qualification as a REIT providing the Company</w:t>
      </w:r>
      <w:r>
        <w:rPr>
          <w:sz w:val="20"/>
          <w:szCs w:val="20"/>
        </w:rPr>
        <w:t xml:space="preserve"> is in compliance with its total leverage limitations. The Company was in compliance with all of the covenants as of</w:t>
      </w:r>
      <w:r>
        <w:rPr>
          <w:sz w:val="20"/>
          <w:szCs w:val="20"/>
        </w:rPr>
        <w:t xml:space="preserve"> </w:t>
      </w:r>
      <w:r>
        <w:rPr>
          <w:rStyle w:val="a6"/>
          <w:i w:val="0"/>
          <w:iCs w:val="0"/>
          <w:sz w:val="20"/>
          <w:szCs w:val="20"/>
        </w:rPr>
        <w:t>December 31, 2019.   </w:t>
      </w:r>
    </w:p>
    <w:p w14:paraId="6C5D29DC" w14:textId="77777777" w:rsidR="00000000" w:rsidRDefault="0053651E">
      <w:pPr>
        <w:pStyle w:val="a3"/>
        <w:spacing w:before="0" w:beforeAutospacing="0" w:after="0" w:afterAutospacing="0"/>
        <w:ind w:left="720"/>
        <w:jc w:val="both"/>
        <w:rPr>
          <w:sz w:val="20"/>
          <w:szCs w:val="20"/>
        </w:rPr>
      </w:pPr>
      <w:r>
        <w:rPr>
          <w:i/>
          <w:iCs/>
          <w:sz w:val="20"/>
          <w:szCs w:val="20"/>
        </w:rPr>
        <w:t> </w:t>
      </w:r>
    </w:p>
    <w:p w14:paraId="4D1BD482" w14:textId="77777777" w:rsidR="00000000" w:rsidRDefault="0053651E">
      <w:pPr>
        <w:pStyle w:val="a3"/>
        <w:spacing w:before="0" w:beforeAutospacing="0" w:after="0" w:afterAutospacing="0"/>
        <w:ind w:left="360"/>
        <w:jc w:val="both"/>
        <w:rPr>
          <w:sz w:val="20"/>
          <w:szCs w:val="20"/>
        </w:rPr>
      </w:pPr>
      <w:r>
        <w:rPr>
          <w:sz w:val="20"/>
          <w:szCs w:val="20"/>
        </w:rPr>
        <w:t>Interest on the Company’s fixed-rate Senior Unsecured Notes is payable semi-annually in arrears. Proceeds from thes</w:t>
      </w:r>
      <w:r>
        <w:rPr>
          <w:sz w:val="20"/>
          <w:szCs w:val="20"/>
        </w:rPr>
        <w:t>e issuances were primarily used for the acquisition of shopping centers, the expansion and improvement of properties in the Company’s portfolio and the repayment of certain debt obligations of the Company.</w:t>
      </w:r>
    </w:p>
    <w:p w14:paraId="3FB4552B" w14:textId="77777777" w:rsidR="00000000" w:rsidRDefault="0053651E">
      <w:pPr>
        <w:pStyle w:val="a3"/>
        <w:spacing w:before="0" w:beforeAutospacing="0" w:after="0" w:afterAutospacing="0"/>
        <w:ind w:left="360"/>
        <w:jc w:val="both"/>
        <w:rPr>
          <w:sz w:val="20"/>
          <w:szCs w:val="20"/>
        </w:rPr>
      </w:pPr>
      <w:r>
        <w:rPr>
          <w:sz w:val="20"/>
          <w:szCs w:val="20"/>
        </w:rPr>
        <w:t> </w:t>
      </w:r>
    </w:p>
    <w:p w14:paraId="04343994" w14:textId="77777777" w:rsidR="00000000" w:rsidRDefault="0053651E">
      <w:pPr>
        <w:pStyle w:val="a3"/>
        <w:spacing w:before="0" w:beforeAutospacing="0" w:after="0" w:afterAutospacing="0"/>
        <w:ind w:left="360"/>
        <w:rPr>
          <w:sz w:val="20"/>
          <w:szCs w:val="20"/>
        </w:rPr>
      </w:pPr>
      <w:r>
        <w:rPr>
          <w:i/>
          <w:iCs/>
          <w:sz w:val="20"/>
          <w:szCs w:val="20"/>
        </w:rPr>
        <w:t>Credit Facility</w:t>
      </w:r>
    </w:p>
    <w:p w14:paraId="629185E8" w14:textId="77777777" w:rsidR="00000000" w:rsidRDefault="0053651E">
      <w:pPr>
        <w:pStyle w:val="a3"/>
        <w:spacing w:before="0" w:beforeAutospacing="0" w:after="0" w:afterAutospacing="0"/>
        <w:ind w:left="360"/>
        <w:jc w:val="both"/>
        <w:rPr>
          <w:sz w:val="20"/>
          <w:szCs w:val="20"/>
        </w:rPr>
      </w:pPr>
      <w:r>
        <w:rPr>
          <w:sz w:val="20"/>
          <w:szCs w:val="20"/>
        </w:rPr>
        <w:t> </w:t>
      </w:r>
    </w:p>
    <w:p w14:paraId="03CAF664" w14:textId="77777777" w:rsidR="00000000" w:rsidRDefault="0053651E">
      <w:pPr>
        <w:pStyle w:val="a3"/>
        <w:spacing w:before="0" w:beforeAutospacing="0" w:after="0" w:afterAutospacing="0"/>
        <w:ind w:left="360"/>
        <w:jc w:val="both"/>
        <w:rPr>
          <w:sz w:val="20"/>
          <w:szCs w:val="20"/>
        </w:rPr>
      </w:pPr>
      <w:r>
        <w:rPr>
          <w:sz w:val="20"/>
          <w:szCs w:val="20"/>
        </w:rPr>
        <w:t>The Company has a $2.25 billio</w:t>
      </w:r>
      <w:r>
        <w:rPr>
          <w:sz w:val="20"/>
          <w:szCs w:val="20"/>
        </w:rPr>
        <w:t>n unsecured revolving credit facility (the “Credit Facility”) with a group of banks, which is scheduled to expire in</w:t>
      </w:r>
      <w:r>
        <w:rPr>
          <w:sz w:val="20"/>
          <w:szCs w:val="20"/>
        </w:rPr>
        <w:t xml:space="preserve"> </w:t>
      </w:r>
      <w:r>
        <w:rPr>
          <w:rStyle w:val="a6"/>
          <w:i w:val="0"/>
          <w:iCs w:val="0"/>
          <w:sz w:val="20"/>
          <w:szCs w:val="20"/>
        </w:rPr>
        <w:t xml:space="preserve">March 2021, </w:t>
      </w:r>
      <w:r>
        <w:rPr>
          <w:sz w:val="20"/>
          <w:szCs w:val="20"/>
        </w:rPr>
        <w:t>with</w:t>
      </w:r>
      <w:r>
        <w:rPr>
          <w:sz w:val="20"/>
          <w:szCs w:val="20"/>
        </w:rPr>
        <w:t xml:space="preserve"> </w:t>
      </w:r>
      <w:r>
        <w:rPr>
          <w:rStyle w:val="a6"/>
          <w:i w:val="0"/>
          <w:iCs w:val="0"/>
          <w:sz w:val="20"/>
          <w:szCs w:val="20"/>
        </w:rPr>
        <w:t>two</w:t>
      </w:r>
      <w:r>
        <w:rPr>
          <w:sz w:val="20"/>
          <w:szCs w:val="20"/>
        </w:rPr>
        <w:t xml:space="preserve"> additional</w:t>
      </w:r>
      <w:r>
        <w:rPr>
          <w:sz w:val="20"/>
          <w:szCs w:val="20"/>
        </w:rPr>
        <w:t xml:space="preserve"> </w:t>
      </w:r>
      <w:r>
        <w:rPr>
          <w:rStyle w:val="a6"/>
          <w:i w:val="0"/>
          <w:iCs w:val="0"/>
          <w:sz w:val="20"/>
          <w:szCs w:val="20"/>
        </w:rPr>
        <w:t>six</w:t>
      </w:r>
      <w:r>
        <w:rPr>
          <w:sz w:val="20"/>
          <w:szCs w:val="20"/>
        </w:rPr>
        <w:t>-month options to extend the maturity date, at the Company’s discretion, to</w:t>
      </w:r>
      <w:r>
        <w:rPr>
          <w:sz w:val="20"/>
          <w:szCs w:val="20"/>
        </w:rPr>
        <w:t xml:space="preserve"> </w:t>
      </w:r>
      <w:r>
        <w:rPr>
          <w:rStyle w:val="a6"/>
          <w:i w:val="0"/>
          <w:iCs w:val="0"/>
          <w:sz w:val="20"/>
          <w:szCs w:val="20"/>
        </w:rPr>
        <w:t xml:space="preserve">March 2022. </w:t>
      </w:r>
      <w:r>
        <w:rPr>
          <w:sz w:val="20"/>
          <w:szCs w:val="20"/>
        </w:rPr>
        <w:t>This Credit Faci</w:t>
      </w:r>
      <w:r>
        <w:rPr>
          <w:sz w:val="20"/>
          <w:szCs w:val="20"/>
        </w:rPr>
        <w:t>lity, which accrues interest at a rate of LIBOR plus 87.5 basis points (2.64% as of</w:t>
      </w:r>
      <w:r>
        <w:rPr>
          <w:sz w:val="20"/>
          <w:szCs w:val="20"/>
        </w:rPr>
        <w:t xml:space="preserve"> </w:t>
      </w:r>
      <w:r>
        <w:rPr>
          <w:rStyle w:val="a6"/>
          <w:i w:val="0"/>
          <w:iCs w:val="0"/>
          <w:sz w:val="20"/>
          <w:szCs w:val="20"/>
        </w:rPr>
        <w:t xml:space="preserve">December 31, 2019), </w:t>
      </w:r>
      <w:r>
        <w:rPr>
          <w:sz w:val="20"/>
          <w:szCs w:val="20"/>
        </w:rPr>
        <w:t xml:space="preserve">can be increased to $2.75 billion through an accordion feature. In addition, the Credit Facility includes a $500.0 million sub-limit which provides the </w:t>
      </w:r>
      <w:r>
        <w:rPr>
          <w:sz w:val="20"/>
          <w:szCs w:val="20"/>
        </w:rPr>
        <w:t>Company the opportunity to borrow in alternative currencies including Canadian Dollars, British Pounds Sterling, Japanese Yen or Euros. Pursuant to the terms of the Credit Facility, the Company, among other things, is subject to covenants requiring the mai</w:t>
      </w:r>
      <w:r>
        <w:rPr>
          <w:sz w:val="20"/>
          <w:szCs w:val="20"/>
        </w:rPr>
        <w:t>ntenance of (i) maximum leverage ratios on both unsecured and secured debt and (ii) minimum interest and fixed coverage ratios. The Company was in compliance with all of the covenants as of</w:t>
      </w:r>
      <w:r>
        <w:rPr>
          <w:sz w:val="20"/>
          <w:szCs w:val="20"/>
        </w:rPr>
        <w:t xml:space="preserve"> </w:t>
      </w:r>
      <w:r>
        <w:rPr>
          <w:rStyle w:val="a6"/>
          <w:i w:val="0"/>
          <w:iCs w:val="0"/>
          <w:sz w:val="20"/>
          <w:szCs w:val="20"/>
        </w:rPr>
        <w:t>December 31, 2019.   </w:t>
      </w:r>
      <w:r>
        <w:rPr>
          <w:sz w:val="20"/>
          <w:szCs w:val="20"/>
        </w:rPr>
        <w:t>As of</w:t>
      </w:r>
      <w:r>
        <w:rPr>
          <w:sz w:val="20"/>
          <w:szCs w:val="20"/>
        </w:rPr>
        <w:t xml:space="preserve"> </w:t>
      </w:r>
      <w:r>
        <w:rPr>
          <w:rStyle w:val="a6"/>
          <w:i w:val="0"/>
          <w:iCs w:val="0"/>
          <w:sz w:val="20"/>
          <w:szCs w:val="20"/>
        </w:rPr>
        <w:t xml:space="preserve">December 31, 2019, </w:t>
      </w:r>
      <w:r>
        <w:rPr>
          <w:sz w:val="20"/>
          <w:szCs w:val="20"/>
        </w:rPr>
        <w:t xml:space="preserve">the Credit Facility </w:t>
      </w:r>
      <w:r>
        <w:rPr>
          <w:sz w:val="20"/>
          <w:szCs w:val="20"/>
        </w:rPr>
        <w:t>had a balance of $200.0 million outstanding and $0.3 million appropriated for letters of credit.</w:t>
      </w:r>
    </w:p>
    <w:p w14:paraId="1C5B1D64" w14:textId="77777777" w:rsidR="00000000" w:rsidRDefault="0053651E">
      <w:pPr>
        <w:pStyle w:val="a3"/>
        <w:spacing w:before="0" w:beforeAutospacing="0" w:after="0" w:afterAutospacing="0"/>
        <w:ind w:left="360"/>
        <w:jc w:val="both"/>
        <w:rPr>
          <w:sz w:val="20"/>
          <w:szCs w:val="20"/>
        </w:rPr>
      </w:pPr>
      <w:r>
        <w:rPr>
          <w:sz w:val="20"/>
          <w:szCs w:val="20"/>
        </w:rPr>
        <w:t> </w:t>
      </w:r>
    </w:p>
    <w:p w14:paraId="6E834E9B" w14:textId="77777777" w:rsidR="00000000" w:rsidRDefault="0053651E">
      <w:pPr>
        <w:jc w:val="center"/>
        <w:divId w:val="535241539"/>
        <w:rPr>
          <w:rFonts w:eastAsia="Times New Roman"/>
          <w:sz w:val="20"/>
          <w:szCs w:val="20"/>
        </w:rPr>
      </w:pPr>
      <w:r>
        <w:rPr>
          <w:rStyle w:val="a6"/>
          <w:rFonts w:eastAsia="Times New Roman"/>
          <w:i w:val="0"/>
          <w:iCs w:val="0"/>
          <w:sz w:val="20"/>
          <w:szCs w:val="20"/>
        </w:rPr>
        <w:t>71</w:t>
      </w:r>
      <w:r>
        <w:rPr>
          <w:rFonts w:eastAsia="Times New Roman"/>
          <w:sz w:val="20"/>
          <w:szCs w:val="20"/>
        </w:rPr>
        <w:t xml:space="preserve"> </w:t>
      </w:r>
    </w:p>
    <w:p w14:paraId="3E6B82E0" w14:textId="77777777" w:rsidR="00000000" w:rsidRDefault="0053651E">
      <w:pPr>
        <w:divId w:val="535241539"/>
        <w:rPr>
          <w:rFonts w:eastAsia="Times New Roman"/>
          <w:sz w:val="20"/>
          <w:szCs w:val="20"/>
        </w:rPr>
      </w:pPr>
      <w:r>
        <w:rPr>
          <w:rFonts w:eastAsia="Times New Roman"/>
          <w:sz w:val="20"/>
          <w:szCs w:val="20"/>
        </w:rPr>
        <w:pict w14:anchorId="761471B5">
          <v:rect id="_x0000_i1102" style="width:415.3pt;height:1.5pt" o:hralign="center" o:hrstd="t" o:hrnoshade="t" o:hr="t" fillcolor="black" stroked="f"/>
        </w:pict>
      </w:r>
    </w:p>
    <w:p w14:paraId="3D889AE0" w14:textId="77777777" w:rsidR="00000000" w:rsidRDefault="0053651E">
      <w:pPr>
        <w:divId w:val="5352415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CAA5280" w14:textId="77777777" w:rsidR="00000000" w:rsidRDefault="0053651E">
      <w:pPr>
        <w:pStyle w:val="a3"/>
        <w:spacing w:before="0" w:beforeAutospacing="0" w:after="0" w:afterAutospacing="0"/>
        <w:rPr>
          <w:sz w:val="20"/>
          <w:szCs w:val="20"/>
        </w:rPr>
      </w:pPr>
      <w:r>
        <w:rPr>
          <w:sz w:val="20"/>
          <w:szCs w:val="20"/>
        </w:rPr>
        <w:t> </w:t>
      </w:r>
    </w:p>
    <w:p w14:paraId="6D2BCB25"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41D31B1" w14:textId="77777777" w:rsidR="00000000" w:rsidRDefault="0053651E">
      <w:pPr>
        <w:pStyle w:val="a3"/>
        <w:spacing w:before="0" w:beforeAutospacing="0" w:after="0" w:afterAutospacing="0"/>
        <w:jc w:val="center"/>
        <w:rPr>
          <w:sz w:val="20"/>
          <w:szCs w:val="20"/>
        </w:rPr>
      </w:pPr>
      <w:r>
        <w:rPr>
          <w:sz w:val="20"/>
          <w:szCs w:val="20"/>
        </w:rPr>
        <w:t> </w:t>
      </w:r>
    </w:p>
    <w:p w14:paraId="2F0838D4" w14:textId="77777777" w:rsidR="00000000" w:rsidRDefault="0053651E">
      <w:pPr>
        <w:pStyle w:val="a3"/>
        <w:spacing w:before="0" w:beforeAutospacing="0" w:after="0" w:afterAutospacing="0"/>
        <w:ind w:left="144" w:right="144"/>
        <w:jc w:val="center"/>
        <w:rPr>
          <w:sz w:val="20"/>
          <w:szCs w:val="20"/>
        </w:rPr>
      </w:pPr>
      <w:r>
        <w:rPr>
          <w:sz w:val="20"/>
          <w:szCs w:val="20"/>
        </w:rPr>
        <w:t>NOTES TO CONSOLIDATED</w:t>
      </w:r>
      <w:r>
        <w:rPr>
          <w:sz w:val="20"/>
          <w:szCs w:val="20"/>
        </w:rPr>
        <w:t xml:space="preserve"> FINANCIAL STATEMENTS, continued</w:t>
      </w:r>
    </w:p>
    <w:p w14:paraId="6978FB93" w14:textId="77777777" w:rsidR="00000000" w:rsidRDefault="0053651E">
      <w:pPr>
        <w:pStyle w:val="a3"/>
        <w:spacing w:before="0" w:beforeAutospacing="0" w:after="0" w:afterAutospacing="0"/>
        <w:rPr>
          <w:sz w:val="20"/>
          <w:szCs w:val="20"/>
        </w:rPr>
      </w:pPr>
      <w:r>
        <w:rPr>
          <w:sz w:val="20"/>
          <w:szCs w:val="20"/>
        </w:rPr>
        <w:t> </w:t>
      </w:r>
    </w:p>
    <w:p w14:paraId="61581915" w14:textId="77777777" w:rsidR="00000000" w:rsidRDefault="0053651E">
      <w:pPr>
        <w:divId w:val="1685814743"/>
        <w:rPr>
          <w:rFonts w:eastAsia="Times New Roman"/>
          <w:sz w:val="20"/>
          <w:szCs w:val="20"/>
        </w:rPr>
      </w:pPr>
      <w:r>
        <w:rPr>
          <w:rFonts w:eastAsia="Times New Roman"/>
          <w:sz w:val="20"/>
          <w:szCs w:val="20"/>
        </w:rPr>
        <w:t xml:space="preserve">  </w:t>
      </w:r>
    </w:p>
    <w:p w14:paraId="0BC71CF0" w14:textId="77777777" w:rsidR="00000000" w:rsidRDefault="0053651E">
      <w:pPr>
        <w:pStyle w:val="a3"/>
        <w:spacing w:before="0" w:beforeAutospacing="0" w:after="0" w:afterAutospacing="0"/>
        <w:rPr>
          <w:sz w:val="20"/>
          <w:szCs w:val="20"/>
        </w:rPr>
      </w:pPr>
      <w:r>
        <w:rPr>
          <w:rStyle w:val="a6"/>
          <w:i w:val="0"/>
          <w:iCs w:val="0"/>
          <w:sz w:val="20"/>
          <w:szCs w:val="20"/>
        </w:rPr>
        <w:t>13.</w:t>
      </w:r>
      <w:r>
        <w:rPr>
          <w:sz w:val="20"/>
          <w:szCs w:val="20"/>
        </w:rPr>
        <w:t>  </w:t>
      </w:r>
      <w:r>
        <w:rPr>
          <w:sz w:val="20"/>
          <w:szCs w:val="20"/>
          <w:u w:val="single"/>
        </w:rPr>
        <w:t>Mortgages and Construction Loan Payable</w:t>
      </w:r>
      <w:r>
        <w:rPr>
          <w:sz w:val="20"/>
          <w:szCs w:val="20"/>
        </w:rPr>
        <w:t>:</w:t>
      </w:r>
    </w:p>
    <w:p w14:paraId="70ADE2A6" w14:textId="77777777" w:rsidR="00000000" w:rsidRDefault="0053651E">
      <w:pPr>
        <w:pStyle w:val="a3"/>
        <w:spacing w:before="0" w:beforeAutospacing="0" w:after="0" w:afterAutospacing="0"/>
        <w:ind w:left="360"/>
        <w:jc w:val="both"/>
        <w:rPr>
          <w:sz w:val="20"/>
          <w:szCs w:val="20"/>
        </w:rPr>
      </w:pPr>
      <w:r>
        <w:rPr>
          <w:sz w:val="20"/>
          <w:szCs w:val="20"/>
        </w:rPr>
        <w:br/>
      </w:r>
      <w:r>
        <w:rPr>
          <w:sz w:val="20"/>
          <w:szCs w:val="20"/>
        </w:rPr>
        <w:t>Mortgages, collateralized by certain shopping center properties (see Financial Statement Schedule III included in this annual report on Form</w:t>
      </w:r>
      <w:r>
        <w:rPr>
          <w:sz w:val="20"/>
          <w:szCs w:val="20"/>
        </w:rPr>
        <w:t xml:space="preserve"> </w:t>
      </w:r>
      <w:r>
        <w:rPr>
          <w:rStyle w:val="a6"/>
          <w:i w:val="0"/>
          <w:iCs w:val="0"/>
          <w:sz w:val="20"/>
          <w:szCs w:val="20"/>
        </w:rPr>
        <w:t>10</w:t>
      </w:r>
      <w:r>
        <w:rPr>
          <w:sz w:val="20"/>
          <w:szCs w:val="20"/>
        </w:rPr>
        <w:t>-K), are generally due in monthly installments of principal and/or interest.</w:t>
      </w:r>
    </w:p>
    <w:p w14:paraId="59DCF4BC" w14:textId="77777777" w:rsidR="00000000" w:rsidRDefault="0053651E">
      <w:pPr>
        <w:pStyle w:val="a3"/>
        <w:spacing w:before="0" w:beforeAutospacing="0" w:after="0" w:afterAutospacing="0"/>
        <w:ind w:left="360"/>
        <w:jc w:val="both"/>
        <w:rPr>
          <w:sz w:val="20"/>
          <w:szCs w:val="20"/>
        </w:rPr>
      </w:pPr>
      <w:r>
        <w:rPr>
          <w:sz w:val="20"/>
          <w:szCs w:val="20"/>
        </w:rPr>
        <w:t> </w:t>
      </w:r>
    </w:p>
    <w:p w14:paraId="0CA5C903" w14:textId="77777777" w:rsidR="00000000" w:rsidRDefault="0053651E">
      <w:pPr>
        <w:pStyle w:val="a3"/>
        <w:spacing w:before="0" w:beforeAutospacing="0" w:after="0" w:afterAutospacing="0"/>
        <w:ind w:left="360"/>
        <w:jc w:val="both"/>
        <w:rPr>
          <w:sz w:val="20"/>
          <w:szCs w:val="20"/>
        </w:rPr>
      </w:pPr>
      <w:r>
        <w:rPr>
          <w:sz w:val="20"/>
          <w:szCs w:val="20"/>
        </w:rPr>
        <w:t>In</w:t>
      </w:r>
      <w:r>
        <w:rPr>
          <w:sz w:val="20"/>
          <w:szCs w:val="20"/>
        </w:rPr>
        <w:t xml:space="preserve"> </w:t>
      </w:r>
      <w:r>
        <w:rPr>
          <w:rStyle w:val="a6"/>
          <w:i w:val="0"/>
          <w:iCs w:val="0"/>
          <w:sz w:val="20"/>
          <w:szCs w:val="20"/>
        </w:rPr>
        <w:t xml:space="preserve">August 2018, </w:t>
      </w:r>
      <w:r>
        <w:rPr>
          <w:sz w:val="20"/>
          <w:szCs w:val="20"/>
        </w:rPr>
        <w:t>the Company closed</w:t>
      </w:r>
      <w:r>
        <w:rPr>
          <w:sz w:val="20"/>
          <w:szCs w:val="20"/>
        </w:rPr>
        <w:t xml:space="preserve"> on a construction loan commitment of $67.0 million relating to</w:t>
      </w:r>
      <w:r>
        <w:rPr>
          <w:sz w:val="20"/>
          <w:szCs w:val="20"/>
        </w:rPr>
        <w:t xml:space="preserve"> </w:t>
      </w:r>
      <w:r>
        <w:rPr>
          <w:rStyle w:val="a6"/>
          <w:i w:val="0"/>
          <w:iCs w:val="0"/>
          <w:sz w:val="20"/>
          <w:szCs w:val="20"/>
        </w:rPr>
        <w:t>one</w:t>
      </w:r>
      <w:r>
        <w:rPr>
          <w:sz w:val="20"/>
          <w:szCs w:val="20"/>
        </w:rPr>
        <w:t xml:space="preserve"> development property. This loan commitment was scheduled to mature in</w:t>
      </w:r>
      <w:r>
        <w:rPr>
          <w:sz w:val="20"/>
          <w:szCs w:val="20"/>
        </w:rPr>
        <w:t xml:space="preserve"> </w:t>
      </w:r>
      <w:r>
        <w:rPr>
          <w:rStyle w:val="a6"/>
          <w:i w:val="0"/>
          <w:iCs w:val="0"/>
          <w:sz w:val="20"/>
          <w:szCs w:val="20"/>
        </w:rPr>
        <w:t xml:space="preserve">August 2020, </w:t>
      </w:r>
      <w:r>
        <w:rPr>
          <w:sz w:val="20"/>
          <w:szCs w:val="20"/>
        </w:rPr>
        <w:t>with</w:t>
      </w:r>
      <w:r>
        <w:rPr>
          <w:sz w:val="20"/>
          <w:szCs w:val="20"/>
        </w:rPr>
        <w:t xml:space="preserve"> </w:t>
      </w:r>
      <w:r>
        <w:rPr>
          <w:rStyle w:val="a6"/>
          <w:i w:val="0"/>
          <w:iCs w:val="0"/>
          <w:sz w:val="20"/>
          <w:szCs w:val="20"/>
        </w:rPr>
        <w:t>six</w:t>
      </w:r>
      <w:r>
        <w:rPr>
          <w:sz w:val="20"/>
          <w:szCs w:val="20"/>
        </w:rPr>
        <w:t xml:space="preserve"> additional</w:t>
      </w:r>
      <w:r>
        <w:rPr>
          <w:sz w:val="20"/>
          <w:szCs w:val="20"/>
        </w:rPr>
        <w:t xml:space="preserve"> </w:t>
      </w:r>
      <w:r>
        <w:rPr>
          <w:rStyle w:val="a6"/>
          <w:i w:val="0"/>
          <w:iCs w:val="0"/>
          <w:sz w:val="20"/>
          <w:szCs w:val="20"/>
        </w:rPr>
        <w:t>six</w:t>
      </w:r>
      <w:r>
        <w:rPr>
          <w:sz w:val="20"/>
          <w:szCs w:val="20"/>
        </w:rPr>
        <w:t>-month options to extend the maturity date to</w:t>
      </w:r>
      <w:r>
        <w:rPr>
          <w:sz w:val="20"/>
          <w:szCs w:val="20"/>
        </w:rPr>
        <w:t xml:space="preserve"> </w:t>
      </w:r>
      <w:r>
        <w:rPr>
          <w:rStyle w:val="a6"/>
          <w:i w:val="0"/>
          <w:iCs w:val="0"/>
          <w:sz w:val="20"/>
          <w:szCs w:val="20"/>
        </w:rPr>
        <w:t xml:space="preserve">August 2023, </w:t>
      </w:r>
      <w:r>
        <w:rPr>
          <w:sz w:val="20"/>
          <w:szCs w:val="20"/>
        </w:rPr>
        <w:t>bore interest at a rate</w:t>
      </w:r>
      <w:r>
        <w:rPr>
          <w:sz w:val="20"/>
          <w:szCs w:val="20"/>
        </w:rPr>
        <w:t xml:space="preserve"> of LIBOR plus 180 basis points (3.56% as of</w:t>
      </w:r>
      <w:r>
        <w:rPr>
          <w:sz w:val="20"/>
          <w:szCs w:val="20"/>
        </w:rPr>
        <w:t xml:space="preserve"> </w:t>
      </w:r>
      <w:r>
        <w:rPr>
          <w:rStyle w:val="a6"/>
          <w:i w:val="0"/>
          <w:iCs w:val="0"/>
          <w:sz w:val="20"/>
          <w:szCs w:val="20"/>
        </w:rPr>
        <w:t xml:space="preserve">December 31, 2019), </w:t>
      </w:r>
      <w:r>
        <w:rPr>
          <w:sz w:val="20"/>
          <w:szCs w:val="20"/>
        </w:rPr>
        <w:t>interest was paid monthly with a principal payment due at maturity. As of</w:t>
      </w:r>
      <w:r>
        <w:rPr>
          <w:sz w:val="20"/>
          <w:szCs w:val="20"/>
        </w:rPr>
        <w:t xml:space="preserve"> </w:t>
      </w:r>
      <w:r>
        <w:rPr>
          <w:rStyle w:val="a6"/>
          <w:i w:val="0"/>
          <w:iCs w:val="0"/>
          <w:sz w:val="20"/>
          <w:szCs w:val="20"/>
        </w:rPr>
        <w:t xml:space="preserve">December 31, 2019, </w:t>
      </w:r>
      <w:r>
        <w:rPr>
          <w:sz w:val="20"/>
          <w:szCs w:val="20"/>
        </w:rPr>
        <w:t>the construction loan had a balance of $67.0 million outstanding.  Subsequent to</w:t>
      </w:r>
      <w:r>
        <w:rPr>
          <w:sz w:val="20"/>
          <w:szCs w:val="20"/>
        </w:rPr>
        <w:t xml:space="preserve"> </w:t>
      </w:r>
      <w:r>
        <w:rPr>
          <w:rStyle w:val="a6"/>
          <w:i w:val="0"/>
          <w:iCs w:val="0"/>
          <w:sz w:val="20"/>
          <w:szCs w:val="20"/>
        </w:rPr>
        <w:t>December 31, 2019</w:t>
      </w:r>
      <w:r>
        <w:rPr>
          <w:rStyle w:val="a6"/>
          <w:i w:val="0"/>
          <w:iCs w:val="0"/>
          <w:sz w:val="20"/>
          <w:szCs w:val="20"/>
        </w:rPr>
        <w:t xml:space="preserve">, </w:t>
      </w:r>
      <w:r>
        <w:rPr>
          <w:sz w:val="20"/>
          <w:szCs w:val="20"/>
        </w:rPr>
        <w:t>this construction loan was fully repaid.</w:t>
      </w:r>
    </w:p>
    <w:p w14:paraId="4F1D1D1B" w14:textId="77777777" w:rsidR="00000000" w:rsidRDefault="0053651E">
      <w:pPr>
        <w:pStyle w:val="a3"/>
        <w:spacing w:before="0" w:beforeAutospacing="0" w:after="0" w:afterAutospacing="0"/>
        <w:ind w:left="360"/>
        <w:jc w:val="both"/>
        <w:rPr>
          <w:sz w:val="20"/>
          <w:szCs w:val="20"/>
        </w:rPr>
      </w:pPr>
      <w:r>
        <w:rPr>
          <w:sz w:val="20"/>
          <w:szCs w:val="20"/>
        </w:rPr>
        <w:t> </w:t>
      </w:r>
    </w:p>
    <w:p w14:paraId="2AF2644F" w14:textId="77777777" w:rsidR="00000000" w:rsidRDefault="0053651E">
      <w:pPr>
        <w:pStyle w:val="a3"/>
        <w:spacing w:before="0" w:beforeAutospacing="0" w:after="0" w:afterAutospacing="0"/>
        <w:ind w:left="360"/>
        <w:jc w:val="both"/>
        <w:rPr>
          <w:sz w:val="20"/>
          <w:szCs w:val="20"/>
        </w:rPr>
      </w:pPr>
      <w:r>
        <w:rPr>
          <w:sz w:val="20"/>
          <w:szCs w:val="20"/>
        </w:rPr>
        <w:t>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the Company’s Mortgages and construction loan payable, net consisted of the following (in millions):</w:t>
      </w:r>
    </w:p>
    <w:p w14:paraId="2FFEF9D3"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9"/>
        <w:gridCol w:w="59"/>
        <w:gridCol w:w="100"/>
        <w:gridCol w:w="724"/>
        <w:gridCol w:w="67"/>
        <w:gridCol w:w="52"/>
        <w:gridCol w:w="100"/>
        <w:gridCol w:w="725"/>
        <w:gridCol w:w="67"/>
        <w:gridCol w:w="53"/>
        <w:gridCol w:w="60"/>
        <w:gridCol w:w="517"/>
        <w:gridCol w:w="143"/>
        <w:gridCol w:w="517"/>
        <w:gridCol w:w="60"/>
        <w:gridCol w:w="60"/>
        <w:gridCol w:w="60"/>
        <w:gridCol w:w="517"/>
        <w:gridCol w:w="143"/>
        <w:gridCol w:w="517"/>
        <w:gridCol w:w="60"/>
        <w:gridCol w:w="60"/>
        <w:gridCol w:w="60"/>
        <w:gridCol w:w="1306"/>
        <w:gridCol w:w="60"/>
      </w:tblGrid>
      <w:tr w:rsidR="00000000" w14:paraId="69DAB40D" w14:textId="77777777">
        <w:trPr>
          <w:tblCellSpacing w:w="0" w:type="dxa"/>
        </w:trPr>
        <w:tc>
          <w:tcPr>
            <w:tcW w:w="1350" w:type="pct"/>
            <w:vAlign w:val="bottom"/>
            <w:hideMark/>
          </w:tcPr>
          <w:p w14:paraId="63C2E64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709D8DC" w14:textId="77777777" w:rsidR="00000000" w:rsidRDefault="0053651E">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14:paraId="5FD1554C" w14:textId="77777777" w:rsidR="00000000" w:rsidRDefault="0053651E">
            <w:pPr>
              <w:pStyle w:val="a3"/>
              <w:spacing w:before="0" w:beforeAutospacing="0" w:after="0" w:afterAutospacing="0"/>
              <w:jc w:val="center"/>
              <w:rPr>
                <w:sz w:val="20"/>
                <w:szCs w:val="20"/>
              </w:rPr>
            </w:pPr>
            <w:r>
              <w:rPr>
                <w:b/>
                <w:bCs/>
                <w:sz w:val="20"/>
                <w:szCs w:val="20"/>
              </w:rPr>
              <w:t>Carrying Amount at</w:t>
            </w:r>
          </w:p>
          <w:p w14:paraId="7CC23B98"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14:paraId="4275212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28543B6" w14:textId="77777777" w:rsidR="00000000" w:rsidRDefault="0053651E">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6D836A97" w14:textId="77777777" w:rsidR="00000000" w:rsidRDefault="0053651E">
            <w:pPr>
              <w:pStyle w:val="a3"/>
              <w:spacing w:before="0" w:beforeAutospacing="0" w:after="0" w:afterAutospacing="0"/>
              <w:jc w:val="center"/>
              <w:rPr>
                <w:sz w:val="20"/>
                <w:szCs w:val="20"/>
              </w:rPr>
            </w:pPr>
            <w:r>
              <w:rPr>
                <w:b/>
                <w:bCs/>
                <w:sz w:val="20"/>
                <w:szCs w:val="20"/>
              </w:rPr>
              <w:t>Interest Rate at</w:t>
            </w:r>
          </w:p>
          <w:p w14:paraId="659D1C03"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14:paraId="5748945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67024CD" w14:textId="77777777" w:rsidR="00000000" w:rsidRDefault="0053651E">
            <w:pPr>
              <w:rPr>
                <w:rFonts w:eastAsia="Times New Roman"/>
                <w:sz w:val="20"/>
                <w:szCs w:val="20"/>
              </w:rPr>
            </w:pPr>
            <w:r>
              <w:rPr>
                <w:rFonts w:eastAsia="Times New Roman"/>
                <w:sz w:val="20"/>
                <w:szCs w:val="20"/>
              </w:rPr>
              <w:t> </w:t>
            </w:r>
          </w:p>
        </w:tc>
        <w:tc>
          <w:tcPr>
            <w:tcW w:w="50" w:type="pct"/>
            <w:gridSpan w:val="2"/>
            <w:vAlign w:val="bottom"/>
            <w:hideMark/>
          </w:tcPr>
          <w:p w14:paraId="674099B9" w14:textId="77777777" w:rsidR="00000000" w:rsidRDefault="0053651E">
            <w:pPr>
              <w:pStyle w:val="a3"/>
              <w:spacing w:before="0" w:beforeAutospacing="0" w:after="0" w:afterAutospacing="0"/>
              <w:jc w:val="center"/>
              <w:rPr>
                <w:sz w:val="20"/>
                <w:szCs w:val="20"/>
              </w:rPr>
            </w:pPr>
            <w:r>
              <w:rPr>
                <w:b/>
                <w:bCs/>
                <w:sz w:val="20"/>
                <w:szCs w:val="20"/>
              </w:rPr>
              <w:t>Maturity Date at</w:t>
            </w:r>
          </w:p>
        </w:tc>
        <w:tc>
          <w:tcPr>
            <w:tcW w:w="50" w:type="pct"/>
            <w:tcMar>
              <w:top w:w="0" w:type="dxa"/>
              <w:left w:w="0" w:type="dxa"/>
              <w:bottom w:w="15" w:type="dxa"/>
              <w:right w:w="0" w:type="dxa"/>
            </w:tcMar>
            <w:vAlign w:val="bottom"/>
            <w:hideMark/>
          </w:tcPr>
          <w:p w14:paraId="34563276" w14:textId="77777777" w:rsidR="00000000" w:rsidRDefault="0053651E">
            <w:pPr>
              <w:rPr>
                <w:rFonts w:eastAsia="Times New Roman"/>
                <w:sz w:val="20"/>
                <w:szCs w:val="20"/>
              </w:rPr>
            </w:pPr>
            <w:r>
              <w:rPr>
                <w:rFonts w:eastAsia="Times New Roman"/>
                <w:sz w:val="20"/>
                <w:szCs w:val="20"/>
              </w:rPr>
              <w:t> </w:t>
            </w:r>
          </w:p>
        </w:tc>
      </w:tr>
      <w:tr w:rsidR="00000000" w14:paraId="2EFED442" w14:textId="77777777">
        <w:trPr>
          <w:tblCellSpacing w:w="0" w:type="dxa"/>
        </w:trPr>
        <w:tc>
          <w:tcPr>
            <w:tcW w:w="1350" w:type="pct"/>
            <w:vAlign w:val="bottom"/>
            <w:hideMark/>
          </w:tcPr>
          <w:p w14:paraId="063A591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778F006"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59CC4C9"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2A362C1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B4706E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EE00EB3"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24A0D9F2"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9D5E890" w14:textId="77777777" w:rsidR="00000000" w:rsidRDefault="0053651E">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14:paraId="2E47B960"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109F624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D8A25CB" w14:textId="77777777" w:rsidR="00000000" w:rsidRDefault="0053651E">
            <w:pPr>
              <w:rPr>
                <w:rFonts w:eastAsia="Times New Roman"/>
                <w:sz w:val="20"/>
                <w:szCs w:val="20"/>
              </w:rPr>
            </w:pPr>
            <w:r>
              <w:rPr>
                <w:rFonts w:eastAsia="Times New Roman"/>
                <w:sz w:val="20"/>
                <w:szCs w:val="20"/>
              </w:rPr>
              <w:t> </w:t>
            </w:r>
          </w:p>
        </w:tc>
        <w:tc>
          <w:tcPr>
            <w:tcW w:w="400" w:type="pct"/>
            <w:gridSpan w:val="4"/>
            <w:tcBorders>
              <w:bottom w:val="single" w:sz="6" w:space="0" w:color="000000"/>
            </w:tcBorders>
            <w:vAlign w:val="bottom"/>
            <w:hideMark/>
          </w:tcPr>
          <w:p w14:paraId="47D8BB15"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608DE26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E337816"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792C8B2" w14:textId="77777777" w:rsidR="00000000" w:rsidRDefault="0053651E">
            <w:pPr>
              <w:jc w:val="center"/>
              <w:rPr>
                <w:rFonts w:eastAsia="Times New Roman"/>
                <w:sz w:val="20"/>
                <w:szCs w:val="20"/>
              </w:rPr>
            </w:pPr>
            <w:r>
              <w:rPr>
                <w:rFonts w:eastAsia="Times New Roman"/>
                <w:b/>
                <w:bCs/>
                <w:sz w:val="20"/>
                <w:szCs w:val="20"/>
              </w:rPr>
              <w:t>December 31, 2019</w:t>
            </w:r>
          </w:p>
        </w:tc>
        <w:tc>
          <w:tcPr>
            <w:tcW w:w="50" w:type="pct"/>
            <w:tcMar>
              <w:top w:w="0" w:type="dxa"/>
              <w:left w:w="0" w:type="dxa"/>
              <w:bottom w:w="15" w:type="dxa"/>
              <w:right w:w="0" w:type="dxa"/>
            </w:tcMar>
            <w:vAlign w:val="bottom"/>
            <w:hideMark/>
          </w:tcPr>
          <w:p w14:paraId="352A334D" w14:textId="77777777" w:rsidR="00000000" w:rsidRDefault="0053651E">
            <w:pPr>
              <w:rPr>
                <w:rFonts w:eastAsia="Times New Roman"/>
                <w:sz w:val="20"/>
                <w:szCs w:val="20"/>
              </w:rPr>
            </w:pPr>
            <w:r>
              <w:rPr>
                <w:rFonts w:eastAsia="Times New Roman"/>
                <w:b/>
                <w:bCs/>
                <w:sz w:val="20"/>
                <w:szCs w:val="20"/>
              </w:rPr>
              <w:t> </w:t>
            </w:r>
          </w:p>
        </w:tc>
      </w:tr>
      <w:tr w:rsidR="00000000" w14:paraId="4F68283F" w14:textId="77777777">
        <w:trPr>
          <w:tblCellSpacing w:w="0" w:type="dxa"/>
        </w:trPr>
        <w:tc>
          <w:tcPr>
            <w:tcW w:w="1350" w:type="pct"/>
            <w:shd w:val="clear" w:color="auto" w:fill="CCEEFF"/>
            <w:vAlign w:val="bottom"/>
            <w:hideMark/>
          </w:tcPr>
          <w:p w14:paraId="0121C62A" w14:textId="77777777" w:rsidR="00000000" w:rsidRDefault="0053651E">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14:paraId="07BBF9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5004A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5CE83F3" w14:textId="77777777" w:rsidR="00000000" w:rsidRDefault="0053651E">
            <w:pPr>
              <w:jc w:val="right"/>
              <w:rPr>
                <w:rFonts w:eastAsia="Times New Roman"/>
                <w:sz w:val="20"/>
                <w:szCs w:val="20"/>
              </w:rPr>
            </w:pPr>
            <w:r>
              <w:rPr>
                <w:rFonts w:eastAsia="Times New Roman"/>
                <w:sz w:val="20"/>
                <w:szCs w:val="20"/>
              </w:rPr>
              <w:t>410.6</w:t>
            </w:r>
          </w:p>
        </w:tc>
        <w:tc>
          <w:tcPr>
            <w:tcW w:w="50" w:type="pct"/>
            <w:shd w:val="clear" w:color="auto" w:fill="CCEEFF"/>
            <w:vAlign w:val="bottom"/>
            <w:hideMark/>
          </w:tcPr>
          <w:p w14:paraId="5EA8A8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6216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0030C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75CBB20" w14:textId="77777777" w:rsidR="00000000" w:rsidRDefault="0053651E">
            <w:pPr>
              <w:jc w:val="right"/>
              <w:rPr>
                <w:rFonts w:eastAsia="Times New Roman"/>
                <w:sz w:val="20"/>
                <w:szCs w:val="20"/>
              </w:rPr>
            </w:pPr>
            <w:r>
              <w:rPr>
                <w:rFonts w:eastAsia="Times New Roman"/>
                <w:sz w:val="20"/>
                <w:szCs w:val="20"/>
              </w:rPr>
              <w:t>430.8</w:t>
            </w:r>
          </w:p>
        </w:tc>
        <w:tc>
          <w:tcPr>
            <w:tcW w:w="50" w:type="pct"/>
            <w:shd w:val="clear" w:color="auto" w:fill="CCEEFF"/>
            <w:vAlign w:val="bottom"/>
            <w:hideMark/>
          </w:tcPr>
          <w:p w14:paraId="3B83C3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F379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8B2689" w14:textId="77777777" w:rsidR="00000000" w:rsidRDefault="0053651E">
            <w:pPr>
              <w:rPr>
                <w:rFonts w:eastAsia="Times New Roman"/>
                <w:sz w:val="20"/>
                <w:szCs w:val="20"/>
              </w:rPr>
            </w:pPr>
            <w:r>
              <w:rPr>
                <w:rFonts w:eastAsia="Times New Roman"/>
                <w:sz w:val="20"/>
                <w:szCs w:val="20"/>
              </w:rPr>
              <w:t> </w:t>
            </w:r>
          </w:p>
        </w:tc>
        <w:tc>
          <w:tcPr>
            <w:tcW w:w="250" w:type="pct"/>
            <w:shd w:val="clear" w:color="auto" w:fill="CCEEFF"/>
            <w:vAlign w:val="bottom"/>
            <w:hideMark/>
          </w:tcPr>
          <w:p w14:paraId="58522977" w14:textId="77777777" w:rsidR="00000000" w:rsidRDefault="0053651E">
            <w:pPr>
              <w:jc w:val="right"/>
              <w:rPr>
                <w:rFonts w:eastAsia="Times New Roman"/>
                <w:sz w:val="20"/>
                <w:szCs w:val="20"/>
              </w:rPr>
            </w:pPr>
            <w:r>
              <w:rPr>
                <w:rFonts w:eastAsia="Times New Roman"/>
                <w:sz w:val="20"/>
                <w:szCs w:val="20"/>
              </w:rPr>
              <w:t>3.23%</w:t>
            </w:r>
          </w:p>
        </w:tc>
        <w:tc>
          <w:tcPr>
            <w:tcW w:w="100" w:type="pct"/>
            <w:shd w:val="clear" w:color="auto" w:fill="CCEEFF"/>
            <w:vAlign w:val="bottom"/>
            <w:hideMark/>
          </w:tcPr>
          <w:p w14:paraId="630D8FF2" w14:textId="77777777" w:rsidR="00000000" w:rsidRDefault="0053651E">
            <w:pPr>
              <w:jc w:val="center"/>
              <w:rPr>
                <w:rFonts w:eastAsia="Times New Roman"/>
                <w:sz w:val="20"/>
                <w:szCs w:val="20"/>
              </w:rPr>
            </w:pPr>
            <w:r>
              <w:rPr>
                <w:rStyle w:val="a6"/>
                <w:rFonts w:eastAsia="Times New Roman"/>
                <w:i w:val="0"/>
                <w:iCs w:val="0"/>
                <w:sz w:val="20"/>
                <w:szCs w:val="20"/>
              </w:rPr>
              <w:t>-</w:t>
            </w:r>
          </w:p>
        </w:tc>
        <w:tc>
          <w:tcPr>
            <w:tcW w:w="250" w:type="pct"/>
            <w:shd w:val="clear" w:color="auto" w:fill="CCEEFF"/>
            <w:vAlign w:val="bottom"/>
            <w:hideMark/>
          </w:tcPr>
          <w:p w14:paraId="1A582F54" w14:textId="77777777" w:rsidR="00000000" w:rsidRDefault="0053651E">
            <w:pPr>
              <w:rPr>
                <w:rFonts w:eastAsia="Times New Roman"/>
                <w:sz w:val="20"/>
                <w:szCs w:val="20"/>
              </w:rPr>
            </w:pPr>
            <w:r>
              <w:rPr>
                <w:rFonts w:eastAsia="Times New Roman"/>
                <w:sz w:val="20"/>
                <w:szCs w:val="20"/>
              </w:rPr>
              <w:t>7.23%</w:t>
            </w:r>
          </w:p>
        </w:tc>
        <w:tc>
          <w:tcPr>
            <w:tcW w:w="50" w:type="pct"/>
            <w:shd w:val="clear" w:color="auto" w:fill="CCEEFF"/>
            <w:vAlign w:val="bottom"/>
            <w:hideMark/>
          </w:tcPr>
          <w:p w14:paraId="441C59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8FF4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AF2A19" w14:textId="77777777" w:rsidR="00000000" w:rsidRDefault="0053651E">
            <w:pPr>
              <w:rPr>
                <w:rFonts w:eastAsia="Times New Roman"/>
                <w:sz w:val="20"/>
                <w:szCs w:val="20"/>
              </w:rPr>
            </w:pPr>
            <w:r>
              <w:rPr>
                <w:rFonts w:eastAsia="Times New Roman"/>
                <w:sz w:val="20"/>
                <w:szCs w:val="20"/>
              </w:rPr>
              <w:t> </w:t>
            </w:r>
          </w:p>
        </w:tc>
        <w:tc>
          <w:tcPr>
            <w:tcW w:w="250" w:type="pct"/>
            <w:shd w:val="clear" w:color="auto" w:fill="CCEEFF"/>
            <w:vAlign w:val="bottom"/>
            <w:hideMark/>
          </w:tcPr>
          <w:p w14:paraId="31EEE1D1" w14:textId="77777777" w:rsidR="00000000" w:rsidRDefault="0053651E">
            <w:pPr>
              <w:jc w:val="right"/>
              <w:rPr>
                <w:rFonts w:eastAsia="Times New Roman"/>
                <w:sz w:val="20"/>
                <w:szCs w:val="20"/>
              </w:rPr>
            </w:pPr>
            <w:r>
              <w:rPr>
                <w:rFonts w:eastAsia="Times New Roman"/>
                <w:sz w:val="20"/>
                <w:szCs w:val="20"/>
              </w:rPr>
              <w:t>3.23%</w:t>
            </w:r>
          </w:p>
        </w:tc>
        <w:tc>
          <w:tcPr>
            <w:tcW w:w="100" w:type="pct"/>
            <w:shd w:val="clear" w:color="auto" w:fill="CCEEFF"/>
            <w:vAlign w:val="bottom"/>
            <w:hideMark/>
          </w:tcPr>
          <w:p w14:paraId="3459D582" w14:textId="77777777" w:rsidR="00000000" w:rsidRDefault="0053651E">
            <w:pPr>
              <w:jc w:val="center"/>
              <w:rPr>
                <w:rFonts w:eastAsia="Times New Roman"/>
                <w:sz w:val="20"/>
                <w:szCs w:val="20"/>
              </w:rPr>
            </w:pPr>
            <w:r>
              <w:rPr>
                <w:rStyle w:val="a6"/>
                <w:rFonts w:eastAsia="Times New Roman"/>
                <w:i w:val="0"/>
                <w:iCs w:val="0"/>
                <w:sz w:val="20"/>
                <w:szCs w:val="20"/>
              </w:rPr>
              <w:t>-</w:t>
            </w:r>
          </w:p>
        </w:tc>
        <w:tc>
          <w:tcPr>
            <w:tcW w:w="250" w:type="pct"/>
            <w:shd w:val="clear" w:color="auto" w:fill="CCEEFF"/>
            <w:vAlign w:val="bottom"/>
            <w:hideMark/>
          </w:tcPr>
          <w:p w14:paraId="7560BA1C" w14:textId="77777777" w:rsidR="00000000" w:rsidRDefault="0053651E">
            <w:pPr>
              <w:rPr>
                <w:rFonts w:eastAsia="Times New Roman"/>
                <w:sz w:val="20"/>
                <w:szCs w:val="20"/>
              </w:rPr>
            </w:pPr>
            <w:r>
              <w:rPr>
                <w:rFonts w:eastAsia="Times New Roman"/>
                <w:sz w:val="20"/>
                <w:szCs w:val="20"/>
              </w:rPr>
              <w:t>9.75%</w:t>
            </w:r>
          </w:p>
        </w:tc>
        <w:tc>
          <w:tcPr>
            <w:tcW w:w="50" w:type="pct"/>
            <w:shd w:val="clear" w:color="auto" w:fill="CCEEFF"/>
            <w:vAlign w:val="bottom"/>
            <w:hideMark/>
          </w:tcPr>
          <w:p w14:paraId="1AD0B4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B763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69FCE2" w14:textId="77777777" w:rsidR="00000000" w:rsidRDefault="0053651E">
            <w:pPr>
              <w:pStyle w:val="a3"/>
              <w:spacing w:before="0" w:beforeAutospacing="0" w:after="0" w:afterAutospacing="0"/>
              <w:rPr>
                <w:sz w:val="20"/>
                <w:szCs w:val="20"/>
              </w:rPr>
            </w:pPr>
            <w:r>
              <w:rPr>
                <w:sz w:val="20"/>
                <w:szCs w:val="20"/>
              </w:rPr>
              <w:t> </w:t>
            </w:r>
          </w:p>
        </w:tc>
        <w:tc>
          <w:tcPr>
            <w:tcW w:w="800" w:type="pct"/>
            <w:shd w:val="clear" w:color="auto" w:fill="CCEEFF"/>
            <w:vAlign w:val="bottom"/>
            <w:hideMark/>
          </w:tcPr>
          <w:p w14:paraId="26173781" w14:textId="77777777" w:rsidR="00000000" w:rsidRDefault="0053651E">
            <w:pPr>
              <w:jc w:val="center"/>
              <w:rPr>
                <w:rFonts w:eastAsia="Times New Roman"/>
                <w:sz w:val="20"/>
                <w:szCs w:val="20"/>
              </w:rPr>
            </w:pPr>
            <w:r>
              <w:rPr>
                <w:rStyle w:val="a6"/>
                <w:rFonts w:eastAsia="Times New Roman"/>
                <w:i w:val="0"/>
                <w:iCs w:val="0"/>
                <w:sz w:val="20"/>
                <w:szCs w:val="20"/>
              </w:rPr>
              <w:t>May-2020 – Apr-2028</w:t>
            </w:r>
          </w:p>
        </w:tc>
        <w:tc>
          <w:tcPr>
            <w:tcW w:w="50" w:type="pct"/>
            <w:shd w:val="clear" w:color="auto" w:fill="CCEEFF"/>
            <w:vAlign w:val="bottom"/>
            <w:hideMark/>
          </w:tcPr>
          <w:p w14:paraId="63B91BB0" w14:textId="77777777" w:rsidR="00000000" w:rsidRDefault="0053651E">
            <w:pPr>
              <w:rPr>
                <w:rFonts w:eastAsia="Times New Roman"/>
                <w:sz w:val="20"/>
                <w:szCs w:val="20"/>
              </w:rPr>
            </w:pPr>
            <w:r>
              <w:rPr>
                <w:rFonts w:eastAsia="Times New Roman"/>
                <w:sz w:val="20"/>
                <w:szCs w:val="20"/>
              </w:rPr>
              <w:t> </w:t>
            </w:r>
          </w:p>
        </w:tc>
      </w:tr>
      <w:tr w:rsidR="00000000" w14:paraId="7609946E" w14:textId="77777777">
        <w:trPr>
          <w:tblCellSpacing w:w="0" w:type="dxa"/>
        </w:trPr>
        <w:tc>
          <w:tcPr>
            <w:tcW w:w="1350" w:type="pct"/>
            <w:shd w:val="clear" w:color="auto" w:fill="FFFFFF"/>
            <w:vAlign w:val="bottom"/>
            <w:hideMark/>
          </w:tcPr>
          <w:p w14:paraId="69DCD5A5" w14:textId="77777777" w:rsidR="00000000" w:rsidRDefault="0053651E">
            <w:pPr>
              <w:pStyle w:val="a3"/>
              <w:spacing w:before="0" w:beforeAutospacing="0" w:after="0" w:afterAutospacing="0"/>
              <w:rPr>
                <w:sz w:val="20"/>
                <w:szCs w:val="20"/>
              </w:rPr>
            </w:pPr>
            <w:r>
              <w:rPr>
                <w:sz w:val="20"/>
                <w:szCs w:val="20"/>
              </w:rPr>
              <w:t>Construction loan payable</w:t>
            </w:r>
          </w:p>
        </w:tc>
        <w:tc>
          <w:tcPr>
            <w:tcW w:w="50" w:type="pct"/>
            <w:shd w:val="clear" w:color="auto" w:fill="FFFFFF"/>
            <w:vAlign w:val="bottom"/>
            <w:hideMark/>
          </w:tcPr>
          <w:p w14:paraId="57FD163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4974A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0CE124" w14:textId="77777777" w:rsidR="00000000" w:rsidRDefault="0053651E">
            <w:pPr>
              <w:jc w:val="right"/>
              <w:rPr>
                <w:rFonts w:eastAsia="Times New Roman"/>
                <w:sz w:val="20"/>
                <w:szCs w:val="20"/>
              </w:rPr>
            </w:pPr>
            <w:r>
              <w:rPr>
                <w:rFonts w:eastAsia="Times New Roman"/>
                <w:sz w:val="20"/>
                <w:szCs w:val="20"/>
              </w:rPr>
              <w:t>67.0</w:t>
            </w:r>
          </w:p>
        </w:tc>
        <w:tc>
          <w:tcPr>
            <w:tcW w:w="50" w:type="pct"/>
            <w:shd w:val="clear" w:color="auto" w:fill="FFFFFF"/>
            <w:vAlign w:val="bottom"/>
            <w:hideMark/>
          </w:tcPr>
          <w:p w14:paraId="0D25FD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BD4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66026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47834AA" w14:textId="77777777" w:rsidR="00000000" w:rsidRDefault="0053651E">
            <w:pPr>
              <w:jc w:val="right"/>
              <w:rPr>
                <w:rFonts w:eastAsia="Times New Roman"/>
                <w:sz w:val="20"/>
                <w:szCs w:val="20"/>
              </w:rPr>
            </w:pPr>
            <w:r>
              <w:rPr>
                <w:rFonts w:eastAsia="Times New Roman"/>
                <w:sz w:val="20"/>
                <w:szCs w:val="20"/>
              </w:rPr>
              <w:t>51.0</w:t>
            </w:r>
          </w:p>
        </w:tc>
        <w:tc>
          <w:tcPr>
            <w:tcW w:w="50" w:type="pct"/>
            <w:shd w:val="clear" w:color="auto" w:fill="FFFFFF"/>
            <w:vAlign w:val="bottom"/>
            <w:hideMark/>
          </w:tcPr>
          <w:p w14:paraId="52893D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09D0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7ED65D" w14:textId="77777777" w:rsidR="00000000" w:rsidRDefault="0053651E">
            <w:pPr>
              <w:rPr>
                <w:rFonts w:eastAsia="Times New Roman"/>
                <w:sz w:val="20"/>
                <w:szCs w:val="20"/>
              </w:rPr>
            </w:pPr>
            <w:r>
              <w:rPr>
                <w:rFonts w:eastAsia="Times New Roman"/>
                <w:sz w:val="20"/>
                <w:szCs w:val="20"/>
              </w:rPr>
              <w:t> </w:t>
            </w:r>
          </w:p>
        </w:tc>
        <w:tc>
          <w:tcPr>
            <w:tcW w:w="350" w:type="pct"/>
            <w:gridSpan w:val="3"/>
            <w:shd w:val="clear" w:color="auto" w:fill="FFFFFF"/>
            <w:vAlign w:val="bottom"/>
            <w:hideMark/>
          </w:tcPr>
          <w:p w14:paraId="29F2999C" w14:textId="77777777" w:rsidR="00000000" w:rsidRDefault="0053651E">
            <w:pPr>
              <w:jc w:val="center"/>
              <w:rPr>
                <w:rFonts w:eastAsia="Times New Roman"/>
                <w:sz w:val="20"/>
                <w:szCs w:val="20"/>
              </w:rPr>
            </w:pPr>
            <w:r>
              <w:rPr>
                <w:rStyle w:val="a6"/>
                <w:rFonts w:eastAsia="Times New Roman"/>
                <w:i w:val="0"/>
                <w:iCs w:val="0"/>
                <w:sz w:val="20"/>
                <w:szCs w:val="20"/>
              </w:rPr>
              <w:t>3.56%</w:t>
            </w:r>
          </w:p>
        </w:tc>
        <w:tc>
          <w:tcPr>
            <w:tcW w:w="50" w:type="pct"/>
            <w:shd w:val="clear" w:color="auto" w:fill="FFFFFF"/>
            <w:vAlign w:val="bottom"/>
            <w:hideMark/>
          </w:tcPr>
          <w:p w14:paraId="5AFBB7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84F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07C47" w14:textId="77777777" w:rsidR="00000000" w:rsidRDefault="0053651E">
            <w:pPr>
              <w:rPr>
                <w:rFonts w:eastAsia="Times New Roman"/>
                <w:sz w:val="20"/>
                <w:szCs w:val="20"/>
              </w:rPr>
            </w:pPr>
            <w:r>
              <w:rPr>
                <w:rFonts w:eastAsia="Times New Roman"/>
                <w:sz w:val="20"/>
                <w:szCs w:val="20"/>
              </w:rPr>
              <w:t> </w:t>
            </w:r>
          </w:p>
        </w:tc>
        <w:tc>
          <w:tcPr>
            <w:tcW w:w="350" w:type="pct"/>
            <w:gridSpan w:val="3"/>
            <w:shd w:val="clear" w:color="auto" w:fill="FFFFFF"/>
            <w:vAlign w:val="bottom"/>
            <w:hideMark/>
          </w:tcPr>
          <w:p w14:paraId="71FCA115" w14:textId="77777777" w:rsidR="00000000" w:rsidRDefault="0053651E">
            <w:pPr>
              <w:jc w:val="center"/>
              <w:rPr>
                <w:rFonts w:eastAsia="Times New Roman"/>
                <w:sz w:val="20"/>
                <w:szCs w:val="20"/>
              </w:rPr>
            </w:pPr>
            <w:r>
              <w:rPr>
                <w:rStyle w:val="a6"/>
                <w:rFonts w:eastAsia="Times New Roman"/>
                <w:i w:val="0"/>
                <w:iCs w:val="0"/>
                <w:sz w:val="20"/>
                <w:szCs w:val="20"/>
              </w:rPr>
              <w:t>4.23%</w:t>
            </w:r>
          </w:p>
        </w:tc>
        <w:tc>
          <w:tcPr>
            <w:tcW w:w="50" w:type="pct"/>
            <w:shd w:val="clear" w:color="auto" w:fill="FFFFFF"/>
            <w:vAlign w:val="bottom"/>
            <w:hideMark/>
          </w:tcPr>
          <w:p w14:paraId="03BC95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AEAEE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796B19" w14:textId="77777777" w:rsidR="00000000" w:rsidRDefault="0053651E">
            <w:pPr>
              <w:pStyle w:val="a3"/>
              <w:spacing w:before="0" w:beforeAutospacing="0" w:after="0" w:afterAutospacing="0"/>
              <w:rPr>
                <w:sz w:val="20"/>
                <w:szCs w:val="20"/>
              </w:rPr>
            </w:pPr>
            <w:r>
              <w:rPr>
                <w:sz w:val="20"/>
                <w:szCs w:val="20"/>
              </w:rPr>
              <w:t> </w:t>
            </w:r>
          </w:p>
        </w:tc>
        <w:tc>
          <w:tcPr>
            <w:tcW w:w="800" w:type="pct"/>
            <w:shd w:val="clear" w:color="auto" w:fill="FFFFFF"/>
            <w:vAlign w:val="bottom"/>
            <w:hideMark/>
          </w:tcPr>
          <w:p w14:paraId="090E967F" w14:textId="77777777" w:rsidR="00000000" w:rsidRDefault="0053651E">
            <w:pPr>
              <w:jc w:val="center"/>
              <w:rPr>
                <w:rFonts w:eastAsia="Times New Roman"/>
                <w:sz w:val="20"/>
                <w:szCs w:val="20"/>
              </w:rPr>
            </w:pPr>
            <w:r>
              <w:rPr>
                <w:rStyle w:val="a6"/>
                <w:rFonts w:eastAsia="Times New Roman"/>
                <w:i w:val="0"/>
                <w:iCs w:val="0"/>
                <w:sz w:val="20"/>
                <w:szCs w:val="20"/>
              </w:rPr>
              <w:t>Aug-2020</w:t>
            </w:r>
          </w:p>
        </w:tc>
        <w:tc>
          <w:tcPr>
            <w:tcW w:w="50" w:type="pct"/>
            <w:shd w:val="clear" w:color="auto" w:fill="FFFFFF"/>
            <w:vAlign w:val="bottom"/>
            <w:hideMark/>
          </w:tcPr>
          <w:p w14:paraId="0FB035B8" w14:textId="77777777" w:rsidR="00000000" w:rsidRDefault="0053651E">
            <w:pPr>
              <w:rPr>
                <w:rFonts w:eastAsia="Times New Roman"/>
                <w:sz w:val="20"/>
                <w:szCs w:val="20"/>
              </w:rPr>
            </w:pPr>
            <w:r>
              <w:rPr>
                <w:rFonts w:eastAsia="Times New Roman"/>
                <w:sz w:val="20"/>
                <w:szCs w:val="20"/>
              </w:rPr>
              <w:t> </w:t>
            </w:r>
          </w:p>
        </w:tc>
      </w:tr>
      <w:tr w:rsidR="00000000" w14:paraId="288B2EFD" w14:textId="77777777">
        <w:trPr>
          <w:tblCellSpacing w:w="0" w:type="dxa"/>
        </w:trPr>
        <w:tc>
          <w:tcPr>
            <w:tcW w:w="1350" w:type="pct"/>
            <w:shd w:val="clear" w:color="auto" w:fill="CCEEFF"/>
            <w:vAlign w:val="bottom"/>
            <w:hideMark/>
          </w:tcPr>
          <w:p w14:paraId="68902FD4" w14:textId="77777777" w:rsidR="00000000" w:rsidRDefault="0053651E">
            <w:pPr>
              <w:pStyle w:val="a3"/>
              <w:spacing w:before="0" w:beforeAutospacing="0" w:after="0" w:afterAutospacing="0"/>
              <w:rPr>
                <w:sz w:val="20"/>
                <w:szCs w:val="20"/>
              </w:rPr>
            </w:pPr>
            <w:r>
              <w:rPr>
                <w:sz w:val="20"/>
                <w:szCs w:val="20"/>
              </w:rPr>
              <w:t>Fair value debt adjustments, net</w:t>
            </w:r>
          </w:p>
        </w:tc>
        <w:tc>
          <w:tcPr>
            <w:tcW w:w="50" w:type="pct"/>
            <w:shd w:val="clear" w:color="auto" w:fill="CCEEFF"/>
            <w:vAlign w:val="bottom"/>
            <w:hideMark/>
          </w:tcPr>
          <w:p w14:paraId="7E87B9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D8A38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076A1D" w14:textId="77777777" w:rsidR="00000000" w:rsidRDefault="0053651E">
            <w:pPr>
              <w:jc w:val="right"/>
              <w:rPr>
                <w:rFonts w:eastAsia="Times New Roman"/>
                <w:sz w:val="20"/>
                <w:szCs w:val="20"/>
              </w:rPr>
            </w:pPr>
            <w:r>
              <w:rPr>
                <w:rFonts w:eastAsia="Times New Roman"/>
                <w:sz w:val="20"/>
                <w:szCs w:val="20"/>
              </w:rPr>
              <w:t>7.9</w:t>
            </w:r>
          </w:p>
        </w:tc>
        <w:tc>
          <w:tcPr>
            <w:tcW w:w="50" w:type="pct"/>
            <w:shd w:val="clear" w:color="auto" w:fill="CCEEFF"/>
            <w:vAlign w:val="bottom"/>
            <w:hideMark/>
          </w:tcPr>
          <w:p w14:paraId="707E80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1E11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980DA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50C5A4" w14:textId="77777777" w:rsidR="00000000" w:rsidRDefault="0053651E">
            <w:pPr>
              <w:jc w:val="right"/>
              <w:rPr>
                <w:rFonts w:eastAsia="Times New Roman"/>
                <w:sz w:val="20"/>
                <w:szCs w:val="20"/>
              </w:rPr>
            </w:pPr>
            <w:r>
              <w:rPr>
                <w:rFonts w:eastAsia="Times New Roman"/>
                <w:sz w:val="20"/>
                <w:szCs w:val="20"/>
              </w:rPr>
              <w:t>13.1</w:t>
            </w:r>
          </w:p>
        </w:tc>
        <w:tc>
          <w:tcPr>
            <w:tcW w:w="50" w:type="pct"/>
            <w:shd w:val="clear" w:color="auto" w:fill="CCEEFF"/>
            <w:vAlign w:val="bottom"/>
            <w:hideMark/>
          </w:tcPr>
          <w:p w14:paraId="45BAF5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71AF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685292" w14:textId="77777777" w:rsidR="00000000" w:rsidRDefault="0053651E">
            <w:pPr>
              <w:rPr>
                <w:rFonts w:eastAsia="Times New Roman"/>
                <w:sz w:val="20"/>
                <w:szCs w:val="20"/>
              </w:rPr>
            </w:pPr>
            <w:r>
              <w:rPr>
                <w:rFonts w:eastAsia="Times New Roman"/>
                <w:sz w:val="20"/>
                <w:szCs w:val="20"/>
              </w:rPr>
              <w:t> </w:t>
            </w:r>
          </w:p>
        </w:tc>
        <w:tc>
          <w:tcPr>
            <w:tcW w:w="350" w:type="pct"/>
            <w:gridSpan w:val="3"/>
            <w:shd w:val="clear" w:color="auto" w:fill="CCEEFF"/>
            <w:vAlign w:val="bottom"/>
            <w:hideMark/>
          </w:tcPr>
          <w:p w14:paraId="0134742C"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vAlign w:val="bottom"/>
            <w:hideMark/>
          </w:tcPr>
          <w:p w14:paraId="54597A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B3C0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FCCA3F" w14:textId="77777777" w:rsidR="00000000" w:rsidRDefault="0053651E">
            <w:pPr>
              <w:rPr>
                <w:rFonts w:eastAsia="Times New Roman"/>
                <w:sz w:val="20"/>
                <w:szCs w:val="20"/>
              </w:rPr>
            </w:pPr>
            <w:r>
              <w:rPr>
                <w:rFonts w:eastAsia="Times New Roman"/>
                <w:sz w:val="20"/>
                <w:szCs w:val="20"/>
              </w:rPr>
              <w:t> </w:t>
            </w:r>
          </w:p>
        </w:tc>
        <w:tc>
          <w:tcPr>
            <w:tcW w:w="350" w:type="pct"/>
            <w:gridSpan w:val="3"/>
            <w:shd w:val="clear" w:color="auto" w:fill="CCEEFF"/>
            <w:vAlign w:val="bottom"/>
            <w:hideMark/>
          </w:tcPr>
          <w:p w14:paraId="1DE78252"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vAlign w:val="bottom"/>
            <w:hideMark/>
          </w:tcPr>
          <w:p w14:paraId="557F36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85E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39987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D9AFDB2"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CCEEFF"/>
            <w:vAlign w:val="bottom"/>
            <w:hideMark/>
          </w:tcPr>
          <w:p w14:paraId="3E038828" w14:textId="77777777" w:rsidR="00000000" w:rsidRDefault="0053651E">
            <w:pPr>
              <w:rPr>
                <w:rFonts w:eastAsia="Times New Roman"/>
                <w:sz w:val="20"/>
                <w:szCs w:val="20"/>
              </w:rPr>
            </w:pPr>
            <w:r>
              <w:rPr>
                <w:rFonts w:eastAsia="Times New Roman"/>
                <w:sz w:val="20"/>
                <w:szCs w:val="20"/>
              </w:rPr>
              <w:t> </w:t>
            </w:r>
          </w:p>
        </w:tc>
      </w:tr>
      <w:tr w:rsidR="00000000" w14:paraId="5D4614E1" w14:textId="77777777">
        <w:trPr>
          <w:tblCellSpacing w:w="0" w:type="dxa"/>
        </w:trPr>
        <w:tc>
          <w:tcPr>
            <w:tcW w:w="1350" w:type="pct"/>
            <w:shd w:val="clear" w:color="auto" w:fill="FFFFFF"/>
            <w:vAlign w:val="bottom"/>
            <w:hideMark/>
          </w:tcPr>
          <w:p w14:paraId="7E966C2F" w14:textId="77777777" w:rsidR="00000000" w:rsidRDefault="0053651E">
            <w:pPr>
              <w:pStyle w:val="a3"/>
              <w:spacing w:before="0" w:beforeAutospacing="0" w:after="0" w:afterAutospacing="0"/>
              <w:rPr>
                <w:sz w:val="20"/>
                <w:szCs w:val="20"/>
              </w:rPr>
            </w:pPr>
            <w:r>
              <w:rPr>
                <w:sz w:val="20"/>
                <w:szCs w:val="20"/>
              </w:rPr>
              <w:t>Deferred financing costs, net</w:t>
            </w:r>
          </w:p>
        </w:tc>
        <w:tc>
          <w:tcPr>
            <w:tcW w:w="50" w:type="pct"/>
            <w:shd w:val="clear" w:color="auto" w:fill="FFFFFF"/>
            <w:vAlign w:val="bottom"/>
            <w:hideMark/>
          </w:tcPr>
          <w:p w14:paraId="6BC143D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054067C"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289C798" w14:textId="77777777" w:rsidR="00000000" w:rsidRDefault="0053651E">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15" w:type="dxa"/>
              <w:right w:w="0" w:type="dxa"/>
            </w:tcMar>
            <w:vAlign w:val="bottom"/>
            <w:hideMark/>
          </w:tcPr>
          <w:p w14:paraId="5ABAF87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1DBF7A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B8A17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C18918E" w14:textId="77777777" w:rsidR="00000000" w:rsidRDefault="0053651E">
            <w:pPr>
              <w:jc w:val="right"/>
              <w:rPr>
                <w:rFonts w:eastAsia="Times New Roman"/>
                <w:sz w:val="20"/>
                <w:szCs w:val="20"/>
              </w:rPr>
            </w:pPr>
            <w:r>
              <w:rPr>
                <w:rFonts w:eastAsia="Times New Roman"/>
                <w:sz w:val="20"/>
                <w:szCs w:val="20"/>
              </w:rPr>
              <w:t>(2.5</w:t>
            </w:r>
          </w:p>
        </w:tc>
        <w:tc>
          <w:tcPr>
            <w:tcW w:w="50" w:type="pct"/>
            <w:shd w:val="clear" w:color="auto" w:fill="FFFFFF"/>
            <w:tcMar>
              <w:top w:w="0" w:type="dxa"/>
              <w:left w:w="0" w:type="dxa"/>
              <w:bottom w:w="15" w:type="dxa"/>
              <w:right w:w="0" w:type="dxa"/>
            </w:tcMar>
            <w:vAlign w:val="bottom"/>
            <w:hideMark/>
          </w:tcPr>
          <w:p w14:paraId="2594B75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54AA51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BACB322" w14:textId="77777777" w:rsidR="00000000" w:rsidRDefault="0053651E">
            <w:pPr>
              <w:rPr>
                <w:rFonts w:eastAsia="Times New Roman"/>
                <w:sz w:val="20"/>
                <w:szCs w:val="20"/>
              </w:rPr>
            </w:pPr>
            <w:r>
              <w:rPr>
                <w:rFonts w:eastAsia="Times New Roman"/>
                <w:sz w:val="20"/>
                <w:szCs w:val="20"/>
              </w:rPr>
              <w:t> </w:t>
            </w:r>
          </w:p>
        </w:tc>
        <w:tc>
          <w:tcPr>
            <w:tcW w:w="350" w:type="pct"/>
            <w:gridSpan w:val="3"/>
            <w:tcBorders>
              <w:bottom w:val="single" w:sz="6" w:space="0" w:color="000000"/>
            </w:tcBorders>
            <w:shd w:val="clear" w:color="auto" w:fill="FFFFFF"/>
            <w:vAlign w:val="bottom"/>
            <w:hideMark/>
          </w:tcPr>
          <w:p w14:paraId="1B60ED48"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FFFFFF"/>
            <w:tcMar>
              <w:top w:w="0" w:type="dxa"/>
              <w:left w:w="0" w:type="dxa"/>
              <w:bottom w:w="15" w:type="dxa"/>
              <w:right w:w="0" w:type="dxa"/>
            </w:tcMar>
            <w:vAlign w:val="bottom"/>
            <w:hideMark/>
          </w:tcPr>
          <w:p w14:paraId="707B93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C49CB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4BD9178" w14:textId="77777777" w:rsidR="00000000" w:rsidRDefault="0053651E">
            <w:pPr>
              <w:rPr>
                <w:rFonts w:eastAsia="Times New Roman"/>
                <w:sz w:val="20"/>
                <w:szCs w:val="20"/>
              </w:rPr>
            </w:pPr>
            <w:r>
              <w:rPr>
                <w:rFonts w:eastAsia="Times New Roman"/>
                <w:sz w:val="20"/>
                <w:szCs w:val="20"/>
              </w:rPr>
              <w:t> </w:t>
            </w:r>
          </w:p>
        </w:tc>
        <w:tc>
          <w:tcPr>
            <w:tcW w:w="350" w:type="pct"/>
            <w:gridSpan w:val="3"/>
            <w:tcBorders>
              <w:bottom w:val="single" w:sz="6" w:space="0" w:color="000000"/>
            </w:tcBorders>
            <w:shd w:val="clear" w:color="auto" w:fill="FFFFFF"/>
            <w:vAlign w:val="bottom"/>
            <w:hideMark/>
          </w:tcPr>
          <w:p w14:paraId="378272C6"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FFFFFF"/>
            <w:tcMar>
              <w:top w:w="0" w:type="dxa"/>
              <w:left w:w="0" w:type="dxa"/>
              <w:bottom w:w="15" w:type="dxa"/>
              <w:right w:w="0" w:type="dxa"/>
            </w:tcMar>
            <w:vAlign w:val="bottom"/>
            <w:hideMark/>
          </w:tcPr>
          <w:p w14:paraId="2279E9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ED75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D00563"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86BA032" w14:textId="77777777" w:rsidR="00000000" w:rsidRDefault="0053651E">
            <w:pPr>
              <w:jc w:val="center"/>
              <w:rPr>
                <w:rFonts w:eastAsia="Times New Roman"/>
                <w:sz w:val="20"/>
                <w:szCs w:val="20"/>
              </w:rPr>
            </w:pPr>
            <w:r>
              <w:rPr>
                <w:rStyle w:val="a6"/>
                <w:rFonts w:eastAsia="Times New Roman"/>
                <w:i w:val="0"/>
                <w:iCs w:val="0"/>
                <w:sz w:val="20"/>
                <w:szCs w:val="20"/>
              </w:rPr>
              <w:t>n/a</w:t>
            </w:r>
          </w:p>
        </w:tc>
        <w:tc>
          <w:tcPr>
            <w:tcW w:w="50" w:type="pct"/>
            <w:shd w:val="clear" w:color="auto" w:fill="FFFFFF"/>
            <w:tcMar>
              <w:top w:w="0" w:type="dxa"/>
              <w:left w:w="0" w:type="dxa"/>
              <w:bottom w:w="15" w:type="dxa"/>
              <w:right w:w="0" w:type="dxa"/>
            </w:tcMar>
            <w:vAlign w:val="bottom"/>
            <w:hideMark/>
          </w:tcPr>
          <w:p w14:paraId="53ED9A52" w14:textId="77777777" w:rsidR="00000000" w:rsidRDefault="0053651E">
            <w:pPr>
              <w:rPr>
                <w:rFonts w:eastAsia="Times New Roman"/>
                <w:sz w:val="20"/>
                <w:szCs w:val="20"/>
              </w:rPr>
            </w:pPr>
            <w:r>
              <w:rPr>
                <w:rFonts w:eastAsia="Times New Roman"/>
                <w:sz w:val="20"/>
                <w:szCs w:val="20"/>
              </w:rPr>
              <w:t> </w:t>
            </w:r>
          </w:p>
        </w:tc>
      </w:tr>
      <w:tr w:rsidR="00000000" w14:paraId="1E95ADC0" w14:textId="77777777">
        <w:trPr>
          <w:tblCellSpacing w:w="0" w:type="dxa"/>
        </w:trPr>
        <w:tc>
          <w:tcPr>
            <w:tcW w:w="1350" w:type="pct"/>
            <w:shd w:val="clear" w:color="auto" w:fill="CCEEFF"/>
            <w:vAlign w:val="bottom"/>
            <w:hideMark/>
          </w:tcPr>
          <w:p w14:paraId="649BD4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32426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8294DB8"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53975473" w14:textId="77777777" w:rsidR="00000000" w:rsidRDefault="0053651E">
            <w:pPr>
              <w:jc w:val="right"/>
              <w:rPr>
                <w:rFonts w:eastAsia="Times New Roman"/>
                <w:sz w:val="20"/>
                <w:szCs w:val="20"/>
              </w:rPr>
            </w:pPr>
            <w:r>
              <w:rPr>
                <w:rFonts w:eastAsia="Times New Roman"/>
                <w:b/>
                <w:bCs/>
                <w:sz w:val="20"/>
                <w:szCs w:val="20"/>
              </w:rPr>
              <w:t>484.0</w:t>
            </w:r>
          </w:p>
        </w:tc>
        <w:tc>
          <w:tcPr>
            <w:tcW w:w="50" w:type="pct"/>
            <w:shd w:val="clear" w:color="auto" w:fill="CCEEFF"/>
            <w:tcMar>
              <w:top w:w="0" w:type="dxa"/>
              <w:left w:w="0" w:type="dxa"/>
              <w:bottom w:w="45" w:type="dxa"/>
              <w:right w:w="0" w:type="dxa"/>
            </w:tcMar>
            <w:vAlign w:val="bottom"/>
            <w:hideMark/>
          </w:tcPr>
          <w:p w14:paraId="6F8F99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3736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C3FE175"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9B91CA5" w14:textId="77777777" w:rsidR="00000000" w:rsidRDefault="0053651E">
            <w:pPr>
              <w:jc w:val="right"/>
              <w:rPr>
                <w:rFonts w:eastAsia="Times New Roman"/>
                <w:sz w:val="20"/>
                <w:szCs w:val="20"/>
              </w:rPr>
            </w:pPr>
            <w:r>
              <w:rPr>
                <w:rFonts w:eastAsia="Times New Roman"/>
                <w:b/>
                <w:bCs/>
                <w:sz w:val="20"/>
                <w:szCs w:val="20"/>
              </w:rPr>
              <w:t>492.4</w:t>
            </w:r>
          </w:p>
        </w:tc>
        <w:tc>
          <w:tcPr>
            <w:tcW w:w="50" w:type="pct"/>
            <w:shd w:val="clear" w:color="auto" w:fill="CCEEFF"/>
            <w:tcMar>
              <w:top w:w="0" w:type="dxa"/>
              <w:left w:w="0" w:type="dxa"/>
              <w:bottom w:w="45" w:type="dxa"/>
              <w:right w:w="0" w:type="dxa"/>
            </w:tcMar>
            <w:vAlign w:val="bottom"/>
            <w:hideMark/>
          </w:tcPr>
          <w:p w14:paraId="5D8CC9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133CE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6145104" w14:textId="77777777" w:rsidR="00000000" w:rsidRDefault="0053651E">
            <w:pPr>
              <w:rPr>
                <w:rFonts w:eastAsia="Times New Roman"/>
                <w:sz w:val="20"/>
                <w:szCs w:val="20"/>
              </w:rPr>
            </w:pPr>
            <w:r>
              <w:rPr>
                <w:rFonts w:eastAsia="Times New Roman"/>
                <w:b/>
                <w:bCs/>
                <w:sz w:val="20"/>
                <w:szCs w:val="20"/>
              </w:rPr>
              <w:t> </w:t>
            </w:r>
          </w:p>
        </w:tc>
        <w:tc>
          <w:tcPr>
            <w:tcW w:w="350" w:type="pct"/>
            <w:gridSpan w:val="3"/>
            <w:tcBorders>
              <w:bottom w:val="double" w:sz="6" w:space="0" w:color="000000"/>
            </w:tcBorders>
            <w:shd w:val="clear" w:color="auto" w:fill="CCEEFF"/>
            <w:vAlign w:val="bottom"/>
            <w:hideMark/>
          </w:tcPr>
          <w:p w14:paraId="34750442" w14:textId="77777777" w:rsidR="00000000" w:rsidRDefault="0053651E">
            <w:pPr>
              <w:jc w:val="center"/>
              <w:rPr>
                <w:rFonts w:eastAsia="Times New Roman"/>
                <w:sz w:val="20"/>
                <w:szCs w:val="20"/>
              </w:rPr>
            </w:pPr>
            <w:r>
              <w:rPr>
                <w:rStyle w:val="a6"/>
                <w:rFonts w:eastAsia="Times New Roman"/>
                <w:b/>
                <w:bCs/>
                <w:i w:val="0"/>
                <w:iCs w:val="0"/>
                <w:sz w:val="20"/>
                <w:szCs w:val="20"/>
              </w:rPr>
              <w:t>4.97%*</w:t>
            </w:r>
          </w:p>
        </w:tc>
        <w:tc>
          <w:tcPr>
            <w:tcW w:w="50" w:type="pct"/>
            <w:shd w:val="clear" w:color="auto" w:fill="CCEEFF"/>
            <w:tcMar>
              <w:top w:w="0" w:type="dxa"/>
              <w:left w:w="0" w:type="dxa"/>
              <w:bottom w:w="45" w:type="dxa"/>
              <w:right w:w="0" w:type="dxa"/>
            </w:tcMar>
            <w:vAlign w:val="bottom"/>
            <w:hideMark/>
          </w:tcPr>
          <w:p w14:paraId="083130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2B924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C979665" w14:textId="77777777" w:rsidR="00000000" w:rsidRDefault="0053651E">
            <w:pPr>
              <w:rPr>
                <w:rFonts w:eastAsia="Times New Roman"/>
                <w:sz w:val="20"/>
                <w:szCs w:val="20"/>
              </w:rPr>
            </w:pPr>
            <w:r>
              <w:rPr>
                <w:rFonts w:eastAsia="Times New Roman"/>
                <w:b/>
                <w:bCs/>
                <w:sz w:val="20"/>
                <w:szCs w:val="20"/>
              </w:rPr>
              <w:t> </w:t>
            </w:r>
          </w:p>
        </w:tc>
        <w:tc>
          <w:tcPr>
            <w:tcW w:w="350" w:type="pct"/>
            <w:gridSpan w:val="3"/>
            <w:tcBorders>
              <w:bottom w:val="double" w:sz="6" w:space="0" w:color="000000"/>
            </w:tcBorders>
            <w:shd w:val="clear" w:color="auto" w:fill="CCEEFF"/>
            <w:vAlign w:val="bottom"/>
            <w:hideMark/>
          </w:tcPr>
          <w:p w14:paraId="1E716A0C" w14:textId="77777777" w:rsidR="00000000" w:rsidRDefault="0053651E">
            <w:pPr>
              <w:jc w:val="center"/>
              <w:rPr>
                <w:rFonts w:eastAsia="Times New Roman"/>
                <w:sz w:val="20"/>
                <w:szCs w:val="20"/>
              </w:rPr>
            </w:pPr>
            <w:r>
              <w:rPr>
                <w:rStyle w:val="a6"/>
                <w:rFonts w:eastAsia="Times New Roman"/>
                <w:b/>
                <w:bCs/>
                <w:i w:val="0"/>
                <w:iCs w:val="0"/>
                <w:sz w:val="20"/>
                <w:szCs w:val="20"/>
              </w:rPr>
              <w:t>4.89%*</w:t>
            </w:r>
          </w:p>
        </w:tc>
        <w:tc>
          <w:tcPr>
            <w:tcW w:w="50" w:type="pct"/>
            <w:shd w:val="clear" w:color="auto" w:fill="CCEEFF"/>
            <w:tcMar>
              <w:top w:w="0" w:type="dxa"/>
              <w:left w:w="0" w:type="dxa"/>
              <w:bottom w:w="45" w:type="dxa"/>
              <w:right w:w="0" w:type="dxa"/>
            </w:tcMar>
            <w:vAlign w:val="bottom"/>
            <w:hideMark/>
          </w:tcPr>
          <w:p w14:paraId="7FFE21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5929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A1F3BA" w14:textId="77777777" w:rsidR="00000000" w:rsidRDefault="0053651E">
            <w:pPr>
              <w:rPr>
                <w:rFonts w:eastAsia="Times New Roman"/>
                <w:sz w:val="20"/>
                <w:szCs w:val="20"/>
              </w:rPr>
            </w:pPr>
            <w:r>
              <w:rPr>
                <w:rFonts w:eastAsia="Times New Roman"/>
                <w:b/>
                <w:bCs/>
                <w:sz w:val="20"/>
                <w:szCs w:val="20"/>
              </w:rPr>
              <w:t> </w:t>
            </w:r>
          </w:p>
        </w:tc>
        <w:tc>
          <w:tcPr>
            <w:tcW w:w="800" w:type="pct"/>
            <w:shd w:val="clear" w:color="auto" w:fill="CCEEFF"/>
            <w:vAlign w:val="bottom"/>
            <w:hideMark/>
          </w:tcPr>
          <w:p w14:paraId="460FDA6C" w14:textId="77777777" w:rsidR="00000000" w:rsidRDefault="0053651E">
            <w:pPr>
              <w:jc w:val="center"/>
              <w:rPr>
                <w:rFonts w:eastAsia="Times New Roman"/>
                <w:sz w:val="20"/>
                <w:szCs w:val="20"/>
              </w:rPr>
            </w:pPr>
            <w:r>
              <w:rPr>
                <w:rStyle w:val="a6"/>
                <w:rFonts w:eastAsia="Times New Roman"/>
                <w:b/>
                <w:bCs/>
                <w:i w:val="0"/>
                <w:iCs w:val="0"/>
                <w:sz w:val="20"/>
                <w:szCs w:val="20"/>
              </w:rPr>
              <w:t> </w:t>
            </w:r>
          </w:p>
        </w:tc>
        <w:tc>
          <w:tcPr>
            <w:tcW w:w="50" w:type="pct"/>
            <w:shd w:val="clear" w:color="auto" w:fill="CCEEFF"/>
            <w:tcMar>
              <w:top w:w="0" w:type="dxa"/>
              <w:left w:w="0" w:type="dxa"/>
              <w:bottom w:w="45" w:type="dxa"/>
              <w:right w:w="0" w:type="dxa"/>
            </w:tcMar>
            <w:vAlign w:val="bottom"/>
            <w:hideMark/>
          </w:tcPr>
          <w:p w14:paraId="693B2F62" w14:textId="77777777" w:rsidR="00000000" w:rsidRDefault="0053651E">
            <w:pPr>
              <w:rPr>
                <w:rFonts w:eastAsia="Times New Roman"/>
                <w:sz w:val="20"/>
                <w:szCs w:val="20"/>
              </w:rPr>
            </w:pPr>
            <w:r>
              <w:rPr>
                <w:rFonts w:eastAsia="Times New Roman"/>
                <w:b/>
                <w:bCs/>
                <w:sz w:val="20"/>
                <w:szCs w:val="20"/>
              </w:rPr>
              <w:t> </w:t>
            </w:r>
          </w:p>
        </w:tc>
      </w:tr>
    </w:tbl>
    <w:p w14:paraId="6F376ED9" w14:textId="77777777" w:rsidR="00000000" w:rsidRDefault="0053651E">
      <w:pPr>
        <w:pStyle w:val="a3"/>
        <w:spacing w:before="0" w:beforeAutospacing="0" w:after="0" w:afterAutospacing="0"/>
        <w:jc w:val="both"/>
        <w:rPr>
          <w:sz w:val="20"/>
          <w:szCs w:val="20"/>
        </w:rPr>
      </w:pPr>
      <w:r>
        <w:rPr>
          <w:sz w:val="20"/>
          <w:szCs w:val="20"/>
        </w:rPr>
        <w:t>* Weighted-average interest rate</w:t>
      </w:r>
    </w:p>
    <w:p w14:paraId="3CA45B57" w14:textId="77777777" w:rsidR="00000000" w:rsidRDefault="0053651E">
      <w:pPr>
        <w:pStyle w:val="a3"/>
        <w:spacing w:before="0" w:beforeAutospacing="0" w:after="0" w:afterAutospacing="0"/>
        <w:rPr>
          <w:sz w:val="20"/>
          <w:szCs w:val="20"/>
        </w:rPr>
      </w:pPr>
      <w:r>
        <w:rPr>
          <w:sz w:val="20"/>
          <w:szCs w:val="20"/>
        </w:rPr>
        <w:t> </w:t>
      </w:r>
    </w:p>
    <w:p w14:paraId="0850F0A6"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2019,</w:t>
      </w:r>
      <w:r>
        <w:rPr>
          <w:sz w:val="20"/>
          <w:szCs w:val="20"/>
        </w:rPr>
        <w:t xml:space="preserve"> the Company repaid $6.6 million of mortgage debt that encumbered</w:t>
      </w:r>
      <w:r>
        <w:rPr>
          <w:sz w:val="20"/>
          <w:szCs w:val="20"/>
        </w:rPr>
        <w:t xml:space="preserve"> </w:t>
      </w:r>
      <w:r>
        <w:rPr>
          <w:rStyle w:val="a6"/>
          <w:i w:val="0"/>
          <w:iCs w:val="0"/>
          <w:sz w:val="20"/>
          <w:szCs w:val="20"/>
        </w:rPr>
        <w:t>three</w:t>
      </w:r>
      <w:r>
        <w:rPr>
          <w:sz w:val="20"/>
          <w:szCs w:val="20"/>
        </w:rPr>
        <w:t xml:space="preserve"> operating properties. Additionally, during</w:t>
      </w:r>
      <w:r>
        <w:rPr>
          <w:sz w:val="20"/>
          <w:szCs w:val="20"/>
        </w:rPr>
        <w:t xml:space="preserve"> </w:t>
      </w:r>
      <w:r>
        <w:rPr>
          <w:rStyle w:val="a6"/>
          <w:i w:val="0"/>
          <w:iCs w:val="0"/>
          <w:sz w:val="20"/>
          <w:szCs w:val="20"/>
        </w:rPr>
        <w:t>2019,</w:t>
      </w:r>
      <w:r>
        <w:rPr>
          <w:sz w:val="20"/>
          <w:szCs w:val="20"/>
        </w:rPr>
        <w:t xml:space="preserve"> </w:t>
      </w:r>
      <w:r>
        <w:rPr>
          <w:sz w:val="20"/>
          <w:szCs w:val="20"/>
        </w:rPr>
        <w:t xml:space="preserve">the Company disposed of an encumbered property through a deed in lieu transaction. This transaction resulted in a net decrease in mortgage debt of $7.0 million (including a fair market value adjustment of $0.1 million) and a gain on forgiveness of debt of </w:t>
      </w:r>
      <w:r>
        <w:rPr>
          <w:sz w:val="20"/>
          <w:szCs w:val="20"/>
        </w:rPr>
        <w:t>$2.8 million, which is included in Other income, net in the Company’s Consolidated Statements of Income.</w:t>
      </w:r>
    </w:p>
    <w:p w14:paraId="242CD431" w14:textId="77777777" w:rsidR="00000000" w:rsidRDefault="0053651E">
      <w:pPr>
        <w:pStyle w:val="a3"/>
        <w:spacing w:before="0" w:beforeAutospacing="0" w:after="0" w:afterAutospacing="0"/>
        <w:ind w:left="360"/>
        <w:jc w:val="both"/>
        <w:rPr>
          <w:sz w:val="20"/>
          <w:szCs w:val="20"/>
        </w:rPr>
      </w:pPr>
      <w:r>
        <w:rPr>
          <w:sz w:val="20"/>
          <w:szCs w:val="20"/>
        </w:rPr>
        <w:t> </w:t>
      </w:r>
    </w:p>
    <w:p w14:paraId="66D52501"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2018,</w:t>
      </w:r>
      <w:r>
        <w:rPr>
          <w:sz w:val="20"/>
          <w:szCs w:val="20"/>
        </w:rPr>
        <w:t xml:space="preserve"> the Company (i) deconsolidated $206.0 million of individual non-recourse mortgage debt relating to an operating property for which the C</w:t>
      </w:r>
      <w:r>
        <w:rPr>
          <w:sz w:val="20"/>
          <w:szCs w:val="20"/>
        </w:rPr>
        <w:t>ompany</w:t>
      </w:r>
      <w:r>
        <w:rPr>
          <w:sz w:val="20"/>
          <w:szCs w:val="20"/>
        </w:rPr>
        <w:t xml:space="preserve"> </w:t>
      </w:r>
      <w:r>
        <w:rPr>
          <w:rStyle w:val="a6"/>
          <w:i w:val="0"/>
          <w:iCs w:val="0"/>
          <w:sz w:val="20"/>
          <w:szCs w:val="20"/>
        </w:rPr>
        <w:t>no</w:t>
      </w:r>
      <w:r>
        <w:rPr>
          <w:sz w:val="20"/>
          <w:szCs w:val="20"/>
        </w:rPr>
        <w:t xml:space="preserve"> longer holds a controlling interest and (ii) repaid $205.6 million of maturing mortgage debt (including fair market value adjustments of $0.9 million) that encumbered six operating properties</w:t>
      </w:r>
    </w:p>
    <w:p w14:paraId="19F982F7" w14:textId="77777777" w:rsidR="00000000" w:rsidRDefault="0053651E">
      <w:pPr>
        <w:pStyle w:val="a3"/>
        <w:spacing w:before="0" w:beforeAutospacing="0" w:after="0" w:afterAutospacing="0"/>
        <w:ind w:left="360"/>
        <w:jc w:val="both"/>
        <w:rPr>
          <w:sz w:val="20"/>
          <w:szCs w:val="20"/>
        </w:rPr>
      </w:pPr>
      <w:r>
        <w:rPr>
          <w:sz w:val="20"/>
          <w:szCs w:val="20"/>
        </w:rPr>
        <w:t> </w:t>
      </w:r>
    </w:p>
    <w:p w14:paraId="1421EAEA"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2018,</w:t>
      </w:r>
      <w:r>
        <w:rPr>
          <w:sz w:val="20"/>
          <w:szCs w:val="20"/>
        </w:rPr>
        <w:t xml:space="preserve"> the Company disposed of an encumbered p</w:t>
      </w:r>
      <w:r>
        <w:rPr>
          <w:sz w:val="20"/>
          <w:szCs w:val="20"/>
        </w:rPr>
        <w:t>roperty through foreclosure. The transaction resulted in a net decrease in mortgage debt of $12.4 million. In addition, the Company recognized a gain on forgiveness of debt of $4.3 million and relief of accrued interest of $3.4 million, both of which are i</w:t>
      </w:r>
      <w:r>
        <w:rPr>
          <w:sz w:val="20"/>
          <w:szCs w:val="20"/>
        </w:rPr>
        <w:t>ncluded in Other income, net on the Company’s Consolidated Statements of Income.</w:t>
      </w:r>
    </w:p>
    <w:p w14:paraId="743DDAC9" w14:textId="77777777" w:rsidR="00000000" w:rsidRDefault="0053651E">
      <w:pPr>
        <w:pStyle w:val="a3"/>
        <w:spacing w:before="0" w:beforeAutospacing="0" w:after="0" w:afterAutospacing="0"/>
        <w:ind w:left="360"/>
        <w:jc w:val="both"/>
        <w:rPr>
          <w:sz w:val="20"/>
          <w:szCs w:val="20"/>
        </w:rPr>
      </w:pPr>
      <w:r>
        <w:rPr>
          <w:sz w:val="20"/>
          <w:szCs w:val="20"/>
        </w:rPr>
        <w:t> </w:t>
      </w:r>
    </w:p>
    <w:p w14:paraId="03FF51AD" w14:textId="77777777" w:rsidR="00000000" w:rsidRDefault="0053651E">
      <w:pPr>
        <w:pStyle w:val="a3"/>
        <w:spacing w:before="0" w:beforeAutospacing="0" w:after="0" w:afterAutospacing="0"/>
        <w:ind w:left="360"/>
        <w:jc w:val="both"/>
        <w:rPr>
          <w:sz w:val="20"/>
          <w:szCs w:val="20"/>
        </w:rPr>
      </w:pPr>
      <w:r>
        <w:rPr>
          <w:sz w:val="20"/>
          <w:szCs w:val="20"/>
        </w:rPr>
        <w:t>The scheduled principal payments (excluding any extension options available to the Company) of all mortgages and construction loans payable, excluding unamortized fair value</w:t>
      </w:r>
      <w:r>
        <w:rPr>
          <w:sz w:val="20"/>
          <w:szCs w:val="20"/>
        </w:rPr>
        <w:t xml:space="preserve"> debt adjustments of $7.9 million and unamortized debt issuance costs of $1.5 million, as of</w:t>
      </w:r>
      <w:r>
        <w:rPr>
          <w:sz w:val="20"/>
          <w:szCs w:val="20"/>
        </w:rPr>
        <w:t xml:space="preserve"> </w:t>
      </w:r>
      <w:r>
        <w:rPr>
          <w:rStyle w:val="a6"/>
          <w:i w:val="0"/>
          <w:iCs w:val="0"/>
          <w:sz w:val="20"/>
          <w:szCs w:val="20"/>
        </w:rPr>
        <w:t xml:space="preserve">December 31, 2019, </w:t>
      </w:r>
      <w:r>
        <w:rPr>
          <w:sz w:val="20"/>
          <w:szCs w:val="20"/>
        </w:rPr>
        <w:t>were as follows (in millions):</w:t>
      </w:r>
    </w:p>
    <w:p w14:paraId="74ED08AD"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347"/>
        <w:gridCol w:w="59"/>
        <w:gridCol w:w="100"/>
        <w:gridCol w:w="532"/>
        <w:gridCol w:w="59"/>
        <w:gridCol w:w="59"/>
        <w:gridCol w:w="100"/>
        <w:gridCol w:w="532"/>
        <w:gridCol w:w="59"/>
        <w:gridCol w:w="59"/>
        <w:gridCol w:w="100"/>
        <w:gridCol w:w="532"/>
        <w:gridCol w:w="59"/>
        <w:gridCol w:w="59"/>
        <w:gridCol w:w="100"/>
        <w:gridCol w:w="532"/>
        <w:gridCol w:w="59"/>
        <w:gridCol w:w="59"/>
        <w:gridCol w:w="100"/>
        <w:gridCol w:w="532"/>
        <w:gridCol w:w="59"/>
        <w:gridCol w:w="59"/>
        <w:gridCol w:w="116"/>
        <w:gridCol w:w="806"/>
        <w:gridCol w:w="60"/>
        <w:gridCol w:w="60"/>
        <w:gridCol w:w="100"/>
        <w:gridCol w:w="533"/>
        <w:gridCol w:w="60"/>
      </w:tblGrid>
      <w:tr w:rsidR="00000000" w14:paraId="2E791A43" w14:textId="77777777">
        <w:trPr>
          <w:tblCellSpacing w:w="0" w:type="dxa"/>
        </w:trPr>
        <w:tc>
          <w:tcPr>
            <w:tcW w:w="1500" w:type="pct"/>
            <w:vAlign w:val="bottom"/>
            <w:hideMark/>
          </w:tcPr>
          <w:p w14:paraId="4472C2D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1A9A4D3"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424E9A6" w14:textId="77777777" w:rsidR="00000000" w:rsidRDefault="0053651E">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77246B9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B40161C"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49D080F" w14:textId="77777777" w:rsidR="00000000" w:rsidRDefault="0053651E">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14:paraId="474B2A2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99BDF13"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BC9A063" w14:textId="77777777" w:rsidR="00000000" w:rsidRDefault="0053651E">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14:paraId="611AD08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CBFA237"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EBEEE86" w14:textId="77777777" w:rsidR="00000000" w:rsidRDefault="0053651E">
            <w:pPr>
              <w:pStyle w:val="a3"/>
              <w:spacing w:before="0" w:beforeAutospacing="0" w:after="0" w:afterAutospacing="0"/>
              <w:jc w:val="center"/>
              <w:rPr>
                <w:sz w:val="20"/>
                <w:szCs w:val="20"/>
              </w:rPr>
            </w:pPr>
            <w:r>
              <w:rPr>
                <w:b/>
                <w:bCs/>
                <w:sz w:val="20"/>
                <w:szCs w:val="20"/>
              </w:rPr>
              <w:t>2023</w:t>
            </w:r>
          </w:p>
        </w:tc>
        <w:tc>
          <w:tcPr>
            <w:tcW w:w="50" w:type="pct"/>
            <w:tcMar>
              <w:top w:w="0" w:type="dxa"/>
              <w:left w:w="0" w:type="dxa"/>
              <w:bottom w:w="15" w:type="dxa"/>
              <w:right w:w="0" w:type="dxa"/>
            </w:tcMar>
            <w:vAlign w:val="bottom"/>
            <w:hideMark/>
          </w:tcPr>
          <w:p w14:paraId="3DD15CA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3DC419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3CC3BC7" w14:textId="77777777" w:rsidR="00000000" w:rsidRDefault="0053651E">
            <w:pPr>
              <w:pStyle w:val="a3"/>
              <w:spacing w:before="0" w:beforeAutospacing="0" w:after="0" w:afterAutospacing="0"/>
              <w:jc w:val="center"/>
              <w:rPr>
                <w:sz w:val="20"/>
                <w:szCs w:val="20"/>
              </w:rPr>
            </w:pPr>
            <w:r>
              <w:rPr>
                <w:b/>
                <w:bCs/>
                <w:sz w:val="20"/>
                <w:szCs w:val="20"/>
              </w:rPr>
              <w:t>2024</w:t>
            </w:r>
          </w:p>
        </w:tc>
        <w:tc>
          <w:tcPr>
            <w:tcW w:w="50" w:type="pct"/>
            <w:tcMar>
              <w:top w:w="0" w:type="dxa"/>
              <w:left w:w="0" w:type="dxa"/>
              <w:bottom w:w="15" w:type="dxa"/>
              <w:right w:w="0" w:type="dxa"/>
            </w:tcMar>
            <w:vAlign w:val="bottom"/>
            <w:hideMark/>
          </w:tcPr>
          <w:p w14:paraId="5D1E34E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AE08C8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37C3EF5" w14:textId="77777777" w:rsidR="00000000" w:rsidRDefault="0053651E">
            <w:pPr>
              <w:pStyle w:val="a3"/>
              <w:spacing w:before="0" w:beforeAutospacing="0" w:after="0" w:afterAutospacing="0"/>
              <w:jc w:val="center"/>
              <w:rPr>
                <w:sz w:val="20"/>
                <w:szCs w:val="20"/>
              </w:rPr>
            </w:pPr>
            <w:r>
              <w:rPr>
                <w:b/>
                <w:bCs/>
                <w:sz w:val="20"/>
                <w:szCs w:val="20"/>
              </w:rPr>
              <w:t>Thereafter</w:t>
            </w:r>
          </w:p>
        </w:tc>
        <w:tc>
          <w:tcPr>
            <w:tcW w:w="50" w:type="pct"/>
            <w:tcMar>
              <w:top w:w="0" w:type="dxa"/>
              <w:left w:w="0" w:type="dxa"/>
              <w:bottom w:w="15" w:type="dxa"/>
              <w:right w:w="0" w:type="dxa"/>
            </w:tcMar>
            <w:vAlign w:val="bottom"/>
            <w:hideMark/>
          </w:tcPr>
          <w:p w14:paraId="1088191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0376A43"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8F45D2F" w14:textId="77777777" w:rsidR="00000000" w:rsidRDefault="0053651E">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14:paraId="51A7D3E7" w14:textId="77777777" w:rsidR="00000000" w:rsidRDefault="0053651E">
            <w:pPr>
              <w:rPr>
                <w:rFonts w:eastAsia="Times New Roman"/>
                <w:sz w:val="20"/>
                <w:szCs w:val="20"/>
              </w:rPr>
            </w:pPr>
            <w:r>
              <w:rPr>
                <w:rFonts w:eastAsia="Times New Roman"/>
                <w:sz w:val="20"/>
                <w:szCs w:val="20"/>
              </w:rPr>
              <w:t> </w:t>
            </w:r>
          </w:p>
        </w:tc>
      </w:tr>
      <w:tr w:rsidR="0053651E" w14:paraId="33410B7E" w14:textId="77777777">
        <w:trPr>
          <w:tblCellSpacing w:w="0" w:type="dxa"/>
        </w:trPr>
        <w:tc>
          <w:tcPr>
            <w:tcW w:w="1500" w:type="pct"/>
            <w:shd w:val="clear" w:color="auto" w:fill="CCEEFF"/>
            <w:vAlign w:val="bottom"/>
            <w:hideMark/>
          </w:tcPr>
          <w:p w14:paraId="76F151E8" w14:textId="77777777" w:rsidR="00000000" w:rsidRDefault="0053651E">
            <w:pPr>
              <w:pStyle w:val="a3"/>
              <w:spacing w:before="0" w:beforeAutospacing="0" w:after="0" w:afterAutospacing="0"/>
              <w:rPr>
                <w:sz w:val="20"/>
                <w:szCs w:val="20"/>
              </w:rPr>
            </w:pPr>
            <w:r>
              <w:rPr>
                <w:sz w:val="20"/>
                <w:szCs w:val="20"/>
              </w:rPr>
              <w:t>Principal payments</w:t>
            </w:r>
          </w:p>
        </w:tc>
        <w:tc>
          <w:tcPr>
            <w:tcW w:w="50" w:type="pct"/>
            <w:tcBorders>
              <w:bottom w:val="nil"/>
            </w:tcBorders>
            <w:shd w:val="clear" w:color="auto" w:fill="CCEEFF"/>
            <w:vAlign w:val="bottom"/>
            <w:hideMark/>
          </w:tcPr>
          <w:p w14:paraId="22E01BC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A95994D"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2826DED0" w14:textId="77777777" w:rsidR="00000000" w:rsidRDefault="0053651E">
            <w:pPr>
              <w:jc w:val="right"/>
              <w:rPr>
                <w:rFonts w:eastAsia="Times New Roman"/>
                <w:sz w:val="20"/>
                <w:szCs w:val="20"/>
              </w:rPr>
            </w:pPr>
            <w:r>
              <w:rPr>
                <w:rFonts w:eastAsia="Times New Roman"/>
                <w:sz w:val="20"/>
                <w:szCs w:val="20"/>
              </w:rPr>
              <w:t>169.3</w:t>
            </w:r>
          </w:p>
        </w:tc>
        <w:tc>
          <w:tcPr>
            <w:tcW w:w="50" w:type="pct"/>
            <w:tcBorders>
              <w:bottom w:val="nil"/>
            </w:tcBorders>
            <w:shd w:val="clear" w:color="auto" w:fill="CCEEFF"/>
            <w:vAlign w:val="bottom"/>
            <w:hideMark/>
          </w:tcPr>
          <w:p w14:paraId="763EA21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DDF02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C51E173"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1C42F336" w14:textId="77777777" w:rsidR="00000000" w:rsidRDefault="0053651E">
            <w:pPr>
              <w:jc w:val="right"/>
              <w:rPr>
                <w:rFonts w:eastAsia="Times New Roman"/>
                <w:sz w:val="20"/>
                <w:szCs w:val="20"/>
              </w:rPr>
            </w:pPr>
            <w:r>
              <w:rPr>
                <w:rFonts w:eastAsia="Times New Roman"/>
                <w:sz w:val="20"/>
                <w:szCs w:val="20"/>
              </w:rPr>
              <w:t>144.8</w:t>
            </w:r>
          </w:p>
        </w:tc>
        <w:tc>
          <w:tcPr>
            <w:tcW w:w="50" w:type="pct"/>
            <w:tcBorders>
              <w:bottom w:val="nil"/>
            </w:tcBorders>
            <w:shd w:val="clear" w:color="auto" w:fill="CCEEFF"/>
            <w:vAlign w:val="bottom"/>
            <w:hideMark/>
          </w:tcPr>
          <w:p w14:paraId="4F7930F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7583F1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F79E4AD"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524669AF" w14:textId="77777777" w:rsidR="00000000" w:rsidRDefault="0053651E">
            <w:pPr>
              <w:jc w:val="right"/>
              <w:rPr>
                <w:rFonts w:eastAsia="Times New Roman"/>
                <w:sz w:val="20"/>
                <w:szCs w:val="20"/>
              </w:rPr>
            </w:pPr>
            <w:r>
              <w:rPr>
                <w:rFonts w:eastAsia="Times New Roman"/>
                <w:sz w:val="20"/>
                <w:szCs w:val="20"/>
              </w:rPr>
              <w:t>144.5</w:t>
            </w:r>
          </w:p>
        </w:tc>
        <w:tc>
          <w:tcPr>
            <w:tcW w:w="50" w:type="pct"/>
            <w:tcBorders>
              <w:bottom w:val="nil"/>
            </w:tcBorders>
            <w:shd w:val="clear" w:color="auto" w:fill="CCEEFF"/>
            <w:vAlign w:val="bottom"/>
            <w:hideMark/>
          </w:tcPr>
          <w:p w14:paraId="7251383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0E56C9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C82DC80"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735214EE" w14:textId="77777777" w:rsidR="00000000" w:rsidRDefault="0053651E">
            <w:pPr>
              <w:jc w:val="right"/>
              <w:rPr>
                <w:rFonts w:eastAsia="Times New Roman"/>
                <w:sz w:val="20"/>
                <w:szCs w:val="20"/>
              </w:rPr>
            </w:pPr>
            <w:r>
              <w:rPr>
                <w:rFonts w:eastAsia="Times New Roman"/>
                <w:sz w:val="20"/>
                <w:szCs w:val="20"/>
              </w:rPr>
              <w:t>15.1</w:t>
            </w:r>
          </w:p>
        </w:tc>
        <w:tc>
          <w:tcPr>
            <w:tcW w:w="50" w:type="pct"/>
            <w:tcBorders>
              <w:bottom w:val="nil"/>
            </w:tcBorders>
            <w:shd w:val="clear" w:color="auto" w:fill="CCEEFF"/>
            <w:vAlign w:val="bottom"/>
            <w:hideMark/>
          </w:tcPr>
          <w:p w14:paraId="2EF9E72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4264E7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9BF529"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5618CA89" w14:textId="77777777" w:rsidR="00000000" w:rsidRDefault="0053651E">
            <w:pPr>
              <w:jc w:val="right"/>
              <w:rPr>
                <w:rFonts w:eastAsia="Times New Roman"/>
                <w:sz w:val="20"/>
                <w:szCs w:val="20"/>
              </w:rPr>
            </w:pPr>
            <w:r>
              <w:rPr>
                <w:rFonts w:eastAsia="Times New Roman"/>
                <w:sz w:val="20"/>
                <w:szCs w:val="20"/>
              </w:rPr>
              <w:t>1.7</w:t>
            </w:r>
          </w:p>
        </w:tc>
        <w:tc>
          <w:tcPr>
            <w:tcW w:w="50" w:type="pct"/>
            <w:tcBorders>
              <w:bottom w:val="nil"/>
            </w:tcBorders>
            <w:shd w:val="clear" w:color="auto" w:fill="CCEEFF"/>
            <w:vAlign w:val="bottom"/>
            <w:hideMark/>
          </w:tcPr>
          <w:p w14:paraId="101EBCC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63D751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EC2AA4E"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0D0C6B33" w14:textId="77777777" w:rsidR="00000000" w:rsidRDefault="0053651E">
            <w:pPr>
              <w:jc w:val="right"/>
              <w:rPr>
                <w:rFonts w:eastAsia="Times New Roman"/>
                <w:sz w:val="20"/>
                <w:szCs w:val="20"/>
              </w:rPr>
            </w:pPr>
            <w:r>
              <w:rPr>
                <w:rFonts w:eastAsia="Times New Roman"/>
                <w:sz w:val="20"/>
                <w:szCs w:val="20"/>
              </w:rPr>
              <w:t>2.2</w:t>
            </w:r>
          </w:p>
        </w:tc>
        <w:tc>
          <w:tcPr>
            <w:tcW w:w="50" w:type="pct"/>
            <w:tcBorders>
              <w:bottom w:val="nil"/>
            </w:tcBorders>
            <w:shd w:val="clear" w:color="auto" w:fill="CCEEFF"/>
            <w:vAlign w:val="bottom"/>
            <w:hideMark/>
          </w:tcPr>
          <w:p w14:paraId="3079368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52EB3D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B4FE50" w14:textId="77777777" w:rsidR="00000000" w:rsidRDefault="0053651E">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14:paraId="498D3567" w14:textId="77777777" w:rsidR="00000000" w:rsidRDefault="0053651E">
            <w:pPr>
              <w:jc w:val="right"/>
              <w:rPr>
                <w:rFonts w:eastAsia="Times New Roman"/>
                <w:sz w:val="20"/>
                <w:szCs w:val="20"/>
              </w:rPr>
            </w:pPr>
            <w:r>
              <w:rPr>
                <w:rFonts w:eastAsia="Times New Roman"/>
                <w:sz w:val="20"/>
                <w:szCs w:val="20"/>
              </w:rPr>
              <w:t>477.6</w:t>
            </w:r>
          </w:p>
        </w:tc>
        <w:tc>
          <w:tcPr>
            <w:tcW w:w="50" w:type="pct"/>
            <w:tcBorders>
              <w:bottom w:val="nil"/>
            </w:tcBorders>
            <w:shd w:val="clear" w:color="auto" w:fill="CCEEFF"/>
            <w:vAlign w:val="bottom"/>
            <w:hideMark/>
          </w:tcPr>
          <w:p w14:paraId="4946914D" w14:textId="77777777" w:rsidR="00000000" w:rsidRDefault="0053651E">
            <w:pPr>
              <w:rPr>
                <w:rFonts w:eastAsia="Times New Roman"/>
                <w:sz w:val="20"/>
                <w:szCs w:val="20"/>
              </w:rPr>
            </w:pPr>
            <w:r>
              <w:rPr>
                <w:rFonts w:eastAsia="Times New Roman"/>
                <w:sz w:val="20"/>
                <w:szCs w:val="20"/>
              </w:rPr>
              <w:t> </w:t>
            </w:r>
          </w:p>
        </w:tc>
      </w:tr>
    </w:tbl>
    <w:p w14:paraId="6162B66A" w14:textId="77777777" w:rsidR="00000000" w:rsidRDefault="0053651E">
      <w:pPr>
        <w:pStyle w:val="a3"/>
        <w:spacing w:before="0" w:beforeAutospacing="0" w:after="0" w:afterAutospacing="0"/>
        <w:ind w:left="360"/>
        <w:jc w:val="both"/>
        <w:rPr>
          <w:sz w:val="20"/>
          <w:szCs w:val="20"/>
        </w:rPr>
      </w:pPr>
      <w:r>
        <w:rPr>
          <w:sz w:val="20"/>
          <w:szCs w:val="20"/>
        </w:rPr>
        <w:t> </w:t>
      </w:r>
    </w:p>
    <w:p w14:paraId="22FCF1F4" w14:textId="77777777" w:rsidR="00000000" w:rsidRDefault="0053651E">
      <w:pPr>
        <w:divId w:val="151022635"/>
        <w:rPr>
          <w:rFonts w:eastAsia="Times New Roman"/>
          <w:sz w:val="20"/>
          <w:szCs w:val="20"/>
        </w:rPr>
      </w:pPr>
      <w:r>
        <w:rPr>
          <w:rFonts w:eastAsia="Times New Roman"/>
          <w:sz w:val="20"/>
          <w:szCs w:val="20"/>
        </w:rPr>
        <w:t xml:space="preserve">  </w:t>
      </w:r>
    </w:p>
    <w:p w14:paraId="5CDAD144" w14:textId="77777777" w:rsidR="00000000" w:rsidRDefault="0053651E">
      <w:pPr>
        <w:pStyle w:val="a3"/>
        <w:spacing w:before="0" w:beforeAutospacing="0" w:after="0" w:afterAutospacing="0"/>
        <w:jc w:val="both"/>
        <w:rPr>
          <w:sz w:val="20"/>
          <w:szCs w:val="20"/>
        </w:rPr>
      </w:pPr>
      <w:r>
        <w:rPr>
          <w:rStyle w:val="a6"/>
          <w:i w:val="0"/>
          <w:iCs w:val="0"/>
          <w:sz w:val="20"/>
          <w:szCs w:val="20"/>
        </w:rPr>
        <w:t>14.</w:t>
      </w:r>
      <w:r>
        <w:rPr>
          <w:sz w:val="20"/>
          <w:szCs w:val="20"/>
        </w:rPr>
        <w:t>  </w:t>
      </w:r>
      <w:r>
        <w:rPr>
          <w:sz w:val="20"/>
          <w:szCs w:val="20"/>
          <w:u w:val="single"/>
        </w:rPr>
        <w:t>Noncontrolling Interests/Redeemable Noncontrolling Interests</w:t>
      </w:r>
      <w:r>
        <w:rPr>
          <w:sz w:val="20"/>
          <w:szCs w:val="20"/>
        </w:rPr>
        <w:t>:</w:t>
      </w:r>
    </w:p>
    <w:p w14:paraId="519AFD50" w14:textId="77777777" w:rsidR="00000000" w:rsidRDefault="0053651E">
      <w:pPr>
        <w:pStyle w:val="a3"/>
        <w:spacing w:before="0" w:beforeAutospacing="0" w:after="0" w:afterAutospacing="0"/>
        <w:ind w:left="360"/>
        <w:jc w:val="both"/>
        <w:rPr>
          <w:sz w:val="20"/>
          <w:szCs w:val="20"/>
        </w:rPr>
      </w:pPr>
      <w:r>
        <w:rPr>
          <w:sz w:val="20"/>
          <w:szCs w:val="20"/>
        </w:rPr>
        <w:t> </w:t>
      </w:r>
    </w:p>
    <w:p w14:paraId="41F4B736" w14:textId="77777777" w:rsidR="00000000" w:rsidRDefault="0053651E">
      <w:pPr>
        <w:pStyle w:val="a3"/>
        <w:spacing w:before="0" w:beforeAutospacing="0" w:after="0" w:afterAutospacing="0"/>
        <w:ind w:left="360"/>
        <w:jc w:val="both"/>
        <w:rPr>
          <w:sz w:val="20"/>
          <w:szCs w:val="20"/>
        </w:rPr>
      </w:pPr>
      <w:r>
        <w:rPr>
          <w:sz w:val="20"/>
          <w:szCs w:val="20"/>
        </w:rPr>
        <w:t>Noncontrolling interests represent the portion of equity that the Company does</w:t>
      </w:r>
      <w:r>
        <w:rPr>
          <w:sz w:val="20"/>
          <w:szCs w:val="20"/>
        </w:rPr>
        <w:t xml:space="preserve"> </w:t>
      </w:r>
      <w:r>
        <w:rPr>
          <w:rStyle w:val="a6"/>
          <w:i w:val="0"/>
          <w:iCs w:val="0"/>
          <w:sz w:val="20"/>
          <w:szCs w:val="20"/>
        </w:rPr>
        <w:t>not</w:t>
      </w:r>
      <w:r>
        <w:rPr>
          <w:sz w:val="20"/>
          <w:szCs w:val="20"/>
        </w:rPr>
        <w:t xml:space="preserve"> own in those entities it consolidates as a result of having a controlling interest or having determined that the Company was the primary beneficiary of a VIE in accordance w</w:t>
      </w:r>
      <w:r>
        <w:rPr>
          <w:sz w:val="20"/>
          <w:szCs w:val="20"/>
        </w:rPr>
        <w:t>ith the provisions of the FASB’s Consolidation guidance.  The Company accounts and reports for noncontrolling interests in accordance with the Consolidation guidance and the Distinguishing Liabilities from Equity guidance issued by the FASB. The Company id</w:t>
      </w:r>
      <w:r>
        <w:rPr>
          <w:sz w:val="20"/>
          <w:szCs w:val="20"/>
        </w:rPr>
        <w:t xml:space="preserve">entifies its noncontrolling interests separately within the equity section on the Company’s Consolidated Balance Sheets. The amounts of consolidated net income attributable to the Company and to the noncontrolling interests are presented separately on the </w:t>
      </w:r>
      <w:r>
        <w:rPr>
          <w:sz w:val="20"/>
          <w:szCs w:val="20"/>
        </w:rPr>
        <w:t>Company’s Consolidated Statements of Income.  During the year ended</w:t>
      </w:r>
      <w:r>
        <w:rPr>
          <w:sz w:val="20"/>
          <w:szCs w:val="20"/>
        </w:rPr>
        <w:t xml:space="preserve"> </w:t>
      </w:r>
      <w:r>
        <w:rPr>
          <w:rStyle w:val="a6"/>
          <w:i w:val="0"/>
          <w:iCs w:val="0"/>
          <w:sz w:val="20"/>
          <w:szCs w:val="20"/>
        </w:rPr>
        <w:t xml:space="preserve">December 31, 2019, </w:t>
      </w:r>
      <w:r>
        <w:rPr>
          <w:sz w:val="20"/>
          <w:szCs w:val="20"/>
        </w:rPr>
        <w:t>there were various acquisitions and dispositions/liquidations of entities that had an impact on noncontrolling interest. See Footnote</w:t>
      </w:r>
      <w:r>
        <w:rPr>
          <w:sz w:val="20"/>
          <w:szCs w:val="20"/>
        </w:rPr>
        <w:t> </w:t>
      </w:r>
      <w:r>
        <w:rPr>
          <w:rStyle w:val="a6"/>
          <w:i w:val="0"/>
          <w:iCs w:val="0"/>
          <w:sz w:val="20"/>
          <w:szCs w:val="20"/>
        </w:rPr>
        <w:t>3</w:t>
      </w:r>
      <w:r>
        <w:rPr>
          <w:sz w:val="20"/>
          <w:szCs w:val="20"/>
        </w:rPr>
        <w:t> of the Notes to Consolidated Fina</w:t>
      </w:r>
      <w:r>
        <w:rPr>
          <w:sz w:val="20"/>
          <w:szCs w:val="20"/>
        </w:rPr>
        <w:t>ncial Statements for additional information regarding specific transactions.</w:t>
      </w:r>
    </w:p>
    <w:p w14:paraId="64256197" w14:textId="77777777" w:rsidR="00000000" w:rsidRDefault="0053651E">
      <w:pPr>
        <w:pStyle w:val="a3"/>
        <w:spacing w:before="0" w:beforeAutospacing="0" w:after="0" w:afterAutospacing="0"/>
        <w:ind w:left="360"/>
        <w:jc w:val="both"/>
        <w:rPr>
          <w:sz w:val="20"/>
          <w:szCs w:val="20"/>
        </w:rPr>
      </w:pPr>
      <w:r>
        <w:rPr>
          <w:sz w:val="20"/>
          <w:szCs w:val="20"/>
        </w:rPr>
        <w:t> </w:t>
      </w:r>
    </w:p>
    <w:p w14:paraId="091DC8EF" w14:textId="77777777" w:rsidR="00000000" w:rsidRDefault="0053651E">
      <w:pPr>
        <w:jc w:val="center"/>
        <w:divId w:val="1255434136"/>
        <w:rPr>
          <w:rFonts w:eastAsia="Times New Roman"/>
          <w:sz w:val="20"/>
          <w:szCs w:val="20"/>
        </w:rPr>
      </w:pPr>
      <w:r>
        <w:rPr>
          <w:rStyle w:val="a6"/>
          <w:rFonts w:eastAsia="Times New Roman"/>
          <w:i w:val="0"/>
          <w:iCs w:val="0"/>
          <w:sz w:val="20"/>
          <w:szCs w:val="20"/>
        </w:rPr>
        <w:t>72</w:t>
      </w:r>
      <w:r>
        <w:rPr>
          <w:rFonts w:eastAsia="Times New Roman"/>
          <w:sz w:val="20"/>
          <w:szCs w:val="20"/>
        </w:rPr>
        <w:t xml:space="preserve"> </w:t>
      </w:r>
    </w:p>
    <w:p w14:paraId="56B21B97" w14:textId="77777777" w:rsidR="00000000" w:rsidRDefault="0053651E">
      <w:pPr>
        <w:divId w:val="1255434136"/>
        <w:rPr>
          <w:rFonts w:eastAsia="Times New Roman"/>
          <w:sz w:val="20"/>
          <w:szCs w:val="20"/>
        </w:rPr>
      </w:pPr>
      <w:r>
        <w:rPr>
          <w:rFonts w:eastAsia="Times New Roman"/>
          <w:sz w:val="20"/>
          <w:szCs w:val="20"/>
        </w:rPr>
        <w:pict w14:anchorId="095B2DEF">
          <v:rect id="_x0000_i1103" style="width:415.3pt;height:1.5pt" o:hralign="center" o:hrstd="t" o:hrnoshade="t" o:hr="t" fillcolor="black" stroked="f"/>
        </w:pict>
      </w:r>
    </w:p>
    <w:p w14:paraId="09D9547D" w14:textId="77777777" w:rsidR="00000000" w:rsidRDefault="0053651E">
      <w:pPr>
        <w:divId w:val="125543413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718AF0B6" w14:textId="77777777" w:rsidR="00000000" w:rsidRDefault="0053651E">
      <w:pPr>
        <w:pStyle w:val="a3"/>
        <w:spacing w:before="0" w:beforeAutospacing="0" w:after="0" w:afterAutospacing="0"/>
        <w:rPr>
          <w:sz w:val="20"/>
          <w:szCs w:val="20"/>
        </w:rPr>
      </w:pPr>
      <w:r>
        <w:rPr>
          <w:sz w:val="20"/>
          <w:szCs w:val="20"/>
        </w:rPr>
        <w:t> </w:t>
      </w:r>
    </w:p>
    <w:p w14:paraId="7A4163E2"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9A1D95A" w14:textId="77777777" w:rsidR="00000000" w:rsidRDefault="0053651E">
      <w:pPr>
        <w:pStyle w:val="a3"/>
        <w:spacing w:before="0" w:beforeAutospacing="0" w:after="0" w:afterAutospacing="0"/>
        <w:jc w:val="center"/>
        <w:rPr>
          <w:sz w:val="20"/>
          <w:szCs w:val="20"/>
        </w:rPr>
      </w:pPr>
      <w:r>
        <w:rPr>
          <w:sz w:val="20"/>
          <w:szCs w:val="20"/>
        </w:rPr>
        <w:t> </w:t>
      </w:r>
    </w:p>
    <w:p w14:paraId="111C1C1A"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7E6ED314" w14:textId="77777777" w:rsidR="00000000" w:rsidRDefault="0053651E">
      <w:pPr>
        <w:pStyle w:val="a3"/>
        <w:spacing w:before="0" w:beforeAutospacing="0" w:after="0" w:afterAutospacing="0"/>
        <w:rPr>
          <w:sz w:val="20"/>
          <w:szCs w:val="20"/>
        </w:rPr>
      </w:pPr>
      <w:r>
        <w:rPr>
          <w:sz w:val="20"/>
          <w:szCs w:val="20"/>
        </w:rPr>
        <w:t>      </w:t>
      </w:r>
    </w:p>
    <w:p w14:paraId="7CA4AAF6" w14:textId="77777777" w:rsidR="00000000" w:rsidRDefault="0053651E">
      <w:pPr>
        <w:pStyle w:val="a3"/>
        <w:spacing w:before="0" w:beforeAutospacing="0" w:after="0" w:afterAutospacing="0"/>
        <w:rPr>
          <w:sz w:val="20"/>
          <w:szCs w:val="20"/>
        </w:rPr>
      </w:pPr>
      <w:r>
        <w:rPr>
          <w:sz w:val="20"/>
          <w:szCs w:val="20"/>
        </w:rPr>
        <w:t>       </w:t>
      </w:r>
      <w:r>
        <w:rPr>
          <w:i/>
          <w:iCs/>
          <w:sz w:val="20"/>
          <w:szCs w:val="20"/>
        </w:rPr>
        <w:t>Noncontrolling interests</w:t>
      </w:r>
    </w:p>
    <w:p w14:paraId="543F9394" w14:textId="77777777" w:rsidR="00000000" w:rsidRDefault="0053651E">
      <w:pPr>
        <w:pStyle w:val="a3"/>
        <w:spacing w:before="0" w:beforeAutospacing="0" w:after="0" w:afterAutospacing="0"/>
        <w:rPr>
          <w:sz w:val="20"/>
          <w:szCs w:val="20"/>
        </w:rPr>
      </w:pPr>
      <w:r>
        <w:rPr>
          <w:sz w:val="20"/>
          <w:szCs w:val="20"/>
        </w:rPr>
        <w:t>     </w:t>
      </w:r>
    </w:p>
    <w:p w14:paraId="260D8A7B" w14:textId="77777777" w:rsidR="00000000" w:rsidRDefault="0053651E">
      <w:pPr>
        <w:pStyle w:val="a3"/>
        <w:spacing w:before="0" w:beforeAutospacing="0" w:after="0" w:afterAutospacing="0"/>
        <w:ind w:left="360"/>
        <w:jc w:val="both"/>
        <w:rPr>
          <w:sz w:val="20"/>
          <w:szCs w:val="20"/>
        </w:rPr>
      </w:pPr>
      <w:r>
        <w:rPr>
          <w:sz w:val="20"/>
          <w:szCs w:val="20"/>
        </w:rPr>
        <w:t>The Company owns seven shopping center properties located throughout Puerto Rico. These properties were ac</w:t>
      </w:r>
      <w:r>
        <w:rPr>
          <w:sz w:val="20"/>
          <w:szCs w:val="20"/>
        </w:rPr>
        <w:t xml:space="preserve">quired partially through the issuance of $158.6 million of non-convertible units and $45.8 million of convertible units. Noncontrolling interests related to these acquisitions totaled $233.0 million of units, including premiums of $13.5 million and a fair </w:t>
      </w:r>
      <w:r>
        <w:rPr>
          <w:sz w:val="20"/>
          <w:szCs w:val="20"/>
        </w:rPr>
        <w:t>market value adjustment of $15.1 million (collectively, the "Units"). Since the acquisition date the Company has redeemed a substantial portion of these units.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noncontrolling interests relating to the remaining units were</w:t>
      </w:r>
      <w:r>
        <w:rPr>
          <w:sz w:val="20"/>
          <w:szCs w:val="20"/>
        </w:rPr>
        <w:t xml:space="preserve"> </w:t>
      </w:r>
      <w:r>
        <w:rPr>
          <w:sz w:val="20"/>
          <w:szCs w:val="20"/>
        </w:rPr>
        <w:t>$5.</w:t>
      </w:r>
      <w:r>
        <w:rPr>
          <w:sz w:val="20"/>
          <w:szCs w:val="20"/>
        </w:rPr>
        <w:t>2</w:t>
      </w:r>
      <w:r>
        <w:rPr>
          <w:sz w:val="20"/>
          <w:szCs w:val="20"/>
        </w:rPr>
        <w:t xml:space="preserve"> million. The Units related annual cash distribution rates and related conversion features consisted of the following as of</w:t>
      </w:r>
      <w:r>
        <w:rPr>
          <w:sz w:val="20"/>
          <w:szCs w:val="20"/>
        </w:rPr>
        <w:t xml:space="preserve"> </w:t>
      </w:r>
      <w:r>
        <w:rPr>
          <w:rStyle w:val="a6"/>
          <w:i w:val="0"/>
          <w:iCs w:val="0"/>
          <w:sz w:val="20"/>
          <w:szCs w:val="20"/>
        </w:rPr>
        <w:t>December 31, 2019:</w:t>
      </w:r>
    </w:p>
    <w:p w14:paraId="708651DE" w14:textId="77777777" w:rsidR="00000000" w:rsidRDefault="0053651E">
      <w:pPr>
        <w:pStyle w:val="a3"/>
        <w:spacing w:before="0" w:beforeAutospacing="0" w:after="0" w:afterAutospacing="0"/>
        <w:ind w:left="360"/>
        <w:jc w:val="both"/>
        <w:rPr>
          <w:sz w:val="20"/>
          <w:szCs w:val="20"/>
        </w:rPr>
      </w:pPr>
      <w:r>
        <w:rPr>
          <w:sz w:val="20"/>
          <w:szCs w:val="20"/>
        </w:rPr>
        <w:t> </w:t>
      </w:r>
    </w:p>
    <w:tbl>
      <w:tblPr>
        <w:tblW w:w="4850" w:type="pct"/>
        <w:tblCellSpacing w:w="0" w:type="dxa"/>
        <w:tblInd w:w="360" w:type="dxa"/>
        <w:tblCellMar>
          <w:left w:w="0" w:type="dxa"/>
          <w:right w:w="0" w:type="dxa"/>
        </w:tblCellMar>
        <w:tblLook w:val="04A0" w:firstRow="1" w:lastRow="0" w:firstColumn="1" w:lastColumn="0" w:noHBand="0" w:noVBand="1"/>
      </w:tblPr>
      <w:tblGrid>
        <w:gridCol w:w="2415"/>
        <w:gridCol w:w="79"/>
        <w:gridCol w:w="100"/>
        <w:gridCol w:w="1045"/>
        <w:gridCol w:w="79"/>
        <w:gridCol w:w="79"/>
        <w:gridCol w:w="79"/>
        <w:gridCol w:w="1045"/>
        <w:gridCol w:w="79"/>
        <w:gridCol w:w="79"/>
        <w:gridCol w:w="79"/>
        <w:gridCol w:w="2819"/>
        <w:gridCol w:w="80"/>
      </w:tblGrid>
      <w:tr w:rsidR="00000000" w14:paraId="1EE404AC" w14:textId="77777777">
        <w:trPr>
          <w:tblCellSpacing w:w="0" w:type="dxa"/>
        </w:trPr>
        <w:tc>
          <w:tcPr>
            <w:tcW w:w="1500" w:type="pct"/>
            <w:tcBorders>
              <w:bottom w:val="single" w:sz="6" w:space="0" w:color="000000"/>
            </w:tcBorders>
            <w:vAlign w:val="bottom"/>
            <w:hideMark/>
          </w:tcPr>
          <w:p w14:paraId="6BFFB2E6" w14:textId="77777777" w:rsidR="00000000" w:rsidRDefault="0053651E">
            <w:pPr>
              <w:pStyle w:val="a3"/>
              <w:spacing w:before="0" w:beforeAutospacing="0" w:after="0" w:afterAutospacing="0"/>
              <w:jc w:val="center"/>
              <w:rPr>
                <w:sz w:val="20"/>
                <w:szCs w:val="20"/>
              </w:rPr>
            </w:pPr>
            <w:r>
              <w:rPr>
                <w:b/>
                <w:bCs/>
                <w:sz w:val="20"/>
                <w:szCs w:val="20"/>
              </w:rPr>
              <w:t>Type</w:t>
            </w:r>
          </w:p>
        </w:tc>
        <w:tc>
          <w:tcPr>
            <w:tcW w:w="50" w:type="pct"/>
            <w:vAlign w:val="bottom"/>
            <w:hideMark/>
          </w:tcPr>
          <w:p w14:paraId="4B7F082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367CD73" w14:textId="77777777" w:rsidR="00000000" w:rsidRDefault="0053651E">
            <w:pPr>
              <w:pStyle w:val="a3"/>
              <w:spacing w:before="0" w:beforeAutospacing="0" w:after="0" w:afterAutospacing="0"/>
              <w:jc w:val="center"/>
              <w:rPr>
                <w:sz w:val="20"/>
                <w:szCs w:val="20"/>
              </w:rPr>
            </w:pPr>
            <w:r>
              <w:rPr>
                <w:b/>
                <w:bCs/>
                <w:sz w:val="20"/>
                <w:szCs w:val="20"/>
              </w:rPr>
              <w:t xml:space="preserve">Par Value </w:t>
            </w:r>
          </w:p>
          <w:p w14:paraId="2041B176" w14:textId="77777777" w:rsidR="00000000" w:rsidRDefault="0053651E">
            <w:pPr>
              <w:pStyle w:val="a3"/>
              <w:spacing w:before="0" w:beforeAutospacing="0" w:after="0" w:afterAutospacing="0"/>
              <w:jc w:val="center"/>
              <w:rPr>
                <w:sz w:val="20"/>
                <w:szCs w:val="20"/>
              </w:rPr>
            </w:pPr>
            <w:r>
              <w:rPr>
                <w:b/>
                <w:bCs/>
                <w:sz w:val="20"/>
                <w:szCs w:val="20"/>
              </w:rPr>
              <w:t>Per Unit</w:t>
            </w:r>
          </w:p>
        </w:tc>
        <w:tc>
          <w:tcPr>
            <w:tcW w:w="50" w:type="pct"/>
            <w:tcMar>
              <w:top w:w="0" w:type="dxa"/>
              <w:left w:w="0" w:type="dxa"/>
              <w:bottom w:w="15" w:type="dxa"/>
              <w:right w:w="0" w:type="dxa"/>
            </w:tcMar>
            <w:vAlign w:val="bottom"/>
            <w:hideMark/>
          </w:tcPr>
          <w:p w14:paraId="1341B8F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B608416"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0B822FA" w14:textId="77777777" w:rsidR="00000000" w:rsidRDefault="0053651E">
            <w:pPr>
              <w:pStyle w:val="a3"/>
              <w:spacing w:before="0" w:beforeAutospacing="0" w:after="0" w:afterAutospacing="0"/>
              <w:jc w:val="center"/>
              <w:rPr>
                <w:sz w:val="20"/>
                <w:szCs w:val="20"/>
              </w:rPr>
            </w:pPr>
            <w:r>
              <w:rPr>
                <w:b/>
                <w:bCs/>
                <w:sz w:val="20"/>
                <w:szCs w:val="20"/>
              </w:rPr>
              <w:t>Number of Units</w:t>
            </w:r>
          </w:p>
          <w:p w14:paraId="53228246" w14:textId="77777777" w:rsidR="00000000" w:rsidRDefault="0053651E">
            <w:pPr>
              <w:pStyle w:val="a3"/>
              <w:spacing w:before="0" w:beforeAutospacing="0" w:after="0" w:afterAutospacing="0"/>
              <w:jc w:val="center"/>
              <w:rPr>
                <w:sz w:val="20"/>
                <w:szCs w:val="20"/>
              </w:rPr>
            </w:pPr>
            <w:r>
              <w:rPr>
                <w:b/>
                <w:bCs/>
                <w:sz w:val="20"/>
                <w:szCs w:val="20"/>
              </w:rPr>
              <w:t>Remaining</w:t>
            </w:r>
          </w:p>
        </w:tc>
        <w:tc>
          <w:tcPr>
            <w:tcW w:w="50" w:type="pct"/>
            <w:tcMar>
              <w:top w:w="0" w:type="dxa"/>
              <w:left w:w="0" w:type="dxa"/>
              <w:bottom w:w="15" w:type="dxa"/>
              <w:right w:w="0" w:type="dxa"/>
            </w:tcMar>
            <w:vAlign w:val="bottom"/>
            <w:hideMark/>
          </w:tcPr>
          <w:p w14:paraId="6DEC8CC5"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6E15D8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ECCBBC3" w14:textId="77777777" w:rsidR="00000000" w:rsidRDefault="0053651E">
            <w:pPr>
              <w:pStyle w:val="a3"/>
              <w:spacing w:before="0" w:beforeAutospacing="0" w:after="0" w:afterAutospacing="0"/>
              <w:jc w:val="center"/>
              <w:rPr>
                <w:sz w:val="20"/>
                <w:szCs w:val="20"/>
              </w:rPr>
            </w:pPr>
            <w:r>
              <w:rPr>
                <w:b/>
                <w:bCs/>
                <w:sz w:val="20"/>
                <w:szCs w:val="20"/>
              </w:rPr>
              <w:t>Return Per Annum</w:t>
            </w:r>
          </w:p>
        </w:tc>
        <w:tc>
          <w:tcPr>
            <w:tcW w:w="50" w:type="pct"/>
            <w:tcMar>
              <w:top w:w="0" w:type="dxa"/>
              <w:left w:w="0" w:type="dxa"/>
              <w:bottom w:w="15" w:type="dxa"/>
              <w:right w:w="0" w:type="dxa"/>
            </w:tcMar>
            <w:vAlign w:val="bottom"/>
            <w:hideMark/>
          </w:tcPr>
          <w:p w14:paraId="7F4BED85" w14:textId="77777777" w:rsidR="00000000" w:rsidRDefault="0053651E">
            <w:pPr>
              <w:rPr>
                <w:rFonts w:eastAsia="Times New Roman"/>
                <w:sz w:val="20"/>
                <w:szCs w:val="20"/>
              </w:rPr>
            </w:pPr>
            <w:r>
              <w:rPr>
                <w:rFonts w:eastAsia="Times New Roman"/>
                <w:sz w:val="20"/>
                <w:szCs w:val="20"/>
              </w:rPr>
              <w:t> </w:t>
            </w:r>
          </w:p>
        </w:tc>
      </w:tr>
      <w:tr w:rsidR="00000000" w14:paraId="79BD289E" w14:textId="77777777">
        <w:trPr>
          <w:tblCellSpacing w:w="0" w:type="dxa"/>
        </w:trPr>
        <w:tc>
          <w:tcPr>
            <w:tcW w:w="1500" w:type="pct"/>
            <w:tcBorders>
              <w:bottom w:val="nil"/>
            </w:tcBorders>
            <w:shd w:val="clear" w:color="auto" w:fill="CCEEFF"/>
            <w:vAlign w:val="bottom"/>
            <w:hideMark/>
          </w:tcPr>
          <w:p w14:paraId="2C940FFB" w14:textId="77777777" w:rsidR="00000000" w:rsidRDefault="0053651E">
            <w:pPr>
              <w:pStyle w:val="a3"/>
              <w:spacing w:before="0" w:beforeAutospacing="0" w:after="0" w:afterAutospacing="0"/>
              <w:rPr>
                <w:sz w:val="20"/>
                <w:szCs w:val="20"/>
              </w:rPr>
            </w:pPr>
            <w:r>
              <w:rPr>
                <w:sz w:val="20"/>
                <w:szCs w:val="20"/>
              </w:rPr>
              <w:t>Class B-1 Preferred Units (1)</w:t>
            </w:r>
          </w:p>
        </w:tc>
        <w:tc>
          <w:tcPr>
            <w:tcW w:w="50" w:type="pct"/>
            <w:tcBorders>
              <w:bottom w:val="nil"/>
            </w:tcBorders>
            <w:shd w:val="clear" w:color="auto" w:fill="CCEEFF"/>
            <w:vAlign w:val="bottom"/>
            <w:hideMark/>
          </w:tcPr>
          <w:p w14:paraId="4735CD5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612CB61" w14:textId="77777777" w:rsidR="00000000" w:rsidRDefault="0053651E">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4A114D76" w14:textId="77777777" w:rsidR="00000000" w:rsidRDefault="0053651E">
            <w:pPr>
              <w:jc w:val="right"/>
              <w:rPr>
                <w:rFonts w:eastAsia="Times New Roman"/>
                <w:sz w:val="20"/>
                <w:szCs w:val="20"/>
              </w:rPr>
            </w:pPr>
            <w:r>
              <w:rPr>
                <w:rFonts w:eastAsia="Times New Roman"/>
                <w:sz w:val="20"/>
                <w:szCs w:val="20"/>
              </w:rPr>
              <w:t>10,000</w:t>
            </w:r>
          </w:p>
        </w:tc>
        <w:tc>
          <w:tcPr>
            <w:tcW w:w="50" w:type="pct"/>
            <w:tcBorders>
              <w:bottom w:val="nil"/>
            </w:tcBorders>
            <w:shd w:val="clear" w:color="auto" w:fill="CCEEFF"/>
            <w:vAlign w:val="bottom"/>
            <w:hideMark/>
          </w:tcPr>
          <w:p w14:paraId="14D5803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DA4510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C4BF2E" w14:textId="77777777" w:rsidR="00000000" w:rsidRDefault="0053651E">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14:paraId="2DE6E815" w14:textId="77777777" w:rsidR="00000000" w:rsidRDefault="0053651E">
            <w:pPr>
              <w:jc w:val="right"/>
              <w:rPr>
                <w:rFonts w:eastAsia="Times New Roman"/>
                <w:sz w:val="20"/>
                <w:szCs w:val="20"/>
              </w:rPr>
            </w:pPr>
            <w:r>
              <w:rPr>
                <w:rFonts w:eastAsia="Times New Roman"/>
                <w:sz w:val="20"/>
                <w:szCs w:val="20"/>
              </w:rPr>
              <w:t>189</w:t>
            </w:r>
          </w:p>
        </w:tc>
        <w:tc>
          <w:tcPr>
            <w:tcW w:w="50" w:type="pct"/>
            <w:tcBorders>
              <w:bottom w:val="nil"/>
            </w:tcBorders>
            <w:shd w:val="clear" w:color="auto" w:fill="CCEEFF"/>
            <w:vAlign w:val="bottom"/>
            <w:hideMark/>
          </w:tcPr>
          <w:p w14:paraId="0E62331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4EBB7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F79BFD5" w14:textId="77777777" w:rsidR="00000000" w:rsidRDefault="0053651E">
            <w:pPr>
              <w:rPr>
                <w:rFonts w:eastAsia="Times New Roman"/>
                <w:sz w:val="20"/>
                <w:szCs w:val="20"/>
              </w:rPr>
            </w:pPr>
            <w:r>
              <w:rPr>
                <w:rFonts w:eastAsia="Times New Roman"/>
                <w:sz w:val="20"/>
                <w:szCs w:val="20"/>
              </w:rPr>
              <w:t> </w:t>
            </w:r>
          </w:p>
        </w:tc>
        <w:tc>
          <w:tcPr>
            <w:tcW w:w="1750" w:type="pct"/>
            <w:tcBorders>
              <w:bottom w:val="nil"/>
            </w:tcBorders>
            <w:shd w:val="clear" w:color="auto" w:fill="CCEEFF"/>
            <w:vAlign w:val="bottom"/>
            <w:hideMark/>
          </w:tcPr>
          <w:p w14:paraId="6CC129CA" w14:textId="77777777" w:rsidR="00000000" w:rsidRDefault="0053651E">
            <w:pPr>
              <w:jc w:val="center"/>
              <w:rPr>
                <w:rFonts w:eastAsia="Times New Roman"/>
                <w:sz w:val="20"/>
                <w:szCs w:val="20"/>
              </w:rPr>
            </w:pPr>
            <w:r>
              <w:rPr>
                <w:rFonts w:eastAsia="Times New Roman"/>
                <w:sz w:val="20"/>
                <w:szCs w:val="20"/>
              </w:rPr>
              <w:t>7.0%</w:t>
            </w:r>
          </w:p>
        </w:tc>
        <w:tc>
          <w:tcPr>
            <w:tcW w:w="50" w:type="pct"/>
            <w:tcBorders>
              <w:bottom w:val="nil"/>
            </w:tcBorders>
            <w:shd w:val="clear" w:color="auto" w:fill="CCEEFF"/>
            <w:vAlign w:val="bottom"/>
            <w:hideMark/>
          </w:tcPr>
          <w:p w14:paraId="496D1B4D" w14:textId="77777777" w:rsidR="00000000" w:rsidRDefault="0053651E">
            <w:pPr>
              <w:rPr>
                <w:rFonts w:eastAsia="Times New Roman"/>
                <w:sz w:val="20"/>
                <w:szCs w:val="20"/>
              </w:rPr>
            </w:pPr>
            <w:r>
              <w:rPr>
                <w:rFonts w:eastAsia="Times New Roman"/>
                <w:sz w:val="20"/>
                <w:szCs w:val="20"/>
              </w:rPr>
              <w:t> </w:t>
            </w:r>
          </w:p>
        </w:tc>
      </w:tr>
      <w:tr w:rsidR="00000000" w14:paraId="415B79BE" w14:textId="77777777">
        <w:trPr>
          <w:tblCellSpacing w:w="0" w:type="dxa"/>
        </w:trPr>
        <w:tc>
          <w:tcPr>
            <w:tcW w:w="1500" w:type="pct"/>
            <w:shd w:val="clear" w:color="auto" w:fill="FFFFFF"/>
            <w:vAlign w:val="bottom"/>
            <w:hideMark/>
          </w:tcPr>
          <w:p w14:paraId="68CC38D2" w14:textId="77777777" w:rsidR="00000000" w:rsidRDefault="0053651E">
            <w:pPr>
              <w:pStyle w:val="a3"/>
              <w:spacing w:before="0" w:beforeAutospacing="0" w:after="0" w:afterAutospacing="0"/>
              <w:rPr>
                <w:sz w:val="20"/>
                <w:szCs w:val="20"/>
              </w:rPr>
            </w:pPr>
            <w:r>
              <w:rPr>
                <w:sz w:val="20"/>
                <w:szCs w:val="20"/>
              </w:rPr>
              <w:t>Class B-2 Preferred Units (2)</w:t>
            </w:r>
          </w:p>
        </w:tc>
        <w:tc>
          <w:tcPr>
            <w:tcW w:w="50" w:type="pct"/>
            <w:shd w:val="clear" w:color="auto" w:fill="FFFFFF"/>
            <w:vAlign w:val="bottom"/>
            <w:hideMark/>
          </w:tcPr>
          <w:p w14:paraId="7DACC1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7CDDD3" w14:textId="77777777" w:rsidR="00000000" w:rsidRDefault="0053651E">
            <w:pPr>
              <w:rPr>
                <w:rFonts w:eastAsia="Times New Roman"/>
                <w:sz w:val="20"/>
                <w:szCs w:val="20"/>
              </w:rPr>
            </w:pPr>
            <w:r>
              <w:rPr>
                <w:rFonts w:eastAsia="Times New Roman"/>
                <w:sz w:val="20"/>
                <w:szCs w:val="20"/>
              </w:rPr>
              <w:t>$</w:t>
            </w:r>
          </w:p>
        </w:tc>
        <w:tc>
          <w:tcPr>
            <w:tcW w:w="650" w:type="pct"/>
            <w:shd w:val="clear" w:color="auto" w:fill="FFFFFF"/>
            <w:vAlign w:val="bottom"/>
            <w:hideMark/>
          </w:tcPr>
          <w:p w14:paraId="3C56E442" w14:textId="77777777" w:rsidR="00000000" w:rsidRDefault="0053651E">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14:paraId="6C7F94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6E6C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34D139"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D4B33BA" w14:textId="77777777" w:rsidR="00000000" w:rsidRDefault="0053651E">
            <w:pPr>
              <w:jc w:val="right"/>
              <w:rPr>
                <w:rFonts w:eastAsia="Times New Roman"/>
                <w:sz w:val="20"/>
                <w:szCs w:val="20"/>
              </w:rPr>
            </w:pPr>
            <w:r>
              <w:rPr>
                <w:rFonts w:eastAsia="Times New Roman"/>
                <w:sz w:val="20"/>
                <w:szCs w:val="20"/>
              </w:rPr>
              <w:t>42</w:t>
            </w:r>
          </w:p>
        </w:tc>
        <w:tc>
          <w:tcPr>
            <w:tcW w:w="50" w:type="pct"/>
            <w:shd w:val="clear" w:color="auto" w:fill="FFFFFF"/>
            <w:vAlign w:val="bottom"/>
            <w:hideMark/>
          </w:tcPr>
          <w:p w14:paraId="190C2D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274F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1A82A3" w14:textId="77777777" w:rsidR="00000000" w:rsidRDefault="0053651E">
            <w:pPr>
              <w:rPr>
                <w:rFonts w:eastAsia="Times New Roman"/>
                <w:sz w:val="20"/>
                <w:szCs w:val="20"/>
              </w:rPr>
            </w:pPr>
            <w:r>
              <w:rPr>
                <w:rFonts w:eastAsia="Times New Roman"/>
                <w:sz w:val="20"/>
                <w:szCs w:val="20"/>
              </w:rPr>
              <w:t> </w:t>
            </w:r>
          </w:p>
        </w:tc>
        <w:tc>
          <w:tcPr>
            <w:tcW w:w="1750" w:type="pct"/>
            <w:shd w:val="clear" w:color="auto" w:fill="FFFFFF"/>
            <w:vAlign w:val="bottom"/>
            <w:hideMark/>
          </w:tcPr>
          <w:p w14:paraId="12126124" w14:textId="77777777" w:rsidR="00000000" w:rsidRDefault="0053651E">
            <w:pPr>
              <w:jc w:val="center"/>
              <w:rPr>
                <w:rFonts w:eastAsia="Times New Roman"/>
                <w:sz w:val="20"/>
                <w:szCs w:val="20"/>
              </w:rPr>
            </w:pPr>
            <w:r>
              <w:rPr>
                <w:rFonts w:eastAsia="Times New Roman"/>
                <w:sz w:val="20"/>
                <w:szCs w:val="20"/>
              </w:rPr>
              <w:t>7.0%</w:t>
            </w:r>
          </w:p>
        </w:tc>
        <w:tc>
          <w:tcPr>
            <w:tcW w:w="50" w:type="pct"/>
            <w:shd w:val="clear" w:color="auto" w:fill="FFFFFF"/>
            <w:vAlign w:val="bottom"/>
            <w:hideMark/>
          </w:tcPr>
          <w:p w14:paraId="662555DA" w14:textId="77777777" w:rsidR="00000000" w:rsidRDefault="0053651E">
            <w:pPr>
              <w:rPr>
                <w:rFonts w:eastAsia="Times New Roman"/>
                <w:sz w:val="20"/>
                <w:szCs w:val="20"/>
              </w:rPr>
            </w:pPr>
            <w:r>
              <w:rPr>
                <w:rFonts w:eastAsia="Times New Roman"/>
                <w:sz w:val="20"/>
                <w:szCs w:val="20"/>
              </w:rPr>
              <w:t> </w:t>
            </w:r>
          </w:p>
        </w:tc>
      </w:tr>
      <w:tr w:rsidR="00000000" w14:paraId="5CA17AD6" w14:textId="77777777">
        <w:trPr>
          <w:tblCellSpacing w:w="0" w:type="dxa"/>
        </w:trPr>
        <w:tc>
          <w:tcPr>
            <w:tcW w:w="1500" w:type="pct"/>
            <w:shd w:val="clear" w:color="auto" w:fill="CCEEFF"/>
            <w:vAlign w:val="bottom"/>
            <w:hideMark/>
          </w:tcPr>
          <w:p w14:paraId="6D5A36ED" w14:textId="77777777" w:rsidR="00000000" w:rsidRDefault="0053651E">
            <w:pPr>
              <w:pStyle w:val="a3"/>
              <w:spacing w:before="0" w:beforeAutospacing="0" w:after="0" w:afterAutospacing="0"/>
              <w:rPr>
                <w:sz w:val="20"/>
                <w:szCs w:val="20"/>
              </w:rPr>
            </w:pPr>
            <w:r>
              <w:rPr>
                <w:sz w:val="20"/>
                <w:szCs w:val="20"/>
              </w:rPr>
              <w:t>Class C DownReit Units (1)</w:t>
            </w:r>
          </w:p>
        </w:tc>
        <w:tc>
          <w:tcPr>
            <w:tcW w:w="50" w:type="pct"/>
            <w:shd w:val="clear" w:color="auto" w:fill="CCEEFF"/>
            <w:vAlign w:val="bottom"/>
            <w:hideMark/>
          </w:tcPr>
          <w:p w14:paraId="38FA18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7EA71A" w14:textId="77777777" w:rsidR="00000000" w:rsidRDefault="0053651E">
            <w:pPr>
              <w:rPr>
                <w:rFonts w:eastAsia="Times New Roman"/>
                <w:sz w:val="20"/>
                <w:szCs w:val="20"/>
              </w:rPr>
            </w:pPr>
            <w:r>
              <w:rPr>
                <w:rFonts w:eastAsia="Times New Roman"/>
                <w:sz w:val="20"/>
                <w:szCs w:val="20"/>
              </w:rPr>
              <w:t>$</w:t>
            </w:r>
          </w:p>
        </w:tc>
        <w:tc>
          <w:tcPr>
            <w:tcW w:w="650" w:type="pct"/>
            <w:shd w:val="clear" w:color="auto" w:fill="CCEEFF"/>
            <w:vAlign w:val="bottom"/>
            <w:hideMark/>
          </w:tcPr>
          <w:p w14:paraId="2EDD7D18" w14:textId="77777777" w:rsidR="00000000" w:rsidRDefault="0053651E">
            <w:pPr>
              <w:jc w:val="right"/>
              <w:rPr>
                <w:rFonts w:eastAsia="Times New Roman"/>
                <w:sz w:val="20"/>
                <w:szCs w:val="20"/>
              </w:rPr>
            </w:pPr>
            <w:r>
              <w:rPr>
                <w:rFonts w:eastAsia="Times New Roman"/>
                <w:sz w:val="20"/>
                <w:szCs w:val="20"/>
              </w:rPr>
              <w:t>30.52</w:t>
            </w:r>
          </w:p>
        </w:tc>
        <w:tc>
          <w:tcPr>
            <w:tcW w:w="50" w:type="pct"/>
            <w:shd w:val="clear" w:color="auto" w:fill="CCEEFF"/>
            <w:vAlign w:val="bottom"/>
            <w:hideMark/>
          </w:tcPr>
          <w:p w14:paraId="0214C3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AB77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13CDB4" w14:textId="77777777" w:rsidR="00000000" w:rsidRDefault="0053651E">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4C75452" w14:textId="77777777" w:rsidR="00000000" w:rsidRDefault="0053651E">
            <w:pPr>
              <w:jc w:val="right"/>
              <w:rPr>
                <w:rFonts w:eastAsia="Times New Roman"/>
                <w:sz w:val="20"/>
                <w:szCs w:val="20"/>
              </w:rPr>
            </w:pPr>
            <w:r>
              <w:rPr>
                <w:rFonts w:eastAsia="Times New Roman"/>
                <w:sz w:val="20"/>
                <w:szCs w:val="20"/>
              </w:rPr>
              <w:t>52,797</w:t>
            </w:r>
          </w:p>
        </w:tc>
        <w:tc>
          <w:tcPr>
            <w:tcW w:w="50" w:type="pct"/>
            <w:shd w:val="clear" w:color="auto" w:fill="CCEEFF"/>
            <w:vAlign w:val="bottom"/>
            <w:hideMark/>
          </w:tcPr>
          <w:p w14:paraId="2DFAB7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50A2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72A6A6" w14:textId="77777777" w:rsidR="00000000" w:rsidRDefault="0053651E">
            <w:pPr>
              <w:pStyle w:val="a3"/>
              <w:spacing w:before="0" w:beforeAutospacing="0" w:after="0" w:afterAutospacing="0"/>
              <w:rPr>
                <w:sz w:val="20"/>
                <w:szCs w:val="20"/>
              </w:rPr>
            </w:pPr>
            <w:r>
              <w:rPr>
                <w:sz w:val="20"/>
                <w:szCs w:val="20"/>
              </w:rPr>
              <w:t> </w:t>
            </w:r>
          </w:p>
        </w:tc>
        <w:tc>
          <w:tcPr>
            <w:tcW w:w="1750" w:type="pct"/>
            <w:shd w:val="clear" w:color="auto" w:fill="CCEEFF"/>
            <w:vAlign w:val="bottom"/>
            <w:hideMark/>
          </w:tcPr>
          <w:p w14:paraId="6F7023B7" w14:textId="77777777" w:rsidR="00000000" w:rsidRDefault="0053651E">
            <w:pPr>
              <w:jc w:val="center"/>
              <w:rPr>
                <w:rFonts w:eastAsia="Times New Roman"/>
                <w:sz w:val="20"/>
                <w:szCs w:val="20"/>
              </w:rPr>
            </w:pPr>
            <w:r>
              <w:rPr>
                <w:rStyle w:val="a6"/>
                <w:rFonts w:eastAsia="Times New Roman"/>
                <w:i w:val="0"/>
                <w:iCs w:val="0"/>
                <w:sz w:val="20"/>
                <w:szCs w:val="20"/>
              </w:rPr>
              <w:t>Equal to the Company’s common stock dividend</w:t>
            </w:r>
          </w:p>
        </w:tc>
        <w:tc>
          <w:tcPr>
            <w:tcW w:w="50" w:type="pct"/>
            <w:shd w:val="clear" w:color="auto" w:fill="CCEEFF"/>
            <w:vAlign w:val="bottom"/>
            <w:hideMark/>
          </w:tcPr>
          <w:p w14:paraId="3C171586" w14:textId="77777777" w:rsidR="00000000" w:rsidRDefault="0053651E">
            <w:pPr>
              <w:rPr>
                <w:rFonts w:eastAsia="Times New Roman"/>
                <w:sz w:val="20"/>
                <w:szCs w:val="20"/>
              </w:rPr>
            </w:pPr>
            <w:r>
              <w:rPr>
                <w:rFonts w:eastAsia="Times New Roman"/>
                <w:sz w:val="20"/>
                <w:szCs w:val="20"/>
              </w:rPr>
              <w:t> </w:t>
            </w:r>
          </w:p>
        </w:tc>
      </w:tr>
    </w:tbl>
    <w:p w14:paraId="39F256AF"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7795CF6" w14:textId="77777777">
        <w:trPr>
          <w:tblCellSpacing w:w="0" w:type="dxa"/>
        </w:trPr>
        <w:tc>
          <w:tcPr>
            <w:tcW w:w="360" w:type="dxa"/>
            <w:vAlign w:val="center"/>
            <w:hideMark/>
          </w:tcPr>
          <w:p w14:paraId="20F4437B" w14:textId="77777777" w:rsidR="00000000" w:rsidRDefault="0053651E">
            <w:pPr>
              <w:rPr>
                <w:rFonts w:eastAsia="Times New Roman"/>
                <w:sz w:val="20"/>
                <w:szCs w:val="20"/>
              </w:rPr>
            </w:pPr>
            <w:r>
              <w:rPr>
                <w:rFonts w:eastAsia="Times New Roman"/>
                <w:sz w:val="20"/>
                <w:szCs w:val="20"/>
              </w:rPr>
              <w:t> </w:t>
            </w:r>
          </w:p>
        </w:tc>
        <w:tc>
          <w:tcPr>
            <w:tcW w:w="360" w:type="dxa"/>
            <w:hideMark/>
          </w:tcPr>
          <w:p w14:paraId="55CD793C"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46B0CB70" w14:textId="77777777" w:rsidR="00000000" w:rsidRDefault="0053651E">
            <w:pPr>
              <w:pStyle w:val="a3"/>
              <w:spacing w:before="0" w:beforeAutospacing="0" w:after="0" w:afterAutospacing="0"/>
              <w:jc w:val="both"/>
              <w:rPr>
                <w:sz w:val="20"/>
                <w:szCs w:val="20"/>
              </w:rPr>
            </w:pPr>
            <w:r>
              <w:rPr>
                <w:sz w:val="20"/>
                <w:szCs w:val="20"/>
              </w:rPr>
              <w:t>These units are redeemable for cash by the holder or at the Company’s option, shares of the Company’s common stock, based upon the conversion calculation as defined in the agreement. These units are included in Noncontrolling interests on the Company’s Con</w:t>
            </w:r>
            <w:r>
              <w:rPr>
                <w:sz w:val="20"/>
                <w:szCs w:val="20"/>
              </w:rPr>
              <w:t>solidated Balance Sheets.</w:t>
            </w:r>
          </w:p>
        </w:tc>
      </w:tr>
    </w:tbl>
    <w:p w14:paraId="55EFF19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CC15190" w14:textId="77777777">
        <w:trPr>
          <w:tblCellSpacing w:w="0" w:type="dxa"/>
        </w:trPr>
        <w:tc>
          <w:tcPr>
            <w:tcW w:w="360" w:type="dxa"/>
            <w:vAlign w:val="center"/>
            <w:hideMark/>
          </w:tcPr>
          <w:p w14:paraId="71148F89" w14:textId="77777777" w:rsidR="00000000" w:rsidRDefault="0053651E">
            <w:pPr>
              <w:rPr>
                <w:rFonts w:eastAsia="Times New Roman"/>
                <w:sz w:val="20"/>
                <w:szCs w:val="20"/>
              </w:rPr>
            </w:pPr>
            <w:r>
              <w:rPr>
                <w:rFonts w:eastAsia="Times New Roman"/>
                <w:sz w:val="20"/>
                <w:szCs w:val="20"/>
              </w:rPr>
              <w:t> </w:t>
            </w:r>
          </w:p>
        </w:tc>
        <w:tc>
          <w:tcPr>
            <w:tcW w:w="360" w:type="dxa"/>
            <w:hideMark/>
          </w:tcPr>
          <w:p w14:paraId="3CD37EDE"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18B6ED7B" w14:textId="77777777" w:rsidR="00000000" w:rsidRDefault="0053651E">
            <w:pPr>
              <w:pStyle w:val="a3"/>
              <w:spacing w:before="0" w:beforeAutospacing="0" w:after="0" w:afterAutospacing="0"/>
              <w:jc w:val="both"/>
              <w:rPr>
                <w:sz w:val="20"/>
                <w:szCs w:val="20"/>
              </w:rPr>
            </w:pPr>
            <w:r>
              <w:rPr>
                <w:sz w:val="20"/>
                <w:szCs w:val="20"/>
              </w:rPr>
              <w:t>These units are redeemable for cash by the holder or callable by the Company and are included in Redeemable noncontrolling interests on the Company’s Consolidated Balance Sheets.</w:t>
            </w:r>
          </w:p>
        </w:tc>
      </w:tr>
    </w:tbl>
    <w:p w14:paraId="5F62DEE5" w14:textId="77777777" w:rsidR="00000000" w:rsidRDefault="0053651E">
      <w:pPr>
        <w:pStyle w:val="a3"/>
        <w:spacing w:before="0" w:beforeAutospacing="0" w:after="0" w:afterAutospacing="0"/>
        <w:jc w:val="both"/>
        <w:rPr>
          <w:sz w:val="20"/>
          <w:szCs w:val="20"/>
        </w:rPr>
      </w:pPr>
      <w:r>
        <w:rPr>
          <w:sz w:val="20"/>
          <w:szCs w:val="20"/>
        </w:rPr>
        <w:t> </w:t>
      </w:r>
    </w:p>
    <w:p w14:paraId="6F0DF25F" w14:textId="77777777" w:rsidR="00000000" w:rsidRDefault="0053651E">
      <w:pPr>
        <w:pStyle w:val="a3"/>
        <w:spacing w:before="0" w:beforeAutospacing="0" w:after="0" w:afterAutospacing="0"/>
        <w:ind w:left="360"/>
        <w:jc w:val="both"/>
        <w:rPr>
          <w:sz w:val="20"/>
          <w:szCs w:val="20"/>
        </w:rPr>
      </w:pPr>
      <w:r>
        <w:rPr>
          <w:sz w:val="20"/>
          <w:szCs w:val="20"/>
        </w:rPr>
        <w:t>The Company owns a shopping center located in Bay Shore, NY, which was acq</w:t>
      </w:r>
      <w:r>
        <w:rPr>
          <w:sz w:val="20"/>
          <w:szCs w:val="20"/>
        </w:rPr>
        <w:t>uired in</w:t>
      </w:r>
      <w:r>
        <w:rPr>
          <w:sz w:val="20"/>
          <w:szCs w:val="20"/>
        </w:rPr>
        <w:t xml:space="preserve"> </w:t>
      </w:r>
      <w:r>
        <w:rPr>
          <w:rStyle w:val="a6"/>
          <w:i w:val="0"/>
          <w:iCs w:val="0"/>
          <w:sz w:val="20"/>
          <w:szCs w:val="20"/>
        </w:rPr>
        <w:t>2006</w:t>
      </w:r>
      <w:r>
        <w:rPr>
          <w:sz w:val="20"/>
          <w:szCs w:val="20"/>
        </w:rPr>
        <w:t xml:space="preserve"> with the issuance of 647,758 redeemable Class B Units at a par value of $37.24 per unit. The units accrue a return equal to the Company’s common stock dividend and are redeemable for cash by the holder or at the Company’s option, shares of th</w:t>
      </w:r>
      <w:r>
        <w:rPr>
          <w:sz w:val="20"/>
          <w:szCs w:val="20"/>
        </w:rPr>
        <w:t>e Company’s common stock at a ratio of</w:t>
      </w:r>
      <w:r>
        <w:rPr>
          <w:sz w:val="20"/>
          <w:szCs w:val="20"/>
        </w:rPr>
        <w:t xml:space="preserve"> </w:t>
      </w:r>
      <w:r>
        <w:rPr>
          <w:sz w:val="20"/>
          <w:szCs w:val="20"/>
        </w:rPr>
        <w:t>1:1</w:t>
      </w:r>
      <w:r>
        <w:rPr>
          <w:sz w:val="20"/>
          <w:szCs w:val="20"/>
        </w:rPr>
        <w:t>.</w:t>
      </w:r>
      <w:r>
        <w:rPr>
          <w:sz w:val="20"/>
          <w:szCs w:val="20"/>
        </w:rPr>
        <w:t xml:space="preserve"> These units are callable by the Company any time after</w:t>
      </w:r>
      <w:r>
        <w:rPr>
          <w:sz w:val="20"/>
          <w:szCs w:val="20"/>
        </w:rPr>
        <w:t xml:space="preserve"> </w:t>
      </w:r>
      <w:r>
        <w:rPr>
          <w:rStyle w:val="a6"/>
          <w:i w:val="0"/>
          <w:iCs w:val="0"/>
          <w:sz w:val="20"/>
          <w:szCs w:val="20"/>
        </w:rPr>
        <w:t xml:space="preserve">April 3, 2026, </w:t>
      </w:r>
      <w:r>
        <w:rPr>
          <w:sz w:val="20"/>
          <w:szCs w:val="20"/>
        </w:rPr>
        <w:t>and are included in Noncontrolling interests on the Company’s Consolidated Balance Sheets. During</w:t>
      </w:r>
      <w:r>
        <w:rPr>
          <w:sz w:val="20"/>
          <w:szCs w:val="20"/>
        </w:rPr>
        <w:t xml:space="preserve"> </w:t>
      </w:r>
      <w:r>
        <w:rPr>
          <w:rStyle w:val="a6"/>
          <w:i w:val="0"/>
          <w:iCs w:val="0"/>
          <w:sz w:val="20"/>
          <w:szCs w:val="20"/>
        </w:rPr>
        <w:t>2007,</w:t>
      </w:r>
      <w:r>
        <w:rPr>
          <w:sz w:val="20"/>
          <w:szCs w:val="20"/>
        </w:rPr>
        <w:t xml:space="preserve"> 30,000 units, or $1.1 million par valu</w:t>
      </w:r>
      <w:r>
        <w:rPr>
          <w:sz w:val="20"/>
          <w:szCs w:val="20"/>
        </w:rPr>
        <w:t>e, of the Class B Units were redeemed and at the Company’s option settled in cash. In addition, during</w:t>
      </w:r>
      <w:r>
        <w:rPr>
          <w:sz w:val="20"/>
          <w:szCs w:val="20"/>
        </w:rPr>
        <w:t xml:space="preserve"> </w:t>
      </w:r>
      <w:r>
        <w:rPr>
          <w:rStyle w:val="a6"/>
          <w:i w:val="0"/>
          <w:iCs w:val="0"/>
          <w:sz w:val="20"/>
          <w:szCs w:val="20"/>
        </w:rPr>
        <w:t>2019</w:t>
      </w:r>
      <w:r>
        <w:rPr>
          <w:sz w:val="20"/>
          <w:szCs w:val="20"/>
        </w:rPr>
        <w:t xml:space="preserve"> and</w:t>
      </w:r>
      <w:r>
        <w:rPr>
          <w:sz w:val="20"/>
          <w:szCs w:val="20"/>
        </w:rPr>
        <w:t xml:space="preserve"> </w:t>
      </w:r>
      <w:r>
        <w:rPr>
          <w:rStyle w:val="a6"/>
          <w:i w:val="0"/>
          <w:iCs w:val="0"/>
          <w:sz w:val="20"/>
          <w:szCs w:val="20"/>
        </w:rPr>
        <w:t>2018,</w:t>
      </w:r>
      <w:r>
        <w:rPr>
          <w:sz w:val="20"/>
          <w:szCs w:val="20"/>
        </w:rPr>
        <w:t xml:space="preserve"> 188,951 and 25,970 units, or $8.0 million and $1.1 million book value, respectively, of the Class B Units were redeemed and at the Company</w:t>
      </w:r>
      <w:r>
        <w:rPr>
          <w:sz w:val="20"/>
          <w:szCs w:val="20"/>
        </w:rPr>
        <w:t>’s option settled in cash for $4.0 million and $0.5 million, respectively. The redemption value of these units is calculated using the</w:t>
      </w:r>
      <w:r>
        <w:rPr>
          <w:sz w:val="20"/>
          <w:szCs w:val="20"/>
        </w:rPr>
        <w:t xml:space="preserve"> </w:t>
      </w:r>
      <w:r>
        <w:rPr>
          <w:rStyle w:val="a6"/>
          <w:i w:val="0"/>
          <w:iCs w:val="0"/>
          <w:sz w:val="20"/>
          <w:szCs w:val="20"/>
        </w:rPr>
        <w:t>30</w:t>
      </w:r>
      <w:r>
        <w:rPr>
          <w:sz w:val="20"/>
          <w:szCs w:val="20"/>
        </w:rPr>
        <w:t xml:space="preserve"> day weighted average closing price of the Company's common stock prior to redemption.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rStyle w:val="a6"/>
          <w:i w:val="0"/>
          <w:iCs w:val="0"/>
          <w:sz w:val="20"/>
          <w:szCs w:val="20"/>
        </w:rPr>
        <w:t>,</w:t>
      </w:r>
      <w:r>
        <w:rPr>
          <w:sz w:val="20"/>
          <w:szCs w:val="20"/>
        </w:rPr>
        <w:t xml:space="preserve"> noncontrolling interest relating to the remaining Class B Units was $16.2 million and $24.3 million, respectively.</w:t>
      </w:r>
    </w:p>
    <w:p w14:paraId="05181808" w14:textId="77777777" w:rsidR="00000000" w:rsidRDefault="0053651E">
      <w:pPr>
        <w:pStyle w:val="a3"/>
        <w:spacing w:before="0" w:beforeAutospacing="0" w:after="0" w:afterAutospacing="0"/>
        <w:ind w:left="360"/>
        <w:jc w:val="both"/>
        <w:rPr>
          <w:sz w:val="20"/>
          <w:szCs w:val="20"/>
        </w:rPr>
      </w:pPr>
      <w:r>
        <w:rPr>
          <w:sz w:val="20"/>
          <w:szCs w:val="20"/>
        </w:rPr>
        <w:t> </w:t>
      </w:r>
    </w:p>
    <w:p w14:paraId="085EA594" w14:textId="77777777" w:rsidR="00000000" w:rsidRDefault="0053651E">
      <w:pPr>
        <w:pStyle w:val="a3"/>
        <w:spacing w:before="0" w:beforeAutospacing="0" w:after="0" w:afterAutospacing="0"/>
        <w:ind w:left="360"/>
        <w:jc w:val="both"/>
        <w:rPr>
          <w:sz w:val="20"/>
          <w:szCs w:val="20"/>
        </w:rPr>
      </w:pPr>
      <w:r>
        <w:rPr>
          <w:sz w:val="20"/>
          <w:szCs w:val="20"/>
        </w:rPr>
        <w:t>Noncontrolling interests also includes 138,015 convertible units issued during</w:t>
      </w:r>
      <w:r>
        <w:rPr>
          <w:sz w:val="20"/>
          <w:szCs w:val="20"/>
        </w:rPr>
        <w:t xml:space="preserve"> </w:t>
      </w:r>
      <w:r>
        <w:rPr>
          <w:rStyle w:val="a6"/>
          <w:i w:val="0"/>
          <w:iCs w:val="0"/>
          <w:sz w:val="20"/>
          <w:szCs w:val="20"/>
        </w:rPr>
        <w:t>2006</w:t>
      </w:r>
      <w:r>
        <w:rPr>
          <w:sz w:val="20"/>
          <w:szCs w:val="20"/>
        </w:rPr>
        <w:t xml:space="preserve"> by the Company, which were valued at $5.3 million, in</w:t>
      </w:r>
      <w:r>
        <w:rPr>
          <w:sz w:val="20"/>
          <w:szCs w:val="20"/>
        </w:rPr>
        <w:t>cluding a fair market value adjustment of $0.3 million, related to an interest acquired in an office building located in Albany, NY. These units are currently redeemable at the option of the holder for cash or at the option of the Company for the Company’s</w:t>
      </w:r>
      <w:r>
        <w:rPr>
          <w:sz w:val="20"/>
          <w:szCs w:val="20"/>
        </w:rPr>
        <w:t xml:space="preserve"> common stock at a ratio of</w:t>
      </w:r>
      <w:r>
        <w:rPr>
          <w:sz w:val="20"/>
          <w:szCs w:val="20"/>
        </w:rPr>
        <w:t xml:space="preserve"> </w:t>
      </w:r>
      <w:r>
        <w:rPr>
          <w:rStyle w:val="a6"/>
          <w:i w:val="0"/>
          <w:iCs w:val="0"/>
          <w:sz w:val="20"/>
          <w:szCs w:val="20"/>
        </w:rPr>
        <w:t>1:1.</w:t>
      </w:r>
      <w:r>
        <w:rPr>
          <w:sz w:val="20"/>
          <w:szCs w:val="20"/>
        </w:rPr>
        <w:t xml:space="preserve"> The holder is entitled to a distribution equal to the dividend rate of the Company’s common stock. </w:t>
      </w:r>
    </w:p>
    <w:p w14:paraId="3202DADC" w14:textId="77777777" w:rsidR="00000000" w:rsidRDefault="0053651E">
      <w:pPr>
        <w:pStyle w:val="a3"/>
        <w:spacing w:before="0" w:beforeAutospacing="0" w:after="0" w:afterAutospacing="0"/>
        <w:ind w:left="360"/>
        <w:jc w:val="both"/>
        <w:rPr>
          <w:sz w:val="20"/>
          <w:szCs w:val="20"/>
        </w:rPr>
      </w:pPr>
      <w:r>
        <w:rPr>
          <w:sz w:val="20"/>
          <w:szCs w:val="20"/>
        </w:rPr>
        <w:t> </w:t>
      </w:r>
    </w:p>
    <w:p w14:paraId="3292F753" w14:textId="77777777" w:rsidR="00000000" w:rsidRDefault="0053651E">
      <w:pPr>
        <w:pStyle w:val="a3"/>
        <w:spacing w:before="0" w:beforeAutospacing="0" w:after="0" w:afterAutospacing="0"/>
        <w:rPr>
          <w:sz w:val="20"/>
          <w:szCs w:val="20"/>
        </w:rPr>
      </w:pPr>
      <w:r>
        <w:rPr>
          <w:i/>
          <w:iCs/>
          <w:sz w:val="20"/>
          <w:szCs w:val="20"/>
        </w:rPr>
        <w:t>       Redeemable noncontrolling interests</w:t>
      </w:r>
    </w:p>
    <w:p w14:paraId="4B26F6FB" w14:textId="77777777" w:rsidR="00000000" w:rsidRDefault="0053651E">
      <w:pPr>
        <w:pStyle w:val="a3"/>
        <w:spacing w:before="0" w:beforeAutospacing="0" w:after="0" w:afterAutospacing="0"/>
        <w:rPr>
          <w:sz w:val="20"/>
          <w:szCs w:val="20"/>
        </w:rPr>
      </w:pPr>
      <w:r>
        <w:rPr>
          <w:sz w:val="20"/>
          <w:szCs w:val="20"/>
        </w:rPr>
        <w:t> </w:t>
      </w:r>
    </w:p>
    <w:p w14:paraId="30DDCE21" w14:textId="77777777" w:rsidR="00000000" w:rsidRDefault="0053651E">
      <w:pPr>
        <w:pStyle w:val="a3"/>
        <w:spacing w:before="0" w:beforeAutospacing="0" w:after="0" w:afterAutospacing="0"/>
        <w:ind w:left="360"/>
        <w:jc w:val="both"/>
        <w:rPr>
          <w:sz w:val="20"/>
          <w:szCs w:val="20"/>
        </w:rPr>
      </w:pPr>
      <w:r>
        <w:rPr>
          <w:sz w:val="20"/>
          <w:szCs w:val="20"/>
        </w:rPr>
        <w:t>Included within noncontrolling interests are units that were determined to b</w:t>
      </w:r>
      <w:r>
        <w:rPr>
          <w:sz w:val="20"/>
          <w:szCs w:val="20"/>
        </w:rPr>
        <w:t>e contingently redeemable that are classified as Redeemable noncontrolling interests and presented in the mezzanine section between Total liabilities and Stockholder’s equity on the Company’s Consolidated Balance Sheets.</w:t>
      </w:r>
    </w:p>
    <w:p w14:paraId="4839A4C0" w14:textId="77777777" w:rsidR="00000000" w:rsidRDefault="0053651E">
      <w:pPr>
        <w:pStyle w:val="a3"/>
        <w:spacing w:before="0" w:beforeAutospacing="0" w:after="0" w:afterAutospacing="0"/>
        <w:ind w:left="360"/>
        <w:jc w:val="both"/>
        <w:rPr>
          <w:sz w:val="20"/>
          <w:szCs w:val="20"/>
        </w:rPr>
      </w:pPr>
      <w:r>
        <w:rPr>
          <w:sz w:val="20"/>
          <w:szCs w:val="20"/>
        </w:rPr>
        <w:t> </w:t>
      </w:r>
    </w:p>
    <w:p w14:paraId="66722EA4" w14:textId="77777777" w:rsidR="00000000" w:rsidRDefault="0053651E">
      <w:pPr>
        <w:pStyle w:val="a3"/>
        <w:spacing w:before="0" w:beforeAutospacing="0" w:after="0" w:afterAutospacing="0"/>
        <w:ind w:left="360"/>
        <w:jc w:val="both"/>
        <w:rPr>
          <w:sz w:val="20"/>
          <w:szCs w:val="20"/>
        </w:rPr>
      </w:pPr>
      <w:r>
        <w:rPr>
          <w:sz w:val="20"/>
          <w:szCs w:val="20"/>
        </w:rPr>
        <w:t xml:space="preserve">The following table presents the </w:t>
      </w:r>
      <w:r>
        <w:rPr>
          <w:sz w:val="20"/>
          <w:szCs w:val="20"/>
        </w:rPr>
        <w:t>change in the redemption value of the Redeemable noncontrolling interests 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(in thousands):</w:t>
      </w:r>
    </w:p>
    <w:p w14:paraId="45744210"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650"/>
        <w:gridCol w:w="61"/>
        <w:gridCol w:w="100"/>
        <w:gridCol w:w="978"/>
        <w:gridCol w:w="67"/>
        <w:gridCol w:w="57"/>
        <w:gridCol w:w="100"/>
        <w:gridCol w:w="980"/>
        <w:gridCol w:w="67"/>
      </w:tblGrid>
      <w:tr w:rsidR="00000000" w14:paraId="4B957607" w14:textId="77777777">
        <w:trPr>
          <w:tblCellSpacing w:w="0" w:type="dxa"/>
        </w:trPr>
        <w:tc>
          <w:tcPr>
            <w:tcW w:w="3300" w:type="pct"/>
            <w:vAlign w:val="bottom"/>
            <w:hideMark/>
          </w:tcPr>
          <w:p w14:paraId="18173CA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E7E882B"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73AA79F"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503D5BF9"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CFE37CC"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FAF6CDF"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27F05FBC" w14:textId="77777777" w:rsidR="00000000" w:rsidRDefault="0053651E">
            <w:pPr>
              <w:rPr>
                <w:rFonts w:eastAsia="Times New Roman"/>
                <w:sz w:val="20"/>
                <w:szCs w:val="20"/>
              </w:rPr>
            </w:pPr>
            <w:r>
              <w:rPr>
                <w:rFonts w:eastAsia="Times New Roman"/>
                <w:sz w:val="20"/>
                <w:szCs w:val="20"/>
              </w:rPr>
              <w:t> </w:t>
            </w:r>
          </w:p>
        </w:tc>
      </w:tr>
      <w:tr w:rsidR="00000000" w14:paraId="33C71AA0" w14:textId="77777777">
        <w:trPr>
          <w:tblCellSpacing w:w="0" w:type="dxa"/>
        </w:trPr>
        <w:tc>
          <w:tcPr>
            <w:tcW w:w="3300" w:type="pct"/>
            <w:shd w:val="clear" w:color="auto" w:fill="CCEEFF"/>
            <w:vAlign w:val="bottom"/>
            <w:hideMark/>
          </w:tcPr>
          <w:p w14:paraId="3FDDD65D" w14:textId="77777777" w:rsidR="00000000" w:rsidRDefault="0053651E">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3C75963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15D95"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33FD22D" w14:textId="77777777" w:rsidR="00000000" w:rsidRDefault="0053651E">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14:paraId="226EF9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5D75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68FAE3"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486DA4FD" w14:textId="77777777" w:rsidR="00000000" w:rsidRDefault="0053651E">
            <w:pPr>
              <w:jc w:val="right"/>
              <w:rPr>
                <w:rFonts w:eastAsia="Times New Roman"/>
                <w:sz w:val="20"/>
                <w:szCs w:val="20"/>
              </w:rPr>
            </w:pPr>
            <w:r>
              <w:rPr>
                <w:rFonts w:eastAsia="Times New Roman"/>
                <w:sz w:val="20"/>
                <w:szCs w:val="20"/>
              </w:rPr>
              <w:t>16,143</w:t>
            </w:r>
          </w:p>
        </w:tc>
        <w:tc>
          <w:tcPr>
            <w:tcW w:w="50" w:type="pct"/>
            <w:shd w:val="clear" w:color="auto" w:fill="CCEEFF"/>
            <w:vAlign w:val="bottom"/>
            <w:hideMark/>
          </w:tcPr>
          <w:p w14:paraId="315F658A" w14:textId="77777777" w:rsidR="00000000" w:rsidRDefault="0053651E">
            <w:pPr>
              <w:rPr>
                <w:rFonts w:eastAsia="Times New Roman"/>
                <w:sz w:val="20"/>
                <w:szCs w:val="20"/>
              </w:rPr>
            </w:pPr>
            <w:r>
              <w:rPr>
                <w:rFonts w:eastAsia="Times New Roman"/>
                <w:sz w:val="20"/>
                <w:szCs w:val="20"/>
              </w:rPr>
              <w:t> </w:t>
            </w:r>
          </w:p>
        </w:tc>
      </w:tr>
      <w:tr w:rsidR="00000000" w14:paraId="3C8FF111" w14:textId="77777777">
        <w:trPr>
          <w:tblCellSpacing w:w="0" w:type="dxa"/>
        </w:trPr>
        <w:tc>
          <w:tcPr>
            <w:tcW w:w="3300" w:type="pct"/>
            <w:shd w:val="clear" w:color="auto" w:fill="FFFFFF"/>
            <w:vAlign w:val="bottom"/>
            <w:hideMark/>
          </w:tcPr>
          <w:p w14:paraId="78554E81" w14:textId="77777777" w:rsidR="00000000" w:rsidRDefault="0053651E">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14:paraId="7BB197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13FE57"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511489E" w14:textId="77777777" w:rsidR="00000000" w:rsidRDefault="0053651E">
            <w:pPr>
              <w:jc w:val="right"/>
              <w:rPr>
                <w:rFonts w:eastAsia="Times New Roman"/>
                <w:sz w:val="20"/>
                <w:szCs w:val="20"/>
              </w:rPr>
            </w:pPr>
            <w:r>
              <w:rPr>
                <w:rFonts w:eastAsia="Times New Roman"/>
                <w:sz w:val="20"/>
                <w:szCs w:val="20"/>
              </w:rPr>
              <w:t>358</w:t>
            </w:r>
          </w:p>
        </w:tc>
        <w:tc>
          <w:tcPr>
            <w:tcW w:w="50" w:type="pct"/>
            <w:shd w:val="clear" w:color="auto" w:fill="FFFFFF"/>
            <w:vAlign w:val="bottom"/>
            <w:hideMark/>
          </w:tcPr>
          <w:p w14:paraId="031B96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6153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DC6F2E"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7A21347" w14:textId="77777777" w:rsidR="00000000" w:rsidRDefault="0053651E">
            <w:pPr>
              <w:jc w:val="right"/>
              <w:rPr>
                <w:rFonts w:eastAsia="Times New Roman"/>
                <w:sz w:val="20"/>
                <w:szCs w:val="20"/>
              </w:rPr>
            </w:pPr>
            <w:r>
              <w:rPr>
                <w:rFonts w:eastAsia="Times New Roman"/>
                <w:sz w:val="20"/>
                <w:szCs w:val="20"/>
              </w:rPr>
              <w:t>373</w:t>
            </w:r>
          </w:p>
        </w:tc>
        <w:tc>
          <w:tcPr>
            <w:tcW w:w="50" w:type="pct"/>
            <w:shd w:val="clear" w:color="auto" w:fill="FFFFFF"/>
            <w:vAlign w:val="bottom"/>
            <w:hideMark/>
          </w:tcPr>
          <w:p w14:paraId="6FCA3CEB" w14:textId="77777777" w:rsidR="00000000" w:rsidRDefault="0053651E">
            <w:pPr>
              <w:rPr>
                <w:rFonts w:eastAsia="Times New Roman"/>
                <w:sz w:val="20"/>
                <w:szCs w:val="20"/>
              </w:rPr>
            </w:pPr>
            <w:r>
              <w:rPr>
                <w:rFonts w:eastAsia="Times New Roman"/>
                <w:sz w:val="20"/>
                <w:szCs w:val="20"/>
              </w:rPr>
              <w:t> </w:t>
            </w:r>
          </w:p>
        </w:tc>
      </w:tr>
      <w:tr w:rsidR="00000000" w14:paraId="5EF5C475" w14:textId="77777777">
        <w:trPr>
          <w:tblCellSpacing w:w="0" w:type="dxa"/>
        </w:trPr>
        <w:tc>
          <w:tcPr>
            <w:tcW w:w="3300" w:type="pct"/>
            <w:shd w:val="clear" w:color="auto" w:fill="CCEEFF"/>
            <w:vAlign w:val="bottom"/>
            <w:hideMark/>
          </w:tcPr>
          <w:p w14:paraId="791FF004" w14:textId="77777777" w:rsidR="00000000" w:rsidRDefault="0053651E">
            <w:pPr>
              <w:pStyle w:val="a3"/>
              <w:spacing w:before="0" w:beforeAutospacing="0" w:after="0" w:afterAutospacing="0"/>
              <w:ind w:left="180"/>
              <w:rPr>
                <w:sz w:val="20"/>
                <w:szCs w:val="20"/>
              </w:rPr>
            </w:pPr>
            <w:r>
              <w:rPr>
                <w:sz w:val="20"/>
                <w:szCs w:val="20"/>
              </w:rPr>
              <w:t>Distributions</w:t>
            </w:r>
          </w:p>
        </w:tc>
        <w:tc>
          <w:tcPr>
            <w:tcW w:w="50" w:type="pct"/>
            <w:shd w:val="clear" w:color="auto" w:fill="CCEEFF"/>
            <w:vAlign w:val="bottom"/>
            <w:hideMark/>
          </w:tcPr>
          <w:p w14:paraId="5947B7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4FC38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20D5250" w14:textId="77777777" w:rsidR="00000000" w:rsidRDefault="0053651E">
            <w:pPr>
              <w:jc w:val="right"/>
              <w:rPr>
                <w:rFonts w:eastAsia="Times New Roman"/>
                <w:sz w:val="20"/>
                <w:szCs w:val="20"/>
              </w:rPr>
            </w:pPr>
            <w:r>
              <w:rPr>
                <w:rFonts w:eastAsia="Times New Roman"/>
                <w:sz w:val="20"/>
                <w:szCs w:val="20"/>
              </w:rPr>
              <w:t>(345</w:t>
            </w:r>
          </w:p>
        </w:tc>
        <w:tc>
          <w:tcPr>
            <w:tcW w:w="50" w:type="pct"/>
            <w:shd w:val="clear" w:color="auto" w:fill="CCEEFF"/>
            <w:vAlign w:val="bottom"/>
            <w:hideMark/>
          </w:tcPr>
          <w:p w14:paraId="741B7DF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DBD0B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7CAC32"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1E6D9A0" w14:textId="77777777" w:rsidR="00000000" w:rsidRDefault="0053651E">
            <w:pPr>
              <w:jc w:val="right"/>
              <w:rPr>
                <w:rFonts w:eastAsia="Times New Roman"/>
                <w:sz w:val="20"/>
                <w:szCs w:val="20"/>
              </w:rPr>
            </w:pPr>
            <w:r>
              <w:rPr>
                <w:rFonts w:eastAsia="Times New Roman"/>
                <w:sz w:val="20"/>
                <w:szCs w:val="20"/>
              </w:rPr>
              <w:t>(355</w:t>
            </w:r>
          </w:p>
        </w:tc>
        <w:tc>
          <w:tcPr>
            <w:tcW w:w="50" w:type="pct"/>
            <w:shd w:val="clear" w:color="auto" w:fill="CCEEFF"/>
            <w:vAlign w:val="bottom"/>
            <w:hideMark/>
          </w:tcPr>
          <w:p w14:paraId="30379256" w14:textId="77777777" w:rsidR="00000000" w:rsidRDefault="0053651E">
            <w:pPr>
              <w:rPr>
                <w:rFonts w:eastAsia="Times New Roman"/>
                <w:sz w:val="20"/>
                <w:szCs w:val="20"/>
              </w:rPr>
            </w:pPr>
            <w:r>
              <w:rPr>
                <w:rFonts w:eastAsia="Times New Roman"/>
                <w:sz w:val="20"/>
                <w:szCs w:val="20"/>
              </w:rPr>
              <w:t>)</w:t>
            </w:r>
          </w:p>
        </w:tc>
      </w:tr>
      <w:tr w:rsidR="00000000" w14:paraId="65242020" w14:textId="77777777">
        <w:trPr>
          <w:tblCellSpacing w:w="0" w:type="dxa"/>
        </w:trPr>
        <w:tc>
          <w:tcPr>
            <w:tcW w:w="3300" w:type="pct"/>
            <w:vAlign w:val="center"/>
            <w:hideMark/>
          </w:tcPr>
          <w:p w14:paraId="157EA6D4" w14:textId="77777777" w:rsidR="00000000" w:rsidRDefault="0053651E">
            <w:pPr>
              <w:rPr>
                <w:rFonts w:eastAsia="Times New Roman"/>
                <w:sz w:val="20"/>
                <w:szCs w:val="20"/>
              </w:rPr>
            </w:pPr>
            <w:r>
              <w:rPr>
                <w:rFonts w:eastAsia="Times New Roman"/>
                <w:sz w:val="20"/>
                <w:szCs w:val="20"/>
              </w:rPr>
              <w:t>    Redemption of redeemable units (1)</w:t>
            </w:r>
          </w:p>
        </w:tc>
        <w:tc>
          <w:tcPr>
            <w:tcW w:w="50" w:type="pct"/>
            <w:vAlign w:val="center"/>
            <w:hideMark/>
          </w:tcPr>
          <w:p w14:paraId="36D2E331"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53628FEA" w14:textId="77777777" w:rsidR="00000000" w:rsidRDefault="0053651E">
            <w:pPr>
              <w:rPr>
                <w:rFonts w:eastAsia="Times New Roman"/>
                <w:sz w:val="20"/>
                <w:szCs w:val="20"/>
              </w:rPr>
            </w:pPr>
            <w:r>
              <w:rPr>
                <w:rFonts w:eastAsia="Times New Roman"/>
                <w:sz w:val="20"/>
                <w:szCs w:val="20"/>
              </w:rPr>
              <w:t> </w:t>
            </w:r>
          </w:p>
        </w:tc>
        <w:tc>
          <w:tcPr>
            <w:tcW w:w="700" w:type="pct"/>
            <w:vAlign w:val="center"/>
            <w:hideMark/>
          </w:tcPr>
          <w:p w14:paraId="0737D7EE" w14:textId="77777777" w:rsidR="00000000" w:rsidRDefault="0053651E">
            <w:pPr>
              <w:jc w:val="right"/>
              <w:rPr>
                <w:rFonts w:eastAsia="Times New Roman"/>
                <w:sz w:val="20"/>
                <w:szCs w:val="20"/>
              </w:rPr>
            </w:pPr>
            <w:r>
              <w:rPr>
                <w:rFonts w:eastAsia="Times New Roman"/>
                <w:sz w:val="20"/>
                <w:szCs w:val="20"/>
              </w:rPr>
              <w:t>(5,752</w:t>
            </w:r>
          </w:p>
        </w:tc>
        <w:tc>
          <w:tcPr>
            <w:tcW w:w="50" w:type="pct"/>
            <w:tcMar>
              <w:top w:w="0" w:type="dxa"/>
              <w:left w:w="0" w:type="dxa"/>
              <w:bottom w:w="15" w:type="dxa"/>
              <w:right w:w="0" w:type="dxa"/>
            </w:tcMar>
            <w:vAlign w:val="center"/>
            <w:hideMark/>
          </w:tcPr>
          <w:p w14:paraId="046389B9" w14:textId="77777777" w:rsidR="00000000" w:rsidRDefault="0053651E">
            <w:pPr>
              <w:rPr>
                <w:rFonts w:eastAsia="Times New Roman"/>
                <w:sz w:val="20"/>
                <w:szCs w:val="20"/>
              </w:rPr>
            </w:pPr>
            <w:r>
              <w:rPr>
                <w:rFonts w:eastAsia="Times New Roman"/>
                <w:sz w:val="20"/>
                <w:szCs w:val="20"/>
              </w:rPr>
              <w:t>)</w:t>
            </w:r>
          </w:p>
        </w:tc>
        <w:tc>
          <w:tcPr>
            <w:tcW w:w="50" w:type="pct"/>
            <w:vAlign w:val="center"/>
            <w:hideMark/>
          </w:tcPr>
          <w:p w14:paraId="79A743E3"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20E458D2" w14:textId="77777777" w:rsidR="00000000" w:rsidRDefault="0053651E">
            <w:pPr>
              <w:rPr>
                <w:rFonts w:eastAsia="Times New Roman"/>
                <w:sz w:val="20"/>
                <w:szCs w:val="20"/>
              </w:rPr>
            </w:pPr>
            <w:r>
              <w:rPr>
                <w:rFonts w:eastAsia="Times New Roman"/>
                <w:sz w:val="20"/>
                <w:szCs w:val="20"/>
              </w:rPr>
              <w:t> </w:t>
            </w:r>
          </w:p>
        </w:tc>
        <w:tc>
          <w:tcPr>
            <w:tcW w:w="700" w:type="pct"/>
            <w:vAlign w:val="center"/>
            <w:hideMark/>
          </w:tcPr>
          <w:p w14:paraId="733045C8" w14:textId="77777777" w:rsidR="00000000" w:rsidRDefault="0053651E">
            <w:pPr>
              <w:jc w:val="right"/>
              <w:rPr>
                <w:rFonts w:eastAsia="Times New Roman"/>
                <w:sz w:val="20"/>
                <w:szCs w:val="20"/>
              </w:rPr>
            </w:pPr>
            <w:r>
              <w:rPr>
                <w:rFonts w:eastAsia="Times New Roman"/>
                <w:sz w:val="20"/>
                <w:szCs w:val="20"/>
              </w:rPr>
              <w:t>-</w:t>
            </w:r>
          </w:p>
        </w:tc>
        <w:tc>
          <w:tcPr>
            <w:tcW w:w="50" w:type="pct"/>
            <w:tcMar>
              <w:top w:w="0" w:type="dxa"/>
              <w:left w:w="0" w:type="dxa"/>
              <w:bottom w:w="15" w:type="dxa"/>
              <w:right w:w="0" w:type="dxa"/>
            </w:tcMar>
            <w:vAlign w:val="center"/>
            <w:hideMark/>
          </w:tcPr>
          <w:p w14:paraId="1DF1ED2A" w14:textId="77777777" w:rsidR="00000000" w:rsidRDefault="0053651E">
            <w:pPr>
              <w:rPr>
                <w:rFonts w:eastAsia="Times New Roman"/>
                <w:sz w:val="20"/>
                <w:szCs w:val="20"/>
              </w:rPr>
            </w:pPr>
            <w:r>
              <w:rPr>
                <w:rFonts w:eastAsia="Times New Roman"/>
                <w:sz w:val="20"/>
                <w:szCs w:val="20"/>
              </w:rPr>
              <w:t> </w:t>
            </w:r>
          </w:p>
        </w:tc>
      </w:tr>
      <w:tr w:rsidR="00000000" w14:paraId="3D0F6BA2" w14:textId="77777777">
        <w:trPr>
          <w:tblCellSpacing w:w="0" w:type="dxa"/>
        </w:trPr>
        <w:tc>
          <w:tcPr>
            <w:tcW w:w="3300" w:type="pct"/>
            <w:shd w:val="clear" w:color="auto" w:fill="FFFFFF"/>
            <w:vAlign w:val="bottom"/>
            <w:hideMark/>
          </w:tcPr>
          <w:p w14:paraId="35F14A7C" w14:textId="77777777" w:rsidR="00000000" w:rsidRDefault="0053651E">
            <w:pPr>
              <w:pStyle w:val="a3"/>
              <w:spacing w:before="0" w:beforeAutospacing="0" w:after="0" w:afterAutospacing="0"/>
              <w:ind w:left="180"/>
              <w:rPr>
                <w:sz w:val="20"/>
                <w:szCs w:val="20"/>
              </w:rPr>
            </w:pPr>
            <w:r>
              <w:rPr>
                <w:sz w:val="20"/>
                <w:szCs w:val="20"/>
              </w:rPr>
              <w:t>Adjustment to estimated redemption value (2)</w:t>
            </w:r>
          </w:p>
        </w:tc>
        <w:tc>
          <w:tcPr>
            <w:tcW w:w="50" w:type="pct"/>
            <w:shd w:val="clear" w:color="auto" w:fill="FFFFFF"/>
            <w:vAlign w:val="bottom"/>
            <w:hideMark/>
          </w:tcPr>
          <w:p w14:paraId="04C34F3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3C3A8FB"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14368C8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BB943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622AE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A14CB38"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2AC4DB04" w14:textId="77777777" w:rsidR="00000000" w:rsidRDefault="0053651E">
            <w:pPr>
              <w:jc w:val="right"/>
              <w:rPr>
                <w:rFonts w:eastAsia="Times New Roman"/>
                <w:sz w:val="20"/>
                <w:szCs w:val="20"/>
              </w:rPr>
            </w:pPr>
            <w:r>
              <w:rPr>
                <w:rFonts w:eastAsia="Times New Roman"/>
                <w:sz w:val="20"/>
                <w:szCs w:val="20"/>
              </w:rPr>
              <w:t>7,521</w:t>
            </w:r>
          </w:p>
        </w:tc>
        <w:tc>
          <w:tcPr>
            <w:tcW w:w="50" w:type="pct"/>
            <w:shd w:val="clear" w:color="auto" w:fill="FFFFFF"/>
            <w:tcMar>
              <w:top w:w="0" w:type="dxa"/>
              <w:left w:w="0" w:type="dxa"/>
              <w:bottom w:w="15" w:type="dxa"/>
              <w:right w:w="0" w:type="dxa"/>
            </w:tcMar>
            <w:vAlign w:val="bottom"/>
            <w:hideMark/>
          </w:tcPr>
          <w:p w14:paraId="5D1300B8" w14:textId="77777777" w:rsidR="00000000" w:rsidRDefault="0053651E">
            <w:pPr>
              <w:rPr>
                <w:rFonts w:eastAsia="Times New Roman"/>
                <w:sz w:val="20"/>
                <w:szCs w:val="20"/>
              </w:rPr>
            </w:pPr>
            <w:r>
              <w:rPr>
                <w:rFonts w:eastAsia="Times New Roman"/>
                <w:sz w:val="20"/>
                <w:szCs w:val="20"/>
              </w:rPr>
              <w:t> </w:t>
            </w:r>
          </w:p>
        </w:tc>
      </w:tr>
      <w:tr w:rsidR="00000000" w14:paraId="083A1D88" w14:textId="77777777">
        <w:trPr>
          <w:tblCellSpacing w:w="0" w:type="dxa"/>
        </w:trPr>
        <w:tc>
          <w:tcPr>
            <w:tcW w:w="3300" w:type="pct"/>
            <w:shd w:val="clear" w:color="auto" w:fill="CCEEFF"/>
            <w:vAlign w:val="bottom"/>
            <w:hideMark/>
          </w:tcPr>
          <w:p w14:paraId="13A1090F" w14:textId="77777777" w:rsidR="00000000" w:rsidRDefault="0053651E">
            <w:pPr>
              <w:pStyle w:val="a3"/>
              <w:spacing w:before="0" w:beforeAutospacing="0" w:after="0" w:afterAutospacing="0"/>
              <w:rPr>
                <w:sz w:val="20"/>
                <w:szCs w:val="20"/>
              </w:rPr>
            </w:pPr>
            <w:r>
              <w:rPr>
                <w:sz w:val="20"/>
                <w:szCs w:val="20"/>
              </w:rPr>
              <w:t>Balance at December 31,</w:t>
            </w:r>
          </w:p>
        </w:tc>
        <w:tc>
          <w:tcPr>
            <w:tcW w:w="50" w:type="pct"/>
            <w:shd w:val="clear" w:color="auto" w:fill="CCEEFF"/>
            <w:vAlign w:val="bottom"/>
            <w:hideMark/>
          </w:tcPr>
          <w:p w14:paraId="23E54AC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E73B02E" w14:textId="77777777" w:rsidR="00000000" w:rsidRDefault="0053651E">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14:paraId="273AAB68" w14:textId="77777777" w:rsidR="00000000" w:rsidRDefault="0053651E">
            <w:pPr>
              <w:jc w:val="right"/>
              <w:rPr>
                <w:rFonts w:eastAsia="Times New Roman"/>
                <w:sz w:val="20"/>
                <w:szCs w:val="20"/>
              </w:rPr>
            </w:pPr>
            <w:r>
              <w:rPr>
                <w:rFonts w:eastAsia="Times New Roman"/>
                <w:b/>
                <w:bCs/>
                <w:sz w:val="20"/>
                <w:szCs w:val="20"/>
              </w:rPr>
              <w:t>17,943</w:t>
            </w:r>
          </w:p>
        </w:tc>
        <w:tc>
          <w:tcPr>
            <w:tcW w:w="50" w:type="pct"/>
            <w:shd w:val="clear" w:color="auto" w:fill="CCEEFF"/>
            <w:tcMar>
              <w:top w:w="0" w:type="dxa"/>
              <w:left w:w="0" w:type="dxa"/>
              <w:bottom w:w="45" w:type="dxa"/>
              <w:right w:w="0" w:type="dxa"/>
            </w:tcMar>
            <w:vAlign w:val="bottom"/>
            <w:hideMark/>
          </w:tcPr>
          <w:p w14:paraId="10CE6E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6B532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62A3D6" w14:textId="77777777" w:rsidR="00000000" w:rsidRDefault="0053651E">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14:paraId="7D34354F" w14:textId="77777777" w:rsidR="00000000" w:rsidRDefault="0053651E">
            <w:pPr>
              <w:jc w:val="right"/>
              <w:rPr>
                <w:rFonts w:eastAsia="Times New Roman"/>
                <w:sz w:val="20"/>
                <w:szCs w:val="20"/>
              </w:rPr>
            </w:pPr>
            <w:r>
              <w:rPr>
                <w:rFonts w:eastAsia="Times New Roman"/>
                <w:b/>
                <w:bCs/>
                <w:sz w:val="20"/>
                <w:szCs w:val="20"/>
              </w:rPr>
              <w:t>23,682</w:t>
            </w:r>
          </w:p>
        </w:tc>
        <w:tc>
          <w:tcPr>
            <w:tcW w:w="50" w:type="pct"/>
            <w:shd w:val="clear" w:color="auto" w:fill="CCEEFF"/>
            <w:tcMar>
              <w:top w:w="0" w:type="dxa"/>
              <w:left w:w="0" w:type="dxa"/>
              <w:bottom w:w="45" w:type="dxa"/>
              <w:right w:w="0" w:type="dxa"/>
            </w:tcMar>
            <w:vAlign w:val="bottom"/>
            <w:hideMark/>
          </w:tcPr>
          <w:p w14:paraId="56EE1F78" w14:textId="77777777" w:rsidR="00000000" w:rsidRDefault="0053651E">
            <w:pPr>
              <w:rPr>
                <w:rFonts w:eastAsia="Times New Roman"/>
                <w:sz w:val="20"/>
                <w:szCs w:val="20"/>
              </w:rPr>
            </w:pPr>
            <w:r>
              <w:rPr>
                <w:rFonts w:eastAsia="Times New Roman"/>
                <w:sz w:val="20"/>
                <w:szCs w:val="20"/>
              </w:rPr>
              <w:t> </w:t>
            </w:r>
          </w:p>
        </w:tc>
      </w:tr>
    </w:tbl>
    <w:p w14:paraId="388BA334"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AB1DD68" w14:textId="77777777">
        <w:trPr>
          <w:tblCellSpacing w:w="0" w:type="dxa"/>
        </w:trPr>
        <w:tc>
          <w:tcPr>
            <w:tcW w:w="360" w:type="dxa"/>
            <w:vAlign w:val="center"/>
            <w:hideMark/>
          </w:tcPr>
          <w:p w14:paraId="6000CF97" w14:textId="77777777" w:rsidR="00000000" w:rsidRDefault="0053651E">
            <w:pPr>
              <w:rPr>
                <w:rFonts w:eastAsia="Times New Roman"/>
                <w:sz w:val="20"/>
                <w:szCs w:val="20"/>
              </w:rPr>
            </w:pPr>
            <w:r>
              <w:rPr>
                <w:rFonts w:eastAsia="Times New Roman"/>
                <w:sz w:val="20"/>
                <w:szCs w:val="20"/>
              </w:rPr>
              <w:t> </w:t>
            </w:r>
          </w:p>
        </w:tc>
        <w:tc>
          <w:tcPr>
            <w:tcW w:w="360" w:type="dxa"/>
            <w:hideMark/>
          </w:tcPr>
          <w:p w14:paraId="1A28BB8F"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1</w:t>
            </w:r>
            <w:r>
              <w:rPr>
                <w:rFonts w:eastAsia="Times New Roman"/>
                <w:sz w:val="20"/>
                <w:szCs w:val="20"/>
              </w:rPr>
              <w:t>)</w:t>
            </w:r>
          </w:p>
        </w:tc>
        <w:tc>
          <w:tcPr>
            <w:tcW w:w="0" w:type="auto"/>
            <w:hideMark/>
          </w:tcPr>
          <w:p w14:paraId="27B01F6A" w14:textId="77777777" w:rsidR="00000000" w:rsidRDefault="0053651E">
            <w:pPr>
              <w:rPr>
                <w:rFonts w:eastAsia="Times New Roman"/>
                <w:sz w:val="20"/>
                <w:szCs w:val="20"/>
              </w:rPr>
            </w:pPr>
            <w:r>
              <w:rPr>
                <w:rFonts w:eastAsia="Times New Roman"/>
                <w:sz w:val="20"/>
                <w:szCs w:val="20"/>
              </w:rPr>
              <w:t>During</w:t>
            </w:r>
            <w:r>
              <w:rPr>
                <w:rFonts w:eastAsia="Times New Roman"/>
                <w:sz w:val="20"/>
                <w:szCs w:val="20"/>
              </w:rPr>
              <w:t xml:space="preserve"> </w:t>
            </w:r>
            <w:r>
              <w:rPr>
                <w:rStyle w:val="a6"/>
                <w:rFonts w:eastAsia="Times New Roman"/>
                <w:i w:val="0"/>
                <w:iCs w:val="0"/>
                <w:sz w:val="20"/>
                <w:szCs w:val="20"/>
              </w:rPr>
              <w:t>2019,</w:t>
            </w:r>
            <w:r>
              <w:rPr>
                <w:rFonts w:eastAsia="Times New Roman"/>
                <w:sz w:val="20"/>
                <w:szCs w:val="20"/>
              </w:rPr>
              <w:t xml:space="preserve"> </w:t>
            </w:r>
            <w:r>
              <w:rPr>
                <w:rFonts w:eastAsia="Times New Roman"/>
                <w:sz w:val="20"/>
                <w:szCs w:val="20"/>
              </w:rPr>
              <w:t>the Company redeemed all 5,223,313 Class A Units for a total redemption price of $5.8 million.</w:t>
            </w:r>
          </w:p>
        </w:tc>
      </w:tr>
      <w:tr w:rsidR="00000000" w14:paraId="4E657B34" w14:textId="77777777">
        <w:trPr>
          <w:tblCellSpacing w:w="0" w:type="dxa"/>
        </w:trPr>
        <w:tc>
          <w:tcPr>
            <w:tcW w:w="360" w:type="dxa"/>
            <w:vAlign w:val="center"/>
            <w:hideMark/>
          </w:tcPr>
          <w:p w14:paraId="0487A598" w14:textId="77777777" w:rsidR="00000000" w:rsidRDefault="0053651E">
            <w:pPr>
              <w:rPr>
                <w:rFonts w:eastAsia="Times New Roman"/>
                <w:sz w:val="20"/>
                <w:szCs w:val="20"/>
              </w:rPr>
            </w:pPr>
            <w:r>
              <w:rPr>
                <w:rFonts w:eastAsia="Times New Roman"/>
                <w:sz w:val="20"/>
                <w:szCs w:val="20"/>
              </w:rPr>
              <w:t> </w:t>
            </w:r>
          </w:p>
        </w:tc>
        <w:tc>
          <w:tcPr>
            <w:tcW w:w="360" w:type="dxa"/>
            <w:hideMark/>
          </w:tcPr>
          <w:p w14:paraId="62E85E48"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0775D47D" w14:textId="77777777" w:rsidR="00000000" w:rsidRDefault="0053651E">
            <w:pPr>
              <w:pStyle w:val="a3"/>
              <w:spacing w:before="0" w:beforeAutospacing="0" w:after="0" w:afterAutospacing="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 xml:space="preserve">the Company recorded an adjustment of $7.5 </w:t>
            </w:r>
            <w:r>
              <w:rPr>
                <w:sz w:val="20"/>
                <w:szCs w:val="20"/>
              </w:rPr>
              <w:t>million to the estimated redemption fair market value of this noncontrolling interest in accordance with the provisions of the joint venture agreement and ASC</w:t>
            </w:r>
            <w:r>
              <w:rPr>
                <w:sz w:val="20"/>
                <w:szCs w:val="20"/>
              </w:rPr>
              <w:t xml:space="preserve"> </w:t>
            </w:r>
            <w:r>
              <w:rPr>
                <w:rStyle w:val="a6"/>
                <w:i w:val="0"/>
                <w:iCs w:val="0"/>
                <w:sz w:val="20"/>
                <w:szCs w:val="20"/>
              </w:rPr>
              <w:t>480</w:t>
            </w:r>
            <w:r>
              <w:rPr>
                <w:sz w:val="20"/>
                <w:szCs w:val="20"/>
              </w:rPr>
              <w:t xml:space="preserve"> – Accounting for Redeemable Equity Instruments.  The Company assesses the fair market value o</w:t>
            </w:r>
            <w:r>
              <w:rPr>
                <w:sz w:val="20"/>
                <w:szCs w:val="20"/>
              </w:rPr>
              <w:t>f this noncontrolling interest on a recurring basis and determined that its valuation was classified within Level</w:t>
            </w:r>
            <w:r>
              <w:rPr>
                <w:sz w:val="20"/>
                <w:szCs w:val="20"/>
              </w:rPr>
              <w:t xml:space="preserve"> </w:t>
            </w:r>
            <w:r>
              <w:rPr>
                <w:rStyle w:val="a6"/>
                <w:i w:val="0"/>
                <w:iCs w:val="0"/>
                <w:sz w:val="20"/>
                <w:szCs w:val="20"/>
              </w:rPr>
              <w:t>3</w:t>
            </w:r>
            <w:r>
              <w:rPr>
                <w:sz w:val="20"/>
                <w:szCs w:val="20"/>
              </w:rPr>
              <w:t xml:space="preserve"> of the fair value hierarchy.  The estimated fair market value of this noncontrolling interest was based upon a discounted cash flow model, f</w:t>
            </w:r>
            <w:r>
              <w:rPr>
                <w:sz w:val="20"/>
                <w:szCs w:val="20"/>
              </w:rPr>
              <w:t xml:space="preserve">or which a capitalization rate of 5.00% and discount rate of 6.00% were utilized in the model based upon unobservable rates that the Company believes to be within a reasonable range of current market rates.  No adjustment to fair value was required during </w:t>
            </w:r>
            <w:r>
              <w:rPr>
                <w:sz w:val="20"/>
                <w:szCs w:val="20"/>
              </w:rPr>
              <w:t>the year ended</w:t>
            </w:r>
            <w:r>
              <w:rPr>
                <w:sz w:val="20"/>
                <w:szCs w:val="20"/>
              </w:rPr>
              <w:t xml:space="preserve"> </w:t>
            </w:r>
            <w:r>
              <w:rPr>
                <w:rStyle w:val="a6"/>
                <w:i w:val="0"/>
                <w:iCs w:val="0"/>
                <w:sz w:val="20"/>
                <w:szCs w:val="20"/>
              </w:rPr>
              <w:t>December 31, 2019.</w:t>
            </w:r>
          </w:p>
        </w:tc>
      </w:tr>
    </w:tbl>
    <w:p w14:paraId="263451C9" w14:textId="77777777" w:rsidR="00000000" w:rsidRDefault="0053651E">
      <w:pPr>
        <w:pStyle w:val="a3"/>
        <w:spacing w:before="0" w:beforeAutospacing="0" w:after="0" w:afterAutospacing="0"/>
        <w:ind w:left="360"/>
        <w:jc w:val="both"/>
        <w:rPr>
          <w:sz w:val="20"/>
          <w:szCs w:val="20"/>
        </w:rPr>
      </w:pPr>
      <w:r>
        <w:rPr>
          <w:sz w:val="20"/>
          <w:szCs w:val="20"/>
        </w:rPr>
        <w:t> </w:t>
      </w:r>
    </w:p>
    <w:p w14:paraId="403241F8" w14:textId="77777777" w:rsidR="00000000" w:rsidRDefault="0053651E">
      <w:pPr>
        <w:jc w:val="center"/>
        <w:divId w:val="1158837865"/>
        <w:rPr>
          <w:rFonts w:eastAsia="Times New Roman"/>
          <w:sz w:val="20"/>
          <w:szCs w:val="20"/>
        </w:rPr>
      </w:pPr>
      <w:r>
        <w:rPr>
          <w:rStyle w:val="a6"/>
          <w:rFonts w:eastAsia="Times New Roman"/>
          <w:i w:val="0"/>
          <w:iCs w:val="0"/>
          <w:sz w:val="20"/>
          <w:szCs w:val="20"/>
        </w:rPr>
        <w:t>73</w:t>
      </w:r>
      <w:r>
        <w:rPr>
          <w:rFonts w:eastAsia="Times New Roman"/>
          <w:sz w:val="20"/>
          <w:szCs w:val="20"/>
        </w:rPr>
        <w:t xml:space="preserve"> </w:t>
      </w:r>
    </w:p>
    <w:p w14:paraId="6319988A" w14:textId="77777777" w:rsidR="00000000" w:rsidRDefault="0053651E">
      <w:pPr>
        <w:divId w:val="1158837865"/>
        <w:rPr>
          <w:rFonts w:eastAsia="Times New Roman"/>
          <w:sz w:val="20"/>
          <w:szCs w:val="20"/>
        </w:rPr>
      </w:pPr>
      <w:r>
        <w:rPr>
          <w:rFonts w:eastAsia="Times New Roman"/>
          <w:sz w:val="20"/>
          <w:szCs w:val="20"/>
        </w:rPr>
        <w:pict w14:anchorId="09FDE300">
          <v:rect id="_x0000_i1104" style="width:415.3pt;height:1.5pt" o:hralign="center" o:hrstd="t" o:hrnoshade="t" o:hr="t" fillcolor="black" stroked="f"/>
        </w:pict>
      </w:r>
    </w:p>
    <w:p w14:paraId="67FDD0FA" w14:textId="77777777" w:rsidR="00000000" w:rsidRDefault="0053651E">
      <w:pPr>
        <w:divId w:val="11588378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F4707C6" w14:textId="77777777" w:rsidR="00000000" w:rsidRDefault="0053651E">
      <w:pPr>
        <w:pStyle w:val="a3"/>
        <w:spacing w:before="0" w:beforeAutospacing="0" w:after="0" w:afterAutospacing="0"/>
        <w:rPr>
          <w:sz w:val="20"/>
          <w:szCs w:val="20"/>
        </w:rPr>
      </w:pPr>
      <w:r>
        <w:rPr>
          <w:sz w:val="20"/>
          <w:szCs w:val="20"/>
        </w:rPr>
        <w:t> </w:t>
      </w:r>
    </w:p>
    <w:p w14:paraId="3302018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6F02A17D" w14:textId="77777777" w:rsidR="00000000" w:rsidRDefault="0053651E">
      <w:pPr>
        <w:pStyle w:val="a3"/>
        <w:spacing w:before="0" w:beforeAutospacing="0" w:after="0" w:afterAutospacing="0"/>
        <w:jc w:val="center"/>
        <w:rPr>
          <w:sz w:val="20"/>
          <w:szCs w:val="20"/>
        </w:rPr>
      </w:pPr>
      <w:r>
        <w:rPr>
          <w:sz w:val="20"/>
          <w:szCs w:val="20"/>
        </w:rPr>
        <w:t> </w:t>
      </w:r>
    </w:p>
    <w:p w14:paraId="52FA30BF"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632CDE6F" w14:textId="77777777" w:rsidR="00000000" w:rsidRDefault="0053651E">
      <w:pPr>
        <w:pStyle w:val="a3"/>
        <w:spacing w:before="0" w:beforeAutospacing="0" w:after="0" w:afterAutospacing="0"/>
        <w:rPr>
          <w:sz w:val="20"/>
          <w:szCs w:val="20"/>
        </w:rPr>
      </w:pPr>
      <w:r>
        <w:rPr>
          <w:sz w:val="20"/>
          <w:szCs w:val="20"/>
        </w:rPr>
        <w:t> </w:t>
      </w:r>
    </w:p>
    <w:p w14:paraId="4B5E3A5D" w14:textId="77777777" w:rsidR="00000000" w:rsidRDefault="0053651E">
      <w:pPr>
        <w:divId w:val="1415542533"/>
        <w:rPr>
          <w:rFonts w:eastAsia="Times New Roman"/>
          <w:sz w:val="20"/>
          <w:szCs w:val="20"/>
        </w:rPr>
      </w:pPr>
      <w:r>
        <w:rPr>
          <w:rFonts w:eastAsia="Times New Roman"/>
          <w:sz w:val="20"/>
          <w:szCs w:val="20"/>
        </w:rPr>
        <w:t xml:space="preserve">  </w:t>
      </w:r>
    </w:p>
    <w:p w14:paraId="78F1ED27" w14:textId="77777777" w:rsidR="00000000" w:rsidRDefault="0053651E">
      <w:pPr>
        <w:pStyle w:val="a3"/>
        <w:spacing w:before="0" w:beforeAutospacing="0" w:after="0" w:afterAutospacing="0"/>
        <w:rPr>
          <w:sz w:val="20"/>
          <w:szCs w:val="20"/>
        </w:rPr>
      </w:pPr>
      <w:r>
        <w:rPr>
          <w:rStyle w:val="a6"/>
          <w:i w:val="0"/>
          <w:iCs w:val="0"/>
          <w:sz w:val="20"/>
          <w:szCs w:val="20"/>
        </w:rPr>
        <w:t>15.</w:t>
      </w:r>
      <w:r>
        <w:rPr>
          <w:sz w:val="20"/>
          <w:szCs w:val="20"/>
        </w:rPr>
        <w:t>  </w:t>
      </w:r>
      <w:r>
        <w:rPr>
          <w:sz w:val="20"/>
          <w:szCs w:val="20"/>
          <w:u w:val="single"/>
        </w:rPr>
        <w:t>Fair Value Disclosure of Financial Instruments</w:t>
      </w:r>
      <w:r>
        <w:rPr>
          <w:sz w:val="20"/>
          <w:szCs w:val="20"/>
        </w:rPr>
        <w:t>:</w:t>
      </w:r>
    </w:p>
    <w:p w14:paraId="7423FC88" w14:textId="77777777" w:rsidR="00000000" w:rsidRDefault="0053651E">
      <w:pPr>
        <w:pStyle w:val="a3"/>
        <w:spacing w:before="0" w:beforeAutospacing="0" w:after="0" w:afterAutospacing="0"/>
        <w:ind w:left="360"/>
        <w:jc w:val="both"/>
        <w:rPr>
          <w:sz w:val="20"/>
          <w:szCs w:val="20"/>
        </w:rPr>
      </w:pPr>
      <w:r>
        <w:rPr>
          <w:sz w:val="20"/>
          <w:szCs w:val="20"/>
        </w:rPr>
        <w:t> </w:t>
      </w:r>
    </w:p>
    <w:p w14:paraId="239BE7EB" w14:textId="77777777" w:rsidR="00000000" w:rsidRDefault="0053651E">
      <w:pPr>
        <w:pStyle w:val="a3"/>
        <w:spacing w:before="0" w:beforeAutospacing="0" w:after="0" w:afterAutospacing="0"/>
        <w:ind w:left="360"/>
        <w:jc w:val="both"/>
        <w:rPr>
          <w:sz w:val="20"/>
          <w:szCs w:val="20"/>
        </w:rPr>
      </w:pPr>
      <w:r>
        <w:rPr>
          <w:sz w:val="20"/>
          <w:szCs w:val="20"/>
        </w:rPr>
        <w:t>All financial instruments of the Company are reflected in the accompanying Consolidated Balance Sheets at amounts which, in management’s estimation, based upon an interpretation of available market information and valuation methodologies, reasonably approx</w:t>
      </w:r>
      <w:r>
        <w:rPr>
          <w:sz w:val="20"/>
          <w:szCs w:val="20"/>
        </w:rPr>
        <w:t>imate their fair values except those listed below, for which fair values are disclosed. The valuation method used to estimate fair value for fixed-rate and variable-rate debt is based on discounted cash flow analyses, with assumptions that include credit s</w:t>
      </w:r>
      <w:r>
        <w:rPr>
          <w:sz w:val="20"/>
          <w:szCs w:val="20"/>
        </w:rPr>
        <w:t>preads, market yield curves, trading activity, loan amounts and debt maturities. The fair values for marketable securities are based on published values, securities dealers’ estimated market values or comparable market sales. Such fair value estimates are</w:t>
      </w:r>
      <w:r>
        <w:rPr>
          <w:sz w:val="20"/>
          <w:szCs w:val="20"/>
        </w:rPr>
        <w:t xml:space="preserve"> </w:t>
      </w:r>
      <w:r>
        <w:rPr>
          <w:rStyle w:val="a6"/>
          <w:i w:val="0"/>
          <w:iCs w:val="0"/>
          <w:sz w:val="20"/>
          <w:szCs w:val="20"/>
        </w:rPr>
        <w:t>not</w:t>
      </w:r>
      <w:r>
        <w:rPr>
          <w:sz w:val="20"/>
          <w:szCs w:val="20"/>
        </w:rPr>
        <w:t xml:space="preserve"> necessarily indicative of the amounts that would be realized upon disposition.</w:t>
      </w:r>
    </w:p>
    <w:p w14:paraId="2F1CD540" w14:textId="77777777" w:rsidR="00000000" w:rsidRDefault="0053651E">
      <w:pPr>
        <w:pStyle w:val="a3"/>
        <w:spacing w:before="0" w:beforeAutospacing="0" w:after="0" w:afterAutospacing="0"/>
        <w:ind w:left="360"/>
        <w:jc w:val="both"/>
        <w:rPr>
          <w:sz w:val="20"/>
          <w:szCs w:val="20"/>
        </w:rPr>
      </w:pPr>
      <w:r>
        <w:rPr>
          <w:sz w:val="20"/>
          <w:szCs w:val="20"/>
        </w:rPr>
        <w:t> </w:t>
      </w:r>
    </w:p>
    <w:p w14:paraId="002DB88B" w14:textId="77777777" w:rsidR="00000000" w:rsidRDefault="0053651E">
      <w:pPr>
        <w:pStyle w:val="a3"/>
        <w:spacing w:before="0" w:beforeAutospacing="0" w:after="0" w:afterAutospacing="0"/>
        <w:ind w:left="360"/>
        <w:jc w:val="both"/>
        <w:rPr>
          <w:sz w:val="20"/>
          <w:szCs w:val="20"/>
        </w:rPr>
      </w:pPr>
      <w:r>
        <w:rPr>
          <w:sz w:val="20"/>
          <w:szCs w:val="20"/>
        </w:rPr>
        <w:t xml:space="preserve">As a basis for considering market participant assumptions in fair value measurements, the FASB’s Fair Value Measurements and Disclosures guidance establishes a fair value </w:t>
      </w:r>
      <w:r>
        <w:rPr>
          <w:sz w:val="20"/>
          <w:szCs w:val="20"/>
        </w:rPr>
        <w:t>hierarchy that distinguishes between market participant assumptions based on market data obtained from sources independent of the reporting entity (observable inputs that are classified within Levels</w:t>
      </w:r>
      <w:r>
        <w:rPr>
          <w:sz w:val="20"/>
          <w:szCs w:val="20"/>
        </w:rPr>
        <w:t xml:space="preserve"> </w:t>
      </w:r>
      <w:r>
        <w:rPr>
          <w:rStyle w:val="a6"/>
          <w:i w:val="0"/>
          <w:iCs w:val="0"/>
          <w:sz w:val="20"/>
          <w:szCs w:val="20"/>
        </w:rPr>
        <w:t>1</w:t>
      </w:r>
      <w:r>
        <w:rPr>
          <w:sz w:val="20"/>
          <w:szCs w:val="20"/>
        </w:rPr>
        <w:t xml:space="preserve"> and</w:t>
      </w:r>
      <w:r>
        <w:rPr>
          <w:sz w:val="20"/>
          <w:szCs w:val="20"/>
        </w:rPr>
        <w:t xml:space="preserve"> </w:t>
      </w:r>
      <w:r>
        <w:rPr>
          <w:rStyle w:val="a6"/>
          <w:i w:val="0"/>
          <w:iCs w:val="0"/>
          <w:sz w:val="20"/>
          <w:szCs w:val="20"/>
        </w:rPr>
        <w:t>2</w:t>
      </w:r>
      <w:r>
        <w:rPr>
          <w:sz w:val="20"/>
          <w:szCs w:val="20"/>
        </w:rPr>
        <w:t xml:space="preserve"> of the hierarchy) and the reporting entity’s own</w:t>
      </w:r>
      <w:r>
        <w:rPr>
          <w:sz w:val="20"/>
          <w:szCs w:val="20"/>
        </w:rPr>
        <w:t xml:space="preserve"> assumptions about market participant assumptions (unobservable inputs classified within Level</w:t>
      </w:r>
      <w:r>
        <w:rPr>
          <w:sz w:val="20"/>
          <w:szCs w:val="20"/>
        </w:rPr>
        <w:t xml:space="preserve"> </w:t>
      </w:r>
      <w:r>
        <w:rPr>
          <w:rStyle w:val="a6"/>
          <w:i w:val="0"/>
          <w:iCs w:val="0"/>
          <w:sz w:val="20"/>
          <w:szCs w:val="20"/>
        </w:rPr>
        <w:t>3</w:t>
      </w:r>
      <w:r>
        <w:rPr>
          <w:sz w:val="20"/>
          <w:szCs w:val="20"/>
        </w:rPr>
        <w:t xml:space="preserve"> of the hierarchy).</w:t>
      </w:r>
    </w:p>
    <w:p w14:paraId="750D5A20" w14:textId="77777777" w:rsidR="00000000" w:rsidRDefault="0053651E">
      <w:pPr>
        <w:pStyle w:val="a3"/>
        <w:spacing w:before="0" w:beforeAutospacing="0" w:after="0" w:afterAutospacing="0"/>
        <w:ind w:left="360"/>
        <w:jc w:val="both"/>
        <w:rPr>
          <w:sz w:val="20"/>
          <w:szCs w:val="20"/>
        </w:rPr>
      </w:pPr>
      <w:r>
        <w:rPr>
          <w:sz w:val="20"/>
          <w:szCs w:val="20"/>
        </w:rPr>
        <w:t> </w:t>
      </w:r>
    </w:p>
    <w:p w14:paraId="1C476F38" w14:textId="77777777" w:rsidR="00000000" w:rsidRDefault="0053651E">
      <w:pPr>
        <w:pStyle w:val="a3"/>
        <w:spacing w:before="0" w:beforeAutospacing="0" w:after="0" w:afterAutospacing="0"/>
        <w:ind w:left="360"/>
        <w:jc w:val="both"/>
        <w:rPr>
          <w:sz w:val="20"/>
          <w:szCs w:val="20"/>
        </w:rPr>
      </w:pPr>
      <w:r>
        <w:rPr>
          <w:sz w:val="20"/>
          <w:szCs w:val="20"/>
        </w:rPr>
        <w:t>The following are financial instruments for which the Company’s estimate of fair value differs from the carrying amounts (in thousands):</w:t>
      </w:r>
    </w:p>
    <w:p w14:paraId="7B82874A"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14:paraId="66AB0258" w14:textId="77777777">
        <w:trPr>
          <w:tblCellSpacing w:w="0" w:type="dxa"/>
        </w:trPr>
        <w:tc>
          <w:tcPr>
            <w:tcW w:w="0" w:type="auto"/>
            <w:vAlign w:val="bottom"/>
            <w:hideMark/>
          </w:tcPr>
          <w:p w14:paraId="598D1AD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54AA45D" w14:textId="77777777" w:rsidR="00000000" w:rsidRDefault="0053651E">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14:paraId="6B902E7E" w14:textId="77777777" w:rsidR="00000000" w:rsidRDefault="0053651E">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15548625" w14:textId="77777777" w:rsidR="00000000" w:rsidRDefault="0053651E">
            <w:pPr>
              <w:rPr>
                <w:rFonts w:eastAsia="Times New Roman"/>
                <w:sz w:val="20"/>
                <w:szCs w:val="20"/>
              </w:rPr>
            </w:pPr>
            <w:r>
              <w:rPr>
                <w:rFonts w:eastAsia="Times New Roman"/>
                <w:sz w:val="20"/>
                <w:szCs w:val="20"/>
              </w:rPr>
              <w:t> </w:t>
            </w:r>
          </w:p>
        </w:tc>
      </w:tr>
      <w:tr w:rsidR="00000000" w14:paraId="41EBC68C" w14:textId="77777777">
        <w:trPr>
          <w:tblCellSpacing w:w="0" w:type="dxa"/>
        </w:trPr>
        <w:tc>
          <w:tcPr>
            <w:tcW w:w="0" w:type="auto"/>
            <w:vAlign w:val="bottom"/>
            <w:hideMark/>
          </w:tcPr>
          <w:p w14:paraId="4985E00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FF15D1E"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98E0E2E"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9C2E31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48E9DCF" w14:textId="77777777" w:rsidR="00000000" w:rsidRDefault="0053651E">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E48C75E"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91551B0" w14:textId="77777777" w:rsidR="00000000" w:rsidRDefault="0053651E">
            <w:pPr>
              <w:rPr>
                <w:rFonts w:eastAsia="Times New Roman"/>
                <w:sz w:val="20"/>
                <w:szCs w:val="20"/>
              </w:rPr>
            </w:pPr>
            <w:r>
              <w:rPr>
                <w:rFonts w:eastAsia="Times New Roman"/>
                <w:sz w:val="20"/>
                <w:szCs w:val="20"/>
              </w:rPr>
              <w:t> </w:t>
            </w:r>
          </w:p>
        </w:tc>
      </w:tr>
      <w:tr w:rsidR="00000000" w14:paraId="416912F6" w14:textId="77777777">
        <w:trPr>
          <w:tblCellSpacing w:w="0" w:type="dxa"/>
        </w:trPr>
        <w:tc>
          <w:tcPr>
            <w:tcW w:w="0" w:type="auto"/>
            <w:vAlign w:val="bottom"/>
            <w:hideMark/>
          </w:tcPr>
          <w:p w14:paraId="0D2CBB36" w14:textId="77777777" w:rsidR="00000000" w:rsidRDefault="0053651E">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0816ABA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8C33559" w14:textId="77777777" w:rsidR="00000000" w:rsidRDefault="0053651E">
            <w:pPr>
              <w:pStyle w:val="a3"/>
              <w:spacing w:before="0" w:beforeAutospacing="0" w:after="0" w:afterAutospacing="0"/>
              <w:jc w:val="center"/>
              <w:rPr>
                <w:sz w:val="20"/>
                <w:szCs w:val="20"/>
              </w:rPr>
            </w:pPr>
            <w:r>
              <w:rPr>
                <w:b/>
                <w:bCs/>
                <w:sz w:val="20"/>
                <w:szCs w:val="20"/>
              </w:rPr>
              <w:t>Carrying</w:t>
            </w:r>
          </w:p>
          <w:p w14:paraId="23E28CD2" w14:textId="77777777" w:rsidR="00000000" w:rsidRDefault="0053651E">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14:paraId="454126EF" w14:textId="77777777" w:rsidR="00000000" w:rsidRDefault="0053651E">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6F7F861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476C49" w14:textId="77777777" w:rsidR="00000000" w:rsidRDefault="0053651E">
            <w:pPr>
              <w:pStyle w:val="a3"/>
              <w:spacing w:before="0" w:beforeAutospacing="0" w:after="0" w:afterAutospacing="0"/>
              <w:jc w:val="center"/>
              <w:rPr>
                <w:sz w:val="20"/>
                <w:szCs w:val="20"/>
              </w:rPr>
            </w:pPr>
            <w:r>
              <w:rPr>
                <w:b/>
                <w:bCs/>
                <w:sz w:val="20"/>
                <w:szCs w:val="20"/>
              </w:rPr>
              <w:t>Estimated</w:t>
            </w:r>
          </w:p>
          <w:p w14:paraId="7111D6DA" w14:textId="77777777" w:rsidR="00000000" w:rsidRDefault="0053651E">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546C5B16" w14:textId="77777777" w:rsidR="00000000" w:rsidRDefault="0053651E">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5BEF386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549AD9" w14:textId="77777777" w:rsidR="00000000" w:rsidRDefault="0053651E">
            <w:pPr>
              <w:pStyle w:val="a3"/>
              <w:spacing w:before="0" w:beforeAutospacing="0" w:after="0" w:afterAutospacing="0"/>
              <w:jc w:val="center"/>
              <w:rPr>
                <w:sz w:val="20"/>
                <w:szCs w:val="20"/>
              </w:rPr>
            </w:pPr>
            <w:r>
              <w:rPr>
                <w:b/>
                <w:bCs/>
                <w:sz w:val="20"/>
                <w:szCs w:val="20"/>
              </w:rPr>
              <w:t>Carrying</w:t>
            </w:r>
          </w:p>
          <w:p w14:paraId="5FC523DD" w14:textId="77777777" w:rsidR="00000000" w:rsidRDefault="0053651E">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14:paraId="28FDB57F" w14:textId="77777777" w:rsidR="00000000" w:rsidRDefault="0053651E">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28289C4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014E01" w14:textId="77777777" w:rsidR="00000000" w:rsidRDefault="0053651E">
            <w:pPr>
              <w:pStyle w:val="a3"/>
              <w:spacing w:before="0" w:beforeAutospacing="0" w:after="0" w:afterAutospacing="0"/>
              <w:jc w:val="center"/>
              <w:rPr>
                <w:sz w:val="20"/>
                <w:szCs w:val="20"/>
              </w:rPr>
            </w:pPr>
            <w:r>
              <w:rPr>
                <w:b/>
                <w:bCs/>
                <w:sz w:val="20"/>
                <w:szCs w:val="20"/>
              </w:rPr>
              <w:t>Estimated</w:t>
            </w:r>
          </w:p>
          <w:p w14:paraId="021A44E6" w14:textId="77777777" w:rsidR="00000000" w:rsidRDefault="0053651E">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44D1D870" w14:textId="77777777" w:rsidR="00000000" w:rsidRDefault="0053651E">
            <w:pPr>
              <w:rPr>
                <w:rFonts w:eastAsia="Times New Roman"/>
                <w:sz w:val="20"/>
                <w:szCs w:val="20"/>
              </w:rPr>
            </w:pPr>
            <w:r>
              <w:rPr>
                <w:rFonts w:eastAsia="Times New Roman"/>
                <w:sz w:val="20"/>
                <w:szCs w:val="20"/>
              </w:rPr>
              <w:t> </w:t>
            </w:r>
          </w:p>
        </w:tc>
      </w:tr>
      <w:tr w:rsidR="00000000" w14:paraId="1F793E73" w14:textId="77777777">
        <w:trPr>
          <w:tblCellSpacing w:w="0" w:type="dxa"/>
        </w:trPr>
        <w:tc>
          <w:tcPr>
            <w:tcW w:w="2600" w:type="pct"/>
            <w:shd w:val="clear" w:color="auto" w:fill="CCEEFF"/>
            <w:vAlign w:val="bottom"/>
            <w:hideMark/>
          </w:tcPr>
          <w:p w14:paraId="770942C7" w14:textId="77777777" w:rsidR="00000000" w:rsidRDefault="0053651E">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3953BD3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C8E9044"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4415DC3" w14:textId="77777777" w:rsidR="00000000" w:rsidRDefault="0053651E">
            <w:pPr>
              <w:jc w:val="right"/>
              <w:rPr>
                <w:rFonts w:eastAsia="Times New Roman"/>
                <w:sz w:val="20"/>
                <w:szCs w:val="20"/>
              </w:rPr>
            </w:pPr>
            <w:r>
              <w:rPr>
                <w:rFonts w:eastAsia="Times New Roman"/>
                <w:sz w:val="20"/>
                <w:szCs w:val="20"/>
              </w:rPr>
              <w:t>4,831,759</w:t>
            </w:r>
          </w:p>
        </w:tc>
        <w:tc>
          <w:tcPr>
            <w:tcW w:w="50" w:type="pct"/>
            <w:shd w:val="clear" w:color="auto" w:fill="CCEEFF"/>
            <w:tcMar>
              <w:top w:w="0" w:type="dxa"/>
              <w:left w:w="0" w:type="dxa"/>
              <w:bottom w:w="45" w:type="dxa"/>
              <w:right w:w="0" w:type="dxa"/>
            </w:tcMar>
            <w:vAlign w:val="bottom"/>
            <w:hideMark/>
          </w:tcPr>
          <w:p w14:paraId="3AB6F2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860C5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C93110A"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101540D" w14:textId="77777777" w:rsidR="00000000" w:rsidRDefault="0053651E">
            <w:pPr>
              <w:jc w:val="right"/>
              <w:rPr>
                <w:rFonts w:eastAsia="Times New Roman"/>
                <w:sz w:val="20"/>
                <w:szCs w:val="20"/>
              </w:rPr>
            </w:pPr>
            <w:r>
              <w:rPr>
                <w:rFonts w:eastAsia="Times New Roman"/>
                <w:sz w:val="20"/>
                <w:szCs w:val="20"/>
              </w:rPr>
              <w:t>4,983,763</w:t>
            </w:r>
          </w:p>
        </w:tc>
        <w:tc>
          <w:tcPr>
            <w:tcW w:w="50" w:type="pct"/>
            <w:shd w:val="clear" w:color="auto" w:fill="CCEEFF"/>
            <w:tcMar>
              <w:top w:w="0" w:type="dxa"/>
              <w:left w:w="0" w:type="dxa"/>
              <w:bottom w:w="45" w:type="dxa"/>
              <w:right w:w="0" w:type="dxa"/>
            </w:tcMar>
            <w:vAlign w:val="bottom"/>
            <w:hideMark/>
          </w:tcPr>
          <w:p w14:paraId="2B0218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9167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5F9700"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830D34D" w14:textId="77777777" w:rsidR="00000000" w:rsidRDefault="0053651E">
            <w:pPr>
              <w:jc w:val="right"/>
              <w:rPr>
                <w:rFonts w:eastAsia="Times New Roman"/>
                <w:sz w:val="20"/>
                <w:szCs w:val="20"/>
              </w:rPr>
            </w:pPr>
            <w:r>
              <w:rPr>
                <w:rFonts w:eastAsia="Times New Roman"/>
                <w:sz w:val="20"/>
                <w:szCs w:val="20"/>
              </w:rPr>
              <w:t>4,381,456</w:t>
            </w:r>
          </w:p>
        </w:tc>
        <w:tc>
          <w:tcPr>
            <w:tcW w:w="50" w:type="pct"/>
            <w:shd w:val="clear" w:color="auto" w:fill="CCEEFF"/>
            <w:tcMar>
              <w:top w:w="0" w:type="dxa"/>
              <w:left w:w="0" w:type="dxa"/>
              <w:bottom w:w="45" w:type="dxa"/>
              <w:right w:w="0" w:type="dxa"/>
            </w:tcMar>
            <w:vAlign w:val="bottom"/>
            <w:hideMark/>
          </w:tcPr>
          <w:p w14:paraId="5426E9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CBF94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327E147"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BFA469F" w14:textId="77777777" w:rsidR="00000000" w:rsidRDefault="0053651E">
            <w:pPr>
              <w:jc w:val="right"/>
              <w:rPr>
                <w:rFonts w:eastAsia="Times New Roman"/>
                <w:sz w:val="20"/>
                <w:szCs w:val="20"/>
              </w:rPr>
            </w:pPr>
            <w:r>
              <w:rPr>
                <w:rFonts w:eastAsia="Times New Roman"/>
                <w:sz w:val="20"/>
                <w:szCs w:val="20"/>
              </w:rPr>
              <w:t>4,126,450</w:t>
            </w:r>
          </w:p>
        </w:tc>
        <w:tc>
          <w:tcPr>
            <w:tcW w:w="50" w:type="pct"/>
            <w:shd w:val="clear" w:color="auto" w:fill="CCEEFF"/>
            <w:tcMar>
              <w:top w:w="0" w:type="dxa"/>
              <w:left w:w="0" w:type="dxa"/>
              <w:bottom w:w="45" w:type="dxa"/>
              <w:right w:w="0" w:type="dxa"/>
            </w:tcMar>
            <w:vAlign w:val="bottom"/>
            <w:hideMark/>
          </w:tcPr>
          <w:p w14:paraId="2B7415E8" w14:textId="77777777" w:rsidR="00000000" w:rsidRDefault="0053651E">
            <w:pPr>
              <w:rPr>
                <w:rFonts w:eastAsia="Times New Roman"/>
                <w:sz w:val="20"/>
                <w:szCs w:val="20"/>
              </w:rPr>
            </w:pPr>
            <w:r>
              <w:rPr>
                <w:rFonts w:eastAsia="Times New Roman"/>
                <w:sz w:val="20"/>
                <w:szCs w:val="20"/>
              </w:rPr>
              <w:t> </w:t>
            </w:r>
          </w:p>
        </w:tc>
      </w:tr>
      <w:tr w:rsidR="00000000" w14:paraId="4E4232E7" w14:textId="77777777">
        <w:trPr>
          <w:tblCellSpacing w:w="0" w:type="dxa"/>
        </w:trPr>
        <w:tc>
          <w:tcPr>
            <w:tcW w:w="0" w:type="auto"/>
            <w:shd w:val="clear" w:color="auto" w:fill="FFFFFF"/>
            <w:vAlign w:val="bottom"/>
            <w:hideMark/>
          </w:tcPr>
          <w:p w14:paraId="095D7B1A" w14:textId="77777777" w:rsidR="00000000" w:rsidRDefault="0053651E">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14:paraId="6248463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9B9DD62"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A6EBDB0" w14:textId="77777777" w:rsidR="00000000" w:rsidRDefault="0053651E">
            <w:pPr>
              <w:jc w:val="right"/>
              <w:rPr>
                <w:rFonts w:eastAsia="Times New Roman"/>
                <w:sz w:val="20"/>
                <w:szCs w:val="20"/>
              </w:rPr>
            </w:pPr>
            <w:r>
              <w:rPr>
                <w:rFonts w:eastAsia="Times New Roman"/>
                <w:sz w:val="20"/>
                <w:szCs w:val="20"/>
              </w:rPr>
              <w:t>484,008</w:t>
            </w:r>
          </w:p>
        </w:tc>
        <w:tc>
          <w:tcPr>
            <w:tcW w:w="50" w:type="pct"/>
            <w:shd w:val="clear" w:color="auto" w:fill="FFFFFF"/>
            <w:tcMar>
              <w:top w:w="0" w:type="dxa"/>
              <w:left w:w="0" w:type="dxa"/>
              <w:bottom w:w="45" w:type="dxa"/>
              <w:right w:w="0" w:type="dxa"/>
            </w:tcMar>
            <w:vAlign w:val="bottom"/>
            <w:hideMark/>
          </w:tcPr>
          <w:p w14:paraId="456FCE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53A0E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4FD7A4"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E108AD0" w14:textId="77777777" w:rsidR="00000000" w:rsidRDefault="0053651E">
            <w:pPr>
              <w:jc w:val="right"/>
              <w:rPr>
                <w:rFonts w:eastAsia="Times New Roman"/>
                <w:sz w:val="20"/>
                <w:szCs w:val="20"/>
              </w:rPr>
            </w:pPr>
            <w:r>
              <w:rPr>
                <w:rFonts w:eastAsia="Times New Roman"/>
                <w:sz w:val="20"/>
                <w:szCs w:val="20"/>
              </w:rPr>
              <w:t>486,042</w:t>
            </w:r>
          </w:p>
        </w:tc>
        <w:tc>
          <w:tcPr>
            <w:tcW w:w="50" w:type="pct"/>
            <w:shd w:val="clear" w:color="auto" w:fill="FFFFFF"/>
            <w:tcMar>
              <w:top w:w="0" w:type="dxa"/>
              <w:left w:w="0" w:type="dxa"/>
              <w:bottom w:w="45" w:type="dxa"/>
              <w:right w:w="0" w:type="dxa"/>
            </w:tcMar>
            <w:vAlign w:val="bottom"/>
            <w:hideMark/>
          </w:tcPr>
          <w:p w14:paraId="3BAA3E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28E46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4CE842D"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1B1A6DD" w14:textId="77777777" w:rsidR="00000000" w:rsidRDefault="0053651E">
            <w:pPr>
              <w:jc w:val="right"/>
              <w:rPr>
                <w:rFonts w:eastAsia="Times New Roman"/>
                <w:sz w:val="20"/>
                <w:szCs w:val="20"/>
              </w:rPr>
            </w:pPr>
            <w:r>
              <w:rPr>
                <w:rFonts w:eastAsia="Times New Roman"/>
                <w:sz w:val="20"/>
                <w:szCs w:val="20"/>
              </w:rPr>
              <w:t>492,416</w:t>
            </w:r>
          </w:p>
        </w:tc>
        <w:tc>
          <w:tcPr>
            <w:tcW w:w="50" w:type="pct"/>
            <w:shd w:val="clear" w:color="auto" w:fill="FFFFFF"/>
            <w:tcMar>
              <w:top w:w="0" w:type="dxa"/>
              <w:left w:w="0" w:type="dxa"/>
              <w:bottom w:w="45" w:type="dxa"/>
              <w:right w:w="0" w:type="dxa"/>
            </w:tcMar>
            <w:vAlign w:val="bottom"/>
            <w:hideMark/>
          </w:tcPr>
          <w:p w14:paraId="075B31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792F8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4206A9D" w14:textId="77777777" w:rsidR="00000000" w:rsidRDefault="0053651E">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AA6E173" w14:textId="77777777" w:rsidR="00000000" w:rsidRDefault="0053651E">
            <w:pPr>
              <w:jc w:val="right"/>
              <w:rPr>
                <w:rFonts w:eastAsia="Times New Roman"/>
                <w:sz w:val="20"/>
                <w:szCs w:val="20"/>
              </w:rPr>
            </w:pPr>
            <w:r>
              <w:rPr>
                <w:rFonts w:eastAsia="Times New Roman"/>
                <w:sz w:val="20"/>
                <w:szCs w:val="20"/>
              </w:rPr>
              <w:t>486,341</w:t>
            </w:r>
          </w:p>
        </w:tc>
        <w:tc>
          <w:tcPr>
            <w:tcW w:w="50" w:type="pct"/>
            <w:shd w:val="clear" w:color="auto" w:fill="FFFFFF"/>
            <w:tcMar>
              <w:top w:w="0" w:type="dxa"/>
              <w:left w:w="0" w:type="dxa"/>
              <w:bottom w:w="45" w:type="dxa"/>
              <w:right w:w="0" w:type="dxa"/>
            </w:tcMar>
            <w:vAlign w:val="bottom"/>
            <w:hideMark/>
          </w:tcPr>
          <w:p w14:paraId="6F23DF80" w14:textId="77777777" w:rsidR="00000000" w:rsidRDefault="0053651E">
            <w:pPr>
              <w:rPr>
                <w:rFonts w:eastAsia="Times New Roman"/>
                <w:sz w:val="20"/>
                <w:szCs w:val="20"/>
              </w:rPr>
            </w:pPr>
            <w:r>
              <w:rPr>
                <w:rFonts w:eastAsia="Times New Roman"/>
                <w:sz w:val="20"/>
                <w:szCs w:val="20"/>
              </w:rPr>
              <w:t> </w:t>
            </w:r>
          </w:p>
        </w:tc>
      </w:tr>
    </w:tbl>
    <w:p w14:paraId="5CA79611"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812E84" w14:textId="77777777">
        <w:trPr>
          <w:tblCellSpacing w:w="0" w:type="dxa"/>
        </w:trPr>
        <w:tc>
          <w:tcPr>
            <w:tcW w:w="360" w:type="dxa"/>
            <w:vAlign w:val="center"/>
            <w:hideMark/>
          </w:tcPr>
          <w:p w14:paraId="2434F553" w14:textId="77777777" w:rsidR="00000000" w:rsidRDefault="0053651E">
            <w:pPr>
              <w:rPr>
                <w:rFonts w:eastAsia="Times New Roman"/>
                <w:sz w:val="20"/>
                <w:szCs w:val="20"/>
              </w:rPr>
            </w:pPr>
            <w:r>
              <w:rPr>
                <w:rFonts w:eastAsia="Times New Roman"/>
                <w:sz w:val="20"/>
                <w:szCs w:val="20"/>
              </w:rPr>
              <w:t> </w:t>
            </w:r>
          </w:p>
        </w:tc>
        <w:tc>
          <w:tcPr>
            <w:tcW w:w="360" w:type="dxa"/>
            <w:hideMark/>
          </w:tcPr>
          <w:p w14:paraId="1EB44141"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043814C3" w14:textId="77777777" w:rsidR="00000000" w:rsidRDefault="0053651E">
            <w:pPr>
              <w:pStyle w:val="a3"/>
              <w:spacing w:before="0" w:beforeAutospacing="0" w:after="0" w:afterAutospacing="0"/>
              <w:jc w:val="both"/>
              <w:rPr>
                <w:sz w:val="20"/>
                <w:szCs w:val="20"/>
              </w:rPr>
            </w:pPr>
            <w:r>
              <w:rPr>
                <w:sz w:val="20"/>
                <w:szCs w:val="20"/>
              </w:rPr>
              <w:t>The Company determined that the valuation of its Senior Unsecured Notes were classified within Level</w:t>
            </w:r>
            <w:r>
              <w:rPr>
                <w:sz w:val="20"/>
                <w:szCs w:val="20"/>
              </w:rPr>
              <w:t xml:space="preserve"> </w:t>
            </w:r>
            <w:r>
              <w:rPr>
                <w:rStyle w:val="a6"/>
                <w:i w:val="0"/>
                <w:iCs w:val="0"/>
                <w:sz w:val="20"/>
                <w:szCs w:val="20"/>
              </w:rPr>
              <w:t>2</w:t>
            </w:r>
            <w:r>
              <w:rPr>
                <w:sz w:val="20"/>
                <w:szCs w:val="20"/>
              </w:rPr>
              <w:t xml:space="preserve"> of the fair value hierarchy and its Credit Facility was classified within Level</w:t>
            </w:r>
            <w:r>
              <w:rPr>
                <w:sz w:val="20"/>
                <w:szCs w:val="20"/>
              </w:rPr>
              <w:t xml:space="preserve"> </w:t>
            </w:r>
            <w:r>
              <w:rPr>
                <w:rStyle w:val="a6"/>
                <w:i w:val="0"/>
                <w:iCs w:val="0"/>
                <w:sz w:val="20"/>
                <w:szCs w:val="20"/>
              </w:rPr>
              <w:t>3</w:t>
            </w:r>
            <w:r>
              <w:rPr>
                <w:sz w:val="20"/>
                <w:szCs w:val="20"/>
              </w:rPr>
              <w:t xml:space="preserve"> of the fair value hierarchy. The estimated fair value amounts classifie</w:t>
            </w:r>
            <w:r>
              <w:rPr>
                <w:sz w:val="20"/>
                <w:szCs w:val="20"/>
              </w:rPr>
              <w:t>d as Level</w:t>
            </w:r>
            <w:r>
              <w:rPr>
                <w:sz w:val="20"/>
                <w:szCs w:val="20"/>
              </w:rPr>
              <w:t xml:space="preserve"> </w:t>
            </w:r>
            <w:r>
              <w:rPr>
                <w:rStyle w:val="a6"/>
                <w:i w:val="0"/>
                <w:iCs w:val="0"/>
                <w:sz w:val="20"/>
                <w:szCs w:val="20"/>
              </w:rPr>
              <w:t>2</w:t>
            </w:r>
            <w:r>
              <w:rPr>
                <w:sz w:val="20"/>
                <w:szCs w:val="20"/>
              </w:rPr>
              <w:t xml:space="preserve">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were $4.8 billion and $4.0 billion, respectively. The estimated fair value amounts classified as Level</w:t>
            </w:r>
            <w:r>
              <w:rPr>
                <w:sz w:val="20"/>
                <w:szCs w:val="20"/>
              </w:rPr>
              <w:t xml:space="preserve"> </w:t>
            </w:r>
            <w:r>
              <w:rPr>
                <w:rStyle w:val="a6"/>
                <w:i w:val="0"/>
                <w:iCs w:val="0"/>
                <w:sz w:val="20"/>
                <w:szCs w:val="20"/>
              </w:rPr>
              <w:t>3</w:t>
            </w:r>
            <w:r>
              <w:rPr>
                <w:sz w:val="20"/>
                <w:szCs w:val="20"/>
              </w:rPr>
              <w:t xml:space="preserve">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were $199.9 million and $97.6 million, respectively.</w:t>
            </w:r>
          </w:p>
        </w:tc>
      </w:tr>
    </w:tbl>
    <w:p w14:paraId="54E2683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78186A6" w14:textId="77777777">
        <w:trPr>
          <w:tblCellSpacing w:w="0" w:type="dxa"/>
        </w:trPr>
        <w:tc>
          <w:tcPr>
            <w:tcW w:w="360" w:type="dxa"/>
            <w:vAlign w:val="center"/>
            <w:hideMark/>
          </w:tcPr>
          <w:p w14:paraId="0CC45C40" w14:textId="77777777" w:rsidR="00000000" w:rsidRDefault="0053651E">
            <w:pPr>
              <w:rPr>
                <w:rFonts w:eastAsia="Times New Roman"/>
                <w:sz w:val="20"/>
                <w:szCs w:val="20"/>
              </w:rPr>
            </w:pPr>
            <w:r>
              <w:rPr>
                <w:rFonts w:eastAsia="Times New Roman"/>
                <w:sz w:val="20"/>
                <w:szCs w:val="20"/>
              </w:rPr>
              <w:t> </w:t>
            </w:r>
          </w:p>
        </w:tc>
        <w:tc>
          <w:tcPr>
            <w:tcW w:w="360" w:type="dxa"/>
            <w:hideMark/>
          </w:tcPr>
          <w:p w14:paraId="6413B00E"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6255FAC0" w14:textId="77777777" w:rsidR="00000000" w:rsidRDefault="0053651E">
            <w:pPr>
              <w:pStyle w:val="a3"/>
              <w:spacing w:before="0" w:beforeAutospacing="0" w:after="0" w:afterAutospacing="0"/>
              <w:jc w:val="both"/>
              <w:rPr>
                <w:sz w:val="20"/>
                <w:szCs w:val="20"/>
              </w:rPr>
            </w:pPr>
            <w:r>
              <w:rPr>
                <w:sz w:val="20"/>
                <w:szCs w:val="20"/>
              </w:rPr>
              <w:t>The Company determined that its valuation of these Mortgages payable was classified within Level</w:t>
            </w:r>
            <w:r>
              <w:rPr>
                <w:sz w:val="20"/>
                <w:szCs w:val="20"/>
              </w:rPr>
              <w:t xml:space="preserve"> </w:t>
            </w:r>
            <w:r>
              <w:rPr>
                <w:rStyle w:val="a6"/>
                <w:i w:val="0"/>
                <w:iCs w:val="0"/>
                <w:sz w:val="20"/>
                <w:szCs w:val="20"/>
              </w:rPr>
              <w:t>3</w:t>
            </w:r>
            <w:r>
              <w:rPr>
                <w:sz w:val="20"/>
                <w:szCs w:val="20"/>
              </w:rPr>
              <w:t xml:space="preserve"> of the fair value hierarchy. </w:t>
            </w:r>
          </w:p>
        </w:tc>
      </w:tr>
    </w:tbl>
    <w:p w14:paraId="5F173B2F" w14:textId="77777777" w:rsidR="00000000" w:rsidRDefault="0053651E">
      <w:pPr>
        <w:pStyle w:val="a3"/>
        <w:spacing w:before="0" w:beforeAutospacing="0" w:after="0" w:afterAutospacing="0"/>
        <w:ind w:left="360"/>
        <w:jc w:val="both"/>
        <w:rPr>
          <w:sz w:val="20"/>
          <w:szCs w:val="20"/>
        </w:rPr>
      </w:pPr>
      <w:r>
        <w:rPr>
          <w:sz w:val="20"/>
          <w:szCs w:val="20"/>
        </w:rPr>
        <w:t> </w:t>
      </w:r>
    </w:p>
    <w:p w14:paraId="194672B6" w14:textId="77777777" w:rsidR="00000000" w:rsidRDefault="0053651E">
      <w:pPr>
        <w:pStyle w:val="a3"/>
        <w:spacing w:before="0" w:beforeAutospacing="0" w:after="0" w:afterAutospacing="0"/>
        <w:ind w:left="360"/>
        <w:jc w:val="both"/>
        <w:rPr>
          <w:sz w:val="20"/>
          <w:szCs w:val="20"/>
        </w:rPr>
      </w:pPr>
      <w:r>
        <w:rPr>
          <w:sz w:val="20"/>
          <w:szCs w:val="20"/>
        </w:rPr>
        <w:t>The Company has certain financial instruments that must be measured under the FASB’s Fair Value Measurements and Disclosures</w:t>
      </w:r>
      <w:r>
        <w:rPr>
          <w:sz w:val="20"/>
          <w:szCs w:val="20"/>
        </w:rPr>
        <w:t xml:space="preserve"> guidance, including available for sale securities. The Company currently does</w:t>
      </w:r>
      <w:r>
        <w:rPr>
          <w:sz w:val="20"/>
          <w:szCs w:val="20"/>
        </w:rPr>
        <w:t xml:space="preserve"> </w:t>
      </w:r>
      <w:r>
        <w:rPr>
          <w:rStyle w:val="a6"/>
          <w:i w:val="0"/>
          <w:iCs w:val="0"/>
          <w:sz w:val="20"/>
          <w:szCs w:val="20"/>
        </w:rPr>
        <w:t>not</w:t>
      </w:r>
      <w:r>
        <w:rPr>
          <w:sz w:val="20"/>
          <w:szCs w:val="20"/>
        </w:rPr>
        <w:t xml:space="preserve"> have non-financial assets and non-financial liabilities that are required to be measured at fair value on a recurring basis.</w:t>
      </w:r>
    </w:p>
    <w:p w14:paraId="3EAB7487" w14:textId="77777777" w:rsidR="00000000" w:rsidRDefault="0053651E">
      <w:pPr>
        <w:pStyle w:val="a3"/>
        <w:spacing w:before="0" w:beforeAutospacing="0" w:after="0" w:afterAutospacing="0"/>
        <w:ind w:left="360"/>
        <w:jc w:val="both"/>
        <w:rPr>
          <w:sz w:val="20"/>
          <w:szCs w:val="20"/>
        </w:rPr>
      </w:pPr>
      <w:r>
        <w:rPr>
          <w:sz w:val="20"/>
          <w:szCs w:val="20"/>
        </w:rPr>
        <w:t> </w:t>
      </w:r>
    </w:p>
    <w:p w14:paraId="52A232AA" w14:textId="77777777" w:rsidR="00000000" w:rsidRDefault="0053651E">
      <w:pPr>
        <w:pStyle w:val="a3"/>
        <w:spacing w:before="0" w:beforeAutospacing="0" w:after="0" w:afterAutospacing="0"/>
        <w:ind w:left="360"/>
        <w:jc w:val="both"/>
        <w:rPr>
          <w:sz w:val="20"/>
          <w:szCs w:val="20"/>
        </w:rPr>
      </w:pPr>
      <w:r>
        <w:rPr>
          <w:sz w:val="20"/>
          <w:szCs w:val="20"/>
        </w:rPr>
        <w:t>In instances where the determination of the fa</w:t>
      </w:r>
      <w:r>
        <w:rPr>
          <w:sz w:val="20"/>
          <w:szCs w:val="20"/>
        </w:rPr>
        <w:t>ir value measurement is based on inputs from different levels of the fair value hierarchy, the level in the fair value hierarchy within which the entire fair value measurement falls is based on the lowest level input that is significant to the fair value m</w:t>
      </w:r>
      <w:r>
        <w:rPr>
          <w:sz w:val="20"/>
          <w:szCs w:val="20"/>
        </w:rPr>
        <w:t>easurement in its entirety. The Company’s assessment of the significance of a particular input to the fair value measurement in its entirety requires judgment, and considers factors specific to the asset or liability.</w:t>
      </w:r>
    </w:p>
    <w:p w14:paraId="337E7282" w14:textId="77777777" w:rsidR="00000000" w:rsidRDefault="0053651E">
      <w:pPr>
        <w:pStyle w:val="a3"/>
        <w:spacing w:before="0" w:beforeAutospacing="0" w:after="0" w:afterAutospacing="0"/>
        <w:ind w:left="360"/>
        <w:jc w:val="both"/>
        <w:rPr>
          <w:sz w:val="20"/>
          <w:szCs w:val="20"/>
        </w:rPr>
      </w:pPr>
      <w:r>
        <w:rPr>
          <w:sz w:val="20"/>
          <w:szCs w:val="20"/>
        </w:rPr>
        <w:t> </w:t>
      </w:r>
    </w:p>
    <w:p w14:paraId="14FBBB66" w14:textId="77777777" w:rsidR="00000000" w:rsidRDefault="0053651E">
      <w:pPr>
        <w:pStyle w:val="a3"/>
        <w:spacing w:before="0" w:beforeAutospacing="0" w:after="0" w:afterAutospacing="0"/>
        <w:ind w:left="360"/>
        <w:jc w:val="both"/>
        <w:rPr>
          <w:sz w:val="20"/>
          <w:szCs w:val="20"/>
        </w:rPr>
      </w:pPr>
      <w:r>
        <w:rPr>
          <w:sz w:val="20"/>
          <w:szCs w:val="20"/>
        </w:rPr>
        <w:t>The Company from time to time has us</w:t>
      </w:r>
      <w:r>
        <w:rPr>
          <w:sz w:val="20"/>
          <w:szCs w:val="20"/>
        </w:rPr>
        <w:t>ed interest rate swaps to manage its interest rate risk. The fair values of interest rate swaps are determined using the market standard methodology of netting the discounted future fixed cash receipts (or payments) and the discounted expected variable cas</w:t>
      </w:r>
      <w:r>
        <w:rPr>
          <w:sz w:val="20"/>
          <w:szCs w:val="20"/>
        </w:rPr>
        <w:t xml:space="preserve">h payments (or receipts).  The variable cash payments (or receipts) are based on an expectation of future interest rates (forward curves) derived from observable market interest rate curves.  Based on these inputs, the Company has determined that interest </w:t>
      </w:r>
      <w:r>
        <w:rPr>
          <w:sz w:val="20"/>
          <w:szCs w:val="20"/>
        </w:rPr>
        <w:t>rate swap valuations are classified within Level</w:t>
      </w:r>
      <w:r>
        <w:rPr>
          <w:sz w:val="20"/>
          <w:szCs w:val="20"/>
        </w:rPr>
        <w:t xml:space="preserve"> </w:t>
      </w:r>
      <w:r>
        <w:rPr>
          <w:rStyle w:val="a6"/>
          <w:i w:val="0"/>
          <w:iCs w:val="0"/>
          <w:sz w:val="20"/>
          <w:szCs w:val="20"/>
        </w:rPr>
        <w:t>2</w:t>
      </w:r>
      <w:r>
        <w:rPr>
          <w:sz w:val="20"/>
          <w:szCs w:val="20"/>
        </w:rPr>
        <w:t xml:space="preserve"> of the fair value hierarchy.</w:t>
      </w:r>
    </w:p>
    <w:p w14:paraId="1850E730" w14:textId="77777777" w:rsidR="00000000" w:rsidRDefault="0053651E">
      <w:pPr>
        <w:pStyle w:val="a3"/>
        <w:spacing w:before="0" w:beforeAutospacing="0" w:after="0" w:afterAutospacing="0"/>
        <w:ind w:left="360"/>
        <w:jc w:val="both"/>
        <w:rPr>
          <w:sz w:val="20"/>
          <w:szCs w:val="20"/>
        </w:rPr>
      </w:pPr>
      <w:r>
        <w:rPr>
          <w:sz w:val="20"/>
          <w:szCs w:val="20"/>
        </w:rPr>
        <w:t> </w:t>
      </w:r>
    </w:p>
    <w:p w14:paraId="72C1D994" w14:textId="77777777" w:rsidR="00000000" w:rsidRDefault="0053651E">
      <w:pPr>
        <w:jc w:val="center"/>
        <w:divId w:val="530189172"/>
        <w:rPr>
          <w:rFonts w:eastAsia="Times New Roman"/>
          <w:sz w:val="20"/>
          <w:szCs w:val="20"/>
        </w:rPr>
      </w:pPr>
      <w:r>
        <w:rPr>
          <w:rStyle w:val="a6"/>
          <w:rFonts w:eastAsia="Times New Roman"/>
          <w:i w:val="0"/>
          <w:iCs w:val="0"/>
          <w:sz w:val="20"/>
          <w:szCs w:val="20"/>
        </w:rPr>
        <w:t>74</w:t>
      </w:r>
      <w:r>
        <w:rPr>
          <w:rFonts w:eastAsia="Times New Roman"/>
          <w:sz w:val="20"/>
          <w:szCs w:val="20"/>
        </w:rPr>
        <w:t xml:space="preserve"> </w:t>
      </w:r>
    </w:p>
    <w:p w14:paraId="11C4E500" w14:textId="77777777" w:rsidR="00000000" w:rsidRDefault="0053651E">
      <w:pPr>
        <w:divId w:val="530189172"/>
        <w:rPr>
          <w:rFonts w:eastAsia="Times New Roman"/>
          <w:sz w:val="20"/>
          <w:szCs w:val="20"/>
        </w:rPr>
      </w:pPr>
      <w:r>
        <w:rPr>
          <w:rFonts w:eastAsia="Times New Roman"/>
          <w:sz w:val="20"/>
          <w:szCs w:val="20"/>
        </w:rPr>
        <w:pict w14:anchorId="6BFA1AD0">
          <v:rect id="_x0000_i1105" style="width:415.3pt;height:1.5pt" o:hralign="center" o:hrstd="t" o:hrnoshade="t" o:hr="t" fillcolor="black" stroked="f"/>
        </w:pict>
      </w:r>
    </w:p>
    <w:p w14:paraId="4991E992" w14:textId="77777777" w:rsidR="00000000" w:rsidRDefault="0053651E">
      <w:pPr>
        <w:divId w:val="5301891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DBA6532" w14:textId="77777777" w:rsidR="00000000" w:rsidRDefault="0053651E">
      <w:pPr>
        <w:pStyle w:val="a3"/>
        <w:spacing w:before="0" w:beforeAutospacing="0" w:after="0" w:afterAutospacing="0"/>
        <w:rPr>
          <w:sz w:val="20"/>
          <w:szCs w:val="20"/>
        </w:rPr>
      </w:pPr>
      <w:r>
        <w:rPr>
          <w:sz w:val="20"/>
          <w:szCs w:val="20"/>
        </w:rPr>
        <w:t> </w:t>
      </w:r>
    </w:p>
    <w:p w14:paraId="72C9233A" w14:textId="77777777" w:rsidR="00000000" w:rsidRDefault="0053651E">
      <w:pPr>
        <w:pStyle w:val="a3"/>
        <w:spacing w:before="0" w:beforeAutospacing="0" w:after="0" w:afterAutospacing="0"/>
        <w:ind w:left="360"/>
        <w:jc w:val="both"/>
        <w:rPr>
          <w:sz w:val="20"/>
          <w:szCs w:val="20"/>
        </w:rPr>
      </w:pPr>
      <w:r>
        <w:rPr>
          <w:sz w:val="20"/>
          <w:szCs w:val="20"/>
        </w:rPr>
        <w:t>The tables below present the Company’</w:t>
      </w:r>
      <w:r>
        <w:rPr>
          <w:sz w:val="20"/>
          <w:szCs w:val="20"/>
        </w:rPr>
        <w:t>s financial assets measured at fair value on a recurring basis 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aggregated by the level in the fair value hierarchy within which those measurements fall (in thousands):</w:t>
      </w:r>
    </w:p>
    <w:p w14:paraId="29594FD9"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465"/>
        <w:gridCol w:w="72"/>
        <w:gridCol w:w="101"/>
        <w:gridCol w:w="1098"/>
        <w:gridCol w:w="72"/>
        <w:gridCol w:w="72"/>
        <w:gridCol w:w="100"/>
        <w:gridCol w:w="782"/>
        <w:gridCol w:w="72"/>
        <w:gridCol w:w="72"/>
        <w:gridCol w:w="101"/>
        <w:gridCol w:w="782"/>
        <w:gridCol w:w="72"/>
        <w:gridCol w:w="73"/>
        <w:gridCol w:w="101"/>
        <w:gridCol w:w="783"/>
        <w:gridCol w:w="73"/>
      </w:tblGrid>
      <w:tr w:rsidR="00000000" w14:paraId="15FCF929" w14:textId="77777777">
        <w:trPr>
          <w:tblCellSpacing w:w="0" w:type="dxa"/>
        </w:trPr>
        <w:tc>
          <w:tcPr>
            <w:tcW w:w="2200" w:type="pct"/>
            <w:vAlign w:val="bottom"/>
            <w:hideMark/>
          </w:tcPr>
          <w:p w14:paraId="6259015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B95215A"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32D3CC1" w14:textId="77777777" w:rsidR="00000000" w:rsidRDefault="0053651E">
            <w:pPr>
              <w:pStyle w:val="a3"/>
              <w:spacing w:before="0" w:beforeAutospacing="0" w:after="0" w:afterAutospacing="0"/>
              <w:jc w:val="center"/>
              <w:rPr>
                <w:sz w:val="20"/>
                <w:szCs w:val="20"/>
              </w:rPr>
            </w:pPr>
            <w:r>
              <w:rPr>
                <w:b/>
                <w:bCs/>
                <w:sz w:val="20"/>
                <w:szCs w:val="20"/>
              </w:rPr>
              <w:t>Balance at</w:t>
            </w:r>
          </w:p>
          <w:p w14:paraId="2980A7C2"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14:paraId="47B089D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AA4676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01EB426" w14:textId="77777777" w:rsidR="00000000" w:rsidRDefault="0053651E">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64F213A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5EA0069"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D1E7BD5" w14:textId="77777777" w:rsidR="00000000" w:rsidRDefault="0053651E">
            <w:pPr>
              <w:pStyle w:val="a3"/>
              <w:spacing w:before="0" w:beforeAutospacing="0" w:after="0" w:afterAutospacing="0"/>
              <w:jc w:val="center"/>
              <w:rPr>
                <w:sz w:val="20"/>
                <w:szCs w:val="20"/>
              </w:rPr>
            </w:pPr>
            <w:r>
              <w:rPr>
                <w:b/>
                <w:bCs/>
                <w:sz w:val="20"/>
                <w:szCs w:val="20"/>
              </w:rPr>
              <w:t>L</w:t>
            </w:r>
            <w:r>
              <w:rPr>
                <w:b/>
                <w:bCs/>
                <w:sz w:val="20"/>
                <w:szCs w:val="20"/>
              </w:rPr>
              <w:t>evel 2</w:t>
            </w:r>
          </w:p>
        </w:tc>
        <w:tc>
          <w:tcPr>
            <w:tcW w:w="50" w:type="pct"/>
            <w:tcMar>
              <w:top w:w="0" w:type="dxa"/>
              <w:left w:w="0" w:type="dxa"/>
              <w:bottom w:w="15" w:type="dxa"/>
              <w:right w:w="0" w:type="dxa"/>
            </w:tcMar>
            <w:vAlign w:val="bottom"/>
            <w:hideMark/>
          </w:tcPr>
          <w:p w14:paraId="4581835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498FFF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CA092A0" w14:textId="77777777" w:rsidR="00000000" w:rsidRDefault="0053651E">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4725F38B" w14:textId="77777777" w:rsidR="00000000" w:rsidRDefault="0053651E">
            <w:pPr>
              <w:rPr>
                <w:rFonts w:eastAsia="Times New Roman"/>
                <w:sz w:val="20"/>
                <w:szCs w:val="20"/>
              </w:rPr>
            </w:pPr>
            <w:r>
              <w:rPr>
                <w:rFonts w:eastAsia="Times New Roman"/>
                <w:sz w:val="20"/>
                <w:szCs w:val="20"/>
              </w:rPr>
              <w:t> </w:t>
            </w:r>
          </w:p>
        </w:tc>
      </w:tr>
      <w:tr w:rsidR="00000000" w14:paraId="487E59CD" w14:textId="77777777">
        <w:trPr>
          <w:tblCellSpacing w:w="0" w:type="dxa"/>
        </w:trPr>
        <w:tc>
          <w:tcPr>
            <w:tcW w:w="2200" w:type="pct"/>
            <w:shd w:val="clear" w:color="auto" w:fill="CCEEFF"/>
            <w:vAlign w:val="bottom"/>
            <w:hideMark/>
          </w:tcPr>
          <w:p w14:paraId="24EF4F52" w14:textId="77777777" w:rsidR="00000000" w:rsidRDefault="0053651E">
            <w:pPr>
              <w:pStyle w:val="a3"/>
              <w:spacing w:before="0" w:beforeAutospacing="0" w:after="0" w:afterAutospacing="0"/>
              <w:rPr>
                <w:sz w:val="20"/>
                <w:szCs w:val="20"/>
              </w:rPr>
            </w:pPr>
            <w:r>
              <w:rPr>
                <w:b/>
                <w:bCs/>
                <w:sz w:val="20"/>
                <w:szCs w:val="20"/>
              </w:rPr>
              <w:t>Assets:</w:t>
            </w:r>
          </w:p>
        </w:tc>
        <w:tc>
          <w:tcPr>
            <w:tcW w:w="50" w:type="pct"/>
            <w:shd w:val="clear" w:color="auto" w:fill="CCEEFF"/>
            <w:vAlign w:val="bottom"/>
            <w:hideMark/>
          </w:tcPr>
          <w:p w14:paraId="0BC2C3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DF309F" w14:textId="77777777" w:rsidR="00000000" w:rsidRDefault="0053651E">
            <w:pPr>
              <w:rPr>
                <w:rFonts w:eastAsia="Times New Roman"/>
                <w:sz w:val="20"/>
                <w:szCs w:val="20"/>
              </w:rPr>
            </w:pPr>
            <w:r>
              <w:rPr>
                <w:rFonts w:eastAsia="Times New Roman"/>
                <w:b/>
                <w:bCs/>
                <w:sz w:val="20"/>
                <w:szCs w:val="20"/>
              </w:rPr>
              <w:t> </w:t>
            </w:r>
          </w:p>
        </w:tc>
        <w:tc>
          <w:tcPr>
            <w:tcW w:w="700" w:type="pct"/>
            <w:shd w:val="clear" w:color="auto" w:fill="CCEEFF"/>
            <w:vAlign w:val="bottom"/>
            <w:hideMark/>
          </w:tcPr>
          <w:p w14:paraId="12591BBB"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F8991D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BAD25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854A8B"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40896733"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248EBE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28F48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DA3DF5"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3887E168"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FDF20EE"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DFF35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B871C6"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78F17312"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1D877F2" w14:textId="77777777" w:rsidR="00000000" w:rsidRDefault="0053651E">
            <w:pPr>
              <w:rPr>
                <w:rFonts w:eastAsia="Times New Roman"/>
                <w:sz w:val="20"/>
                <w:szCs w:val="20"/>
              </w:rPr>
            </w:pPr>
            <w:r>
              <w:rPr>
                <w:rFonts w:eastAsia="Times New Roman"/>
                <w:b/>
                <w:bCs/>
                <w:sz w:val="20"/>
                <w:szCs w:val="20"/>
              </w:rPr>
              <w:t> </w:t>
            </w:r>
          </w:p>
        </w:tc>
      </w:tr>
      <w:tr w:rsidR="00000000" w14:paraId="0A2BBDD1" w14:textId="77777777">
        <w:trPr>
          <w:tblCellSpacing w:w="0" w:type="dxa"/>
        </w:trPr>
        <w:tc>
          <w:tcPr>
            <w:tcW w:w="2200" w:type="pct"/>
            <w:shd w:val="clear" w:color="auto" w:fill="FFFFFF"/>
            <w:vAlign w:val="bottom"/>
            <w:hideMark/>
          </w:tcPr>
          <w:p w14:paraId="3247F3FA" w14:textId="77777777" w:rsidR="00000000" w:rsidRDefault="0053651E">
            <w:pPr>
              <w:pStyle w:val="a3"/>
              <w:spacing w:before="0" w:beforeAutospacing="0" w:after="0" w:afterAutospacing="0"/>
              <w:ind w:left="180"/>
              <w:rPr>
                <w:sz w:val="20"/>
                <w:szCs w:val="20"/>
              </w:rPr>
            </w:pPr>
            <w:r>
              <w:rPr>
                <w:sz w:val="20"/>
                <w:szCs w:val="20"/>
              </w:rPr>
              <w:t>Marketable equity securities (1)</w:t>
            </w:r>
          </w:p>
        </w:tc>
        <w:tc>
          <w:tcPr>
            <w:tcW w:w="50" w:type="pct"/>
            <w:shd w:val="clear" w:color="auto" w:fill="FFFFFF"/>
            <w:vAlign w:val="bottom"/>
            <w:hideMark/>
          </w:tcPr>
          <w:p w14:paraId="0D6783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3B2235"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129C326F" w14:textId="77777777" w:rsidR="00000000" w:rsidRDefault="0053651E">
            <w:pPr>
              <w:jc w:val="right"/>
              <w:rPr>
                <w:rFonts w:eastAsia="Times New Roman"/>
                <w:sz w:val="20"/>
                <w:szCs w:val="20"/>
              </w:rPr>
            </w:pPr>
            <w:r>
              <w:rPr>
                <w:rFonts w:eastAsia="Times New Roman"/>
                <w:sz w:val="20"/>
                <w:szCs w:val="20"/>
              </w:rPr>
              <w:t>9,353</w:t>
            </w:r>
          </w:p>
        </w:tc>
        <w:tc>
          <w:tcPr>
            <w:tcW w:w="50" w:type="pct"/>
            <w:shd w:val="clear" w:color="auto" w:fill="FFFFFF"/>
            <w:vAlign w:val="bottom"/>
            <w:hideMark/>
          </w:tcPr>
          <w:p w14:paraId="0D4784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AE05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0C792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F90FEF9" w14:textId="77777777" w:rsidR="00000000" w:rsidRDefault="0053651E">
            <w:pPr>
              <w:jc w:val="right"/>
              <w:rPr>
                <w:rFonts w:eastAsia="Times New Roman"/>
                <w:sz w:val="20"/>
                <w:szCs w:val="20"/>
              </w:rPr>
            </w:pPr>
            <w:r>
              <w:rPr>
                <w:rFonts w:eastAsia="Times New Roman"/>
                <w:sz w:val="20"/>
                <w:szCs w:val="20"/>
              </w:rPr>
              <w:t>9,353</w:t>
            </w:r>
          </w:p>
        </w:tc>
        <w:tc>
          <w:tcPr>
            <w:tcW w:w="50" w:type="pct"/>
            <w:shd w:val="clear" w:color="auto" w:fill="FFFFFF"/>
            <w:vAlign w:val="bottom"/>
            <w:hideMark/>
          </w:tcPr>
          <w:p w14:paraId="689271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1BC3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7DCB0"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1F7A208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B3EDE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D82C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3A824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6CA5535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7AC6DD" w14:textId="77777777" w:rsidR="00000000" w:rsidRDefault="0053651E">
            <w:pPr>
              <w:rPr>
                <w:rFonts w:eastAsia="Times New Roman"/>
                <w:sz w:val="20"/>
                <w:szCs w:val="20"/>
              </w:rPr>
            </w:pPr>
            <w:r>
              <w:rPr>
                <w:rFonts w:eastAsia="Times New Roman"/>
                <w:sz w:val="20"/>
                <w:szCs w:val="20"/>
              </w:rPr>
              <w:t> </w:t>
            </w:r>
          </w:p>
        </w:tc>
      </w:tr>
    </w:tbl>
    <w:p w14:paraId="4B1DB0E0"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465"/>
        <w:gridCol w:w="72"/>
        <w:gridCol w:w="101"/>
        <w:gridCol w:w="1098"/>
        <w:gridCol w:w="72"/>
        <w:gridCol w:w="72"/>
        <w:gridCol w:w="100"/>
        <w:gridCol w:w="782"/>
        <w:gridCol w:w="72"/>
        <w:gridCol w:w="72"/>
        <w:gridCol w:w="101"/>
        <w:gridCol w:w="782"/>
        <w:gridCol w:w="72"/>
        <w:gridCol w:w="73"/>
        <w:gridCol w:w="101"/>
        <w:gridCol w:w="783"/>
        <w:gridCol w:w="73"/>
      </w:tblGrid>
      <w:tr w:rsidR="00000000" w14:paraId="4EAD163F" w14:textId="77777777">
        <w:trPr>
          <w:tblCellSpacing w:w="0" w:type="dxa"/>
        </w:trPr>
        <w:tc>
          <w:tcPr>
            <w:tcW w:w="2200" w:type="pct"/>
            <w:vAlign w:val="bottom"/>
            <w:hideMark/>
          </w:tcPr>
          <w:p w14:paraId="4D1752D2"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2D12D2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DBD724D" w14:textId="77777777" w:rsidR="00000000" w:rsidRDefault="0053651E">
            <w:pPr>
              <w:pStyle w:val="a3"/>
              <w:spacing w:before="0" w:beforeAutospacing="0" w:after="0" w:afterAutospacing="0"/>
              <w:jc w:val="center"/>
              <w:rPr>
                <w:sz w:val="20"/>
                <w:szCs w:val="20"/>
              </w:rPr>
            </w:pPr>
            <w:r>
              <w:rPr>
                <w:b/>
                <w:bCs/>
                <w:sz w:val="20"/>
                <w:szCs w:val="20"/>
              </w:rPr>
              <w:t>Balance at</w:t>
            </w:r>
          </w:p>
          <w:p w14:paraId="67D6E4F6" w14:textId="77777777" w:rsidR="00000000" w:rsidRDefault="0053651E">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14:paraId="3A1AAE4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C9C8567"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BB68F52" w14:textId="77777777" w:rsidR="00000000" w:rsidRDefault="0053651E">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75A4FA8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52C00A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422115D" w14:textId="77777777" w:rsidR="00000000" w:rsidRDefault="0053651E">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7A00D89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D817DA9"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BBE726B" w14:textId="77777777" w:rsidR="00000000" w:rsidRDefault="0053651E">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14384B4A" w14:textId="77777777" w:rsidR="00000000" w:rsidRDefault="0053651E">
            <w:pPr>
              <w:rPr>
                <w:rFonts w:eastAsia="Times New Roman"/>
                <w:sz w:val="20"/>
                <w:szCs w:val="20"/>
              </w:rPr>
            </w:pPr>
            <w:r>
              <w:rPr>
                <w:rFonts w:eastAsia="Times New Roman"/>
                <w:sz w:val="20"/>
                <w:szCs w:val="20"/>
              </w:rPr>
              <w:t> </w:t>
            </w:r>
          </w:p>
        </w:tc>
      </w:tr>
      <w:tr w:rsidR="00000000" w14:paraId="0744CD25" w14:textId="77777777">
        <w:trPr>
          <w:tblCellSpacing w:w="0" w:type="dxa"/>
        </w:trPr>
        <w:tc>
          <w:tcPr>
            <w:tcW w:w="2200" w:type="pct"/>
            <w:shd w:val="clear" w:color="auto" w:fill="CCEEFF"/>
            <w:vAlign w:val="bottom"/>
            <w:hideMark/>
          </w:tcPr>
          <w:p w14:paraId="613B49D9" w14:textId="77777777" w:rsidR="00000000" w:rsidRDefault="0053651E">
            <w:pPr>
              <w:pStyle w:val="a3"/>
              <w:spacing w:before="0" w:beforeAutospacing="0" w:after="0" w:afterAutospacing="0"/>
              <w:rPr>
                <w:sz w:val="20"/>
                <w:szCs w:val="20"/>
              </w:rPr>
            </w:pPr>
            <w:r>
              <w:rPr>
                <w:b/>
                <w:bCs/>
                <w:sz w:val="20"/>
                <w:szCs w:val="20"/>
              </w:rPr>
              <w:t>Assets:</w:t>
            </w:r>
          </w:p>
        </w:tc>
        <w:tc>
          <w:tcPr>
            <w:tcW w:w="50" w:type="pct"/>
            <w:shd w:val="clear" w:color="auto" w:fill="CCEEFF"/>
            <w:vAlign w:val="bottom"/>
            <w:hideMark/>
          </w:tcPr>
          <w:p w14:paraId="3A8CF7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F82D46" w14:textId="77777777" w:rsidR="00000000" w:rsidRDefault="0053651E">
            <w:pPr>
              <w:rPr>
                <w:rFonts w:eastAsia="Times New Roman"/>
                <w:sz w:val="20"/>
                <w:szCs w:val="20"/>
              </w:rPr>
            </w:pPr>
            <w:r>
              <w:rPr>
                <w:rFonts w:eastAsia="Times New Roman"/>
                <w:b/>
                <w:bCs/>
                <w:sz w:val="20"/>
                <w:szCs w:val="20"/>
              </w:rPr>
              <w:t> </w:t>
            </w:r>
          </w:p>
        </w:tc>
        <w:tc>
          <w:tcPr>
            <w:tcW w:w="700" w:type="pct"/>
            <w:shd w:val="clear" w:color="auto" w:fill="CCEEFF"/>
            <w:vAlign w:val="bottom"/>
            <w:hideMark/>
          </w:tcPr>
          <w:p w14:paraId="67EDAA46"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3AA2316"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110CC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8D84BB"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2C29AC83"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5CBE85E"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A9E42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EE437"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5D3607FE"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CDD7868"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76125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91CFB" w14:textId="77777777" w:rsidR="00000000" w:rsidRDefault="0053651E">
            <w:pPr>
              <w:rPr>
                <w:rFonts w:eastAsia="Times New Roman"/>
                <w:sz w:val="20"/>
                <w:szCs w:val="20"/>
              </w:rPr>
            </w:pPr>
            <w:r>
              <w:rPr>
                <w:rFonts w:eastAsia="Times New Roman"/>
                <w:b/>
                <w:bCs/>
                <w:sz w:val="20"/>
                <w:szCs w:val="20"/>
              </w:rPr>
              <w:t> </w:t>
            </w:r>
          </w:p>
        </w:tc>
        <w:tc>
          <w:tcPr>
            <w:tcW w:w="500" w:type="pct"/>
            <w:shd w:val="clear" w:color="auto" w:fill="CCEEFF"/>
            <w:vAlign w:val="bottom"/>
            <w:hideMark/>
          </w:tcPr>
          <w:p w14:paraId="3E09B5D4"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5916E65" w14:textId="77777777" w:rsidR="00000000" w:rsidRDefault="0053651E">
            <w:pPr>
              <w:rPr>
                <w:rFonts w:eastAsia="Times New Roman"/>
                <w:sz w:val="20"/>
                <w:szCs w:val="20"/>
              </w:rPr>
            </w:pPr>
            <w:r>
              <w:rPr>
                <w:rFonts w:eastAsia="Times New Roman"/>
                <w:b/>
                <w:bCs/>
                <w:sz w:val="20"/>
                <w:szCs w:val="20"/>
              </w:rPr>
              <w:t> </w:t>
            </w:r>
          </w:p>
        </w:tc>
      </w:tr>
      <w:tr w:rsidR="00000000" w14:paraId="62FFFEDF" w14:textId="77777777">
        <w:trPr>
          <w:tblCellSpacing w:w="0" w:type="dxa"/>
        </w:trPr>
        <w:tc>
          <w:tcPr>
            <w:tcW w:w="2200" w:type="pct"/>
            <w:shd w:val="clear" w:color="auto" w:fill="FFFFFF"/>
            <w:vAlign w:val="bottom"/>
            <w:hideMark/>
          </w:tcPr>
          <w:p w14:paraId="757EBD9C" w14:textId="77777777" w:rsidR="00000000" w:rsidRDefault="0053651E">
            <w:pPr>
              <w:pStyle w:val="a3"/>
              <w:spacing w:before="0" w:beforeAutospacing="0" w:after="0" w:afterAutospacing="0"/>
              <w:ind w:left="180"/>
              <w:rPr>
                <w:sz w:val="20"/>
                <w:szCs w:val="20"/>
              </w:rPr>
            </w:pPr>
            <w:r>
              <w:rPr>
                <w:sz w:val="20"/>
                <w:szCs w:val="20"/>
              </w:rPr>
              <w:t>Marketable equity securities (1)</w:t>
            </w:r>
          </w:p>
        </w:tc>
        <w:tc>
          <w:tcPr>
            <w:tcW w:w="50" w:type="pct"/>
            <w:shd w:val="clear" w:color="auto" w:fill="FFFFFF"/>
            <w:vAlign w:val="bottom"/>
            <w:hideMark/>
          </w:tcPr>
          <w:p w14:paraId="1A3CFA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57E33A"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36B4FA58" w14:textId="77777777" w:rsidR="00000000" w:rsidRDefault="0053651E">
            <w:pPr>
              <w:jc w:val="right"/>
              <w:rPr>
                <w:rFonts w:eastAsia="Times New Roman"/>
                <w:sz w:val="20"/>
                <w:szCs w:val="20"/>
              </w:rPr>
            </w:pPr>
            <w:r>
              <w:rPr>
                <w:rFonts w:eastAsia="Times New Roman"/>
                <w:sz w:val="20"/>
                <w:szCs w:val="20"/>
              </w:rPr>
              <w:t>9,045</w:t>
            </w:r>
          </w:p>
        </w:tc>
        <w:tc>
          <w:tcPr>
            <w:tcW w:w="50" w:type="pct"/>
            <w:shd w:val="clear" w:color="auto" w:fill="FFFFFF"/>
            <w:vAlign w:val="bottom"/>
            <w:hideMark/>
          </w:tcPr>
          <w:p w14:paraId="57F4C6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6B4A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23A8AD"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0A0AA4A8" w14:textId="77777777" w:rsidR="00000000" w:rsidRDefault="0053651E">
            <w:pPr>
              <w:jc w:val="right"/>
              <w:rPr>
                <w:rFonts w:eastAsia="Times New Roman"/>
                <w:sz w:val="20"/>
                <w:szCs w:val="20"/>
              </w:rPr>
            </w:pPr>
            <w:r>
              <w:rPr>
                <w:rFonts w:eastAsia="Times New Roman"/>
                <w:sz w:val="20"/>
                <w:szCs w:val="20"/>
              </w:rPr>
              <w:t>9,045</w:t>
            </w:r>
          </w:p>
        </w:tc>
        <w:tc>
          <w:tcPr>
            <w:tcW w:w="50" w:type="pct"/>
            <w:shd w:val="clear" w:color="auto" w:fill="FFFFFF"/>
            <w:vAlign w:val="bottom"/>
            <w:hideMark/>
          </w:tcPr>
          <w:p w14:paraId="555B70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EACF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231F9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047F01A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76E2B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98AE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5AA323"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74312AF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4B0B5F" w14:textId="77777777" w:rsidR="00000000" w:rsidRDefault="0053651E">
            <w:pPr>
              <w:rPr>
                <w:rFonts w:eastAsia="Times New Roman"/>
                <w:sz w:val="20"/>
                <w:szCs w:val="20"/>
              </w:rPr>
            </w:pPr>
            <w:r>
              <w:rPr>
                <w:rFonts w:eastAsia="Times New Roman"/>
                <w:sz w:val="20"/>
                <w:szCs w:val="20"/>
              </w:rPr>
              <w:t> </w:t>
            </w:r>
          </w:p>
        </w:tc>
      </w:tr>
    </w:tbl>
    <w:p w14:paraId="11E1962B"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9736965" w14:textId="77777777">
        <w:trPr>
          <w:tblCellSpacing w:w="0" w:type="dxa"/>
        </w:trPr>
        <w:tc>
          <w:tcPr>
            <w:tcW w:w="360" w:type="dxa"/>
            <w:vAlign w:val="center"/>
            <w:hideMark/>
          </w:tcPr>
          <w:p w14:paraId="164AAB58" w14:textId="77777777" w:rsidR="00000000" w:rsidRDefault="0053651E">
            <w:pPr>
              <w:rPr>
                <w:rFonts w:eastAsia="Times New Roman"/>
                <w:sz w:val="20"/>
                <w:szCs w:val="20"/>
              </w:rPr>
            </w:pPr>
            <w:r>
              <w:rPr>
                <w:rFonts w:eastAsia="Times New Roman"/>
                <w:sz w:val="20"/>
                <w:szCs w:val="20"/>
              </w:rPr>
              <w:t> </w:t>
            </w:r>
          </w:p>
        </w:tc>
        <w:tc>
          <w:tcPr>
            <w:tcW w:w="360" w:type="dxa"/>
            <w:hideMark/>
          </w:tcPr>
          <w:p w14:paraId="499BF987"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7FC09079" w14:textId="77777777" w:rsidR="00000000" w:rsidRDefault="0053651E">
            <w:pPr>
              <w:pStyle w:val="a3"/>
              <w:spacing w:before="0" w:beforeAutospacing="0" w:after="0" w:afterAutospacing="0"/>
              <w:jc w:val="both"/>
              <w:rPr>
                <w:sz w:val="20"/>
                <w:szCs w:val="20"/>
              </w:rPr>
            </w:pPr>
            <w:r>
              <w:rPr>
                <w:sz w:val="20"/>
                <w:szCs w:val="20"/>
              </w:rPr>
              <w:t>Included in Other Assets on the Company's Consolidated Balance Sheets. </w:t>
            </w:r>
          </w:p>
        </w:tc>
      </w:tr>
    </w:tbl>
    <w:p w14:paraId="7B9F0FD8" w14:textId="77777777" w:rsidR="00000000" w:rsidRDefault="0053651E">
      <w:pPr>
        <w:pStyle w:val="a3"/>
        <w:spacing w:before="0" w:beforeAutospacing="0" w:after="0" w:afterAutospacing="0"/>
        <w:ind w:left="360"/>
        <w:jc w:val="both"/>
        <w:rPr>
          <w:sz w:val="20"/>
          <w:szCs w:val="20"/>
        </w:rPr>
      </w:pPr>
      <w:r>
        <w:rPr>
          <w:sz w:val="20"/>
          <w:szCs w:val="20"/>
        </w:rPr>
        <w:t> </w:t>
      </w:r>
    </w:p>
    <w:p w14:paraId="202FCE9A" w14:textId="77777777" w:rsidR="00000000" w:rsidRDefault="0053651E">
      <w:pPr>
        <w:pStyle w:val="a3"/>
        <w:spacing w:before="0" w:beforeAutospacing="0" w:after="0" w:afterAutospacing="0"/>
        <w:ind w:left="360"/>
        <w:rPr>
          <w:sz w:val="20"/>
          <w:szCs w:val="20"/>
        </w:rPr>
      </w:pPr>
      <w:r>
        <w:rPr>
          <w:sz w:val="20"/>
          <w:szCs w:val="20"/>
        </w:rPr>
        <w:t>Assets measured at fair value on a non-recurring basis at</w:t>
      </w:r>
      <w:r>
        <w:rPr>
          <w:sz w:val="20"/>
          <w:szCs w:val="20"/>
        </w:rPr>
        <w:t xml:space="preserve"> </w:t>
      </w:r>
      <w:r>
        <w:rPr>
          <w:rStyle w:val="a6"/>
          <w:i w:val="0"/>
          <w:iCs w:val="0"/>
          <w:sz w:val="20"/>
          <w:szCs w:val="20"/>
        </w:rPr>
        <w:t>December 31, 2019 </w:t>
      </w:r>
      <w:r>
        <w:rPr>
          <w:sz w:val="20"/>
          <w:szCs w:val="20"/>
        </w:rPr>
        <w:t>and</w:t>
      </w:r>
      <w:r>
        <w:rPr>
          <w:sz w:val="20"/>
          <w:szCs w:val="20"/>
        </w:rPr>
        <w:t xml:space="preserve"> </w:t>
      </w:r>
      <w:r>
        <w:rPr>
          <w:rStyle w:val="a6"/>
          <w:i w:val="0"/>
          <w:iCs w:val="0"/>
          <w:sz w:val="20"/>
          <w:szCs w:val="20"/>
        </w:rPr>
        <w:t>2018</w:t>
      </w:r>
      <w:r>
        <w:rPr>
          <w:sz w:val="20"/>
          <w:szCs w:val="20"/>
        </w:rPr>
        <w:t> are as follows (in thousands):</w:t>
      </w:r>
    </w:p>
    <w:p w14:paraId="6515AA9B" w14:textId="77777777" w:rsidR="00000000" w:rsidRDefault="0053651E">
      <w:pPr>
        <w:pStyle w:val="a3"/>
        <w:spacing w:before="0" w:beforeAutospacing="0" w:after="0" w:afterAutospacing="0"/>
        <w:ind w:left="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465"/>
        <w:gridCol w:w="72"/>
        <w:gridCol w:w="101"/>
        <w:gridCol w:w="1098"/>
        <w:gridCol w:w="72"/>
        <w:gridCol w:w="72"/>
        <w:gridCol w:w="101"/>
        <w:gridCol w:w="782"/>
        <w:gridCol w:w="72"/>
        <w:gridCol w:w="72"/>
        <w:gridCol w:w="101"/>
        <w:gridCol w:w="782"/>
        <w:gridCol w:w="72"/>
        <w:gridCol w:w="73"/>
        <w:gridCol w:w="100"/>
        <w:gridCol w:w="783"/>
        <w:gridCol w:w="73"/>
      </w:tblGrid>
      <w:tr w:rsidR="00000000" w14:paraId="32577787" w14:textId="77777777">
        <w:trPr>
          <w:tblCellSpacing w:w="0" w:type="dxa"/>
        </w:trPr>
        <w:tc>
          <w:tcPr>
            <w:tcW w:w="2200" w:type="pct"/>
            <w:vAlign w:val="bottom"/>
            <w:hideMark/>
          </w:tcPr>
          <w:p w14:paraId="0B3EF32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902AF6E"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710D265" w14:textId="77777777" w:rsidR="00000000" w:rsidRDefault="0053651E">
            <w:pPr>
              <w:pStyle w:val="a3"/>
              <w:spacing w:before="0" w:beforeAutospacing="0" w:after="0" w:afterAutospacing="0"/>
              <w:jc w:val="center"/>
              <w:rPr>
                <w:sz w:val="20"/>
                <w:szCs w:val="20"/>
              </w:rPr>
            </w:pPr>
            <w:r>
              <w:rPr>
                <w:b/>
                <w:bCs/>
                <w:sz w:val="20"/>
                <w:szCs w:val="20"/>
              </w:rPr>
              <w:t>Balance at</w:t>
            </w:r>
          </w:p>
          <w:p w14:paraId="6B6458D0" w14:textId="77777777" w:rsidR="00000000" w:rsidRDefault="0053651E">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14:paraId="03B0018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2374321"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D170D78" w14:textId="77777777" w:rsidR="00000000" w:rsidRDefault="0053651E">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286CB58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D7D868F"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3A01FD4" w14:textId="77777777" w:rsidR="00000000" w:rsidRDefault="0053651E">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30F1AF81"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2E6B723"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80C9A4D" w14:textId="77777777" w:rsidR="00000000" w:rsidRDefault="0053651E">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0688349F" w14:textId="77777777" w:rsidR="00000000" w:rsidRDefault="0053651E">
            <w:pPr>
              <w:rPr>
                <w:rFonts w:eastAsia="Times New Roman"/>
                <w:sz w:val="20"/>
                <w:szCs w:val="20"/>
              </w:rPr>
            </w:pPr>
            <w:r>
              <w:rPr>
                <w:rFonts w:eastAsia="Times New Roman"/>
                <w:sz w:val="20"/>
                <w:szCs w:val="20"/>
              </w:rPr>
              <w:t> </w:t>
            </w:r>
          </w:p>
        </w:tc>
      </w:tr>
      <w:tr w:rsidR="00000000" w14:paraId="56812050" w14:textId="77777777">
        <w:trPr>
          <w:tblCellSpacing w:w="0" w:type="dxa"/>
        </w:trPr>
        <w:tc>
          <w:tcPr>
            <w:tcW w:w="2200" w:type="pct"/>
            <w:vAlign w:val="bottom"/>
            <w:hideMark/>
          </w:tcPr>
          <w:p w14:paraId="60913F9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F429ED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9D45D0B" w14:textId="77777777" w:rsidR="00000000" w:rsidRDefault="0053651E">
            <w:pPr>
              <w:rPr>
                <w:rFonts w:eastAsia="Times New Roman"/>
                <w:sz w:val="20"/>
                <w:szCs w:val="20"/>
              </w:rPr>
            </w:pPr>
            <w:r>
              <w:rPr>
                <w:rFonts w:eastAsia="Times New Roman"/>
                <w:sz w:val="20"/>
                <w:szCs w:val="20"/>
              </w:rPr>
              <w:t> </w:t>
            </w:r>
          </w:p>
        </w:tc>
        <w:tc>
          <w:tcPr>
            <w:tcW w:w="700" w:type="pct"/>
            <w:vAlign w:val="bottom"/>
            <w:hideMark/>
          </w:tcPr>
          <w:p w14:paraId="63025F0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D03E535"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97D0A6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D04FDD6"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238AF49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4D59295"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065162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1109118"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639B09E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DD7C7F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A205CB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69306CA"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017879C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5E5A895" w14:textId="77777777" w:rsidR="00000000" w:rsidRDefault="0053651E">
            <w:pPr>
              <w:rPr>
                <w:rFonts w:eastAsia="Times New Roman"/>
                <w:sz w:val="20"/>
                <w:szCs w:val="20"/>
              </w:rPr>
            </w:pPr>
            <w:r>
              <w:rPr>
                <w:rFonts w:eastAsia="Times New Roman"/>
                <w:sz w:val="20"/>
                <w:szCs w:val="20"/>
              </w:rPr>
              <w:t> </w:t>
            </w:r>
          </w:p>
        </w:tc>
      </w:tr>
      <w:tr w:rsidR="00000000" w14:paraId="79D9DB69" w14:textId="77777777">
        <w:trPr>
          <w:tblCellSpacing w:w="0" w:type="dxa"/>
        </w:trPr>
        <w:tc>
          <w:tcPr>
            <w:tcW w:w="2200" w:type="pct"/>
            <w:shd w:val="clear" w:color="auto" w:fill="CCEEFF"/>
            <w:vAlign w:val="bottom"/>
            <w:hideMark/>
          </w:tcPr>
          <w:p w14:paraId="32C18DA4" w14:textId="77777777" w:rsidR="00000000" w:rsidRDefault="0053651E">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466388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737C66"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307857BB" w14:textId="77777777" w:rsidR="00000000" w:rsidRDefault="0053651E">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13CA72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92DE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5ECC95"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0DB3AC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569FB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CFC0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6B42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25DA1C4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B7C91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E80D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518AA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441BF53" w14:textId="77777777" w:rsidR="00000000" w:rsidRDefault="0053651E">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4955C0FF" w14:textId="77777777" w:rsidR="00000000" w:rsidRDefault="0053651E">
            <w:pPr>
              <w:rPr>
                <w:rFonts w:eastAsia="Times New Roman"/>
                <w:sz w:val="20"/>
                <w:szCs w:val="20"/>
              </w:rPr>
            </w:pPr>
            <w:r>
              <w:rPr>
                <w:rFonts w:eastAsia="Times New Roman"/>
                <w:sz w:val="20"/>
                <w:szCs w:val="20"/>
              </w:rPr>
              <w:t> </w:t>
            </w:r>
          </w:p>
        </w:tc>
      </w:tr>
      <w:tr w:rsidR="00000000" w14:paraId="30038269" w14:textId="77777777">
        <w:trPr>
          <w:tblCellSpacing w:w="0" w:type="dxa"/>
        </w:trPr>
        <w:tc>
          <w:tcPr>
            <w:tcW w:w="2200" w:type="pct"/>
            <w:shd w:val="clear" w:color="auto" w:fill="FFFFFF"/>
            <w:vAlign w:val="bottom"/>
            <w:hideMark/>
          </w:tcPr>
          <w:p w14:paraId="35C3571D" w14:textId="77777777" w:rsidR="00000000" w:rsidRDefault="0053651E">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14:paraId="21F1B2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615B96"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42036C2C" w14:textId="77777777" w:rsidR="00000000" w:rsidRDefault="0053651E">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14:paraId="1859B6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B31A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148C30"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7D52DFA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F5A2D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965D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8436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5C5DC0F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3C0D7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0678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4A50A5"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D04AAF9" w14:textId="77777777" w:rsidR="00000000" w:rsidRDefault="0053651E">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14:paraId="471FF4EA" w14:textId="77777777" w:rsidR="00000000" w:rsidRDefault="0053651E">
            <w:pPr>
              <w:rPr>
                <w:rFonts w:eastAsia="Times New Roman"/>
                <w:sz w:val="20"/>
                <w:szCs w:val="20"/>
              </w:rPr>
            </w:pPr>
            <w:r>
              <w:rPr>
                <w:rFonts w:eastAsia="Times New Roman"/>
                <w:sz w:val="20"/>
                <w:szCs w:val="20"/>
              </w:rPr>
              <w:t> </w:t>
            </w:r>
          </w:p>
        </w:tc>
      </w:tr>
    </w:tbl>
    <w:p w14:paraId="11AEC1FA" w14:textId="77777777" w:rsidR="00000000" w:rsidRDefault="0053651E">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465"/>
        <w:gridCol w:w="72"/>
        <w:gridCol w:w="101"/>
        <w:gridCol w:w="1098"/>
        <w:gridCol w:w="72"/>
        <w:gridCol w:w="72"/>
        <w:gridCol w:w="101"/>
        <w:gridCol w:w="782"/>
        <w:gridCol w:w="72"/>
        <w:gridCol w:w="72"/>
        <w:gridCol w:w="101"/>
        <w:gridCol w:w="782"/>
        <w:gridCol w:w="72"/>
        <w:gridCol w:w="73"/>
        <w:gridCol w:w="100"/>
        <w:gridCol w:w="783"/>
        <w:gridCol w:w="73"/>
      </w:tblGrid>
      <w:tr w:rsidR="00000000" w14:paraId="3E2F44C4" w14:textId="77777777">
        <w:trPr>
          <w:tblCellSpacing w:w="0" w:type="dxa"/>
        </w:trPr>
        <w:tc>
          <w:tcPr>
            <w:tcW w:w="2200" w:type="pct"/>
            <w:vAlign w:val="bottom"/>
            <w:hideMark/>
          </w:tcPr>
          <w:p w14:paraId="7854406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3378C2E"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50995C2" w14:textId="77777777" w:rsidR="00000000" w:rsidRDefault="0053651E">
            <w:pPr>
              <w:pStyle w:val="a3"/>
              <w:spacing w:before="0" w:beforeAutospacing="0" w:after="0" w:afterAutospacing="0"/>
              <w:jc w:val="center"/>
              <w:rPr>
                <w:sz w:val="20"/>
                <w:szCs w:val="20"/>
              </w:rPr>
            </w:pPr>
            <w:r>
              <w:rPr>
                <w:b/>
                <w:bCs/>
                <w:sz w:val="20"/>
                <w:szCs w:val="20"/>
              </w:rPr>
              <w:t>Balance at</w:t>
            </w:r>
          </w:p>
          <w:p w14:paraId="2BC2ED2C" w14:textId="77777777" w:rsidR="00000000" w:rsidRDefault="0053651E">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14:paraId="7011859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B3E5B6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2445F32" w14:textId="77777777" w:rsidR="00000000" w:rsidRDefault="0053651E">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2404DB9B"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9698600"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0468CCA" w14:textId="77777777" w:rsidR="00000000" w:rsidRDefault="0053651E">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7D93CC3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A0F3C7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58F8842" w14:textId="77777777" w:rsidR="00000000" w:rsidRDefault="0053651E">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0E6B1C74" w14:textId="77777777" w:rsidR="00000000" w:rsidRDefault="0053651E">
            <w:pPr>
              <w:rPr>
                <w:rFonts w:eastAsia="Times New Roman"/>
                <w:sz w:val="20"/>
                <w:szCs w:val="20"/>
              </w:rPr>
            </w:pPr>
            <w:r>
              <w:rPr>
                <w:rFonts w:eastAsia="Times New Roman"/>
                <w:sz w:val="20"/>
                <w:szCs w:val="20"/>
              </w:rPr>
              <w:t> </w:t>
            </w:r>
          </w:p>
        </w:tc>
      </w:tr>
      <w:tr w:rsidR="00000000" w14:paraId="6E4DDB4B" w14:textId="77777777">
        <w:trPr>
          <w:tblCellSpacing w:w="0" w:type="dxa"/>
        </w:trPr>
        <w:tc>
          <w:tcPr>
            <w:tcW w:w="2200" w:type="pct"/>
            <w:vAlign w:val="bottom"/>
            <w:hideMark/>
          </w:tcPr>
          <w:p w14:paraId="366DD6A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ED0175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01C1C35" w14:textId="77777777" w:rsidR="00000000" w:rsidRDefault="0053651E">
            <w:pPr>
              <w:rPr>
                <w:rFonts w:eastAsia="Times New Roman"/>
                <w:sz w:val="20"/>
                <w:szCs w:val="20"/>
              </w:rPr>
            </w:pPr>
            <w:r>
              <w:rPr>
                <w:rFonts w:eastAsia="Times New Roman"/>
                <w:sz w:val="20"/>
                <w:szCs w:val="20"/>
              </w:rPr>
              <w:t> </w:t>
            </w:r>
          </w:p>
        </w:tc>
        <w:tc>
          <w:tcPr>
            <w:tcW w:w="700" w:type="pct"/>
            <w:vAlign w:val="bottom"/>
            <w:hideMark/>
          </w:tcPr>
          <w:p w14:paraId="5172C83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B76B65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43E658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8CA974E"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0F1B775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BBCE1CD"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82F2F9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5429871"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36DEEAF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0E7C265"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61961EC"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6CE94A5" w14:textId="77777777" w:rsidR="00000000" w:rsidRDefault="0053651E">
            <w:pPr>
              <w:rPr>
                <w:rFonts w:eastAsia="Times New Roman"/>
                <w:sz w:val="20"/>
                <w:szCs w:val="20"/>
              </w:rPr>
            </w:pPr>
            <w:r>
              <w:rPr>
                <w:rFonts w:eastAsia="Times New Roman"/>
                <w:sz w:val="20"/>
                <w:szCs w:val="20"/>
              </w:rPr>
              <w:t> </w:t>
            </w:r>
          </w:p>
        </w:tc>
        <w:tc>
          <w:tcPr>
            <w:tcW w:w="500" w:type="pct"/>
            <w:vAlign w:val="bottom"/>
            <w:hideMark/>
          </w:tcPr>
          <w:p w14:paraId="7E2945CB"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067845F" w14:textId="77777777" w:rsidR="00000000" w:rsidRDefault="0053651E">
            <w:pPr>
              <w:rPr>
                <w:rFonts w:eastAsia="Times New Roman"/>
                <w:sz w:val="20"/>
                <w:szCs w:val="20"/>
              </w:rPr>
            </w:pPr>
            <w:r>
              <w:rPr>
                <w:rFonts w:eastAsia="Times New Roman"/>
                <w:sz w:val="20"/>
                <w:szCs w:val="20"/>
              </w:rPr>
              <w:t> </w:t>
            </w:r>
          </w:p>
        </w:tc>
      </w:tr>
      <w:tr w:rsidR="00000000" w14:paraId="74D84AA6" w14:textId="77777777">
        <w:trPr>
          <w:tblCellSpacing w:w="0" w:type="dxa"/>
        </w:trPr>
        <w:tc>
          <w:tcPr>
            <w:tcW w:w="2200" w:type="pct"/>
            <w:shd w:val="clear" w:color="auto" w:fill="CCEEFF"/>
            <w:vAlign w:val="bottom"/>
            <w:hideMark/>
          </w:tcPr>
          <w:p w14:paraId="3BE2C196" w14:textId="77777777" w:rsidR="00000000" w:rsidRDefault="0053651E">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05295C5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C8BFC4"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1671783B" w14:textId="77777777" w:rsidR="00000000" w:rsidRDefault="0053651E">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14:paraId="1A1E21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F778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E11EE6"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576AFE4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EAA91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AC76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5C4A4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69A654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C2B31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2342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C928F9"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6735A8A1" w14:textId="77777777" w:rsidR="00000000" w:rsidRDefault="0053651E">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14:paraId="10930FF8" w14:textId="77777777" w:rsidR="00000000" w:rsidRDefault="0053651E">
            <w:pPr>
              <w:rPr>
                <w:rFonts w:eastAsia="Times New Roman"/>
                <w:sz w:val="20"/>
                <w:szCs w:val="20"/>
              </w:rPr>
            </w:pPr>
            <w:r>
              <w:rPr>
                <w:rFonts w:eastAsia="Times New Roman"/>
                <w:sz w:val="20"/>
                <w:szCs w:val="20"/>
              </w:rPr>
              <w:t> </w:t>
            </w:r>
          </w:p>
        </w:tc>
      </w:tr>
      <w:tr w:rsidR="00000000" w14:paraId="2E1F5D3F" w14:textId="77777777">
        <w:trPr>
          <w:tblCellSpacing w:w="0" w:type="dxa"/>
        </w:trPr>
        <w:tc>
          <w:tcPr>
            <w:tcW w:w="2200" w:type="pct"/>
            <w:shd w:val="clear" w:color="auto" w:fill="FFFFFF"/>
            <w:vAlign w:val="bottom"/>
            <w:hideMark/>
          </w:tcPr>
          <w:p w14:paraId="28B4ACEE" w14:textId="77777777" w:rsidR="00000000" w:rsidRDefault="0053651E">
            <w:pPr>
              <w:pStyle w:val="a3"/>
              <w:spacing w:before="0" w:beforeAutospacing="0" w:after="0" w:afterAutospacing="0"/>
              <w:rPr>
                <w:sz w:val="20"/>
                <w:szCs w:val="20"/>
              </w:rPr>
            </w:pPr>
            <w:r>
              <w:rPr>
                <w:sz w:val="20"/>
                <w:szCs w:val="20"/>
              </w:rPr>
              <w:t>Investments in real estate joint ventures (1)</w:t>
            </w:r>
          </w:p>
        </w:tc>
        <w:tc>
          <w:tcPr>
            <w:tcW w:w="50" w:type="pct"/>
            <w:shd w:val="clear" w:color="auto" w:fill="FFFFFF"/>
            <w:vAlign w:val="bottom"/>
            <w:hideMark/>
          </w:tcPr>
          <w:p w14:paraId="365AEC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24FE4D"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7B3CC7A1" w14:textId="77777777" w:rsidR="00000000" w:rsidRDefault="0053651E">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65C36E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7D11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1BBD5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153C766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B95EF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0E3A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F68CC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B82A3F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D97B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7004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697AD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109A69DE" w14:textId="77777777" w:rsidR="00000000" w:rsidRDefault="0053651E">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0EDC225F" w14:textId="77777777" w:rsidR="00000000" w:rsidRDefault="0053651E">
            <w:pPr>
              <w:rPr>
                <w:rFonts w:eastAsia="Times New Roman"/>
                <w:sz w:val="20"/>
                <w:szCs w:val="20"/>
              </w:rPr>
            </w:pPr>
            <w:r>
              <w:rPr>
                <w:rFonts w:eastAsia="Times New Roman"/>
                <w:sz w:val="20"/>
                <w:szCs w:val="20"/>
              </w:rPr>
              <w:t> </w:t>
            </w:r>
          </w:p>
        </w:tc>
      </w:tr>
    </w:tbl>
    <w:p w14:paraId="0448FF59"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14:paraId="404B4B0E" w14:textId="77777777">
        <w:trPr>
          <w:tblCellSpacing w:w="0" w:type="dxa"/>
        </w:trPr>
        <w:tc>
          <w:tcPr>
            <w:tcW w:w="540" w:type="dxa"/>
            <w:hideMark/>
          </w:tcPr>
          <w:p w14:paraId="7F78BB6A" w14:textId="77777777" w:rsidR="00000000" w:rsidRDefault="0053651E">
            <w:pPr>
              <w:rPr>
                <w:rFonts w:eastAsia="Times New Roman"/>
              </w:rPr>
            </w:pPr>
            <w:r>
              <w:rPr>
                <w:rFonts w:eastAsia="Times New Roman"/>
              </w:rPr>
              <w:t> </w:t>
            </w:r>
          </w:p>
        </w:tc>
        <w:tc>
          <w:tcPr>
            <w:tcW w:w="360" w:type="dxa"/>
            <w:hideMark/>
          </w:tcPr>
          <w:p w14:paraId="55BAD9A7"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7C3CB727" w14:textId="77777777" w:rsidR="00000000" w:rsidRDefault="0053651E">
            <w:pPr>
              <w:pStyle w:val="a3"/>
              <w:spacing w:before="0" w:beforeAutospacing="0" w:after="0" w:afterAutospacing="0"/>
              <w:jc w:val="both"/>
              <w:rPr>
                <w:sz w:val="20"/>
                <w:szCs w:val="20"/>
              </w:rPr>
            </w:pPr>
            <w:r>
              <w:rPr>
                <w:sz w:val="20"/>
                <w:szCs w:val="20"/>
              </w:rPr>
              <w:t>Fair value measurement as of date of deconsolidation. See Footnotes</w:t>
            </w:r>
            <w:r>
              <w:rPr>
                <w:sz w:val="20"/>
                <w:szCs w:val="20"/>
              </w:rPr>
              <w:t xml:space="preserve"> </w:t>
            </w:r>
            <w:r>
              <w:rPr>
                <w:rStyle w:val="a6"/>
                <w:i w:val="0"/>
                <w:iCs w:val="0"/>
                <w:sz w:val="20"/>
                <w:szCs w:val="20"/>
              </w:rPr>
              <w:t>5</w:t>
            </w:r>
            <w:r>
              <w:rPr>
                <w:sz w:val="20"/>
                <w:szCs w:val="20"/>
              </w:rPr>
              <w:t xml:space="preserve"> and</w:t>
            </w:r>
            <w:r>
              <w:rPr>
                <w:sz w:val="20"/>
                <w:szCs w:val="20"/>
              </w:rPr>
              <w:t xml:space="preserve"> </w:t>
            </w:r>
            <w:r>
              <w:rPr>
                <w:rStyle w:val="a6"/>
                <w:i w:val="0"/>
                <w:iCs w:val="0"/>
                <w:sz w:val="20"/>
                <w:szCs w:val="20"/>
              </w:rPr>
              <w:t>7</w:t>
            </w:r>
            <w:r>
              <w:rPr>
                <w:sz w:val="20"/>
                <w:szCs w:val="20"/>
              </w:rPr>
              <w:t xml:space="preserve"> to the Notes to the Consolidated Financial Statements.</w:t>
            </w:r>
          </w:p>
        </w:tc>
      </w:tr>
    </w:tbl>
    <w:p w14:paraId="238B238A" w14:textId="77777777" w:rsidR="00000000" w:rsidRDefault="0053651E">
      <w:pPr>
        <w:pStyle w:val="a3"/>
        <w:spacing w:before="0" w:beforeAutospacing="0" w:after="0" w:afterAutospacing="0"/>
        <w:ind w:left="360"/>
        <w:jc w:val="both"/>
        <w:rPr>
          <w:sz w:val="20"/>
          <w:szCs w:val="20"/>
        </w:rPr>
      </w:pPr>
      <w:r>
        <w:rPr>
          <w:sz w:val="20"/>
          <w:szCs w:val="20"/>
        </w:rPr>
        <w:t> </w:t>
      </w:r>
    </w:p>
    <w:p w14:paraId="2BDF3B9A" w14:textId="77777777" w:rsidR="00000000" w:rsidRDefault="0053651E">
      <w:pPr>
        <w:pStyle w:val="a3"/>
        <w:spacing w:before="0" w:beforeAutospacing="0" w:after="0" w:afterAutospacing="0"/>
        <w:ind w:left="36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2019, </w:t>
      </w:r>
      <w:r>
        <w:rPr>
          <w:sz w:val="20"/>
          <w:szCs w:val="20"/>
        </w:rPr>
        <w:t xml:space="preserve">the Company recognized impairment charges related to adjustments to property carrying values of $48.7 million. The Company’s estimated fair values of these properties were primarily based upon estimated sales prices from (i) signed contracts or letters of </w:t>
      </w:r>
      <w:r>
        <w:rPr>
          <w:sz w:val="20"/>
          <w:szCs w:val="20"/>
        </w:rPr>
        <w:t>intent from</w:t>
      </w:r>
      <w:r>
        <w:rPr>
          <w:sz w:val="20"/>
          <w:szCs w:val="20"/>
        </w:rPr>
        <w:t xml:space="preserve"> </w:t>
      </w:r>
      <w:r>
        <w:rPr>
          <w:rStyle w:val="a6"/>
          <w:i w:val="0"/>
          <w:iCs w:val="0"/>
          <w:sz w:val="20"/>
          <w:szCs w:val="20"/>
        </w:rPr>
        <w:t>third</w:t>
      </w:r>
      <w:r>
        <w:rPr>
          <w:sz w:val="20"/>
          <w:szCs w:val="20"/>
        </w:rPr>
        <w:t xml:space="preserve"> party offers or (ii) discounted cash flow models. The Company does</w:t>
      </w:r>
      <w:r>
        <w:rPr>
          <w:sz w:val="20"/>
          <w:szCs w:val="20"/>
        </w:rPr>
        <w:t xml:space="preserve"> </w:t>
      </w:r>
      <w:r>
        <w:rPr>
          <w:rStyle w:val="a6"/>
          <w:i w:val="0"/>
          <w:iCs w:val="0"/>
          <w:sz w:val="20"/>
          <w:szCs w:val="20"/>
        </w:rPr>
        <w:t>not</w:t>
      </w:r>
      <w:r>
        <w:rPr>
          <w:sz w:val="20"/>
          <w:szCs w:val="20"/>
        </w:rPr>
        <w:t xml:space="preserve"> have access to the unobservable inputs used to determine the estimated fair values of</w:t>
      </w:r>
      <w:r>
        <w:rPr>
          <w:sz w:val="20"/>
          <w:szCs w:val="20"/>
        </w:rPr>
        <w:t xml:space="preserve"> </w:t>
      </w:r>
      <w:r>
        <w:rPr>
          <w:rStyle w:val="a6"/>
          <w:i w:val="0"/>
          <w:iCs w:val="0"/>
          <w:sz w:val="20"/>
          <w:szCs w:val="20"/>
        </w:rPr>
        <w:t>third</w:t>
      </w:r>
      <w:r>
        <w:rPr>
          <w:sz w:val="20"/>
          <w:szCs w:val="20"/>
        </w:rPr>
        <w:t xml:space="preserve"> party offers. For the discounted cash flow model, the capitalization rate w</w:t>
      </w:r>
      <w:r>
        <w:rPr>
          <w:sz w:val="20"/>
          <w:szCs w:val="20"/>
        </w:rPr>
        <w:t>as 10.50% and the discount rate was 11.50% which were utilized in the model based upon unobservable rates that the Company believes to be within a reasonable range of current market rates for the investment. Based on these inputs, the Company determined th</w:t>
      </w:r>
      <w:r>
        <w:rPr>
          <w:sz w:val="20"/>
          <w:szCs w:val="20"/>
        </w:rPr>
        <w:t>at its valuation of this investment was classified within Level</w:t>
      </w:r>
      <w:r>
        <w:rPr>
          <w:sz w:val="20"/>
          <w:szCs w:val="20"/>
        </w:rPr>
        <w:t xml:space="preserve"> </w:t>
      </w:r>
      <w:r>
        <w:rPr>
          <w:rStyle w:val="a6"/>
          <w:i w:val="0"/>
          <w:iCs w:val="0"/>
          <w:sz w:val="20"/>
          <w:szCs w:val="20"/>
        </w:rPr>
        <w:t>3</w:t>
      </w:r>
      <w:r>
        <w:rPr>
          <w:sz w:val="20"/>
          <w:szCs w:val="20"/>
        </w:rPr>
        <w:t xml:space="preserve"> of the fair value hierarchy.</w:t>
      </w:r>
    </w:p>
    <w:p w14:paraId="2DFE4DF3" w14:textId="77777777" w:rsidR="00000000" w:rsidRDefault="0053651E">
      <w:pPr>
        <w:pStyle w:val="a3"/>
        <w:spacing w:before="0" w:beforeAutospacing="0" w:after="0" w:afterAutospacing="0"/>
        <w:ind w:left="360"/>
        <w:jc w:val="both"/>
        <w:rPr>
          <w:sz w:val="20"/>
          <w:szCs w:val="20"/>
        </w:rPr>
      </w:pPr>
      <w:r>
        <w:rPr>
          <w:sz w:val="20"/>
          <w:szCs w:val="20"/>
        </w:rPr>
        <w:t> </w:t>
      </w:r>
    </w:p>
    <w:p w14:paraId="1001364D" w14:textId="77777777" w:rsidR="00000000" w:rsidRDefault="0053651E">
      <w:pPr>
        <w:pStyle w:val="a3"/>
        <w:spacing w:before="0" w:beforeAutospacing="0" w:after="0" w:afterAutospacing="0"/>
        <w:ind w:left="360"/>
        <w:jc w:val="both"/>
        <w:rPr>
          <w:sz w:val="20"/>
          <w:szCs w:val="20"/>
        </w:rPr>
      </w:pP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the Company recognized impairment charges related to adjustments to property carrying values of $79.2 million. The Com</w:t>
      </w:r>
      <w:r>
        <w:rPr>
          <w:sz w:val="20"/>
          <w:szCs w:val="20"/>
        </w:rPr>
        <w:t>pany’s estimated fair values of these properties were primarily based upon estimated sales prices from (i) signed contracts or letters of intent from</w:t>
      </w:r>
      <w:r>
        <w:rPr>
          <w:sz w:val="20"/>
          <w:szCs w:val="20"/>
        </w:rPr>
        <w:t xml:space="preserve"> </w:t>
      </w:r>
      <w:r>
        <w:rPr>
          <w:rStyle w:val="a6"/>
          <w:i w:val="0"/>
          <w:iCs w:val="0"/>
          <w:sz w:val="20"/>
          <w:szCs w:val="20"/>
        </w:rPr>
        <w:t>third</w:t>
      </w:r>
      <w:r>
        <w:rPr>
          <w:sz w:val="20"/>
          <w:szCs w:val="20"/>
        </w:rPr>
        <w:t xml:space="preserve"> party offers, (ii) discounted cash flow models or (iii)</w:t>
      </w:r>
      <w:r>
        <w:rPr>
          <w:sz w:val="20"/>
          <w:szCs w:val="20"/>
        </w:rPr>
        <w:t xml:space="preserve"> </w:t>
      </w:r>
      <w:r>
        <w:rPr>
          <w:rStyle w:val="a6"/>
          <w:i w:val="0"/>
          <w:iCs w:val="0"/>
          <w:sz w:val="20"/>
          <w:szCs w:val="20"/>
        </w:rPr>
        <w:t>third</w:t>
      </w:r>
      <w:r>
        <w:rPr>
          <w:sz w:val="20"/>
          <w:szCs w:val="20"/>
        </w:rPr>
        <w:t xml:space="preserve"> party appraisals. The Company does</w:t>
      </w:r>
      <w:r>
        <w:rPr>
          <w:sz w:val="20"/>
          <w:szCs w:val="20"/>
        </w:rPr>
        <w:t xml:space="preserve"> </w:t>
      </w:r>
      <w:r>
        <w:rPr>
          <w:rStyle w:val="a6"/>
          <w:i w:val="0"/>
          <w:iCs w:val="0"/>
          <w:sz w:val="20"/>
          <w:szCs w:val="20"/>
        </w:rPr>
        <w:t>not</w:t>
      </w:r>
      <w:r>
        <w:rPr>
          <w:sz w:val="20"/>
          <w:szCs w:val="20"/>
        </w:rPr>
        <w:t xml:space="preserve"> have access to the unobservable inputs used to determine the estimated fair values of</w:t>
      </w:r>
      <w:r>
        <w:rPr>
          <w:sz w:val="20"/>
          <w:szCs w:val="20"/>
        </w:rPr>
        <w:t xml:space="preserve"> </w:t>
      </w:r>
      <w:r>
        <w:rPr>
          <w:rStyle w:val="a6"/>
          <w:i w:val="0"/>
          <w:iCs w:val="0"/>
          <w:sz w:val="20"/>
          <w:szCs w:val="20"/>
        </w:rPr>
        <w:t>third</w:t>
      </w:r>
      <w:r>
        <w:rPr>
          <w:sz w:val="20"/>
          <w:szCs w:val="20"/>
        </w:rPr>
        <w:t xml:space="preserve"> party offers. For the discounted cash flow models and appraisals, the capitalization rates primarily range from 8.50% to 9.75% and discount rates primarily range f</w:t>
      </w:r>
      <w:r>
        <w:rPr>
          <w:sz w:val="20"/>
          <w:szCs w:val="20"/>
        </w:rPr>
        <w:t>rom 9.25% to 11.25% which were utilized in the models based upon unobservable rates that the Company believes to be within a reasonable range of current market rates for each respective investment. Based on these inputs, the Company determined that its val</w:t>
      </w:r>
      <w:r>
        <w:rPr>
          <w:sz w:val="20"/>
          <w:szCs w:val="20"/>
        </w:rPr>
        <w:t>uation of these investments was classified within Level</w:t>
      </w:r>
      <w:r>
        <w:rPr>
          <w:sz w:val="20"/>
          <w:szCs w:val="20"/>
        </w:rPr>
        <w:t xml:space="preserve"> </w:t>
      </w:r>
      <w:r>
        <w:rPr>
          <w:rStyle w:val="a6"/>
          <w:i w:val="0"/>
          <w:iCs w:val="0"/>
          <w:sz w:val="20"/>
          <w:szCs w:val="20"/>
        </w:rPr>
        <w:t>3</w:t>
      </w:r>
      <w:r>
        <w:rPr>
          <w:sz w:val="20"/>
          <w:szCs w:val="20"/>
        </w:rPr>
        <w:t xml:space="preserve"> of the fair value hierarchy.</w:t>
      </w:r>
    </w:p>
    <w:p w14:paraId="198CE557" w14:textId="77777777" w:rsidR="00000000" w:rsidRDefault="0053651E">
      <w:pPr>
        <w:pStyle w:val="a3"/>
        <w:spacing w:before="0" w:beforeAutospacing="0" w:after="0" w:afterAutospacing="0"/>
        <w:ind w:left="360"/>
        <w:jc w:val="both"/>
        <w:rPr>
          <w:sz w:val="20"/>
          <w:szCs w:val="20"/>
        </w:rPr>
      </w:pPr>
      <w:r>
        <w:rPr>
          <w:sz w:val="20"/>
          <w:szCs w:val="20"/>
        </w:rPr>
        <w:t> </w:t>
      </w:r>
    </w:p>
    <w:p w14:paraId="4D470B61" w14:textId="77777777" w:rsidR="00000000" w:rsidRDefault="0053651E">
      <w:pPr>
        <w:pStyle w:val="a3"/>
        <w:spacing w:before="0" w:beforeAutospacing="0" w:after="0" w:afterAutospacing="0"/>
        <w:ind w:left="360"/>
        <w:jc w:val="both"/>
        <w:rPr>
          <w:sz w:val="20"/>
          <w:szCs w:val="20"/>
        </w:rPr>
      </w:pPr>
      <w:r>
        <w:rPr>
          <w:sz w:val="20"/>
          <w:szCs w:val="20"/>
        </w:rPr>
        <w:t>The property carrying value impairment charges resulted from the Company’s efforts to market certain assets and management’s assessment as to the likelihood and timing</w:t>
      </w:r>
      <w:r>
        <w:rPr>
          <w:sz w:val="20"/>
          <w:szCs w:val="20"/>
        </w:rPr>
        <w:t xml:space="preserve"> of such potential transactions.</w:t>
      </w:r>
    </w:p>
    <w:p w14:paraId="398C5ABC" w14:textId="77777777" w:rsidR="00000000" w:rsidRDefault="0053651E">
      <w:pPr>
        <w:pStyle w:val="a3"/>
        <w:spacing w:before="0" w:beforeAutospacing="0" w:after="0" w:afterAutospacing="0"/>
        <w:ind w:left="360"/>
        <w:jc w:val="both"/>
        <w:rPr>
          <w:sz w:val="20"/>
          <w:szCs w:val="20"/>
        </w:rPr>
      </w:pPr>
      <w:r>
        <w:rPr>
          <w:sz w:val="20"/>
          <w:szCs w:val="20"/>
        </w:rPr>
        <w:t> </w:t>
      </w:r>
    </w:p>
    <w:p w14:paraId="5881B79C" w14:textId="77777777" w:rsidR="00000000" w:rsidRDefault="0053651E">
      <w:pPr>
        <w:jc w:val="center"/>
        <w:divId w:val="1781146699"/>
        <w:rPr>
          <w:rFonts w:eastAsia="Times New Roman"/>
          <w:sz w:val="20"/>
          <w:szCs w:val="20"/>
        </w:rPr>
      </w:pPr>
      <w:r>
        <w:rPr>
          <w:rStyle w:val="a6"/>
          <w:rFonts w:eastAsia="Times New Roman"/>
          <w:i w:val="0"/>
          <w:iCs w:val="0"/>
          <w:sz w:val="20"/>
          <w:szCs w:val="20"/>
        </w:rPr>
        <w:t>75</w:t>
      </w:r>
      <w:r>
        <w:rPr>
          <w:rFonts w:eastAsia="Times New Roman"/>
          <w:sz w:val="20"/>
          <w:szCs w:val="20"/>
        </w:rPr>
        <w:t xml:space="preserve"> </w:t>
      </w:r>
    </w:p>
    <w:p w14:paraId="036DC94C" w14:textId="77777777" w:rsidR="00000000" w:rsidRDefault="0053651E">
      <w:pPr>
        <w:divId w:val="1781146699"/>
        <w:rPr>
          <w:rFonts w:eastAsia="Times New Roman"/>
          <w:sz w:val="20"/>
          <w:szCs w:val="20"/>
        </w:rPr>
      </w:pPr>
      <w:r>
        <w:rPr>
          <w:rFonts w:eastAsia="Times New Roman"/>
          <w:sz w:val="20"/>
          <w:szCs w:val="20"/>
        </w:rPr>
        <w:pict w14:anchorId="74E39705">
          <v:rect id="_x0000_i1106" style="width:415.3pt;height:1.5pt" o:hralign="center" o:hrstd="t" o:hrnoshade="t" o:hr="t" fillcolor="black" stroked="f"/>
        </w:pict>
      </w:r>
    </w:p>
    <w:p w14:paraId="25D0121F" w14:textId="77777777" w:rsidR="00000000" w:rsidRDefault="0053651E">
      <w:pPr>
        <w:divId w:val="17811466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A53FADD" w14:textId="77777777" w:rsidR="00000000" w:rsidRDefault="0053651E">
      <w:pPr>
        <w:pStyle w:val="a3"/>
        <w:spacing w:before="0" w:beforeAutospacing="0" w:after="0" w:afterAutospacing="0"/>
        <w:rPr>
          <w:sz w:val="20"/>
          <w:szCs w:val="20"/>
        </w:rPr>
      </w:pPr>
      <w:r>
        <w:rPr>
          <w:sz w:val="20"/>
          <w:szCs w:val="20"/>
        </w:rPr>
        <w:t> </w:t>
      </w:r>
    </w:p>
    <w:p w14:paraId="42CBD4B0"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20AB4D10" w14:textId="77777777" w:rsidR="00000000" w:rsidRDefault="0053651E">
      <w:pPr>
        <w:pStyle w:val="a3"/>
        <w:spacing w:before="0" w:beforeAutospacing="0" w:after="0" w:afterAutospacing="0"/>
        <w:jc w:val="center"/>
        <w:rPr>
          <w:sz w:val="20"/>
          <w:szCs w:val="20"/>
        </w:rPr>
      </w:pPr>
      <w:r>
        <w:rPr>
          <w:sz w:val="20"/>
          <w:szCs w:val="20"/>
        </w:rPr>
        <w:t> </w:t>
      </w:r>
    </w:p>
    <w:p w14:paraId="66B83295"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43795AD1" w14:textId="77777777" w:rsidR="00000000" w:rsidRDefault="0053651E">
      <w:pPr>
        <w:pStyle w:val="a3"/>
        <w:spacing w:before="0" w:beforeAutospacing="0" w:after="0" w:afterAutospacing="0"/>
        <w:rPr>
          <w:sz w:val="20"/>
          <w:szCs w:val="20"/>
        </w:rPr>
      </w:pPr>
      <w:r>
        <w:rPr>
          <w:sz w:val="20"/>
          <w:szCs w:val="20"/>
        </w:rPr>
        <w:t> </w:t>
      </w:r>
    </w:p>
    <w:p w14:paraId="219DD1DA" w14:textId="77777777" w:rsidR="00000000" w:rsidRDefault="0053651E">
      <w:pPr>
        <w:divId w:val="1644235042"/>
        <w:rPr>
          <w:rFonts w:eastAsia="Times New Roman"/>
          <w:sz w:val="20"/>
          <w:szCs w:val="20"/>
        </w:rPr>
      </w:pPr>
      <w:r>
        <w:rPr>
          <w:rFonts w:eastAsia="Times New Roman"/>
          <w:sz w:val="20"/>
          <w:szCs w:val="20"/>
        </w:rPr>
        <w:t xml:space="preserve">  </w:t>
      </w:r>
    </w:p>
    <w:p w14:paraId="3E886E70" w14:textId="77777777" w:rsidR="00000000" w:rsidRDefault="0053651E">
      <w:pPr>
        <w:pStyle w:val="a3"/>
        <w:spacing w:before="0" w:beforeAutospacing="0" w:after="0" w:afterAutospacing="0"/>
        <w:jc w:val="both"/>
        <w:rPr>
          <w:sz w:val="20"/>
          <w:szCs w:val="20"/>
        </w:rPr>
      </w:pPr>
      <w:r>
        <w:rPr>
          <w:rStyle w:val="a6"/>
          <w:i w:val="0"/>
          <w:iCs w:val="0"/>
          <w:sz w:val="20"/>
          <w:szCs w:val="20"/>
        </w:rPr>
        <w:t>16.</w:t>
      </w:r>
      <w:r>
        <w:rPr>
          <w:sz w:val="20"/>
          <w:szCs w:val="20"/>
        </w:rPr>
        <w:t>  </w:t>
      </w:r>
      <w:r>
        <w:rPr>
          <w:sz w:val="20"/>
          <w:szCs w:val="20"/>
          <w:u w:val="single"/>
        </w:rPr>
        <w:t>Preferred Stock, Common Stock and Convertible Unit Transactions</w:t>
      </w:r>
      <w:r>
        <w:rPr>
          <w:sz w:val="20"/>
          <w:szCs w:val="20"/>
        </w:rPr>
        <w:t>:</w:t>
      </w:r>
    </w:p>
    <w:p w14:paraId="13019B27" w14:textId="77777777" w:rsidR="00000000" w:rsidRDefault="0053651E">
      <w:pPr>
        <w:pStyle w:val="a3"/>
        <w:spacing w:before="0" w:beforeAutospacing="0" w:after="0" w:afterAutospacing="0"/>
        <w:ind w:left="360"/>
        <w:jc w:val="both"/>
        <w:rPr>
          <w:sz w:val="20"/>
          <w:szCs w:val="20"/>
        </w:rPr>
      </w:pPr>
      <w:r>
        <w:rPr>
          <w:sz w:val="20"/>
          <w:szCs w:val="20"/>
        </w:rPr>
        <w:t> </w:t>
      </w:r>
    </w:p>
    <w:p w14:paraId="3FA9E030" w14:textId="77777777" w:rsidR="00000000" w:rsidRDefault="0053651E">
      <w:pPr>
        <w:pStyle w:val="a3"/>
        <w:spacing w:before="0" w:beforeAutospacing="0" w:after="0" w:afterAutospacing="0"/>
        <w:ind w:left="360"/>
        <w:jc w:val="both"/>
        <w:rPr>
          <w:sz w:val="20"/>
          <w:szCs w:val="20"/>
        </w:rPr>
      </w:pPr>
      <w:r>
        <w:rPr>
          <w:i/>
          <w:iCs/>
          <w:sz w:val="20"/>
          <w:szCs w:val="20"/>
        </w:rPr>
        <w:t>Preferred Stock</w:t>
      </w:r>
    </w:p>
    <w:p w14:paraId="730A740A" w14:textId="77777777" w:rsidR="00000000" w:rsidRDefault="0053651E">
      <w:pPr>
        <w:pStyle w:val="a3"/>
        <w:spacing w:before="0" w:beforeAutospacing="0" w:after="0" w:afterAutospacing="0"/>
        <w:ind w:left="360"/>
        <w:jc w:val="both"/>
        <w:rPr>
          <w:sz w:val="20"/>
          <w:szCs w:val="20"/>
        </w:rPr>
      </w:pPr>
      <w:r>
        <w:rPr>
          <w:sz w:val="20"/>
          <w:szCs w:val="20"/>
        </w:rPr>
        <w:t> </w:t>
      </w:r>
    </w:p>
    <w:p w14:paraId="7312A555" w14:textId="77777777" w:rsidR="00000000" w:rsidRDefault="0053651E">
      <w:pPr>
        <w:pStyle w:val="a3"/>
        <w:spacing w:before="0" w:beforeAutospacing="0" w:after="0" w:afterAutospacing="0"/>
        <w:ind w:left="360"/>
        <w:jc w:val="both"/>
        <w:rPr>
          <w:sz w:val="20"/>
          <w:szCs w:val="20"/>
        </w:rPr>
      </w:pPr>
      <w:r>
        <w:rPr>
          <w:sz w:val="20"/>
          <w:szCs w:val="20"/>
        </w:rPr>
        <w:t>The Company’s outstanding Preferred Stock is detailed below (in thousands, except share data and par values):</w:t>
      </w:r>
    </w:p>
    <w:p w14:paraId="2D5D97E7"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14:paraId="672B2C98" w14:textId="77777777">
        <w:trPr>
          <w:tblCellSpacing w:w="0" w:type="dxa"/>
        </w:trPr>
        <w:tc>
          <w:tcPr>
            <w:tcW w:w="0" w:type="auto"/>
            <w:gridSpan w:val="26"/>
            <w:tcBorders>
              <w:bottom w:val="single" w:sz="6" w:space="0" w:color="000000"/>
            </w:tcBorders>
            <w:vAlign w:val="bottom"/>
            <w:hideMark/>
          </w:tcPr>
          <w:p w14:paraId="7A9953A7" w14:textId="77777777" w:rsidR="00000000" w:rsidRDefault="0053651E">
            <w:pPr>
              <w:pStyle w:val="a3"/>
              <w:spacing w:before="0" w:beforeAutospacing="0" w:after="0" w:afterAutospacing="0"/>
              <w:jc w:val="center"/>
              <w:rPr>
                <w:sz w:val="20"/>
                <w:szCs w:val="20"/>
              </w:rPr>
            </w:pPr>
            <w:r>
              <w:rPr>
                <w:b/>
                <w:bCs/>
                <w:sz w:val="20"/>
                <w:szCs w:val="20"/>
              </w:rPr>
              <w:t>As of December 31, 2019</w:t>
            </w:r>
          </w:p>
        </w:tc>
      </w:tr>
      <w:tr w:rsidR="00000000" w14:paraId="029DF10B" w14:textId="77777777">
        <w:trPr>
          <w:tblCellSpacing w:w="0" w:type="dxa"/>
        </w:trPr>
        <w:tc>
          <w:tcPr>
            <w:tcW w:w="665" w:type="pct"/>
            <w:tcBorders>
              <w:bottom w:val="single" w:sz="6" w:space="0" w:color="000000"/>
            </w:tcBorders>
            <w:vAlign w:val="bottom"/>
            <w:hideMark/>
          </w:tcPr>
          <w:p w14:paraId="7E5AB807" w14:textId="77777777" w:rsidR="00000000" w:rsidRDefault="0053651E">
            <w:pPr>
              <w:pStyle w:val="a3"/>
              <w:spacing w:before="0" w:beforeAutospacing="0" w:after="0" w:afterAutospacing="0"/>
              <w:jc w:val="center"/>
              <w:rPr>
                <w:sz w:val="20"/>
                <w:szCs w:val="20"/>
              </w:rPr>
            </w:pPr>
            <w:r>
              <w:rPr>
                <w:b/>
                <w:bCs/>
                <w:sz w:val="20"/>
                <w:szCs w:val="20"/>
              </w:rPr>
              <w:t>Class of</w:t>
            </w:r>
          </w:p>
          <w:p w14:paraId="7952EB90" w14:textId="77777777" w:rsidR="00000000" w:rsidRDefault="0053651E">
            <w:pPr>
              <w:pStyle w:val="a3"/>
              <w:spacing w:before="0" w:beforeAutospacing="0" w:after="0" w:afterAutospacing="0"/>
              <w:jc w:val="center"/>
              <w:rPr>
                <w:sz w:val="20"/>
                <w:szCs w:val="20"/>
              </w:rPr>
            </w:pPr>
            <w:r>
              <w:rPr>
                <w:b/>
                <w:bCs/>
                <w:sz w:val="20"/>
                <w:szCs w:val="20"/>
              </w:rPr>
              <w:t>Preferred</w:t>
            </w:r>
          </w:p>
          <w:p w14:paraId="7D23D970" w14:textId="77777777" w:rsidR="00000000" w:rsidRDefault="0053651E">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63598DB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D9E2181" w14:textId="77777777" w:rsidR="00000000" w:rsidRDefault="0053651E">
            <w:pPr>
              <w:pStyle w:val="a3"/>
              <w:spacing w:before="0" w:beforeAutospacing="0" w:after="0" w:afterAutospacing="0"/>
              <w:jc w:val="center"/>
              <w:rPr>
                <w:sz w:val="20"/>
                <w:szCs w:val="20"/>
              </w:rPr>
            </w:pPr>
            <w:r>
              <w:rPr>
                <w:b/>
                <w:bCs/>
                <w:sz w:val="20"/>
                <w:szCs w:val="20"/>
              </w:rPr>
              <w:t>Shares</w:t>
            </w:r>
          </w:p>
          <w:p w14:paraId="36786061" w14:textId="77777777" w:rsidR="00000000" w:rsidRDefault="0053651E">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14:paraId="43162F4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5214A1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923C872" w14:textId="77777777" w:rsidR="00000000" w:rsidRDefault="0053651E">
            <w:pPr>
              <w:pStyle w:val="a3"/>
              <w:spacing w:before="0" w:beforeAutospacing="0" w:after="0" w:afterAutospacing="0"/>
              <w:jc w:val="center"/>
              <w:rPr>
                <w:sz w:val="20"/>
                <w:szCs w:val="20"/>
              </w:rPr>
            </w:pPr>
            <w:r>
              <w:rPr>
                <w:b/>
                <w:bCs/>
                <w:sz w:val="20"/>
                <w:szCs w:val="20"/>
              </w:rPr>
              <w:t>Shares</w:t>
            </w:r>
          </w:p>
          <w:p w14:paraId="5CCD7576" w14:textId="77777777" w:rsidR="00000000" w:rsidRDefault="0053651E">
            <w:pPr>
              <w:pStyle w:val="a3"/>
              <w:spacing w:before="0" w:beforeAutospacing="0" w:after="0" w:afterAutospacing="0"/>
              <w:jc w:val="center"/>
              <w:rPr>
                <w:sz w:val="20"/>
                <w:szCs w:val="20"/>
              </w:rPr>
            </w:pPr>
            <w:r>
              <w:rPr>
                <w:b/>
                <w:bCs/>
                <w:sz w:val="20"/>
                <w:szCs w:val="20"/>
              </w:rPr>
              <w:t>Issued and</w:t>
            </w:r>
          </w:p>
          <w:p w14:paraId="5120049C" w14:textId="77777777" w:rsidR="00000000" w:rsidRDefault="0053651E">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14:paraId="545DBF3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B7DAC6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F4C865A" w14:textId="77777777" w:rsidR="00000000" w:rsidRDefault="0053651E">
            <w:pPr>
              <w:pStyle w:val="a3"/>
              <w:spacing w:before="0" w:beforeAutospacing="0" w:after="0" w:afterAutospacing="0"/>
              <w:jc w:val="center"/>
              <w:rPr>
                <w:sz w:val="20"/>
                <w:szCs w:val="20"/>
              </w:rPr>
            </w:pPr>
            <w:r>
              <w:rPr>
                <w:b/>
                <w:bCs/>
                <w:sz w:val="20"/>
                <w:szCs w:val="20"/>
              </w:rPr>
              <w:t>Liquidation</w:t>
            </w:r>
          </w:p>
          <w:p w14:paraId="05CAD961" w14:textId="77777777" w:rsidR="00000000" w:rsidRDefault="0053651E">
            <w:pPr>
              <w:pStyle w:val="a3"/>
              <w:spacing w:before="0" w:beforeAutospacing="0" w:after="0" w:afterAutospacing="0"/>
              <w:jc w:val="center"/>
              <w:rPr>
                <w:sz w:val="20"/>
                <w:szCs w:val="20"/>
              </w:rPr>
            </w:pPr>
            <w:r>
              <w:rPr>
                <w:b/>
                <w:bCs/>
                <w:sz w:val="20"/>
                <w:szCs w:val="20"/>
              </w:rPr>
              <w:t>Preference</w:t>
            </w:r>
          </w:p>
          <w:p w14:paraId="520217EF" w14:textId="77777777" w:rsidR="00000000" w:rsidRDefault="0053651E">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14:paraId="355D006B"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BE5E57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A18D01" w14:textId="77777777" w:rsidR="00000000" w:rsidRDefault="0053651E">
            <w:pPr>
              <w:pStyle w:val="a3"/>
              <w:spacing w:before="0" w:beforeAutospacing="0" w:after="0" w:afterAutospacing="0"/>
              <w:jc w:val="center"/>
              <w:rPr>
                <w:sz w:val="20"/>
                <w:szCs w:val="20"/>
              </w:rPr>
            </w:pPr>
            <w:r>
              <w:rPr>
                <w:b/>
                <w:bCs/>
                <w:sz w:val="20"/>
                <w:szCs w:val="20"/>
              </w:rPr>
              <w:t>Dividend</w:t>
            </w:r>
          </w:p>
          <w:p w14:paraId="49AB39BA" w14:textId="77777777" w:rsidR="00000000" w:rsidRDefault="0053651E">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48D270A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C38BFF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8282B09" w14:textId="77777777" w:rsidR="00000000" w:rsidRDefault="0053651E">
            <w:pPr>
              <w:pStyle w:val="a3"/>
              <w:spacing w:before="0" w:beforeAutospacing="0" w:after="0" w:afterAutospacing="0"/>
              <w:jc w:val="center"/>
              <w:rPr>
                <w:sz w:val="20"/>
                <w:szCs w:val="20"/>
              </w:rPr>
            </w:pPr>
            <w:r>
              <w:rPr>
                <w:b/>
                <w:bCs/>
                <w:sz w:val="20"/>
                <w:szCs w:val="20"/>
              </w:rPr>
              <w:t>Annual</w:t>
            </w:r>
          </w:p>
          <w:p w14:paraId="7807D1BB" w14:textId="77777777" w:rsidR="00000000" w:rsidRDefault="0053651E">
            <w:pPr>
              <w:pStyle w:val="a3"/>
              <w:spacing w:before="0" w:beforeAutospacing="0" w:after="0" w:afterAutospacing="0"/>
              <w:jc w:val="center"/>
              <w:rPr>
                <w:sz w:val="20"/>
                <w:szCs w:val="20"/>
              </w:rPr>
            </w:pPr>
            <w:r>
              <w:rPr>
                <w:b/>
                <w:bCs/>
                <w:sz w:val="20"/>
                <w:szCs w:val="20"/>
              </w:rPr>
              <w:t xml:space="preserve">Dividend per </w:t>
            </w:r>
          </w:p>
          <w:p w14:paraId="5F05EE7D" w14:textId="77777777" w:rsidR="00000000" w:rsidRDefault="0053651E">
            <w:pPr>
              <w:pStyle w:val="a3"/>
              <w:spacing w:before="0" w:beforeAutospacing="0" w:after="0" w:afterAutospacing="0"/>
              <w:jc w:val="center"/>
              <w:rPr>
                <w:sz w:val="20"/>
                <w:szCs w:val="20"/>
              </w:rPr>
            </w:pPr>
            <w:r>
              <w:rPr>
                <w:b/>
                <w:bCs/>
                <w:sz w:val="20"/>
                <w:szCs w:val="20"/>
              </w:rPr>
              <w:t>Depositary</w:t>
            </w:r>
          </w:p>
          <w:p w14:paraId="019B1F7C" w14:textId="77777777" w:rsidR="00000000" w:rsidRDefault="0053651E">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14:paraId="3713850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2E2509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3B1610" w14:textId="77777777" w:rsidR="00000000" w:rsidRDefault="0053651E">
            <w:pPr>
              <w:pStyle w:val="a3"/>
              <w:spacing w:before="0" w:beforeAutospacing="0" w:after="0" w:afterAutospacing="0"/>
              <w:jc w:val="center"/>
              <w:rPr>
                <w:sz w:val="20"/>
                <w:szCs w:val="20"/>
              </w:rPr>
            </w:pPr>
            <w:r>
              <w:rPr>
                <w:sz w:val="20"/>
                <w:szCs w:val="20"/>
              </w:rPr>
              <w:t> </w:t>
            </w:r>
          </w:p>
          <w:p w14:paraId="58CA2FCA" w14:textId="77777777" w:rsidR="00000000" w:rsidRDefault="0053651E">
            <w:pPr>
              <w:pStyle w:val="a3"/>
              <w:spacing w:before="0" w:beforeAutospacing="0" w:after="0" w:afterAutospacing="0"/>
              <w:jc w:val="center"/>
              <w:rPr>
                <w:sz w:val="20"/>
                <w:szCs w:val="20"/>
              </w:rPr>
            </w:pPr>
            <w:r>
              <w:rPr>
                <w:b/>
                <w:bCs/>
                <w:sz w:val="20"/>
                <w:szCs w:val="20"/>
              </w:rPr>
              <w:t xml:space="preserve">Par </w:t>
            </w:r>
          </w:p>
          <w:p w14:paraId="5F985044" w14:textId="77777777" w:rsidR="00000000" w:rsidRDefault="0053651E">
            <w:pPr>
              <w:pStyle w:val="a3"/>
              <w:spacing w:before="0" w:beforeAutospacing="0" w:after="0" w:afterAutospacing="0"/>
              <w:jc w:val="center"/>
              <w:rPr>
                <w:sz w:val="20"/>
                <w:szCs w:val="20"/>
              </w:rPr>
            </w:pPr>
            <w:r>
              <w:rPr>
                <w:b/>
                <w:bCs/>
                <w:sz w:val="20"/>
                <w:szCs w:val="20"/>
              </w:rPr>
              <w:t>Value</w:t>
            </w:r>
          </w:p>
        </w:tc>
        <w:tc>
          <w:tcPr>
            <w:tcW w:w="0" w:type="auto"/>
            <w:tcBorders>
              <w:bottom w:val="single" w:sz="6" w:space="0" w:color="000000"/>
            </w:tcBorders>
            <w:tcMar>
              <w:top w:w="0" w:type="dxa"/>
              <w:left w:w="0" w:type="dxa"/>
              <w:bottom w:w="15" w:type="dxa"/>
              <w:right w:w="0" w:type="dxa"/>
            </w:tcMar>
            <w:vAlign w:val="bottom"/>
            <w:hideMark/>
          </w:tcPr>
          <w:p w14:paraId="714C3284" w14:textId="77777777" w:rsidR="00000000" w:rsidRDefault="0053651E">
            <w:pPr>
              <w:rPr>
                <w:rFonts w:eastAsia="Times New Roman"/>
                <w:sz w:val="20"/>
                <w:szCs w:val="20"/>
              </w:rPr>
            </w:pPr>
            <w:r>
              <w:rPr>
                <w:rFonts w:eastAsia="Times New Roman"/>
                <w:sz w:val="20"/>
                <w:szCs w:val="20"/>
              </w:rPr>
              <w:t> </w:t>
            </w:r>
          </w:p>
        </w:tc>
        <w:tc>
          <w:tcPr>
            <w:tcW w:w="735" w:type="pct"/>
            <w:tcBorders>
              <w:bottom w:val="single" w:sz="6" w:space="0" w:color="000000"/>
            </w:tcBorders>
            <w:vAlign w:val="bottom"/>
            <w:hideMark/>
          </w:tcPr>
          <w:p w14:paraId="133AEEC9" w14:textId="77777777" w:rsidR="00000000" w:rsidRDefault="0053651E">
            <w:pPr>
              <w:pStyle w:val="a3"/>
              <w:spacing w:before="0" w:beforeAutospacing="0" w:after="0" w:afterAutospacing="0"/>
              <w:jc w:val="center"/>
              <w:rPr>
                <w:sz w:val="20"/>
                <w:szCs w:val="20"/>
              </w:rPr>
            </w:pPr>
            <w:r>
              <w:rPr>
                <w:b/>
                <w:bCs/>
                <w:sz w:val="20"/>
                <w:szCs w:val="20"/>
              </w:rPr>
              <w:t>Optional</w:t>
            </w:r>
          </w:p>
          <w:p w14:paraId="56E7602C" w14:textId="77777777" w:rsidR="00000000" w:rsidRDefault="0053651E">
            <w:pPr>
              <w:pStyle w:val="a3"/>
              <w:spacing w:before="0" w:beforeAutospacing="0" w:after="0" w:afterAutospacing="0"/>
              <w:jc w:val="center"/>
              <w:rPr>
                <w:sz w:val="20"/>
                <w:szCs w:val="20"/>
              </w:rPr>
            </w:pPr>
            <w:r>
              <w:rPr>
                <w:b/>
                <w:bCs/>
                <w:sz w:val="20"/>
                <w:szCs w:val="20"/>
              </w:rPr>
              <w:t>Redemption</w:t>
            </w:r>
          </w:p>
          <w:p w14:paraId="056158F2" w14:textId="77777777" w:rsidR="00000000" w:rsidRDefault="0053651E">
            <w:pPr>
              <w:pStyle w:val="a3"/>
              <w:spacing w:before="0" w:beforeAutospacing="0" w:after="0" w:afterAutospacing="0"/>
              <w:jc w:val="center"/>
              <w:rPr>
                <w:sz w:val="20"/>
                <w:szCs w:val="20"/>
              </w:rPr>
            </w:pPr>
            <w:r>
              <w:rPr>
                <w:b/>
                <w:bCs/>
                <w:sz w:val="20"/>
                <w:szCs w:val="20"/>
              </w:rPr>
              <w:t>Date</w:t>
            </w:r>
          </w:p>
        </w:tc>
      </w:tr>
      <w:tr w:rsidR="00000000" w14:paraId="7D633BAF" w14:textId="77777777">
        <w:trPr>
          <w:tblCellSpacing w:w="0" w:type="dxa"/>
        </w:trPr>
        <w:tc>
          <w:tcPr>
            <w:tcW w:w="0" w:type="auto"/>
            <w:shd w:val="clear" w:color="auto" w:fill="CCEEFF"/>
            <w:vAlign w:val="bottom"/>
            <w:hideMark/>
          </w:tcPr>
          <w:p w14:paraId="0034DE29" w14:textId="77777777" w:rsidR="00000000" w:rsidRDefault="0053651E">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14:paraId="073B6F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44040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25ABF23" w14:textId="77777777" w:rsidR="00000000" w:rsidRDefault="0053651E">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14:paraId="4E639B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4641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4EB83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FEBE1A" w14:textId="77777777" w:rsidR="00000000" w:rsidRDefault="0053651E">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14:paraId="5DCF98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2A9F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3F78E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640EA5FD" w14:textId="77777777" w:rsidR="00000000" w:rsidRDefault="0053651E">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2102C2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E264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28ABF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5927D9" w14:textId="77777777" w:rsidR="00000000" w:rsidRDefault="0053651E">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14:paraId="4B5AA4DF"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F73CE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BAC73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07A0590" w14:textId="77777777" w:rsidR="00000000" w:rsidRDefault="0053651E">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14:paraId="24344B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3098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4EB21D"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4A13BF9A"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72AA52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09E3D"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8/16/2022</w:t>
            </w:r>
          </w:p>
        </w:tc>
      </w:tr>
      <w:tr w:rsidR="00000000" w14:paraId="0C692E28" w14:textId="77777777">
        <w:trPr>
          <w:tblCellSpacing w:w="0" w:type="dxa"/>
        </w:trPr>
        <w:tc>
          <w:tcPr>
            <w:tcW w:w="0" w:type="auto"/>
            <w:shd w:val="clear" w:color="auto" w:fill="FFFFFF"/>
            <w:vAlign w:val="bottom"/>
            <w:hideMark/>
          </w:tcPr>
          <w:p w14:paraId="62F5AB3F" w14:textId="77777777" w:rsidR="00000000" w:rsidRDefault="0053651E">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14:paraId="05B787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DA28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DB0562E" w14:textId="77777777" w:rsidR="00000000" w:rsidRDefault="0053651E">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40E6ED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62ED90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4862AA"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9FE0979" w14:textId="77777777" w:rsidR="00000000" w:rsidRDefault="0053651E">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14:paraId="61BE28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719CE3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4085CE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FE11D14" w14:textId="77777777" w:rsidR="00000000" w:rsidRDefault="0053651E">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14:paraId="1A2558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B608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72E98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74E35C" w14:textId="77777777" w:rsidR="00000000" w:rsidRDefault="0053651E">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14:paraId="7143370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AA31C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6587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2FBAE89" w14:textId="77777777" w:rsidR="00000000" w:rsidRDefault="0053651E">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14:paraId="2C637C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9FFC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AD5E60"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110A6783"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5731CF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00A290"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12/20/2022</w:t>
            </w:r>
          </w:p>
        </w:tc>
      </w:tr>
      <w:tr w:rsidR="00000000" w14:paraId="5B8C526B" w14:textId="77777777">
        <w:trPr>
          <w:tblCellSpacing w:w="0" w:type="dxa"/>
        </w:trPr>
        <w:tc>
          <w:tcPr>
            <w:tcW w:w="0" w:type="auto"/>
            <w:shd w:val="clear" w:color="auto" w:fill="CCEEFF"/>
            <w:vAlign w:val="bottom"/>
            <w:hideMark/>
          </w:tcPr>
          <w:p w14:paraId="3A1C5EB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A76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E66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BFA92"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CCEEFF"/>
            <w:vAlign w:val="bottom"/>
            <w:hideMark/>
          </w:tcPr>
          <w:p w14:paraId="7AB894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1623B85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3640D90"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60694858" w14:textId="77777777" w:rsidR="00000000" w:rsidRDefault="0053651E">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14:paraId="42093B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74412C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99214F9" w14:textId="77777777" w:rsidR="00000000" w:rsidRDefault="0053651E">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43B477C" w14:textId="77777777" w:rsidR="00000000" w:rsidRDefault="0053651E">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14:paraId="31322E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5FF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B7A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625C1"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CCEEFF"/>
            <w:vAlign w:val="bottom"/>
            <w:hideMark/>
          </w:tcPr>
          <w:p w14:paraId="72233F9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A91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BA67F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32D58E"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CCEEFF"/>
            <w:vAlign w:val="bottom"/>
            <w:hideMark/>
          </w:tcPr>
          <w:p w14:paraId="1B37813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6563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A0CF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9EC7D"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CCEEFF"/>
            <w:vAlign w:val="bottom"/>
            <w:hideMark/>
          </w:tcPr>
          <w:p w14:paraId="00322EC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9916A" w14:textId="77777777" w:rsidR="00000000" w:rsidRDefault="0053651E">
            <w:pPr>
              <w:rPr>
                <w:rFonts w:eastAsia="Times New Roman"/>
                <w:sz w:val="20"/>
                <w:szCs w:val="20"/>
              </w:rPr>
            </w:pPr>
            <w:r>
              <w:rPr>
                <w:rStyle w:val="a6"/>
                <w:rFonts w:eastAsia="Times New Roman"/>
                <w:i w:val="0"/>
                <w:iCs w:val="0"/>
                <w:sz w:val="20"/>
                <w:szCs w:val="20"/>
              </w:rPr>
              <w:t> </w:t>
            </w:r>
          </w:p>
        </w:tc>
      </w:tr>
    </w:tbl>
    <w:p w14:paraId="3142C2F7"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160"/>
        <w:gridCol w:w="50"/>
        <w:gridCol w:w="50"/>
        <w:gridCol w:w="78"/>
        <w:gridCol w:w="701"/>
        <w:gridCol w:w="167"/>
        <w:gridCol w:w="50"/>
        <w:gridCol w:w="101"/>
        <w:gridCol w:w="840"/>
        <w:gridCol w:w="50"/>
        <w:gridCol w:w="50"/>
        <w:gridCol w:w="120"/>
        <w:gridCol w:w="450"/>
        <w:gridCol w:w="50"/>
        <w:gridCol w:w="1045"/>
      </w:tblGrid>
      <w:tr w:rsidR="00000000" w14:paraId="162B5F4D" w14:textId="77777777">
        <w:trPr>
          <w:tblCellSpacing w:w="0" w:type="dxa"/>
        </w:trPr>
        <w:tc>
          <w:tcPr>
            <w:tcW w:w="0" w:type="auto"/>
            <w:gridSpan w:val="26"/>
            <w:tcBorders>
              <w:bottom w:val="single" w:sz="6" w:space="0" w:color="000000"/>
            </w:tcBorders>
            <w:vAlign w:val="bottom"/>
            <w:hideMark/>
          </w:tcPr>
          <w:p w14:paraId="693E4D61" w14:textId="77777777" w:rsidR="00000000" w:rsidRDefault="0053651E">
            <w:pPr>
              <w:pStyle w:val="a3"/>
              <w:spacing w:before="0" w:beforeAutospacing="0" w:after="0" w:afterAutospacing="0"/>
              <w:jc w:val="center"/>
              <w:rPr>
                <w:sz w:val="20"/>
                <w:szCs w:val="20"/>
              </w:rPr>
            </w:pPr>
            <w:r>
              <w:rPr>
                <w:b/>
                <w:bCs/>
                <w:sz w:val="20"/>
                <w:szCs w:val="20"/>
              </w:rPr>
              <w:t>As of December 31, 2018</w:t>
            </w:r>
          </w:p>
        </w:tc>
      </w:tr>
      <w:tr w:rsidR="00000000" w14:paraId="16592915" w14:textId="77777777">
        <w:trPr>
          <w:tblCellSpacing w:w="0" w:type="dxa"/>
        </w:trPr>
        <w:tc>
          <w:tcPr>
            <w:tcW w:w="665" w:type="pct"/>
            <w:tcBorders>
              <w:bottom w:val="single" w:sz="6" w:space="0" w:color="000000"/>
            </w:tcBorders>
            <w:vAlign w:val="bottom"/>
            <w:hideMark/>
          </w:tcPr>
          <w:p w14:paraId="18F3D761" w14:textId="77777777" w:rsidR="00000000" w:rsidRDefault="0053651E">
            <w:pPr>
              <w:pStyle w:val="a3"/>
              <w:spacing w:before="0" w:beforeAutospacing="0" w:after="0" w:afterAutospacing="0"/>
              <w:jc w:val="center"/>
              <w:rPr>
                <w:sz w:val="20"/>
                <w:szCs w:val="20"/>
              </w:rPr>
            </w:pPr>
            <w:r>
              <w:rPr>
                <w:b/>
                <w:bCs/>
                <w:sz w:val="20"/>
                <w:szCs w:val="20"/>
              </w:rPr>
              <w:t>Class of</w:t>
            </w:r>
          </w:p>
          <w:p w14:paraId="5D9A65E0" w14:textId="77777777" w:rsidR="00000000" w:rsidRDefault="0053651E">
            <w:pPr>
              <w:pStyle w:val="a3"/>
              <w:spacing w:before="0" w:beforeAutospacing="0" w:after="0" w:afterAutospacing="0"/>
              <w:jc w:val="center"/>
              <w:rPr>
                <w:sz w:val="20"/>
                <w:szCs w:val="20"/>
              </w:rPr>
            </w:pPr>
            <w:r>
              <w:rPr>
                <w:b/>
                <w:bCs/>
                <w:sz w:val="20"/>
                <w:szCs w:val="20"/>
              </w:rPr>
              <w:t>Preferred</w:t>
            </w:r>
          </w:p>
          <w:p w14:paraId="074320B7" w14:textId="77777777" w:rsidR="00000000" w:rsidRDefault="0053651E">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354AB3E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DE42080" w14:textId="77777777" w:rsidR="00000000" w:rsidRDefault="0053651E">
            <w:pPr>
              <w:pStyle w:val="a3"/>
              <w:spacing w:before="0" w:beforeAutospacing="0" w:after="0" w:afterAutospacing="0"/>
              <w:jc w:val="center"/>
              <w:rPr>
                <w:sz w:val="20"/>
                <w:szCs w:val="20"/>
              </w:rPr>
            </w:pPr>
            <w:r>
              <w:rPr>
                <w:b/>
                <w:bCs/>
                <w:sz w:val="20"/>
                <w:szCs w:val="20"/>
              </w:rPr>
              <w:t>Shares</w:t>
            </w:r>
          </w:p>
          <w:p w14:paraId="03BF8CD8" w14:textId="77777777" w:rsidR="00000000" w:rsidRDefault="0053651E">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14:paraId="668AF2B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B8F264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BD82E2" w14:textId="77777777" w:rsidR="00000000" w:rsidRDefault="0053651E">
            <w:pPr>
              <w:pStyle w:val="a3"/>
              <w:spacing w:before="0" w:beforeAutospacing="0" w:after="0" w:afterAutospacing="0"/>
              <w:jc w:val="center"/>
              <w:rPr>
                <w:sz w:val="20"/>
                <w:szCs w:val="20"/>
              </w:rPr>
            </w:pPr>
            <w:r>
              <w:rPr>
                <w:b/>
                <w:bCs/>
                <w:sz w:val="20"/>
                <w:szCs w:val="20"/>
              </w:rPr>
              <w:t>Shares</w:t>
            </w:r>
          </w:p>
          <w:p w14:paraId="2A52FE61" w14:textId="77777777" w:rsidR="00000000" w:rsidRDefault="0053651E">
            <w:pPr>
              <w:pStyle w:val="a3"/>
              <w:spacing w:before="0" w:beforeAutospacing="0" w:after="0" w:afterAutospacing="0"/>
              <w:jc w:val="center"/>
              <w:rPr>
                <w:sz w:val="20"/>
                <w:szCs w:val="20"/>
              </w:rPr>
            </w:pPr>
            <w:r>
              <w:rPr>
                <w:b/>
                <w:bCs/>
                <w:sz w:val="20"/>
                <w:szCs w:val="20"/>
              </w:rPr>
              <w:t>Issued and</w:t>
            </w:r>
          </w:p>
          <w:p w14:paraId="4CF5A6C1" w14:textId="77777777" w:rsidR="00000000" w:rsidRDefault="0053651E">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14:paraId="070B19F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FEF3EF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84F72B5" w14:textId="77777777" w:rsidR="00000000" w:rsidRDefault="0053651E">
            <w:pPr>
              <w:pStyle w:val="a3"/>
              <w:spacing w:before="0" w:beforeAutospacing="0" w:after="0" w:afterAutospacing="0"/>
              <w:jc w:val="center"/>
              <w:rPr>
                <w:sz w:val="20"/>
                <w:szCs w:val="20"/>
              </w:rPr>
            </w:pPr>
            <w:r>
              <w:rPr>
                <w:b/>
                <w:bCs/>
                <w:sz w:val="20"/>
                <w:szCs w:val="20"/>
              </w:rPr>
              <w:t>Liquidation</w:t>
            </w:r>
          </w:p>
          <w:p w14:paraId="0AF04F97" w14:textId="77777777" w:rsidR="00000000" w:rsidRDefault="0053651E">
            <w:pPr>
              <w:pStyle w:val="a3"/>
              <w:spacing w:before="0" w:beforeAutospacing="0" w:after="0" w:afterAutospacing="0"/>
              <w:jc w:val="center"/>
              <w:rPr>
                <w:sz w:val="20"/>
                <w:szCs w:val="20"/>
              </w:rPr>
            </w:pPr>
            <w:r>
              <w:rPr>
                <w:b/>
                <w:bCs/>
                <w:sz w:val="20"/>
                <w:szCs w:val="20"/>
              </w:rPr>
              <w:t>Preference</w:t>
            </w:r>
          </w:p>
          <w:p w14:paraId="402A126C" w14:textId="77777777" w:rsidR="00000000" w:rsidRDefault="0053651E">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14:paraId="2911866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05E476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BE72645" w14:textId="77777777" w:rsidR="00000000" w:rsidRDefault="0053651E">
            <w:pPr>
              <w:pStyle w:val="a3"/>
              <w:spacing w:before="0" w:beforeAutospacing="0" w:after="0" w:afterAutospacing="0"/>
              <w:jc w:val="center"/>
              <w:rPr>
                <w:sz w:val="20"/>
                <w:szCs w:val="20"/>
              </w:rPr>
            </w:pPr>
            <w:r>
              <w:rPr>
                <w:b/>
                <w:bCs/>
                <w:sz w:val="20"/>
                <w:szCs w:val="20"/>
              </w:rPr>
              <w:t>Dividend</w:t>
            </w:r>
          </w:p>
          <w:p w14:paraId="4DB400B4" w14:textId="77777777" w:rsidR="00000000" w:rsidRDefault="0053651E">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0D8BD8D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90AE66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35FAFF" w14:textId="77777777" w:rsidR="00000000" w:rsidRDefault="0053651E">
            <w:pPr>
              <w:pStyle w:val="a3"/>
              <w:spacing w:before="0" w:beforeAutospacing="0" w:after="0" w:afterAutospacing="0"/>
              <w:jc w:val="center"/>
              <w:rPr>
                <w:sz w:val="20"/>
                <w:szCs w:val="20"/>
              </w:rPr>
            </w:pPr>
            <w:r>
              <w:rPr>
                <w:b/>
                <w:bCs/>
                <w:sz w:val="20"/>
                <w:szCs w:val="20"/>
              </w:rPr>
              <w:t>Annual</w:t>
            </w:r>
          </w:p>
          <w:p w14:paraId="2BEAF2F6" w14:textId="77777777" w:rsidR="00000000" w:rsidRDefault="0053651E">
            <w:pPr>
              <w:pStyle w:val="a3"/>
              <w:spacing w:before="0" w:beforeAutospacing="0" w:after="0" w:afterAutospacing="0"/>
              <w:jc w:val="center"/>
              <w:rPr>
                <w:sz w:val="20"/>
                <w:szCs w:val="20"/>
              </w:rPr>
            </w:pPr>
            <w:r>
              <w:rPr>
                <w:b/>
                <w:bCs/>
                <w:sz w:val="20"/>
                <w:szCs w:val="20"/>
              </w:rPr>
              <w:t xml:space="preserve">Dividend per </w:t>
            </w:r>
          </w:p>
          <w:p w14:paraId="6F77978A" w14:textId="77777777" w:rsidR="00000000" w:rsidRDefault="0053651E">
            <w:pPr>
              <w:pStyle w:val="a3"/>
              <w:spacing w:before="0" w:beforeAutospacing="0" w:after="0" w:afterAutospacing="0"/>
              <w:jc w:val="center"/>
              <w:rPr>
                <w:sz w:val="20"/>
                <w:szCs w:val="20"/>
              </w:rPr>
            </w:pPr>
            <w:r>
              <w:rPr>
                <w:b/>
                <w:bCs/>
                <w:sz w:val="20"/>
                <w:szCs w:val="20"/>
              </w:rPr>
              <w:t>Depositary</w:t>
            </w:r>
          </w:p>
          <w:p w14:paraId="59FD709C" w14:textId="77777777" w:rsidR="00000000" w:rsidRDefault="0053651E">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14:paraId="6AD5E4A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AB23F5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3352143" w14:textId="77777777" w:rsidR="00000000" w:rsidRDefault="0053651E">
            <w:pPr>
              <w:pStyle w:val="a3"/>
              <w:spacing w:before="0" w:beforeAutospacing="0" w:after="0" w:afterAutospacing="0"/>
              <w:jc w:val="center"/>
              <w:rPr>
                <w:sz w:val="20"/>
                <w:szCs w:val="20"/>
              </w:rPr>
            </w:pPr>
            <w:r>
              <w:rPr>
                <w:sz w:val="20"/>
                <w:szCs w:val="20"/>
              </w:rPr>
              <w:t> </w:t>
            </w:r>
          </w:p>
          <w:p w14:paraId="7849B857" w14:textId="77777777" w:rsidR="00000000" w:rsidRDefault="0053651E">
            <w:pPr>
              <w:pStyle w:val="a3"/>
              <w:spacing w:before="0" w:beforeAutospacing="0" w:after="0" w:afterAutospacing="0"/>
              <w:jc w:val="center"/>
              <w:rPr>
                <w:sz w:val="20"/>
                <w:szCs w:val="20"/>
              </w:rPr>
            </w:pPr>
            <w:r>
              <w:rPr>
                <w:b/>
                <w:bCs/>
                <w:sz w:val="20"/>
                <w:szCs w:val="20"/>
              </w:rPr>
              <w:t>Par</w:t>
            </w:r>
          </w:p>
          <w:p w14:paraId="3F31D9DE" w14:textId="77777777" w:rsidR="00000000" w:rsidRDefault="0053651E">
            <w:pPr>
              <w:pStyle w:val="a3"/>
              <w:spacing w:before="0" w:beforeAutospacing="0" w:after="0" w:afterAutospacing="0"/>
              <w:jc w:val="center"/>
              <w:rPr>
                <w:sz w:val="20"/>
                <w:szCs w:val="20"/>
              </w:rPr>
            </w:pPr>
            <w:r>
              <w:rPr>
                <w:b/>
                <w:bCs/>
                <w:sz w:val="20"/>
                <w:szCs w:val="20"/>
              </w:rPr>
              <w:t>Value</w:t>
            </w:r>
          </w:p>
        </w:tc>
        <w:tc>
          <w:tcPr>
            <w:tcW w:w="0" w:type="auto"/>
            <w:tcBorders>
              <w:bottom w:val="single" w:sz="6" w:space="0" w:color="000000"/>
            </w:tcBorders>
            <w:tcMar>
              <w:top w:w="0" w:type="dxa"/>
              <w:left w:w="0" w:type="dxa"/>
              <w:bottom w:w="15" w:type="dxa"/>
              <w:right w:w="0" w:type="dxa"/>
            </w:tcMar>
            <w:vAlign w:val="bottom"/>
            <w:hideMark/>
          </w:tcPr>
          <w:p w14:paraId="767FE1A7" w14:textId="77777777" w:rsidR="00000000" w:rsidRDefault="0053651E">
            <w:pPr>
              <w:rPr>
                <w:rFonts w:eastAsia="Times New Roman"/>
                <w:sz w:val="20"/>
                <w:szCs w:val="20"/>
              </w:rPr>
            </w:pPr>
            <w:r>
              <w:rPr>
                <w:rFonts w:eastAsia="Times New Roman"/>
                <w:sz w:val="20"/>
                <w:szCs w:val="20"/>
              </w:rPr>
              <w:t> </w:t>
            </w:r>
          </w:p>
        </w:tc>
        <w:tc>
          <w:tcPr>
            <w:tcW w:w="735" w:type="pct"/>
            <w:tcBorders>
              <w:bottom w:val="single" w:sz="6" w:space="0" w:color="000000"/>
            </w:tcBorders>
            <w:vAlign w:val="bottom"/>
            <w:hideMark/>
          </w:tcPr>
          <w:p w14:paraId="2300B2DD" w14:textId="77777777" w:rsidR="00000000" w:rsidRDefault="0053651E">
            <w:pPr>
              <w:pStyle w:val="a3"/>
              <w:spacing w:before="0" w:beforeAutospacing="0" w:after="0" w:afterAutospacing="0"/>
              <w:jc w:val="center"/>
              <w:rPr>
                <w:sz w:val="20"/>
                <w:szCs w:val="20"/>
              </w:rPr>
            </w:pPr>
            <w:r>
              <w:rPr>
                <w:b/>
                <w:bCs/>
                <w:sz w:val="20"/>
                <w:szCs w:val="20"/>
              </w:rPr>
              <w:t>Optional</w:t>
            </w:r>
          </w:p>
          <w:p w14:paraId="6CDA910A" w14:textId="77777777" w:rsidR="00000000" w:rsidRDefault="0053651E">
            <w:pPr>
              <w:pStyle w:val="a3"/>
              <w:spacing w:before="0" w:beforeAutospacing="0" w:after="0" w:afterAutospacing="0"/>
              <w:jc w:val="center"/>
              <w:rPr>
                <w:sz w:val="20"/>
                <w:szCs w:val="20"/>
              </w:rPr>
            </w:pPr>
            <w:r>
              <w:rPr>
                <w:b/>
                <w:bCs/>
                <w:sz w:val="20"/>
                <w:szCs w:val="20"/>
              </w:rPr>
              <w:t>Redemption</w:t>
            </w:r>
          </w:p>
          <w:p w14:paraId="17FB14C9" w14:textId="77777777" w:rsidR="00000000" w:rsidRDefault="0053651E">
            <w:pPr>
              <w:pStyle w:val="a3"/>
              <w:spacing w:before="0" w:beforeAutospacing="0" w:after="0" w:afterAutospacing="0"/>
              <w:jc w:val="center"/>
              <w:rPr>
                <w:sz w:val="20"/>
                <w:szCs w:val="20"/>
              </w:rPr>
            </w:pPr>
            <w:r>
              <w:rPr>
                <w:b/>
                <w:bCs/>
                <w:sz w:val="20"/>
                <w:szCs w:val="20"/>
              </w:rPr>
              <w:t>Date</w:t>
            </w:r>
          </w:p>
        </w:tc>
      </w:tr>
      <w:tr w:rsidR="00000000" w14:paraId="400FAFA8" w14:textId="77777777">
        <w:trPr>
          <w:tblCellSpacing w:w="0" w:type="dxa"/>
        </w:trPr>
        <w:tc>
          <w:tcPr>
            <w:tcW w:w="0" w:type="auto"/>
            <w:tcBorders>
              <w:bottom w:val="nil"/>
            </w:tcBorders>
            <w:shd w:val="clear" w:color="auto" w:fill="CCEEFF"/>
            <w:vAlign w:val="bottom"/>
            <w:hideMark/>
          </w:tcPr>
          <w:p w14:paraId="7589B7BC" w14:textId="77777777" w:rsidR="00000000" w:rsidRDefault="0053651E">
            <w:pPr>
              <w:pStyle w:val="a3"/>
              <w:spacing w:before="0" w:beforeAutospacing="0" w:after="0" w:afterAutospacing="0"/>
              <w:jc w:val="center"/>
              <w:rPr>
                <w:sz w:val="20"/>
                <w:szCs w:val="20"/>
              </w:rPr>
            </w:pPr>
            <w:r>
              <w:rPr>
                <w:sz w:val="20"/>
                <w:szCs w:val="20"/>
              </w:rPr>
              <w:t>Class I</w:t>
            </w:r>
          </w:p>
        </w:tc>
        <w:tc>
          <w:tcPr>
            <w:tcW w:w="50" w:type="pct"/>
            <w:shd w:val="clear" w:color="auto" w:fill="CCEEFF"/>
            <w:vAlign w:val="bottom"/>
            <w:hideMark/>
          </w:tcPr>
          <w:p w14:paraId="3F5A8E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18967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A5048C4" w14:textId="77777777" w:rsidR="00000000" w:rsidRDefault="0053651E">
            <w:pPr>
              <w:jc w:val="right"/>
              <w:rPr>
                <w:rFonts w:eastAsia="Times New Roman"/>
                <w:sz w:val="20"/>
                <w:szCs w:val="20"/>
              </w:rPr>
            </w:pPr>
            <w:r>
              <w:rPr>
                <w:rFonts w:eastAsia="Times New Roman"/>
                <w:sz w:val="20"/>
                <w:szCs w:val="20"/>
              </w:rPr>
              <w:t>18,400</w:t>
            </w:r>
          </w:p>
        </w:tc>
        <w:tc>
          <w:tcPr>
            <w:tcW w:w="50" w:type="pct"/>
            <w:shd w:val="clear" w:color="auto" w:fill="CCEEFF"/>
            <w:vAlign w:val="bottom"/>
            <w:hideMark/>
          </w:tcPr>
          <w:p w14:paraId="150447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2EE1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0932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C98F310" w14:textId="77777777" w:rsidR="00000000" w:rsidRDefault="0053651E">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14:paraId="52B18E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BE03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A6096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0C37409" w14:textId="77777777" w:rsidR="00000000" w:rsidRDefault="0053651E">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14:paraId="254744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186F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69FA3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AB06F9D" w14:textId="77777777" w:rsidR="00000000" w:rsidRDefault="0053651E">
            <w:pPr>
              <w:jc w:val="right"/>
              <w:rPr>
                <w:rFonts w:eastAsia="Times New Roman"/>
                <w:sz w:val="20"/>
                <w:szCs w:val="20"/>
              </w:rPr>
            </w:pPr>
            <w:r>
              <w:rPr>
                <w:rFonts w:eastAsia="Times New Roman"/>
                <w:sz w:val="20"/>
                <w:szCs w:val="20"/>
              </w:rPr>
              <w:t>6.000</w:t>
            </w:r>
          </w:p>
        </w:tc>
        <w:tc>
          <w:tcPr>
            <w:tcW w:w="50" w:type="pct"/>
            <w:shd w:val="clear" w:color="auto" w:fill="CCEEFF"/>
            <w:vAlign w:val="bottom"/>
            <w:hideMark/>
          </w:tcPr>
          <w:p w14:paraId="1DB6A1E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26D89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30E1FD"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15A8E50" w14:textId="77777777" w:rsidR="00000000" w:rsidRDefault="0053651E">
            <w:pPr>
              <w:jc w:val="right"/>
              <w:rPr>
                <w:rFonts w:eastAsia="Times New Roman"/>
                <w:sz w:val="20"/>
                <w:szCs w:val="20"/>
              </w:rPr>
            </w:pPr>
            <w:r>
              <w:rPr>
                <w:rFonts w:eastAsia="Times New Roman"/>
                <w:sz w:val="20"/>
                <w:szCs w:val="20"/>
              </w:rPr>
              <w:t>1.50000</w:t>
            </w:r>
          </w:p>
        </w:tc>
        <w:tc>
          <w:tcPr>
            <w:tcW w:w="50" w:type="pct"/>
            <w:shd w:val="clear" w:color="auto" w:fill="CCEEFF"/>
            <w:vAlign w:val="bottom"/>
            <w:hideMark/>
          </w:tcPr>
          <w:p w14:paraId="1A1277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6CBA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2D707C"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11411F7D"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0A61BB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53B33A"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3/20/2017</w:t>
            </w:r>
          </w:p>
        </w:tc>
      </w:tr>
      <w:tr w:rsidR="00000000" w14:paraId="4B36703D" w14:textId="77777777">
        <w:trPr>
          <w:tblCellSpacing w:w="0" w:type="dxa"/>
        </w:trPr>
        <w:tc>
          <w:tcPr>
            <w:tcW w:w="0" w:type="auto"/>
            <w:shd w:val="clear" w:color="auto" w:fill="FFFFFF"/>
            <w:vAlign w:val="bottom"/>
            <w:hideMark/>
          </w:tcPr>
          <w:p w14:paraId="34D295FA" w14:textId="77777777" w:rsidR="00000000" w:rsidRDefault="0053651E">
            <w:pPr>
              <w:pStyle w:val="a3"/>
              <w:spacing w:before="0" w:beforeAutospacing="0" w:after="0" w:afterAutospacing="0"/>
              <w:jc w:val="center"/>
              <w:rPr>
                <w:sz w:val="20"/>
                <w:szCs w:val="20"/>
              </w:rPr>
            </w:pPr>
            <w:r>
              <w:rPr>
                <w:sz w:val="20"/>
                <w:szCs w:val="20"/>
              </w:rPr>
              <w:t>Class J</w:t>
            </w:r>
          </w:p>
        </w:tc>
        <w:tc>
          <w:tcPr>
            <w:tcW w:w="50" w:type="pct"/>
            <w:shd w:val="clear" w:color="auto" w:fill="FFFFFF"/>
            <w:vAlign w:val="bottom"/>
            <w:hideMark/>
          </w:tcPr>
          <w:p w14:paraId="0DD058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DC7DA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1CD2A6A" w14:textId="77777777" w:rsidR="00000000" w:rsidRDefault="0053651E">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36E0E7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2095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0D4DF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75F5FF" w14:textId="77777777" w:rsidR="00000000" w:rsidRDefault="0053651E">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236B00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0384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EF464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667655C" w14:textId="77777777" w:rsidR="00000000" w:rsidRDefault="0053651E">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14:paraId="27A85F4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5BED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9FFA6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A5646B8" w14:textId="77777777" w:rsidR="00000000" w:rsidRDefault="0053651E">
            <w:pPr>
              <w:jc w:val="right"/>
              <w:rPr>
                <w:rFonts w:eastAsia="Times New Roman"/>
                <w:sz w:val="20"/>
                <w:szCs w:val="20"/>
              </w:rPr>
            </w:pPr>
            <w:r>
              <w:rPr>
                <w:rFonts w:eastAsia="Times New Roman"/>
                <w:sz w:val="20"/>
                <w:szCs w:val="20"/>
              </w:rPr>
              <w:t>5.500</w:t>
            </w:r>
          </w:p>
        </w:tc>
        <w:tc>
          <w:tcPr>
            <w:tcW w:w="50" w:type="pct"/>
            <w:shd w:val="clear" w:color="auto" w:fill="FFFFFF"/>
            <w:vAlign w:val="bottom"/>
            <w:hideMark/>
          </w:tcPr>
          <w:p w14:paraId="7AE3C51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F0D62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8852E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BE1BE5C" w14:textId="77777777" w:rsidR="00000000" w:rsidRDefault="0053651E">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14:paraId="1E50CA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6548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98F575"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2B0D849D"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40A53F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7A0C4C"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7/25/2017</w:t>
            </w:r>
          </w:p>
        </w:tc>
      </w:tr>
      <w:tr w:rsidR="00000000" w14:paraId="10492540" w14:textId="77777777">
        <w:trPr>
          <w:tblCellSpacing w:w="0" w:type="dxa"/>
        </w:trPr>
        <w:tc>
          <w:tcPr>
            <w:tcW w:w="0" w:type="auto"/>
            <w:shd w:val="clear" w:color="auto" w:fill="CCEEFF"/>
            <w:vAlign w:val="bottom"/>
            <w:hideMark/>
          </w:tcPr>
          <w:p w14:paraId="027CA995" w14:textId="77777777" w:rsidR="00000000" w:rsidRDefault="0053651E">
            <w:pPr>
              <w:pStyle w:val="a3"/>
              <w:spacing w:before="0" w:beforeAutospacing="0" w:after="0" w:afterAutospacing="0"/>
              <w:jc w:val="center"/>
              <w:rPr>
                <w:sz w:val="20"/>
                <w:szCs w:val="20"/>
              </w:rPr>
            </w:pPr>
            <w:r>
              <w:rPr>
                <w:sz w:val="20"/>
                <w:szCs w:val="20"/>
              </w:rPr>
              <w:t>Class K</w:t>
            </w:r>
          </w:p>
        </w:tc>
        <w:tc>
          <w:tcPr>
            <w:tcW w:w="50" w:type="pct"/>
            <w:shd w:val="clear" w:color="auto" w:fill="CCEEFF"/>
            <w:vAlign w:val="bottom"/>
            <w:hideMark/>
          </w:tcPr>
          <w:p w14:paraId="03826F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F4C35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F63CA1" w14:textId="77777777" w:rsidR="00000000" w:rsidRDefault="0053651E">
            <w:pPr>
              <w:jc w:val="right"/>
              <w:rPr>
                <w:rFonts w:eastAsia="Times New Roman"/>
                <w:sz w:val="20"/>
                <w:szCs w:val="20"/>
              </w:rPr>
            </w:pPr>
            <w:r>
              <w:rPr>
                <w:rFonts w:eastAsia="Times New Roman"/>
                <w:sz w:val="20"/>
                <w:szCs w:val="20"/>
              </w:rPr>
              <w:t>8,050</w:t>
            </w:r>
          </w:p>
        </w:tc>
        <w:tc>
          <w:tcPr>
            <w:tcW w:w="50" w:type="pct"/>
            <w:shd w:val="clear" w:color="auto" w:fill="CCEEFF"/>
            <w:vAlign w:val="bottom"/>
            <w:hideMark/>
          </w:tcPr>
          <w:p w14:paraId="0E80D6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6BA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5AD98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A579044" w14:textId="77777777" w:rsidR="00000000" w:rsidRDefault="0053651E">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14:paraId="1C466F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2E54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5CAA8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70600E4" w14:textId="77777777" w:rsidR="00000000" w:rsidRDefault="0053651E">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14:paraId="5C5CDF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EBA6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5DA4C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8845A2" w14:textId="77777777" w:rsidR="00000000" w:rsidRDefault="0053651E">
            <w:pPr>
              <w:jc w:val="right"/>
              <w:rPr>
                <w:rFonts w:eastAsia="Times New Roman"/>
                <w:sz w:val="20"/>
                <w:szCs w:val="20"/>
              </w:rPr>
            </w:pPr>
            <w:r>
              <w:rPr>
                <w:rFonts w:eastAsia="Times New Roman"/>
                <w:sz w:val="20"/>
                <w:szCs w:val="20"/>
              </w:rPr>
              <w:t>5.625</w:t>
            </w:r>
          </w:p>
        </w:tc>
        <w:tc>
          <w:tcPr>
            <w:tcW w:w="50" w:type="pct"/>
            <w:shd w:val="clear" w:color="auto" w:fill="CCEEFF"/>
            <w:vAlign w:val="bottom"/>
            <w:hideMark/>
          </w:tcPr>
          <w:p w14:paraId="75E426C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CAF77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95D9D0"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9D1BE74" w14:textId="77777777" w:rsidR="00000000" w:rsidRDefault="0053651E">
            <w:pPr>
              <w:jc w:val="right"/>
              <w:rPr>
                <w:rFonts w:eastAsia="Times New Roman"/>
                <w:sz w:val="20"/>
                <w:szCs w:val="20"/>
              </w:rPr>
            </w:pPr>
            <w:r>
              <w:rPr>
                <w:rFonts w:eastAsia="Times New Roman"/>
                <w:sz w:val="20"/>
                <w:szCs w:val="20"/>
              </w:rPr>
              <w:t>1.40625</w:t>
            </w:r>
          </w:p>
        </w:tc>
        <w:tc>
          <w:tcPr>
            <w:tcW w:w="50" w:type="pct"/>
            <w:shd w:val="clear" w:color="auto" w:fill="CCEEFF"/>
            <w:vAlign w:val="bottom"/>
            <w:hideMark/>
          </w:tcPr>
          <w:p w14:paraId="0E8443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17E0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0D9447"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11FE3D97"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618D93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0D146"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12/7/2017</w:t>
            </w:r>
          </w:p>
        </w:tc>
      </w:tr>
      <w:tr w:rsidR="00000000" w14:paraId="3C455633" w14:textId="77777777">
        <w:trPr>
          <w:tblCellSpacing w:w="0" w:type="dxa"/>
        </w:trPr>
        <w:tc>
          <w:tcPr>
            <w:tcW w:w="0" w:type="auto"/>
            <w:shd w:val="clear" w:color="auto" w:fill="FFFFFF"/>
            <w:vAlign w:val="bottom"/>
            <w:hideMark/>
          </w:tcPr>
          <w:p w14:paraId="6126D247" w14:textId="77777777" w:rsidR="00000000" w:rsidRDefault="0053651E">
            <w:pPr>
              <w:pStyle w:val="a3"/>
              <w:spacing w:before="0" w:beforeAutospacing="0" w:after="0" w:afterAutospacing="0"/>
              <w:jc w:val="center"/>
              <w:rPr>
                <w:sz w:val="20"/>
                <w:szCs w:val="20"/>
              </w:rPr>
            </w:pPr>
            <w:r>
              <w:rPr>
                <w:sz w:val="20"/>
                <w:szCs w:val="20"/>
              </w:rPr>
              <w:t>Class L</w:t>
            </w:r>
          </w:p>
        </w:tc>
        <w:tc>
          <w:tcPr>
            <w:tcW w:w="50" w:type="pct"/>
            <w:shd w:val="clear" w:color="auto" w:fill="FFFFFF"/>
            <w:vAlign w:val="bottom"/>
            <w:hideMark/>
          </w:tcPr>
          <w:p w14:paraId="295DD9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66C50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A08344" w14:textId="77777777" w:rsidR="00000000" w:rsidRDefault="0053651E">
            <w:pPr>
              <w:jc w:val="right"/>
              <w:rPr>
                <w:rFonts w:eastAsia="Times New Roman"/>
                <w:sz w:val="20"/>
                <w:szCs w:val="20"/>
              </w:rPr>
            </w:pPr>
            <w:r>
              <w:rPr>
                <w:rFonts w:eastAsia="Times New Roman"/>
                <w:sz w:val="20"/>
                <w:szCs w:val="20"/>
              </w:rPr>
              <w:t>10,350</w:t>
            </w:r>
          </w:p>
        </w:tc>
        <w:tc>
          <w:tcPr>
            <w:tcW w:w="50" w:type="pct"/>
            <w:shd w:val="clear" w:color="auto" w:fill="FFFFFF"/>
            <w:vAlign w:val="bottom"/>
            <w:hideMark/>
          </w:tcPr>
          <w:p w14:paraId="15D8A1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BD03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2A6BE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E7A4B85" w14:textId="77777777" w:rsidR="00000000" w:rsidRDefault="0053651E">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24AFF5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6BD9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877EF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1EFFBB" w14:textId="77777777" w:rsidR="00000000" w:rsidRDefault="0053651E">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14:paraId="0A458A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E769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D640B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67EAEF6" w14:textId="77777777" w:rsidR="00000000" w:rsidRDefault="0053651E">
            <w:pPr>
              <w:jc w:val="right"/>
              <w:rPr>
                <w:rFonts w:eastAsia="Times New Roman"/>
                <w:sz w:val="20"/>
                <w:szCs w:val="20"/>
              </w:rPr>
            </w:pPr>
            <w:r>
              <w:rPr>
                <w:rFonts w:eastAsia="Times New Roman"/>
                <w:sz w:val="20"/>
                <w:szCs w:val="20"/>
              </w:rPr>
              <w:t>5.125</w:t>
            </w:r>
          </w:p>
        </w:tc>
        <w:tc>
          <w:tcPr>
            <w:tcW w:w="50" w:type="pct"/>
            <w:shd w:val="clear" w:color="auto" w:fill="FFFFFF"/>
            <w:vAlign w:val="bottom"/>
            <w:hideMark/>
          </w:tcPr>
          <w:p w14:paraId="050AE97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EAB22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533DF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27C9B7F" w14:textId="77777777" w:rsidR="00000000" w:rsidRDefault="0053651E">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14:paraId="116639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B969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1ABAB2"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1179379A"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7256C9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A6F88"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8/16/2022</w:t>
            </w:r>
          </w:p>
        </w:tc>
      </w:tr>
      <w:tr w:rsidR="00000000" w14:paraId="4B4C4810" w14:textId="77777777">
        <w:trPr>
          <w:tblCellSpacing w:w="0" w:type="dxa"/>
        </w:trPr>
        <w:tc>
          <w:tcPr>
            <w:tcW w:w="0" w:type="auto"/>
            <w:shd w:val="clear" w:color="auto" w:fill="CCEEFF"/>
            <w:vAlign w:val="bottom"/>
            <w:hideMark/>
          </w:tcPr>
          <w:p w14:paraId="4B08B94B" w14:textId="77777777" w:rsidR="00000000" w:rsidRDefault="0053651E">
            <w:pPr>
              <w:pStyle w:val="a3"/>
              <w:spacing w:before="0" w:beforeAutospacing="0" w:after="0" w:afterAutospacing="0"/>
              <w:jc w:val="center"/>
              <w:rPr>
                <w:sz w:val="20"/>
                <w:szCs w:val="20"/>
              </w:rPr>
            </w:pPr>
            <w:r>
              <w:rPr>
                <w:sz w:val="20"/>
                <w:szCs w:val="20"/>
              </w:rPr>
              <w:t>Class M (1)</w:t>
            </w:r>
          </w:p>
        </w:tc>
        <w:tc>
          <w:tcPr>
            <w:tcW w:w="50" w:type="pct"/>
            <w:shd w:val="clear" w:color="auto" w:fill="CCEEFF"/>
            <w:vAlign w:val="bottom"/>
            <w:hideMark/>
          </w:tcPr>
          <w:p w14:paraId="28B959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9CE32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2C3811F" w14:textId="77777777" w:rsidR="00000000" w:rsidRDefault="0053651E">
            <w:pPr>
              <w:jc w:val="right"/>
              <w:rPr>
                <w:rFonts w:eastAsia="Times New Roman"/>
                <w:sz w:val="20"/>
                <w:szCs w:val="20"/>
              </w:rPr>
            </w:pPr>
            <w:r>
              <w:rPr>
                <w:rFonts w:eastAsia="Times New Roman"/>
                <w:sz w:val="20"/>
                <w:szCs w:val="20"/>
              </w:rPr>
              <w:t>10,580</w:t>
            </w:r>
          </w:p>
        </w:tc>
        <w:tc>
          <w:tcPr>
            <w:tcW w:w="50" w:type="pct"/>
            <w:shd w:val="clear" w:color="auto" w:fill="CCEEFF"/>
            <w:vAlign w:val="bottom"/>
            <w:hideMark/>
          </w:tcPr>
          <w:p w14:paraId="613D6B4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0C4AA8D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73D071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B45F144" w14:textId="77777777" w:rsidR="00000000" w:rsidRDefault="0053651E">
            <w:pPr>
              <w:jc w:val="right"/>
              <w:rPr>
                <w:rFonts w:eastAsia="Times New Roman"/>
                <w:sz w:val="20"/>
                <w:szCs w:val="20"/>
              </w:rPr>
            </w:pPr>
            <w:r>
              <w:rPr>
                <w:rFonts w:eastAsia="Times New Roman"/>
                <w:sz w:val="20"/>
                <w:szCs w:val="20"/>
              </w:rPr>
              <w:t>10,580</w:t>
            </w:r>
          </w:p>
        </w:tc>
        <w:tc>
          <w:tcPr>
            <w:tcW w:w="50" w:type="pct"/>
            <w:shd w:val="clear" w:color="auto" w:fill="CCEEFF"/>
            <w:tcMar>
              <w:top w:w="0" w:type="dxa"/>
              <w:left w:w="0" w:type="dxa"/>
              <w:bottom w:w="15" w:type="dxa"/>
              <w:right w:w="0" w:type="dxa"/>
            </w:tcMar>
            <w:vAlign w:val="bottom"/>
            <w:hideMark/>
          </w:tcPr>
          <w:p w14:paraId="7545BD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0F905F3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0A245F5"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C629494" w14:textId="77777777" w:rsidR="00000000" w:rsidRDefault="0053651E">
            <w:pPr>
              <w:jc w:val="right"/>
              <w:rPr>
                <w:rFonts w:eastAsia="Times New Roman"/>
                <w:sz w:val="20"/>
                <w:szCs w:val="20"/>
              </w:rPr>
            </w:pPr>
            <w:r>
              <w:rPr>
                <w:rFonts w:eastAsia="Times New Roman"/>
                <w:sz w:val="20"/>
                <w:szCs w:val="20"/>
              </w:rPr>
              <w:t>264,500</w:t>
            </w:r>
          </w:p>
        </w:tc>
        <w:tc>
          <w:tcPr>
            <w:tcW w:w="50" w:type="pct"/>
            <w:shd w:val="clear" w:color="auto" w:fill="CCEEFF"/>
            <w:tcMar>
              <w:top w:w="0" w:type="dxa"/>
              <w:left w:w="0" w:type="dxa"/>
              <w:bottom w:w="15" w:type="dxa"/>
              <w:right w:w="0" w:type="dxa"/>
            </w:tcMar>
            <w:vAlign w:val="bottom"/>
            <w:hideMark/>
          </w:tcPr>
          <w:p w14:paraId="4CEAE4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3AE0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CFB0E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C36FBC" w14:textId="77777777" w:rsidR="00000000" w:rsidRDefault="0053651E">
            <w:pPr>
              <w:jc w:val="right"/>
              <w:rPr>
                <w:rFonts w:eastAsia="Times New Roman"/>
                <w:sz w:val="20"/>
                <w:szCs w:val="20"/>
              </w:rPr>
            </w:pPr>
            <w:r>
              <w:rPr>
                <w:rFonts w:eastAsia="Times New Roman"/>
                <w:sz w:val="20"/>
                <w:szCs w:val="20"/>
              </w:rPr>
              <w:t>5.250</w:t>
            </w:r>
          </w:p>
        </w:tc>
        <w:tc>
          <w:tcPr>
            <w:tcW w:w="50" w:type="pct"/>
            <w:shd w:val="clear" w:color="auto" w:fill="CCEEFF"/>
            <w:vAlign w:val="bottom"/>
            <w:hideMark/>
          </w:tcPr>
          <w:p w14:paraId="1DA227B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0D93A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AF608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168B88" w14:textId="77777777" w:rsidR="00000000" w:rsidRDefault="0053651E">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14:paraId="0AF3C9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8A1A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1616EC" w14:textId="77777777" w:rsidR="00000000" w:rsidRDefault="0053651E">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107A5067" w14:textId="77777777" w:rsidR="00000000" w:rsidRDefault="0053651E">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3F6B2BC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B3927" w14:textId="77777777" w:rsidR="00000000" w:rsidRDefault="0053651E">
            <w:pPr>
              <w:pStyle w:val="a3"/>
              <w:spacing w:before="0" w:beforeAutospacing="0" w:after="0" w:afterAutospacing="0"/>
              <w:ind w:left="40"/>
              <w:jc w:val="center"/>
              <w:rPr>
                <w:sz w:val="20"/>
                <w:szCs w:val="20"/>
              </w:rPr>
            </w:pPr>
            <w:r>
              <w:rPr>
                <w:rStyle w:val="a6"/>
                <w:i w:val="0"/>
                <w:iCs w:val="0"/>
                <w:sz w:val="20"/>
                <w:szCs w:val="20"/>
              </w:rPr>
              <w:t>12/20/2022</w:t>
            </w:r>
          </w:p>
        </w:tc>
      </w:tr>
      <w:tr w:rsidR="00000000" w14:paraId="215AAB01" w14:textId="77777777">
        <w:trPr>
          <w:tblCellSpacing w:w="0" w:type="dxa"/>
        </w:trPr>
        <w:tc>
          <w:tcPr>
            <w:tcW w:w="0" w:type="auto"/>
            <w:shd w:val="clear" w:color="auto" w:fill="FFFFFF"/>
            <w:vAlign w:val="bottom"/>
            <w:hideMark/>
          </w:tcPr>
          <w:p w14:paraId="48755EC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C3129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D6A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AC1F0"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671ED97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258AB7A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5B44554" w14:textId="77777777" w:rsidR="00000000" w:rsidRDefault="0053651E">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7FD4822D" w14:textId="77777777" w:rsidR="00000000" w:rsidRDefault="0053651E">
            <w:pPr>
              <w:jc w:val="right"/>
              <w:rPr>
                <w:rFonts w:eastAsia="Times New Roman"/>
                <w:sz w:val="20"/>
                <w:szCs w:val="20"/>
              </w:rPr>
            </w:pPr>
            <w:r>
              <w:rPr>
                <w:rFonts w:eastAsia="Times New Roman"/>
                <w:sz w:val="20"/>
                <w:szCs w:val="20"/>
              </w:rPr>
              <w:t>42,580</w:t>
            </w:r>
          </w:p>
        </w:tc>
        <w:tc>
          <w:tcPr>
            <w:tcW w:w="50" w:type="pct"/>
            <w:shd w:val="clear" w:color="auto" w:fill="FFFFFF"/>
            <w:tcMar>
              <w:top w:w="0" w:type="dxa"/>
              <w:left w:w="0" w:type="dxa"/>
              <w:bottom w:w="45" w:type="dxa"/>
              <w:right w:w="0" w:type="dxa"/>
            </w:tcMar>
            <w:vAlign w:val="bottom"/>
            <w:hideMark/>
          </w:tcPr>
          <w:p w14:paraId="1692F0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1E19D93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0AE2C7A" w14:textId="77777777" w:rsidR="00000000" w:rsidRDefault="0053651E">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4ED31F1" w14:textId="77777777" w:rsidR="00000000" w:rsidRDefault="0053651E">
            <w:pPr>
              <w:ind w:left="360"/>
              <w:jc w:val="right"/>
              <w:rPr>
                <w:rFonts w:eastAsia="Times New Roman"/>
                <w:sz w:val="20"/>
                <w:szCs w:val="20"/>
              </w:rPr>
            </w:pPr>
            <w:r>
              <w:rPr>
                <w:rFonts w:eastAsia="Times New Roman"/>
                <w:sz w:val="20"/>
                <w:szCs w:val="20"/>
              </w:rPr>
              <w:t>1,064,500</w:t>
            </w:r>
          </w:p>
        </w:tc>
        <w:tc>
          <w:tcPr>
            <w:tcW w:w="50" w:type="pct"/>
            <w:shd w:val="clear" w:color="auto" w:fill="FFFFFF"/>
            <w:tcMar>
              <w:top w:w="0" w:type="dxa"/>
              <w:left w:w="0" w:type="dxa"/>
              <w:bottom w:w="45" w:type="dxa"/>
              <w:right w:w="0" w:type="dxa"/>
            </w:tcMar>
            <w:vAlign w:val="bottom"/>
            <w:hideMark/>
          </w:tcPr>
          <w:p w14:paraId="6AA1BA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79B3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C8FE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8A8696"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7159FC4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2F73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CA1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AE2EB5"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2442AE1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DAE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B5D6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FB2584"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09DAFE6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5EEA99" w14:textId="77777777" w:rsidR="00000000" w:rsidRDefault="0053651E">
            <w:pPr>
              <w:rPr>
                <w:rFonts w:eastAsia="Times New Roman"/>
                <w:sz w:val="20"/>
                <w:szCs w:val="20"/>
              </w:rPr>
            </w:pPr>
            <w:r>
              <w:rPr>
                <w:rStyle w:val="a6"/>
                <w:rFonts w:eastAsia="Times New Roman"/>
                <w:i w:val="0"/>
                <w:iCs w:val="0"/>
                <w:sz w:val="20"/>
                <w:szCs w:val="20"/>
              </w:rPr>
              <w:t> </w:t>
            </w:r>
          </w:p>
        </w:tc>
      </w:tr>
    </w:tbl>
    <w:p w14:paraId="2E5EFA6A"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2E7A40E" w14:textId="77777777">
        <w:trPr>
          <w:tblCellSpacing w:w="0" w:type="dxa"/>
        </w:trPr>
        <w:tc>
          <w:tcPr>
            <w:tcW w:w="360" w:type="dxa"/>
            <w:hideMark/>
          </w:tcPr>
          <w:p w14:paraId="0CB97F11"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434C5863" w14:textId="77777777" w:rsidR="00000000" w:rsidRDefault="0053651E">
            <w:pPr>
              <w:pStyle w:val="a3"/>
              <w:spacing w:before="0" w:beforeAutospacing="0" w:after="0" w:afterAutospacing="0"/>
              <w:jc w:val="both"/>
              <w:rPr>
                <w:sz w:val="20"/>
                <w:szCs w:val="20"/>
              </w:rPr>
            </w:pPr>
            <w:r>
              <w:rPr>
                <w:sz w:val="20"/>
                <w:szCs w:val="20"/>
              </w:rPr>
              <w:t>During</w:t>
            </w:r>
            <w:r>
              <w:rPr>
                <w:sz w:val="20"/>
                <w:szCs w:val="20"/>
              </w:rPr>
              <w:t xml:space="preserve"> </w:t>
            </w:r>
            <w:r>
              <w:rPr>
                <w:rStyle w:val="a6"/>
                <w:i w:val="0"/>
                <w:iCs w:val="0"/>
                <w:sz w:val="20"/>
                <w:szCs w:val="20"/>
              </w:rPr>
              <w:t xml:space="preserve">January 2018, </w:t>
            </w:r>
            <w:r>
              <w:rPr>
                <w:sz w:val="20"/>
                <w:szCs w:val="20"/>
              </w:rPr>
              <w:t>the underwriting financial institutions for the Class M issuance elected to exercise the over-allotment option and as a result, the Company issued an additional 1,380,000 Class M Depositary Shares, each representing a</w:t>
            </w:r>
            <w:r>
              <w:rPr>
                <w:sz w:val="20"/>
                <w:szCs w:val="20"/>
              </w:rPr>
              <w:t xml:space="preserve"> </w:t>
            </w:r>
            <w:r>
              <w:rPr>
                <w:sz w:val="20"/>
                <w:szCs w:val="20"/>
              </w:rPr>
              <w:t>on</w:t>
            </w:r>
            <w:r>
              <w:rPr>
                <w:sz w:val="20"/>
                <w:szCs w:val="20"/>
              </w:rPr>
              <w:t>e</w:t>
            </w:r>
            <w:r>
              <w:rPr>
                <w:sz w:val="20"/>
                <w:szCs w:val="20"/>
              </w:rPr>
              <w:t xml:space="preserve">-thousandth fractional interest in </w:t>
            </w:r>
            <w:r>
              <w:rPr>
                <w:sz w:val="20"/>
                <w:szCs w:val="20"/>
              </w:rPr>
              <w:t>a share of the Company's 5.250% Class M Cumulative Redeemable Preferred Stock, $1.00 par value per share. The Company received net proceeds before expenses of $33.4 million from this offering.</w:t>
            </w:r>
          </w:p>
        </w:tc>
      </w:tr>
    </w:tbl>
    <w:p w14:paraId="6B8DA1F9" w14:textId="77777777" w:rsidR="00000000" w:rsidRDefault="0053651E">
      <w:pPr>
        <w:pStyle w:val="a3"/>
        <w:spacing w:before="0" w:beforeAutospacing="0" w:after="0" w:afterAutospacing="0"/>
        <w:ind w:left="360"/>
        <w:jc w:val="both"/>
        <w:rPr>
          <w:sz w:val="20"/>
          <w:szCs w:val="20"/>
        </w:rPr>
      </w:pPr>
      <w:r>
        <w:rPr>
          <w:sz w:val="20"/>
          <w:szCs w:val="20"/>
        </w:rPr>
        <w:br/>
      </w:r>
      <w:r>
        <w:rPr>
          <w:sz w:val="20"/>
          <w:szCs w:val="20"/>
        </w:rPr>
        <w:t>The following Preferred Stock classes were redeemed during the year ended</w:t>
      </w:r>
      <w:r>
        <w:rPr>
          <w:sz w:val="20"/>
          <w:szCs w:val="20"/>
        </w:rPr>
        <w:t xml:space="preserve"> </w:t>
      </w:r>
      <w:r>
        <w:rPr>
          <w:rStyle w:val="a6"/>
          <w:i w:val="0"/>
          <w:iCs w:val="0"/>
          <w:sz w:val="20"/>
          <w:szCs w:val="20"/>
        </w:rPr>
        <w:t>December 31, 2019:</w:t>
      </w:r>
    </w:p>
    <w:p w14:paraId="338BB515"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08"/>
        <w:gridCol w:w="79"/>
        <w:gridCol w:w="1159"/>
        <w:gridCol w:w="79"/>
        <w:gridCol w:w="79"/>
        <w:gridCol w:w="1159"/>
        <w:gridCol w:w="80"/>
        <w:gridCol w:w="80"/>
        <w:gridCol w:w="101"/>
        <w:gridCol w:w="1160"/>
        <w:gridCol w:w="80"/>
        <w:gridCol w:w="80"/>
        <w:gridCol w:w="101"/>
        <w:gridCol w:w="1160"/>
        <w:gridCol w:w="80"/>
        <w:gridCol w:w="80"/>
        <w:gridCol w:w="101"/>
        <w:gridCol w:w="1160"/>
        <w:gridCol w:w="80"/>
      </w:tblGrid>
      <w:tr w:rsidR="00000000" w14:paraId="0A8F7700" w14:textId="77777777">
        <w:trPr>
          <w:tblCellSpacing w:w="0" w:type="dxa"/>
        </w:trPr>
        <w:tc>
          <w:tcPr>
            <w:tcW w:w="850" w:type="pct"/>
            <w:tcBorders>
              <w:bottom w:val="single" w:sz="6" w:space="0" w:color="000000"/>
            </w:tcBorders>
            <w:vAlign w:val="bottom"/>
            <w:hideMark/>
          </w:tcPr>
          <w:p w14:paraId="11AEC890" w14:textId="77777777" w:rsidR="00000000" w:rsidRDefault="0053651E">
            <w:pPr>
              <w:pStyle w:val="a3"/>
              <w:spacing w:before="0" w:beforeAutospacing="0" w:after="0" w:afterAutospacing="0"/>
              <w:jc w:val="center"/>
              <w:rPr>
                <w:sz w:val="20"/>
                <w:szCs w:val="20"/>
              </w:rPr>
            </w:pPr>
            <w:r>
              <w:rPr>
                <w:b/>
                <w:bCs/>
                <w:sz w:val="20"/>
                <w:szCs w:val="20"/>
              </w:rPr>
              <w:t>Class of Preferred</w:t>
            </w:r>
          </w:p>
          <w:p w14:paraId="7950FF4C" w14:textId="77777777" w:rsidR="00000000" w:rsidRDefault="0053651E">
            <w:pPr>
              <w:pStyle w:val="a3"/>
              <w:spacing w:before="0" w:beforeAutospacing="0" w:after="0" w:afterAutospacing="0"/>
              <w:jc w:val="center"/>
              <w:rPr>
                <w:sz w:val="20"/>
                <w:szCs w:val="20"/>
              </w:rPr>
            </w:pPr>
            <w:r>
              <w:rPr>
                <w:b/>
                <w:bCs/>
                <w:sz w:val="20"/>
                <w:szCs w:val="20"/>
              </w:rPr>
              <w:t>Stock</w:t>
            </w:r>
          </w:p>
        </w:tc>
        <w:tc>
          <w:tcPr>
            <w:tcW w:w="50" w:type="pct"/>
            <w:tcBorders>
              <w:bottom w:val="single" w:sz="6" w:space="0" w:color="000000"/>
            </w:tcBorders>
            <w:vAlign w:val="bottom"/>
            <w:hideMark/>
          </w:tcPr>
          <w:p w14:paraId="335EEF49"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5C0E93EB" w14:textId="77777777" w:rsidR="00000000" w:rsidRDefault="0053651E">
            <w:pPr>
              <w:pStyle w:val="a3"/>
              <w:spacing w:before="0" w:beforeAutospacing="0" w:after="0" w:afterAutospacing="0"/>
              <w:jc w:val="center"/>
              <w:rPr>
                <w:sz w:val="20"/>
                <w:szCs w:val="20"/>
              </w:rPr>
            </w:pPr>
            <w:r>
              <w:rPr>
                <w:b/>
                <w:bCs/>
                <w:sz w:val="20"/>
                <w:szCs w:val="20"/>
              </w:rPr>
              <w:t>Redemption</w:t>
            </w:r>
          </w:p>
          <w:p w14:paraId="364D7464" w14:textId="77777777" w:rsidR="00000000" w:rsidRDefault="0053651E">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tcBorders>
            <w:vAlign w:val="bottom"/>
            <w:hideMark/>
          </w:tcPr>
          <w:p w14:paraId="5476E7E2"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0AAB4D9" w14:textId="77777777" w:rsidR="00000000" w:rsidRDefault="0053651E">
            <w:pPr>
              <w:pStyle w:val="a3"/>
              <w:spacing w:before="0" w:beforeAutospacing="0" w:after="0" w:afterAutospacing="0"/>
              <w:jc w:val="center"/>
              <w:rPr>
                <w:sz w:val="20"/>
                <w:szCs w:val="20"/>
              </w:rPr>
            </w:pPr>
            <w:r>
              <w:rPr>
                <w:b/>
                <w:bCs/>
                <w:sz w:val="20"/>
                <w:szCs w:val="20"/>
              </w:rPr>
              <w:t>Depositary</w:t>
            </w:r>
          </w:p>
          <w:p w14:paraId="5FE8CA50" w14:textId="77777777" w:rsidR="00000000" w:rsidRDefault="0053651E">
            <w:pPr>
              <w:pStyle w:val="a3"/>
              <w:spacing w:before="0" w:beforeAutospacing="0" w:after="0" w:afterAutospacing="0"/>
              <w:jc w:val="center"/>
              <w:rPr>
                <w:sz w:val="20"/>
                <w:szCs w:val="20"/>
              </w:rPr>
            </w:pPr>
            <w:r>
              <w:rPr>
                <w:b/>
                <w:bCs/>
                <w:sz w:val="20"/>
                <w:szCs w:val="20"/>
              </w:rPr>
              <w:t>Shares</w:t>
            </w:r>
          </w:p>
          <w:p w14:paraId="00A6450B" w14:textId="77777777" w:rsidR="00000000" w:rsidRDefault="0053651E">
            <w:pPr>
              <w:pStyle w:val="a3"/>
              <w:spacing w:before="0" w:beforeAutospacing="0" w:after="0" w:afterAutospacing="0"/>
              <w:jc w:val="center"/>
              <w:rPr>
                <w:sz w:val="20"/>
                <w:szCs w:val="20"/>
              </w:rPr>
            </w:pPr>
            <w:r>
              <w:rPr>
                <w:b/>
                <w:bCs/>
                <w:sz w:val="20"/>
                <w:szCs w:val="20"/>
              </w:rPr>
              <w:t>Redeemed</w:t>
            </w:r>
          </w:p>
        </w:tc>
        <w:tc>
          <w:tcPr>
            <w:tcW w:w="50" w:type="pct"/>
            <w:tcBorders>
              <w:bottom w:val="single" w:sz="6" w:space="0" w:color="000000"/>
            </w:tcBorders>
            <w:vAlign w:val="bottom"/>
            <w:hideMark/>
          </w:tcPr>
          <w:p w14:paraId="05B372A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041C78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6909C76" w14:textId="77777777" w:rsidR="00000000" w:rsidRDefault="0053651E">
            <w:pPr>
              <w:pStyle w:val="a3"/>
              <w:spacing w:before="0" w:beforeAutospacing="0" w:after="0" w:afterAutospacing="0"/>
              <w:jc w:val="center"/>
              <w:rPr>
                <w:sz w:val="20"/>
                <w:szCs w:val="20"/>
              </w:rPr>
            </w:pPr>
            <w:r>
              <w:rPr>
                <w:b/>
                <w:bCs/>
                <w:sz w:val="20"/>
                <w:szCs w:val="20"/>
              </w:rPr>
              <w:t>Redemption</w:t>
            </w:r>
          </w:p>
          <w:p w14:paraId="74CF0C3E" w14:textId="77777777" w:rsidR="00000000" w:rsidRDefault="0053651E">
            <w:pPr>
              <w:pStyle w:val="a3"/>
              <w:spacing w:before="0" w:beforeAutospacing="0" w:after="0" w:afterAutospacing="0"/>
              <w:jc w:val="center"/>
              <w:rPr>
                <w:sz w:val="20"/>
                <w:szCs w:val="20"/>
              </w:rPr>
            </w:pPr>
            <w:r>
              <w:rPr>
                <w:b/>
                <w:bCs/>
                <w:sz w:val="20"/>
                <w:szCs w:val="20"/>
              </w:rPr>
              <w:t>Price per Depositary Share</w:t>
            </w:r>
          </w:p>
        </w:tc>
        <w:tc>
          <w:tcPr>
            <w:tcW w:w="50" w:type="pct"/>
            <w:tcBorders>
              <w:bottom w:val="single" w:sz="6" w:space="0" w:color="000000"/>
            </w:tcBorders>
            <w:vAlign w:val="bottom"/>
            <w:hideMark/>
          </w:tcPr>
          <w:p w14:paraId="46159B4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5F2332E"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7A23D61" w14:textId="77777777" w:rsidR="00000000" w:rsidRDefault="0053651E">
            <w:pPr>
              <w:pStyle w:val="a3"/>
              <w:spacing w:before="0" w:beforeAutospacing="0" w:after="0" w:afterAutospacing="0"/>
              <w:jc w:val="center"/>
              <w:rPr>
                <w:sz w:val="20"/>
                <w:szCs w:val="20"/>
              </w:rPr>
            </w:pPr>
            <w:r>
              <w:rPr>
                <w:b/>
                <w:bCs/>
                <w:sz w:val="20"/>
                <w:szCs w:val="20"/>
              </w:rPr>
              <w:t>Redemption</w:t>
            </w:r>
          </w:p>
          <w:p w14:paraId="2619B1FE" w14:textId="77777777" w:rsidR="00000000" w:rsidRDefault="0053651E">
            <w:pPr>
              <w:pStyle w:val="a3"/>
              <w:spacing w:before="0" w:beforeAutospacing="0" w:after="0" w:afterAutospacing="0"/>
              <w:jc w:val="center"/>
              <w:rPr>
                <w:sz w:val="20"/>
                <w:szCs w:val="20"/>
              </w:rPr>
            </w:pPr>
            <w:r>
              <w:rPr>
                <w:b/>
                <w:bCs/>
                <w:sz w:val="20"/>
                <w:szCs w:val="20"/>
              </w:rPr>
              <w:t>Amount</w:t>
            </w:r>
          </w:p>
          <w:p w14:paraId="42CE2B93"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50" w:type="pct"/>
            <w:tcBorders>
              <w:bottom w:val="single" w:sz="6" w:space="0" w:color="000000"/>
            </w:tcBorders>
            <w:vAlign w:val="bottom"/>
            <w:hideMark/>
          </w:tcPr>
          <w:p w14:paraId="7A6A791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61B5887B"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C41B805" w14:textId="77777777" w:rsidR="00000000" w:rsidRDefault="0053651E">
            <w:pPr>
              <w:pStyle w:val="a3"/>
              <w:spacing w:before="0" w:beforeAutospacing="0" w:after="0" w:afterAutospacing="0"/>
              <w:jc w:val="center"/>
              <w:rPr>
                <w:sz w:val="20"/>
                <w:szCs w:val="20"/>
              </w:rPr>
            </w:pPr>
            <w:r>
              <w:rPr>
                <w:b/>
                <w:bCs/>
                <w:sz w:val="20"/>
                <w:szCs w:val="20"/>
              </w:rPr>
              <w:t>Redemption</w:t>
            </w:r>
          </w:p>
          <w:p w14:paraId="503D496B" w14:textId="77777777" w:rsidR="00000000" w:rsidRDefault="0053651E">
            <w:pPr>
              <w:pStyle w:val="a3"/>
              <w:spacing w:before="0" w:beforeAutospacing="0" w:after="0" w:afterAutospacing="0"/>
              <w:jc w:val="center"/>
              <w:rPr>
                <w:sz w:val="20"/>
                <w:szCs w:val="20"/>
              </w:rPr>
            </w:pPr>
            <w:r>
              <w:rPr>
                <w:b/>
                <w:bCs/>
                <w:sz w:val="20"/>
                <w:szCs w:val="20"/>
              </w:rPr>
              <w:t xml:space="preserve">Charges </w:t>
            </w:r>
          </w:p>
          <w:p w14:paraId="5A367126" w14:textId="77777777" w:rsidR="00000000" w:rsidRDefault="0053651E">
            <w:pPr>
              <w:pStyle w:val="a3"/>
              <w:spacing w:before="0" w:beforeAutospacing="0" w:after="0" w:afterAutospacing="0"/>
              <w:jc w:val="center"/>
              <w:rPr>
                <w:sz w:val="20"/>
                <w:szCs w:val="20"/>
              </w:rPr>
            </w:pPr>
            <w:r>
              <w:rPr>
                <w:b/>
                <w:bCs/>
                <w:sz w:val="20"/>
                <w:szCs w:val="20"/>
              </w:rPr>
              <w:t>(in millions) (1)</w:t>
            </w:r>
          </w:p>
        </w:tc>
        <w:tc>
          <w:tcPr>
            <w:tcW w:w="50" w:type="pct"/>
            <w:tcMar>
              <w:top w:w="0" w:type="dxa"/>
              <w:left w:w="0" w:type="dxa"/>
              <w:bottom w:w="15" w:type="dxa"/>
              <w:right w:w="0" w:type="dxa"/>
            </w:tcMar>
            <w:vAlign w:val="bottom"/>
            <w:hideMark/>
          </w:tcPr>
          <w:p w14:paraId="759FB27E" w14:textId="77777777" w:rsidR="00000000" w:rsidRDefault="0053651E">
            <w:pPr>
              <w:rPr>
                <w:rFonts w:eastAsia="Times New Roman"/>
                <w:sz w:val="20"/>
                <w:szCs w:val="20"/>
              </w:rPr>
            </w:pPr>
            <w:r>
              <w:rPr>
                <w:rFonts w:eastAsia="Times New Roman"/>
                <w:sz w:val="20"/>
                <w:szCs w:val="20"/>
              </w:rPr>
              <w:t> </w:t>
            </w:r>
          </w:p>
        </w:tc>
      </w:tr>
      <w:tr w:rsidR="00000000" w14:paraId="06A60762" w14:textId="77777777">
        <w:trPr>
          <w:tblCellSpacing w:w="0" w:type="dxa"/>
        </w:trPr>
        <w:tc>
          <w:tcPr>
            <w:tcW w:w="850" w:type="pct"/>
            <w:tcBorders>
              <w:bottom w:val="nil"/>
            </w:tcBorders>
            <w:shd w:val="clear" w:color="auto" w:fill="CCEEFF"/>
            <w:vAlign w:val="bottom"/>
            <w:hideMark/>
          </w:tcPr>
          <w:p w14:paraId="3CD4EBC7" w14:textId="77777777" w:rsidR="00000000" w:rsidRDefault="0053651E">
            <w:pPr>
              <w:pStyle w:val="a3"/>
              <w:spacing w:before="0" w:beforeAutospacing="0" w:after="0" w:afterAutospacing="0"/>
              <w:jc w:val="center"/>
              <w:rPr>
                <w:sz w:val="20"/>
                <w:szCs w:val="20"/>
              </w:rPr>
            </w:pPr>
            <w:r>
              <w:rPr>
                <w:sz w:val="20"/>
                <w:szCs w:val="20"/>
              </w:rPr>
              <w:t>Class J</w:t>
            </w:r>
          </w:p>
        </w:tc>
        <w:tc>
          <w:tcPr>
            <w:tcW w:w="50" w:type="pct"/>
            <w:tcBorders>
              <w:bottom w:val="nil"/>
            </w:tcBorders>
            <w:shd w:val="clear" w:color="auto" w:fill="CCEEFF"/>
            <w:vAlign w:val="bottom"/>
            <w:hideMark/>
          </w:tcPr>
          <w:p w14:paraId="4F6614A6"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1A32F89A" w14:textId="77777777" w:rsidR="00000000" w:rsidRDefault="0053651E">
            <w:pPr>
              <w:pStyle w:val="a3"/>
              <w:spacing w:before="0" w:beforeAutospacing="0" w:after="0" w:afterAutospacing="0"/>
              <w:jc w:val="center"/>
              <w:rPr>
                <w:sz w:val="20"/>
                <w:szCs w:val="20"/>
              </w:rPr>
            </w:pPr>
            <w:r>
              <w:rPr>
                <w:rStyle w:val="a6"/>
                <w:i w:val="0"/>
                <w:iCs w:val="0"/>
                <w:sz w:val="20"/>
                <w:szCs w:val="20"/>
              </w:rPr>
              <w:t>12/31/2019</w:t>
            </w:r>
          </w:p>
        </w:tc>
        <w:tc>
          <w:tcPr>
            <w:tcW w:w="50" w:type="pct"/>
            <w:tcBorders>
              <w:bottom w:val="nil"/>
            </w:tcBorders>
            <w:shd w:val="clear" w:color="auto" w:fill="CCEEFF"/>
            <w:vAlign w:val="bottom"/>
            <w:hideMark/>
          </w:tcPr>
          <w:p w14:paraId="3077ECA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BFCD05"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7028EB51" w14:textId="77777777" w:rsidR="00000000" w:rsidRDefault="0053651E">
            <w:pPr>
              <w:jc w:val="right"/>
              <w:rPr>
                <w:rFonts w:eastAsia="Times New Roman"/>
                <w:sz w:val="20"/>
                <w:szCs w:val="20"/>
              </w:rPr>
            </w:pPr>
            <w:r>
              <w:rPr>
                <w:rFonts w:eastAsia="Times New Roman"/>
                <w:sz w:val="20"/>
                <w:szCs w:val="20"/>
              </w:rPr>
              <w:t>9,000,000</w:t>
            </w:r>
          </w:p>
        </w:tc>
        <w:tc>
          <w:tcPr>
            <w:tcW w:w="50" w:type="pct"/>
            <w:tcBorders>
              <w:bottom w:val="nil"/>
            </w:tcBorders>
            <w:shd w:val="clear" w:color="auto" w:fill="CCEEFF"/>
            <w:vAlign w:val="bottom"/>
            <w:hideMark/>
          </w:tcPr>
          <w:p w14:paraId="6CD86C9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5CB124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883E61"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77CDBEE4" w14:textId="77777777" w:rsidR="00000000" w:rsidRDefault="0053651E">
            <w:pPr>
              <w:jc w:val="right"/>
              <w:rPr>
                <w:rFonts w:eastAsia="Times New Roman"/>
                <w:sz w:val="20"/>
                <w:szCs w:val="20"/>
              </w:rPr>
            </w:pPr>
            <w:r>
              <w:rPr>
                <w:rFonts w:eastAsia="Times New Roman"/>
                <w:sz w:val="20"/>
                <w:szCs w:val="20"/>
              </w:rPr>
              <w:t>25.00</w:t>
            </w:r>
          </w:p>
        </w:tc>
        <w:tc>
          <w:tcPr>
            <w:tcW w:w="50" w:type="pct"/>
            <w:tcBorders>
              <w:bottom w:val="nil"/>
            </w:tcBorders>
            <w:shd w:val="clear" w:color="auto" w:fill="CCEEFF"/>
            <w:vAlign w:val="bottom"/>
            <w:hideMark/>
          </w:tcPr>
          <w:p w14:paraId="2B211EC0"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0A5713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5F4E6B4"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2F43692C" w14:textId="77777777" w:rsidR="00000000" w:rsidRDefault="0053651E">
            <w:pPr>
              <w:jc w:val="right"/>
              <w:rPr>
                <w:rFonts w:eastAsia="Times New Roman"/>
                <w:sz w:val="20"/>
                <w:szCs w:val="20"/>
              </w:rPr>
            </w:pPr>
            <w:r>
              <w:rPr>
                <w:rFonts w:eastAsia="Times New Roman"/>
                <w:sz w:val="20"/>
                <w:szCs w:val="20"/>
              </w:rPr>
              <w:t>225.0</w:t>
            </w:r>
          </w:p>
        </w:tc>
        <w:tc>
          <w:tcPr>
            <w:tcW w:w="50" w:type="pct"/>
            <w:tcBorders>
              <w:bottom w:val="nil"/>
            </w:tcBorders>
            <w:shd w:val="clear" w:color="auto" w:fill="CCEEFF"/>
            <w:vAlign w:val="bottom"/>
            <w:hideMark/>
          </w:tcPr>
          <w:p w14:paraId="4826986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BB14B9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BAE6F3F" w14:textId="77777777" w:rsidR="00000000" w:rsidRDefault="0053651E">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5DEE99FA" w14:textId="77777777" w:rsidR="00000000" w:rsidRDefault="0053651E">
            <w:pPr>
              <w:jc w:val="right"/>
              <w:rPr>
                <w:rFonts w:eastAsia="Times New Roman"/>
                <w:sz w:val="20"/>
                <w:szCs w:val="20"/>
              </w:rPr>
            </w:pPr>
            <w:r>
              <w:rPr>
                <w:rFonts w:eastAsia="Times New Roman"/>
                <w:sz w:val="20"/>
                <w:szCs w:val="20"/>
              </w:rPr>
              <w:t>7.1</w:t>
            </w:r>
          </w:p>
        </w:tc>
        <w:tc>
          <w:tcPr>
            <w:tcW w:w="50" w:type="pct"/>
            <w:tcBorders>
              <w:bottom w:val="nil"/>
            </w:tcBorders>
            <w:shd w:val="clear" w:color="auto" w:fill="CCEEFF"/>
            <w:vAlign w:val="bottom"/>
            <w:hideMark/>
          </w:tcPr>
          <w:p w14:paraId="259600B6" w14:textId="77777777" w:rsidR="00000000" w:rsidRDefault="0053651E">
            <w:pPr>
              <w:rPr>
                <w:rFonts w:eastAsia="Times New Roman"/>
                <w:sz w:val="20"/>
                <w:szCs w:val="20"/>
              </w:rPr>
            </w:pPr>
            <w:r>
              <w:rPr>
                <w:rFonts w:eastAsia="Times New Roman"/>
                <w:sz w:val="20"/>
                <w:szCs w:val="20"/>
              </w:rPr>
              <w:t> </w:t>
            </w:r>
          </w:p>
        </w:tc>
      </w:tr>
      <w:tr w:rsidR="00000000" w14:paraId="6A5457DC" w14:textId="77777777">
        <w:trPr>
          <w:tblCellSpacing w:w="0" w:type="dxa"/>
        </w:trPr>
        <w:tc>
          <w:tcPr>
            <w:tcW w:w="850" w:type="pct"/>
            <w:shd w:val="clear" w:color="auto" w:fill="FFFFFF"/>
            <w:vAlign w:val="bottom"/>
            <w:hideMark/>
          </w:tcPr>
          <w:p w14:paraId="2A75F619" w14:textId="77777777" w:rsidR="00000000" w:rsidRDefault="0053651E">
            <w:pPr>
              <w:pStyle w:val="a3"/>
              <w:spacing w:before="0" w:beforeAutospacing="0" w:after="0" w:afterAutospacing="0"/>
              <w:jc w:val="center"/>
              <w:rPr>
                <w:sz w:val="20"/>
                <w:szCs w:val="20"/>
              </w:rPr>
            </w:pPr>
            <w:r>
              <w:rPr>
                <w:sz w:val="20"/>
                <w:szCs w:val="20"/>
              </w:rPr>
              <w:t>Class I</w:t>
            </w:r>
          </w:p>
        </w:tc>
        <w:tc>
          <w:tcPr>
            <w:tcW w:w="50" w:type="pct"/>
            <w:shd w:val="clear" w:color="auto" w:fill="FFFFFF"/>
            <w:vAlign w:val="bottom"/>
            <w:hideMark/>
          </w:tcPr>
          <w:p w14:paraId="0A6ED91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98B80E0" w14:textId="77777777" w:rsidR="00000000" w:rsidRDefault="0053651E">
            <w:pPr>
              <w:pStyle w:val="a3"/>
              <w:spacing w:before="0" w:beforeAutospacing="0" w:after="0" w:afterAutospacing="0"/>
              <w:jc w:val="center"/>
              <w:rPr>
                <w:sz w:val="20"/>
                <w:szCs w:val="20"/>
              </w:rPr>
            </w:pPr>
            <w:r>
              <w:rPr>
                <w:rStyle w:val="a6"/>
                <w:i w:val="0"/>
                <w:iCs w:val="0"/>
                <w:sz w:val="20"/>
                <w:szCs w:val="20"/>
              </w:rPr>
              <w:t>9/14/2019</w:t>
            </w:r>
          </w:p>
        </w:tc>
        <w:tc>
          <w:tcPr>
            <w:tcW w:w="50" w:type="pct"/>
            <w:shd w:val="clear" w:color="auto" w:fill="FFFFFF"/>
            <w:vAlign w:val="bottom"/>
            <w:hideMark/>
          </w:tcPr>
          <w:p w14:paraId="57DC07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1FBD83"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FB60482" w14:textId="77777777" w:rsidR="00000000" w:rsidRDefault="0053651E">
            <w:pPr>
              <w:jc w:val="right"/>
              <w:rPr>
                <w:rFonts w:eastAsia="Times New Roman"/>
                <w:sz w:val="20"/>
                <w:szCs w:val="20"/>
              </w:rPr>
            </w:pPr>
            <w:r>
              <w:rPr>
                <w:rFonts w:eastAsia="Times New Roman"/>
                <w:sz w:val="20"/>
                <w:szCs w:val="20"/>
              </w:rPr>
              <w:t>7,000,000</w:t>
            </w:r>
          </w:p>
        </w:tc>
        <w:tc>
          <w:tcPr>
            <w:tcW w:w="50" w:type="pct"/>
            <w:shd w:val="clear" w:color="auto" w:fill="FFFFFF"/>
            <w:vAlign w:val="bottom"/>
            <w:hideMark/>
          </w:tcPr>
          <w:p w14:paraId="34D7D8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A227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DE6B60"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29C9EB50" w14:textId="77777777" w:rsidR="00000000" w:rsidRDefault="0053651E">
            <w:pPr>
              <w:jc w:val="right"/>
              <w:rPr>
                <w:rFonts w:eastAsia="Times New Roman"/>
                <w:sz w:val="20"/>
                <w:szCs w:val="20"/>
              </w:rPr>
            </w:pPr>
            <w:r>
              <w:rPr>
                <w:rFonts w:eastAsia="Times New Roman"/>
                <w:sz w:val="20"/>
                <w:szCs w:val="20"/>
              </w:rPr>
              <w:t>25.00</w:t>
            </w:r>
          </w:p>
        </w:tc>
        <w:tc>
          <w:tcPr>
            <w:tcW w:w="50" w:type="pct"/>
            <w:shd w:val="clear" w:color="auto" w:fill="FFFFFF"/>
            <w:vAlign w:val="bottom"/>
            <w:hideMark/>
          </w:tcPr>
          <w:p w14:paraId="425520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D44C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7BD37C"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0E6D142A" w14:textId="77777777" w:rsidR="00000000" w:rsidRDefault="0053651E">
            <w:pPr>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14:paraId="09AB5A1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ACCF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A5CC5F"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289E2889" w14:textId="77777777" w:rsidR="00000000" w:rsidRDefault="0053651E">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14:paraId="5685E94F" w14:textId="77777777" w:rsidR="00000000" w:rsidRDefault="0053651E">
            <w:pPr>
              <w:rPr>
                <w:rFonts w:eastAsia="Times New Roman"/>
                <w:sz w:val="20"/>
                <w:szCs w:val="20"/>
              </w:rPr>
            </w:pPr>
            <w:r>
              <w:rPr>
                <w:rFonts w:eastAsia="Times New Roman"/>
                <w:sz w:val="20"/>
                <w:szCs w:val="20"/>
              </w:rPr>
              <w:t> </w:t>
            </w:r>
          </w:p>
        </w:tc>
      </w:tr>
      <w:tr w:rsidR="00000000" w14:paraId="476846F5" w14:textId="77777777">
        <w:trPr>
          <w:tblCellSpacing w:w="0" w:type="dxa"/>
        </w:trPr>
        <w:tc>
          <w:tcPr>
            <w:tcW w:w="850" w:type="pct"/>
            <w:shd w:val="clear" w:color="auto" w:fill="CCEEFF"/>
            <w:vAlign w:val="bottom"/>
            <w:hideMark/>
          </w:tcPr>
          <w:p w14:paraId="40BB7CCC" w14:textId="77777777" w:rsidR="00000000" w:rsidRDefault="0053651E">
            <w:pPr>
              <w:pStyle w:val="a3"/>
              <w:spacing w:before="0" w:beforeAutospacing="0" w:after="0" w:afterAutospacing="0"/>
              <w:jc w:val="center"/>
              <w:rPr>
                <w:sz w:val="20"/>
                <w:szCs w:val="20"/>
              </w:rPr>
            </w:pPr>
            <w:r>
              <w:rPr>
                <w:sz w:val="20"/>
                <w:szCs w:val="20"/>
              </w:rPr>
              <w:t>Class K</w:t>
            </w:r>
          </w:p>
        </w:tc>
        <w:tc>
          <w:tcPr>
            <w:tcW w:w="50" w:type="pct"/>
            <w:shd w:val="clear" w:color="auto" w:fill="CCEEFF"/>
            <w:vAlign w:val="bottom"/>
            <w:hideMark/>
          </w:tcPr>
          <w:p w14:paraId="73AF6AD5"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BA26D95" w14:textId="77777777" w:rsidR="00000000" w:rsidRDefault="0053651E">
            <w:pPr>
              <w:pStyle w:val="a3"/>
              <w:spacing w:before="0" w:beforeAutospacing="0" w:after="0" w:afterAutospacing="0"/>
              <w:jc w:val="center"/>
              <w:rPr>
                <w:sz w:val="20"/>
                <w:szCs w:val="20"/>
              </w:rPr>
            </w:pPr>
            <w:r>
              <w:rPr>
                <w:rStyle w:val="a6"/>
                <w:i w:val="0"/>
                <w:iCs w:val="0"/>
                <w:sz w:val="20"/>
                <w:szCs w:val="20"/>
              </w:rPr>
              <w:t>9/14/2019</w:t>
            </w:r>
          </w:p>
        </w:tc>
        <w:tc>
          <w:tcPr>
            <w:tcW w:w="50" w:type="pct"/>
            <w:shd w:val="clear" w:color="auto" w:fill="CCEEFF"/>
            <w:vAlign w:val="bottom"/>
            <w:hideMark/>
          </w:tcPr>
          <w:p w14:paraId="1152BE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7177B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20B3166" w14:textId="77777777" w:rsidR="00000000" w:rsidRDefault="0053651E">
            <w:pPr>
              <w:jc w:val="right"/>
              <w:rPr>
                <w:rFonts w:eastAsia="Times New Roman"/>
                <w:sz w:val="20"/>
                <w:szCs w:val="20"/>
              </w:rPr>
            </w:pPr>
            <w:r>
              <w:rPr>
                <w:rFonts w:eastAsia="Times New Roman"/>
                <w:sz w:val="20"/>
                <w:szCs w:val="20"/>
              </w:rPr>
              <w:t>7,000,000</w:t>
            </w:r>
          </w:p>
        </w:tc>
        <w:tc>
          <w:tcPr>
            <w:tcW w:w="50" w:type="pct"/>
            <w:shd w:val="clear" w:color="auto" w:fill="CCEEFF"/>
            <w:vAlign w:val="bottom"/>
            <w:hideMark/>
          </w:tcPr>
          <w:p w14:paraId="127308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1BAB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880EB4"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30A8E5C9" w14:textId="77777777" w:rsidR="00000000" w:rsidRDefault="0053651E">
            <w:pPr>
              <w:jc w:val="right"/>
              <w:rPr>
                <w:rFonts w:eastAsia="Times New Roman"/>
                <w:sz w:val="20"/>
                <w:szCs w:val="20"/>
              </w:rPr>
            </w:pPr>
            <w:r>
              <w:rPr>
                <w:rFonts w:eastAsia="Times New Roman"/>
                <w:sz w:val="20"/>
                <w:szCs w:val="20"/>
              </w:rPr>
              <w:t>25.00</w:t>
            </w:r>
          </w:p>
        </w:tc>
        <w:tc>
          <w:tcPr>
            <w:tcW w:w="50" w:type="pct"/>
            <w:shd w:val="clear" w:color="auto" w:fill="CCEEFF"/>
            <w:vAlign w:val="bottom"/>
            <w:hideMark/>
          </w:tcPr>
          <w:p w14:paraId="5A8414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0234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9A786D"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C0AC1E4" w14:textId="77777777" w:rsidR="00000000" w:rsidRDefault="0053651E">
            <w:pPr>
              <w:jc w:val="right"/>
              <w:rPr>
                <w:rFonts w:eastAsia="Times New Roman"/>
                <w:sz w:val="20"/>
                <w:szCs w:val="20"/>
              </w:rPr>
            </w:pPr>
            <w:r>
              <w:rPr>
                <w:rFonts w:eastAsia="Times New Roman"/>
                <w:sz w:val="20"/>
                <w:szCs w:val="20"/>
              </w:rPr>
              <w:t>175.0</w:t>
            </w:r>
          </w:p>
        </w:tc>
        <w:tc>
          <w:tcPr>
            <w:tcW w:w="50" w:type="pct"/>
            <w:shd w:val="clear" w:color="auto" w:fill="CCEEFF"/>
            <w:vAlign w:val="bottom"/>
            <w:hideMark/>
          </w:tcPr>
          <w:p w14:paraId="73BD2E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BE37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7371DD"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6E3CFB3" w14:textId="77777777" w:rsidR="00000000" w:rsidRDefault="0053651E">
            <w:pPr>
              <w:jc w:val="right"/>
              <w:rPr>
                <w:rFonts w:eastAsia="Times New Roman"/>
                <w:sz w:val="20"/>
                <w:szCs w:val="20"/>
              </w:rPr>
            </w:pPr>
            <w:r>
              <w:rPr>
                <w:rFonts w:eastAsia="Times New Roman"/>
                <w:sz w:val="20"/>
                <w:szCs w:val="20"/>
              </w:rPr>
              <w:t>5.9</w:t>
            </w:r>
          </w:p>
        </w:tc>
        <w:tc>
          <w:tcPr>
            <w:tcW w:w="50" w:type="pct"/>
            <w:shd w:val="clear" w:color="auto" w:fill="CCEEFF"/>
            <w:vAlign w:val="bottom"/>
            <w:hideMark/>
          </w:tcPr>
          <w:p w14:paraId="4CA3EA81" w14:textId="77777777" w:rsidR="00000000" w:rsidRDefault="0053651E">
            <w:pPr>
              <w:rPr>
                <w:rFonts w:eastAsia="Times New Roman"/>
                <w:sz w:val="20"/>
                <w:szCs w:val="20"/>
              </w:rPr>
            </w:pPr>
            <w:r>
              <w:rPr>
                <w:rFonts w:eastAsia="Times New Roman"/>
                <w:sz w:val="20"/>
                <w:szCs w:val="20"/>
              </w:rPr>
              <w:t> </w:t>
            </w:r>
          </w:p>
        </w:tc>
      </w:tr>
    </w:tbl>
    <w:p w14:paraId="0676F4A8" w14:textId="77777777" w:rsidR="00000000" w:rsidRDefault="0053651E">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9165A3E" w14:textId="77777777">
        <w:trPr>
          <w:tblCellSpacing w:w="0" w:type="dxa"/>
        </w:trPr>
        <w:tc>
          <w:tcPr>
            <w:tcW w:w="360" w:type="dxa"/>
            <w:hideMark/>
          </w:tcPr>
          <w:p w14:paraId="1C9487BB"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0927DB57" w14:textId="77777777" w:rsidR="00000000" w:rsidRDefault="0053651E">
            <w:pPr>
              <w:pStyle w:val="a3"/>
              <w:spacing w:before="0" w:beforeAutospacing="0" w:after="0" w:afterAutospacing="0"/>
              <w:jc w:val="both"/>
              <w:rPr>
                <w:sz w:val="20"/>
                <w:szCs w:val="20"/>
              </w:rPr>
            </w:pPr>
            <w:r>
              <w:rPr>
                <w:sz w:val="20"/>
                <w:szCs w:val="20"/>
              </w:rPr>
              <w:t>Redemption charges resulting from the difference between the redemption amount and the carrying amount of the respective preferred stock class on the Company’s Consolidated Balance Sheets are accounted for in accordance with the FASB’s guidance on Distingu</w:t>
            </w:r>
            <w:r>
              <w:rPr>
                <w:sz w:val="20"/>
                <w:szCs w:val="20"/>
              </w:rPr>
              <w:t>ishing Liabilities from Equity. These charges were subtracted from net income attributable to the Company to arrive at net income available to the Company’s common shareholders and used in the calculation of earnings per share.</w:t>
            </w:r>
          </w:p>
        </w:tc>
      </w:tr>
    </w:tbl>
    <w:p w14:paraId="4990DADC" w14:textId="77777777" w:rsidR="00000000" w:rsidRDefault="0053651E">
      <w:pPr>
        <w:pStyle w:val="a3"/>
        <w:spacing w:before="0" w:beforeAutospacing="0" w:after="0" w:afterAutospacing="0"/>
        <w:ind w:left="360"/>
        <w:jc w:val="both"/>
        <w:rPr>
          <w:sz w:val="20"/>
          <w:szCs w:val="20"/>
        </w:rPr>
      </w:pPr>
      <w:r>
        <w:rPr>
          <w:sz w:val="20"/>
          <w:szCs w:val="20"/>
        </w:rPr>
        <w:t> </w:t>
      </w:r>
    </w:p>
    <w:p w14:paraId="5528F7B2" w14:textId="77777777" w:rsidR="00000000" w:rsidRDefault="0053651E">
      <w:pPr>
        <w:pStyle w:val="a3"/>
        <w:spacing w:before="0" w:beforeAutospacing="0" w:after="0" w:afterAutospacing="0"/>
        <w:ind w:left="360"/>
        <w:jc w:val="both"/>
        <w:rPr>
          <w:sz w:val="20"/>
          <w:szCs w:val="20"/>
        </w:rPr>
      </w:pPr>
      <w:r>
        <w:rPr>
          <w:sz w:val="20"/>
          <w:szCs w:val="20"/>
        </w:rPr>
        <w:t>The Company’</w:t>
      </w:r>
      <w:r>
        <w:rPr>
          <w:sz w:val="20"/>
          <w:szCs w:val="20"/>
        </w:rPr>
        <w:t>s Preferred Stock Depositary Shares for all classes are</w:t>
      </w:r>
      <w:r>
        <w:rPr>
          <w:sz w:val="20"/>
          <w:szCs w:val="20"/>
        </w:rPr>
        <w:t xml:space="preserve"> </w:t>
      </w:r>
      <w:r>
        <w:rPr>
          <w:rStyle w:val="a6"/>
          <w:i w:val="0"/>
          <w:iCs w:val="0"/>
          <w:sz w:val="20"/>
          <w:szCs w:val="20"/>
        </w:rPr>
        <w:t>not</w:t>
      </w:r>
      <w:r>
        <w:rPr>
          <w:sz w:val="20"/>
          <w:szCs w:val="20"/>
        </w:rPr>
        <w:t xml:space="preserve"> convertible or exchangeable for any other property or securities of the Company. </w:t>
      </w:r>
    </w:p>
    <w:p w14:paraId="1FB35656" w14:textId="77777777" w:rsidR="00000000" w:rsidRDefault="0053651E">
      <w:pPr>
        <w:pStyle w:val="a3"/>
        <w:spacing w:before="0" w:beforeAutospacing="0" w:after="0" w:afterAutospacing="0"/>
        <w:ind w:left="360"/>
        <w:jc w:val="both"/>
        <w:rPr>
          <w:sz w:val="20"/>
          <w:szCs w:val="20"/>
        </w:rPr>
      </w:pPr>
      <w:r>
        <w:rPr>
          <w:sz w:val="20"/>
          <w:szCs w:val="20"/>
        </w:rPr>
        <w:t> </w:t>
      </w:r>
    </w:p>
    <w:p w14:paraId="3E03DF95" w14:textId="77777777" w:rsidR="00000000" w:rsidRDefault="0053651E">
      <w:pPr>
        <w:pStyle w:val="a3"/>
        <w:spacing w:before="0" w:beforeAutospacing="0" w:after="0" w:afterAutospacing="0"/>
        <w:ind w:left="360"/>
        <w:jc w:val="both"/>
        <w:rPr>
          <w:sz w:val="20"/>
          <w:szCs w:val="20"/>
        </w:rPr>
      </w:pPr>
      <w:r>
        <w:rPr>
          <w:sz w:val="20"/>
          <w:szCs w:val="20"/>
        </w:rPr>
        <w:t>Voting Rights - The Class L and M Preferred Stock rank pari passu as to voting rights, priority for receiving di</w:t>
      </w:r>
      <w:r>
        <w:rPr>
          <w:sz w:val="20"/>
          <w:szCs w:val="20"/>
        </w:rPr>
        <w:t>vidends and liquidation preference as set forth below.</w:t>
      </w:r>
    </w:p>
    <w:p w14:paraId="35A535C4" w14:textId="77777777" w:rsidR="00000000" w:rsidRDefault="0053651E">
      <w:pPr>
        <w:pStyle w:val="a3"/>
        <w:spacing w:before="0" w:beforeAutospacing="0" w:after="0" w:afterAutospacing="0"/>
        <w:ind w:left="360"/>
        <w:jc w:val="both"/>
        <w:rPr>
          <w:sz w:val="20"/>
          <w:szCs w:val="20"/>
        </w:rPr>
      </w:pPr>
      <w:r>
        <w:rPr>
          <w:sz w:val="20"/>
          <w:szCs w:val="20"/>
        </w:rPr>
        <w:t> </w:t>
      </w:r>
    </w:p>
    <w:p w14:paraId="1E0C637E" w14:textId="77777777" w:rsidR="00000000" w:rsidRDefault="0053651E">
      <w:pPr>
        <w:pStyle w:val="a3"/>
        <w:spacing w:before="0" w:beforeAutospacing="0" w:after="0" w:afterAutospacing="0"/>
        <w:ind w:left="360"/>
        <w:jc w:val="both"/>
        <w:rPr>
          <w:sz w:val="20"/>
          <w:szCs w:val="20"/>
        </w:rPr>
      </w:pPr>
      <w:r>
        <w:rPr>
          <w:sz w:val="20"/>
          <w:szCs w:val="20"/>
        </w:rPr>
        <w:t>As to any matter on which the Class L or M Preferred Stock</w:t>
      </w:r>
      <w:r>
        <w:rPr>
          <w:sz w:val="20"/>
          <w:szCs w:val="20"/>
        </w:rPr>
        <w:t xml:space="preserve"> </w:t>
      </w:r>
      <w:r>
        <w:rPr>
          <w:rStyle w:val="a6"/>
          <w:i w:val="0"/>
          <w:iCs w:val="0"/>
          <w:sz w:val="20"/>
          <w:szCs w:val="20"/>
        </w:rPr>
        <w:t xml:space="preserve">may </w:t>
      </w:r>
      <w:r>
        <w:rPr>
          <w:sz w:val="20"/>
          <w:szCs w:val="20"/>
        </w:rPr>
        <w:t>vote, including any actions by written consent, each share of the Class L or M Preferred Stock shall be entitled to 1,000 votes, each of</w:t>
      </w:r>
      <w:r>
        <w:rPr>
          <w:sz w:val="20"/>
          <w:szCs w:val="20"/>
        </w:rPr>
        <w:t xml:space="preserve"> which 1,000 votes</w:t>
      </w:r>
      <w:r>
        <w:rPr>
          <w:sz w:val="20"/>
          <w:szCs w:val="20"/>
        </w:rPr>
        <w:t xml:space="preserve"> </w:t>
      </w:r>
      <w:r>
        <w:rPr>
          <w:rStyle w:val="a6"/>
          <w:i w:val="0"/>
          <w:iCs w:val="0"/>
          <w:sz w:val="20"/>
          <w:szCs w:val="20"/>
        </w:rPr>
        <w:t xml:space="preserve">may </w:t>
      </w:r>
      <w:r>
        <w:rPr>
          <w:sz w:val="20"/>
          <w:szCs w:val="20"/>
        </w:rPr>
        <w:t>be directed separately by the holder thereof. With respect to each share of Class L or M Preferred Stock, the holder thereof</w:t>
      </w:r>
      <w:r>
        <w:rPr>
          <w:sz w:val="20"/>
          <w:szCs w:val="20"/>
        </w:rPr>
        <w:t xml:space="preserve"> </w:t>
      </w:r>
      <w:r>
        <w:rPr>
          <w:rStyle w:val="a6"/>
          <w:i w:val="0"/>
          <w:iCs w:val="0"/>
          <w:sz w:val="20"/>
          <w:szCs w:val="20"/>
        </w:rPr>
        <w:t xml:space="preserve">may </w:t>
      </w:r>
      <w:r>
        <w:rPr>
          <w:sz w:val="20"/>
          <w:szCs w:val="20"/>
        </w:rPr>
        <w:t>designate up to</w:t>
      </w:r>
      <w:r>
        <w:rPr>
          <w:sz w:val="20"/>
          <w:szCs w:val="20"/>
        </w:rPr>
        <w:t xml:space="preserve"> </w:t>
      </w:r>
      <w:r>
        <w:rPr>
          <w:rStyle w:val="a6"/>
          <w:i w:val="0"/>
          <w:iCs w:val="0"/>
          <w:sz w:val="20"/>
          <w:szCs w:val="20"/>
        </w:rPr>
        <w:t>1,000</w:t>
      </w:r>
      <w:r>
        <w:rPr>
          <w:sz w:val="20"/>
          <w:szCs w:val="20"/>
        </w:rPr>
        <w:t xml:space="preserve"> proxies, with each such proxy having the right to vote a whole number of votes (to</w:t>
      </w:r>
      <w:r>
        <w:rPr>
          <w:sz w:val="20"/>
          <w:szCs w:val="20"/>
        </w:rPr>
        <w:t>taling</w:t>
      </w:r>
      <w:r>
        <w:rPr>
          <w:sz w:val="20"/>
          <w:szCs w:val="20"/>
        </w:rPr>
        <w:t xml:space="preserve"> </w:t>
      </w:r>
      <w:r>
        <w:rPr>
          <w:rStyle w:val="a6"/>
          <w:i w:val="0"/>
          <w:iCs w:val="0"/>
          <w:sz w:val="20"/>
          <w:szCs w:val="20"/>
        </w:rPr>
        <w:t>1,000</w:t>
      </w:r>
      <w:r>
        <w:rPr>
          <w:sz w:val="20"/>
          <w:szCs w:val="20"/>
        </w:rPr>
        <w:t xml:space="preserve"> votes per share of Class L or M Preferred Stock). As a result, each Class L or M Depositary Share is entitled to one vote.</w:t>
      </w:r>
    </w:p>
    <w:p w14:paraId="5C519098" w14:textId="77777777" w:rsidR="00000000" w:rsidRDefault="0053651E">
      <w:pPr>
        <w:pStyle w:val="a3"/>
        <w:spacing w:before="0" w:beforeAutospacing="0" w:after="0" w:afterAutospacing="0"/>
        <w:ind w:left="360"/>
        <w:jc w:val="both"/>
        <w:rPr>
          <w:sz w:val="20"/>
          <w:szCs w:val="20"/>
        </w:rPr>
      </w:pPr>
      <w:r>
        <w:rPr>
          <w:sz w:val="20"/>
          <w:szCs w:val="20"/>
        </w:rPr>
        <w:t> </w:t>
      </w:r>
    </w:p>
    <w:p w14:paraId="4024FD6C" w14:textId="77777777" w:rsidR="00000000" w:rsidRDefault="0053651E">
      <w:pPr>
        <w:pStyle w:val="a3"/>
        <w:spacing w:before="0" w:beforeAutospacing="0" w:after="0" w:afterAutospacing="0"/>
        <w:ind w:left="360"/>
        <w:jc w:val="both"/>
        <w:rPr>
          <w:sz w:val="20"/>
          <w:szCs w:val="20"/>
        </w:rPr>
      </w:pPr>
      <w:r>
        <w:rPr>
          <w:i/>
          <w:iCs/>
          <w:sz w:val="20"/>
          <w:szCs w:val="20"/>
        </w:rPr>
        <w:t>Liquidation Rights</w:t>
      </w:r>
    </w:p>
    <w:p w14:paraId="661AE8C8" w14:textId="77777777" w:rsidR="00000000" w:rsidRDefault="0053651E">
      <w:pPr>
        <w:pStyle w:val="a3"/>
        <w:spacing w:before="0" w:beforeAutospacing="0" w:after="0" w:afterAutospacing="0"/>
        <w:ind w:left="360"/>
        <w:jc w:val="both"/>
        <w:rPr>
          <w:sz w:val="20"/>
          <w:szCs w:val="20"/>
        </w:rPr>
      </w:pPr>
      <w:r>
        <w:rPr>
          <w:sz w:val="20"/>
          <w:szCs w:val="20"/>
        </w:rPr>
        <w:t> </w:t>
      </w:r>
    </w:p>
    <w:p w14:paraId="3161249D" w14:textId="77777777" w:rsidR="00000000" w:rsidRDefault="0053651E">
      <w:pPr>
        <w:pStyle w:val="a3"/>
        <w:spacing w:before="0" w:beforeAutospacing="0" w:after="0" w:afterAutospacing="0"/>
        <w:ind w:left="360"/>
        <w:jc w:val="both"/>
        <w:rPr>
          <w:sz w:val="20"/>
          <w:szCs w:val="20"/>
        </w:rPr>
      </w:pPr>
      <w:r>
        <w:rPr>
          <w:sz w:val="20"/>
          <w:szCs w:val="20"/>
        </w:rPr>
        <w:t>In the event of any liquidation, dissolution or winding up of the affairs of the Company, preferr</w:t>
      </w:r>
      <w:r>
        <w:rPr>
          <w:sz w:val="20"/>
          <w:szCs w:val="20"/>
        </w:rPr>
        <w:t>ed stock holders are entitled to be paid, out of the assets of the Company legally available for distribution to its stockholders, a liquidation preference of  $25,000 per share of Class L Preferred Stock and $25,000 per share of Class M Preferred Stock ($</w:t>
      </w:r>
      <w:r>
        <w:rPr>
          <w:sz w:val="20"/>
          <w:szCs w:val="20"/>
        </w:rPr>
        <w:t xml:space="preserve">25.00 per each Class L and Class M Depositary Share), plus an amount equal to any accrued and unpaid dividends to the date of payment, before any distribution of assets is made to holders of the Company’s common stock or any other capital stock that ranks </w:t>
      </w:r>
      <w:r>
        <w:rPr>
          <w:sz w:val="20"/>
          <w:szCs w:val="20"/>
        </w:rPr>
        <w:t>junior to the preferred stock as to liquidation rights.</w:t>
      </w:r>
    </w:p>
    <w:p w14:paraId="76C65A59" w14:textId="77777777" w:rsidR="00000000" w:rsidRDefault="0053651E">
      <w:pPr>
        <w:pStyle w:val="a3"/>
        <w:spacing w:before="0" w:beforeAutospacing="0" w:after="0" w:afterAutospacing="0"/>
        <w:ind w:left="360"/>
        <w:jc w:val="both"/>
        <w:rPr>
          <w:sz w:val="20"/>
          <w:szCs w:val="20"/>
        </w:rPr>
      </w:pPr>
      <w:r>
        <w:rPr>
          <w:sz w:val="20"/>
          <w:szCs w:val="20"/>
        </w:rPr>
        <w:t> </w:t>
      </w:r>
    </w:p>
    <w:p w14:paraId="3284F4D4" w14:textId="77777777" w:rsidR="00000000" w:rsidRDefault="0053651E">
      <w:pPr>
        <w:jc w:val="center"/>
        <w:divId w:val="1061825314"/>
        <w:rPr>
          <w:rFonts w:eastAsia="Times New Roman"/>
          <w:sz w:val="20"/>
          <w:szCs w:val="20"/>
        </w:rPr>
      </w:pPr>
      <w:r>
        <w:rPr>
          <w:rStyle w:val="a6"/>
          <w:rFonts w:eastAsia="Times New Roman"/>
          <w:i w:val="0"/>
          <w:iCs w:val="0"/>
          <w:sz w:val="20"/>
          <w:szCs w:val="20"/>
        </w:rPr>
        <w:t>76</w:t>
      </w:r>
      <w:r>
        <w:rPr>
          <w:rFonts w:eastAsia="Times New Roman"/>
          <w:sz w:val="20"/>
          <w:szCs w:val="20"/>
        </w:rPr>
        <w:t xml:space="preserve"> </w:t>
      </w:r>
    </w:p>
    <w:p w14:paraId="31B14375" w14:textId="77777777" w:rsidR="00000000" w:rsidRDefault="0053651E">
      <w:pPr>
        <w:divId w:val="1061825314"/>
        <w:rPr>
          <w:rFonts w:eastAsia="Times New Roman"/>
          <w:sz w:val="20"/>
          <w:szCs w:val="20"/>
        </w:rPr>
      </w:pPr>
      <w:r>
        <w:rPr>
          <w:rFonts w:eastAsia="Times New Roman"/>
          <w:sz w:val="20"/>
          <w:szCs w:val="20"/>
        </w:rPr>
        <w:pict w14:anchorId="5A258597">
          <v:rect id="_x0000_i1107" style="width:415.3pt;height:1.5pt" o:hralign="center" o:hrstd="t" o:hrnoshade="t" o:hr="t" fillcolor="black" stroked="f"/>
        </w:pict>
      </w:r>
    </w:p>
    <w:p w14:paraId="78759C31" w14:textId="77777777" w:rsidR="00000000" w:rsidRDefault="0053651E">
      <w:pPr>
        <w:divId w:val="10618253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2F608F3" w14:textId="77777777" w:rsidR="00000000" w:rsidRDefault="0053651E">
      <w:pPr>
        <w:pStyle w:val="a3"/>
        <w:spacing w:before="0" w:beforeAutospacing="0" w:after="0" w:afterAutospacing="0"/>
        <w:rPr>
          <w:sz w:val="20"/>
          <w:szCs w:val="20"/>
        </w:rPr>
      </w:pPr>
      <w:r>
        <w:rPr>
          <w:sz w:val="20"/>
          <w:szCs w:val="20"/>
        </w:rPr>
        <w:t> </w:t>
      </w:r>
    </w:p>
    <w:p w14:paraId="43C22393"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09DB9B51" w14:textId="77777777" w:rsidR="00000000" w:rsidRDefault="0053651E">
      <w:pPr>
        <w:pStyle w:val="a3"/>
        <w:spacing w:before="0" w:beforeAutospacing="0" w:after="0" w:afterAutospacing="0"/>
        <w:jc w:val="center"/>
        <w:rPr>
          <w:sz w:val="20"/>
          <w:szCs w:val="20"/>
        </w:rPr>
      </w:pPr>
      <w:r>
        <w:rPr>
          <w:sz w:val="20"/>
          <w:szCs w:val="20"/>
        </w:rPr>
        <w:t> </w:t>
      </w:r>
    </w:p>
    <w:p w14:paraId="48E22EE5"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282DD113" w14:textId="77777777" w:rsidR="00000000" w:rsidRDefault="0053651E">
      <w:pPr>
        <w:pStyle w:val="a3"/>
        <w:spacing w:before="0" w:beforeAutospacing="0" w:after="0" w:afterAutospacing="0"/>
        <w:rPr>
          <w:sz w:val="20"/>
          <w:szCs w:val="20"/>
        </w:rPr>
      </w:pPr>
      <w:r>
        <w:rPr>
          <w:sz w:val="20"/>
          <w:szCs w:val="20"/>
        </w:rPr>
        <w:t> </w:t>
      </w:r>
    </w:p>
    <w:p w14:paraId="00BA7D21" w14:textId="77777777" w:rsidR="00000000" w:rsidRDefault="0053651E">
      <w:pPr>
        <w:pStyle w:val="a3"/>
        <w:spacing w:before="0" w:beforeAutospacing="0" w:after="0" w:afterAutospacing="0"/>
        <w:ind w:left="360"/>
        <w:jc w:val="both"/>
        <w:rPr>
          <w:sz w:val="20"/>
          <w:szCs w:val="20"/>
        </w:rPr>
      </w:pPr>
      <w:r>
        <w:rPr>
          <w:i/>
          <w:iCs/>
          <w:sz w:val="20"/>
          <w:szCs w:val="20"/>
        </w:rPr>
        <w:t>Common Stock</w:t>
      </w:r>
    </w:p>
    <w:p w14:paraId="0D5F0972" w14:textId="77777777" w:rsidR="00000000" w:rsidRDefault="0053651E">
      <w:pPr>
        <w:pStyle w:val="a3"/>
        <w:spacing w:before="0" w:beforeAutospacing="0" w:after="0" w:afterAutospacing="0"/>
        <w:ind w:left="360"/>
        <w:jc w:val="both"/>
        <w:rPr>
          <w:sz w:val="20"/>
          <w:szCs w:val="20"/>
        </w:rPr>
      </w:pPr>
      <w:r>
        <w:rPr>
          <w:sz w:val="20"/>
          <w:szCs w:val="20"/>
        </w:rPr>
        <w:t> </w:t>
      </w:r>
    </w:p>
    <w:p w14:paraId="11FA2592"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 xml:space="preserve">September 2019, </w:t>
      </w:r>
      <w:r>
        <w:rPr>
          <w:sz w:val="20"/>
          <w:szCs w:val="20"/>
        </w:rPr>
        <w:t>the Company established an ATM program, pursuant to which the Company</w:t>
      </w:r>
      <w:r>
        <w:rPr>
          <w:sz w:val="20"/>
          <w:szCs w:val="20"/>
        </w:rPr>
        <w:t xml:space="preserve"> </w:t>
      </w:r>
      <w:r>
        <w:rPr>
          <w:rStyle w:val="a6"/>
          <w:i w:val="0"/>
          <w:iCs w:val="0"/>
          <w:sz w:val="20"/>
          <w:szCs w:val="20"/>
        </w:rPr>
        <w:t xml:space="preserve">may </w:t>
      </w:r>
      <w:r>
        <w:rPr>
          <w:sz w:val="20"/>
          <w:szCs w:val="20"/>
        </w:rPr>
        <w:t>offer and sell from time to time shares of its common stock, par value $0.01 per share, with an aggregate gross sales price of up to $500.0 million through a consorti</w:t>
      </w:r>
      <w:r>
        <w:rPr>
          <w:sz w:val="20"/>
          <w:szCs w:val="20"/>
        </w:rPr>
        <w:t>um of banks acting as sales agents. Sales of the shares of common stock</w:t>
      </w:r>
      <w:r>
        <w:rPr>
          <w:sz w:val="20"/>
          <w:szCs w:val="20"/>
        </w:rPr>
        <w:t xml:space="preserve"> </w:t>
      </w:r>
      <w:r>
        <w:rPr>
          <w:rStyle w:val="a6"/>
          <w:i w:val="0"/>
          <w:iCs w:val="0"/>
          <w:sz w:val="20"/>
          <w:szCs w:val="20"/>
        </w:rPr>
        <w:t xml:space="preserve">may </w:t>
      </w:r>
      <w:r>
        <w:rPr>
          <w:sz w:val="20"/>
          <w:szCs w:val="20"/>
        </w:rPr>
        <w:t>be made, as needed, from time to time in “at the market” offerings as defined in Rule</w:t>
      </w:r>
      <w:r>
        <w:rPr>
          <w:sz w:val="20"/>
          <w:szCs w:val="20"/>
        </w:rPr>
        <w:t xml:space="preserve"> </w:t>
      </w:r>
      <w:r>
        <w:rPr>
          <w:rStyle w:val="a6"/>
          <w:i w:val="0"/>
          <w:iCs w:val="0"/>
          <w:sz w:val="20"/>
          <w:szCs w:val="20"/>
        </w:rPr>
        <w:t>415</w:t>
      </w:r>
      <w:r>
        <w:rPr>
          <w:sz w:val="20"/>
          <w:szCs w:val="20"/>
        </w:rPr>
        <w:t xml:space="preserve"> of the Securities Act of</w:t>
      </w:r>
      <w:r>
        <w:rPr>
          <w:sz w:val="20"/>
          <w:szCs w:val="20"/>
        </w:rPr>
        <w:t xml:space="preserve"> </w:t>
      </w:r>
      <w:r>
        <w:rPr>
          <w:rStyle w:val="a6"/>
          <w:i w:val="0"/>
          <w:iCs w:val="0"/>
          <w:sz w:val="20"/>
          <w:szCs w:val="20"/>
        </w:rPr>
        <w:t>1933,</w:t>
      </w:r>
      <w:r>
        <w:rPr>
          <w:sz w:val="20"/>
          <w:szCs w:val="20"/>
        </w:rPr>
        <w:t xml:space="preserve"> including by means of ordinary brokers’ transactions on the</w:t>
      </w:r>
      <w:r>
        <w:rPr>
          <w:sz w:val="20"/>
          <w:szCs w:val="20"/>
        </w:rPr>
        <w:t xml:space="preserve"> New York Stock Exchange or otherwise (i) at market prices prevailing at the time of sale, (ii) at prices related to prevailing market prices or (iii) as otherwise agreed to with the applicable sales agent. During the year ended</w:t>
      </w:r>
      <w:r>
        <w:rPr>
          <w:sz w:val="20"/>
          <w:szCs w:val="20"/>
        </w:rPr>
        <w:t xml:space="preserve"> </w:t>
      </w:r>
      <w:r>
        <w:rPr>
          <w:rStyle w:val="a6"/>
          <w:i w:val="0"/>
          <w:iCs w:val="0"/>
          <w:sz w:val="20"/>
          <w:szCs w:val="20"/>
        </w:rPr>
        <w:t xml:space="preserve">December 31, 2019, </w:t>
      </w:r>
      <w:r>
        <w:rPr>
          <w:sz w:val="20"/>
          <w:szCs w:val="20"/>
        </w:rPr>
        <w:t>the Comp</w:t>
      </w:r>
      <w:r>
        <w:rPr>
          <w:sz w:val="20"/>
          <w:szCs w:val="20"/>
        </w:rPr>
        <w:t>any issued 9,514,544 shares and received proceeds of $200.1 million, net of commissions and fees of $1.8 million. As of</w:t>
      </w:r>
      <w:r>
        <w:rPr>
          <w:sz w:val="20"/>
          <w:szCs w:val="20"/>
        </w:rPr>
        <w:t xml:space="preserve"> </w:t>
      </w:r>
      <w:r>
        <w:rPr>
          <w:rStyle w:val="a6"/>
          <w:i w:val="0"/>
          <w:iCs w:val="0"/>
          <w:sz w:val="20"/>
          <w:szCs w:val="20"/>
        </w:rPr>
        <w:t xml:space="preserve">December 31, 2019, </w:t>
      </w:r>
      <w:r>
        <w:rPr>
          <w:sz w:val="20"/>
          <w:szCs w:val="20"/>
        </w:rPr>
        <w:t>the Company had $298.1 million available under this ATM program.</w:t>
      </w:r>
    </w:p>
    <w:p w14:paraId="44801822" w14:textId="77777777" w:rsidR="00000000" w:rsidRDefault="0053651E">
      <w:pPr>
        <w:pStyle w:val="a3"/>
        <w:spacing w:before="0" w:beforeAutospacing="0" w:after="0" w:afterAutospacing="0"/>
        <w:ind w:left="360"/>
        <w:jc w:val="both"/>
        <w:rPr>
          <w:sz w:val="20"/>
          <w:szCs w:val="20"/>
        </w:rPr>
      </w:pPr>
      <w:r>
        <w:rPr>
          <w:sz w:val="20"/>
          <w:szCs w:val="20"/>
        </w:rPr>
        <w:t> </w:t>
      </w:r>
    </w:p>
    <w:p w14:paraId="012ABA7E"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 xml:space="preserve">February 2018, </w:t>
      </w:r>
      <w:r>
        <w:rPr>
          <w:sz w:val="20"/>
          <w:szCs w:val="20"/>
        </w:rPr>
        <w:t>the Company’s Board of Direc</w:t>
      </w:r>
      <w:r>
        <w:rPr>
          <w:sz w:val="20"/>
          <w:szCs w:val="20"/>
        </w:rPr>
        <w:t>tors authorized a share repurchase program, which is effective for a term of</w:t>
      </w:r>
      <w:r>
        <w:rPr>
          <w:sz w:val="20"/>
          <w:szCs w:val="20"/>
        </w:rPr>
        <w:t xml:space="preserve"> </w:t>
      </w:r>
      <w:r>
        <w:rPr>
          <w:rStyle w:val="a6"/>
          <w:i w:val="0"/>
          <w:iCs w:val="0"/>
          <w:sz w:val="20"/>
          <w:szCs w:val="20"/>
        </w:rPr>
        <w:t>two</w:t>
      </w:r>
      <w:r>
        <w:rPr>
          <w:sz w:val="20"/>
          <w:szCs w:val="20"/>
        </w:rPr>
        <w:t xml:space="preserve"> years, pursuant to which the Company</w:t>
      </w:r>
      <w:r>
        <w:rPr>
          <w:sz w:val="20"/>
          <w:szCs w:val="20"/>
        </w:rPr>
        <w:t xml:space="preserve"> </w:t>
      </w:r>
      <w:r>
        <w:rPr>
          <w:rStyle w:val="a6"/>
          <w:i w:val="0"/>
          <w:iCs w:val="0"/>
          <w:sz w:val="20"/>
          <w:szCs w:val="20"/>
        </w:rPr>
        <w:t xml:space="preserve">may </w:t>
      </w:r>
      <w:r>
        <w:rPr>
          <w:sz w:val="20"/>
          <w:szCs w:val="20"/>
        </w:rPr>
        <w:t xml:space="preserve">repurchase shares of its common stock, par value $0.01 per share, with an aggregate gross purchase price of up to $300.0 million. The </w:t>
      </w:r>
      <w:r>
        <w:rPr>
          <w:sz w:val="20"/>
          <w:szCs w:val="20"/>
        </w:rPr>
        <w:t>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year ended</w:t>
      </w:r>
      <w:r>
        <w:rPr>
          <w:sz w:val="20"/>
          <w:szCs w:val="20"/>
        </w:rPr>
        <w:t xml:space="preserve"> </w:t>
      </w:r>
      <w:r>
        <w:rPr>
          <w:rStyle w:val="a6"/>
          <w:i w:val="0"/>
          <w:iCs w:val="0"/>
          <w:sz w:val="20"/>
          <w:szCs w:val="20"/>
        </w:rPr>
        <w:t xml:space="preserve">December 31, 2019.  </w:t>
      </w:r>
      <w:r>
        <w:rPr>
          <w:sz w:val="20"/>
          <w:szCs w:val="20"/>
        </w:rPr>
        <w:t>During the year ended</w:t>
      </w:r>
      <w:r>
        <w:rPr>
          <w:sz w:val="20"/>
          <w:szCs w:val="20"/>
        </w:rPr>
        <w:t xml:space="preserve"> </w:t>
      </w:r>
      <w:r>
        <w:rPr>
          <w:rStyle w:val="a6"/>
          <w:i w:val="0"/>
          <w:iCs w:val="0"/>
          <w:sz w:val="20"/>
          <w:szCs w:val="20"/>
        </w:rPr>
        <w:t xml:space="preserve">December 31, 2018, </w:t>
      </w:r>
      <w:r>
        <w:rPr>
          <w:sz w:val="20"/>
          <w:szCs w:val="20"/>
        </w:rPr>
        <w:t xml:space="preserve">the Company repurchased 5,100,000 shares for an aggregate purchase price of $75.1 million (weighted </w:t>
      </w:r>
      <w:r>
        <w:rPr>
          <w:sz w:val="20"/>
          <w:szCs w:val="20"/>
        </w:rPr>
        <w:t>average price of $14.72 per share). As of</w:t>
      </w:r>
      <w:r>
        <w:rPr>
          <w:sz w:val="20"/>
          <w:szCs w:val="20"/>
        </w:rPr>
        <w:t xml:space="preserve"> </w:t>
      </w:r>
      <w:r>
        <w:rPr>
          <w:rStyle w:val="a6"/>
          <w:i w:val="0"/>
          <w:iCs w:val="0"/>
          <w:sz w:val="20"/>
          <w:szCs w:val="20"/>
        </w:rPr>
        <w:t xml:space="preserve">December 31, 2019, </w:t>
      </w:r>
      <w:r>
        <w:rPr>
          <w:sz w:val="20"/>
          <w:szCs w:val="20"/>
        </w:rPr>
        <w:t>the Company had $224.9 million available under this share repurchase program. During</w:t>
      </w:r>
      <w:r>
        <w:rPr>
          <w:sz w:val="20"/>
          <w:szCs w:val="20"/>
        </w:rPr>
        <w:t xml:space="preserve"> </w:t>
      </w:r>
      <w:r>
        <w:rPr>
          <w:rStyle w:val="a6"/>
          <w:i w:val="0"/>
          <w:iCs w:val="0"/>
          <w:sz w:val="20"/>
          <w:szCs w:val="20"/>
        </w:rPr>
        <w:t xml:space="preserve">February 2020, </w:t>
      </w:r>
      <w:r>
        <w:rPr>
          <w:sz w:val="20"/>
          <w:szCs w:val="20"/>
        </w:rPr>
        <w:t>the Company’s Board of Directors approved an extension of this existing share repurchase progra</w:t>
      </w:r>
      <w:r>
        <w:rPr>
          <w:sz w:val="20"/>
          <w:szCs w:val="20"/>
        </w:rPr>
        <w:t>m for a term of</w:t>
      </w:r>
      <w:r>
        <w:rPr>
          <w:sz w:val="20"/>
          <w:szCs w:val="20"/>
        </w:rPr>
        <w:t xml:space="preserve"> </w:t>
      </w:r>
      <w:r>
        <w:rPr>
          <w:sz w:val="20"/>
          <w:szCs w:val="20"/>
        </w:rPr>
        <w:t>tw</w:t>
      </w:r>
      <w:r>
        <w:rPr>
          <w:sz w:val="20"/>
          <w:szCs w:val="20"/>
        </w:rPr>
        <w:t>o</w:t>
      </w:r>
      <w:r>
        <w:rPr>
          <w:sz w:val="20"/>
          <w:szCs w:val="20"/>
        </w:rPr>
        <w:t xml:space="preserve"> years, which will expire in</w:t>
      </w:r>
      <w:r>
        <w:rPr>
          <w:sz w:val="20"/>
          <w:szCs w:val="20"/>
        </w:rPr>
        <w:t xml:space="preserve"> </w:t>
      </w:r>
      <w:r>
        <w:rPr>
          <w:rStyle w:val="a6"/>
          <w:i w:val="0"/>
          <w:iCs w:val="0"/>
          <w:sz w:val="20"/>
          <w:szCs w:val="20"/>
        </w:rPr>
        <w:t>February 2022.</w:t>
      </w:r>
    </w:p>
    <w:p w14:paraId="5F411F61" w14:textId="77777777" w:rsidR="00000000" w:rsidRDefault="0053651E">
      <w:pPr>
        <w:pStyle w:val="a3"/>
        <w:spacing w:before="0" w:beforeAutospacing="0" w:after="0" w:afterAutospacing="0"/>
        <w:ind w:left="144" w:right="144"/>
        <w:rPr>
          <w:sz w:val="20"/>
          <w:szCs w:val="20"/>
        </w:rPr>
      </w:pPr>
      <w:r>
        <w:rPr>
          <w:sz w:val="20"/>
          <w:szCs w:val="20"/>
        </w:rPr>
        <w:t> </w:t>
      </w:r>
    </w:p>
    <w:p w14:paraId="605DC180" w14:textId="77777777" w:rsidR="00000000" w:rsidRDefault="0053651E">
      <w:pPr>
        <w:pStyle w:val="a3"/>
        <w:spacing w:before="0" w:beforeAutospacing="0" w:after="0" w:afterAutospacing="0"/>
        <w:ind w:left="360"/>
        <w:jc w:val="both"/>
        <w:rPr>
          <w:sz w:val="20"/>
          <w:szCs w:val="20"/>
        </w:rPr>
      </w:pPr>
      <w:r>
        <w:rPr>
          <w:sz w:val="20"/>
          <w:szCs w:val="20"/>
        </w:rPr>
        <w:t>The Company, from time to time, repurchases shares of its common stock in amounts that offset new issuances of common stock relating to the exercise of stock options or the issuance of restri</w:t>
      </w:r>
      <w:r>
        <w:rPr>
          <w:sz w:val="20"/>
          <w:szCs w:val="20"/>
        </w:rPr>
        <w:t>cted stock awards. These repurchases</w:t>
      </w:r>
      <w:r>
        <w:rPr>
          <w:sz w:val="20"/>
          <w:szCs w:val="20"/>
        </w:rPr>
        <w:t xml:space="preserve"> </w:t>
      </w:r>
      <w:r>
        <w:rPr>
          <w:rStyle w:val="a6"/>
          <w:i w:val="0"/>
          <w:iCs w:val="0"/>
          <w:sz w:val="20"/>
          <w:szCs w:val="20"/>
        </w:rPr>
        <w:t xml:space="preserve">may </w:t>
      </w:r>
      <w:r>
        <w:rPr>
          <w:sz w:val="20"/>
          <w:szCs w:val="20"/>
        </w:rPr>
        <w:t>occur in open market purchases, privately negotiated transactions or otherwise subject to prevailing market conditions, the Company’s liquidity requirements, contractual restrictions and other factors. During</w:t>
      </w:r>
      <w:r>
        <w:rPr>
          <w:sz w:val="20"/>
          <w:szCs w:val="20"/>
        </w:rPr>
        <w:t xml:space="preserve"> </w:t>
      </w:r>
      <w:r>
        <w:rPr>
          <w:rStyle w:val="a6"/>
          <w:i w:val="0"/>
          <w:iCs w:val="0"/>
          <w:sz w:val="20"/>
          <w:szCs w:val="20"/>
        </w:rPr>
        <w:t>2019,</w:t>
      </w:r>
      <w:r>
        <w:rPr>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the Company repurchased 223,609 shares, 278,566 shares and 232,304 shares, respectively, relating to shares of common stock surrendered to the Company to satisfy statutory minimum tax withholding obligations relating to the vesting of restri</w:t>
      </w:r>
      <w:r>
        <w:rPr>
          <w:sz w:val="20"/>
          <w:szCs w:val="20"/>
        </w:rPr>
        <w:t>cted stock awards under the Company’s equity-based compensation plans.</w:t>
      </w:r>
    </w:p>
    <w:p w14:paraId="07D53B12" w14:textId="77777777" w:rsidR="00000000" w:rsidRDefault="0053651E">
      <w:pPr>
        <w:pStyle w:val="a3"/>
        <w:spacing w:before="0" w:beforeAutospacing="0" w:after="0" w:afterAutospacing="0"/>
        <w:ind w:left="360"/>
        <w:jc w:val="both"/>
        <w:rPr>
          <w:sz w:val="20"/>
          <w:szCs w:val="20"/>
        </w:rPr>
      </w:pPr>
      <w:r>
        <w:rPr>
          <w:sz w:val="20"/>
          <w:szCs w:val="20"/>
        </w:rPr>
        <w:t> </w:t>
      </w:r>
    </w:p>
    <w:p w14:paraId="1A47E6C7" w14:textId="77777777" w:rsidR="00000000" w:rsidRDefault="0053651E">
      <w:pPr>
        <w:pStyle w:val="a3"/>
        <w:spacing w:before="0" w:beforeAutospacing="0" w:after="0" w:afterAutospacing="0"/>
        <w:ind w:left="360"/>
        <w:jc w:val="both"/>
        <w:rPr>
          <w:sz w:val="20"/>
          <w:szCs w:val="20"/>
        </w:rPr>
      </w:pPr>
      <w:r>
        <w:rPr>
          <w:i/>
          <w:iCs/>
          <w:sz w:val="20"/>
          <w:szCs w:val="20"/>
        </w:rPr>
        <w:t>Convertible Units</w:t>
      </w:r>
    </w:p>
    <w:p w14:paraId="536D0D79" w14:textId="77777777" w:rsidR="00000000" w:rsidRDefault="0053651E">
      <w:pPr>
        <w:pStyle w:val="a3"/>
        <w:spacing w:before="0" w:beforeAutospacing="0" w:after="0" w:afterAutospacing="0"/>
        <w:ind w:left="360"/>
        <w:jc w:val="both"/>
        <w:rPr>
          <w:sz w:val="20"/>
          <w:szCs w:val="20"/>
        </w:rPr>
      </w:pPr>
      <w:r>
        <w:rPr>
          <w:sz w:val="20"/>
          <w:szCs w:val="20"/>
        </w:rPr>
        <w:t> </w:t>
      </w:r>
    </w:p>
    <w:p w14:paraId="19AAC91B" w14:textId="77777777" w:rsidR="00000000" w:rsidRDefault="0053651E">
      <w:pPr>
        <w:pStyle w:val="a3"/>
        <w:spacing w:before="0" w:beforeAutospacing="0" w:after="0" w:afterAutospacing="0"/>
        <w:ind w:left="360"/>
        <w:jc w:val="both"/>
        <w:rPr>
          <w:sz w:val="20"/>
          <w:szCs w:val="20"/>
        </w:rPr>
      </w:pPr>
      <w:r>
        <w:rPr>
          <w:sz w:val="20"/>
          <w:szCs w:val="20"/>
        </w:rPr>
        <w:t>The Company has various types of convertible units that were issued in connection with the purchase of operating properties (see Footnote</w:t>
      </w:r>
      <w:r>
        <w:rPr>
          <w:sz w:val="20"/>
          <w:szCs w:val="20"/>
        </w:rPr>
        <w:t xml:space="preserve"> </w:t>
      </w:r>
      <w:r>
        <w:rPr>
          <w:rStyle w:val="a6"/>
          <w:i w:val="0"/>
          <w:iCs w:val="0"/>
          <w:sz w:val="20"/>
          <w:szCs w:val="20"/>
        </w:rPr>
        <w:t>14</w:t>
      </w:r>
      <w:r>
        <w:rPr>
          <w:sz w:val="20"/>
          <w:szCs w:val="20"/>
        </w:rPr>
        <w:t xml:space="preserve"> of the Notes to Consol</w:t>
      </w:r>
      <w:r>
        <w:rPr>
          <w:sz w:val="20"/>
          <w:szCs w:val="20"/>
        </w:rPr>
        <w:t>idated Financial Statements). The amount of consideration that would be paid to unaffiliated holders of units issued from the Company’s consolidated subsidiaries which are</w:t>
      </w:r>
      <w:r>
        <w:rPr>
          <w:sz w:val="20"/>
          <w:szCs w:val="20"/>
        </w:rPr>
        <w:t xml:space="preserve"> </w:t>
      </w:r>
      <w:r>
        <w:rPr>
          <w:rStyle w:val="a6"/>
          <w:i w:val="0"/>
          <w:iCs w:val="0"/>
          <w:sz w:val="20"/>
          <w:szCs w:val="20"/>
        </w:rPr>
        <w:t>not</w:t>
      </w:r>
      <w:r>
        <w:rPr>
          <w:sz w:val="20"/>
          <w:szCs w:val="20"/>
        </w:rPr>
        <w:t xml:space="preserve"> mandatorily redeemable, as if the termination of these consolidated subsidiaries</w:t>
      </w:r>
      <w:r>
        <w:rPr>
          <w:sz w:val="20"/>
          <w:szCs w:val="20"/>
        </w:rPr>
        <w:t xml:space="preserve"> occurred on</w:t>
      </w:r>
      <w:r>
        <w:rPr>
          <w:sz w:val="20"/>
          <w:szCs w:val="20"/>
        </w:rPr>
        <w:t xml:space="preserve"> </w:t>
      </w:r>
      <w:r>
        <w:rPr>
          <w:rStyle w:val="a6"/>
          <w:i w:val="0"/>
          <w:iCs w:val="0"/>
          <w:sz w:val="20"/>
          <w:szCs w:val="20"/>
        </w:rPr>
        <w:t xml:space="preserve">December 31, 2019, </w:t>
      </w:r>
      <w:r>
        <w:rPr>
          <w:sz w:val="20"/>
          <w:szCs w:val="20"/>
        </w:rPr>
        <w:t>is $13.3 million. The Company has the option to settle such redemption in cash or shares of the Company’s common stock. If the Company exercised its right to settle in common stock, the unit holders would receive 0.6 million</w:t>
      </w:r>
      <w:r>
        <w:rPr>
          <w:sz w:val="20"/>
          <w:szCs w:val="20"/>
        </w:rPr>
        <w:t xml:space="preserve"> shares of common stock.</w:t>
      </w:r>
    </w:p>
    <w:p w14:paraId="47F1C4BC" w14:textId="77777777" w:rsidR="00000000" w:rsidRDefault="0053651E">
      <w:pPr>
        <w:pStyle w:val="a3"/>
        <w:spacing w:before="0" w:beforeAutospacing="0" w:after="0" w:afterAutospacing="0"/>
        <w:ind w:left="360"/>
        <w:jc w:val="both"/>
        <w:rPr>
          <w:sz w:val="20"/>
          <w:szCs w:val="20"/>
        </w:rPr>
      </w:pPr>
      <w:r>
        <w:rPr>
          <w:sz w:val="20"/>
          <w:szCs w:val="20"/>
        </w:rPr>
        <w:t> </w:t>
      </w:r>
    </w:p>
    <w:p w14:paraId="2115356B" w14:textId="77777777" w:rsidR="00000000" w:rsidRDefault="0053651E">
      <w:pPr>
        <w:pStyle w:val="a3"/>
        <w:spacing w:before="0" w:beforeAutospacing="0" w:after="0" w:afterAutospacing="0"/>
        <w:ind w:firstLine="360"/>
        <w:jc w:val="both"/>
        <w:rPr>
          <w:sz w:val="20"/>
          <w:szCs w:val="20"/>
        </w:rPr>
      </w:pPr>
      <w:r>
        <w:rPr>
          <w:i/>
          <w:iCs/>
          <w:sz w:val="20"/>
          <w:szCs w:val="20"/>
        </w:rPr>
        <w:t>Dividends Declared</w:t>
      </w:r>
    </w:p>
    <w:p w14:paraId="45AF0A89" w14:textId="77777777" w:rsidR="00000000" w:rsidRDefault="0053651E">
      <w:pPr>
        <w:pStyle w:val="a3"/>
        <w:spacing w:before="0" w:beforeAutospacing="0" w:after="0" w:afterAutospacing="0"/>
        <w:rPr>
          <w:sz w:val="20"/>
          <w:szCs w:val="20"/>
        </w:rPr>
      </w:pPr>
      <w:r>
        <w:rPr>
          <w:sz w:val="20"/>
          <w:szCs w:val="20"/>
        </w:rPr>
        <w:t> </w:t>
      </w:r>
    </w:p>
    <w:p w14:paraId="6733FA3E" w14:textId="77777777" w:rsidR="00000000" w:rsidRDefault="0053651E">
      <w:pPr>
        <w:pStyle w:val="a3"/>
        <w:spacing w:before="0" w:beforeAutospacing="0" w:after="0" w:afterAutospacing="0"/>
        <w:ind w:left="360"/>
        <w:jc w:val="both"/>
        <w:rPr>
          <w:sz w:val="20"/>
          <w:szCs w:val="20"/>
        </w:rPr>
      </w:pPr>
      <w:r>
        <w:rPr>
          <w:sz w:val="20"/>
          <w:szCs w:val="20"/>
        </w:rPr>
        <w:t>The following table provides a summary of the dividends declared per share:</w:t>
      </w:r>
    </w:p>
    <w:p w14:paraId="5013F982"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8"/>
        <w:gridCol w:w="62"/>
        <w:gridCol w:w="100"/>
        <w:gridCol w:w="1050"/>
        <w:gridCol w:w="62"/>
        <w:gridCol w:w="62"/>
        <w:gridCol w:w="100"/>
        <w:gridCol w:w="1050"/>
        <w:gridCol w:w="62"/>
        <w:gridCol w:w="62"/>
        <w:gridCol w:w="100"/>
        <w:gridCol w:w="1050"/>
        <w:gridCol w:w="62"/>
      </w:tblGrid>
      <w:tr w:rsidR="00000000" w14:paraId="19C04F40" w14:textId="77777777">
        <w:trPr>
          <w:tblCellSpacing w:w="0" w:type="dxa"/>
        </w:trPr>
        <w:tc>
          <w:tcPr>
            <w:tcW w:w="0" w:type="auto"/>
            <w:vAlign w:val="bottom"/>
            <w:hideMark/>
          </w:tcPr>
          <w:p w14:paraId="2957DA0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A54044E"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7435DBEE" w14:textId="77777777" w:rsidR="00000000" w:rsidRDefault="0053651E">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14:paraId="5143311F" w14:textId="77777777" w:rsidR="00000000" w:rsidRDefault="0053651E">
            <w:pPr>
              <w:rPr>
                <w:rFonts w:eastAsia="Times New Roman"/>
                <w:sz w:val="20"/>
                <w:szCs w:val="20"/>
              </w:rPr>
            </w:pPr>
            <w:r>
              <w:rPr>
                <w:rFonts w:eastAsia="Times New Roman"/>
                <w:sz w:val="20"/>
                <w:szCs w:val="20"/>
              </w:rPr>
              <w:t> </w:t>
            </w:r>
          </w:p>
        </w:tc>
      </w:tr>
      <w:tr w:rsidR="00000000" w14:paraId="7F6737B2" w14:textId="77777777">
        <w:trPr>
          <w:tblCellSpacing w:w="0" w:type="dxa"/>
        </w:trPr>
        <w:tc>
          <w:tcPr>
            <w:tcW w:w="0" w:type="auto"/>
            <w:vAlign w:val="bottom"/>
            <w:hideMark/>
          </w:tcPr>
          <w:p w14:paraId="01AD0DB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6F2DEB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E5630A1"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B94526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42AF37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ECA19B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A48FE8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D5A8A9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582B59E"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427E3941" w14:textId="77777777" w:rsidR="00000000" w:rsidRDefault="0053651E">
            <w:pPr>
              <w:rPr>
                <w:rFonts w:eastAsia="Times New Roman"/>
                <w:sz w:val="20"/>
                <w:szCs w:val="20"/>
              </w:rPr>
            </w:pPr>
            <w:r>
              <w:rPr>
                <w:rFonts w:eastAsia="Times New Roman"/>
                <w:sz w:val="20"/>
                <w:szCs w:val="20"/>
              </w:rPr>
              <w:t> </w:t>
            </w:r>
          </w:p>
        </w:tc>
      </w:tr>
      <w:tr w:rsidR="00000000" w14:paraId="498A2FB6" w14:textId="77777777">
        <w:trPr>
          <w:tblCellSpacing w:w="0" w:type="dxa"/>
        </w:trPr>
        <w:tc>
          <w:tcPr>
            <w:tcW w:w="2300" w:type="pct"/>
            <w:shd w:val="clear" w:color="auto" w:fill="CCEEFF"/>
            <w:vAlign w:val="bottom"/>
            <w:hideMark/>
          </w:tcPr>
          <w:p w14:paraId="35D093A3" w14:textId="77777777" w:rsidR="00000000" w:rsidRDefault="0053651E">
            <w:pPr>
              <w:pStyle w:val="a3"/>
              <w:spacing w:before="0" w:beforeAutospacing="0" w:after="0" w:afterAutospacing="0"/>
              <w:rPr>
                <w:sz w:val="20"/>
                <w:szCs w:val="20"/>
              </w:rPr>
            </w:pPr>
            <w:r>
              <w:rPr>
                <w:sz w:val="20"/>
                <w:szCs w:val="20"/>
              </w:rPr>
              <w:t>Common Stock</w:t>
            </w:r>
          </w:p>
        </w:tc>
        <w:tc>
          <w:tcPr>
            <w:tcW w:w="50" w:type="pct"/>
            <w:tcBorders>
              <w:bottom w:val="nil"/>
            </w:tcBorders>
            <w:shd w:val="clear" w:color="auto" w:fill="CCEEFF"/>
            <w:vAlign w:val="bottom"/>
            <w:hideMark/>
          </w:tcPr>
          <w:p w14:paraId="1DBCA45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F87191"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1E29C615" w14:textId="77777777" w:rsidR="00000000" w:rsidRDefault="0053651E">
            <w:pPr>
              <w:jc w:val="right"/>
              <w:rPr>
                <w:rFonts w:eastAsia="Times New Roman"/>
                <w:sz w:val="20"/>
                <w:szCs w:val="20"/>
              </w:rPr>
            </w:pPr>
            <w:r>
              <w:rPr>
                <w:rFonts w:eastAsia="Times New Roman"/>
                <w:sz w:val="20"/>
                <w:szCs w:val="20"/>
              </w:rPr>
              <w:t>1.12000</w:t>
            </w:r>
          </w:p>
        </w:tc>
        <w:tc>
          <w:tcPr>
            <w:tcW w:w="50" w:type="pct"/>
            <w:tcBorders>
              <w:bottom w:val="nil"/>
            </w:tcBorders>
            <w:shd w:val="clear" w:color="auto" w:fill="CCEEFF"/>
            <w:vAlign w:val="bottom"/>
            <w:hideMark/>
          </w:tcPr>
          <w:p w14:paraId="43A0D784"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78AC2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716622"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7567D388" w14:textId="77777777" w:rsidR="00000000" w:rsidRDefault="0053651E">
            <w:pPr>
              <w:jc w:val="right"/>
              <w:rPr>
                <w:rFonts w:eastAsia="Times New Roman"/>
                <w:sz w:val="20"/>
                <w:szCs w:val="20"/>
              </w:rPr>
            </w:pPr>
            <w:r>
              <w:rPr>
                <w:rFonts w:eastAsia="Times New Roman"/>
                <w:sz w:val="20"/>
                <w:szCs w:val="20"/>
              </w:rPr>
              <w:t>1.12000</w:t>
            </w:r>
          </w:p>
        </w:tc>
        <w:tc>
          <w:tcPr>
            <w:tcW w:w="50" w:type="pct"/>
            <w:tcBorders>
              <w:bottom w:val="nil"/>
            </w:tcBorders>
            <w:shd w:val="clear" w:color="auto" w:fill="CCEEFF"/>
            <w:vAlign w:val="bottom"/>
            <w:hideMark/>
          </w:tcPr>
          <w:p w14:paraId="2B2AF68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A4159A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8198B74"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7707998F" w14:textId="77777777" w:rsidR="00000000" w:rsidRDefault="0053651E">
            <w:pPr>
              <w:jc w:val="right"/>
              <w:rPr>
                <w:rFonts w:eastAsia="Times New Roman"/>
                <w:sz w:val="20"/>
                <w:szCs w:val="20"/>
              </w:rPr>
            </w:pPr>
            <w:r>
              <w:rPr>
                <w:rFonts w:eastAsia="Times New Roman"/>
                <w:sz w:val="20"/>
                <w:szCs w:val="20"/>
              </w:rPr>
              <w:t>1.09000</w:t>
            </w:r>
          </w:p>
        </w:tc>
        <w:tc>
          <w:tcPr>
            <w:tcW w:w="50" w:type="pct"/>
            <w:tcBorders>
              <w:bottom w:val="nil"/>
            </w:tcBorders>
            <w:shd w:val="clear" w:color="auto" w:fill="CCEEFF"/>
            <w:vAlign w:val="bottom"/>
            <w:hideMark/>
          </w:tcPr>
          <w:p w14:paraId="799AFA88" w14:textId="77777777" w:rsidR="00000000" w:rsidRDefault="0053651E">
            <w:pPr>
              <w:rPr>
                <w:rFonts w:eastAsia="Times New Roman"/>
                <w:sz w:val="20"/>
                <w:szCs w:val="20"/>
              </w:rPr>
            </w:pPr>
            <w:r>
              <w:rPr>
                <w:rFonts w:eastAsia="Times New Roman"/>
                <w:sz w:val="20"/>
                <w:szCs w:val="20"/>
              </w:rPr>
              <w:t> </w:t>
            </w:r>
          </w:p>
        </w:tc>
      </w:tr>
      <w:tr w:rsidR="00000000" w14:paraId="45B51375" w14:textId="77777777">
        <w:trPr>
          <w:tblCellSpacing w:w="0" w:type="dxa"/>
        </w:trPr>
        <w:tc>
          <w:tcPr>
            <w:tcW w:w="0" w:type="auto"/>
            <w:shd w:val="clear" w:color="auto" w:fill="FFFFFF"/>
            <w:vAlign w:val="bottom"/>
            <w:hideMark/>
          </w:tcPr>
          <w:p w14:paraId="55554025" w14:textId="77777777" w:rsidR="00000000" w:rsidRDefault="0053651E">
            <w:pPr>
              <w:pStyle w:val="a3"/>
              <w:spacing w:before="0" w:beforeAutospacing="0" w:after="0" w:afterAutospacing="0"/>
              <w:rPr>
                <w:sz w:val="20"/>
                <w:szCs w:val="20"/>
              </w:rPr>
            </w:pPr>
            <w:r>
              <w:rPr>
                <w:sz w:val="20"/>
                <w:szCs w:val="20"/>
              </w:rPr>
              <w:t>Class I Depositary Shares</w:t>
            </w:r>
          </w:p>
        </w:tc>
        <w:tc>
          <w:tcPr>
            <w:tcW w:w="0" w:type="auto"/>
            <w:shd w:val="clear" w:color="auto" w:fill="FFFFFF"/>
            <w:vAlign w:val="bottom"/>
            <w:hideMark/>
          </w:tcPr>
          <w:p w14:paraId="428A9BE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C3CFE" w14:textId="77777777" w:rsidR="00000000" w:rsidRDefault="0053651E">
            <w:pPr>
              <w:rPr>
                <w:rFonts w:eastAsia="Times New Roman"/>
                <w:sz w:val="20"/>
                <w:szCs w:val="20"/>
              </w:rPr>
            </w:pPr>
            <w:r>
              <w:rPr>
                <w:rFonts w:eastAsia="Times New Roman"/>
                <w:sz w:val="20"/>
                <w:szCs w:val="20"/>
              </w:rPr>
              <w:t>$</w:t>
            </w:r>
          </w:p>
        </w:tc>
        <w:tc>
          <w:tcPr>
            <w:tcW w:w="0" w:type="auto"/>
            <w:shd w:val="clear" w:color="auto" w:fill="FFFFFF"/>
            <w:vAlign w:val="bottom"/>
            <w:hideMark/>
          </w:tcPr>
          <w:p w14:paraId="510CC612" w14:textId="77777777" w:rsidR="00000000" w:rsidRDefault="0053651E">
            <w:pPr>
              <w:jc w:val="right"/>
              <w:rPr>
                <w:rFonts w:eastAsia="Times New Roman"/>
                <w:sz w:val="20"/>
                <w:szCs w:val="20"/>
              </w:rPr>
            </w:pPr>
            <w:r>
              <w:rPr>
                <w:rFonts w:eastAsia="Times New Roman"/>
                <w:sz w:val="20"/>
                <w:szCs w:val="20"/>
              </w:rPr>
              <w:t>0.99583</w:t>
            </w:r>
          </w:p>
        </w:tc>
        <w:tc>
          <w:tcPr>
            <w:tcW w:w="0" w:type="auto"/>
            <w:shd w:val="clear" w:color="auto" w:fill="FFFFFF"/>
            <w:vAlign w:val="bottom"/>
            <w:hideMark/>
          </w:tcPr>
          <w:p w14:paraId="72178C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7C0D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192D82"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76F398B5" w14:textId="77777777" w:rsidR="00000000" w:rsidRDefault="0053651E">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14:paraId="7A3658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F5E2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FD8017"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3827C72D" w14:textId="77777777" w:rsidR="00000000" w:rsidRDefault="0053651E">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14:paraId="6910D480" w14:textId="77777777" w:rsidR="00000000" w:rsidRDefault="0053651E">
            <w:pPr>
              <w:rPr>
                <w:rFonts w:eastAsia="Times New Roman"/>
                <w:sz w:val="20"/>
                <w:szCs w:val="20"/>
              </w:rPr>
            </w:pPr>
            <w:r>
              <w:rPr>
                <w:rFonts w:eastAsia="Times New Roman"/>
                <w:sz w:val="20"/>
                <w:szCs w:val="20"/>
              </w:rPr>
              <w:t> </w:t>
            </w:r>
          </w:p>
        </w:tc>
      </w:tr>
      <w:tr w:rsidR="00000000" w14:paraId="16301CB7" w14:textId="77777777">
        <w:trPr>
          <w:tblCellSpacing w:w="0" w:type="dxa"/>
        </w:trPr>
        <w:tc>
          <w:tcPr>
            <w:tcW w:w="0" w:type="auto"/>
            <w:shd w:val="clear" w:color="auto" w:fill="CCEEFF"/>
            <w:vAlign w:val="bottom"/>
            <w:hideMark/>
          </w:tcPr>
          <w:p w14:paraId="4EB84AFE" w14:textId="77777777" w:rsidR="00000000" w:rsidRDefault="0053651E">
            <w:pPr>
              <w:pStyle w:val="a3"/>
              <w:spacing w:before="0" w:beforeAutospacing="0" w:after="0" w:afterAutospacing="0"/>
              <w:rPr>
                <w:sz w:val="20"/>
                <w:szCs w:val="20"/>
              </w:rPr>
            </w:pPr>
            <w:r>
              <w:rPr>
                <w:sz w:val="20"/>
                <w:szCs w:val="20"/>
              </w:rPr>
              <w:t>Class I Depositary Shares Redeemed</w:t>
            </w:r>
          </w:p>
        </w:tc>
        <w:tc>
          <w:tcPr>
            <w:tcW w:w="50" w:type="pct"/>
            <w:shd w:val="clear" w:color="auto" w:fill="CCEEFF"/>
            <w:vAlign w:val="bottom"/>
            <w:hideMark/>
          </w:tcPr>
          <w:p w14:paraId="0F21C3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613491"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352A4EC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31D19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6E3B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EA353C"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6509360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69C4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9860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CDDE44"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19D4C96C" w14:textId="77777777" w:rsidR="00000000" w:rsidRDefault="0053651E">
            <w:pPr>
              <w:jc w:val="right"/>
              <w:rPr>
                <w:rFonts w:eastAsia="Times New Roman"/>
                <w:sz w:val="20"/>
                <w:szCs w:val="20"/>
              </w:rPr>
            </w:pPr>
            <w:r>
              <w:rPr>
                <w:rFonts w:eastAsia="Times New Roman"/>
                <w:sz w:val="20"/>
                <w:szCs w:val="20"/>
              </w:rPr>
              <w:t>0.96250</w:t>
            </w:r>
          </w:p>
        </w:tc>
        <w:tc>
          <w:tcPr>
            <w:tcW w:w="50" w:type="pct"/>
            <w:shd w:val="clear" w:color="auto" w:fill="CCEEFF"/>
            <w:vAlign w:val="bottom"/>
            <w:hideMark/>
          </w:tcPr>
          <w:p w14:paraId="133FEB3C" w14:textId="77777777" w:rsidR="00000000" w:rsidRDefault="0053651E">
            <w:pPr>
              <w:rPr>
                <w:rFonts w:eastAsia="Times New Roman"/>
                <w:sz w:val="20"/>
                <w:szCs w:val="20"/>
              </w:rPr>
            </w:pPr>
            <w:r>
              <w:rPr>
                <w:rFonts w:eastAsia="Times New Roman"/>
                <w:sz w:val="20"/>
                <w:szCs w:val="20"/>
              </w:rPr>
              <w:t> </w:t>
            </w:r>
          </w:p>
        </w:tc>
      </w:tr>
      <w:tr w:rsidR="00000000" w14:paraId="5A4F4E76" w14:textId="77777777">
        <w:trPr>
          <w:tblCellSpacing w:w="0" w:type="dxa"/>
        </w:trPr>
        <w:tc>
          <w:tcPr>
            <w:tcW w:w="0" w:type="auto"/>
            <w:shd w:val="clear" w:color="auto" w:fill="FFFFFF"/>
            <w:vAlign w:val="bottom"/>
            <w:hideMark/>
          </w:tcPr>
          <w:p w14:paraId="4ECA49A2" w14:textId="77777777" w:rsidR="00000000" w:rsidRDefault="0053651E">
            <w:pPr>
              <w:pStyle w:val="a3"/>
              <w:spacing w:before="0" w:beforeAutospacing="0" w:after="0" w:afterAutospacing="0"/>
              <w:rPr>
                <w:sz w:val="20"/>
                <w:szCs w:val="20"/>
              </w:rPr>
            </w:pPr>
            <w:r>
              <w:rPr>
                <w:sz w:val="20"/>
                <w:szCs w:val="20"/>
              </w:rPr>
              <w:t>Class J Depositary Shares</w:t>
            </w:r>
          </w:p>
        </w:tc>
        <w:tc>
          <w:tcPr>
            <w:tcW w:w="50" w:type="pct"/>
            <w:shd w:val="clear" w:color="auto" w:fill="FFFFFF"/>
            <w:vAlign w:val="bottom"/>
            <w:hideMark/>
          </w:tcPr>
          <w:p w14:paraId="4177AB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023EA1"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1C29691A" w14:textId="77777777" w:rsidR="00000000" w:rsidRDefault="0053651E">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14:paraId="7BB1D0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018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13E76"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5E95F2D5" w14:textId="77777777" w:rsidR="00000000" w:rsidRDefault="0053651E">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14:paraId="3991B7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3ADA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E361B5"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40282E34" w14:textId="77777777" w:rsidR="00000000" w:rsidRDefault="0053651E">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14:paraId="60814560" w14:textId="77777777" w:rsidR="00000000" w:rsidRDefault="0053651E">
            <w:pPr>
              <w:rPr>
                <w:rFonts w:eastAsia="Times New Roman"/>
                <w:sz w:val="20"/>
                <w:szCs w:val="20"/>
              </w:rPr>
            </w:pPr>
            <w:r>
              <w:rPr>
                <w:rFonts w:eastAsia="Times New Roman"/>
                <w:sz w:val="20"/>
                <w:szCs w:val="20"/>
              </w:rPr>
              <w:t> </w:t>
            </w:r>
          </w:p>
        </w:tc>
      </w:tr>
      <w:tr w:rsidR="00000000" w14:paraId="3C4E9C19" w14:textId="77777777">
        <w:trPr>
          <w:tblCellSpacing w:w="0" w:type="dxa"/>
        </w:trPr>
        <w:tc>
          <w:tcPr>
            <w:tcW w:w="0" w:type="auto"/>
            <w:shd w:val="clear" w:color="auto" w:fill="CCEEFF"/>
            <w:vAlign w:val="bottom"/>
            <w:hideMark/>
          </w:tcPr>
          <w:p w14:paraId="2F81F5DC" w14:textId="77777777" w:rsidR="00000000" w:rsidRDefault="0053651E">
            <w:pPr>
              <w:pStyle w:val="a3"/>
              <w:spacing w:before="0" w:beforeAutospacing="0" w:after="0" w:afterAutospacing="0"/>
              <w:rPr>
                <w:sz w:val="20"/>
                <w:szCs w:val="20"/>
              </w:rPr>
            </w:pPr>
            <w:r>
              <w:rPr>
                <w:sz w:val="20"/>
                <w:szCs w:val="20"/>
              </w:rPr>
              <w:t>Class K Depositary Shares</w:t>
            </w:r>
          </w:p>
        </w:tc>
        <w:tc>
          <w:tcPr>
            <w:tcW w:w="0" w:type="auto"/>
            <w:shd w:val="clear" w:color="auto" w:fill="CCEEFF"/>
            <w:vAlign w:val="bottom"/>
            <w:hideMark/>
          </w:tcPr>
          <w:p w14:paraId="27C1CF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0DA34" w14:textId="77777777" w:rsidR="00000000" w:rsidRDefault="0053651E">
            <w:pPr>
              <w:rPr>
                <w:rFonts w:eastAsia="Times New Roman"/>
                <w:sz w:val="20"/>
                <w:szCs w:val="20"/>
              </w:rPr>
            </w:pPr>
            <w:r>
              <w:rPr>
                <w:rFonts w:eastAsia="Times New Roman"/>
                <w:sz w:val="20"/>
                <w:szCs w:val="20"/>
              </w:rPr>
              <w:t>$</w:t>
            </w:r>
          </w:p>
        </w:tc>
        <w:tc>
          <w:tcPr>
            <w:tcW w:w="0" w:type="auto"/>
            <w:shd w:val="clear" w:color="auto" w:fill="CCEEFF"/>
            <w:vAlign w:val="bottom"/>
            <w:hideMark/>
          </w:tcPr>
          <w:p w14:paraId="3FFFCBCA" w14:textId="77777777" w:rsidR="00000000" w:rsidRDefault="0053651E">
            <w:pPr>
              <w:jc w:val="right"/>
              <w:rPr>
                <w:rFonts w:eastAsia="Times New Roman"/>
                <w:sz w:val="20"/>
                <w:szCs w:val="20"/>
              </w:rPr>
            </w:pPr>
            <w:r>
              <w:rPr>
                <w:rFonts w:eastAsia="Times New Roman"/>
                <w:sz w:val="20"/>
                <w:szCs w:val="20"/>
              </w:rPr>
              <w:t>0.93359</w:t>
            </w:r>
          </w:p>
        </w:tc>
        <w:tc>
          <w:tcPr>
            <w:tcW w:w="0" w:type="auto"/>
            <w:shd w:val="clear" w:color="auto" w:fill="CCEEFF"/>
            <w:vAlign w:val="bottom"/>
            <w:hideMark/>
          </w:tcPr>
          <w:p w14:paraId="5339E8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98D0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9C7A6"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44BD06A4" w14:textId="77777777" w:rsidR="00000000" w:rsidRDefault="0053651E">
            <w:pPr>
              <w:jc w:val="right"/>
              <w:rPr>
                <w:rFonts w:eastAsia="Times New Roman"/>
                <w:sz w:val="20"/>
                <w:szCs w:val="20"/>
              </w:rPr>
            </w:pPr>
            <w:r>
              <w:rPr>
                <w:rFonts w:eastAsia="Times New Roman"/>
                <w:sz w:val="20"/>
                <w:szCs w:val="20"/>
              </w:rPr>
              <w:t>1.40625</w:t>
            </w:r>
          </w:p>
        </w:tc>
        <w:tc>
          <w:tcPr>
            <w:tcW w:w="50" w:type="pct"/>
            <w:shd w:val="clear" w:color="auto" w:fill="CCEEFF"/>
            <w:vAlign w:val="bottom"/>
            <w:hideMark/>
          </w:tcPr>
          <w:p w14:paraId="22B4AB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252D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588162"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7F683848" w14:textId="77777777" w:rsidR="00000000" w:rsidRDefault="0053651E">
            <w:pPr>
              <w:jc w:val="right"/>
              <w:rPr>
                <w:rFonts w:eastAsia="Times New Roman"/>
                <w:sz w:val="20"/>
                <w:szCs w:val="20"/>
              </w:rPr>
            </w:pPr>
            <w:r>
              <w:rPr>
                <w:rFonts w:eastAsia="Times New Roman"/>
                <w:sz w:val="20"/>
                <w:szCs w:val="20"/>
              </w:rPr>
              <w:t>1.40625</w:t>
            </w:r>
          </w:p>
        </w:tc>
        <w:tc>
          <w:tcPr>
            <w:tcW w:w="50" w:type="pct"/>
            <w:shd w:val="clear" w:color="auto" w:fill="CCEEFF"/>
            <w:vAlign w:val="bottom"/>
            <w:hideMark/>
          </w:tcPr>
          <w:p w14:paraId="5C441E63" w14:textId="77777777" w:rsidR="00000000" w:rsidRDefault="0053651E">
            <w:pPr>
              <w:rPr>
                <w:rFonts w:eastAsia="Times New Roman"/>
                <w:sz w:val="20"/>
                <w:szCs w:val="20"/>
              </w:rPr>
            </w:pPr>
            <w:r>
              <w:rPr>
                <w:rFonts w:eastAsia="Times New Roman"/>
                <w:sz w:val="20"/>
                <w:szCs w:val="20"/>
              </w:rPr>
              <w:t> </w:t>
            </w:r>
          </w:p>
        </w:tc>
      </w:tr>
      <w:tr w:rsidR="00000000" w14:paraId="1CAD0E0F" w14:textId="77777777">
        <w:trPr>
          <w:tblCellSpacing w:w="0" w:type="dxa"/>
        </w:trPr>
        <w:tc>
          <w:tcPr>
            <w:tcW w:w="0" w:type="auto"/>
            <w:shd w:val="clear" w:color="auto" w:fill="FFFFFF"/>
            <w:vAlign w:val="bottom"/>
            <w:hideMark/>
          </w:tcPr>
          <w:p w14:paraId="2EC746A5" w14:textId="77777777" w:rsidR="00000000" w:rsidRDefault="0053651E">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14:paraId="2DEE00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9369A9"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184928E0" w14:textId="77777777" w:rsidR="00000000" w:rsidRDefault="0053651E">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14:paraId="49B1E0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0C16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C1C6D9"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2EF631FF" w14:textId="77777777" w:rsidR="00000000" w:rsidRDefault="0053651E">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14:paraId="35E8E2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3A7A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8792C6" w14:textId="77777777" w:rsidR="00000000" w:rsidRDefault="0053651E">
            <w:pPr>
              <w:rPr>
                <w:rFonts w:eastAsia="Times New Roman"/>
                <w:sz w:val="20"/>
                <w:szCs w:val="20"/>
              </w:rPr>
            </w:pPr>
            <w:r>
              <w:rPr>
                <w:rFonts w:eastAsia="Times New Roman"/>
                <w:sz w:val="20"/>
                <w:szCs w:val="20"/>
              </w:rPr>
              <w:t>$</w:t>
            </w:r>
          </w:p>
        </w:tc>
        <w:tc>
          <w:tcPr>
            <w:tcW w:w="750" w:type="pct"/>
            <w:shd w:val="clear" w:color="auto" w:fill="FFFFFF"/>
            <w:vAlign w:val="bottom"/>
            <w:hideMark/>
          </w:tcPr>
          <w:p w14:paraId="64169BC1" w14:textId="77777777" w:rsidR="00000000" w:rsidRDefault="0053651E">
            <w:pPr>
              <w:jc w:val="right"/>
              <w:rPr>
                <w:rFonts w:eastAsia="Times New Roman"/>
                <w:sz w:val="20"/>
                <w:szCs w:val="20"/>
              </w:rPr>
            </w:pPr>
            <w:r>
              <w:rPr>
                <w:rFonts w:eastAsia="Times New Roman"/>
                <w:sz w:val="20"/>
                <w:szCs w:val="20"/>
              </w:rPr>
              <w:t>0.48047</w:t>
            </w:r>
          </w:p>
        </w:tc>
        <w:tc>
          <w:tcPr>
            <w:tcW w:w="50" w:type="pct"/>
            <w:shd w:val="clear" w:color="auto" w:fill="FFFFFF"/>
            <w:vAlign w:val="bottom"/>
            <w:hideMark/>
          </w:tcPr>
          <w:p w14:paraId="5262358C" w14:textId="77777777" w:rsidR="00000000" w:rsidRDefault="0053651E">
            <w:pPr>
              <w:rPr>
                <w:rFonts w:eastAsia="Times New Roman"/>
                <w:sz w:val="20"/>
                <w:szCs w:val="20"/>
              </w:rPr>
            </w:pPr>
            <w:r>
              <w:rPr>
                <w:rFonts w:eastAsia="Times New Roman"/>
                <w:sz w:val="20"/>
                <w:szCs w:val="20"/>
              </w:rPr>
              <w:t> </w:t>
            </w:r>
          </w:p>
        </w:tc>
      </w:tr>
      <w:tr w:rsidR="00000000" w14:paraId="6BCD27BF" w14:textId="77777777">
        <w:trPr>
          <w:tblCellSpacing w:w="0" w:type="dxa"/>
        </w:trPr>
        <w:tc>
          <w:tcPr>
            <w:tcW w:w="0" w:type="auto"/>
            <w:shd w:val="clear" w:color="auto" w:fill="CCEEFF"/>
            <w:vAlign w:val="bottom"/>
            <w:hideMark/>
          </w:tcPr>
          <w:p w14:paraId="360112E4" w14:textId="77777777" w:rsidR="00000000" w:rsidRDefault="0053651E">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14:paraId="623E8C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A38B6B"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61283B32" w14:textId="77777777" w:rsidR="00000000" w:rsidRDefault="0053651E">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14:paraId="5F73D7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1606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164BEF"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046BE2C6" w14:textId="77777777" w:rsidR="00000000" w:rsidRDefault="0053651E">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14:paraId="39E77C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9977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86C945" w14:textId="77777777" w:rsidR="00000000" w:rsidRDefault="0053651E">
            <w:pPr>
              <w:rPr>
                <w:rFonts w:eastAsia="Times New Roman"/>
                <w:sz w:val="20"/>
                <w:szCs w:val="20"/>
              </w:rPr>
            </w:pPr>
            <w:r>
              <w:rPr>
                <w:rFonts w:eastAsia="Times New Roman"/>
                <w:sz w:val="20"/>
                <w:szCs w:val="20"/>
              </w:rPr>
              <w:t>$</w:t>
            </w:r>
          </w:p>
        </w:tc>
        <w:tc>
          <w:tcPr>
            <w:tcW w:w="750" w:type="pct"/>
            <w:shd w:val="clear" w:color="auto" w:fill="CCEEFF"/>
            <w:vAlign w:val="bottom"/>
            <w:hideMark/>
          </w:tcPr>
          <w:p w14:paraId="3FE4128A" w14:textId="77777777" w:rsidR="00000000" w:rsidRDefault="0053651E">
            <w:pPr>
              <w:jc w:val="right"/>
              <w:rPr>
                <w:rFonts w:eastAsia="Times New Roman"/>
                <w:sz w:val="20"/>
                <w:szCs w:val="20"/>
              </w:rPr>
            </w:pPr>
            <w:r>
              <w:rPr>
                <w:rFonts w:eastAsia="Times New Roman"/>
                <w:sz w:val="20"/>
                <w:szCs w:val="20"/>
              </w:rPr>
              <w:t>0.04010</w:t>
            </w:r>
          </w:p>
        </w:tc>
        <w:tc>
          <w:tcPr>
            <w:tcW w:w="50" w:type="pct"/>
            <w:shd w:val="clear" w:color="auto" w:fill="CCEEFF"/>
            <w:vAlign w:val="bottom"/>
            <w:hideMark/>
          </w:tcPr>
          <w:p w14:paraId="2BA81F7F" w14:textId="77777777" w:rsidR="00000000" w:rsidRDefault="0053651E">
            <w:pPr>
              <w:rPr>
                <w:rFonts w:eastAsia="Times New Roman"/>
                <w:sz w:val="20"/>
                <w:szCs w:val="20"/>
              </w:rPr>
            </w:pPr>
            <w:r>
              <w:rPr>
                <w:rFonts w:eastAsia="Times New Roman"/>
                <w:sz w:val="20"/>
                <w:szCs w:val="20"/>
              </w:rPr>
              <w:t> </w:t>
            </w:r>
          </w:p>
        </w:tc>
      </w:tr>
    </w:tbl>
    <w:p w14:paraId="387AB7B5" w14:textId="77777777" w:rsidR="00000000" w:rsidRDefault="0053651E">
      <w:pPr>
        <w:pStyle w:val="a3"/>
        <w:spacing w:before="0" w:beforeAutospacing="0" w:after="0" w:afterAutospacing="0"/>
        <w:ind w:left="360"/>
        <w:jc w:val="both"/>
        <w:rPr>
          <w:sz w:val="20"/>
          <w:szCs w:val="20"/>
        </w:rPr>
      </w:pPr>
      <w:r>
        <w:rPr>
          <w:sz w:val="20"/>
          <w:szCs w:val="20"/>
        </w:rPr>
        <w:t> </w:t>
      </w:r>
    </w:p>
    <w:p w14:paraId="56E67531" w14:textId="77777777" w:rsidR="00000000" w:rsidRDefault="0053651E">
      <w:pPr>
        <w:jc w:val="center"/>
        <w:divId w:val="1858691606"/>
        <w:rPr>
          <w:rFonts w:eastAsia="Times New Roman"/>
          <w:sz w:val="20"/>
          <w:szCs w:val="20"/>
        </w:rPr>
      </w:pPr>
      <w:r>
        <w:rPr>
          <w:rStyle w:val="a6"/>
          <w:rFonts w:eastAsia="Times New Roman"/>
          <w:i w:val="0"/>
          <w:iCs w:val="0"/>
          <w:sz w:val="20"/>
          <w:szCs w:val="20"/>
        </w:rPr>
        <w:t>77</w:t>
      </w:r>
      <w:r>
        <w:rPr>
          <w:rFonts w:eastAsia="Times New Roman"/>
          <w:sz w:val="20"/>
          <w:szCs w:val="20"/>
        </w:rPr>
        <w:t xml:space="preserve"> </w:t>
      </w:r>
    </w:p>
    <w:p w14:paraId="622ABBDB" w14:textId="77777777" w:rsidR="00000000" w:rsidRDefault="0053651E">
      <w:pPr>
        <w:divId w:val="1858691606"/>
        <w:rPr>
          <w:rFonts w:eastAsia="Times New Roman"/>
          <w:sz w:val="20"/>
          <w:szCs w:val="20"/>
        </w:rPr>
      </w:pPr>
      <w:r>
        <w:rPr>
          <w:rFonts w:eastAsia="Times New Roman"/>
          <w:sz w:val="20"/>
          <w:szCs w:val="20"/>
        </w:rPr>
        <w:pict w14:anchorId="6C82C58C">
          <v:rect id="_x0000_i1108" style="width:415.3pt;height:1.5pt" o:hralign="center" o:hrstd="t" o:hrnoshade="t" o:hr="t" fillcolor="black" stroked="f"/>
        </w:pict>
      </w:r>
    </w:p>
    <w:p w14:paraId="1C759F58" w14:textId="77777777" w:rsidR="00000000" w:rsidRDefault="0053651E">
      <w:pPr>
        <w:divId w:val="18586916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76EC430" w14:textId="77777777" w:rsidR="00000000" w:rsidRDefault="0053651E">
      <w:pPr>
        <w:pStyle w:val="a3"/>
        <w:spacing w:before="0" w:beforeAutospacing="0" w:after="0" w:afterAutospacing="0"/>
        <w:rPr>
          <w:sz w:val="20"/>
          <w:szCs w:val="20"/>
        </w:rPr>
      </w:pPr>
      <w:r>
        <w:rPr>
          <w:sz w:val="20"/>
          <w:szCs w:val="20"/>
        </w:rPr>
        <w:t> </w:t>
      </w:r>
    </w:p>
    <w:p w14:paraId="1F6961B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28D79CFA" w14:textId="77777777" w:rsidR="00000000" w:rsidRDefault="0053651E">
      <w:pPr>
        <w:pStyle w:val="a3"/>
        <w:spacing w:before="0" w:beforeAutospacing="0" w:after="0" w:afterAutospacing="0"/>
        <w:jc w:val="center"/>
        <w:rPr>
          <w:sz w:val="20"/>
          <w:szCs w:val="20"/>
        </w:rPr>
      </w:pPr>
      <w:r>
        <w:rPr>
          <w:sz w:val="20"/>
          <w:szCs w:val="20"/>
        </w:rPr>
        <w:t> </w:t>
      </w:r>
    </w:p>
    <w:p w14:paraId="72ADEC52"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15500D43" w14:textId="77777777" w:rsidR="00000000" w:rsidRDefault="0053651E">
      <w:pPr>
        <w:pStyle w:val="a3"/>
        <w:spacing w:before="0" w:beforeAutospacing="0" w:after="0" w:afterAutospacing="0"/>
        <w:rPr>
          <w:sz w:val="20"/>
          <w:szCs w:val="20"/>
        </w:rPr>
      </w:pPr>
      <w:r>
        <w:rPr>
          <w:sz w:val="20"/>
          <w:szCs w:val="20"/>
        </w:rPr>
        <w:t> </w:t>
      </w:r>
    </w:p>
    <w:p w14:paraId="3B198667" w14:textId="77777777" w:rsidR="00000000" w:rsidRDefault="0053651E">
      <w:pPr>
        <w:divId w:val="55512383"/>
        <w:rPr>
          <w:rFonts w:eastAsia="Times New Roman"/>
          <w:sz w:val="20"/>
          <w:szCs w:val="20"/>
        </w:rPr>
      </w:pPr>
      <w:r>
        <w:rPr>
          <w:rFonts w:eastAsia="Times New Roman"/>
          <w:sz w:val="20"/>
          <w:szCs w:val="20"/>
        </w:rPr>
        <w:t xml:space="preserve">  </w:t>
      </w:r>
    </w:p>
    <w:p w14:paraId="5D45E6B2"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17.</w:t>
      </w:r>
      <w:r>
        <w:rPr>
          <w:sz w:val="20"/>
          <w:szCs w:val="20"/>
        </w:rPr>
        <w:t>  </w:t>
      </w:r>
      <w:r>
        <w:rPr>
          <w:sz w:val="20"/>
          <w:szCs w:val="20"/>
          <w:u w:val="single"/>
        </w:rPr>
        <w:t>Supplemental Schedule of Non-Cash Investing/Financing Activities</w:t>
      </w:r>
      <w:r>
        <w:rPr>
          <w:sz w:val="20"/>
          <w:szCs w:val="20"/>
        </w:rPr>
        <w:t>:</w:t>
      </w:r>
    </w:p>
    <w:p w14:paraId="5DB02D3A" w14:textId="77777777" w:rsidR="00000000" w:rsidRDefault="0053651E">
      <w:pPr>
        <w:pStyle w:val="a3"/>
        <w:spacing w:before="0" w:beforeAutospacing="0" w:after="0" w:afterAutospacing="0"/>
        <w:ind w:left="360"/>
        <w:jc w:val="both"/>
        <w:rPr>
          <w:sz w:val="20"/>
          <w:szCs w:val="20"/>
        </w:rPr>
      </w:pPr>
      <w:r>
        <w:rPr>
          <w:sz w:val="20"/>
          <w:szCs w:val="20"/>
        </w:rPr>
        <w:t> </w:t>
      </w:r>
    </w:p>
    <w:p w14:paraId="4AC3FFDB" w14:textId="77777777" w:rsidR="00000000" w:rsidRDefault="0053651E">
      <w:pPr>
        <w:pStyle w:val="a3"/>
        <w:spacing w:before="0" w:beforeAutospacing="0" w:after="0" w:afterAutospacing="0"/>
        <w:ind w:left="360"/>
        <w:jc w:val="both"/>
        <w:rPr>
          <w:sz w:val="20"/>
          <w:szCs w:val="20"/>
        </w:rPr>
      </w:pPr>
      <w:r>
        <w:rPr>
          <w:sz w:val="20"/>
          <w:szCs w:val="20"/>
        </w:rPr>
        <w:t>The following schedule summarizes the non-cash investing and financing activities of the Company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(in thousands):</w:t>
      </w:r>
    </w:p>
    <w:p w14:paraId="5C3B6314"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570"/>
        <w:gridCol w:w="72"/>
        <w:gridCol w:w="100"/>
        <w:gridCol w:w="861"/>
        <w:gridCol w:w="72"/>
        <w:gridCol w:w="73"/>
        <w:gridCol w:w="100"/>
        <w:gridCol w:w="862"/>
        <w:gridCol w:w="73"/>
        <w:gridCol w:w="73"/>
        <w:gridCol w:w="100"/>
        <w:gridCol w:w="862"/>
        <w:gridCol w:w="73"/>
      </w:tblGrid>
      <w:tr w:rsidR="00000000" w14:paraId="332905BC" w14:textId="77777777">
        <w:trPr>
          <w:tblCellSpacing w:w="0" w:type="dxa"/>
        </w:trPr>
        <w:tc>
          <w:tcPr>
            <w:tcW w:w="0" w:type="auto"/>
            <w:vAlign w:val="bottom"/>
            <w:hideMark/>
          </w:tcPr>
          <w:p w14:paraId="6D54CD0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94A92C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CEDEBA1"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E756BA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9B0FD8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5FA0B1E"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4893BD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FCA6F7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2219F1"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0B4A0EDE" w14:textId="77777777" w:rsidR="00000000" w:rsidRDefault="0053651E">
            <w:pPr>
              <w:rPr>
                <w:rFonts w:eastAsia="Times New Roman"/>
                <w:sz w:val="20"/>
                <w:szCs w:val="20"/>
              </w:rPr>
            </w:pPr>
            <w:r>
              <w:rPr>
                <w:rFonts w:eastAsia="Times New Roman"/>
                <w:sz w:val="20"/>
                <w:szCs w:val="20"/>
              </w:rPr>
              <w:t> </w:t>
            </w:r>
          </w:p>
        </w:tc>
      </w:tr>
      <w:tr w:rsidR="00000000" w14:paraId="13F499A5" w14:textId="77777777">
        <w:trPr>
          <w:tblCellSpacing w:w="0" w:type="dxa"/>
        </w:trPr>
        <w:tc>
          <w:tcPr>
            <w:tcW w:w="2900" w:type="pct"/>
            <w:shd w:val="clear" w:color="auto" w:fill="CCEEFF"/>
            <w:vAlign w:val="bottom"/>
            <w:hideMark/>
          </w:tcPr>
          <w:p w14:paraId="47CDC1C8" w14:textId="77777777" w:rsidR="00000000" w:rsidRDefault="0053651E">
            <w:pPr>
              <w:pStyle w:val="a3"/>
              <w:spacing w:before="0" w:beforeAutospacing="0" w:after="0" w:afterAutospacing="0"/>
              <w:rPr>
                <w:sz w:val="20"/>
                <w:szCs w:val="20"/>
              </w:rPr>
            </w:pPr>
            <w:r>
              <w:rPr>
                <w:sz w:val="20"/>
                <w:szCs w:val="20"/>
              </w:rPr>
              <w:t>Acquisition of real estate interests by assumption of mortgage debt</w:t>
            </w:r>
          </w:p>
        </w:tc>
        <w:tc>
          <w:tcPr>
            <w:tcW w:w="50" w:type="pct"/>
            <w:tcBorders>
              <w:bottom w:val="nil"/>
            </w:tcBorders>
            <w:shd w:val="clear" w:color="auto" w:fill="CCEEFF"/>
            <w:vAlign w:val="bottom"/>
            <w:hideMark/>
          </w:tcPr>
          <w:p w14:paraId="3B8FF03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C006B85" w14:textId="77777777" w:rsidR="00000000" w:rsidRDefault="0053651E">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57297D7F" w14:textId="77777777" w:rsidR="00000000" w:rsidRDefault="0053651E">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6DC0431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DB581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0CE8EB9" w14:textId="77777777" w:rsidR="00000000" w:rsidRDefault="0053651E">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5F45FD10" w14:textId="77777777" w:rsidR="00000000" w:rsidRDefault="0053651E">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1B0A2EF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B7D57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78581CF" w14:textId="77777777" w:rsidR="00000000" w:rsidRDefault="0053651E">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37D1CFF8" w14:textId="77777777" w:rsidR="00000000" w:rsidRDefault="0053651E">
            <w:pPr>
              <w:jc w:val="right"/>
              <w:rPr>
                <w:rFonts w:eastAsia="Times New Roman"/>
                <w:sz w:val="20"/>
                <w:szCs w:val="20"/>
              </w:rPr>
            </w:pPr>
            <w:r>
              <w:rPr>
                <w:rFonts w:eastAsia="Times New Roman"/>
                <w:sz w:val="20"/>
                <w:szCs w:val="20"/>
              </w:rPr>
              <w:t>45,299</w:t>
            </w:r>
          </w:p>
        </w:tc>
        <w:tc>
          <w:tcPr>
            <w:tcW w:w="50" w:type="pct"/>
            <w:tcBorders>
              <w:bottom w:val="nil"/>
            </w:tcBorders>
            <w:shd w:val="clear" w:color="auto" w:fill="CCEEFF"/>
            <w:vAlign w:val="bottom"/>
            <w:hideMark/>
          </w:tcPr>
          <w:p w14:paraId="07243AE8" w14:textId="77777777" w:rsidR="00000000" w:rsidRDefault="0053651E">
            <w:pPr>
              <w:rPr>
                <w:rFonts w:eastAsia="Times New Roman"/>
                <w:sz w:val="20"/>
                <w:szCs w:val="20"/>
              </w:rPr>
            </w:pPr>
            <w:r>
              <w:rPr>
                <w:rFonts w:eastAsia="Times New Roman"/>
                <w:sz w:val="20"/>
                <w:szCs w:val="20"/>
              </w:rPr>
              <w:t> </w:t>
            </w:r>
          </w:p>
        </w:tc>
      </w:tr>
      <w:tr w:rsidR="00000000" w14:paraId="764CE26F" w14:textId="77777777">
        <w:trPr>
          <w:tblCellSpacing w:w="0" w:type="dxa"/>
        </w:trPr>
        <w:tc>
          <w:tcPr>
            <w:tcW w:w="0" w:type="auto"/>
            <w:shd w:val="clear" w:color="auto" w:fill="FFFFFF"/>
            <w:vAlign w:val="bottom"/>
            <w:hideMark/>
          </w:tcPr>
          <w:p w14:paraId="29B70DBC" w14:textId="77777777" w:rsidR="00000000" w:rsidRDefault="0053651E">
            <w:pPr>
              <w:pStyle w:val="a3"/>
              <w:spacing w:before="0" w:beforeAutospacing="0" w:after="0" w:afterAutospacing="0"/>
              <w:rPr>
                <w:sz w:val="20"/>
                <w:szCs w:val="20"/>
              </w:rPr>
            </w:pPr>
            <w:r>
              <w:rPr>
                <w:sz w:val="20"/>
                <w:szCs w:val="20"/>
              </w:rPr>
              <w:t>Acquisition of real estate interests through proceeds held in escrow</w:t>
            </w:r>
          </w:p>
        </w:tc>
        <w:tc>
          <w:tcPr>
            <w:tcW w:w="50" w:type="pct"/>
            <w:shd w:val="clear" w:color="auto" w:fill="FFFFFF"/>
            <w:vAlign w:val="bottom"/>
            <w:hideMark/>
          </w:tcPr>
          <w:p w14:paraId="6E96A10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ABE761"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14D82E50" w14:textId="77777777" w:rsidR="00000000" w:rsidRDefault="0053651E">
            <w:pPr>
              <w:jc w:val="right"/>
              <w:rPr>
                <w:rFonts w:eastAsia="Times New Roman"/>
                <w:sz w:val="20"/>
                <w:szCs w:val="20"/>
              </w:rPr>
            </w:pPr>
            <w:r>
              <w:rPr>
                <w:rFonts w:eastAsia="Times New Roman"/>
                <w:sz w:val="20"/>
                <w:szCs w:val="20"/>
              </w:rPr>
              <w:t>36,076</w:t>
            </w:r>
          </w:p>
        </w:tc>
        <w:tc>
          <w:tcPr>
            <w:tcW w:w="50" w:type="pct"/>
            <w:shd w:val="clear" w:color="auto" w:fill="FFFFFF"/>
            <w:vAlign w:val="bottom"/>
            <w:hideMark/>
          </w:tcPr>
          <w:p w14:paraId="44755D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9B3C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7D8C05"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5E71649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F2C1D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68A6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D059A7"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30C24B9" w14:textId="77777777" w:rsidR="00000000" w:rsidRDefault="0053651E">
            <w:pPr>
              <w:jc w:val="right"/>
              <w:rPr>
                <w:rFonts w:eastAsia="Times New Roman"/>
                <w:sz w:val="20"/>
                <w:szCs w:val="20"/>
              </w:rPr>
            </w:pPr>
            <w:r>
              <w:rPr>
                <w:rFonts w:eastAsia="Times New Roman"/>
                <w:sz w:val="20"/>
                <w:szCs w:val="20"/>
              </w:rPr>
              <w:t>162,396</w:t>
            </w:r>
          </w:p>
        </w:tc>
        <w:tc>
          <w:tcPr>
            <w:tcW w:w="50" w:type="pct"/>
            <w:shd w:val="clear" w:color="auto" w:fill="FFFFFF"/>
            <w:vAlign w:val="bottom"/>
            <w:hideMark/>
          </w:tcPr>
          <w:p w14:paraId="43E9AADE" w14:textId="77777777" w:rsidR="00000000" w:rsidRDefault="0053651E">
            <w:pPr>
              <w:rPr>
                <w:rFonts w:eastAsia="Times New Roman"/>
                <w:sz w:val="20"/>
                <w:szCs w:val="20"/>
              </w:rPr>
            </w:pPr>
            <w:r>
              <w:rPr>
                <w:rFonts w:eastAsia="Times New Roman"/>
                <w:sz w:val="20"/>
                <w:szCs w:val="20"/>
              </w:rPr>
              <w:t> </w:t>
            </w:r>
          </w:p>
        </w:tc>
      </w:tr>
      <w:tr w:rsidR="00000000" w14:paraId="15928ED5" w14:textId="77777777">
        <w:trPr>
          <w:tblCellSpacing w:w="0" w:type="dxa"/>
        </w:trPr>
        <w:tc>
          <w:tcPr>
            <w:tcW w:w="0" w:type="auto"/>
            <w:shd w:val="clear" w:color="auto" w:fill="CCEEFF"/>
            <w:vAlign w:val="bottom"/>
            <w:hideMark/>
          </w:tcPr>
          <w:p w14:paraId="7E97A9B7" w14:textId="77777777" w:rsidR="00000000" w:rsidRDefault="0053651E">
            <w:pPr>
              <w:pStyle w:val="a3"/>
              <w:spacing w:before="0" w:beforeAutospacing="0" w:after="0" w:afterAutospacing="0"/>
              <w:rPr>
                <w:sz w:val="20"/>
                <w:szCs w:val="20"/>
              </w:rPr>
            </w:pPr>
            <w:r>
              <w:rPr>
                <w:sz w:val="20"/>
                <w:szCs w:val="20"/>
              </w:rPr>
              <w:t>Proceeds deposited in escrow through sale of real estate interests</w:t>
            </w:r>
          </w:p>
        </w:tc>
        <w:tc>
          <w:tcPr>
            <w:tcW w:w="50" w:type="pct"/>
            <w:shd w:val="clear" w:color="auto" w:fill="CCEEFF"/>
            <w:vAlign w:val="bottom"/>
            <w:hideMark/>
          </w:tcPr>
          <w:p w14:paraId="1B56D9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D66B63"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55E29F36" w14:textId="77777777" w:rsidR="00000000" w:rsidRDefault="0053651E">
            <w:pPr>
              <w:jc w:val="right"/>
              <w:rPr>
                <w:rFonts w:eastAsia="Times New Roman"/>
                <w:sz w:val="20"/>
                <w:szCs w:val="20"/>
              </w:rPr>
            </w:pPr>
            <w:r>
              <w:rPr>
                <w:rFonts w:eastAsia="Times New Roman"/>
                <w:sz w:val="20"/>
                <w:szCs w:val="20"/>
              </w:rPr>
              <w:t>5,106</w:t>
            </w:r>
          </w:p>
        </w:tc>
        <w:tc>
          <w:tcPr>
            <w:tcW w:w="50" w:type="pct"/>
            <w:shd w:val="clear" w:color="auto" w:fill="CCEEFF"/>
            <w:vAlign w:val="bottom"/>
            <w:hideMark/>
          </w:tcPr>
          <w:p w14:paraId="7202CA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918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CA65F7"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28B664E9" w14:textId="77777777" w:rsidR="00000000" w:rsidRDefault="0053651E">
            <w:pPr>
              <w:jc w:val="right"/>
              <w:rPr>
                <w:rFonts w:eastAsia="Times New Roman"/>
                <w:sz w:val="20"/>
                <w:szCs w:val="20"/>
              </w:rPr>
            </w:pPr>
            <w:r>
              <w:rPr>
                <w:rFonts w:eastAsia="Times New Roman"/>
                <w:sz w:val="20"/>
                <w:szCs w:val="20"/>
              </w:rPr>
              <w:t>41,949</w:t>
            </w:r>
          </w:p>
        </w:tc>
        <w:tc>
          <w:tcPr>
            <w:tcW w:w="50" w:type="pct"/>
            <w:shd w:val="clear" w:color="auto" w:fill="CCEEFF"/>
            <w:vAlign w:val="bottom"/>
            <w:hideMark/>
          </w:tcPr>
          <w:p w14:paraId="784A10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6C4C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B7E3C9"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36AA909A" w14:textId="77777777" w:rsidR="00000000" w:rsidRDefault="0053651E">
            <w:pPr>
              <w:jc w:val="right"/>
              <w:rPr>
                <w:rFonts w:eastAsia="Times New Roman"/>
                <w:sz w:val="20"/>
                <w:szCs w:val="20"/>
              </w:rPr>
            </w:pPr>
            <w:r>
              <w:rPr>
                <w:rFonts w:eastAsia="Times New Roman"/>
                <w:sz w:val="20"/>
                <w:szCs w:val="20"/>
              </w:rPr>
              <w:t>162,396</w:t>
            </w:r>
          </w:p>
        </w:tc>
        <w:tc>
          <w:tcPr>
            <w:tcW w:w="50" w:type="pct"/>
            <w:shd w:val="clear" w:color="auto" w:fill="CCEEFF"/>
            <w:vAlign w:val="bottom"/>
            <w:hideMark/>
          </w:tcPr>
          <w:p w14:paraId="487A4414" w14:textId="77777777" w:rsidR="00000000" w:rsidRDefault="0053651E">
            <w:pPr>
              <w:rPr>
                <w:rFonts w:eastAsia="Times New Roman"/>
                <w:sz w:val="20"/>
                <w:szCs w:val="20"/>
              </w:rPr>
            </w:pPr>
            <w:r>
              <w:rPr>
                <w:rFonts w:eastAsia="Times New Roman"/>
                <w:sz w:val="20"/>
                <w:szCs w:val="20"/>
              </w:rPr>
              <w:t> </w:t>
            </w:r>
          </w:p>
        </w:tc>
      </w:tr>
      <w:tr w:rsidR="00000000" w14:paraId="45A3858F" w14:textId="77777777">
        <w:trPr>
          <w:tblCellSpacing w:w="0" w:type="dxa"/>
        </w:trPr>
        <w:tc>
          <w:tcPr>
            <w:tcW w:w="0" w:type="auto"/>
            <w:shd w:val="clear" w:color="auto" w:fill="FFFFFF"/>
            <w:vAlign w:val="bottom"/>
            <w:hideMark/>
          </w:tcPr>
          <w:p w14:paraId="327E3382" w14:textId="77777777" w:rsidR="00000000" w:rsidRDefault="0053651E">
            <w:pPr>
              <w:pStyle w:val="a3"/>
              <w:spacing w:before="0" w:beforeAutospacing="0" w:after="0" w:afterAutospacing="0"/>
              <w:rPr>
                <w:sz w:val="20"/>
                <w:szCs w:val="20"/>
              </w:rPr>
            </w:pPr>
            <w:r>
              <w:rPr>
                <w:sz w:val="20"/>
                <w:szCs w:val="20"/>
              </w:rPr>
              <w:t>Disposition of real estate interests through the issuance of mortgage receivable</w:t>
            </w:r>
          </w:p>
        </w:tc>
        <w:tc>
          <w:tcPr>
            <w:tcW w:w="50" w:type="pct"/>
            <w:shd w:val="clear" w:color="auto" w:fill="FFFFFF"/>
            <w:vAlign w:val="bottom"/>
            <w:hideMark/>
          </w:tcPr>
          <w:p w14:paraId="2E8AC9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6349CB"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0512B83B" w14:textId="77777777" w:rsidR="00000000" w:rsidRDefault="0053651E">
            <w:pPr>
              <w:jc w:val="right"/>
              <w:rPr>
                <w:rFonts w:eastAsia="Times New Roman"/>
                <w:sz w:val="20"/>
                <w:szCs w:val="20"/>
              </w:rPr>
            </w:pPr>
            <w:r>
              <w:rPr>
                <w:rFonts w:eastAsia="Times New Roman"/>
                <w:sz w:val="20"/>
                <w:szCs w:val="20"/>
              </w:rPr>
              <w:t>3,750</w:t>
            </w:r>
          </w:p>
        </w:tc>
        <w:tc>
          <w:tcPr>
            <w:tcW w:w="50" w:type="pct"/>
            <w:shd w:val="clear" w:color="auto" w:fill="FFFFFF"/>
            <w:vAlign w:val="bottom"/>
            <w:hideMark/>
          </w:tcPr>
          <w:p w14:paraId="3A326D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AD03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699ED9"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29FFEFC2" w14:textId="77777777" w:rsidR="00000000" w:rsidRDefault="0053651E">
            <w:pPr>
              <w:jc w:val="right"/>
              <w:rPr>
                <w:rFonts w:eastAsia="Times New Roman"/>
                <w:sz w:val="20"/>
                <w:szCs w:val="20"/>
              </w:rPr>
            </w:pPr>
            <w:r>
              <w:rPr>
                <w:rFonts w:eastAsia="Times New Roman"/>
                <w:sz w:val="20"/>
                <w:szCs w:val="20"/>
              </w:rPr>
              <w:t>14,700</w:t>
            </w:r>
          </w:p>
        </w:tc>
        <w:tc>
          <w:tcPr>
            <w:tcW w:w="50" w:type="pct"/>
            <w:shd w:val="clear" w:color="auto" w:fill="FFFFFF"/>
            <w:vAlign w:val="bottom"/>
            <w:hideMark/>
          </w:tcPr>
          <w:p w14:paraId="5A9DA1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5A8A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8B6B54"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7A170C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7702E0E" w14:textId="77777777" w:rsidR="00000000" w:rsidRDefault="0053651E">
            <w:pPr>
              <w:rPr>
                <w:rFonts w:eastAsia="Times New Roman"/>
                <w:sz w:val="20"/>
                <w:szCs w:val="20"/>
              </w:rPr>
            </w:pPr>
            <w:r>
              <w:rPr>
                <w:rFonts w:eastAsia="Times New Roman"/>
                <w:sz w:val="20"/>
                <w:szCs w:val="20"/>
              </w:rPr>
              <w:t> </w:t>
            </w:r>
          </w:p>
        </w:tc>
      </w:tr>
      <w:tr w:rsidR="00000000" w14:paraId="2CA3CA78" w14:textId="77777777">
        <w:trPr>
          <w:tblCellSpacing w:w="0" w:type="dxa"/>
        </w:trPr>
        <w:tc>
          <w:tcPr>
            <w:tcW w:w="0" w:type="auto"/>
            <w:shd w:val="clear" w:color="auto" w:fill="CCEEFF"/>
            <w:vAlign w:val="bottom"/>
            <w:hideMark/>
          </w:tcPr>
          <w:p w14:paraId="2D479AD0" w14:textId="77777777" w:rsidR="00000000" w:rsidRDefault="0053651E">
            <w:pPr>
              <w:pStyle w:val="a3"/>
              <w:spacing w:before="0" w:beforeAutospacing="0" w:after="0" w:afterAutospacing="0"/>
              <w:rPr>
                <w:sz w:val="20"/>
                <w:szCs w:val="20"/>
              </w:rPr>
            </w:pPr>
            <w:r>
              <w:rPr>
                <w:sz w:val="20"/>
                <w:szCs w:val="20"/>
              </w:rPr>
              <w:t>Disposition of real estate interests by a deed in lieu/foreclosure of debt</w:t>
            </w:r>
          </w:p>
        </w:tc>
        <w:tc>
          <w:tcPr>
            <w:tcW w:w="50" w:type="pct"/>
            <w:shd w:val="clear" w:color="auto" w:fill="CCEEFF"/>
            <w:vAlign w:val="bottom"/>
            <w:hideMark/>
          </w:tcPr>
          <w:p w14:paraId="2F0AEB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FBD086"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677B7D05" w14:textId="77777777" w:rsidR="00000000" w:rsidRDefault="0053651E">
            <w:pPr>
              <w:jc w:val="right"/>
              <w:rPr>
                <w:rFonts w:eastAsia="Times New Roman"/>
                <w:sz w:val="20"/>
                <w:szCs w:val="20"/>
              </w:rPr>
            </w:pPr>
            <w:r>
              <w:rPr>
                <w:rFonts w:eastAsia="Times New Roman"/>
                <w:sz w:val="20"/>
                <w:szCs w:val="20"/>
              </w:rPr>
              <w:t>3,892</w:t>
            </w:r>
          </w:p>
        </w:tc>
        <w:tc>
          <w:tcPr>
            <w:tcW w:w="50" w:type="pct"/>
            <w:shd w:val="clear" w:color="auto" w:fill="CCEEFF"/>
            <w:vAlign w:val="bottom"/>
            <w:hideMark/>
          </w:tcPr>
          <w:p w14:paraId="077808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EDCE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175825"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529D48E6" w14:textId="77777777" w:rsidR="00000000" w:rsidRDefault="0053651E">
            <w:pPr>
              <w:jc w:val="right"/>
              <w:rPr>
                <w:rFonts w:eastAsia="Times New Roman"/>
                <w:sz w:val="20"/>
                <w:szCs w:val="20"/>
              </w:rPr>
            </w:pPr>
            <w:r>
              <w:rPr>
                <w:rFonts w:eastAsia="Times New Roman"/>
                <w:sz w:val="20"/>
                <w:szCs w:val="20"/>
              </w:rPr>
              <w:t>7,444</w:t>
            </w:r>
          </w:p>
        </w:tc>
        <w:tc>
          <w:tcPr>
            <w:tcW w:w="50" w:type="pct"/>
            <w:shd w:val="clear" w:color="auto" w:fill="CCEEFF"/>
            <w:vAlign w:val="bottom"/>
            <w:hideMark/>
          </w:tcPr>
          <w:p w14:paraId="770288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28702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6316EE"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657379F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A1B8401" w14:textId="77777777" w:rsidR="00000000" w:rsidRDefault="0053651E">
            <w:pPr>
              <w:rPr>
                <w:rFonts w:eastAsia="Times New Roman"/>
                <w:sz w:val="20"/>
                <w:szCs w:val="20"/>
              </w:rPr>
            </w:pPr>
            <w:r>
              <w:rPr>
                <w:rFonts w:eastAsia="Times New Roman"/>
                <w:sz w:val="20"/>
                <w:szCs w:val="20"/>
              </w:rPr>
              <w:t> </w:t>
            </w:r>
          </w:p>
        </w:tc>
      </w:tr>
      <w:tr w:rsidR="00000000" w14:paraId="7C074247" w14:textId="77777777">
        <w:trPr>
          <w:tblCellSpacing w:w="0" w:type="dxa"/>
        </w:trPr>
        <w:tc>
          <w:tcPr>
            <w:tcW w:w="0" w:type="auto"/>
            <w:shd w:val="clear" w:color="auto" w:fill="FFFFFF"/>
            <w:vAlign w:val="bottom"/>
            <w:hideMark/>
          </w:tcPr>
          <w:p w14:paraId="229B2899" w14:textId="77777777" w:rsidR="00000000" w:rsidRDefault="0053651E">
            <w:pPr>
              <w:pStyle w:val="a3"/>
              <w:spacing w:before="0" w:beforeAutospacing="0" w:after="0" w:afterAutospacing="0"/>
              <w:rPr>
                <w:sz w:val="20"/>
                <w:szCs w:val="20"/>
              </w:rPr>
            </w:pPr>
            <w:r>
              <w:rPr>
                <w:sz w:val="20"/>
                <w:szCs w:val="20"/>
              </w:rPr>
              <w:t>Forgiveness of debt due to a deed in lieu/foreclosure</w:t>
            </w:r>
          </w:p>
        </w:tc>
        <w:tc>
          <w:tcPr>
            <w:tcW w:w="50" w:type="pct"/>
            <w:shd w:val="clear" w:color="auto" w:fill="FFFFFF"/>
            <w:vAlign w:val="bottom"/>
            <w:hideMark/>
          </w:tcPr>
          <w:p w14:paraId="357148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FB1FAD"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1DFB009F" w14:textId="77777777" w:rsidR="00000000" w:rsidRDefault="0053651E">
            <w:pPr>
              <w:jc w:val="right"/>
              <w:rPr>
                <w:rFonts w:eastAsia="Times New Roman"/>
                <w:sz w:val="20"/>
                <w:szCs w:val="20"/>
              </w:rPr>
            </w:pPr>
            <w:r>
              <w:rPr>
                <w:rFonts w:eastAsia="Times New Roman"/>
                <w:sz w:val="20"/>
                <w:szCs w:val="20"/>
              </w:rPr>
              <w:t>6,905</w:t>
            </w:r>
          </w:p>
        </w:tc>
        <w:tc>
          <w:tcPr>
            <w:tcW w:w="50" w:type="pct"/>
            <w:shd w:val="clear" w:color="auto" w:fill="FFFFFF"/>
            <w:vAlign w:val="bottom"/>
            <w:hideMark/>
          </w:tcPr>
          <w:p w14:paraId="4153A6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1E0B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A40381"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07273BBE" w14:textId="77777777" w:rsidR="00000000" w:rsidRDefault="0053651E">
            <w:pPr>
              <w:jc w:val="right"/>
              <w:rPr>
                <w:rFonts w:eastAsia="Times New Roman"/>
                <w:sz w:val="20"/>
                <w:szCs w:val="20"/>
              </w:rPr>
            </w:pPr>
            <w:r>
              <w:rPr>
                <w:rFonts w:eastAsia="Times New Roman"/>
                <w:sz w:val="20"/>
                <w:szCs w:val="20"/>
              </w:rPr>
              <w:t>12,415</w:t>
            </w:r>
          </w:p>
        </w:tc>
        <w:tc>
          <w:tcPr>
            <w:tcW w:w="50" w:type="pct"/>
            <w:shd w:val="clear" w:color="auto" w:fill="FFFFFF"/>
            <w:vAlign w:val="bottom"/>
            <w:hideMark/>
          </w:tcPr>
          <w:p w14:paraId="072B8D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D727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1C8D26"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35FBE9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B1EEA17" w14:textId="77777777" w:rsidR="00000000" w:rsidRDefault="0053651E">
            <w:pPr>
              <w:rPr>
                <w:rFonts w:eastAsia="Times New Roman"/>
                <w:sz w:val="20"/>
                <w:szCs w:val="20"/>
              </w:rPr>
            </w:pPr>
            <w:r>
              <w:rPr>
                <w:rFonts w:eastAsia="Times New Roman"/>
                <w:sz w:val="20"/>
                <w:szCs w:val="20"/>
              </w:rPr>
              <w:t> </w:t>
            </w:r>
          </w:p>
        </w:tc>
      </w:tr>
      <w:tr w:rsidR="00000000" w14:paraId="3965F6FF" w14:textId="77777777">
        <w:trPr>
          <w:tblCellSpacing w:w="0" w:type="dxa"/>
        </w:trPr>
        <w:tc>
          <w:tcPr>
            <w:tcW w:w="0" w:type="auto"/>
            <w:shd w:val="clear" w:color="auto" w:fill="CCEEFF"/>
            <w:vAlign w:val="bottom"/>
            <w:hideMark/>
          </w:tcPr>
          <w:p w14:paraId="3D869A66" w14:textId="77777777" w:rsidR="00000000" w:rsidRDefault="0053651E">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14:paraId="6FDE17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3BE235"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3261E9E4" w14:textId="77777777" w:rsidR="00000000" w:rsidRDefault="0053651E">
            <w:pPr>
              <w:jc w:val="right"/>
              <w:rPr>
                <w:rFonts w:eastAsia="Times New Roman"/>
                <w:sz w:val="20"/>
                <w:szCs w:val="20"/>
              </w:rPr>
            </w:pPr>
            <w:r>
              <w:rPr>
                <w:rFonts w:eastAsia="Times New Roman"/>
                <w:sz w:val="20"/>
                <w:szCs w:val="20"/>
              </w:rPr>
              <w:t>65,900</w:t>
            </w:r>
          </w:p>
        </w:tc>
        <w:tc>
          <w:tcPr>
            <w:tcW w:w="50" w:type="pct"/>
            <w:shd w:val="clear" w:color="auto" w:fill="CCEEFF"/>
            <w:vAlign w:val="bottom"/>
            <w:hideMark/>
          </w:tcPr>
          <w:p w14:paraId="715693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569D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ED8220"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3CA5B6C7" w14:textId="77777777" w:rsidR="00000000" w:rsidRDefault="0053651E">
            <w:pPr>
              <w:jc w:val="right"/>
              <w:rPr>
                <w:rFonts w:eastAsia="Times New Roman"/>
                <w:sz w:val="20"/>
                <w:szCs w:val="20"/>
              </w:rPr>
            </w:pPr>
            <w:r>
              <w:rPr>
                <w:rFonts w:eastAsia="Times New Roman"/>
                <w:sz w:val="20"/>
                <w:szCs w:val="20"/>
              </w:rPr>
              <w:t>60,611</w:t>
            </w:r>
          </w:p>
        </w:tc>
        <w:tc>
          <w:tcPr>
            <w:tcW w:w="50" w:type="pct"/>
            <w:shd w:val="clear" w:color="auto" w:fill="CCEEFF"/>
            <w:vAlign w:val="bottom"/>
            <w:hideMark/>
          </w:tcPr>
          <w:p w14:paraId="3C61D0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7A41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3672D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23DFCE7D" w14:textId="77777777" w:rsidR="00000000" w:rsidRDefault="0053651E">
            <w:pPr>
              <w:jc w:val="right"/>
              <w:rPr>
                <w:rFonts w:eastAsia="Times New Roman"/>
                <w:sz w:val="20"/>
                <w:szCs w:val="20"/>
              </w:rPr>
            </w:pPr>
            <w:r>
              <w:rPr>
                <w:rFonts w:eastAsia="Times New Roman"/>
                <w:sz w:val="20"/>
                <w:szCs w:val="20"/>
              </w:rPr>
              <w:t>74,123</w:t>
            </w:r>
          </w:p>
        </w:tc>
        <w:tc>
          <w:tcPr>
            <w:tcW w:w="50" w:type="pct"/>
            <w:shd w:val="clear" w:color="auto" w:fill="CCEEFF"/>
            <w:vAlign w:val="bottom"/>
            <w:hideMark/>
          </w:tcPr>
          <w:p w14:paraId="5C014FF9" w14:textId="77777777" w:rsidR="00000000" w:rsidRDefault="0053651E">
            <w:pPr>
              <w:rPr>
                <w:rFonts w:eastAsia="Times New Roman"/>
                <w:sz w:val="20"/>
                <w:szCs w:val="20"/>
              </w:rPr>
            </w:pPr>
            <w:r>
              <w:rPr>
                <w:rFonts w:eastAsia="Times New Roman"/>
                <w:sz w:val="20"/>
                <w:szCs w:val="20"/>
              </w:rPr>
              <w:t> </w:t>
            </w:r>
          </w:p>
        </w:tc>
      </w:tr>
      <w:tr w:rsidR="00000000" w14:paraId="19BCDEC9" w14:textId="77777777">
        <w:trPr>
          <w:tblCellSpacing w:w="0" w:type="dxa"/>
        </w:trPr>
        <w:tc>
          <w:tcPr>
            <w:tcW w:w="0" w:type="auto"/>
            <w:shd w:val="clear" w:color="auto" w:fill="FFFFFF"/>
            <w:vAlign w:val="bottom"/>
            <w:hideMark/>
          </w:tcPr>
          <w:p w14:paraId="17C171ED" w14:textId="77777777" w:rsidR="00000000" w:rsidRDefault="0053651E">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14:paraId="733C4A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F163A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9881D63" w14:textId="77777777" w:rsidR="00000000" w:rsidRDefault="0053651E">
            <w:pPr>
              <w:jc w:val="right"/>
              <w:rPr>
                <w:rFonts w:eastAsia="Times New Roman"/>
                <w:sz w:val="20"/>
                <w:szCs w:val="20"/>
              </w:rPr>
            </w:pPr>
            <w:r>
              <w:rPr>
                <w:rFonts w:eastAsia="Times New Roman"/>
                <w:sz w:val="20"/>
                <w:szCs w:val="20"/>
              </w:rPr>
              <w:t>4,030</w:t>
            </w:r>
          </w:p>
        </w:tc>
        <w:tc>
          <w:tcPr>
            <w:tcW w:w="50" w:type="pct"/>
            <w:shd w:val="clear" w:color="auto" w:fill="FFFFFF"/>
            <w:vAlign w:val="bottom"/>
            <w:hideMark/>
          </w:tcPr>
          <w:p w14:paraId="05DC29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623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29335B"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BA41D73" w14:textId="77777777" w:rsidR="00000000" w:rsidRDefault="0053651E">
            <w:pPr>
              <w:jc w:val="right"/>
              <w:rPr>
                <w:rFonts w:eastAsia="Times New Roman"/>
                <w:sz w:val="20"/>
                <w:szCs w:val="20"/>
              </w:rPr>
            </w:pPr>
            <w:r>
              <w:rPr>
                <w:rFonts w:eastAsia="Times New Roman"/>
                <w:sz w:val="20"/>
                <w:szCs w:val="20"/>
              </w:rPr>
              <w:t>4,360</w:t>
            </w:r>
          </w:p>
        </w:tc>
        <w:tc>
          <w:tcPr>
            <w:tcW w:w="50" w:type="pct"/>
            <w:shd w:val="clear" w:color="auto" w:fill="FFFFFF"/>
            <w:vAlign w:val="bottom"/>
            <w:hideMark/>
          </w:tcPr>
          <w:p w14:paraId="720A94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E177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A5D46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32D1A80B" w14:textId="77777777" w:rsidR="00000000" w:rsidRDefault="0053651E">
            <w:pPr>
              <w:jc w:val="right"/>
              <w:rPr>
                <w:rFonts w:eastAsia="Times New Roman"/>
                <w:sz w:val="20"/>
                <w:szCs w:val="20"/>
              </w:rPr>
            </w:pPr>
            <w:r>
              <w:rPr>
                <w:rFonts w:eastAsia="Times New Roman"/>
                <w:sz w:val="20"/>
                <w:szCs w:val="20"/>
              </w:rPr>
              <w:t>5,699</w:t>
            </w:r>
          </w:p>
        </w:tc>
        <w:tc>
          <w:tcPr>
            <w:tcW w:w="50" w:type="pct"/>
            <w:shd w:val="clear" w:color="auto" w:fill="FFFFFF"/>
            <w:vAlign w:val="bottom"/>
            <w:hideMark/>
          </w:tcPr>
          <w:p w14:paraId="30286BD0" w14:textId="77777777" w:rsidR="00000000" w:rsidRDefault="0053651E">
            <w:pPr>
              <w:rPr>
                <w:rFonts w:eastAsia="Times New Roman"/>
                <w:sz w:val="20"/>
                <w:szCs w:val="20"/>
              </w:rPr>
            </w:pPr>
            <w:r>
              <w:rPr>
                <w:rFonts w:eastAsia="Times New Roman"/>
                <w:sz w:val="20"/>
                <w:szCs w:val="20"/>
              </w:rPr>
              <w:t> </w:t>
            </w:r>
          </w:p>
        </w:tc>
      </w:tr>
      <w:tr w:rsidR="00000000" w14:paraId="7AE51A73" w14:textId="77777777">
        <w:trPr>
          <w:tblCellSpacing w:w="0" w:type="dxa"/>
        </w:trPr>
        <w:tc>
          <w:tcPr>
            <w:tcW w:w="0" w:type="auto"/>
            <w:shd w:val="clear" w:color="auto" w:fill="CCEEFF"/>
            <w:vAlign w:val="bottom"/>
            <w:hideMark/>
          </w:tcPr>
          <w:p w14:paraId="7DBB7EC9" w14:textId="77777777" w:rsidR="00000000" w:rsidRDefault="0053651E">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14:paraId="1CFBE6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D7AA8F"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1AB6DEDB" w14:textId="77777777" w:rsidR="00000000" w:rsidRDefault="0053651E">
            <w:pPr>
              <w:jc w:val="right"/>
              <w:rPr>
                <w:rFonts w:eastAsia="Times New Roman"/>
                <w:sz w:val="20"/>
                <w:szCs w:val="20"/>
              </w:rPr>
            </w:pPr>
            <w:r>
              <w:rPr>
                <w:rFonts w:eastAsia="Times New Roman"/>
                <w:sz w:val="20"/>
                <w:szCs w:val="20"/>
              </w:rPr>
              <w:t>126,274</w:t>
            </w:r>
          </w:p>
        </w:tc>
        <w:tc>
          <w:tcPr>
            <w:tcW w:w="50" w:type="pct"/>
            <w:shd w:val="clear" w:color="auto" w:fill="CCEEFF"/>
            <w:vAlign w:val="bottom"/>
            <w:hideMark/>
          </w:tcPr>
          <w:p w14:paraId="749046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E05B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14B85D"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4CF1842D" w14:textId="77777777" w:rsidR="00000000" w:rsidRDefault="0053651E">
            <w:pPr>
              <w:jc w:val="right"/>
              <w:rPr>
                <w:rFonts w:eastAsia="Times New Roman"/>
                <w:sz w:val="20"/>
                <w:szCs w:val="20"/>
              </w:rPr>
            </w:pPr>
            <w:r>
              <w:rPr>
                <w:rFonts w:eastAsia="Times New Roman"/>
                <w:sz w:val="20"/>
                <w:szCs w:val="20"/>
              </w:rPr>
              <w:t>130,262</w:t>
            </w:r>
          </w:p>
        </w:tc>
        <w:tc>
          <w:tcPr>
            <w:tcW w:w="50" w:type="pct"/>
            <w:shd w:val="clear" w:color="auto" w:fill="CCEEFF"/>
            <w:vAlign w:val="bottom"/>
            <w:hideMark/>
          </w:tcPr>
          <w:p w14:paraId="68689B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271B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55BC56"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3F26FEBE" w14:textId="77777777" w:rsidR="00000000" w:rsidRDefault="0053651E">
            <w:pPr>
              <w:jc w:val="right"/>
              <w:rPr>
                <w:rFonts w:eastAsia="Times New Roman"/>
                <w:sz w:val="20"/>
                <w:szCs w:val="20"/>
              </w:rPr>
            </w:pPr>
            <w:r>
              <w:rPr>
                <w:rFonts w:eastAsia="Times New Roman"/>
                <w:sz w:val="20"/>
                <w:szCs w:val="20"/>
              </w:rPr>
              <w:t>128,892</w:t>
            </w:r>
          </w:p>
        </w:tc>
        <w:tc>
          <w:tcPr>
            <w:tcW w:w="50" w:type="pct"/>
            <w:shd w:val="clear" w:color="auto" w:fill="CCEEFF"/>
            <w:vAlign w:val="bottom"/>
            <w:hideMark/>
          </w:tcPr>
          <w:p w14:paraId="56078E26" w14:textId="77777777" w:rsidR="00000000" w:rsidRDefault="0053651E">
            <w:pPr>
              <w:rPr>
                <w:rFonts w:eastAsia="Times New Roman"/>
                <w:sz w:val="20"/>
                <w:szCs w:val="20"/>
              </w:rPr>
            </w:pPr>
            <w:r>
              <w:rPr>
                <w:rFonts w:eastAsia="Times New Roman"/>
                <w:sz w:val="20"/>
                <w:szCs w:val="20"/>
              </w:rPr>
              <w:t> </w:t>
            </w:r>
          </w:p>
        </w:tc>
      </w:tr>
      <w:tr w:rsidR="00000000" w14:paraId="26D54EBD" w14:textId="77777777">
        <w:trPr>
          <w:tblCellSpacing w:w="0" w:type="dxa"/>
        </w:trPr>
        <w:tc>
          <w:tcPr>
            <w:tcW w:w="0" w:type="auto"/>
            <w:shd w:val="clear" w:color="auto" w:fill="FFFFFF"/>
            <w:vAlign w:val="bottom"/>
            <w:hideMark/>
          </w:tcPr>
          <w:p w14:paraId="42349507" w14:textId="77777777" w:rsidR="00000000" w:rsidRDefault="0053651E">
            <w:pPr>
              <w:pStyle w:val="a3"/>
              <w:spacing w:before="0" w:beforeAutospacing="0" w:after="0" w:afterAutospacing="0"/>
              <w:rPr>
                <w:sz w:val="20"/>
                <w:szCs w:val="20"/>
              </w:rPr>
            </w:pPr>
            <w:r>
              <w:rPr>
                <w:sz w:val="20"/>
                <w:szCs w:val="20"/>
              </w:rPr>
              <w:t>Change in noncontrolling interest due to liquidation of partnership</w:t>
            </w:r>
          </w:p>
        </w:tc>
        <w:tc>
          <w:tcPr>
            <w:tcW w:w="50" w:type="pct"/>
            <w:shd w:val="clear" w:color="auto" w:fill="FFFFFF"/>
            <w:vAlign w:val="bottom"/>
            <w:hideMark/>
          </w:tcPr>
          <w:p w14:paraId="764613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567818"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054A39E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B9C8FF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4BB4E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68926F"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1DC677D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1F0C3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8DE4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8CD3B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27A20D96" w14:textId="77777777" w:rsidR="00000000" w:rsidRDefault="0053651E">
            <w:pPr>
              <w:jc w:val="right"/>
              <w:rPr>
                <w:rFonts w:eastAsia="Times New Roman"/>
                <w:sz w:val="20"/>
                <w:szCs w:val="20"/>
              </w:rPr>
            </w:pPr>
            <w:r>
              <w:rPr>
                <w:rFonts w:eastAsia="Times New Roman"/>
                <w:sz w:val="20"/>
                <w:szCs w:val="20"/>
              </w:rPr>
              <w:t>64,948</w:t>
            </w:r>
          </w:p>
        </w:tc>
        <w:tc>
          <w:tcPr>
            <w:tcW w:w="50" w:type="pct"/>
            <w:shd w:val="clear" w:color="auto" w:fill="FFFFFF"/>
            <w:vAlign w:val="bottom"/>
            <w:hideMark/>
          </w:tcPr>
          <w:p w14:paraId="0EEFF6A2" w14:textId="77777777" w:rsidR="00000000" w:rsidRDefault="0053651E">
            <w:pPr>
              <w:rPr>
                <w:rFonts w:eastAsia="Times New Roman"/>
                <w:sz w:val="20"/>
                <w:szCs w:val="20"/>
              </w:rPr>
            </w:pPr>
            <w:r>
              <w:rPr>
                <w:rFonts w:eastAsia="Times New Roman"/>
                <w:sz w:val="20"/>
                <w:szCs w:val="20"/>
              </w:rPr>
              <w:t> </w:t>
            </w:r>
          </w:p>
        </w:tc>
      </w:tr>
      <w:tr w:rsidR="00000000" w14:paraId="266F70A6" w14:textId="77777777">
        <w:trPr>
          <w:tblCellSpacing w:w="0" w:type="dxa"/>
        </w:trPr>
        <w:tc>
          <w:tcPr>
            <w:tcW w:w="0" w:type="auto"/>
            <w:shd w:val="clear" w:color="auto" w:fill="CCEEFF"/>
            <w:vAlign w:val="bottom"/>
            <w:hideMark/>
          </w:tcPr>
          <w:p w14:paraId="603A70BD" w14:textId="77777777" w:rsidR="00000000" w:rsidRDefault="0053651E">
            <w:pPr>
              <w:pStyle w:val="a3"/>
              <w:spacing w:before="0" w:beforeAutospacing="0" w:after="0" w:afterAutospacing="0"/>
              <w:rPr>
                <w:sz w:val="20"/>
                <w:szCs w:val="20"/>
              </w:rPr>
            </w:pPr>
            <w:r>
              <w:rPr>
                <w:sz w:val="20"/>
                <w:szCs w:val="20"/>
              </w:rPr>
              <w:t>Increase in redeemable noncontrolling interests’ carrying amount</w:t>
            </w:r>
          </w:p>
        </w:tc>
        <w:tc>
          <w:tcPr>
            <w:tcW w:w="50" w:type="pct"/>
            <w:shd w:val="clear" w:color="auto" w:fill="CCEEFF"/>
            <w:vAlign w:val="bottom"/>
            <w:hideMark/>
          </w:tcPr>
          <w:p w14:paraId="3D03F8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6D7B49"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6F1F880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7B2F6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B0D4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E1A1E1"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6C0C1EE9" w14:textId="77777777" w:rsidR="00000000" w:rsidRDefault="0053651E">
            <w:pPr>
              <w:jc w:val="right"/>
              <w:rPr>
                <w:rFonts w:eastAsia="Times New Roman"/>
                <w:sz w:val="20"/>
                <w:szCs w:val="20"/>
              </w:rPr>
            </w:pPr>
            <w:r>
              <w:rPr>
                <w:rFonts w:eastAsia="Times New Roman"/>
                <w:sz w:val="20"/>
                <w:szCs w:val="20"/>
              </w:rPr>
              <w:t>7,521</w:t>
            </w:r>
          </w:p>
        </w:tc>
        <w:tc>
          <w:tcPr>
            <w:tcW w:w="50" w:type="pct"/>
            <w:shd w:val="clear" w:color="auto" w:fill="CCEEFF"/>
            <w:vAlign w:val="bottom"/>
            <w:hideMark/>
          </w:tcPr>
          <w:p w14:paraId="280AB9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744F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0EBA75"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4313E21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CD44532" w14:textId="77777777" w:rsidR="00000000" w:rsidRDefault="0053651E">
            <w:pPr>
              <w:rPr>
                <w:rFonts w:eastAsia="Times New Roman"/>
                <w:sz w:val="20"/>
                <w:szCs w:val="20"/>
              </w:rPr>
            </w:pPr>
            <w:r>
              <w:rPr>
                <w:rFonts w:eastAsia="Times New Roman"/>
                <w:sz w:val="20"/>
                <w:szCs w:val="20"/>
              </w:rPr>
              <w:t> </w:t>
            </w:r>
          </w:p>
        </w:tc>
      </w:tr>
      <w:tr w:rsidR="00000000" w14:paraId="1021AEEF" w14:textId="77777777">
        <w:trPr>
          <w:tblCellSpacing w:w="0" w:type="dxa"/>
        </w:trPr>
        <w:tc>
          <w:tcPr>
            <w:tcW w:w="0" w:type="auto"/>
            <w:shd w:val="clear" w:color="auto" w:fill="FFFFFF"/>
            <w:vAlign w:val="bottom"/>
            <w:hideMark/>
          </w:tcPr>
          <w:p w14:paraId="1C414FEC" w14:textId="77777777" w:rsidR="00000000" w:rsidRDefault="0053651E">
            <w:pPr>
              <w:pStyle w:val="a3"/>
              <w:spacing w:before="0" w:beforeAutospacing="0" w:after="0" w:afterAutospacing="0"/>
              <w:rPr>
                <w:sz w:val="20"/>
                <w:szCs w:val="20"/>
              </w:rPr>
            </w:pPr>
            <w:r>
              <w:rPr>
                <w:sz w:val="20"/>
                <w:szCs w:val="20"/>
              </w:rPr>
              <w:t>Deemed contribution from noncontrolling interest</w:t>
            </w:r>
          </w:p>
        </w:tc>
        <w:tc>
          <w:tcPr>
            <w:tcW w:w="50" w:type="pct"/>
            <w:shd w:val="clear" w:color="auto" w:fill="FFFFFF"/>
            <w:vAlign w:val="bottom"/>
            <w:hideMark/>
          </w:tcPr>
          <w:p w14:paraId="10A3CC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E46F31"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348A8F5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2AA66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3AAB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DB9394"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41B982C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4DA3F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B718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26C32B"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041A4681" w14:textId="77777777" w:rsidR="00000000" w:rsidRDefault="0053651E">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14:paraId="7F0F7C54" w14:textId="77777777" w:rsidR="00000000" w:rsidRDefault="0053651E">
            <w:pPr>
              <w:rPr>
                <w:rFonts w:eastAsia="Times New Roman"/>
                <w:sz w:val="20"/>
                <w:szCs w:val="20"/>
              </w:rPr>
            </w:pPr>
            <w:r>
              <w:rPr>
                <w:rFonts w:eastAsia="Times New Roman"/>
                <w:sz w:val="20"/>
                <w:szCs w:val="20"/>
              </w:rPr>
              <w:t> </w:t>
            </w:r>
          </w:p>
        </w:tc>
      </w:tr>
      <w:tr w:rsidR="00000000" w14:paraId="052F8392" w14:textId="77777777">
        <w:trPr>
          <w:tblCellSpacing w:w="0" w:type="dxa"/>
        </w:trPr>
        <w:tc>
          <w:tcPr>
            <w:tcW w:w="0" w:type="auto"/>
            <w:shd w:val="clear" w:color="auto" w:fill="CCEEFF"/>
            <w:vAlign w:val="bottom"/>
            <w:hideMark/>
          </w:tcPr>
          <w:p w14:paraId="7740C995" w14:textId="77777777" w:rsidR="00000000" w:rsidRDefault="0053651E">
            <w:pPr>
              <w:pStyle w:val="a3"/>
              <w:spacing w:before="0" w:beforeAutospacing="0" w:after="0" w:afterAutospacing="0"/>
              <w:rPr>
                <w:sz w:val="20"/>
                <w:szCs w:val="20"/>
              </w:rPr>
            </w:pPr>
            <w:r>
              <w:rPr>
                <w:sz w:val="20"/>
                <w:szCs w:val="20"/>
              </w:rPr>
              <w:t>Consolidation of Joint Ventures:</w:t>
            </w:r>
          </w:p>
        </w:tc>
        <w:tc>
          <w:tcPr>
            <w:tcW w:w="0" w:type="auto"/>
            <w:shd w:val="clear" w:color="auto" w:fill="CCEEFF"/>
            <w:vAlign w:val="bottom"/>
            <w:hideMark/>
          </w:tcPr>
          <w:p w14:paraId="0B82534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10E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9B0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9D59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4EB9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F98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78AD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685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C4F2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664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C8E0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23B74" w14:textId="77777777" w:rsidR="00000000" w:rsidRDefault="0053651E">
            <w:pPr>
              <w:rPr>
                <w:rFonts w:eastAsia="Times New Roman"/>
                <w:sz w:val="20"/>
                <w:szCs w:val="20"/>
              </w:rPr>
            </w:pPr>
            <w:r>
              <w:rPr>
                <w:rFonts w:eastAsia="Times New Roman"/>
                <w:sz w:val="20"/>
                <w:szCs w:val="20"/>
              </w:rPr>
              <w:t> </w:t>
            </w:r>
          </w:p>
        </w:tc>
      </w:tr>
      <w:tr w:rsidR="00000000" w14:paraId="2E88F91F" w14:textId="77777777">
        <w:trPr>
          <w:tblCellSpacing w:w="0" w:type="dxa"/>
        </w:trPr>
        <w:tc>
          <w:tcPr>
            <w:tcW w:w="0" w:type="auto"/>
            <w:shd w:val="clear" w:color="auto" w:fill="FFFFFF"/>
            <w:vAlign w:val="bottom"/>
            <w:hideMark/>
          </w:tcPr>
          <w:p w14:paraId="0AD734E2" w14:textId="77777777" w:rsidR="00000000" w:rsidRDefault="0053651E">
            <w:pPr>
              <w:pStyle w:val="a3"/>
              <w:spacing w:before="0" w:beforeAutospacing="0" w:after="0" w:afterAutospacing="0"/>
              <w:ind w:left="360"/>
              <w:rPr>
                <w:sz w:val="20"/>
                <w:szCs w:val="20"/>
              </w:rPr>
            </w:pPr>
            <w:r>
              <w:rPr>
                <w:sz w:val="20"/>
                <w:szCs w:val="20"/>
              </w:rPr>
              <w:t>Increase in real estate and other assets, net</w:t>
            </w:r>
          </w:p>
        </w:tc>
        <w:tc>
          <w:tcPr>
            <w:tcW w:w="50" w:type="pct"/>
            <w:shd w:val="clear" w:color="auto" w:fill="FFFFFF"/>
            <w:vAlign w:val="bottom"/>
            <w:hideMark/>
          </w:tcPr>
          <w:p w14:paraId="7D1488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C3DFDA"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506F5EAC" w14:textId="77777777" w:rsidR="00000000" w:rsidRDefault="0053651E">
            <w:pPr>
              <w:jc w:val="right"/>
              <w:rPr>
                <w:rFonts w:eastAsia="Times New Roman"/>
                <w:sz w:val="20"/>
                <w:szCs w:val="20"/>
              </w:rPr>
            </w:pPr>
            <w:r>
              <w:rPr>
                <w:rFonts w:eastAsia="Times New Roman"/>
                <w:sz w:val="20"/>
                <w:szCs w:val="20"/>
              </w:rPr>
              <w:t>7,884</w:t>
            </w:r>
          </w:p>
        </w:tc>
        <w:tc>
          <w:tcPr>
            <w:tcW w:w="50" w:type="pct"/>
            <w:shd w:val="clear" w:color="auto" w:fill="FFFFFF"/>
            <w:vAlign w:val="bottom"/>
            <w:hideMark/>
          </w:tcPr>
          <w:p w14:paraId="5B8FDA5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B7AD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7FFBD8"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3DED995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F213D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302B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0AA97B"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7C14B9E2" w14:textId="77777777" w:rsidR="00000000" w:rsidRDefault="0053651E">
            <w:pPr>
              <w:jc w:val="right"/>
              <w:rPr>
                <w:rFonts w:eastAsia="Times New Roman"/>
                <w:sz w:val="20"/>
                <w:szCs w:val="20"/>
              </w:rPr>
            </w:pPr>
            <w:r>
              <w:rPr>
                <w:rFonts w:eastAsia="Times New Roman"/>
                <w:sz w:val="20"/>
                <w:szCs w:val="20"/>
              </w:rPr>
              <w:t>325,981</w:t>
            </w:r>
          </w:p>
        </w:tc>
        <w:tc>
          <w:tcPr>
            <w:tcW w:w="50" w:type="pct"/>
            <w:shd w:val="clear" w:color="auto" w:fill="FFFFFF"/>
            <w:vAlign w:val="bottom"/>
            <w:hideMark/>
          </w:tcPr>
          <w:p w14:paraId="422C0A03" w14:textId="77777777" w:rsidR="00000000" w:rsidRDefault="0053651E">
            <w:pPr>
              <w:rPr>
                <w:rFonts w:eastAsia="Times New Roman"/>
                <w:sz w:val="20"/>
                <w:szCs w:val="20"/>
              </w:rPr>
            </w:pPr>
            <w:r>
              <w:rPr>
                <w:rFonts w:eastAsia="Times New Roman"/>
                <w:sz w:val="20"/>
                <w:szCs w:val="20"/>
              </w:rPr>
              <w:t> </w:t>
            </w:r>
          </w:p>
        </w:tc>
      </w:tr>
      <w:tr w:rsidR="00000000" w14:paraId="0BCA1223" w14:textId="77777777">
        <w:trPr>
          <w:tblCellSpacing w:w="0" w:type="dxa"/>
        </w:trPr>
        <w:tc>
          <w:tcPr>
            <w:tcW w:w="0" w:type="auto"/>
            <w:shd w:val="clear" w:color="auto" w:fill="CCEEFF"/>
            <w:vAlign w:val="bottom"/>
            <w:hideMark/>
          </w:tcPr>
          <w:p w14:paraId="57C9E08B" w14:textId="77777777" w:rsidR="00000000" w:rsidRDefault="0053651E">
            <w:pPr>
              <w:pStyle w:val="a3"/>
              <w:spacing w:before="0" w:beforeAutospacing="0" w:after="0" w:afterAutospacing="0"/>
              <w:ind w:left="360"/>
              <w:rPr>
                <w:sz w:val="20"/>
                <w:szCs w:val="20"/>
              </w:rPr>
            </w:pPr>
            <w:r>
              <w:rPr>
                <w:sz w:val="20"/>
                <w:szCs w:val="20"/>
              </w:rPr>
              <w:t>Increase in mortgages payable, other liabilities and noncontrolling interests</w:t>
            </w:r>
          </w:p>
        </w:tc>
        <w:tc>
          <w:tcPr>
            <w:tcW w:w="50" w:type="pct"/>
            <w:shd w:val="clear" w:color="auto" w:fill="CCEEFF"/>
            <w:vAlign w:val="bottom"/>
            <w:hideMark/>
          </w:tcPr>
          <w:p w14:paraId="76B81C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3871D4"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60738B2F" w14:textId="77777777" w:rsidR="00000000" w:rsidRDefault="0053651E">
            <w:pPr>
              <w:jc w:val="right"/>
              <w:rPr>
                <w:rFonts w:eastAsia="Times New Roman"/>
                <w:sz w:val="20"/>
                <w:szCs w:val="20"/>
              </w:rPr>
            </w:pPr>
            <w:r>
              <w:rPr>
                <w:rFonts w:eastAsia="Times New Roman"/>
                <w:sz w:val="20"/>
                <w:szCs w:val="20"/>
              </w:rPr>
              <w:t>7,747</w:t>
            </w:r>
          </w:p>
        </w:tc>
        <w:tc>
          <w:tcPr>
            <w:tcW w:w="50" w:type="pct"/>
            <w:shd w:val="clear" w:color="auto" w:fill="CCEEFF"/>
            <w:vAlign w:val="bottom"/>
            <w:hideMark/>
          </w:tcPr>
          <w:p w14:paraId="4BAF7A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FFD2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3B1678"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0FD9EC9D"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656EF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307D4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4358E6"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75B6414C" w14:textId="77777777" w:rsidR="00000000" w:rsidRDefault="0053651E">
            <w:pPr>
              <w:jc w:val="right"/>
              <w:rPr>
                <w:rFonts w:eastAsia="Times New Roman"/>
                <w:sz w:val="20"/>
                <w:szCs w:val="20"/>
              </w:rPr>
            </w:pPr>
            <w:r>
              <w:rPr>
                <w:rFonts w:eastAsia="Times New Roman"/>
                <w:sz w:val="20"/>
                <w:szCs w:val="20"/>
              </w:rPr>
              <w:t>258,626</w:t>
            </w:r>
          </w:p>
        </w:tc>
        <w:tc>
          <w:tcPr>
            <w:tcW w:w="50" w:type="pct"/>
            <w:shd w:val="clear" w:color="auto" w:fill="CCEEFF"/>
            <w:vAlign w:val="bottom"/>
            <w:hideMark/>
          </w:tcPr>
          <w:p w14:paraId="6BF40754" w14:textId="77777777" w:rsidR="00000000" w:rsidRDefault="0053651E">
            <w:pPr>
              <w:rPr>
                <w:rFonts w:eastAsia="Times New Roman"/>
                <w:sz w:val="20"/>
                <w:szCs w:val="20"/>
              </w:rPr>
            </w:pPr>
            <w:r>
              <w:rPr>
                <w:rFonts w:eastAsia="Times New Roman"/>
                <w:sz w:val="20"/>
                <w:szCs w:val="20"/>
              </w:rPr>
              <w:t> </w:t>
            </w:r>
          </w:p>
        </w:tc>
      </w:tr>
      <w:tr w:rsidR="00000000" w14:paraId="34B9CDE0" w14:textId="77777777">
        <w:trPr>
          <w:tblCellSpacing w:w="0" w:type="dxa"/>
        </w:trPr>
        <w:tc>
          <w:tcPr>
            <w:tcW w:w="0" w:type="auto"/>
            <w:shd w:val="clear" w:color="auto" w:fill="FFFFFF"/>
            <w:vAlign w:val="bottom"/>
            <w:hideMark/>
          </w:tcPr>
          <w:p w14:paraId="62267C7D" w14:textId="77777777" w:rsidR="00000000" w:rsidRDefault="0053651E">
            <w:pPr>
              <w:pStyle w:val="a3"/>
              <w:spacing w:before="0" w:beforeAutospacing="0" w:after="0" w:afterAutospacing="0"/>
              <w:rPr>
                <w:sz w:val="20"/>
                <w:szCs w:val="20"/>
              </w:rPr>
            </w:pPr>
            <w:r>
              <w:rPr>
                <w:sz w:val="20"/>
                <w:szCs w:val="20"/>
              </w:rPr>
              <w:t>Deconsolidation of Joint Ventures:</w:t>
            </w:r>
          </w:p>
        </w:tc>
        <w:tc>
          <w:tcPr>
            <w:tcW w:w="0" w:type="auto"/>
            <w:shd w:val="clear" w:color="auto" w:fill="FFFFFF"/>
            <w:vAlign w:val="bottom"/>
            <w:hideMark/>
          </w:tcPr>
          <w:p w14:paraId="7982B4F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4E3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8317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DA7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E5F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9149D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B077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EB11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502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43CE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4848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BF885" w14:textId="77777777" w:rsidR="00000000" w:rsidRDefault="0053651E">
            <w:pPr>
              <w:rPr>
                <w:rFonts w:eastAsia="Times New Roman"/>
                <w:sz w:val="20"/>
                <w:szCs w:val="20"/>
              </w:rPr>
            </w:pPr>
            <w:r>
              <w:rPr>
                <w:rFonts w:eastAsia="Times New Roman"/>
                <w:sz w:val="20"/>
                <w:szCs w:val="20"/>
              </w:rPr>
              <w:t> </w:t>
            </w:r>
          </w:p>
        </w:tc>
      </w:tr>
      <w:tr w:rsidR="00000000" w14:paraId="593A833A" w14:textId="77777777">
        <w:trPr>
          <w:tblCellSpacing w:w="0" w:type="dxa"/>
        </w:trPr>
        <w:tc>
          <w:tcPr>
            <w:tcW w:w="0" w:type="auto"/>
            <w:shd w:val="clear" w:color="auto" w:fill="CCEEFF"/>
            <w:vAlign w:val="bottom"/>
            <w:hideMark/>
          </w:tcPr>
          <w:p w14:paraId="571BCFC2" w14:textId="77777777" w:rsidR="00000000" w:rsidRDefault="0053651E">
            <w:pPr>
              <w:pStyle w:val="a3"/>
              <w:spacing w:before="0" w:beforeAutospacing="0" w:after="0" w:afterAutospacing="0"/>
              <w:ind w:left="360"/>
              <w:rPr>
                <w:sz w:val="20"/>
                <w:szCs w:val="20"/>
              </w:rPr>
            </w:pPr>
            <w:r>
              <w:rPr>
                <w:sz w:val="20"/>
                <w:szCs w:val="20"/>
              </w:rPr>
              <w:t>Decrease in real estate and other assets</w:t>
            </w:r>
          </w:p>
        </w:tc>
        <w:tc>
          <w:tcPr>
            <w:tcW w:w="50" w:type="pct"/>
            <w:shd w:val="clear" w:color="auto" w:fill="CCEEFF"/>
            <w:vAlign w:val="bottom"/>
            <w:hideMark/>
          </w:tcPr>
          <w:p w14:paraId="60FE26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296AE9"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7CF7215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FC614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1B46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70D730"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55FC4AB1" w14:textId="77777777" w:rsidR="00000000" w:rsidRDefault="0053651E">
            <w:pPr>
              <w:jc w:val="right"/>
              <w:rPr>
                <w:rFonts w:eastAsia="Times New Roman"/>
                <w:sz w:val="20"/>
                <w:szCs w:val="20"/>
              </w:rPr>
            </w:pPr>
            <w:r>
              <w:rPr>
                <w:rFonts w:eastAsia="Times New Roman"/>
                <w:sz w:val="20"/>
                <w:szCs w:val="20"/>
              </w:rPr>
              <w:t>300,299</w:t>
            </w:r>
          </w:p>
        </w:tc>
        <w:tc>
          <w:tcPr>
            <w:tcW w:w="50" w:type="pct"/>
            <w:shd w:val="clear" w:color="auto" w:fill="CCEEFF"/>
            <w:vAlign w:val="bottom"/>
            <w:hideMark/>
          </w:tcPr>
          <w:p w14:paraId="4ACA44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B9EC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AD1F6D"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739B4D3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7ED64A3" w14:textId="77777777" w:rsidR="00000000" w:rsidRDefault="0053651E">
            <w:pPr>
              <w:rPr>
                <w:rFonts w:eastAsia="Times New Roman"/>
                <w:sz w:val="20"/>
                <w:szCs w:val="20"/>
              </w:rPr>
            </w:pPr>
            <w:r>
              <w:rPr>
                <w:rFonts w:eastAsia="Times New Roman"/>
                <w:sz w:val="20"/>
                <w:szCs w:val="20"/>
              </w:rPr>
              <w:t> </w:t>
            </w:r>
          </w:p>
        </w:tc>
      </w:tr>
      <w:tr w:rsidR="00000000" w14:paraId="2C3C99D9" w14:textId="77777777">
        <w:trPr>
          <w:tblCellSpacing w:w="0" w:type="dxa"/>
        </w:trPr>
        <w:tc>
          <w:tcPr>
            <w:tcW w:w="0" w:type="auto"/>
            <w:shd w:val="clear" w:color="auto" w:fill="FFFFFF"/>
            <w:vAlign w:val="bottom"/>
            <w:hideMark/>
          </w:tcPr>
          <w:p w14:paraId="34C922E2" w14:textId="77777777" w:rsidR="00000000" w:rsidRDefault="0053651E">
            <w:pPr>
              <w:pStyle w:val="a3"/>
              <w:spacing w:before="0" w:beforeAutospacing="0" w:after="0" w:afterAutospacing="0"/>
              <w:ind w:left="360"/>
              <w:rPr>
                <w:sz w:val="20"/>
                <w:szCs w:val="20"/>
              </w:rPr>
            </w:pPr>
            <w:r>
              <w:rPr>
                <w:sz w:val="20"/>
                <w:szCs w:val="20"/>
              </w:rPr>
              <w:t>Increase in investments in and advances to real estate joint ventures</w:t>
            </w:r>
          </w:p>
        </w:tc>
        <w:tc>
          <w:tcPr>
            <w:tcW w:w="50" w:type="pct"/>
            <w:shd w:val="clear" w:color="auto" w:fill="FFFFFF"/>
            <w:vAlign w:val="bottom"/>
            <w:hideMark/>
          </w:tcPr>
          <w:p w14:paraId="234C17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339265"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0A83FFCA"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4F8AC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06DB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1F6A0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5532A485" w14:textId="77777777" w:rsidR="00000000" w:rsidRDefault="0053651E">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12DE5B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629D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45E37C" w14:textId="77777777" w:rsidR="00000000" w:rsidRDefault="0053651E">
            <w:pPr>
              <w:rPr>
                <w:rFonts w:eastAsia="Times New Roman"/>
                <w:sz w:val="20"/>
                <w:szCs w:val="20"/>
              </w:rPr>
            </w:pPr>
            <w:r>
              <w:rPr>
                <w:rFonts w:eastAsia="Times New Roman"/>
                <w:sz w:val="20"/>
                <w:szCs w:val="20"/>
              </w:rPr>
              <w:t>$</w:t>
            </w:r>
          </w:p>
        </w:tc>
        <w:tc>
          <w:tcPr>
            <w:tcW w:w="550" w:type="pct"/>
            <w:shd w:val="clear" w:color="auto" w:fill="FFFFFF"/>
            <w:vAlign w:val="bottom"/>
            <w:hideMark/>
          </w:tcPr>
          <w:p w14:paraId="1D34D64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F0E220A" w14:textId="77777777" w:rsidR="00000000" w:rsidRDefault="0053651E">
            <w:pPr>
              <w:rPr>
                <w:rFonts w:eastAsia="Times New Roman"/>
                <w:sz w:val="20"/>
                <w:szCs w:val="20"/>
              </w:rPr>
            </w:pPr>
            <w:r>
              <w:rPr>
                <w:rFonts w:eastAsia="Times New Roman"/>
                <w:sz w:val="20"/>
                <w:szCs w:val="20"/>
              </w:rPr>
              <w:t> </w:t>
            </w:r>
          </w:p>
        </w:tc>
      </w:tr>
      <w:tr w:rsidR="00000000" w14:paraId="738D02F0" w14:textId="77777777">
        <w:trPr>
          <w:tblCellSpacing w:w="0" w:type="dxa"/>
        </w:trPr>
        <w:tc>
          <w:tcPr>
            <w:tcW w:w="0" w:type="auto"/>
            <w:shd w:val="clear" w:color="auto" w:fill="CCEEFF"/>
            <w:vAlign w:val="bottom"/>
            <w:hideMark/>
          </w:tcPr>
          <w:p w14:paraId="2BE6E6DC" w14:textId="77777777" w:rsidR="00000000" w:rsidRDefault="0053651E">
            <w:pPr>
              <w:pStyle w:val="a3"/>
              <w:spacing w:before="0" w:beforeAutospacing="0" w:after="0" w:afterAutospacing="0"/>
              <w:ind w:left="360"/>
              <w:rPr>
                <w:sz w:val="20"/>
                <w:szCs w:val="20"/>
              </w:rPr>
            </w:pPr>
            <w:r>
              <w:rPr>
                <w:sz w:val="20"/>
                <w:szCs w:val="20"/>
              </w:rPr>
              <w:t>Decrease in mortgages and construction loan payable, other liabilities and noncontrolling interests</w:t>
            </w:r>
          </w:p>
        </w:tc>
        <w:tc>
          <w:tcPr>
            <w:tcW w:w="50" w:type="pct"/>
            <w:shd w:val="clear" w:color="auto" w:fill="CCEEFF"/>
            <w:vAlign w:val="bottom"/>
            <w:hideMark/>
          </w:tcPr>
          <w:p w14:paraId="543355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5B1F9E"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52D8CB4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1FB96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B72A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C39A2"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779BBCA9" w14:textId="77777777" w:rsidR="00000000" w:rsidRDefault="0053651E">
            <w:pPr>
              <w:jc w:val="right"/>
              <w:rPr>
                <w:rFonts w:eastAsia="Times New Roman"/>
                <w:sz w:val="20"/>
                <w:szCs w:val="20"/>
              </w:rPr>
            </w:pPr>
            <w:r>
              <w:rPr>
                <w:rFonts w:eastAsia="Times New Roman"/>
                <w:sz w:val="20"/>
                <w:szCs w:val="20"/>
              </w:rPr>
              <w:t>248,274</w:t>
            </w:r>
          </w:p>
        </w:tc>
        <w:tc>
          <w:tcPr>
            <w:tcW w:w="50" w:type="pct"/>
            <w:shd w:val="clear" w:color="auto" w:fill="CCEEFF"/>
            <w:vAlign w:val="bottom"/>
            <w:hideMark/>
          </w:tcPr>
          <w:p w14:paraId="2CA1A4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23DA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D0C56" w14:textId="77777777" w:rsidR="00000000" w:rsidRDefault="0053651E">
            <w:pPr>
              <w:rPr>
                <w:rFonts w:eastAsia="Times New Roman"/>
                <w:sz w:val="20"/>
                <w:szCs w:val="20"/>
              </w:rPr>
            </w:pPr>
            <w:r>
              <w:rPr>
                <w:rFonts w:eastAsia="Times New Roman"/>
                <w:sz w:val="20"/>
                <w:szCs w:val="20"/>
              </w:rPr>
              <w:t>$</w:t>
            </w:r>
          </w:p>
        </w:tc>
        <w:tc>
          <w:tcPr>
            <w:tcW w:w="550" w:type="pct"/>
            <w:shd w:val="clear" w:color="auto" w:fill="CCEEFF"/>
            <w:vAlign w:val="bottom"/>
            <w:hideMark/>
          </w:tcPr>
          <w:p w14:paraId="7A4EFDF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3717B1E" w14:textId="77777777" w:rsidR="00000000" w:rsidRDefault="0053651E">
            <w:pPr>
              <w:rPr>
                <w:rFonts w:eastAsia="Times New Roman"/>
                <w:sz w:val="20"/>
                <w:szCs w:val="20"/>
              </w:rPr>
            </w:pPr>
            <w:r>
              <w:rPr>
                <w:rFonts w:eastAsia="Times New Roman"/>
                <w:sz w:val="20"/>
                <w:szCs w:val="20"/>
              </w:rPr>
              <w:t> </w:t>
            </w:r>
          </w:p>
        </w:tc>
      </w:tr>
    </w:tbl>
    <w:p w14:paraId="03B6B79D" w14:textId="77777777" w:rsidR="00000000" w:rsidRDefault="0053651E">
      <w:pPr>
        <w:pStyle w:val="a3"/>
        <w:spacing w:before="0" w:beforeAutospacing="0" w:after="0" w:afterAutospacing="0"/>
        <w:jc w:val="both"/>
        <w:rPr>
          <w:sz w:val="20"/>
          <w:szCs w:val="20"/>
        </w:rPr>
      </w:pPr>
      <w:r>
        <w:rPr>
          <w:sz w:val="20"/>
          <w:szCs w:val="20"/>
        </w:rPr>
        <w:t> </w:t>
      </w:r>
    </w:p>
    <w:p w14:paraId="13AEB06B" w14:textId="77777777" w:rsidR="00000000" w:rsidRDefault="0053651E">
      <w:pPr>
        <w:divId w:val="1288052346"/>
        <w:rPr>
          <w:rFonts w:eastAsia="Times New Roman"/>
          <w:sz w:val="20"/>
          <w:szCs w:val="20"/>
        </w:rPr>
      </w:pPr>
      <w:r>
        <w:rPr>
          <w:rFonts w:eastAsia="Times New Roman"/>
          <w:sz w:val="20"/>
          <w:szCs w:val="20"/>
        </w:rPr>
        <w:t xml:space="preserve">  </w:t>
      </w:r>
    </w:p>
    <w:p w14:paraId="2FB2BD0F"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18.</w:t>
      </w:r>
      <w:r>
        <w:rPr>
          <w:sz w:val="20"/>
          <w:szCs w:val="20"/>
        </w:rPr>
        <w:t>  </w:t>
      </w:r>
      <w:r>
        <w:rPr>
          <w:sz w:val="20"/>
          <w:szCs w:val="20"/>
          <w:u w:val="single"/>
        </w:rPr>
        <w:t>Transactions with Related Parties</w:t>
      </w:r>
      <w:r>
        <w:rPr>
          <w:sz w:val="20"/>
          <w:szCs w:val="20"/>
        </w:rPr>
        <w:t>:</w:t>
      </w:r>
    </w:p>
    <w:p w14:paraId="770BA729" w14:textId="77777777" w:rsidR="00000000" w:rsidRDefault="0053651E">
      <w:pPr>
        <w:pStyle w:val="a3"/>
        <w:spacing w:before="0" w:beforeAutospacing="0" w:after="0" w:afterAutospacing="0"/>
        <w:ind w:left="360"/>
        <w:jc w:val="both"/>
        <w:rPr>
          <w:sz w:val="20"/>
          <w:szCs w:val="20"/>
        </w:rPr>
      </w:pPr>
      <w:r>
        <w:rPr>
          <w:sz w:val="20"/>
          <w:szCs w:val="20"/>
        </w:rPr>
        <w:t> </w:t>
      </w:r>
    </w:p>
    <w:p w14:paraId="1518D160" w14:textId="77777777" w:rsidR="00000000" w:rsidRDefault="0053651E">
      <w:pPr>
        <w:pStyle w:val="a3"/>
        <w:spacing w:before="0" w:beforeAutospacing="0" w:after="0" w:afterAutospacing="0"/>
        <w:ind w:left="360"/>
        <w:jc w:val="both"/>
        <w:rPr>
          <w:sz w:val="20"/>
          <w:szCs w:val="20"/>
        </w:rPr>
      </w:pPr>
      <w:r>
        <w:rPr>
          <w:sz w:val="20"/>
          <w:szCs w:val="20"/>
        </w:rPr>
        <w:t>The Company provides management services for shopping centers owned principally by affiliated entities and various real estate joint ventures in which certain stockholders of the Company have economic interests. Such services are performed pursuant to mana</w:t>
      </w:r>
      <w:r>
        <w:rPr>
          <w:sz w:val="20"/>
          <w:szCs w:val="20"/>
        </w:rPr>
        <w:t>gement agreements which provide for fees based upon a percentage of gross revenues from the properties and other direct costs incurred in connection with management of the centers. Substantially all of the Management and other fee income on the Company’s C</w:t>
      </w:r>
      <w:r>
        <w:rPr>
          <w:sz w:val="20"/>
          <w:szCs w:val="20"/>
        </w:rPr>
        <w:t>onsolidated Statements of Income constitute fees earned from affiliated entities. Reference is made to Footnotes</w:t>
      </w:r>
      <w:r>
        <w:rPr>
          <w:sz w:val="20"/>
          <w:szCs w:val="20"/>
        </w:rPr>
        <w:t xml:space="preserve"> </w:t>
      </w:r>
      <w:r>
        <w:rPr>
          <w:rStyle w:val="a6"/>
          <w:i w:val="0"/>
          <w:iCs w:val="0"/>
          <w:sz w:val="20"/>
          <w:szCs w:val="20"/>
        </w:rPr>
        <w:t>3</w:t>
      </w:r>
      <w:r>
        <w:rPr>
          <w:sz w:val="20"/>
          <w:szCs w:val="20"/>
        </w:rPr>
        <w:t xml:space="preserve"> and</w:t>
      </w:r>
      <w:r>
        <w:rPr>
          <w:sz w:val="20"/>
          <w:szCs w:val="20"/>
        </w:rPr>
        <w:t> </w:t>
      </w:r>
      <w:r>
        <w:rPr>
          <w:rStyle w:val="a6"/>
          <w:i w:val="0"/>
          <w:iCs w:val="0"/>
          <w:sz w:val="20"/>
          <w:szCs w:val="20"/>
        </w:rPr>
        <w:t>7</w:t>
      </w:r>
      <w:r>
        <w:rPr>
          <w:sz w:val="20"/>
          <w:szCs w:val="20"/>
        </w:rPr>
        <w:t xml:space="preserve"> of the Notes to Consolidated Financial Statements for additional information regarding transactions with related parties.</w:t>
      </w:r>
    </w:p>
    <w:p w14:paraId="7424FE8D" w14:textId="77777777" w:rsidR="00000000" w:rsidRDefault="0053651E">
      <w:pPr>
        <w:pStyle w:val="a3"/>
        <w:spacing w:before="0" w:beforeAutospacing="0" w:after="0" w:afterAutospacing="0"/>
        <w:ind w:left="360"/>
        <w:jc w:val="both"/>
        <w:rPr>
          <w:sz w:val="20"/>
          <w:szCs w:val="20"/>
        </w:rPr>
      </w:pPr>
      <w:r>
        <w:rPr>
          <w:sz w:val="20"/>
          <w:szCs w:val="20"/>
        </w:rPr>
        <w:t> </w:t>
      </w:r>
    </w:p>
    <w:p w14:paraId="4A466DA5" w14:textId="77777777" w:rsidR="00000000" w:rsidRDefault="0053651E">
      <w:pPr>
        <w:pStyle w:val="a3"/>
        <w:spacing w:before="0" w:beforeAutospacing="0" w:after="0" w:afterAutospacing="0"/>
        <w:ind w:left="360"/>
        <w:jc w:val="both"/>
        <w:rPr>
          <w:sz w:val="20"/>
          <w:szCs w:val="20"/>
        </w:rPr>
      </w:pPr>
      <w:r>
        <w:rPr>
          <w:i/>
          <w:iCs/>
          <w:sz w:val="20"/>
          <w:szCs w:val="20"/>
        </w:rPr>
        <w:t>Ripco</w:t>
      </w:r>
    </w:p>
    <w:p w14:paraId="0AE927B0" w14:textId="77777777" w:rsidR="00000000" w:rsidRDefault="0053651E">
      <w:pPr>
        <w:pStyle w:val="a3"/>
        <w:spacing w:before="0" w:beforeAutospacing="0" w:after="0" w:afterAutospacing="0"/>
        <w:ind w:left="360"/>
        <w:jc w:val="both"/>
        <w:rPr>
          <w:sz w:val="20"/>
          <w:szCs w:val="20"/>
        </w:rPr>
      </w:pPr>
      <w:r>
        <w:rPr>
          <w:sz w:val="20"/>
          <w:szCs w:val="20"/>
        </w:rPr>
        <w:t> </w:t>
      </w:r>
    </w:p>
    <w:p w14:paraId="2DA44F20" w14:textId="77777777" w:rsidR="00000000" w:rsidRDefault="0053651E">
      <w:pPr>
        <w:pStyle w:val="a3"/>
        <w:spacing w:before="0" w:beforeAutospacing="0" w:after="0" w:afterAutospacing="0"/>
        <w:ind w:left="360"/>
        <w:jc w:val="both"/>
        <w:rPr>
          <w:sz w:val="20"/>
          <w:szCs w:val="20"/>
        </w:rPr>
      </w:pPr>
      <w:r>
        <w:rPr>
          <w:sz w:val="20"/>
          <w:szCs w:val="20"/>
        </w:rPr>
        <w:t>Rip</w:t>
      </w:r>
      <w:r>
        <w:rPr>
          <w:sz w:val="20"/>
          <w:szCs w:val="20"/>
        </w:rPr>
        <w:t>co Real Estate Corp. (“Ripco”) business activities include serving as a leasing agent and representative for national and regional retailers including Target, Best Buy, Kohl’s and many others, providing real estate brokerage services and principal real est</w:t>
      </w:r>
      <w:r>
        <w:rPr>
          <w:sz w:val="20"/>
          <w:szCs w:val="20"/>
        </w:rPr>
        <w:t>ate investing. Todd Cooper, an officer and 50% shareholder of Ripco, is a son of Milton Cooper, Executive Chairman of the Board of Directors of the Company. During</w:t>
      </w:r>
      <w:r>
        <w:rPr>
          <w:sz w:val="20"/>
          <w:szCs w:val="20"/>
        </w:rPr>
        <w:t xml:space="preserve"> </w:t>
      </w:r>
      <w:r>
        <w:rPr>
          <w:rStyle w:val="a6"/>
          <w:i w:val="0"/>
          <w:iCs w:val="0"/>
          <w:sz w:val="20"/>
          <w:szCs w:val="20"/>
        </w:rPr>
        <w:t>2019,</w:t>
      </w:r>
      <w:r>
        <w:rPr>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the Company paid brokerage commissions of $0.4 million, $0.2 million an</w:t>
      </w:r>
      <w:r>
        <w:rPr>
          <w:sz w:val="20"/>
          <w:szCs w:val="20"/>
        </w:rPr>
        <w:t>d $0.4 million, respectively, to Ripco for services rendered primarily as leasing agent for various national tenants in shopping center properties owned by the Company.</w:t>
      </w:r>
    </w:p>
    <w:p w14:paraId="137C3D58" w14:textId="77777777" w:rsidR="00000000" w:rsidRDefault="0053651E">
      <w:pPr>
        <w:pStyle w:val="a3"/>
        <w:spacing w:before="0" w:beforeAutospacing="0" w:after="0" w:afterAutospacing="0"/>
        <w:ind w:left="360"/>
        <w:jc w:val="both"/>
        <w:rPr>
          <w:sz w:val="20"/>
          <w:szCs w:val="20"/>
        </w:rPr>
      </w:pPr>
      <w:r>
        <w:rPr>
          <w:i/>
          <w:iCs/>
          <w:sz w:val="20"/>
          <w:szCs w:val="20"/>
        </w:rPr>
        <w:t> </w:t>
      </w:r>
    </w:p>
    <w:p w14:paraId="204A0DB8" w14:textId="77777777" w:rsidR="00000000" w:rsidRDefault="0053651E">
      <w:pPr>
        <w:pStyle w:val="a3"/>
        <w:spacing w:before="0" w:beforeAutospacing="0" w:after="0" w:afterAutospacing="0"/>
        <w:ind w:left="360"/>
        <w:jc w:val="both"/>
        <w:rPr>
          <w:sz w:val="20"/>
          <w:szCs w:val="20"/>
        </w:rPr>
      </w:pPr>
      <w:r>
        <w:rPr>
          <w:sz w:val="20"/>
          <w:szCs w:val="20"/>
        </w:rPr>
        <w:t> </w:t>
      </w:r>
    </w:p>
    <w:p w14:paraId="53FD20E3" w14:textId="77777777" w:rsidR="00000000" w:rsidRDefault="0053651E">
      <w:pPr>
        <w:pStyle w:val="a3"/>
        <w:spacing w:before="0" w:beforeAutospacing="0" w:after="0" w:afterAutospacing="0"/>
        <w:ind w:left="360"/>
        <w:jc w:val="both"/>
        <w:rPr>
          <w:sz w:val="20"/>
          <w:szCs w:val="20"/>
        </w:rPr>
      </w:pPr>
      <w:r>
        <w:rPr>
          <w:i/>
          <w:iCs/>
          <w:sz w:val="20"/>
          <w:szCs w:val="20"/>
        </w:rPr>
        <w:t>ProHEALTH</w:t>
      </w:r>
    </w:p>
    <w:p w14:paraId="30E38486" w14:textId="77777777" w:rsidR="00000000" w:rsidRDefault="0053651E">
      <w:pPr>
        <w:pStyle w:val="a3"/>
        <w:spacing w:before="0" w:beforeAutospacing="0" w:after="0" w:afterAutospacing="0"/>
        <w:ind w:left="360"/>
        <w:jc w:val="both"/>
        <w:rPr>
          <w:sz w:val="20"/>
          <w:szCs w:val="20"/>
        </w:rPr>
      </w:pPr>
      <w:r>
        <w:rPr>
          <w:sz w:val="20"/>
          <w:szCs w:val="20"/>
        </w:rPr>
        <w:t> </w:t>
      </w:r>
    </w:p>
    <w:p w14:paraId="235FDD47" w14:textId="77777777" w:rsidR="00000000" w:rsidRDefault="0053651E">
      <w:pPr>
        <w:pStyle w:val="a3"/>
        <w:spacing w:before="0" w:beforeAutospacing="0" w:after="0" w:afterAutospacing="0"/>
        <w:ind w:left="360"/>
        <w:jc w:val="both"/>
        <w:rPr>
          <w:sz w:val="20"/>
          <w:szCs w:val="20"/>
        </w:rPr>
      </w:pPr>
      <w:r>
        <w:rPr>
          <w:sz w:val="20"/>
          <w:szCs w:val="20"/>
        </w:rPr>
        <w:t xml:space="preserve">ProHEALTH is </w:t>
      </w:r>
      <w:r>
        <w:rPr>
          <w:sz w:val="20"/>
          <w:szCs w:val="20"/>
        </w:rPr>
        <w:t>a multi-specialty physician group practice offering</w:t>
      </w:r>
      <w:r>
        <w:rPr>
          <w:sz w:val="20"/>
          <w:szCs w:val="20"/>
        </w:rPr>
        <w:t xml:space="preserve"> </w:t>
      </w:r>
      <w:r>
        <w:rPr>
          <w:rStyle w:val="a6"/>
          <w:i w:val="0"/>
          <w:iCs w:val="0"/>
          <w:sz w:val="20"/>
          <w:szCs w:val="20"/>
        </w:rPr>
        <w:t>one</w:t>
      </w:r>
      <w:r>
        <w:rPr>
          <w:sz w:val="20"/>
          <w:szCs w:val="20"/>
        </w:rPr>
        <w:t xml:space="preserve">-stop health care. Dr. David Cooper, M.D. and Dr. Clifford Cooper, M.D. were minority owners of ProHEALTH and are sons of Milton Cooper, Executive Chairman of the Board of Directors of the Company. As </w:t>
      </w:r>
      <w:r>
        <w:rPr>
          <w:sz w:val="20"/>
          <w:szCs w:val="20"/>
        </w:rPr>
        <w:t>of</w:t>
      </w:r>
      <w:r>
        <w:rPr>
          <w:sz w:val="20"/>
          <w:szCs w:val="20"/>
        </w:rPr>
        <w:t xml:space="preserve"> </w:t>
      </w:r>
      <w:r>
        <w:rPr>
          <w:rStyle w:val="a6"/>
          <w:i w:val="0"/>
          <w:iCs w:val="0"/>
          <w:sz w:val="20"/>
          <w:szCs w:val="20"/>
        </w:rPr>
        <w:t xml:space="preserve">December 31, 2019, </w:t>
      </w:r>
      <w:r>
        <w:rPr>
          <w:sz w:val="20"/>
          <w:szCs w:val="20"/>
        </w:rPr>
        <w:t>Dr. David Cooper, M.D. and Dr. Clifford Cooper, M.D.</w:t>
      </w:r>
      <w:r>
        <w:rPr>
          <w:sz w:val="20"/>
          <w:szCs w:val="20"/>
        </w:rPr>
        <w:t xml:space="preserve"> </w:t>
      </w:r>
      <w:r>
        <w:rPr>
          <w:rStyle w:val="a6"/>
          <w:i w:val="0"/>
          <w:iCs w:val="0"/>
          <w:sz w:val="20"/>
          <w:szCs w:val="20"/>
        </w:rPr>
        <w:t>no</w:t>
      </w:r>
      <w:r>
        <w:rPr>
          <w:sz w:val="20"/>
          <w:szCs w:val="20"/>
        </w:rPr>
        <w:t xml:space="preserve"> longer have an affiliation with ProHEALTH.  David Cooper is the father of Ross Cooper, President and Chief Investment Officer of the Company.  ProHEALTH and/or its affiliates (“P</w:t>
      </w:r>
      <w:r>
        <w:rPr>
          <w:sz w:val="20"/>
          <w:szCs w:val="20"/>
        </w:rPr>
        <w:t xml:space="preserve">roHEALTH”) have leasing arrangements with the Company whereby two consolidated property locations are currently under lease.  Total contractual annual base rent received by the Company from these ProHEALTH leasing arrangements was $0.4 million for each of </w:t>
      </w:r>
      <w:r>
        <w:rPr>
          <w:sz w:val="20"/>
          <w:szCs w:val="20"/>
        </w:rPr>
        <w:t>the years ended</w:t>
      </w:r>
      <w:r>
        <w:rPr>
          <w:sz w:val="20"/>
          <w:szCs w:val="20"/>
        </w:rPr>
        <w:t xml:space="preserve"> </w:t>
      </w:r>
      <w:r>
        <w:rPr>
          <w:rStyle w:val="a6"/>
          <w:i w:val="0"/>
          <w:iCs w:val="0"/>
          <w:sz w:val="20"/>
          <w:szCs w:val="20"/>
        </w:rPr>
        <w:t>December 31, 2018 </w:t>
      </w:r>
      <w:r>
        <w:rPr>
          <w:sz w:val="20"/>
          <w:szCs w:val="20"/>
        </w:rPr>
        <w:t>and</w:t>
      </w:r>
      <w:r>
        <w:rPr>
          <w:sz w:val="20"/>
          <w:szCs w:val="20"/>
        </w:rPr>
        <w:t xml:space="preserve"> </w:t>
      </w:r>
      <w:r>
        <w:rPr>
          <w:rStyle w:val="a6"/>
          <w:i w:val="0"/>
          <w:iCs w:val="0"/>
          <w:sz w:val="20"/>
          <w:szCs w:val="20"/>
        </w:rPr>
        <w:t>2017.</w:t>
      </w:r>
      <w:r>
        <w:rPr>
          <w:sz w:val="20"/>
          <w:szCs w:val="20"/>
        </w:rPr>
        <w:t> </w:t>
      </w:r>
    </w:p>
    <w:p w14:paraId="2FB8A30B" w14:textId="77777777" w:rsidR="00000000" w:rsidRDefault="0053651E">
      <w:pPr>
        <w:pStyle w:val="a3"/>
        <w:spacing w:before="0" w:beforeAutospacing="0" w:after="0" w:afterAutospacing="0"/>
        <w:ind w:left="360"/>
        <w:jc w:val="both"/>
        <w:rPr>
          <w:sz w:val="20"/>
          <w:szCs w:val="20"/>
        </w:rPr>
      </w:pPr>
      <w:r>
        <w:rPr>
          <w:sz w:val="20"/>
          <w:szCs w:val="20"/>
        </w:rPr>
        <w:t> </w:t>
      </w:r>
    </w:p>
    <w:p w14:paraId="5953A3F4" w14:textId="77777777" w:rsidR="00000000" w:rsidRDefault="0053651E">
      <w:pPr>
        <w:divId w:val="1214850656"/>
        <w:rPr>
          <w:rFonts w:eastAsia="Times New Roman"/>
          <w:sz w:val="20"/>
          <w:szCs w:val="20"/>
        </w:rPr>
      </w:pPr>
      <w:r>
        <w:rPr>
          <w:rFonts w:eastAsia="Times New Roman"/>
          <w:sz w:val="20"/>
          <w:szCs w:val="20"/>
        </w:rPr>
        <w:t xml:space="preserve">  </w:t>
      </w:r>
    </w:p>
    <w:p w14:paraId="78C5A200"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19.</w:t>
      </w:r>
      <w:r>
        <w:rPr>
          <w:sz w:val="20"/>
          <w:szCs w:val="20"/>
        </w:rPr>
        <w:t>  </w:t>
      </w:r>
      <w:r>
        <w:rPr>
          <w:sz w:val="20"/>
          <w:szCs w:val="20"/>
          <w:u w:val="single"/>
        </w:rPr>
        <w:t>Commitments and Contingencies</w:t>
      </w:r>
      <w:r>
        <w:rPr>
          <w:sz w:val="20"/>
          <w:szCs w:val="20"/>
        </w:rPr>
        <w:t>:</w:t>
      </w:r>
    </w:p>
    <w:p w14:paraId="50E4DC73" w14:textId="77777777" w:rsidR="00000000" w:rsidRDefault="0053651E">
      <w:pPr>
        <w:pStyle w:val="a3"/>
        <w:spacing w:before="0" w:beforeAutospacing="0" w:after="0" w:afterAutospacing="0"/>
        <w:rPr>
          <w:sz w:val="20"/>
          <w:szCs w:val="20"/>
        </w:rPr>
      </w:pPr>
      <w:r>
        <w:rPr>
          <w:i/>
          <w:iCs/>
          <w:sz w:val="20"/>
          <w:szCs w:val="20"/>
        </w:rPr>
        <w:t> </w:t>
      </w:r>
    </w:p>
    <w:p w14:paraId="76EA0AC1" w14:textId="77777777" w:rsidR="00000000" w:rsidRDefault="0053651E">
      <w:pPr>
        <w:pStyle w:val="a3"/>
        <w:spacing w:before="0" w:beforeAutospacing="0" w:after="0" w:afterAutospacing="0"/>
        <w:ind w:left="360"/>
        <w:jc w:val="both"/>
        <w:rPr>
          <w:sz w:val="20"/>
          <w:szCs w:val="20"/>
        </w:rPr>
      </w:pPr>
      <w:r>
        <w:rPr>
          <w:i/>
          <w:iCs/>
          <w:sz w:val="20"/>
          <w:szCs w:val="20"/>
        </w:rPr>
        <w:t>Operations</w:t>
      </w:r>
    </w:p>
    <w:p w14:paraId="0BAB8C4C" w14:textId="77777777" w:rsidR="00000000" w:rsidRDefault="0053651E">
      <w:pPr>
        <w:pStyle w:val="a3"/>
        <w:spacing w:before="0" w:beforeAutospacing="0" w:after="0" w:afterAutospacing="0"/>
        <w:ind w:left="360"/>
        <w:jc w:val="both"/>
        <w:rPr>
          <w:sz w:val="20"/>
          <w:szCs w:val="20"/>
        </w:rPr>
      </w:pPr>
      <w:r>
        <w:rPr>
          <w:sz w:val="20"/>
          <w:szCs w:val="20"/>
        </w:rPr>
        <w:t> </w:t>
      </w:r>
    </w:p>
    <w:p w14:paraId="4F31EE97" w14:textId="77777777" w:rsidR="00000000" w:rsidRDefault="0053651E">
      <w:pPr>
        <w:pStyle w:val="a3"/>
        <w:spacing w:before="0" w:beforeAutospacing="0" w:after="0" w:afterAutospacing="0"/>
        <w:ind w:left="360"/>
        <w:jc w:val="both"/>
        <w:rPr>
          <w:sz w:val="20"/>
          <w:szCs w:val="20"/>
        </w:rPr>
      </w:pPr>
      <w:r>
        <w:rPr>
          <w:sz w:val="20"/>
          <w:szCs w:val="20"/>
        </w:rPr>
        <w:t>The Company is primarily engaged in the operation of shopping centers that are either owned or held under long-term leases that expire at various dates thr</w:t>
      </w:r>
      <w:r>
        <w:rPr>
          <w:sz w:val="20"/>
          <w:szCs w:val="20"/>
        </w:rPr>
        <w:t>ough</w:t>
      </w:r>
      <w:r>
        <w:rPr>
          <w:sz w:val="20"/>
          <w:szCs w:val="20"/>
        </w:rPr>
        <w:t xml:space="preserve"> </w:t>
      </w:r>
      <w:r>
        <w:rPr>
          <w:rStyle w:val="a6"/>
          <w:i w:val="0"/>
          <w:iCs w:val="0"/>
          <w:sz w:val="20"/>
          <w:szCs w:val="20"/>
        </w:rPr>
        <w:t>2109.</w:t>
      </w:r>
      <w:r>
        <w:rPr>
          <w:sz w:val="20"/>
          <w:szCs w:val="20"/>
        </w:rPr>
        <w:t xml:space="preserve"> The Company, in turn, leases premises in these centers to tenants pursuant to lease agreements which provide for terms ranging generally from 5 to 25 years and for annual minimum rentals plus incremental rents based on operating expense levels a</w:t>
      </w:r>
      <w:r>
        <w:rPr>
          <w:sz w:val="20"/>
          <w:szCs w:val="20"/>
        </w:rPr>
        <w:t>nd tenants' sales volumes. Annual minimum rentals plus incremental rents based on operating expense levels and percentage rents comprised 98% of total revenues from rental properties for each of the</w:t>
      </w:r>
      <w:r>
        <w:rPr>
          <w:sz w:val="20"/>
          <w:szCs w:val="20"/>
        </w:rPr>
        <w:t xml:space="preserve"> </w:t>
      </w:r>
      <w:r>
        <w:rPr>
          <w:rStyle w:val="a6"/>
          <w:i w:val="0"/>
          <w:iCs w:val="0"/>
          <w:sz w:val="20"/>
          <w:szCs w:val="20"/>
        </w:rPr>
        <w:t>three</w:t>
      </w:r>
      <w:r>
        <w:rPr>
          <w:sz w:val="20"/>
          <w:szCs w:val="20"/>
        </w:rPr>
        <w:t xml:space="preserv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p>
    <w:p w14:paraId="499AEC6C" w14:textId="77777777" w:rsidR="00000000" w:rsidRDefault="0053651E">
      <w:pPr>
        <w:pStyle w:val="a3"/>
        <w:spacing w:before="0" w:beforeAutospacing="0" w:after="0" w:afterAutospacing="0"/>
        <w:ind w:left="360"/>
        <w:jc w:val="both"/>
        <w:rPr>
          <w:sz w:val="20"/>
          <w:szCs w:val="20"/>
        </w:rPr>
      </w:pPr>
      <w:r>
        <w:rPr>
          <w:sz w:val="20"/>
          <w:szCs w:val="20"/>
        </w:rPr>
        <w:t> </w:t>
      </w:r>
    </w:p>
    <w:p w14:paraId="576CD5B5" w14:textId="77777777" w:rsidR="00000000" w:rsidRDefault="0053651E">
      <w:pPr>
        <w:pStyle w:val="a3"/>
        <w:spacing w:before="0" w:beforeAutospacing="0" w:after="0" w:afterAutospacing="0"/>
        <w:ind w:left="360"/>
        <w:jc w:val="both"/>
        <w:rPr>
          <w:sz w:val="20"/>
          <w:szCs w:val="20"/>
        </w:rPr>
      </w:pPr>
      <w:r>
        <w:rPr>
          <w:sz w:val="20"/>
          <w:szCs w:val="20"/>
        </w:rPr>
        <w:t>The</w:t>
      </w:r>
      <w:r>
        <w:rPr>
          <w:sz w:val="20"/>
          <w:szCs w:val="20"/>
        </w:rPr>
        <w:t xml:space="preserve"> minimum revenues expected to be received by the Company from rental properties under the terms of all non-cancelable tenant leases for future years, assuming</w:t>
      </w:r>
      <w:r>
        <w:rPr>
          <w:sz w:val="20"/>
          <w:szCs w:val="20"/>
        </w:rPr>
        <w:t xml:space="preserve"> </w:t>
      </w:r>
      <w:r>
        <w:rPr>
          <w:rStyle w:val="a6"/>
          <w:i w:val="0"/>
          <w:iCs w:val="0"/>
          <w:sz w:val="20"/>
          <w:szCs w:val="20"/>
        </w:rPr>
        <w:t>no</w:t>
      </w:r>
      <w:r>
        <w:rPr>
          <w:sz w:val="20"/>
          <w:szCs w:val="20"/>
        </w:rPr>
        <w:t xml:space="preserve"> new or renegotiated leases are executed for such premises, are as follows (in millions):</w:t>
      </w:r>
    </w:p>
    <w:p w14:paraId="054F5EDE"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1726"/>
        <w:gridCol w:w="69"/>
        <w:gridCol w:w="100"/>
        <w:gridCol w:w="779"/>
        <w:gridCol w:w="69"/>
        <w:gridCol w:w="69"/>
        <w:gridCol w:w="100"/>
        <w:gridCol w:w="779"/>
        <w:gridCol w:w="69"/>
        <w:gridCol w:w="69"/>
        <w:gridCol w:w="100"/>
        <w:gridCol w:w="779"/>
        <w:gridCol w:w="69"/>
        <w:gridCol w:w="69"/>
        <w:gridCol w:w="100"/>
        <w:gridCol w:w="779"/>
        <w:gridCol w:w="69"/>
        <w:gridCol w:w="69"/>
        <w:gridCol w:w="100"/>
        <w:gridCol w:w="779"/>
        <w:gridCol w:w="70"/>
        <w:gridCol w:w="70"/>
        <w:gridCol w:w="101"/>
        <w:gridCol w:w="838"/>
        <w:gridCol w:w="70"/>
      </w:tblGrid>
      <w:tr w:rsidR="00000000" w14:paraId="27899615" w14:textId="77777777">
        <w:trPr>
          <w:tblCellSpacing w:w="0" w:type="dxa"/>
        </w:trPr>
        <w:tc>
          <w:tcPr>
            <w:tcW w:w="0" w:type="auto"/>
            <w:vAlign w:val="bottom"/>
            <w:hideMark/>
          </w:tcPr>
          <w:p w14:paraId="50F7238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41A79F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C69C20" w14:textId="77777777" w:rsidR="00000000" w:rsidRDefault="0053651E">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C6060D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86F596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C529E5" w14:textId="77777777" w:rsidR="00000000" w:rsidRDefault="0053651E">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0E5047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CEA287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E2057FF" w14:textId="77777777" w:rsidR="00000000" w:rsidRDefault="0053651E">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09DC8C8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D080E6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91D6CD1" w14:textId="77777777" w:rsidR="00000000" w:rsidRDefault="0053651E">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28E4813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13EEFE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865C97" w14:textId="77777777" w:rsidR="00000000" w:rsidRDefault="0053651E">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14:paraId="2B9AE75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0AAEB2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80CD1A5" w14:textId="77777777" w:rsidR="00000000" w:rsidRDefault="0053651E">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4ED39F0D" w14:textId="77777777" w:rsidR="00000000" w:rsidRDefault="0053651E">
            <w:pPr>
              <w:rPr>
                <w:rFonts w:eastAsia="Times New Roman"/>
                <w:sz w:val="20"/>
                <w:szCs w:val="20"/>
              </w:rPr>
            </w:pPr>
            <w:r>
              <w:rPr>
                <w:rFonts w:eastAsia="Times New Roman"/>
                <w:sz w:val="20"/>
                <w:szCs w:val="20"/>
              </w:rPr>
              <w:t> </w:t>
            </w:r>
          </w:p>
        </w:tc>
      </w:tr>
      <w:tr w:rsidR="00000000" w14:paraId="19187C98" w14:textId="77777777">
        <w:trPr>
          <w:tblCellSpacing w:w="0" w:type="dxa"/>
        </w:trPr>
        <w:tc>
          <w:tcPr>
            <w:tcW w:w="1100" w:type="pct"/>
            <w:shd w:val="clear" w:color="auto" w:fill="CCEEFF"/>
            <w:vAlign w:val="bottom"/>
            <w:hideMark/>
          </w:tcPr>
          <w:p w14:paraId="644F6DBB" w14:textId="77777777" w:rsidR="00000000" w:rsidRDefault="0053651E">
            <w:pPr>
              <w:pStyle w:val="a3"/>
              <w:spacing w:before="0" w:beforeAutospacing="0" w:after="0" w:afterAutospacing="0"/>
              <w:rPr>
                <w:sz w:val="20"/>
                <w:szCs w:val="20"/>
              </w:rPr>
            </w:pPr>
            <w:r>
              <w:rPr>
                <w:sz w:val="20"/>
                <w:szCs w:val="20"/>
              </w:rPr>
              <w:t>Minimum revenues</w:t>
            </w:r>
          </w:p>
        </w:tc>
        <w:tc>
          <w:tcPr>
            <w:tcW w:w="50" w:type="pct"/>
            <w:tcBorders>
              <w:bottom w:val="nil"/>
            </w:tcBorders>
            <w:shd w:val="clear" w:color="auto" w:fill="CCEEFF"/>
            <w:vAlign w:val="bottom"/>
            <w:hideMark/>
          </w:tcPr>
          <w:p w14:paraId="5631916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6A4CB0E"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3B0EA45D" w14:textId="77777777" w:rsidR="00000000" w:rsidRDefault="0053651E">
            <w:pPr>
              <w:jc w:val="right"/>
              <w:rPr>
                <w:rFonts w:eastAsia="Times New Roman"/>
                <w:sz w:val="20"/>
                <w:szCs w:val="20"/>
              </w:rPr>
            </w:pPr>
            <w:r>
              <w:rPr>
                <w:rFonts w:eastAsia="Times New Roman"/>
                <w:sz w:val="20"/>
                <w:szCs w:val="20"/>
              </w:rPr>
              <w:t>827.4</w:t>
            </w:r>
          </w:p>
        </w:tc>
        <w:tc>
          <w:tcPr>
            <w:tcW w:w="50" w:type="pct"/>
            <w:tcBorders>
              <w:bottom w:val="nil"/>
            </w:tcBorders>
            <w:shd w:val="clear" w:color="auto" w:fill="CCEEFF"/>
            <w:vAlign w:val="bottom"/>
            <w:hideMark/>
          </w:tcPr>
          <w:p w14:paraId="3BC45A2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6C45AB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5DA2887"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7D51A678" w14:textId="77777777" w:rsidR="00000000" w:rsidRDefault="0053651E">
            <w:pPr>
              <w:jc w:val="right"/>
              <w:rPr>
                <w:rFonts w:eastAsia="Times New Roman"/>
                <w:sz w:val="20"/>
                <w:szCs w:val="20"/>
              </w:rPr>
            </w:pPr>
            <w:r>
              <w:rPr>
                <w:rFonts w:eastAsia="Times New Roman"/>
                <w:sz w:val="20"/>
                <w:szCs w:val="20"/>
              </w:rPr>
              <w:t>773.6</w:t>
            </w:r>
          </w:p>
        </w:tc>
        <w:tc>
          <w:tcPr>
            <w:tcW w:w="50" w:type="pct"/>
            <w:tcBorders>
              <w:bottom w:val="nil"/>
            </w:tcBorders>
            <w:shd w:val="clear" w:color="auto" w:fill="CCEEFF"/>
            <w:vAlign w:val="bottom"/>
            <w:hideMark/>
          </w:tcPr>
          <w:p w14:paraId="406C4B3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58E867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7C9B5B6"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304CD438" w14:textId="77777777" w:rsidR="00000000" w:rsidRDefault="0053651E">
            <w:pPr>
              <w:jc w:val="right"/>
              <w:rPr>
                <w:rFonts w:eastAsia="Times New Roman"/>
                <w:sz w:val="20"/>
                <w:szCs w:val="20"/>
              </w:rPr>
            </w:pPr>
            <w:r>
              <w:rPr>
                <w:rFonts w:eastAsia="Times New Roman"/>
                <w:sz w:val="20"/>
                <w:szCs w:val="20"/>
              </w:rPr>
              <w:t>680.9</w:t>
            </w:r>
          </w:p>
        </w:tc>
        <w:tc>
          <w:tcPr>
            <w:tcW w:w="50" w:type="pct"/>
            <w:tcBorders>
              <w:bottom w:val="nil"/>
            </w:tcBorders>
            <w:shd w:val="clear" w:color="auto" w:fill="CCEEFF"/>
            <w:vAlign w:val="bottom"/>
            <w:hideMark/>
          </w:tcPr>
          <w:p w14:paraId="0E763EA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94EBCD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AEC5EB"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27EB84FD" w14:textId="77777777" w:rsidR="00000000" w:rsidRDefault="0053651E">
            <w:pPr>
              <w:jc w:val="right"/>
              <w:rPr>
                <w:rFonts w:eastAsia="Times New Roman"/>
                <w:sz w:val="20"/>
                <w:szCs w:val="20"/>
              </w:rPr>
            </w:pPr>
            <w:r>
              <w:rPr>
                <w:rFonts w:eastAsia="Times New Roman"/>
                <w:sz w:val="20"/>
                <w:szCs w:val="20"/>
              </w:rPr>
              <w:t>582.0</w:t>
            </w:r>
          </w:p>
        </w:tc>
        <w:tc>
          <w:tcPr>
            <w:tcW w:w="50" w:type="pct"/>
            <w:tcBorders>
              <w:bottom w:val="nil"/>
            </w:tcBorders>
            <w:shd w:val="clear" w:color="auto" w:fill="CCEEFF"/>
            <w:vAlign w:val="bottom"/>
            <w:hideMark/>
          </w:tcPr>
          <w:p w14:paraId="1159B5B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99D75E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C16793"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5EAF5CE0" w14:textId="77777777" w:rsidR="00000000" w:rsidRDefault="0053651E">
            <w:pPr>
              <w:jc w:val="right"/>
              <w:rPr>
                <w:rFonts w:eastAsia="Times New Roman"/>
                <w:sz w:val="20"/>
                <w:szCs w:val="20"/>
              </w:rPr>
            </w:pPr>
            <w:r>
              <w:rPr>
                <w:rFonts w:eastAsia="Times New Roman"/>
                <w:sz w:val="20"/>
                <w:szCs w:val="20"/>
              </w:rPr>
              <w:t>485.4</w:t>
            </w:r>
          </w:p>
        </w:tc>
        <w:tc>
          <w:tcPr>
            <w:tcW w:w="50" w:type="pct"/>
            <w:tcBorders>
              <w:bottom w:val="nil"/>
            </w:tcBorders>
            <w:shd w:val="clear" w:color="auto" w:fill="CCEEFF"/>
            <w:vAlign w:val="bottom"/>
            <w:hideMark/>
          </w:tcPr>
          <w:p w14:paraId="088ADB7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213034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E71B5D3"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2B59433C" w14:textId="77777777" w:rsidR="00000000" w:rsidRDefault="0053651E">
            <w:pPr>
              <w:jc w:val="right"/>
              <w:rPr>
                <w:rFonts w:eastAsia="Times New Roman"/>
                <w:sz w:val="20"/>
                <w:szCs w:val="20"/>
              </w:rPr>
            </w:pPr>
            <w:r>
              <w:rPr>
                <w:rFonts w:eastAsia="Times New Roman"/>
                <w:sz w:val="20"/>
                <w:szCs w:val="20"/>
              </w:rPr>
              <w:t>2,658.1</w:t>
            </w:r>
          </w:p>
        </w:tc>
        <w:tc>
          <w:tcPr>
            <w:tcW w:w="50" w:type="pct"/>
            <w:tcBorders>
              <w:bottom w:val="nil"/>
            </w:tcBorders>
            <w:shd w:val="clear" w:color="auto" w:fill="CCEEFF"/>
            <w:vAlign w:val="bottom"/>
            <w:hideMark/>
          </w:tcPr>
          <w:p w14:paraId="1A7517A3" w14:textId="77777777" w:rsidR="00000000" w:rsidRDefault="0053651E">
            <w:pPr>
              <w:rPr>
                <w:rFonts w:eastAsia="Times New Roman"/>
                <w:sz w:val="20"/>
                <w:szCs w:val="20"/>
              </w:rPr>
            </w:pPr>
            <w:r>
              <w:rPr>
                <w:rFonts w:eastAsia="Times New Roman"/>
                <w:sz w:val="20"/>
                <w:szCs w:val="20"/>
              </w:rPr>
              <w:t> </w:t>
            </w:r>
          </w:p>
        </w:tc>
      </w:tr>
    </w:tbl>
    <w:p w14:paraId="5B70856B" w14:textId="77777777" w:rsidR="00000000" w:rsidRDefault="0053651E">
      <w:pPr>
        <w:pStyle w:val="a3"/>
        <w:spacing w:before="0" w:beforeAutospacing="0" w:after="0" w:afterAutospacing="0"/>
        <w:ind w:left="360"/>
        <w:jc w:val="both"/>
        <w:rPr>
          <w:sz w:val="20"/>
          <w:szCs w:val="20"/>
        </w:rPr>
      </w:pPr>
      <w:r>
        <w:rPr>
          <w:sz w:val="20"/>
          <w:szCs w:val="20"/>
        </w:rPr>
        <w:t> </w:t>
      </w:r>
    </w:p>
    <w:p w14:paraId="06BB4E8A" w14:textId="77777777" w:rsidR="00000000" w:rsidRDefault="0053651E">
      <w:pPr>
        <w:pStyle w:val="a3"/>
        <w:spacing w:before="0" w:beforeAutospacing="0" w:after="0" w:afterAutospacing="0"/>
        <w:ind w:left="360"/>
        <w:jc w:val="both"/>
        <w:rPr>
          <w:sz w:val="20"/>
          <w:szCs w:val="20"/>
        </w:rPr>
      </w:pPr>
      <w:r>
        <w:rPr>
          <w:sz w:val="20"/>
          <w:szCs w:val="20"/>
        </w:rPr>
        <w:t>Base rental revenues from rental properties are recognized on a straight-line basis over the terms of the related leases. The difference between the amount of rental income contracted through leases and rental income recognized on a straight-line basis for</w:t>
      </w:r>
      <w:r>
        <w:rPr>
          <w:sz w:val="20"/>
          <w:szCs w:val="20"/>
        </w:rPr>
        <w:t xml:space="preserve">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was $17.2 million, $13.6 million and $15.7 million, respectively.</w:t>
      </w:r>
    </w:p>
    <w:p w14:paraId="5AC0B07D" w14:textId="77777777" w:rsidR="00000000" w:rsidRDefault="0053651E">
      <w:pPr>
        <w:pStyle w:val="a3"/>
        <w:spacing w:before="0" w:beforeAutospacing="0" w:after="0" w:afterAutospacing="0"/>
        <w:ind w:left="360"/>
        <w:jc w:val="both"/>
        <w:rPr>
          <w:sz w:val="20"/>
          <w:szCs w:val="20"/>
        </w:rPr>
      </w:pPr>
      <w:r>
        <w:rPr>
          <w:sz w:val="20"/>
          <w:szCs w:val="20"/>
        </w:rPr>
        <w:t> </w:t>
      </w:r>
    </w:p>
    <w:p w14:paraId="2D3F99A2" w14:textId="77777777" w:rsidR="00000000" w:rsidRDefault="0053651E">
      <w:pPr>
        <w:jc w:val="center"/>
        <w:divId w:val="1951278536"/>
        <w:rPr>
          <w:rFonts w:eastAsia="Times New Roman"/>
          <w:sz w:val="20"/>
          <w:szCs w:val="20"/>
        </w:rPr>
      </w:pPr>
      <w:r>
        <w:rPr>
          <w:rStyle w:val="a6"/>
          <w:rFonts w:eastAsia="Times New Roman"/>
          <w:i w:val="0"/>
          <w:iCs w:val="0"/>
          <w:sz w:val="20"/>
          <w:szCs w:val="20"/>
        </w:rPr>
        <w:t>78</w:t>
      </w:r>
      <w:r>
        <w:rPr>
          <w:rFonts w:eastAsia="Times New Roman"/>
          <w:sz w:val="20"/>
          <w:szCs w:val="20"/>
        </w:rPr>
        <w:t xml:space="preserve"> </w:t>
      </w:r>
    </w:p>
    <w:p w14:paraId="7BF596BE" w14:textId="77777777" w:rsidR="00000000" w:rsidRDefault="0053651E">
      <w:pPr>
        <w:divId w:val="1951278536"/>
        <w:rPr>
          <w:rFonts w:eastAsia="Times New Roman"/>
          <w:sz w:val="20"/>
          <w:szCs w:val="20"/>
        </w:rPr>
      </w:pPr>
      <w:r>
        <w:rPr>
          <w:rFonts w:eastAsia="Times New Roman"/>
          <w:sz w:val="20"/>
          <w:szCs w:val="20"/>
        </w:rPr>
        <w:pict w14:anchorId="6FE187F0">
          <v:rect id="_x0000_i1109" style="width:415.3pt;height:1.5pt" o:hralign="center" o:hrstd="t" o:hrnoshade="t" o:hr="t" fillcolor="black" stroked="f"/>
        </w:pict>
      </w:r>
    </w:p>
    <w:p w14:paraId="17A4EE63" w14:textId="77777777" w:rsidR="00000000" w:rsidRDefault="0053651E">
      <w:pPr>
        <w:divId w:val="19512785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D5A0D14" w14:textId="77777777" w:rsidR="00000000" w:rsidRDefault="0053651E">
      <w:pPr>
        <w:pStyle w:val="a3"/>
        <w:spacing w:before="0" w:beforeAutospacing="0" w:after="0" w:afterAutospacing="0"/>
        <w:rPr>
          <w:sz w:val="20"/>
          <w:szCs w:val="20"/>
        </w:rPr>
      </w:pPr>
      <w:r>
        <w:rPr>
          <w:sz w:val="20"/>
          <w:szCs w:val="20"/>
        </w:rPr>
        <w:t> </w:t>
      </w:r>
    </w:p>
    <w:p w14:paraId="72B48C2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372D1B3" w14:textId="77777777" w:rsidR="00000000" w:rsidRDefault="0053651E">
      <w:pPr>
        <w:pStyle w:val="a3"/>
        <w:spacing w:before="0" w:beforeAutospacing="0" w:after="0" w:afterAutospacing="0"/>
        <w:jc w:val="center"/>
        <w:rPr>
          <w:sz w:val="20"/>
          <w:szCs w:val="20"/>
        </w:rPr>
      </w:pPr>
      <w:r>
        <w:rPr>
          <w:sz w:val="20"/>
          <w:szCs w:val="20"/>
        </w:rPr>
        <w:t> </w:t>
      </w:r>
    </w:p>
    <w:p w14:paraId="36E385C9"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1904DFB" w14:textId="77777777" w:rsidR="00000000" w:rsidRDefault="0053651E">
      <w:pPr>
        <w:pStyle w:val="a3"/>
        <w:spacing w:before="0" w:beforeAutospacing="0" w:after="0" w:afterAutospacing="0"/>
        <w:rPr>
          <w:sz w:val="20"/>
          <w:szCs w:val="20"/>
        </w:rPr>
      </w:pPr>
      <w:r>
        <w:rPr>
          <w:i/>
          <w:iCs/>
          <w:sz w:val="20"/>
          <w:szCs w:val="20"/>
        </w:rPr>
        <w:t> </w:t>
      </w:r>
    </w:p>
    <w:p w14:paraId="280C677C" w14:textId="77777777" w:rsidR="00000000" w:rsidRDefault="0053651E">
      <w:pPr>
        <w:pStyle w:val="a3"/>
        <w:spacing w:before="0" w:beforeAutospacing="0" w:after="0" w:afterAutospacing="0"/>
        <w:ind w:left="360"/>
        <w:jc w:val="both"/>
        <w:rPr>
          <w:sz w:val="20"/>
          <w:szCs w:val="20"/>
        </w:rPr>
      </w:pPr>
      <w:r>
        <w:rPr>
          <w:i/>
          <w:iCs/>
          <w:sz w:val="20"/>
          <w:szCs w:val="20"/>
        </w:rPr>
        <w:t>Letters of Credit</w:t>
      </w:r>
    </w:p>
    <w:p w14:paraId="7EEAB697" w14:textId="77777777" w:rsidR="00000000" w:rsidRDefault="0053651E">
      <w:pPr>
        <w:pStyle w:val="a3"/>
        <w:spacing w:before="0" w:beforeAutospacing="0" w:after="0" w:afterAutospacing="0"/>
        <w:ind w:left="360"/>
        <w:jc w:val="both"/>
        <w:rPr>
          <w:sz w:val="20"/>
          <w:szCs w:val="20"/>
        </w:rPr>
      </w:pPr>
      <w:r>
        <w:rPr>
          <w:sz w:val="20"/>
          <w:szCs w:val="20"/>
        </w:rPr>
        <w:t> </w:t>
      </w:r>
    </w:p>
    <w:p w14:paraId="0D6BC80D" w14:textId="77777777" w:rsidR="00000000" w:rsidRDefault="0053651E">
      <w:pPr>
        <w:pStyle w:val="a3"/>
        <w:spacing w:before="0" w:beforeAutospacing="0" w:after="0" w:afterAutospacing="0"/>
        <w:ind w:left="360"/>
        <w:jc w:val="both"/>
        <w:rPr>
          <w:sz w:val="20"/>
          <w:szCs w:val="20"/>
        </w:rPr>
      </w:pPr>
      <w:r>
        <w:rPr>
          <w:sz w:val="20"/>
          <w:szCs w:val="20"/>
        </w:rPr>
        <w:t>The Company has issued letters of credit in connection with the completion and repayment guarantees for loans encumbering certain of the</w:t>
      </w:r>
      <w:r>
        <w:rPr>
          <w:sz w:val="20"/>
          <w:szCs w:val="20"/>
        </w:rPr>
        <w:t xml:space="preserve"> Company’s development and redevelopment projects and guaranty of payment related to the Company’s insurance program. At</w:t>
      </w:r>
      <w:r>
        <w:rPr>
          <w:sz w:val="20"/>
          <w:szCs w:val="20"/>
        </w:rPr>
        <w:t xml:space="preserve"> </w:t>
      </w:r>
      <w:r>
        <w:rPr>
          <w:rStyle w:val="a6"/>
          <w:i w:val="0"/>
          <w:iCs w:val="0"/>
          <w:sz w:val="20"/>
          <w:szCs w:val="20"/>
        </w:rPr>
        <w:t xml:space="preserve">December 31, 2019, </w:t>
      </w:r>
      <w:r>
        <w:rPr>
          <w:sz w:val="20"/>
          <w:szCs w:val="20"/>
        </w:rPr>
        <w:t>these letters of credit aggregated $40.8 million.</w:t>
      </w:r>
    </w:p>
    <w:p w14:paraId="7AE664AC" w14:textId="77777777" w:rsidR="00000000" w:rsidRDefault="0053651E">
      <w:pPr>
        <w:pStyle w:val="a3"/>
        <w:spacing w:before="0" w:beforeAutospacing="0" w:after="0" w:afterAutospacing="0"/>
        <w:ind w:left="360"/>
        <w:jc w:val="both"/>
        <w:rPr>
          <w:sz w:val="20"/>
          <w:szCs w:val="20"/>
        </w:rPr>
      </w:pPr>
      <w:r>
        <w:rPr>
          <w:sz w:val="20"/>
          <w:szCs w:val="20"/>
        </w:rPr>
        <w:t> </w:t>
      </w:r>
    </w:p>
    <w:p w14:paraId="73B12566" w14:textId="77777777" w:rsidR="00000000" w:rsidRDefault="0053651E">
      <w:pPr>
        <w:pStyle w:val="a3"/>
        <w:spacing w:before="0" w:beforeAutospacing="0" w:after="0" w:afterAutospacing="0"/>
        <w:ind w:left="360"/>
        <w:jc w:val="both"/>
        <w:rPr>
          <w:sz w:val="20"/>
          <w:szCs w:val="20"/>
        </w:rPr>
      </w:pPr>
      <w:r>
        <w:rPr>
          <w:i/>
          <w:iCs/>
          <w:sz w:val="20"/>
          <w:szCs w:val="20"/>
        </w:rPr>
        <w:t>Other</w:t>
      </w:r>
    </w:p>
    <w:p w14:paraId="6DF4B143" w14:textId="77777777" w:rsidR="00000000" w:rsidRDefault="0053651E">
      <w:pPr>
        <w:pStyle w:val="a3"/>
        <w:spacing w:before="0" w:beforeAutospacing="0" w:after="0" w:afterAutospacing="0"/>
        <w:ind w:left="360"/>
        <w:jc w:val="both"/>
        <w:rPr>
          <w:sz w:val="20"/>
          <w:szCs w:val="20"/>
        </w:rPr>
      </w:pPr>
      <w:r>
        <w:rPr>
          <w:sz w:val="20"/>
          <w:szCs w:val="20"/>
        </w:rPr>
        <w:t> </w:t>
      </w:r>
    </w:p>
    <w:p w14:paraId="5F41573E" w14:textId="77777777" w:rsidR="00000000" w:rsidRDefault="0053651E">
      <w:pPr>
        <w:pStyle w:val="a3"/>
        <w:spacing w:before="0" w:beforeAutospacing="0" w:after="0" w:afterAutospacing="0"/>
        <w:ind w:left="360"/>
        <w:jc w:val="both"/>
        <w:rPr>
          <w:sz w:val="20"/>
          <w:szCs w:val="20"/>
        </w:rPr>
      </w:pPr>
      <w:r>
        <w:rPr>
          <w:sz w:val="20"/>
          <w:szCs w:val="20"/>
        </w:rPr>
        <w:t>In connection with the construction of its development and redevelopment projects and related infrastructure, certain public agencies require posting of performance and surety bonds to guarantee that the Company’s obligations are satisfied. These bonds exp</w:t>
      </w:r>
      <w:r>
        <w:rPr>
          <w:sz w:val="20"/>
          <w:szCs w:val="20"/>
        </w:rPr>
        <w:t>ire upon the completion of the improvements and infrastructure. As of</w:t>
      </w:r>
      <w:r>
        <w:rPr>
          <w:sz w:val="20"/>
          <w:szCs w:val="20"/>
        </w:rPr>
        <w:t xml:space="preserve"> </w:t>
      </w:r>
      <w:r>
        <w:rPr>
          <w:rStyle w:val="a6"/>
          <w:i w:val="0"/>
          <w:iCs w:val="0"/>
          <w:sz w:val="20"/>
          <w:szCs w:val="20"/>
        </w:rPr>
        <w:t xml:space="preserve">December 31, 2019, </w:t>
      </w:r>
      <w:r>
        <w:rPr>
          <w:sz w:val="20"/>
          <w:szCs w:val="20"/>
        </w:rPr>
        <w:t>there were $17.6 million in performance and surety bonds outstanding.</w:t>
      </w:r>
    </w:p>
    <w:p w14:paraId="68BCC1C2" w14:textId="77777777" w:rsidR="00000000" w:rsidRDefault="0053651E">
      <w:pPr>
        <w:pStyle w:val="a3"/>
        <w:spacing w:before="0" w:beforeAutospacing="0" w:after="0" w:afterAutospacing="0"/>
        <w:ind w:left="360"/>
        <w:jc w:val="both"/>
        <w:rPr>
          <w:sz w:val="20"/>
          <w:szCs w:val="20"/>
        </w:rPr>
      </w:pPr>
      <w:r>
        <w:rPr>
          <w:sz w:val="20"/>
          <w:szCs w:val="20"/>
        </w:rPr>
        <w:t> </w:t>
      </w:r>
    </w:p>
    <w:p w14:paraId="2C622052" w14:textId="77777777" w:rsidR="00000000" w:rsidRDefault="0053651E">
      <w:pPr>
        <w:pStyle w:val="a3"/>
        <w:spacing w:before="0" w:beforeAutospacing="0" w:after="0" w:afterAutospacing="0"/>
        <w:ind w:left="360"/>
        <w:jc w:val="both"/>
        <w:rPr>
          <w:sz w:val="20"/>
          <w:szCs w:val="20"/>
        </w:rPr>
      </w:pPr>
      <w:r>
        <w:rPr>
          <w:sz w:val="20"/>
          <w:szCs w:val="20"/>
        </w:rPr>
        <w:t>The Company is subject to various other legal proceedings and claims that arise in the ordinary</w:t>
      </w:r>
      <w:r>
        <w:rPr>
          <w:sz w:val="20"/>
          <w:szCs w:val="20"/>
        </w:rPr>
        <w:t xml:space="preserve"> course of business. Management believes that the final outcome of such matters will</w:t>
      </w:r>
      <w:r>
        <w:rPr>
          <w:sz w:val="20"/>
          <w:szCs w:val="20"/>
        </w:rPr>
        <w:t xml:space="preserve"> </w:t>
      </w:r>
      <w:r>
        <w:rPr>
          <w:rStyle w:val="a6"/>
          <w:i w:val="0"/>
          <w:iCs w:val="0"/>
          <w:sz w:val="20"/>
          <w:szCs w:val="20"/>
        </w:rPr>
        <w:t>not</w:t>
      </w:r>
      <w:r>
        <w:rPr>
          <w:sz w:val="20"/>
          <w:szCs w:val="20"/>
        </w:rPr>
        <w:t xml:space="preserve"> have a material adverse effect on the financial position, results of operations or liquidity of the Company as of</w:t>
      </w:r>
      <w:r>
        <w:rPr>
          <w:sz w:val="20"/>
          <w:szCs w:val="20"/>
        </w:rPr>
        <w:t xml:space="preserve"> </w:t>
      </w:r>
      <w:r>
        <w:rPr>
          <w:rStyle w:val="a6"/>
          <w:i w:val="0"/>
          <w:iCs w:val="0"/>
          <w:sz w:val="20"/>
          <w:szCs w:val="20"/>
        </w:rPr>
        <w:t>December 31, 2019.</w:t>
      </w:r>
    </w:p>
    <w:p w14:paraId="4B7EB265" w14:textId="77777777" w:rsidR="00000000" w:rsidRDefault="0053651E">
      <w:pPr>
        <w:pStyle w:val="a3"/>
        <w:spacing w:before="0" w:beforeAutospacing="0" w:after="0" w:afterAutospacing="0"/>
        <w:ind w:left="360"/>
        <w:jc w:val="both"/>
        <w:rPr>
          <w:sz w:val="20"/>
          <w:szCs w:val="20"/>
        </w:rPr>
      </w:pPr>
      <w:r>
        <w:rPr>
          <w:sz w:val="20"/>
          <w:szCs w:val="20"/>
        </w:rPr>
        <w:t> </w:t>
      </w:r>
    </w:p>
    <w:p w14:paraId="568EA6E7" w14:textId="77777777" w:rsidR="00000000" w:rsidRDefault="0053651E">
      <w:pPr>
        <w:divId w:val="1937906855"/>
        <w:rPr>
          <w:rFonts w:eastAsia="Times New Roman"/>
          <w:sz w:val="20"/>
          <w:szCs w:val="20"/>
        </w:rPr>
      </w:pPr>
      <w:r>
        <w:rPr>
          <w:rFonts w:eastAsia="Times New Roman"/>
          <w:sz w:val="20"/>
          <w:szCs w:val="20"/>
        </w:rPr>
        <w:t xml:space="preserve">  </w:t>
      </w:r>
    </w:p>
    <w:p w14:paraId="39A5E06F" w14:textId="77777777" w:rsidR="00000000" w:rsidRDefault="0053651E">
      <w:pPr>
        <w:pStyle w:val="a3"/>
        <w:spacing w:before="0" w:beforeAutospacing="0" w:after="0" w:afterAutospacing="0"/>
        <w:ind w:left="990" w:hanging="990"/>
        <w:rPr>
          <w:sz w:val="20"/>
          <w:szCs w:val="20"/>
        </w:rPr>
      </w:pPr>
      <w:r>
        <w:rPr>
          <w:rStyle w:val="a6"/>
          <w:i w:val="0"/>
          <w:iCs w:val="0"/>
          <w:sz w:val="20"/>
          <w:szCs w:val="20"/>
        </w:rPr>
        <w:t>20.</w:t>
      </w:r>
      <w:r>
        <w:rPr>
          <w:sz w:val="20"/>
          <w:szCs w:val="20"/>
        </w:rPr>
        <w:t>  </w:t>
      </w:r>
      <w:r>
        <w:rPr>
          <w:sz w:val="20"/>
          <w:szCs w:val="20"/>
          <w:u w:val="single"/>
        </w:rPr>
        <w:t>Incentive Plans</w:t>
      </w:r>
      <w:r>
        <w:rPr>
          <w:sz w:val="20"/>
          <w:szCs w:val="20"/>
        </w:rPr>
        <w:t>:</w:t>
      </w:r>
    </w:p>
    <w:p w14:paraId="2B9FC71C" w14:textId="77777777" w:rsidR="00000000" w:rsidRDefault="0053651E">
      <w:pPr>
        <w:pStyle w:val="a3"/>
        <w:spacing w:before="0" w:beforeAutospacing="0" w:after="0" w:afterAutospacing="0"/>
        <w:ind w:left="360"/>
        <w:jc w:val="both"/>
        <w:rPr>
          <w:sz w:val="20"/>
          <w:szCs w:val="20"/>
        </w:rPr>
      </w:pPr>
      <w:r>
        <w:rPr>
          <w:sz w:val="20"/>
          <w:szCs w:val="20"/>
        </w:rPr>
        <w:t> </w:t>
      </w:r>
    </w:p>
    <w:p w14:paraId="2BA64D46" w14:textId="77777777" w:rsidR="00000000" w:rsidRDefault="0053651E">
      <w:pPr>
        <w:pStyle w:val="a3"/>
        <w:spacing w:before="0" w:beforeAutospacing="0" w:after="0" w:afterAutospacing="0"/>
        <w:ind w:left="360"/>
        <w:jc w:val="both"/>
        <w:rPr>
          <w:sz w:val="20"/>
          <w:szCs w:val="20"/>
        </w:rPr>
      </w:pPr>
      <w:r>
        <w:rPr>
          <w:sz w:val="20"/>
          <w:szCs w:val="20"/>
        </w:rPr>
        <w:t>The C</w:t>
      </w:r>
      <w:r>
        <w:rPr>
          <w:sz w:val="20"/>
          <w:szCs w:val="20"/>
        </w:rPr>
        <w:t>ompany accounts for equity awards in accordance with FASB’s Compensation – Stock Compensation guidance which requires that all share-based payments to employees, including grants of employee stock options, restricted stock and performance shares, be recogn</w:t>
      </w:r>
      <w:r>
        <w:rPr>
          <w:sz w:val="20"/>
          <w:szCs w:val="20"/>
        </w:rPr>
        <w:t>ized in the Statements of Income over the service period based on their fair values. Fair value is determined, depending on the type of award, using either the Monte Carlo method for performance shares or the Black-Scholes option pricing formula, both of w</w:t>
      </w:r>
      <w:r>
        <w:rPr>
          <w:sz w:val="20"/>
          <w:szCs w:val="20"/>
        </w:rPr>
        <w:t>hich are intended to estimate the fair value of the awards at the grant date. Fair value of restricted shares is based on the price on the date of grant.</w:t>
      </w:r>
    </w:p>
    <w:p w14:paraId="25EF3093" w14:textId="77777777" w:rsidR="00000000" w:rsidRDefault="0053651E">
      <w:pPr>
        <w:pStyle w:val="a3"/>
        <w:spacing w:before="0" w:beforeAutospacing="0" w:after="0" w:afterAutospacing="0"/>
        <w:ind w:left="360"/>
        <w:jc w:val="both"/>
        <w:rPr>
          <w:sz w:val="20"/>
          <w:szCs w:val="20"/>
        </w:rPr>
      </w:pPr>
      <w:r>
        <w:rPr>
          <w:sz w:val="20"/>
          <w:szCs w:val="20"/>
        </w:rPr>
        <w:t> </w:t>
      </w:r>
    </w:p>
    <w:p w14:paraId="64274F71" w14:textId="77777777" w:rsidR="00000000" w:rsidRDefault="0053651E">
      <w:pPr>
        <w:pStyle w:val="a3"/>
        <w:spacing w:before="0" w:beforeAutospacing="0" w:after="0" w:afterAutospacing="0"/>
        <w:ind w:left="360"/>
        <w:jc w:val="both"/>
        <w:rPr>
          <w:sz w:val="20"/>
          <w:szCs w:val="20"/>
        </w:rPr>
      </w:pPr>
      <w:r>
        <w:rPr>
          <w:sz w:val="20"/>
          <w:szCs w:val="20"/>
        </w:rPr>
        <w:t>The Company recognized expense associated with its equity awards of $20.2 million, $18.2 million and $21.6 million,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  As of</w:t>
      </w:r>
      <w:r>
        <w:rPr>
          <w:sz w:val="20"/>
          <w:szCs w:val="20"/>
        </w:rPr>
        <w:t xml:space="preserve"> </w:t>
      </w:r>
      <w:r>
        <w:rPr>
          <w:rStyle w:val="a6"/>
          <w:i w:val="0"/>
          <w:iCs w:val="0"/>
          <w:sz w:val="20"/>
          <w:szCs w:val="20"/>
        </w:rPr>
        <w:t xml:space="preserve">December 31, 2019, </w:t>
      </w:r>
      <w:r>
        <w:rPr>
          <w:sz w:val="20"/>
          <w:szCs w:val="20"/>
        </w:rPr>
        <w:t>the Company had $33.8 million of total unrecog</w:t>
      </w:r>
      <w:r>
        <w:rPr>
          <w:sz w:val="20"/>
          <w:szCs w:val="20"/>
        </w:rPr>
        <w:t>nized compensation cost related to unvested stock compensation granted under the</w:t>
      </w:r>
      <w:r>
        <w:rPr>
          <w:sz w:val="20"/>
          <w:szCs w:val="20"/>
        </w:rPr>
        <w:t xml:space="preserve"> </w:t>
      </w:r>
      <w:r>
        <w:rPr>
          <w:rStyle w:val="a6"/>
          <w:i w:val="0"/>
          <w:iCs w:val="0"/>
          <w:sz w:val="20"/>
          <w:szCs w:val="20"/>
        </w:rPr>
        <w:t>2010</w:t>
      </w:r>
      <w:r>
        <w:rPr>
          <w:sz w:val="20"/>
          <w:szCs w:val="20"/>
        </w:rPr>
        <w:t xml:space="preserve"> Plan.  That cost is expected to be recognized over a weighted-average period of 2.8 years. At</w:t>
      </w:r>
      <w:r>
        <w:rPr>
          <w:sz w:val="20"/>
          <w:szCs w:val="20"/>
        </w:rPr>
        <w:t xml:space="preserve"> </w:t>
      </w:r>
      <w:r>
        <w:rPr>
          <w:rStyle w:val="a6"/>
          <w:i w:val="0"/>
          <w:iCs w:val="0"/>
          <w:sz w:val="20"/>
          <w:szCs w:val="20"/>
        </w:rPr>
        <w:t xml:space="preserve">December 31, 2019, </w:t>
      </w:r>
      <w:r>
        <w:rPr>
          <w:sz w:val="20"/>
          <w:szCs w:val="20"/>
        </w:rPr>
        <w:t>the Company had 1.1 million shares of common stock availa</w:t>
      </w:r>
      <w:r>
        <w:rPr>
          <w:sz w:val="20"/>
          <w:szCs w:val="20"/>
        </w:rPr>
        <w:t>ble for issuance under the Plans, net of shares delivered in settlement in accordance with the</w:t>
      </w:r>
      <w:r>
        <w:rPr>
          <w:sz w:val="20"/>
          <w:szCs w:val="20"/>
        </w:rPr>
        <w:t xml:space="preserve"> </w:t>
      </w:r>
      <w:r>
        <w:rPr>
          <w:rStyle w:val="a6"/>
          <w:i w:val="0"/>
          <w:iCs w:val="0"/>
          <w:sz w:val="20"/>
          <w:szCs w:val="20"/>
        </w:rPr>
        <w:t>2010</w:t>
      </w:r>
      <w:r>
        <w:rPr>
          <w:sz w:val="20"/>
          <w:szCs w:val="20"/>
        </w:rPr>
        <w:t xml:space="preserve"> Plan. </w:t>
      </w:r>
    </w:p>
    <w:p w14:paraId="531F8C4C" w14:textId="77777777" w:rsidR="00000000" w:rsidRDefault="0053651E">
      <w:pPr>
        <w:pStyle w:val="a3"/>
        <w:spacing w:before="0" w:beforeAutospacing="0" w:after="0" w:afterAutospacing="0"/>
        <w:ind w:left="144" w:right="144"/>
        <w:jc w:val="both"/>
        <w:rPr>
          <w:sz w:val="20"/>
          <w:szCs w:val="20"/>
        </w:rPr>
      </w:pPr>
      <w:r>
        <w:rPr>
          <w:sz w:val="20"/>
          <w:szCs w:val="20"/>
        </w:rPr>
        <w:t> </w:t>
      </w:r>
    </w:p>
    <w:p w14:paraId="7C562F2D" w14:textId="77777777" w:rsidR="00000000" w:rsidRDefault="0053651E">
      <w:pPr>
        <w:pStyle w:val="a3"/>
        <w:spacing w:before="0" w:beforeAutospacing="0" w:after="0" w:afterAutospacing="0"/>
        <w:ind w:left="360"/>
        <w:jc w:val="both"/>
        <w:rPr>
          <w:sz w:val="20"/>
          <w:szCs w:val="20"/>
        </w:rPr>
      </w:pPr>
      <w:r>
        <w:rPr>
          <w:i/>
          <w:iCs/>
          <w:sz w:val="20"/>
          <w:szCs w:val="20"/>
        </w:rPr>
        <w:t>Stock Options</w:t>
      </w:r>
    </w:p>
    <w:p w14:paraId="115CBCF3" w14:textId="77777777" w:rsidR="00000000" w:rsidRDefault="0053651E">
      <w:pPr>
        <w:pStyle w:val="a3"/>
        <w:spacing w:before="0" w:beforeAutospacing="0" w:after="0" w:afterAutospacing="0"/>
        <w:ind w:left="360"/>
        <w:jc w:val="both"/>
        <w:rPr>
          <w:sz w:val="20"/>
          <w:szCs w:val="20"/>
        </w:rPr>
      </w:pPr>
      <w:r>
        <w:rPr>
          <w:sz w:val="20"/>
          <w:szCs w:val="20"/>
        </w:rPr>
        <w:t> </w:t>
      </w:r>
    </w:p>
    <w:p w14:paraId="2DC96376"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2019,</w:t>
      </w:r>
      <w:r>
        <w:rPr>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the Company did</w:t>
      </w:r>
      <w:r>
        <w:rPr>
          <w:sz w:val="20"/>
          <w:szCs w:val="20"/>
        </w:rPr>
        <w:t xml:space="preserve"> </w:t>
      </w:r>
      <w:r>
        <w:rPr>
          <w:sz w:val="20"/>
          <w:szCs w:val="20"/>
        </w:rPr>
        <w:t>no</w:t>
      </w:r>
      <w:r>
        <w:rPr>
          <w:sz w:val="20"/>
          <w:szCs w:val="20"/>
        </w:rPr>
        <w:t>t</w:t>
      </w:r>
      <w:r>
        <w:rPr>
          <w:sz w:val="20"/>
          <w:szCs w:val="20"/>
        </w:rPr>
        <w:t xml:space="preserve"> grant any stock options. Information with respect to stock options outstanding unde</w:t>
      </w:r>
      <w:r>
        <w:rPr>
          <w:sz w:val="20"/>
          <w:szCs w:val="20"/>
        </w:rPr>
        <w:t>r the Plan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as follows:</w:t>
      </w:r>
    </w:p>
    <w:p w14:paraId="21F96DA7"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546"/>
        <w:gridCol w:w="75"/>
        <w:gridCol w:w="75"/>
        <w:gridCol w:w="1101"/>
        <w:gridCol w:w="75"/>
        <w:gridCol w:w="75"/>
        <w:gridCol w:w="101"/>
        <w:gridCol w:w="1101"/>
        <w:gridCol w:w="75"/>
        <w:gridCol w:w="75"/>
        <w:gridCol w:w="101"/>
        <w:gridCol w:w="1416"/>
        <w:gridCol w:w="75"/>
      </w:tblGrid>
      <w:tr w:rsidR="00000000" w14:paraId="553C2161" w14:textId="77777777">
        <w:trPr>
          <w:tblCellSpacing w:w="0" w:type="dxa"/>
        </w:trPr>
        <w:tc>
          <w:tcPr>
            <w:tcW w:w="2250" w:type="pct"/>
            <w:vAlign w:val="bottom"/>
            <w:hideMark/>
          </w:tcPr>
          <w:p w14:paraId="78F0539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6C3C357"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F29A146" w14:textId="77777777" w:rsidR="00000000" w:rsidRDefault="0053651E">
            <w:pPr>
              <w:pStyle w:val="a3"/>
              <w:spacing w:before="0" w:beforeAutospacing="0" w:after="0" w:afterAutospacing="0"/>
              <w:jc w:val="center"/>
              <w:rPr>
                <w:sz w:val="20"/>
                <w:szCs w:val="20"/>
              </w:rPr>
            </w:pPr>
            <w:r>
              <w:rPr>
                <w:b/>
                <w:bCs/>
                <w:sz w:val="20"/>
                <w:szCs w:val="20"/>
              </w:rPr>
              <w:t>Shares</w:t>
            </w:r>
          </w:p>
        </w:tc>
        <w:tc>
          <w:tcPr>
            <w:tcW w:w="50" w:type="pct"/>
            <w:tcMar>
              <w:top w:w="0" w:type="dxa"/>
              <w:left w:w="0" w:type="dxa"/>
              <w:bottom w:w="15" w:type="dxa"/>
              <w:right w:w="0" w:type="dxa"/>
            </w:tcMar>
            <w:vAlign w:val="bottom"/>
            <w:hideMark/>
          </w:tcPr>
          <w:p w14:paraId="4B1CA48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4E11F1F"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B73ABB2" w14:textId="77777777" w:rsidR="00000000" w:rsidRDefault="0053651E">
            <w:pPr>
              <w:pStyle w:val="a3"/>
              <w:spacing w:before="0" w:beforeAutospacing="0" w:after="0" w:afterAutospacing="0"/>
              <w:jc w:val="center"/>
              <w:rPr>
                <w:sz w:val="20"/>
                <w:szCs w:val="20"/>
              </w:rPr>
            </w:pPr>
            <w:r>
              <w:rPr>
                <w:b/>
                <w:bCs/>
                <w:sz w:val="20"/>
                <w:szCs w:val="20"/>
              </w:rPr>
              <w:t>Weighted-Average</w:t>
            </w:r>
          </w:p>
          <w:p w14:paraId="4F8EB7C9" w14:textId="77777777" w:rsidR="00000000" w:rsidRDefault="0053651E">
            <w:pPr>
              <w:pStyle w:val="a3"/>
              <w:spacing w:before="0" w:beforeAutospacing="0" w:after="0" w:afterAutospacing="0"/>
              <w:jc w:val="center"/>
              <w:rPr>
                <w:sz w:val="20"/>
                <w:szCs w:val="20"/>
              </w:rPr>
            </w:pPr>
            <w:r>
              <w:rPr>
                <w:b/>
                <w:bCs/>
                <w:sz w:val="20"/>
                <w:szCs w:val="20"/>
              </w:rPr>
              <w:t>Exercise Price</w:t>
            </w:r>
          </w:p>
          <w:p w14:paraId="312D780E" w14:textId="77777777" w:rsidR="00000000" w:rsidRDefault="0053651E">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14:paraId="3863895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D991A7C"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599EA40" w14:textId="77777777" w:rsidR="00000000" w:rsidRDefault="0053651E">
            <w:pPr>
              <w:pStyle w:val="a3"/>
              <w:spacing w:before="0" w:beforeAutospacing="0" w:after="0" w:afterAutospacing="0"/>
              <w:jc w:val="center"/>
              <w:rPr>
                <w:sz w:val="20"/>
                <w:szCs w:val="20"/>
              </w:rPr>
            </w:pPr>
            <w:r>
              <w:rPr>
                <w:b/>
                <w:bCs/>
                <w:sz w:val="20"/>
                <w:szCs w:val="20"/>
              </w:rPr>
              <w:t>Aggregate Intrinsic Value</w:t>
            </w:r>
          </w:p>
          <w:p w14:paraId="0CBC85F9" w14:textId="77777777" w:rsidR="00000000" w:rsidRDefault="0053651E">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376C6A70" w14:textId="77777777" w:rsidR="00000000" w:rsidRDefault="0053651E">
            <w:pPr>
              <w:rPr>
                <w:rFonts w:eastAsia="Times New Roman"/>
                <w:sz w:val="20"/>
                <w:szCs w:val="20"/>
              </w:rPr>
            </w:pPr>
            <w:r>
              <w:rPr>
                <w:rFonts w:eastAsia="Times New Roman"/>
                <w:sz w:val="20"/>
                <w:szCs w:val="20"/>
              </w:rPr>
              <w:t> </w:t>
            </w:r>
          </w:p>
        </w:tc>
      </w:tr>
      <w:tr w:rsidR="00000000" w14:paraId="6603E6A5" w14:textId="77777777">
        <w:trPr>
          <w:tblCellSpacing w:w="0" w:type="dxa"/>
        </w:trPr>
        <w:tc>
          <w:tcPr>
            <w:tcW w:w="2250" w:type="pct"/>
            <w:shd w:val="clear" w:color="auto" w:fill="CCEEFF"/>
            <w:vAlign w:val="bottom"/>
            <w:hideMark/>
          </w:tcPr>
          <w:p w14:paraId="7ED96625" w14:textId="77777777" w:rsidR="00000000" w:rsidRDefault="0053651E">
            <w:pPr>
              <w:pStyle w:val="a3"/>
              <w:spacing w:before="0" w:beforeAutospacing="0" w:after="0" w:afterAutospacing="0"/>
              <w:rPr>
                <w:sz w:val="20"/>
                <w:szCs w:val="20"/>
              </w:rPr>
            </w:pPr>
            <w:r>
              <w:rPr>
                <w:sz w:val="20"/>
                <w:szCs w:val="20"/>
              </w:rPr>
              <w:t>Options outstanding, January 1, 2017</w:t>
            </w:r>
          </w:p>
        </w:tc>
        <w:tc>
          <w:tcPr>
            <w:tcW w:w="50" w:type="pct"/>
            <w:tcBorders>
              <w:bottom w:val="nil"/>
            </w:tcBorders>
            <w:shd w:val="clear" w:color="auto" w:fill="CCEEFF"/>
            <w:vAlign w:val="bottom"/>
            <w:hideMark/>
          </w:tcPr>
          <w:p w14:paraId="7530867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1A341CB"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4F1FFC5C" w14:textId="77777777" w:rsidR="00000000" w:rsidRDefault="0053651E">
            <w:pPr>
              <w:jc w:val="right"/>
              <w:rPr>
                <w:rFonts w:eastAsia="Times New Roman"/>
                <w:sz w:val="20"/>
                <w:szCs w:val="20"/>
              </w:rPr>
            </w:pPr>
            <w:r>
              <w:rPr>
                <w:rFonts w:eastAsia="Times New Roman"/>
                <w:sz w:val="20"/>
                <w:szCs w:val="20"/>
              </w:rPr>
              <w:t>6,013,729</w:t>
            </w:r>
          </w:p>
        </w:tc>
        <w:tc>
          <w:tcPr>
            <w:tcW w:w="50" w:type="pct"/>
            <w:tcBorders>
              <w:bottom w:val="nil"/>
            </w:tcBorders>
            <w:shd w:val="clear" w:color="auto" w:fill="CCEEFF"/>
            <w:vAlign w:val="bottom"/>
            <w:hideMark/>
          </w:tcPr>
          <w:p w14:paraId="192139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AE7D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FF9E49"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23680C18" w14:textId="77777777" w:rsidR="00000000" w:rsidRDefault="0053651E">
            <w:pPr>
              <w:jc w:val="right"/>
              <w:rPr>
                <w:rFonts w:eastAsia="Times New Roman"/>
                <w:sz w:val="20"/>
                <w:szCs w:val="20"/>
              </w:rPr>
            </w:pPr>
            <w:r>
              <w:rPr>
                <w:rFonts w:eastAsia="Times New Roman"/>
                <w:sz w:val="20"/>
                <w:szCs w:val="20"/>
              </w:rPr>
              <w:t>32.09</w:t>
            </w:r>
          </w:p>
        </w:tc>
        <w:tc>
          <w:tcPr>
            <w:tcW w:w="50" w:type="pct"/>
            <w:shd w:val="clear" w:color="auto" w:fill="CCEEFF"/>
            <w:vAlign w:val="bottom"/>
            <w:hideMark/>
          </w:tcPr>
          <w:p w14:paraId="69A4C9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DA55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FCE38E" w14:textId="77777777" w:rsidR="00000000" w:rsidRDefault="0053651E">
            <w:pPr>
              <w:rPr>
                <w:rFonts w:eastAsia="Times New Roman"/>
                <w:sz w:val="20"/>
                <w:szCs w:val="20"/>
              </w:rPr>
            </w:pPr>
            <w:r>
              <w:rPr>
                <w:rFonts w:eastAsia="Times New Roman"/>
                <w:sz w:val="20"/>
                <w:szCs w:val="20"/>
              </w:rPr>
              <w:t>$</w:t>
            </w:r>
          </w:p>
        </w:tc>
        <w:tc>
          <w:tcPr>
            <w:tcW w:w="900" w:type="pct"/>
            <w:shd w:val="clear" w:color="auto" w:fill="CCEEFF"/>
            <w:vAlign w:val="bottom"/>
            <w:hideMark/>
          </w:tcPr>
          <w:p w14:paraId="03B29BBA" w14:textId="77777777" w:rsidR="00000000" w:rsidRDefault="0053651E">
            <w:pPr>
              <w:jc w:val="right"/>
              <w:rPr>
                <w:rFonts w:eastAsia="Times New Roman"/>
                <w:sz w:val="20"/>
                <w:szCs w:val="20"/>
              </w:rPr>
            </w:pPr>
            <w:r>
              <w:rPr>
                <w:rFonts w:eastAsia="Times New Roman"/>
                <w:sz w:val="20"/>
                <w:szCs w:val="20"/>
              </w:rPr>
              <w:t>12.1</w:t>
            </w:r>
          </w:p>
        </w:tc>
        <w:tc>
          <w:tcPr>
            <w:tcW w:w="50" w:type="pct"/>
            <w:shd w:val="clear" w:color="auto" w:fill="CCEEFF"/>
            <w:vAlign w:val="bottom"/>
            <w:hideMark/>
          </w:tcPr>
          <w:p w14:paraId="760CD994" w14:textId="77777777" w:rsidR="00000000" w:rsidRDefault="0053651E">
            <w:pPr>
              <w:rPr>
                <w:rFonts w:eastAsia="Times New Roman"/>
                <w:sz w:val="20"/>
                <w:szCs w:val="20"/>
              </w:rPr>
            </w:pPr>
            <w:r>
              <w:rPr>
                <w:rFonts w:eastAsia="Times New Roman"/>
                <w:sz w:val="20"/>
                <w:szCs w:val="20"/>
              </w:rPr>
              <w:t> </w:t>
            </w:r>
          </w:p>
        </w:tc>
      </w:tr>
      <w:tr w:rsidR="00000000" w14:paraId="3B28BD88" w14:textId="77777777">
        <w:trPr>
          <w:tblCellSpacing w:w="0" w:type="dxa"/>
        </w:trPr>
        <w:tc>
          <w:tcPr>
            <w:tcW w:w="2250" w:type="pct"/>
            <w:shd w:val="clear" w:color="auto" w:fill="FFFFFF"/>
            <w:vAlign w:val="bottom"/>
            <w:hideMark/>
          </w:tcPr>
          <w:p w14:paraId="3EB426BA" w14:textId="77777777" w:rsidR="00000000" w:rsidRDefault="0053651E">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14:paraId="203E7E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9307B1"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B9AD1E3" w14:textId="77777777" w:rsidR="00000000" w:rsidRDefault="0053651E">
            <w:pPr>
              <w:jc w:val="right"/>
              <w:rPr>
                <w:rFonts w:eastAsia="Times New Roman"/>
                <w:sz w:val="20"/>
                <w:szCs w:val="20"/>
              </w:rPr>
            </w:pPr>
            <w:r>
              <w:rPr>
                <w:rFonts w:eastAsia="Times New Roman"/>
                <w:sz w:val="20"/>
                <w:szCs w:val="20"/>
              </w:rPr>
              <w:t>(83,863</w:t>
            </w:r>
          </w:p>
        </w:tc>
        <w:tc>
          <w:tcPr>
            <w:tcW w:w="50" w:type="pct"/>
            <w:shd w:val="clear" w:color="auto" w:fill="FFFFFF"/>
            <w:vAlign w:val="bottom"/>
            <w:hideMark/>
          </w:tcPr>
          <w:p w14:paraId="5D72E15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B3B5A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E5EF8"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5B2E3FBC" w14:textId="77777777" w:rsidR="00000000" w:rsidRDefault="0053651E">
            <w:pPr>
              <w:jc w:val="right"/>
              <w:rPr>
                <w:rFonts w:eastAsia="Times New Roman"/>
                <w:sz w:val="20"/>
                <w:szCs w:val="20"/>
              </w:rPr>
            </w:pPr>
            <w:r>
              <w:rPr>
                <w:rFonts w:eastAsia="Times New Roman"/>
                <w:sz w:val="20"/>
                <w:szCs w:val="20"/>
              </w:rPr>
              <w:t>18.20</w:t>
            </w:r>
          </w:p>
        </w:tc>
        <w:tc>
          <w:tcPr>
            <w:tcW w:w="50" w:type="pct"/>
            <w:shd w:val="clear" w:color="auto" w:fill="FFFFFF"/>
            <w:vAlign w:val="bottom"/>
            <w:hideMark/>
          </w:tcPr>
          <w:p w14:paraId="185001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644A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92F046" w14:textId="77777777" w:rsidR="00000000" w:rsidRDefault="0053651E">
            <w:pPr>
              <w:rPr>
                <w:rFonts w:eastAsia="Times New Roman"/>
                <w:sz w:val="20"/>
                <w:szCs w:val="20"/>
              </w:rPr>
            </w:pPr>
            <w:r>
              <w:rPr>
                <w:rFonts w:eastAsia="Times New Roman"/>
                <w:sz w:val="20"/>
                <w:szCs w:val="20"/>
              </w:rPr>
              <w:t>$</w:t>
            </w:r>
          </w:p>
        </w:tc>
        <w:tc>
          <w:tcPr>
            <w:tcW w:w="900" w:type="pct"/>
            <w:shd w:val="clear" w:color="auto" w:fill="FFFFFF"/>
            <w:vAlign w:val="bottom"/>
            <w:hideMark/>
          </w:tcPr>
          <w:p w14:paraId="4A188432" w14:textId="77777777" w:rsidR="00000000" w:rsidRDefault="0053651E">
            <w:pPr>
              <w:jc w:val="right"/>
              <w:rPr>
                <w:rFonts w:eastAsia="Times New Roman"/>
                <w:sz w:val="20"/>
                <w:szCs w:val="20"/>
              </w:rPr>
            </w:pPr>
            <w:r>
              <w:rPr>
                <w:rFonts w:eastAsia="Times New Roman"/>
                <w:sz w:val="20"/>
                <w:szCs w:val="20"/>
              </w:rPr>
              <w:t>3.4</w:t>
            </w:r>
          </w:p>
        </w:tc>
        <w:tc>
          <w:tcPr>
            <w:tcW w:w="50" w:type="pct"/>
            <w:shd w:val="clear" w:color="auto" w:fill="FFFFFF"/>
            <w:vAlign w:val="bottom"/>
            <w:hideMark/>
          </w:tcPr>
          <w:p w14:paraId="2994590B" w14:textId="77777777" w:rsidR="00000000" w:rsidRDefault="0053651E">
            <w:pPr>
              <w:rPr>
                <w:rFonts w:eastAsia="Times New Roman"/>
                <w:sz w:val="20"/>
                <w:szCs w:val="20"/>
              </w:rPr>
            </w:pPr>
            <w:r>
              <w:rPr>
                <w:rFonts w:eastAsia="Times New Roman"/>
                <w:sz w:val="20"/>
                <w:szCs w:val="20"/>
              </w:rPr>
              <w:t> </w:t>
            </w:r>
          </w:p>
        </w:tc>
      </w:tr>
      <w:tr w:rsidR="00000000" w14:paraId="48232E65" w14:textId="77777777">
        <w:trPr>
          <w:tblCellSpacing w:w="0" w:type="dxa"/>
        </w:trPr>
        <w:tc>
          <w:tcPr>
            <w:tcW w:w="2250" w:type="pct"/>
            <w:shd w:val="clear" w:color="auto" w:fill="CCEEFF"/>
            <w:vAlign w:val="bottom"/>
            <w:hideMark/>
          </w:tcPr>
          <w:p w14:paraId="24FBEFA3" w14:textId="77777777" w:rsidR="00000000" w:rsidRDefault="0053651E">
            <w:pPr>
              <w:pStyle w:val="a3"/>
              <w:spacing w:before="0" w:beforeAutospacing="0" w:after="0" w:afterAutospacing="0"/>
              <w:ind w:left="360"/>
              <w:rPr>
                <w:sz w:val="20"/>
                <w:szCs w:val="20"/>
              </w:rPr>
            </w:pPr>
            <w:r>
              <w:rPr>
                <w:sz w:val="20"/>
                <w:szCs w:val="20"/>
              </w:rPr>
              <w:t>Forfeited</w:t>
            </w:r>
          </w:p>
        </w:tc>
        <w:tc>
          <w:tcPr>
            <w:tcW w:w="50" w:type="pct"/>
            <w:shd w:val="clear" w:color="auto" w:fill="CCEEFF"/>
            <w:tcMar>
              <w:top w:w="0" w:type="dxa"/>
              <w:left w:w="0" w:type="dxa"/>
              <w:bottom w:w="15" w:type="dxa"/>
              <w:right w:w="0" w:type="dxa"/>
            </w:tcMar>
            <w:vAlign w:val="bottom"/>
            <w:hideMark/>
          </w:tcPr>
          <w:p w14:paraId="702502E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ED24B8"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62A687B9" w14:textId="77777777" w:rsidR="00000000" w:rsidRDefault="0053651E">
            <w:pPr>
              <w:jc w:val="right"/>
              <w:rPr>
                <w:rFonts w:eastAsia="Times New Roman"/>
                <w:sz w:val="20"/>
                <w:szCs w:val="20"/>
              </w:rPr>
            </w:pPr>
            <w:r>
              <w:rPr>
                <w:rFonts w:eastAsia="Times New Roman"/>
                <w:sz w:val="20"/>
                <w:szCs w:val="20"/>
              </w:rPr>
              <w:t>(2,464,920</w:t>
            </w:r>
          </w:p>
        </w:tc>
        <w:tc>
          <w:tcPr>
            <w:tcW w:w="50" w:type="pct"/>
            <w:shd w:val="clear" w:color="auto" w:fill="CCEEFF"/>
            <w:tcMar>
              <w:top w:w="0" w:type="dxa"/>
              <w:left w:w="0" w:type="dxa"/>
              <w:bottom w:w="15" w:type="dxa"/>
              <w:right w:w="0" w:type="dxa"/>
            </w:tcMar>
            <w:vAlign w:val="bottom"/>
            <w:hideMark/>
          </w:tcPr>
          <w:p w14:paraId="29B1BF1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2FCAB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8EA14"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C78DB41" w14:textId="77777777" w:rsidR="00000000" w:rsidRDefault="0053651E">
            <w:pPr>
              <w:jc w:val="right"/>
              <w:rPr>
                <w:rFonts w:eastAsia="Times New Roman"/>
                <w:sz w:val="20"/>
                <w:szCs w:val="20"/>
              </w:rPr>
            </w:pPr>
            <w:r>
              <w:rPr>
                <w:rFonts w:eastAsia="Times New Roman"/>
                <w:sz w:val="20"/>
                <w:szCs w:val="20"/>
              </w:rPr>
              <w:t>35.91</w:t>
            </w:r>
          </w:p>
        </w:tc>
        <w:tc>
          <w:tcPr>
            <w:tcW w:w="50" w:type="pct"/>
            <w:shd w:val="clear" w:color="auto" w:fill="CCEEFF"/>
            <w:vAlign w:val="bottom"/>
            <w:hideMark/>
          </w:tcPr>
          <w:p w14:paraId="73802C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2D57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03B9C" w14:textId="77777777" w:rsidR="00000000" w:rsidRDefault="0053651E">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54B9B59"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14:paraId="509390B4" w14:textId="77777777" w:rsidR="00000000" w:rsidRDefault="0053651E">
            <w:pPr>
              <w:rPr>
                <w:rFonts w:eastAsia="Times New Roman"/>
                <w:sz w:val="20"/>
                <w:szCs w:val="20"/>
              </w:rPr>
            </w:pPr>
            <w:r>
              <w:rPr>
                <w:rFonts w:eastAsia="Times New Roman"/>
                <w:sz w:val="20"/>
                <w:szCs w:val="20"/>
              </w:rPr>
              <w:t> </w:t>
            </w:r>
          </w:p>
        </w:tc>
      </w:tr>
      <w:tr w:rsidR="00000000" w14:paraId="258E5794" w14:textId="77777777">
        <w:trPr>
          <w:tblCellSpacing w:w="0" w:type="dxa"/>
        </w:trPr>
        <w:tc>
          <w:tcPr>
            <w:tcW w:w="2250" w:type="pct"/>
            <w:shd w:val="clear" w:color="auto" w:fill="FFFFFF"/>
            <w:vAlign w:val="bottom"/>
            <w:hideMark/>
          </w:tcPr>
          <w:p w14:paraId="08B7ACD7" w14:textId="77777777" w:rsidR="00000000" w:rsidRDefault="0053651E">
            <w:pPr>
              <w:pStyle w:val="a3"/>
              <w:spacing w:before="0" w:beforeAutospacing="0" w:after="0" w:afterAutospacing="0"/>
              <w:rPr>
                <w:sz w:val="20"/>
                <w:szCs w:val="20"/>
              </w:rPr>
            </w:pPr>
            <w:r>
              <w:rPr>
                <w:sz w:val="20"/>
                <w:szCs w:val="20"/>
              </w:rPr>
              <w:t>Options outstanding, December 31, 2017</w:t>
            </w:r>
          </w:p>
        </w:tc>
        <w:tc>
          <w:tcPr>
            <w:tcW w:w="50" w:type="pct"/>
            <w:tcBorders>
              <w:bottom w:val="nil"/>
            </w:tcBorders>
            <w:shd w:val="clear" w:color="auto" w:fill="FFFFFF"/>
            <w:vAlign w:val="bottom"/>
            <w:hideMark/>
          </w:tcPr>
          <w:p w14:paraId="096E66E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B6EB1F6"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FFFFFF"/>
            <w:vAlign w:val="bottom"/>
            <w:hideMark/>
          </w:tcPr>
          <w:p w14:paraId="10AE28D9" w14:textId="77777777" w:rsidR="00000000" w:rsidRDefault="0053651E">
            <w:pPr>
              <w:jc w:val="right"/>
              <w:rPr>
                <w:rFonts w:eastAsia="Times New Roman"/>
                <w:sz w:val="20"/>
                <w:szCs w:val="20"/>
              </w:rPr>
            </w:pPr>
            <w:r>
              <w:rPr>
                <w:rFonts w:eastAsia="Times New Roman"/>
                <w:sz w:val="20"/>
                <w:szCs w:val="20"/>
              </w:rPr>
              <w:t>3,464,946</w:t>
            </w:r>
          </w:p>
        </w:tc>
        <w:tc>
          <w:tcPr>
            <w:tcW w:w="50" w:type="pct"/>
            <w:tcBorders>
              <w:bottom w:val="nil"/>
            </w:tcBorders>
            <w:shd w:val="clear" w:color="auto" w:fill="FFFFFF"/>
            <w:vAlign w:val="bottom"/>
            <w:hideMark/>
          </w:tcPr>
          <w:p w14:paraId="0461D7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9C40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50EBC9"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04727469" w14:textId="77777777" w:rsidR="00000000" w:rsidRDefault="0053651E">
            <w:pPr>
              <w:jc w:val="right"/>
              <w:rPr>
                <w:rFonts w:eastAsia="Times New Roman"/>
                <w:sz w:val="20"/>
                <w:szCs w:val="20"/>
              </w:rPr>
            </w:pPr>
            <w:r>
              <w:rPr>
                <w:rFonts w:eastAsia="Times New Roman"/>
                <w:sz w:val="20"/>
                <w:szCs w:val="20"/>
              </w:rPr>
              <w:t>27.81</w:t>
            </w:r>
          </w:p>
        </w:tc>
        <w:tc>
          <w:tcPr>
            <w:tcW w:w="50" w:type="pct"/>
            <w:shd w:val="clear" w:color="auto" w:fill="FFFFFF"/>
            <w:vAlign w:val="bottom"/>
            <w:hideMark/>
          </w:tcPr>
          <w:p w14:paraId="35E893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688CF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F43026" w14:textId="77777777" w:rsidR="00000000" w:rsidRDefault="0053651E">
            <w:pPr>
              <w:rPr>
                <w:rFonts w:eastAsia="Times New Roman"/>
                <w:sz w:val="20"/>
                <w:szCs w:val="20"/>
              </w:rPr>
            </w:pPr>
            <w:r>
              <w:rPr>
                <w:rFonts w:eastAsia="Times New Roman"/>
                <w:sz w:val="20"/>
                <w:szCs w:val="20"/>
              </w:rPr>
              <w:t>$</w:t>
            </w:r>
          </w:p>
        </w:tc>
        <w:tc>
          <w:tcPr>
            <w:tcW w:w="900" w:type="pct"/>
            <w:shd w:val="clear" w:color="auto" w:fill="FFFFFF"/>
            <w:vAlign w:val="bottom"/>
            <w:hideMark/>
          </w:tcPr>
          <w:p w14:paraId="29E814E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7766F08" w14:textId="77777777" w:rsidR="00000000" w:rsidRDefault="0053651E">
            <w:pPr>
              <w:rPr>
                <w:rFonts w:eastAsia="Times New Roman"/>
                <w:sz w:val="20"/>
                <w:szCs w:val="20"/>
              </w:rPr>
            </w:pPr>
            <w:r>
              <w:rPr>
                <w:rFonts w:eastAsia="Times New Roman"/>
                <w:sz w:val="20"/>
                <w:szCs w:val="20"/>
              </w:rPr>
              <w:t> </w:t>
            </w:r>
          </w:p>
        </w:tc>
      </w:tr>
      <w:tr w:rsidR="00000000" w14:paraId="5ECF0F21" w14:textId="77777777">
        <w:trPr>
          <w:tblCellSpacing w:w="0" w:type="dxa"/>
        </w:trPr>
        <w:tc>
          <w:tcPr>
            <w:tcW w:w="2250" w:type="pct"/>
            <w:shd w:val="clear" w:color="auto" w:fill="CCEEFF"/>
            <w:vAlign w:val="bottom"/>
            <w:hideMark/>
          </w:tcPr>
          <w:p w14:paraId="60C2A227" w14:textId="77777777" w:rsidR="00000000" w:rsidRDefault="0053651E">
            <w:pPr>
              <w:pStyle w:val="a3"/>
              <w:spacing w:before="0" w:beforeAutospacing="0" w:after="0" w:afterAutospacing="0"/>
              <w:ind w:left="360"/>
              <w:rPr>
                <w:sz w:val="20"/>
                <w:szCs w:val="20"/>
              </w:rPr>
            </w:pPr>
            <w:r>
              <w:rPr>
                <w:sz w:val="20"/>
                <w:szCs w:val="20"/>
              </w:rPr>
              <w:t>Exercised</w:t>
            </w:r>
          </w:p>
        </w:tc>
        <w:tc>
          <w:tcPr>
            <w:tcW w:w="50" w:type="pct"/>
            <w:shd w:val="clear" w:color="auto" w:fill="CCEEFF"/>
            <w:vAlign w:val="bottom"/>
            <w:hideMark/>
          </w:tcPr>
          <w:p w14:paraId="25D3A6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B12C3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EFA9F68" w14:textId="77777777" w:rsidR="00000000" w:rsidRDefault="0053651E">
            <w:pPr>
              <w:jc w:val="right"/>
              <w:rPr>
                <w:rFonts w:eastAsia="Times New Roman"/>
                <w:sz w:val="20"/>
                <w:szCs w:val="20"/>
              </w:rPr>
            </w:pPr>
            <w:r>
              <w:rPr>
                <w:rFonts w:eastAsia="Times New Roman"/>
                <w:sz w:val="20"/>
                <w:szCs w:val="20"/>
              </w:rPr>
              <w:t>(42,259</w:t>
            </w:r>
          </w:p>
        </w:tc>
        <w:tc>
          <w:tcPr>
            <w:tcW w:w="50" w:type="pct"/>
            <w:shd w:val="clear" w:color="auto" w:fill="CCEEFF"/>
            <w:vAlign w:val="bottom"/>
            <w:hideMark/>
          </w:tcPr>
          <w:p w14:paraId="6FC2600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EEAC1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003866"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26809558" w14:textId="77777777" w:rsidR="00000000" w:rsidRDefault="0053651E">
            <w:pPr>
              <w:jc w:val="right"/>
              <w:rPr>
                <w:rFonts w:eastAsia="Times New Roman"/>
                <w:sz w:val="20"/>
                <w:szCs w:val="20"/>
              </w:rPr>
            </w:pPr>
            <w:r>
              <w:rPr>
                <w:rFonts w:eastAsia="Times New Roman"/>
                <w:sz w:val="20"/>
                <w:szCs w:val="20"/>
              </w:rPr>
              <w:t>14.00</w:t>
            </w:r>
          </w:p>
        </w:tc>
        <w:tc>
          <w:tcPr>
            <w:tcW w:w="50" w:type="pct"/>
            <w:shd w:val="clear" w:color="auto" w:fill="CCEEFF"/>
            <w:vAlign w:val="bottom"/>
            <w:hideMark/>
          </w:tcPr>
          <w:p w14:paraId="2DEE27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631F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AC21A7" w14:textId="77777777" w:rsidR="00000000" w:rsidRDefault="0053651E">
            <w:pPr>
              <w:rPr>
                <w:rFonts w:eastAsia="Times New Roman"/>
                <w:sz w:val="20"/>
                <w:szCs w:val="20"/>
              </w:rPr>
            </w:pPr>
            <w:r>
              <w:rPr>
                <w:rFonts w:eastAsia="Times New Roman"/>
                <w:sz w:val="20"/>
                <w:szCs w:val="20"/>
              </w:rPr>
              <w:t>$</w:t>
            </w:r>
          </w:p>
        </w:tc>
        <w:tc>
          <w:tcPr>
            <w:tcW w:w="900" w:type="pct"/>
            <w:shd w:val="clear" w:color="auto" w:fill="CCEEFF"/>
            <w:vAlign w:val="bottom"/>
            <w:hideMark/>
          </w:tcPr>
          <w:p w14:paraId="2B93BFE9" w14:textId="77777777" w:rsidR="00000000" w:rsidRDefault="0053651E">
            <w:pPr>
              <w:jc w:val="right"/>
              <w:rPr>
                <w:rFonts w:eastAsia="Times New Roman"/>
                <w:sz w:val="20"/>
                <w:szCs w:val="20"/>
              </w:rPr>
            </w:pPr>
            <w:r>
              <w:rPr>
                <w:rFonts w:eastAsia="Times New Roman"/>
                <w:sz w:val="20"/>
                <w:szCs w:val="20"/>
              </w:rPr>
              <w:t>0.1</w:t>
            </w:r>
          </w:p>
        </w:tc>
        <w:tc>
          <w:tcPr>
            <w:tcW w:w="50" w:type="pct"/>
            <w:shd w:val="clear" w:color="auto" w:fill="CCEEFF"/>
            <w:vAlign w:val="bottom"/>
            <w:hideMark/>
          </w:tcPr>
          <w:p w14:paraId="5E3628FB" w14:textId="77777777" w:rsidR="00000000" w:rsidRDefault="0053651E">
            <w:pPr>
              <w:rPr>
                <w:rFonts w:eastAsia="Times New Roman"/>
                <w:sz w:val="20"/>
                <w:szCs w:val="20"/>
              </w:rPr>
            </w:pPr>
            <w:r>
              <w:rPr>
                <w:rFonts w:eastAsia="Times New Roman"/>
                <w:sz w:val="20"/>
                <w:szCs w:val="20"/>
              </w:rPr>
              <w:t> </w:t>
            </w:r>
          </w:p>
        </w:tc>
      </w:tr>
      <w:tr w:rsidR="00000000" w14:paraId="195CD143" w14:textId="77777777">
        <w:trPr>
          <w:tblCellSpacing w:w="0" w:type="dxa"/>
        </w:trPr>
        <w:tc>
          <w:tcPr>
            <w:tcW w:w="2250" w:type="pct"/>
            <w:shd w:val="clear" w:color="auto" w:fill="FFFFFF"/>
            <w:vAlign w:val="bottom"/>
            <w:hideMark/>
          </w:tcPr>
          <w:p w14:paraId="48845F0C" w14:textId="77777777" w:rsidR="00000000" w:rsidRDefault="0053651E">
            <w:pPr>
              <w:pStyle w:val="a3"/>
              <w:spacing w:before="0" w:beforeAutospacing="0" w:after="0" w:afterAutospacing="0"/>
              <w:ind w:left="360"/>
              <w:rPr>
                <w:sz w:val="20"/>
                <w:szCs w:val="20"/>
              </w:rPr>
            </w:pPr>
            <w:r>
              <w:rPr>
                <w:sz w:val="20"/>
                <w:szCs w:val="20"/>
              </w:rPr>
              <w:t>Forfeited</w:t>
            </w:r>
          </w:p>
        </w:tc>
        <w:tc>
          <w:tcPr>
            <w:tcW w:w="50" w:type="pct"/>
            <w:shd w:val="clear" w:color="auto" w:fill="FFFFFF"/>
            <w:vAlign w:val="bottom"/>
            <w:hideMark/>
          </w:tcPr>
          <w:p w14:paraId="193F251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67E4250"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4C2CCEE" w14:textId="77777777" w:rsidR="00000000" w:rsidRDefault="0053651E">
            <w:pPr>
              <w:jc w:val="right"/>
              <w:rPr>
                <w:rFonts w:eastAsia="Times New Roman"/>
                <w:sz w:val="20"/>
                <w:szCs w:val="20"/>
              </w:rPr>
            </w:pPr>
            <w:r>
              <w:rPr>
                <w:rFonts w:eastAsia="Times New Roman"/>
                <w:sz w:val="20"/>
                <w:szCs w:val="20"/>
              </w:rPr>
              <w:t>(1,781,321</w:t>
            </w:r>
          </w:p>
        </w:tc>
        <w:tc>
          <w:tcPr>
            <w:tcW w:w="50" w:type="pct"/>
            <w:shd w:val="clear" w:color="auto" w:fill="FFFFFF"/>
            <w:tcMar>
              <w:top w:w="0" w:type="dxa"/>
              <w:left w:w="0" w:type="dxa"/>
              <w:bottom w:w="15" w:type="dxa"/>
              <w:right w:w="0" w:type="dxa"/>
            </w:tcMar>
            <w:vAlign w:val="bottom"/>
            <w:hideMark/>
          </w:tcPr>
          <w:p w14:paraId="503CA67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1CA31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C82D5F"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0E8135BC" w14:textId="77777777" w:rsidR="00000000" w:rsidRDefault="0053651E">
            <w:pPr>
              <w:jc w:val="right"/>
              <w:rPr>
                <w:rFonts w:eastAsia="Times New Roman"/>
                <w:sz w:val="20"/>
                <w:szCs w:val="20"/>
              </w:rPr>
            </w:pPr>
            <w:r>
              <w:rPr>
                <w:rFonts w:eastAsia="Times New Roman"/>
                <w:sz w:val="20"/>
                <w:szCs w:val="20"/>
              </w:rPr>
              <w:t>36.53</w:t>
            </w:r>
          </w:p>
        </w:tc>
        <w:tc>
          <w:tcPr>
            <w:tcW w:w="50" w:type="pct"/>
            <w:shd w:val="clear" w:color="auto" w:fill="FFFFFF"/>
            <w:vAlign w:val="bottom"/>
            <w:hideMark/>
          </w:tcPr>
          <w:p w14:paraId="0DF724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4C56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A3CC6E" w14:textId="77777777" w:rsidR="00000000" w:rsidRDefault="0053651E">
            <w:pPr>
              <w:rPr>
                <w:rFonts w:eastAsia="Times New Roman"/>
                <w:sz w:val="20"/>
                <w:szCs w:val="20"/>
              </w:rPr>
            </w:pPr>
            <w:r>
              <w:rPr>
                <w:rFonts w:eastAsia="Times New Roman"/>
                <w:sz w:val="20"/>
                <w:szCs w:val="20"/>
              </w:rPr>
              <w:t> </w:t>
            </w:r>
          </w:p>
        </w:tc>
        <w:tc>
          <w:tcPr>
            <w:tcW w:w="900" w:type="pct"/>
            <w:shd w:val="clear" w:color="auto" w:fill="FFFFFF"/>
            <w:vAlign w:val="bottom"/>
            <w:hideMark/>
          </w:tcPr>
          <w:p w14:paraId="2AE67A6B"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66F32845" w14:textId="77777777" w:rsidR="00000000" w:rsidRDefault="0053651E">
            <w:pPr>
              <w:rPr>
                <w:rFonts w:eastAsia="Times New Roman"/>
                <w:sz w:val="20"/>
                <w:szCs w:val="20"/>
              </w:rPr>
            </w:pPr>
            <w:r>
              <w:rPr>
                <w:rFonts w:eastAsia="Times New Roman"/>
                <w:sz w:val="20"/>
                <w:szCs w:val="20"/>
              </w:rPr>
              <w:t> </w:t>
            </w:r>
          </w:p>
        </w:tc>
      </w:tr>
      <w:tr w:rsidR="00000000" w14:paraId="65C28B92" w14:textId="77777777">
        <w:trPr>
          <w:tblCellSpacing w:w="0" w:type="dxa"/>
        </w:trPr>
        <w:tc>
          <w:tcPr>
            <w:tcW w:w="2250" w:type="pct"/>
            <w:shd w:val="clear" w:color="auto" w:fill="CCEEFF"/>
            <w:vAlign w:val="bottom"/>
            <w:hideMark/>
          </w:tcPr>
          <w:p w14:paraId="18D4A3ED" w14:textId="77777777" w:rsidR="00000000" w:rsidRDefault="0053651E">
            <w:pPr>
              <w:pStyle w:val="a3"/>
              <w:spacing w:before="0" w:beforeAutospacing="0" w:after="0" w:afterAutospacing="0"/>
              <w:rPr>
                <w:sz w:val="20"/>
                <w:szCs w:val="20"/>
              </w:rPr>
            </w:pPr>
            <w:r>
              <w:rPr>
                <w:sz w:val="20"/>
                <w:szCs w:val="20"/>
              </w:rPr>
              <w:t>Options outstanding, December 31, 2018</w:t>
            </w:r>
          </w:p>
        </w:tc>
        <w:tc>
          <w:tcPr>
            <w:tcW w:w="50" w:type="pct"/>
            <w:tcBorders>
              <w:bottom w:val="nil"/>
            </w:tcBorders>
            <w:shd w:val="clear" w:color="auto" w:fill="CCEEFF"/>
            <w:vAlign w:val="bottom"/>
            <w:hideMark/>
          </w:tcPr>
          <w:p w14:paraId="30A1717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C8BEA08"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5E9E0707" w14:textId="77777777" w:rsidR="00000000" w:rsidRDefault="0053651E">
            <w:pPr>
              <w:jc w:val="right"/>
              <w:rPr>
                <w:rFonts w:eastAsia="Times New Roman"/>
                <w:sz w:val="20"/>
                <w:szCs w:val="20"/>
              </w:rPr>
            </w:pPr>
            <w:r>
              <w:rPr>
                <w:rFonts w:eastAsia="Times New Roman"/>
                <w:sz w:val="20"/>
                <w:szCs w:val="20"/>
              </w:rPr>
              <w:t>1,641,366</w:t>
            </w:r>
          </w:p>
        </w:tc>
        <w:tc>
          <w:tcPr>
            <w:tcW w:w="50" w:type="pct"/>
            <w:tcBorders>
              <w:bottom w:val="nil"/>
            </w:tcBorders>
            <w:shd w:val="clear" w:color="auto" w:fill="CCEEFF"/>
            <w:vAlign w:val="bottom"/>
            <w:hideMark/>
          </w:tcPr>
          <w:p w14:paraId="6F8074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FD89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817898"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6BFC4A5D" w14:textId="77777777" w:rsidR="00000000" w:rsidRDefault="0053651E">
            <w:pPr>
              <w:jc w:val="right"/>
              <w:rPr>
                <w:rFonts w:eastAsia="Times New Roman"/>
                <w:sz w:val="20"/>
                <w:szCs w:val="20"/>
              </w:rPr>
            </w:pPr>
            <w:r>
              <w:rPr>
                <w:rFonts w:eastAsia="Times New Roman"/>
                <w:sz w:val="20"/>
                <w:szCs w:val="20"/>
              </w:rPr>
              <w:t>18.78</w:t>
            </w:r>
          </w:p>
        </w:tc>
        <w:tc>
          <w:tcPr>
            <w:tcW w:w="50" w:type="pct"/>
            <w:shd w:val="clear" w:color="auto" w:fill="CCEEFF"/>
            <w:vAlign w:val="bottom"/>
            <w:hideMark/>
          </w:tcPr>
          <w:p w14:paraId="48BDC8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BDB9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772363" w14:textId="77777777" w:rsidR="00000000" w:rsidRDefault="0053651E">
            <w:pPr>
              <w:rPr>
                <w:rFonts w:eastAsia="Times New Roman"/>
                <w:sz w:val="20"/>
                <w:szCs w:val="20"/>
              </w:rPr>
            </w:pPr>
            <w:r>
              <w:rPr>
                <w:rFonts w:eastAsia="Times New Roman"/>
                <w:sz w:val="20"/>
                <w:szCs w:val="20"/>
              </w:rPr>
              <w:t>$</w:t>
            </w:r>
          </w:p>
        </w:tc>
        <w:tc>
          <w:tcPr>
            <w:tcW w:w="900" w:type="pct"/>
            <w:shd w:val="clear" w:color="auto" w:fill="CCEEFF"/>
            <w:vAlign w:val="bottom"/>
            <w:hideMark/>
          </w:tcPr>
          <w:p w14:paraId="45954D7A" w14:textId="77777777" w:rsidR="00000000" w:rsidRDefault="0053651E">
            <w:pPr>
              <w:jc w:val="right"/>
              <w:rPr>
                <w:rFonts w:eastAsia="Times New Roman"/>
                <w:sz w:val="20"/>
                <w:szCs w:val="20"/>
              </w:rPr>
            </w:pPr>
            <w:r>
              <w:rPr>
                <w:rFonts w:eastAsia="Times New Roman"/>
                <w:sz w:val="20"/>
                <w:szCs w:val="20"/>
              </w:rPr>
              <w:t>0.4</w:t>
            </w:r>
          </w:p>
        </w:tc>
        <w:tc>
          <w:tcPr>
            <w:tcW w:w="50" w:type="pct"/>
            <w:shd w:val="clear" w:color="auto" w:fill="CCEEFF"/>
            <w:vAlign w:val="bottom"/>
            <w:hideMark/>
          </w:tcPr>
          <w:p w14:paraId="0BCA2A39" w14:textId="77777777" w:rsidR="00000000" w:rsidRDefault="0053651E">
            <w:pPr>
              <w:rPr>
                <w:rFonts w:eastAsia="Times New Roman"/>
                <w:sz w:val="20"/>
                <w:szCs w:val="20"/>
              </w:rPr>
            </w:pPr>
            <w:r>
              <w:rPr>
                <w:rFonts w:eastAsia="Times New Roman"/>
                <w:sz w:val="20"/>
                <w:szCs w:val="20"/>
              </w:rPr>
              <w:t> </w:t>
            </w:r>
          </w:p>
        </w:tc>
      </w:tr>
      <w:tr w:rsidR="00000000" w14:paraId="55887FCB" w14:textId="77777777">
        <w:trPr>
          <w:tblCellSpacing w:w="0" w:type="dxa"/>
        </w:trPr>
        <w:tc>
          <w:tcPr>
            <w:tcW w:w="2250" w:type="pct"/>
            <w:shd w:val="clear" w:color="auto" w:fill="FFFFFF"/>
            <w:vAlign w:val="bottom"/>
            <w:hideMark/>
          </w:tcPr>
          <w:p w14:paraId="73714916" w14:textId="77777777" w:rsidR="00000000" w:rsidRDefault="0053651E">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14:paraId="5C0DC4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2B136B"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A949E06" w14:textId="77777777" w:rsidR="00000000" w:rsidRDefault="0053651E">
            <w:pPr>
              <w:jc w:val="right"/>
              <w:rPr>
                <w:rFonts w:eastAsia="Times New Roman"/>
                <w:sz w:val="20"/>
                <w:szCs w:val="20"/>
              </w:rPr>
            </w:pPr>
            <w:r>
              <w:rPr>
                <w:rFonts w:eastAsia="Times New Roman"/>
                <w:sz w:val="20"/>
                <w:szCs w:val="20"/>
              </w:rPr>
              <w:t>(268,856</w:t>
            </w:r>
          </w:p>
        </w:tc>
        <w:tc>
          <w:tcPr>
            <w:tcW w:w="50" w:type="pct"/>
            <w:shd w:val="clear" w:color="auto" w:fill="FFFFFF"/>
            <w:vAlign w:val="bottom"/>
            <w:hideMark/>
          </w:tcPr>
          <w:p w14:paraId="627F482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80124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E2B5F1"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0A6ABE2A" w14:textId="77777777" w:rsidR="00000000" w:rsidRDefault="0053651E">
            <w:pPr>
              <w:jc w:val="right"/>
              <w:rPr>
                <w:rFonts w:eastAsia="Times New Roman"/>
                <w:sz w:val="20"/>
                <w:szCs w:val="20"/>
              </w:rPr>
            </w:pPr>
            <w:r>
              <w:rPr>
                <w:rFonts w:eastAsia="Times New Roman"/>
                <w:sz w:val="20"/>
                <w:szCs w:val="20"/>
              </w:rPr>
              <w:t>14.43</w:t>
            </w:r>
          </w:p>
        </w:tc>
        <w:tc>
          <w:tcPr>
            <w:tcW w:w="50" w:type="pct"/>
            <w:shd w:val="clear" w:color="auto" w:fill="FFFFFF"/>
            <w:vAlign w:val="bottom"/>
            <w:hideMark/>
          </w:tcPr>
          <w:p w14:paraId="3C0DFC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8B00F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B1152B" w14:textId="77777777" w:rsidR="00000000" w:rsidRDefault="0053651E">
            <w:pPr>
              <w:rPr>
                <w:rFonts w:eastAsia="Times New Roman"/>
                <w:sz w:val="20"/>
                <w:szCs w:val="20"/>
              </w:rPr>
            </w:pPr>
            <w:r>
              <w:rPr>
                <w:rFonts w:eastAsia="Times New Roman"/>
                <w:sz w:val="20"/>
                <w:szCs w:val="20"/>
              </w:rPr>
              <w:t>$</w:t>
            </w:r>
          </w:p>
        </w:tc>
        <w:tc>
          <w:tcPr>
            <w:tcW w:w="900" w:type="pct"/>
            <w:shd w:val="clear" w:color="auto" w:fill="FFFFFF"/>
            <w:vAlign w:val="bottom"/>
            <w:hideMark/>
          </w:tcPr>
          <w:p w14:paraId="2E85DBD4" w14:textId="77777777" w:rsidR="00000000" w:rsidRDefault="0053651E">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14:paraId="604F193F" w14:textId="77777777" w:rsidR="00000000" w:rsidRDefault="0053651E">
            <w:pPr>
              <w:rPr>
                <w:rFonts w:eastAsia="Times New Roman"/>
                <w:sz w:val="20"/>
                <w:szCs w:val="20"/>
              </w:rPr>
            </w:pPr>
            <w:r>
              <w:rPr>
                <w:rFonts w:eastAsia="Times New Roman"/>
                <w:sz w:val="20"/>
                <w:szCs w:val="20"/>
              </w:rPr>
              <w:t> </w:t>
            </w:r>
          </w:p>
        </w:tc>
      </w:tr>
      <w:tr w:rsidR="00000000" w14:paraId="2A1386D8" w14:textId="77777777">
        <w:trPr>
          <w:tblCellSpacing w:w="0" w:type="dxa"/>
        </w:trPr>
        <w:tc>
          <w:tcPr>
            <w:tcW w:w="2250" w:type="pct"/>
            <w:shd w:val="clear" w:color="auto" w:fill="CCEEFF"/>
            <w:vAlign w:val="bottom"/>
            <w:hideMark/>
          </w:tcPr>
          <w:p w14:paraId="709B7CE3" w14:textId="77777777" w:rsidR="00000000" w:rsidRDefault="0053651E">
            <w:pPr>
              <w:pStyle w:val="a3"/>
              <w:spacing w:before="0" w:beforeAutospacing="0" w:after="0" w:afterAutospacing="0"/>
              <w:ind w:left="360"/>
              <w:rPr>
                <w:sz w:val="20"/>
                <w:szCs w:val="20"/>
              </w:rPr>
            </w:pPr>
            <w:r>
              <w:rPr>
                <w:sz w:val="20"/>
                <w:szCs w:val="20"/>
              </w:rPr>
              <w:t>Forfeited</w:t>
            </w:r>
          </w:p>
        </w:tc>
        <w:tc>
          <w:tcPr>
            <w:tcW w:w="50" w:type="pct"/>
            <w:shd w:val="clear" w:color="auto" w:fill="CCEEFF"/>
            <w:vAlign w:val="bottom"/>
            <w:hideMark/>
          </w:tcPr>
          <w:p w14:paraId="1813111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E848118"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2C593D5A" w14:textId="77777777" w:rsidR="00000000" w:rsidRDefault="0053651E">
            <w:pPr>
              <w:jc w:val="right"/>
              <w:rPr>
                <w:rFonts w:eastAsia="Times New Roman"/>
                <w:sz w:val="20"/>
                <w:szCs w:val="20"/>
              </w:rPr>
            </w:pPr>
            <w:r>
              <w:rPr>
                <w:rFonts w:eastAsia="Times New Roman"/>
                <w:sz w:val="20"/>
                <w:szCs w:val="20"/>
              </w:rPr>
              <w:t>(74,574</w:t>
            </w:r>
          </w:p>
        </w:tc>
        <w:tc>
          <w:tcPr>
            <w:tcW w:w="50" w:type="pct"/>
            <w:shd w:val="clear" w:color="auto" w:fill="CCEEFF"/>
            <w:tcMar>
              <w:top w:w="0" w:type="dxa"/>
              <w:left w:w="0" w:type="dxa"/>
              <w:bottom w:w="15" w:type="dxa"/>
              <w:right w:w="0" w:type="dxa"/>
            </w:tcMar>
            <w:vAlign w:val="bottom"/>
            <w:hideMark/>
          </w:tcPr>
          <w:p w14:paraId="7693720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18B13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806046" w14:textId="77777777" w:rsidR="00000000" w:rsidRDefault="0053651E">
            <w:pPr>
              <w:rPr>
                <w:rFonts w:eastAsia="Times New Roman"/>
                <w:sz w:val="20"/>
                <w:szCs w:val="20"/>
              </w:rPr>
            </w:pPr>
            <w:r>
              <w:rPr>
                <w:rFonts w:eastAsia="Times New Roman"/>
                <w:sz w:val="20"/>
                <w:szCs w:val="20"/>
              </w:rPr>
              <w:t>$</w:t>
            </w:r>
          </w:p>
        </w:tc>
        <w:tc>
          <w:tcPr>
            <w:tcW w:w="700" w:type="pct"/>
            <w:shd w:val="clear" w:color="auto" w:fill="CCEEFF"/>
            <w:vAlign w:val="bottom"/>
            <w:hideMark/>
          </w:tcPr>
          <w:p w14:paraId="1AFA1C86" w14:textId="77777777" w:rsidR="00000000" w:rsidRDefault="0053651E">
            <w:pPr>
              <w:jc w:val="right"/>
              <w:rPr>
                <w:rFonts w:eastAsia="Times New Roman"/>
                <w:sz w:val="20"/>
                <w:szCs w:val="20"/>
              </w:rPr>
            </w:pPr>
            <w:r>
              <w:rPr>
                <w:rFonts w:eastAsia="Times New Roman"/>
                <w:sz w:val="20"/>
                <w:szCs w:val="20"/>
              </w:rPr>
              <w:t>20.24</w:t>
            </w:r>
          </w:p>
        </w:tc>
        <w:tc>
          <w:tcPr>
            <w:tcW w:w="50" w:type="pct"/>
            <w:shd w:val="clear" w:color="auto" w:fill="CCEEFF"/>
            <w:vAlign w:val="bottom"/>
            <w:hideMark/>
          </w:tcPr>
          <w:p w14:paraId="0824F1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6138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15F90" w14:textId="77777777" w:rsidR="00000000" w:rsidRDefault="0053651E">
            <w:pPr>
              <w:rPr>
                <w:rFonts w:eastAsia="Times New Roman"/>
                <w:sz w:val="20"/>
                <w:szCs w:val="20"/>
              </w:rPr>
            </w:pPr>
            <w:r>
              <w:rPr>
                <w:rFonts w:eastAsia="Times New Roman"/>
                <w:sz w:val="20"/>
                <w:szCs w:val="20"/>
              </w:rPr>
              <w:t> </w:t>
            </w:r>
          </w:p>
        </w:tc>
        <w:tc>
          <w:tcPr>
            <w:tcW w:w="900" w:type="pct"/>
            <w:shd w:val="clear" w:color="auto" w:fill="CCEEFF"/>
            <w:vAlign w:val="bottom"/>
            <w:hideMark/>
          </w:tcPr>
          <w:p w14:paraId="17ABDA4D" w14:textId="77777777" w:rsidR="00000000" w:rsidRDefault="0053651E">
            <w:pPr>
              <w:jc w:val="right"/>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14:paraId="36E27E49" w14:textId="77777777" w:rsidR="00000000" w:rsidRDefault="0053651E">
            <w:pPr>
              <w:rPr>
                <w:rFonts w:eastAsia="Times New Roman"/>
                <w:sz w:val="20"/>
                <w:szCs w:val="20"/>
              </w:rPr>
            </w:pPr>
            <w:r>
              <w:rPr>
                <w:rFonts w:eastAsia="Times New Roman"/>
                <w:sz w:val="20"/>
                <w:szCs w:val="20"/>
              </w:rPr>
              <w:t> </w:t>
            </w:r>
          </w:p>
        </w:tc>
      </w:tr>
      <w:tr w:rsidR="00000000" w14:paraId="7C55595E" w14:textId="77777777">
        <w:trPr>
          <w:tblCellSpacing w:w="0" w:type="dxa"/>
        </w:trPr>
        <w:tc>
          <w:tcPr>
            <w:tcW w:w="2250" w:type="pct"/>
            <w:shd w:val="clear" w:color="auto" w:fill="FFFFFF"/>
            <w:vAlign w:val="bottom"/>
            <w:hideMark/>
          </w:tcPr>
          <w:p w14:paraId="4A28DB85" w14:textId="77777777" w:rsidR="00000000" w:rsidRDefault="0053651E">
            <w:pPr>
              <w:pStyle w:val="a3"/>
              <w:spacing w:before="0" w:beforeAutospacing="0" w:after="0" w:afterAutospacing="0"/>
              <w:rPr>
                <w:sz w:val="20"/>
                <w:szCs w:val="20"/>
              </w:rPr>
            </w:pPr>
            <w:r>
              <w:rPr>
                <w:sz w:val="20"/>
                <w:szCs w:val="20"/>
              </w:rPr>
              <w:t>Options outstanding, December 31, 2019</w:t>
            </w:r>
          </w:p>
        </w:tc>
        <w:tc>
          <w:tcPr>
            <w:tcW w:w="50" w:type="pct"/>
            <w:shd w:val="clear" w:color="auto" w:fill="FFFFFF"/>
            <w:tcMar>
              <w:top w:w="0" w:type="dxa"/>
              <w:left w:w="0" w:type="dxa"/>
              <w:bottom w:w="45" w:type="dxa"/>
              <w:right w:w="0" w:type="dxa"/>
            </w:tcMar>
            <w:vAlign w:val="bottom"/>
            <w:hideMark/>
          </w:tcPr>
          <w:p w14:paraId="1C7A48F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A4F23A6"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691755F1" w14:textId="77777777" w:rsidR="00000000" w:rsidRDefault="0053651E">
            <w:pPr>
              <w:jc w:val="right"/>
              <w:rPr>
                <w:rFonts w:eastAsia="Times New Roman"/>
                <w:sz w:val="20"/>
                <w:szCs w:val="20"/>
              </w:rPr>
            </w:pPr>
            <w:r>
              <w:rPr>
                <w:rFonts w:eastAsia="Times New Roman"/>
                <w:sz w:val="20"/>
                <w:szCs w:val="20"/>
              </w:rPr>
              <w:t>1,297,936</w:t>
            </w:r>
          </w:p>
        </w:tc>
        <w:tc>
          <w:tcPr>
            <w:tcW w:w="50" w:type="pct"/>
            <w:shd w:val="clear" w:color="auto" w:fill="FFFFFF"/>
            <w:tcMar>
              <w:top w:w="0" w:type="dxa"/>
              <w:left w:w="0" w:type="dxa"/>
              <w:bottom w:w="45" w:type="dxa"/>
              <w:right w:w="0" w:type="dxa"/>
            </w:tcMar>
            <w:vAlign w:val="bottom"/>
            <w:hideMark/>
          </w:tcPr>
          <w:p w14:paraId="3F48F9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878D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509FB9"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240C2E09" w14:textId="77777777" w:rsidR="00000000" w:rsidRDefault="0053651E">
            <w:pPr>
              <w:jc w:val="right"/>
              <w:rPr>
                <w:rFonts w:eastAsia="Times New Roman"/>
                <w:sz w:val="20"/>
                <w:szCs w:val="20"/>
              </w:rPr>
            </w:pPr>
            <w:r>
              <w:rPr>
                <w:rFonts w:eastAsia="Times New Roman"/>
                <w:sz w:val="20"/>
                <w:szCs w:val="20"/>
              </w:rPr>
              <w:t>19.60</w:t>
            </w:r>
          </w:p>
        </w:tc>
        <w:tc>
          <w:tcPr>
            <w:tcW w:w="50" w:type="pct"/>
            <w:shd w:val="clear" w:color="auto" w:fill="FFFFFF"/>
            <w:vAlign w:val="bottom"/>
            <w:hideMark/>
          </w:tcPr>
          <w:p w14:paraId="024EE1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1E16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58FD8F" w14:textId="77777777" w:rsidR="00000000" w:rsidRDefault="0053651E">
            <w:pPr>
              <w:rPr>
                <w:rFonts w:eastAsia="Times New Roman"/>
                <w:sz w:val="20"/>
                <w:szCs w:val="20"/>
              </w:rPr>
            </w:pPr>
            <w:r>
              <w:rPr>
                <w:rFonts w:eastAsia="Times New Roman"/>
                <w:sz w:val="20"/>
                <w:szCs w:val="20"/>
              </w:rPr>
              <w:t>$</w:t>
            </w:r>
          </w:p>
        </w:tc>
        <w:tc>
          <w:tcPr>
            <w:tcW w:w="900" w:type="pct"/>
            <w:shd w:val="clear" w:color="auto" w:fill="FFFFFF"/>
            <w:vAlign w:val="bottom"/>
            <w:hideMark/>
          </w:tcPr>
          <w:p w14:paraId="19043A75" w14:textId="77777777" w:rsidR="00000000" w:rsidRDefault="0053651E">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5243565F" w14:textId="77777777" w:rsidR="00000000" w:rsidRDefault="0053651E">
            <w:pPr>
              <w:rPr>
                <w:rFonts w:eastAsia="Times New Roman"/>
                <w:sz w:val="20"/>
                <w:szCs w:val="20"/>
              </w:rPr>
            </w:pPr>
            <w:r>
              <w:rPr>
                <w:rFonts w:eastAsia="Times New Roman"/>
                <w:sz w:val="20"/>
                <w:szCs w:val="20"/>
              </w:rPr>
              <w:t> </w:t>
            </w:r>
          </w:p>
        </w:tc>
      </w:tr>
      <w:tr w:rsidR="00000000" w14:paraId="2ED50851" w14:textId="77777777">
        <w:trPr>
          <w:tblCellSpacing w:w="0" w:type="dxa"/>
        </w:trPr>
        <w:tc>
          <w:tcPr>
            <w:tcW w:w="2250" w:type="pct"/>
            <w:shd w:val="clear" w:color="auto" w:fill="CCEEFF"/>
            <w:vAlign w:val="bottom"/>
            <w:hideMark/>
          </w:tcPr>
          <w:p w14:paraId="715269B3" w14:textId="77777777" w:rsidR="00000000" w:rsidRDefault="0053651E">
            <w:pPr>
              <w:pStyle w:val="a3"/>
              <w:spacing w:before="0" w:beforeAutospacing="0" w:after="0" w:afterAutospacing="0"/>
              <w:ind w:left="360"/>
              <w:rPr>
                <w:sz w:val="20"/>
                <w:szCs w:val="20"/>
              </w:rPr>
            </w:pPr>
            <w:r>
              <w:rPr>
                <w:sz w:val="20"/>
                <w:szCs w:val="20"/>
              </w:rPr>
              <w:t>Options exercisable (fully vested) -</w:t>
            </w:r>
          </w:p>
        </w:tc>
        <w:tc>
          <w:tcPr>
            <w:tcW w:w="50" w:type="pct"/>
            <w:shd w:val="clear" w:color="auto" w:fill="CCEEFF"/>
            <w:tcMar>
              <w:top w:w="0" w:type="dxa"/>
              <w:left w:w="0" w:type="dxa"/>
              <w:bottom w:w="45" w:type="dxa"/>
              <w:right w:w="0" w:type="dxa"/>
            </w:tcMar>
            <w:vAlign w:val="bottom"/>
            <w:hideMark/>
          </w:tcPr>
          <w:p w14:paraId="01ADF04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8E80EE5"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499009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35CF782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340F33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C05629"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76B6250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4B872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31A532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3F60AF0" w14:textId="77777777" w:rsidR="00000000" w:rsidRDefault="0053651E">
            <w:pPr>
              <w:rPr>
                <w:rFonts w:eastAsia="Times New Roman"/>
                <w:sz w:val="20"/>
                <w:szCs w:val="20"/>
              </w:rPr>
            </w:pPr>
            <w:r>
              <w:rPr>
                <w:rFonts w:eastAsia="Times New Roman"/>
                <w:sz w:val="20"/>
                <w:szCs w:val="20"/>
              </w:rPr>
              <w:t> </w:t>
            </w:r>
          </w:p>
        </w:tc>
        <w:tc>
          <w:tcPr>
            <w:tcW w:w="900" w:type="pct"/>
            <w:tcBorders>
              <w:bottom w:val="double" w:sz="6" w:space="0" w:color="000000"/>
            </w:tcBorders>
            <w:shd w:val="clear" w:color="auto" w:fill="CCEEFF"/>
            <w:vAlign w:val="bottom"/>
            <w:hideMark/>
          </w:tcPr>
          <w:p w14:paraId="210E83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4D808C3" w14:textId="77777777" w:rsidR="00000000" w:rsidRDefault="0053651E">
            <w:pPr>
              <w:rPr>
                <w:rFonts w:eastAsia="Times New Roman"/>
                <w:sz w:val="20"/>
                <w:szCs w:val="20"/>
              </w:rPr>
            </w:pPr>
            <w:r>
              <w:rPr>
                <w:rFonts w:eastAsia="Times New Roman"/>
                <w:sz w:val="20"/>
                <w:szCs w:val="20"/>
              </w:rPr>
              <w:t> </w:t>
            </w:r>
          </w:p>
        </w:tc>
      </w:tr>
      <w:tr w:rsidR="00000000" w14:paraId="7B5EA514" w14:textId="77777777">
        <w:trPr>
          <w:tblCellSpacing w:w="0" w:type="dxa"/>
        </w:trPr>
        <w:tc>
          <w:tcPr>
            <w:tcW w:w="2250" w:type="pct"/>
            <w:shd w:val="clear" w:color="auto" w:fill="FFFFFF"/>
            <w:vAlign w:val="bottom"/>
            <w:hideMark/>
          </w:tcPr>
          <w:p w14:paraId="3DACDF59" w14:textId="77777777" w:rsidR="00000000" w:rsidRDefault="0053651E">
            <w:pPr>
              <w:pStyle w:val="a3"/>
              <w:spacing w:before="0" w:beforeAutospacing="0" w:after="0" w:afterAutospacing="0"/>
              <w:ind w:left="900"/>
              <w:rPr>
                <w:sz w:val="20"/>
                <w:szCs w:val="20"/>
              </w:rPr>
            </w:pPr>
            <w:r>
              <w:rPr>
                <w:sz w:val="20"/>
                <w:szCs w:val="20"/>
              </w:rPr>
              <w:t>December 31, 2017</w:t>
            </w:r>
          </w:p>
        </w:tc>
        <w:tc>
          <w:tcPr>
            <w:tcW w:w="50" w:type="pct"/>
            <w:shd w:val="clear" w:color="auto" w:fill="FFFFFF"/>
            <w:vAlign w:val="bottom"/>
            <w:hideMark/>
          </w:tcPr>
          <w:p w14:paraId="2C011D9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D915E7"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402A15E9" w14:textId="77777777" w:rsidR="00000000" w:rsidRDefault="0053651E">
            <w:pPr>
              <w:jc w:val="right"/>
              <w:rPr>
                <w:rFonts w:eastAsia="Times New Roman"/>
                <w:sz w:val="20"/>
                <w:szCs w:val="20"/>
              </w:rPr>
            </w:pPr>
            <w:r>
              <w:rPr>
                <w:rFonts w:eastAsia="Times New Roman"/>
                <w:sz w:val="20"/>
                <w:szCs w:val="20"/>
              </w:rPr>
              <w:t>3,464,946</w:t>
            </w:r>
          </w:p>
        </w:tc>
        <w:tc>
          <w:tcPr>
            <w:tcW w:w="50" w:type="pct"/>
            <w:shd w:val="clear" w:color="auto" w:fill="FFFFFF"/>
            <w:tcMar>
              <w:top w:w="0" w:type="dxa"/>
              <w:left w:w="0" w:type="dxa"/>
              <w:bottom w:w="45" w:type="dxa"/>
              <w:right w:w="0" w:type="dxa"/>
            </w:tcMar>
            <w:vAlign w:val="bottom"/>
            <w:hideMark/>
          </w:tcPr>
          <w:p w14:paraId="299761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737F5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CE95FAE"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20089B10" w14:textId="77777777" w:rsidR="00000000" w:rsidRDefault="0053651E">
            <w:pPr>
              <w:jc w:val="right"/>
              <w:rPr>
                <w:rFonts w:eastAsia="Times New Roman"/>
                <w:sz w:val="20"/>
                <w:szCs w:val="20"/>
              </w:rPr>
            </w:pPr>
            <w:r>
              <w:rPr>
                <w:rFonts w:eastAsia="Times New Roman"/>
                <w:sz w:val="20"/>
                <w:szCs w:val="20"/>
              </w:rPr>
              <w:t>27.81</w:t>
            </w:r>
          </w:p>
        </w:tc>
        <w:tc>
          <w:tcPr>
            <w:tcW w:w="50" w:type="pct"/>
            <w:shd w:val="clear" w:color="auto" w:fill="FFFFFF"/>
            <w:tcMar>
              <w:top w:w="0" w:type="dxa"/>
              <w:left w:w="0" w:type="dxa"/>
              <w:bottom w:w="45" w:type="dxa"/>
              <w:right w:w="0" w:type="dxa"/>
            </w:tcMar>
            <w:vAlign w:val="bottom"/>
            <w:hideMark/>
          </w:tcPr>
          <w:p w14:paraId="05316A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C56D3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7FAD222" w14:textId="77777777" w:rsidR="00000000" w:rsidRDefault="0053651E">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4C5C3A51" w14:textId="77777777" w:rsidR="00000000" w:rsidRDefault="0053651E">
            <w:pPr>
              <w:jc w:val="right"/>
              <w:rPr>
                <w:rFonts w:eastAsia="Times New Roman"/>
                <w:sz w:val="20"/>
                <w:szCs w:val="20"/>
              </w:rPr>
            </w:pPr>
            <w:r>
              <w:rPr>
                <w:rFonts w:eastAsia="Times New Roman"/>
                <w:sz w:val="20"/>
                <w:szCs w:val="20"/>
              </w:rPr>
              <w:t>4.0</w:t>
            </w:r>
          </w:p>
        </w:tc>
        <w:tc>
          <w:tcPr>
            <w:tcW w:w="50" w:type="pct"/>
            <w:shd w:val="clear" w:color="auto" w:fill="FFFFFF"/>
            <w:tcMar>
              <w:top w:w="0" w:type="dxa"/>
              <w:left w:w="0" w:type="dxa"/>
              <w:bottom w:w="45" w:type="dxa"/>
              <w:right w:w="0" w:type="dxa"/>
            </w:tcMar>
            <w:vAlign w:val="bottom"/>
            <w:hideMark/>
          </w:tcPr>
          <w:p w14:paraId="093618B6" w14:textId="77777777" w:rsidR="00000000" w:rsidRDefault="0053651E">
            <w:pPr>
              <w:rPr>
                <w:rFonts w:eastAsia="Times New Roman"/>
                <w:sz w:val="20"/>
                <w:szCs w:val="20"/>
              </w:rPr>
            </w:pPr>
            <w:r>
              <w:rPr>
                <w:rFonts w:eastAsia="Times New Roman"/>
                <w:sz w:val="20"/>
                <w:szCs w:val="20"/>
              </w:rPr>
              <w:t> </w:t>
            </w:r>
          </w:p>
        </w:tc>
      </w:tr>
      <w:tr w:rsidR="00000000" w14:paraId="71535DCA" w14:textId="77777777">
        <w:trPr>
          <w:tblCellSpacing w:w="0" w:type="dxa"/>
        </w:trPr>
        <w:tc>
          <w:tcPr>
            <w:tcW w:w="2250" w:type="pct"/>
            <w:shd w:val="clear" w:color="auto" w:fill="CCEEFF"/>
            <w:vAlign w:val="bottom"/>
            <w:hideMark/>
          </w:tcPr>
          <w:p w14:paraId="78EFDB7C" w14:textId="77777777" w:rsidR="00000000" w:rsidRDefault="0053651E">
            <w:pPr>
              <w:pStyle w:val="a3"/>
              <w:spacing w:before="0" w:beforeAutospacing="0" w:after="0" w:afterAutospacing="0"/>
              <w:ind w:left="900"/>
              <w:rPr>
                <w:sz w:val="20"/>
                <w:szCs w:val="20"/>
              </w:rPr>
            </w:pPr>
            <w:r>
              <w:rPr>
                <w:sz w:val="20"/>
                <w:szCs w:val="20"/>
              </w:rPr>
              <w:t>December 31, 2018</w:t>
            </w:r>
          </w:p>
        </w:tc>
        <w:tc>
          <w:tcPr>
            <w:tcW w:w="50" w:type="pct"/>
            <w:shd w:val="clear" w:color="auto" w:fill="CCEEFF"/>
            <w:vAlign w:val="bottom"/>
            <w:hideMark/>
          </w:tcPr>
          <w:p w14:paraId="24C4218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34801A8"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4C743EEE" w14:textId="77777777" w:rsidR="00000000" w:rsidRDefault="0053651E">
            <w:pPr>
              <w:jc w:val="right"/>
              <w:rPr>
                <w:rFonts w:eastAsia="Times New Roman"/>
                <w:sz w:val="20"/>
                <w:szCs w:val="20"/>
              </w:rPr>
            </w:pPr>
            <w:r>
              <w:rPr>
                <w:rFonts w:eastAsia="Times New Roman"/>
                <w:sz w:val="20"/>
                <w:szCs w:val="20"/>
              </w:rPr>
              <w:t>1,641,366</w:t>
            </w:r>
          </w:p>
        </w:tc>
        <w:tc>
          <w:tcPr>
            <w:tcW w:w="50" w:type="pct"/>
            <w:shd w:val="clear" w:color="auto" w:fill="CCEEFF"/>
            <w:tcMar>
              <w:top w:w="0" w:type="dxa"/>
              <w:left w:w="0" w:type="dxa"/>
              <w:bottom w:w="45" w:type="dxa"/>
              <w:right w:w="0" w:type="dxa"/>
            </w:tcMar>
            <w:vAlign w:val="bottom"/>
            <w:hideMark/>
          </w:tcPr>
          <w:p w14:paraId="229F13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9ADD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D4FF2FE"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6F29CFD7" w14:textId="77777777" w:rsidR="00000000" w:rsidRDefault="0053651E">
            <w:pPr>
              <w:jc w:val="right"/>
              <w:rPr>
                <w:rFonts w:eastAsia="Times New Roman"/>
                <w:sz w:val="20"/>
                <w:szCs w:val="20"/>
              </w:rPr>
            </w:pPr>
            <w:r>
              <w:rPr>
                <w:rFonts w:eastAsia="Times New Roman"/>
                <w:sz w:val="20"/>
                <w:szCs w:val="20"/>
              </w:rPr>
              <w:t>18.78</w:t>
            </w:r>
          </w:p>
        </w:tc>
        <w:tc>
          <w:tcPr>
            <w:tcW w:w="50" w:type="pct"/>
            <w:shd w:val="clear" w:color="auto" w:fill="CCEEFF"/>
            <w:tcMar>
              <w:top w:w="0" w:type="dxa"/>
              <w:left w:w="0" w:type="dxa"/>
              <w:bottom w:w="45" w:type="dxa"/>
              <w:right w:w="0" w:type="dxa"/>
            </w:tcMar>
            <w:vAlign w:val="bottom"/>
            <w:hideMark/>
          </w:tcPr>
          <w:p w14:paraId="321755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3AECF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3A10C7B" w14:textId="77777777" w:rsidR="00000000" w:rsidRDefault="0053651E">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74689B3B" w14:textId="77777777" w:rsidR="00000000" w:rsidRDefault="0053651E">
            <w:pPr>
              <w:jc w:val="right"/>
              <w:rPr>
                <w:rFonts w:eastAsia="Times New Roman"/>
                <w:sz w:val="20"/>
                <w:szCs w:val="20"/>
              </w:rPr>
            </w:pPr>
            <w:r>
              <w:rPr>
                <w:rFonts w:eastAsia="Times New Roman"/>
                <w:sz w:val="20"/>
                <w:szCs w:val="20"/>
              </w:rPr>
              <w:t>0.4</w:t>
            </w:r>
          </w:p>
        </w:tc>
        <w:tc>
          <w:tcPr>
            <w:tcW w:w="50" w:type="pct"/>
            <w:shd w:val="clear" w:color="auto" w:fill="CCEEFF"/>
            <w:tcMar>
              <w:top w:w="0" w:type="dxa"/>
              <w:left w:w="0" w:type="dxa"/>
              <w:bottom w:w="45" w:type="dxa"/>
              <w:right w:w="0" w:type="dxa"/>
            </w:tcMar>
            <w:vAlign w:val="bottom"/>
            <w:hideMark/>
          </w:tcPr>
          <w:p w14:paraId="6C180A63" w14:textId="77777777" w:rsidR="00000000" w:rsidRDefault="0053651E">
            <w:pPr>
              <w:rPr>
                <w:rFonts w:eastAsia="Times New Roman"/>
                <w:sz w:val="20"/>
                <w:szCs w:val="20"/>
              </w:rPr>
            </w:pPr>
            <w:r>
              <w:rPr>
                <w:rFonts w:eastAsia="Times New Roman"/>
                <w:sz w:val="20"/>
                <w:szCs w:val="20"/>
              </w:rPr>
              <w:t> </w:t>
            </w:r>
          </w:p>
        </w:tc>
      </w:tr>
      <w:tr w:rsidR="00000000" w14:paraId="764687FA" w14:textId="77777777">
        <w:trPr>
          <w:tblCellSpacing w:w="0" w:type="dxa"/>
        </w:trPr>
        <w:tc>
          <w:tcPr>
            <w:tcW w:w="2250" w:type="pct"/>
            <w:shd w:val="clear" w:color="auto" w:fill="FFFFFF"/>
            <w:vAlign w:val="bottom"/>
            <w:hideMark/>
          </w:tcPr>
          <w:p w14:paraId="264208E4" w14:textId="77777777" w:rsidR="00000000" w:rsidRDefault="0053651E">
            <w:pPr>
              <w:pStyle w:val="a3"/>
              <w:spacing w:before="0" w:beforeAutospacing="0" w:after="0" w:afterAutospacing="0"/>
              <w:ind w:left="900"/>
              <w:rPr>
                <w:sz w:val="20"/>
                <w:szCs w:val="20"/>
              </w:rPr>
            </w:pPr>
            <w:r>
              <w:rPr>
                <w:sz w:val="20"/>
                <w:szCs w:val="20"/>
              </w:rPr>
              <w:t>December 31, 2019</w:t>
            </w:r>
          </w:p>
        </w:tc>
        <w:tc>
          <w:tcPr>
            <w:tcW w:w="50" w:type="pct"/>
            <w:shd w:val="clear" w:color="auto" w:fill="FFFFFF"/>
            <w:tcMar>
              <w:top w:w="0" w:type="dxa"/>
              <w:left w:w="0" w:type="dxa"/>
              <w:bottom w:w="45" w:type="dxa"/>
              <w:right w:w="0" w:type="dxa"/>
            </w:tcMar>
            <w:vAlign w:val="bottom"/>
            <w:hideMark/>
          </w:tcPr>
          <w:p w14:paraId="4E5BEC1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77C2ED4"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321D4F03" w14:textId="77777777" w:rsidR="00000000" w:rsidRDefault="0053651E">
            <w:pPr>
              <w:jc w:val="right"/>
              <w:rPr>
                <w:rFonts w:eastAsia="Times New Roman"/>
                <w:sz w:val="20"/>
                <w:szCs w:val="20"/>
              </w:rPr>
            </w:pPr>
            <w:r>
              <w:rPr>
                <w:rFonts w:eastAsia="Times New Roman"/>
                <w:sz w:val="20"/>
                <w:szCs w:val="20"/>
              </w:rPr>
              <w:t>1,297,936</w:t>
            </w:r>
          </w:p>
        </w:tc>
        <w:tc>
          <w:tcPr>
            <w:tcW w:w="50" w:type="pct"/>
            <w:shd w:val="clear" w:color="auto" w:fill="FFFFFF"/>
            <w:tcMar>
              <w:top w:w="0" w:type="dxa"/>
              <w:left w:w="0" w:type="dxa"/>
              <w:bottom w:w="45" w:type="dxa"/>
              <w:right w:w="0" w:type="dxa"/>
            </w:tcMar>
            <w:vAlign w:val="bottom"/>
            <w:hideMark/>
          </w:tcPr>
          <w:p w14:paraId="296CF1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5372985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4B8C0F"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634913B5" w14:textId="77777777" w:rsidR="00000000" w:rsidRDefault="0053651E">
            <w:pPr>
              <w:jc w:val="right"/>
              <w:rPr>
                <w:rFonts w:eastAsia="Times New Roman"/>
                <w:sz w:val="20"/>
                <w:szCs w:val="20"/>
              </w:rPr>
            </w:pPr>
            <w:r>
              <w:rPr>
                <w:rFonts w:eastAsia="Times New Roman"/>
                <w:sz w:val="20"/>
                <w:szCs w:val="20"/>
              </w:rPr>
              <w:t>19.60</w:t>
            </w:r>
          </w:p>
        </w:tc>
        <w:tc>
          <w:tcPr>
            <w:tcW w:w="50" w:type="pct"/>
            <w:shd w:val="clear" w:color="auto" w:fill="FFFFFF"/>
            <w:tcMar>
              <w:top w:w="0" w:type="dxa"/>
              <w:left w:w="0" w:type="dxa"/>
              <w:bottom w:w="45" w:type="dxa"/>
              <w:right w:w="0" w:type="dxa"/>
            </w:tcMar>
            <w:vAlign w:val="bottom"/>
            <w:hideMark/>
          </w:tcPr>
          <w:p w14:paraId="0585F5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7F19957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3877243" w14:textId="77777777" w:rsidR="00000000" w:rsidRDefault="0053651E">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4E373634" w14:textId="77777777" w:rsidR="00000000" w:rsidRDefault="0053651E">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45" w:type="dxa"/>
              <w:right w:w="0" w:type="dxa"/>
            </w:tcMar>
            <w:vAlign w:val="bottom"/>
            <w:hideMark/>
          </w:tcPr>
          <w:p w14:paraId="372735C5" w14:textId="77777777" w:rsidR="00000000" w:rsidRDefault="0053651E">
            <w:pPr>
              <w:rPr>
                <w:rFonts w:eastAsia="Times New Roman"/>
                <w:sz w:val="20"/>
                <w:szCs w:val="20"/>
              </w:rPr>
            </w:pPr>
            <w:r>
              <w:rPr>
                <w:rFonts w:eastAsia="Times New Roman"/>
                <w:sz w:val="20"/>
                <w:szCs w:val="20"/>
              </w:rPr>
              <w:t> </w:t>
            </w:r>
          </w:p>
        </w:tc>
      </w:tr>
    </w:tbl>
    <w:p w14:paraId="0ADB719E" w14:textId="77777777" w:rsidR="00000000" w:rsidRDefault="0053651E">
      <w:pPr>
        <w:pStyle w:val="a3"/>
        <w:spacing w:before="0" w:beforeAutospacing="0" w:after="0" w:afterAutospacing="0"/>
        <w:ind w:left="360"/>
        <w:jc w:val="both"/>
        <w:rPr>
          <w:sz w:val="20"/>
          <w:szCs w:val="20"/>
        </w:rPr>
      </w:pPr>
      <w:r>
        <w:rPr>
          <w:sz w:val="20"/>
          <w:szCs w:val="20"/>
        </w:rPr>
        <w:t> </w:t>
      </w:r>
    </w:p>
    <w:p w14:paraId="1FA26E2D" w14:textId="77777777" w:rsidR="00000000" w:rsidRDefault="0053651E">
      <w:pPr>
        <w:pStyle w:val="a3"/>
        <w:spacing w:before="0" w:beforeAutospacing="0" w:after="0" w:afterAutospacing="0"/>
        <w:ind w:left="360"/>
        <w:jc w:val="both"/>
        <w:rPr>
          <w:sz w:val="20"/>
          <w:szCs w:val="20"/>
        </w:rPr>
      </w:pPr>
      <w:r>
        <w:rPr>
          <w:sz w:val="20"/>
          <w:szCs w:val="20"/>
        </w:rPr>
        <w:t>The exercise price per share for options outstanding as of</w:t>
      </w:r>
      <w:r>
        <w:rPr>
          <w:sz w:val="20"/>
          <w:szCs w:val="20"/>
        </w:rPr>
        <w:t xml:space="preserve"> </w:t>
      </w:r>
      <w:r>
        <w:rPr>
          <w:rStyle w:val="a6"/>
          <w:i w:val="0"/>
          <w:iCs w:val="0"/>
          <w:sz w:val="20"/>
          <w:szCs w:val="20"/>
        </w:rPr>
        <w:t xml:space="preserve">December 31, 2019 </w:t>
      </w:r>
      <w:r>
        <w:rPr>
          <w:sz w:val="20"/>
          <w:szCs w:val="20"/>
        </w:rPr>
        <w:t>ranges from $13.05 to $24.12</w:t>
      </w:r>
      <w:r>
        <w:rPr>
          <w:sz w:val="20"/>
          <w:szCs w:val="20"/>
        </w:rPr>
        <w:t>. The Company estimates forfeitures based on historical data. As of</w:t>
      </w:r>
      <w:r>
        <w:rPr>
          <w:sz w:val="20"/>
          <w:szCs w:val="20"/>
        </w:rPr>
        <w:t xml:space="preserve"> </w:t>
      </w:r>
      <w:r>
        <w:rPr>
          <w:rStyle w:val="a6"/>
          <w:i w:val="0"/>
          <w:iCs w:val="0"/>
          <w:sz w:val="20"/>
          <w:szCs w:val="20"/>
        </w:rPr>
        <w:t xml:space="preserve">December 31, 2019, </w:t>
      </w:r>
      <w:r>
        <w:rPr>
          <w:sz w:val="20"/>
          <w:szCs w:val="20"/>
        </w:rPr>
        <w:t>all of the Company’s outstanding options were vested. The weighted-average remaining contractual life for options outstanding and exercisable as of</w:t>
      </w:r>
      <w:r>
        <w:rPr>
          <w:sz w:val="20"/>
          <w:szCs w:val="20"/>
        </w:rPr>
        <w:t xml:space="preserve"> </w:t>
      </w:r>
      <w:r>
        <w:rPr>
          <w:rStyle w:val="a6"/>
          <w:i w:val="0"/>
          <w:iCs w:val="0"/>
          <w:sz w:val="20"/>
          <w:szCs w:val="20"/>
        </w:rPr>
        <w:t xml:space="preserve">December 31, 2019 </w:t>
      </w:r>
      <w:r>
        <w:rPr>
          <w:sz w:val="20"/>
          <w:szCs w:val="20"/>
        </w:rPr>
        <w:t>was</w:t>
      </w:r>
      <w:r>
        <w:rPr>
          <w:sz w:val="20"/>
          <w:szCs w:val="20"/>
        </w:rPr>
        <w:t xml:space="preserve"> 2.1 years. Cash received from options exercised under the Plan was $3.9 million, $0.6 million and $1.5 million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w:t>
      </w:r>
    </w:p>
    <w:p w14:paraId="35697B88" w14:textId="77777777" w:rsidR="00000000" w:rsidRDefault="0053651E">
      <w:pPr>
        <w:pStyle w:val="a3"/>
        <w:spacing w:before="0" w:beforeAutospacing="0" w:after="0" w:afterAutospacing="0"/>
        <w:ind w:left="360"/>
        <w:jc w:val="both"/>
        <w:rPr>
          <w:sz w:val="20"/>
          <w:szCs w:val="20"/>
        </w:rPr>
      </w:pPr>
      <w:r>
        <w:rPr>
          <w:sz w:val="20"/>
          <w:szCs w:val="20"/>
        </w:rPr>
        <w:t> </w:t>
      </w:r>
    </w:p>
    <w:p w14:paraId="2AB4D950" w14:textId="77777777" w:rsidR="00000000" w:rsidRDefault="0053651E">
      <w:pPr>
        <w:jc w:val="center"/>
        <w:divId w:val="1492987874"/>
        <w:rPr>
          <w:rFonts w:eastAsia="Times New Roman"/>
          <w:sz w:val="20"/>
          <w:szCs w:val="20"/>
        </w:rPr>
      </w:pPr>
      <w:r>
        <w:rPr>
          <w:rStyle w:val="a6"/>
          <w:rFonts w:eastAsia="Times New Roman"/>
          <w:i w:val="0"/>
          <w:iCs w:val="0"/>
          <w:sz w:val="20"/>
          <w:szCs w:val="20"/>
        </w:rPr>
        <w:t>79</w:t>
      </w:r>
      <w:r>
        <w:rPr>
          <w:rFonts w:eastAsia="Times New Roman"/>
          <w:sz w:val="20"/>
          <w:szCs w:val="20"/>
        </w:rPr>
        <w:t xml:space="preserve"> </w:t>
      </w:r>
    </w:p>
    <w:p w14:paraId="7701A1C8" w14:textId="77777777" w:rsidR="00000000" w:rsidRDefault="0053651E">
      <w:pPr>
        <w:divId w:val="1492987874"/>
        <w:rPr>
          <w:rFonts w:eastAsia="Times New Roman"/>
          <w:sz w:val="20"/>
          <w:szCs w:val="20"/>
        </w:rPr>
      </w:pPr>
      <w:r>
        <w:rPr>
          <w:rFonts w:eastAsia="Times New Roman"/>
          <w:sz w:val="20"/>
          <w:szCs w:val="20"/>
        </w:rPr>
        <w:pict w14:anchorId="3A28FA99">
          <v:rect id="_x0000_i1110" style="width:415.3pt;height:1.5pt" o:hralign="center" o:hrstd="t" o:hrnoshade="t" o:hr="t" fillcolor="black" stroked="f"/>
        </w:pict>
      </w:r>
    </w:p>
    <w:p w14:paraId="14A8800D" w14:textId="77777777" w:rsidR="00000000" w:rsidRDefault="0053651E">
      <w:pPr>
        <w:divId w:val="14929878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F453915" w14:textId="77777777" w:rsidR="00000000" w:rsidRDefault="0053651E">
      <w:pPr>
        <w:pStyle w:val="a3"/>
        <w:spacing w:before="0" w:beforeAutospacing="0" w:after="0" w:afterAutospacing="0"/>
        <w:rPr>
          <w:sz w:val="20"/>
          <w:szCs w:val="20"/>
        </w:rPr>
      </w:pPr>
      <w:r>
        <w:rPr>
          <w:sz w:val="20"/>
          <w:szCs w:val="20"/>
        </w:rPr>
        <w:t> </w:t>
      </w:r>
    </w:p>
    <w:p w14:paraId="3DABA39C"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7CB06E5C" w14:textId="77777777" w:rsidR="00000000" w:rsidRDefault="0053651E">
      <w:pPr>
        <w:pStyle w:val="a3"/>
        <w:spacing w:before="0" w:beforeAutospacing="0" w:after="0" w:afterAutospacing="0"/>
        <w:jc w:val="center"/>
        <w:rPr>
          <w:sz w:val="20"/>
          <w:szCs w:val="20"/>
        </w:rPr>
      </w:pPr>
      <w:r>
        <w:rPr>
          <w:sz w:val="20"/>
          <w:szCs w:val="20"/>
        </w:rPr>
        <w:t> </w:t>
      </w:r>
    </w:p>
    <w:p w14:paraId="1786C5B2"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285B0453" w14:textId="77777777" w:rsidR="00000000" w:rsidRDefault="0053651E">
      <w:pPr>
        <w:pStyle w:val="a3"/>
        <w:spacing w:before="0" w:beforeAutospacing="0" w:after="0" w:afterAutospacing="0"/>
        <w:rPr>
          <w:sz w:val="20"/>
          <w:szCs w:val="20"/>
        </w:rPr>
      </w:pPr>
      <w:r>
        <w:rPr>
          <w:sz w:val="20"/>
          <w:szCs w:val="20"/>
        </w:rPr>
        <w:t> </w:t>
      </w:r>
    </w:p>
    <w:p w14:paraId="46C1A2A4" w14:textId="77777777" w:rsidR="00000000" w:rsidRDefault="0053651E">
      <w:pPr>
        <w:pStyle w:val="a3"/>
        <w:spacing w:before="0" w:beforeAutospacing="0" w:after="0" w:afterAutospacing="0"/>
        <w:ind w:left="360"/>
        <w:jc w:val="both"/>
        <w:rPr>
          <w:sz w:val="20"/>
          <w:szCs w:val="20"/>
        </w:rPr>
      </w:pPr>
      <w:r>
        <w:rPr>
          <w:i/>
          <w:iCs/>
          <w:sz w:val="20"/>
          <w:szCs w:val="20"/>
        </w:rPr>
        <w:t>Restricted Stock</w:t>
      </w:r>
    </w:p>
    <w:p w14:paraId="0D895A27" w14:textId="77777777" w:rsidR="00000000" w:rsidRDefault="0053651E">
      <w:pPr>
        <w:pStyle w:val="a3"/>
        <w:spacing w:before="0" w:beforeAutospacing="0" w:after="0" w:afterAutospacing="0"/>
        <w:ind w:left="360"/>
        <w:jc w:val="both"/>
        <w:rPr>
          <w:sz w:val="20"/>
          <w:szCs w:val="20"/>
        </w:rPr>
      </w:pPr>
      <w:r>
        <w:rPr>
          <w:sz w:val="20"/>
          <w:szCs w:val="20"/>
        </w:rPr>
        <w:t> </w:t>
      </w:r>
    </w:p>
    <w:p w14:paraId="69544536" w14:textId="77777777" w:rsidR="00000000" w:rsidRDefault="0053651E">
      <w:pPr>
        <w:pStyle w:val="a3"/>
        <w:spacing w:before="0" w:beforeAutospacing="0" w:after="0" w:afterAutospacing="0"/>
        <w:ind w:left="360"/>
        <w:jc w:val="both"/>
        <w:rPr>
          <w:sz w:val="20"/>
          <w:szCs w:val="20"/>
        </w:rPr>
      </w:pPr>
      <w:r>
        <w:rPr>
          <w:sz w:val="20"/>
          <w:szCs w:val="20"/>
        </w:rPr>
        <w:t>Information with respect to restricted stock under the Plan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as follows:</w:t>
      </w:r>
    </w:p>
    <w:p w14:paraId="60F0078D" w14:textId="77777777" w:rsidR="00000000" w:rsidRDefault="0053651E">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62"/>
        <w:gridCol w:w="74"/>
        <w:gridCol w:w="74"/>
        <w:gridCol w:w="1046"/>
        <w:gridCol w:w="75"/>
        <w:gridCol w:w="75"/>
        <w:gridCol w:w="75"/>
        <w:gridCol w:w="1047"/>
        <w:gridCol w:w="75"/>
        <w:gridCol w:w="75"/>
        <w:gridCol w:w="75"/>
        <w:gridCol w:w="1047"/>
        <w:gridCol w:w="75"/>
      </w:tblGrid>
      <w:tr w:rsidR="00000000" w14:paraId="68C40CA1" w14:textId="77777777">
        <w:trPr>
          <w:tblCellSpacing w:w="0" w:type="dxa"/>
        </w:trPr>
        <w:tc>
          <w:tcPr>
            <w:tcW w:w="0" w:type="auto"/>
            <w:vAlign w:val="bottom"/>
            <w:hideMark/>
          </w:tcPr>
          <w:p w14:paraId="735E8B6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D15FC4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F7CFDC0"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91F782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75256D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DAB060"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CAD422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DCF552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603104A" w14:textId="77777777" w:rsidR="00000000" w:rsidRDefault="0053651E">
            <w:pPr>
              <w:pStyle w:val="a3"/>
              <w:spacing w:before="0" w:beforeAutospacing="0" w:after="0" w:afterAutospacing="0"/>
              <w:ind w:left="4"/>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3E94AD2A" w14:textId="77777777" w:rsidR="00000000" w:rsidRDefault="0053651E">
            <w:pPr>
              <w:rPr>
                <w:rFonts w:eastAsia="Times New Roman"/>
                <w:sz w:val="20"/>
                <w:szCs w:val="20"/>
              </w:rPr>
            </w:pPr>
            <w:r>
              <w:rPr>
                <w:rFonts w:eastAsia="Times New Roman"/>
                <w:sz w:val="20"/>
                <w:szCs w:val="20"/>
              </w:rPr>
              <w:t> </w:t>
            </w:r>
          </w:p>
        </w:tc>
      </w:tr>
      <w:tr w:rsidR="00000000" w14:paraId="4D6B6581" w14:textId="77777777">
        <w:trPr>
          <w:tblCellSpacing w:w="0" w:type="dxa"/>
        </w:trPr>
        <w:tc>
          <w:tcPr>
            <w:tcW w:w="2450" w:type="pct"/>
            <w:shd w:val="clear" w:color="auto" w:fill="CCEEFF"/>
            <w:vAlign w:val="bottom"/>
            <w:hideMark/>
          </w:tcPr>
          <w:p w14:paraId="44257DAA" w14:textId="77777777" w:rsidR="00000000" w:rsidRDefault="0053651E">
            <w:pPr>
              <w:pStyle w:val="a3"/>
              <w:spacing w:before="0" w:beforeAutospacing="0" w:after="0" w:afterAutospacing="0"/>
              <w:rPr>
                <w:sz w:val="20"/>
                <w:szCs w:val="20"/>
              </w:rPr>
            </w:pPr>
            <w:r>
              <w:rPr>
                <w:sz w:val="20"/>
                <w:szCs w:val="20"/>
              </w:rPr>
              <w:t>Restricted stock outstanding as of January 1,</w:t>
            </w:r>
          </w:p>
        </w:tc>
        <w:tc>
          <w:tcPr>
            <w:tcW w:w="50" w:type="pct"/>
            <w:tcBorders>
              <w:bottom w:val="nil"/>
            </w:tcBorders>
            <w:shd w:val="clear" w:color="auto" w:fill="CCEEFF"/>
            <w:vAlign w:val="bottom"/>
            <w:hideMark/>
          </w:tcPr>
          <w:p w14:paraId="6D52C24A"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F4816D"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311605D8" w14:textId="77777777" w:rsidR="00000000" w:rsidRDefault="0053651E">
            <w:pPr>
              <w:jc w:val="right"/>
              <w:rPr>
                <w:rFonts w:eastAsia="Times New Roman"/>
                <w:sz w:val="20"/>
                <w:szCs w:val="20"/>
              </w:rPr>
            </w:pPr>
            <w:r>
              <w:rPr>
                <w:rFonts w:eastAsia="Times New Roman"/>
                <w:sz w:val="20"/>
                <w:szCs w:val="20"/>
              </w:rPr>
              <w:t>2,104,914</w:t>
            </w:r>
          </w:p>
        </w:tc>
        <w:tc>
          <w:tcPr>
            <w:tcW w:w="50" w:type="pct"/>
            <w:tcBorders>
              <w:bottom w:val="nil"/>
            </w:tcBorders>
            <w:shd w:val="clear" w:color="auto" w:fill="CCEEFF"/>
            <w:vAlign w:val="bottom"/>
            <w:hideMark/>
          </w:tcPr>
          <w:p w14:paraId="34EB01B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6AE9A6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36767F1"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110B7DAB" w14:textId="77777777" w:rsidR="00000000" w:rsidRDefault="0053651E">
            <w:pPr>
              <w:jc w:val="right"/>
              <w:rPr>
                <w:rFonts w:eastAsia="Times New Roman"/>
                <w:sz w:val="20"/>
                <w:szCs w:val="20"/>
              </w:rPr>
            </w:pPr>
            <w:r>
              <w:rPr>
                <w:rFonts w:eastAsia="Times New Roman"/>
                <w:sz w:val="20"/>
                <w:szCs w:val="20"/>
              </w:rPr>
              <w:t>1,777,429</w:t>
            </w:r>
          </w:p>
        </w:tc>
        <w:tc>
          <w:tcPr>
            <w:tcW w:w="50" w:type="pct"/>
            <w:tcBorders>
              <w:bottom w:val="nil"/>
            </w:tcBorders>
            <w:shd w:val="clear" w:color="auto" w:fill="CCEEFF"/>
            <w:vAlign w:val="bottom"/>
            <w:hideMark/>
          </w:tcPr>
          <w:p w14:paraId="00E0B8E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823319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932515D"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6A68241D" w14:textId="77777777" w:rsidR="00000000" w:rsidRDefault="0053651E">
            <w:pPr>
              <w:jc w:val="right"/>
              <w:rPr>
                <w:rFonts w:eastAsia="Times New Roman"/>
                <w:sz w:val="20"/>
                <w:szCs w:val="20"/>
              </w:rPr>
            </w:pPr>
            <w:r>
              <w:rPr>
                <w:rFonts w:eastAsia="Times New Roman"/>
                <w:sz w:val="20"/>
                <w:szCs w:val="20"/>
              </w:rPr>
              <w:t>1,930,732</w:t>
            </w:r>
          </w:p>
        </w:tc>
        <w:tc>
          <w:tcPr>
            <w:tcW w:w="50" w:type="pct"/>
            <w:tcBorders>
              <w:bottom w:val="nil"/>
            </w:tcBorders>
            <w:shd w:val="clear" w:color="auto" w:fill="CCEEFF"/>
            <w:vAlign w:val="bottom"/>
            <w:hideMark/>
          </w:tcPr>
          <w:p w14:paraId="383E69BE" w14:textId="77777777" w:rsidR="00000000" w:rsidRDefault="0053651E">
            <w:pPr>
              <w:rPr>
                <w:rFonts w:eastAsia="Times New Roman"/>
                <w:sz w:val="20"/>
                <w:szCs w:val="20"/>
              </w:rPr>
            </w:pPr>
            <w:r>
              <w:rPr>
                <w:rFonts w:eastAsia="Times New Roman"/>
                <w:sz w:val="20"/>
                <w:szCs w:val="20"/>
              </w:rPr>
              <w:t> </w:t>
            </w:r>
          </w:p>
        </w:tc>
      </w:tr>
      <w:tr w:rsidR="00000000" w14:paraId="54349D0A" w14:textId="77777777">
        <w:trPr>
          <w:tblCellSpacing w:w="0" w:type="dxa"/>
        </w:trPr>
        <w:tc>
          <w:tcPr>
            <w:tcW w:w="0" w:type="auto"/>
            <w:shd w:val="clear" w:color="auto" w:fill="FFFFFF"/>
            <w:vAlign w:val="bottom"/>
            <w:hideMark/>
          </w:tcPr>
          <w:p w14:paraId="2C21EAA5" w14:textId="77777777" w:rsidR="00000000" w:rsidRDefault="0053651E">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14:paraId="2C337B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09793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C7CF7B8" w14:textId="77777777" w:rsidR="00000000" w:rsidRDefault="0053651E">
            <w:pPr>
              <w:jc w:val="right"/>
              <w:rPr>
                <w:rFonts w:eastAsia="Times New Roman"/>
                <w:sz w:val="20"/>
                <w:szCs w:val="20"/>
              </w:rPr>
            </w:pPr>
            <w:r>
              <w:rPr>
                <w:rFonts w:eastAsia="Times New Roman"/>
                <w:sz w:val="20"/>
                <w:szCs w:val="20"/>
              </w:rPr>
              <w:t>884,170</w:t>
            </w:r>
          </w:p>
        </w:tc>
        <w:tc>
          <w:tcPr>
            <w:tcW w:w="50" w:type="pct"/>
            <w:shd w:val="clear" w:color="auto" w:fill="FFFFFF"/>
            <w:vAlign w:val="bottom"/>
            <w:hideMark/>
          </w:tcPr>
          <w:p w14:paraId="413830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AA66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3DB760"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9B0B1F1" w14:textId="77777777" w:rsidR="00000000" w:rsidRDefault="0053651E">
            <w:pPr>
              <w:jc w:val="right"/>
              <w:rPr>
                <w:rFonts w:eastAsia="Times New Roman"/>
                <w:sz w:val="20"/>
                <w:szCs w:val="20"/>
              </w:rPr>
            </w:pPr>
            <w:r>
              <w:rPr>
                <w:rFonts w:eastAsia="Times New Roman"/>
                <w:sz w:val="20"/>
                <w:szCs w:val="20"/>
              </w:rPr>
              <w:t>1,100,590</w:t>
            </w:r>
          </w:p>
        </w:tc>
        <w:tc>
          <w:tcPr>
            <w:tcW w:w="50" w:type="pct"/>
            <w:shd w:val="clear" w:color="auto" w:fill="FFFFFF"/>
            <w:vAlign w:val="bottom"/>
            <w:hideMark/>
          </w:tcPr>
          <w:p w14:paraId="3AA7631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920C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08AA8F"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F8424AF" w14:textId="77777777" w:rsidR="00000000" w:rsidRDefault="0053651E">
            <w:pPr>
              <w:jc w:val="right"/>
              <w:rPr>
                <w:rFonts w:eastAsia="Times New Roman"/>
                <w:sz w:val="20"/>
                <w:szCs w:val="20"/>
              </w:rPr>
            </w:pPr>
            <w:r>
              <w:rPr>
                <w:rFonts w:eastAsia="Times New Roman"/>
                <w:sz w:val="20"/>
                <w:szCs w:val="20"/>
              </w:rPr>
              <w:t>646,142</w:t>
            </w:r>
          </w:p>
        </w:tc>
        <w:tc>
          <w:tcPr>
            <w:tcW w:w="50" w:type="pct"/>
            <w:shd w:val="clear" w:color="auto" w:fill="FFFFFF"/>
            <w:vAlign w:val="bottom"/>
            <w:hideMark/>
          </w:tcPr>
          <w:p w14:paraId="0B804DC8" w14:textId="77777777" w:rsidR="00000000" w:rsidRDefault="0053651E">
            <w:pPr>
              <w:rPr>
                <w:rFonts w:eastAsia="Times New Roman"/>
                <w:sz w:val="20"/>
                <w:szCs w:val="20"/>
              </w:rPr>
            </w:pPr>
            <w:r>
              <w:rPr>
                <w:rFonts w:eastAsia="Times New Roman"/>
                <w:sz w:val="20"/>
                <w:szCs w:val="20"/>
              </w:rPr>
              <w:t> </w:t>
            </w:r>
          </w:p>
        </w:tc>
      </w:tr>
      <w:tr w:rsidR="00000000" w14:paraId="1E6A9357" w14:textId="77777777">
        <w:trPr>
          <w:tblCellSpacing w:w="0" w:type="dxa"/>
        </w:trPr>
        <w:tc>
          <w:tcPr>
            <w:tcW w:w="0" w:type="auto"/>
            <w:shd w:val="clear" w:color="auto" w:fill="CCEEFF"/>
            <w:vAlign w:val="bottom"/>
            <w:hideMark/>
          </w:tcPr>
          <w:p w14:paraId="017968FF" w14:textId="77777777" w:rsidR="00000000" w:rsidRDefault="0053651E">
            <w:pPr>
              <w:pStyle w:val="a3"/>
              <w:spacing w:before="0" w:beforeAutospacing="0" w:after="0" w:afterAutospacing="0"/>
              <w:ind w:left="180"/>
              <w:rPr>
                <w:sz w:val="20"/>
                <w:szCs w:val="20"/>
              </w:rPr>
            </w:pPr>
            <w:r>
              <w:rPr>
                <w:sz w:val="20"/>
                <w:szCs w:val="20"/>
              </w:rPr>
              <w:t>Vested</w:t>
            </w:r>
          </w:p>
        </w:tc>
        <w:tc>
          <w:tcPr>
            <w:tcW w:w="50" w:type="pct"/>
            <w:shd w:val="clear" w:color="auto" w:fill="CCEEFF"/>
            <w:vAlign w:val="bottom"/>
            <w:hideMark/>
          </w:tcPr>
          <w:p w14:paraId="29BDA26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0B2F5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724FD1C" w14:textId="77777777" w:rsidR="00000000" w:rsidRDefault="0053651E">
            <w:pPr>
              <w:jc w:val="right"/>
              <w:rPr>
                <w:rFonts w:eastAsia="Times New Roman"/>
                <w:sz w:val="20"/>
                <w:szCs w:val="20"/>
              </w:rPr>
            </w:pPr>
            <w:r>
              <w:rPr>
                <w:rFonts w:eastAsia="Times New Roman"/>
                <w:sz w:val="20"/>
                <w:szCs w:val="20"/>
              </w:rPr>
              <w:t>(603,148</w:t>
            </w:r>
          </w:p>
        </w:tc>
        <w:tc>
          <w:tcPr>
            <w:tcW w:w="50" w:type="pct"/>
            <w:shd w:val="clear" w:color="auto" w:fill="CCEEFF"/>
            <w:vAlign w:val="bottom"/>
            <w:hideMark/>
          </w:tcPr>
          <w:p w14:paraId="510ECFD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04885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45F97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C7FF816" w14:textId="77777777" w:rsidR="00000000" w:rsidRDefault="0053651E">
            <w:pPr>
              <w:jc w:val="right"/>
              <w:rPr>
                <w:rFonts w:eastAsia="Times New Roman"/>
                <w:sz w:val="20"/>
                <w:szCs w:val="20"/>
              </w:rPr>
            </w:pPr>
            <w:r>
              <w:rPr>
                <w:rFonts w:eastAsia="Times New Roman"/>
                <w:sz w:val="20"/>
                <w:szCs w:val="20"/>
              </w:rPr>
              <w:t>(751,201</w:t>
            </w:r>
          </w:p>
        </w:tc>
        <w:tc>
          <w:tcPr>
            <w:tcW w:w="50" w:type="pct"/>
            <w:shd w:val="clear" w:color="auto" w:fill="CCEEFF"/>
            <w:vAlign w:val="bottom"/>
            <w:hideMark/>
          </w:tcPr>
          <w:p w14:paraId="645D442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90B5B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618ED"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BE729CB" w14:textId="77777777" w:rsidR="00000000" w:rsidRDefault="0053651E">
            <w:pPr>
              <w:jc w:val="right"/>
              <w:rPr>
                <w:rFonts w:eastAsia="Times New Roman"/>
                <w:sz w:val="20"/>
                <w:szCs w:val="20"/>
              </w:rPr>
            </w:pPr>
            <w:r>
              <w:rPr>
                <w:rFonts w:eastAsia="Times New Roman"/>
                <w:sz w:val="20"/>
                <w:szCs w:val="20"/>
              </w:rPr>
              <w:t>(783,872</w:t>
            </w:r>
          </w:p>
        </w:tc>
        <w:tc>
          <w:tcPr>
            <w:tcW w:w="50" w:type="pct"/>
            <w:shd w:val="clear" w:color="auto" w:fill="CCEEFF"/>
            <w:vAlign w:val="bottom"/>
            <w:hideMark/>
          </w:tcPr>
          <w:p w14:paraId="5E3B2796" w14:textId="77777777" w:rsidR="00000000" w:rsidRDefault="0053651E">
            <w:pPr>
              <w:rPr>
                <w:rFonts w:eastAsia="Times New Roman"/>
                <w:sz w:val="20"/>
                <w:szCs w:val="20"/>
              </w:rPr>
            </w:pPr>
            <w:r>
              <w:rPr>
                <w:rFonts w:eastAsia="Times New Roman"/>
                <w:sz w:val="20"/>
                <w:szCs w:val="20"/>
              </w:rPr>
              <w:t>)</w:t>
            </w:r>
          </w:p>
        </w:tc>
      </w:tr>
      <w:tr w:rsidR="00000000" w14:paraId="5805D65E" w14:textId="77777777">
        <w:trPr>
          <w:tblCellSpacing w:w="0" w:type="dxa"/>
        </w:trPr>
        <w:tc>
          <w:tcPr>
            <w:tcW w:w="0" w:type="auto"/>
            <w:shd w:val="clear" w:color="auto" w:fill="FFFFFF"/>
            <w:vAlign w:val="bottom"/>
            <w:hideMark/>
          </w:tcPr>
          <w:p w14:paraId="79A32F04" w14:textId="77777777" w:rsidR="00000000" w:rsidRDefault="0053651E">
            <w:pPr>
              <w:pStyle w:val="a3"/>
              <w:spacing w:before="0" w:beforeAutospacing="0" w:after="0" w:afterAutospacing="0"/>
              <w:ind w:left="180"/>
              <w:rPr>
                <w:sz w:val="20"/>
                <w:szCs w:val="20"/>
              </w:rPr>
            </w:pPr>
            <w:r>
              <w:rPr>
                <w:sz w:val="20"/>
                <w:szCs w:val="20"/>
              </w:rPr>
              <w:t>Forfeited</w:t>
            </w:r>
          </w:p>
        </w:tc>
        <w:tc>
          <w:tcPr>
            <w:tcW w:w="50" w:type="pct"/>
            <w:shd w:val="clear" w:color="auto" w:fill="FFFFFF"/>
            <w:vAlign w:val="bottom"/>
            <w:hideMark/>
          </w:tcPr>
          <w:p w14:paraId="044FB86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162C667"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4562159D" w14:textId="77777777" w:rsidR="00000000" w:rsidRDefault="0053651E">
            <w:pPr>
              <w:jc w:val="right"/>
              <w:rPr>
                <w:rFonts w:eastAsia="Times New Roman"/>
                <w:sz w:val="20"/>
                <w:szCs w:val="20"/>
              </w:rPr>
            </w:pPr>
            <w:r>
              <w:rPr>
                <w:rFonts w:eastAsia="Times New Roman"/>
                <w:sz w:val="20"/>
                <w:szCs w:val="20"/>
              </w:rPr>
              <w:t>(18,093</w:t>
            </w:r>
          </w:p>
        </w:tc>
        <w:tc>
          <w:tcPr>
            <w:tcW w:w="50" w:type="pct"/>
            <w:shd w:val="clear" w:color="auto" w:fill="FFFFFF"/>
            <w:tcMar>
              <w:top w:w="0" w:type="dxa"/>
              <w:left w:w="0" w:type="dxa"/>
              <w:bottom w:w="15" w:type="dxa"/>
              <w:right w:w="0" w:type="dxa"/>
            </w:tcMar>
            <w:vAlign w:val="bottom"/>
            <w:hideMark/>
          </w:tcPr>
          <w:p w14:paraId="5EE40AB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7BFC3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889010F"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4AFA862C" w14:textId="77777777" w:rsidR="00000000" w:rsidRDefault="0053651E">
            <w:pPr>
              <w:jc w:val="right"/>
              <w:rPr>
                <w:rFonts w:eastAsia="Times New Roman"/>
                <w:sz w:val="20"/>
                <w:szCs w:val="20"/>
              </w:rPr>
            </w:pPr>
            <w:r>
              <w:rPr>
                <w:rFonts w:eastAsia="Times New Roman"/>
                <w:sz w:val="20"/>
                <w:szCs w:val="20"/>
              </w:rPr>
              <w:t>(21,904</w:t>
            </w:r>
          </w:p>
        </w:tc>
        <w:tc>
          <w:tcPr>
            <w:tcW w:w="50" w:type="pct"/>
            <w:shd w:val="clear" w:color="auto" w:fill="FFFFFF"/>
            <w:tcMar>
              <w:top w:w="0" w:type="dxa"/>
              <w:left w:w="0" w:type="dxa"/>
              <w:bottom w:w="15" w:type="dxa"/>
              <w:right w:w="0" w:type="dxa"/>
            </w:tcMar>
            <w:vAlign w:val="bottom"/>
            <w:hideMark/>
          </w:tcPr>
          <w:p w14:paraId="07FA2B2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355BFC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BABC609"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77D90156" w14:textId="77777777" w:rsidR="00000000" w:rsidRDefault="0053651E">
            <w:pPr>
              <w:jc w:val="right"/>
              <w:rPr>
                <w:rFonts w:eastAsia="Times New Roman"/>
                <w:sz w:val="20"/>
                <w:szCs w:val="20"/>
              </w:rPr>
            </w:pPr>
            <w:r>
              <w:rPr>
                <w:rFonts w:eastAsia="Times New Roman"/>
                <w:sz w:val="20"/>
                <w:szCs w:val="20"/>
              </w:rPr>
              <w:t>(15,573</w:t>
            </w:r>
          </w:p>
        </w:tc>
        <w:tc>
          <w:tcPr>
            <w:tcW w:w="50" w:type="pct"/>
            <w:shd w:val="clear" w:color="auto" w:fill="FFFFFF"/>
            <w:tcMar>
              <w:top w:w="0" w:type="dxa"/>
              <w:left w:w="0" w:type="dxa"/>
              <w:bottom w:w="15" w:type="dxa"/>
              <w:right w:w="0" w:type="dxa"/>
            </w:tcMar>
            <w:vAlign w:val="bottom"/>
            <w:hideMark/>
          </w:tcPr>
          <w:p w14:paraId="5B1537AD" w14:textId="77777777" w:rsidR="00000000" w:rsidRDefault="0053651E">
            <w:pPr>
              <w:rPr>
                <w:rFonts w:eastAsia="Times New Roman"/>
                <w:sz w:val="20"/>
                <w:szCs w:val="20"/>
              </w:rPr>
            </w:pPr>
            <w:r>
              <w:rPr>
                <w:rFonts w:eastAsia="Times New Roman"/>
                <w:sz w:val="20"/>
                <w:szCs w:val="20"/>
              </w:rPr>
              <w:t>)</w:t>
            </w:r>
          </w:p>
        </w:tc>
      </w:tr>
      <w:tr w:rsidR="00000000" w14:paraId="3BFDE882" w14:textId="77777777">
        <w:trPr>
          <w:tblCellSpacing w:w="0" w:type="dxa"/>
        </w:trPr>
        <w:tc>
          <w:tcPr>
            <w:tcW w:w="0" w:type="auto"/>
            <w:shd w:val="clear" w:color="auto" w:fill="CCEEFF"/>
            <w:vAlign w:val="bottom"/>
            <w:hideMark/>
          </w:tcPr>
          <w:p w14:paraId="72FDAAEA" w14:textId="77777777" w:rsidR="00000000" w:rsidRDefault="0053651E">
            <w:pPr>
              <w:pStyle w:val="a3"/>
              <w:spacing w:before="0" w:beforeAutospacing="0" w:after="0" w:afterAutospacing="0"/>
              <w:rPr>
                <w:sz w:val="20"/>
                <w:szCs w:val="20"/>
              </w:rPr>
            </w:pPr>
            <w:r>
              <w:rPr>
                <w:sz w:val="20"/>
                <w:szCs w:val="20"/>
              </w:rPr>
              <w:t>Restricted stock outstanding as of December 31,</w:t>
            </w:r>
          </w:p>
        </w:tc>
        <w:tc>
          <w:tcPr>
            <w:tcW w:w="50" w:type="pct"/>
            <w:shd w:val="clear" w:color="auto" w:fill="CCEEFF"/>
            <w:vAlign w:val="bottom"/>
            <w:hideMark/>
          </w:tcPr>
          <w:p w14:paraId="0892B9E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FF1FC13"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0160511A" w14:textId="77777777" w:rsidR="00000000" w:rsidRDefault="0053651E">
            <w:pPr>
              <w:jc w:val="right"/>
              <w:rPr>
                <w:rFonts w:eastAsia="Times New Roman"/>
                <w:sz w:val="20"/>
                <w:szCs w:val="20"/>
              </w:rPr>
            </w:pPr>
            <w:r>
              <w:rPr>
                <w:rFonts w:eastAsia="Times New Roman"/>
                <w:sz w:val="20"/>
                <w:szCs w:val="20"/>
              </w:rPr>
              <w:t>2,367,843</w:t>
            </w:r>
          </w:p>
        </w:tc>
        <w:tc>
          <w:tcPr>
            <w:tcW w:w="50" w:type="pct"/>
            <w:shd w:val="clear" w:color="auto" w:fill="CCEEFF"/>
            <w:tcMar>
              <w:top w:w="0" w:type="dxa"/>
              <w:left w:w="0" w:type="dxa"/>
              <w:bottom w:w="45" w:type="dxa"/>
              <w:right w:w="0" w:type="dxa"/>
            </w:tcMar>
            <w:vAlign w:val="bottom"/>
            <w:hideMark/>
          </w:tcPr>
          <w:p w14:paraId="671411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DD6D4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4B5B274"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598BE36E" w14:textId="77777777" w:rsidR="00000000" w:rsidRDefault="0053651E">
            <w:pPr>
              <w:jc w:val="right"/>
              <w:rPr>
                <w:rFonts w:eastAsia="Times New Roman"/>
                <w:sz w:val="20"/>
                <w:szCs w:val="20"/>
              </w:rPr>
            </w:pPr>
            <w:r>
              <w:rPr>
                <w:rFonts w:eastAsia="Times New Roman"/>
                <w:sz w:val="20"/>
                <w:szCs w:val="20"/>
              </w:rPr>
              <w:t>2,104,914</w:t>
            </w:r>
          </w:p>
        </w:tc>
        <w:tc>
          <w:tcPr>
            <w:tcW w:w="50" w:type="pct"/>
            <w:shd w:val="clear" w:color="auto" w:fill="CCEEFF"/>
            <w:tcMar>
              <w:top w:w="0" w:type="dxa"/>
              <w:left w:w="0" w:type="dxa"/>
              <w:bottom w:w="45" w:type="dxa"/>
              <w:right w:w="0" w:type="dxa"/>
            </w:tcMar>
            <w:vAlign w:val="bottom"/>
            <w:hideMark/>
          </w:tcPr>
          <w:p w14:paraId="66A0E4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615DA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3532A9C"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14:paraId="68967311" w14:textId="77777777" w:rsidR="00000000" w:rsidRDefault="0053651E">
            <w:pPr>
              <w:jc w:val="right"/>
              <w:rPr>
                <w:rFonts w:eastAsia="Times New Roman"/>
                <w:sz w:val="20"/>
                <w:szCs w:val="20"/>
              </w:rPr>
            </w:pPr>
            <w:r>
              <w:rPr>
                <w:rFonts w:eastAsia="Times New Roman"/>
                <w:sz w:val="20"/>
                <w:szCs w:val="20"/>
              </w:rPr>
              <w:t>1,777,429</w:t>
            </w:r>
          </w:p>
        </w:tc>
        <w:tc>
          <w:tcPr>
            <w:tcW w:w="50" w:type="pct"/>
            <w:shd w:val="clear" w:color="auto" w:fill="CCEEFF"/>
            <w:tcMar>
              <w:top w:w="0" w:type="dxa"/>
              <w:left w:w="0" w:type="dxa"/>
              <w:bottom w:w="45" w:type="dxa"/>
              <w:right w:w="0" w:type="dxa"/>
            </w:tcMar>
            <w:vAlign w:val="bottom"/>
            <w:hideMark/>
          </w:tcPr>
          <w:p w14:paraId="6EC94F8E" w14:textId="77777777" w:rsidR="00000000" w:rsidRDefault="0053651E">
            <w:pPr>
              <w:rPr>
                <w:rFonts w:eastAsia="Times New Roman"/>
                <w:sz w:val="20"/>
                <w:szCs w:val="20"/>
              </w:rPr>
            </w:pPr>
            <w:r>
              <w:rPr>
                <w:rFonts w:eastAsia="Times New Roman"/>
                <w:sz w:val="20"/>
                <w:szCs w:val="20"/>
              </w:rPr>
              <w:t> </w:t>
            </w:r>
          </w:p>
        </w:tc>
      </w:tr>
    </w:tbl>
    <w:p w14:paraId="16CD88B0"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AD45DC8" w14:textId="77777777">
        <w:trPr>
          <w:tblCellSpacing w:w="0" w:type="dxa"/>
        </w:trPr>
        <w:tc>
          <w:tcPr>
            <w:tcW w:w="360" w:type="dxa"/>
            <w:hideMark/>
          </w:tcPr>
          <w:p w14:paraId="66018A06"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6418E9F6" w14:textId="77777777" w:rsidR="00000000" w:rsidRDefault="0053651E">
            <w:pPr>
              <w:pStyle w:val="a3"/>
              <w:spacing w:before="0" w:beforeAutospacing="0" w:after="0" w:afterAutospacing="0"/>
              <w:jc w:val="both"/>
              <w:rPr>
                <w:sz w:val="20"/>
                <w:szCs w:val="20"/>
              </w:rPr>
            </w:pPr>
            <w:r>
              <w:rPr>
                <w:sz w:val="20"/>
                <w:szCs w:val="20"/>
              </w:rPr>
              <w:t>The weighted-average grant date fair value for restricted stock issued during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were $18.03, $14.72 and $25.04, respectively.</w:t>
            </w:r>
          </w:p>
        </w:tc>
      </w:tr>
    </w:tbl>
    <w:p w14:paraId="301E8C36" w14:textId="77777777" w:rsidR="00000000" w:rsidRDefault="0053651E">
      <w:pPr>
        <w:pStyle w:val="a3"/>
        <w:spacing w:before="0" w:beforeAutospacing="0" w:after="0" w:afterAutospacing="0"/>
        <w:ind w:left="360"/>
        <w:jc w:val="both"/>
        <w:rPr>
          <w:sz w:val="20"/>
          <w:szCs w:val="20"/>
        </w:rPr>
      </w:pPr>
      <w:r>
        <w:rPr>
          <w:sz w:val="20"/>
          <w:szCs w:val="20"/>
        </w:rPr>
        <w:t> </w:t>
      </w:r>
    </w:p>
    <w:p w14:paraId="1EF5C332" w14:textId="77777777" w:rsidR="00000000" w:rsidRDefault="0053651E">
      <w:pPr>
        <w:pStyle w:val="a3"/>
        <w:spacing w:before="0" w:beforeAutospacing="0" w:after="0" w:afterAutospacing="0"/>
        <w:ind w:left="360"/>
        <w:jc w:val="both"/>
        <w:rPr>
          <w:sz w:val="20"/>
          <w:szCs w:val="20"/>
        </w:rPr>
      </w:pPr>
      <w:r>
        <w:rPr>
          <w:sz w:val="20"/>
          <w:szCs w:val="20"/>
        </w:rPr>
        <w:t xml:space="preserve">Restricted shares have the same voting rights as the Company’s common stock and </w:t>
      </w:r>
      <w:r>
        <w:rPr>
          <w:sz w:val="20"/>
          <w:szCs w:val="20"/>
        </w:rPr>
        <w:t>are entitled to a cash dividend per share equal to the Company’s common dividend which is taxable as ordinary income to the holder.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the dividends paid on unvested restricted shares were $3.0 million, $2</w:t>
      </w:r>
      <w:r>
        <w:rPr>
          <w:sz w:val="20"/>
          <w:szCs w:val="20"/>
        </w:rPr>
        <w:t>.8 million, and $2.4 million, respectively.</w:t>
      </w:r>
    </w:p>
    <w:p w14:paraId="554E04E4" w14:textId="77777777" w:rsidR="00000000" w:rsidRDefault="0053651E">
      <w:pPr>
        <w:pStyle w:val="a3"/>
        <w:spacing w:before="0" w:beforeAutospacing="0" w:after="0" w:afterAutospacing="0"/>
        <w:ind w:left="360"/>
        <w:jc w:val="both"/>
        <w:rPr>
          <w:sz w:val="20"/>
          <w:szCs w:val="20"/>
        </w:rPr>
      </w:pPr>
      <w:r>
        <w:rPr>
          <w:sz w:val="20"/>
          <w:szCs w:val="20"/>
        </w:rPr>
        <w:t> </w:t>
      </w:r>
    </w:p>
    <w:p w14:paraId="2D1E93B8" w14:textId="77777777" w:rsidR="00000000" w:rsidRDefault="0053651E">
      <w:pPr>
        <w:pStyle w:val="a3"/>
        <w:spacing w:before="0" w:beforeAutospacing="0" w:after="0" w:afterAutospacing="0"/>
        <w:ind w:left="360"/>
        <w:jc w:val="both"/>
        <w:rPr>
          <w:sz w:val="20"/>
          <w:szCs w:val="20"/>
        </w:rPr>
      </w:pPr>
      <w:r>
        <w:rPr>
          <w:i/>
          <w:iCs/>
          <w:sz w:val="20"/>
          <w:szCs w:val="20"/>
        </w:rPr>
        <w:t>Performance Shares</w:t>
      </w:r>
    </w:p>
    <w:p w14:paraId="0915BB1C" w14:textId="77777777" w:rsidR="00000000" w:rsidRDefault="0053651E">
      <w:pPr>
        <w:pStyle w:val="a3"/>
        <w:spacing w:before="0" w:beforeAutospacing="0" w:after="0" w:afterAutospacing="0"/>
        <w:ind w:left="360"/>
        <w:jc w:val="both"/>
        <w:rPr>
          <w:sz w:val="20"/>
          <w:szCs w:val="20"/>
        </w:rPr>
      </w:pPr>
      <w:r>
        <w:rPr>
          <w:sz w:val="20"/>
          <w:szCs w:val="20"/>
        </w:rPr>
        <w:t> </w:t>
      </w:r>
    </w:p>
    <w:p w14:paraId="21B7DCAB" w14:textId="77777777" w:rsidR="00000000" w:rsidRDefault="0053651E">
      <w:pPr>
        <w:pStyle w:val="a3"/>
        <w:spacing w:before="0" w:beforeAutospacing="0" w:after="0" w:afterAutospacing="0"/>
        <w:ind w:left="360"/>
        <w:jc w:val="both"/>
        <w:rPr>
          <w:sz w:val="20"/>
          <w:szCs w:val="20"/>
        </w:rPr>
      </w:pPr>
      <w:r>
        <w:rPr>
          <w:sz w:val="20"/>
          <w:szCs w:val="20"/>
        </w:rPr>
        <w:t>Information with respect to performance share awards under the Plan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as follows:</w:t>
      </w:r>
    </w:p>
    <w:p w14:paraId="25994824" w14:textId="77777777" w:rsidR="00000000" w:rsidRDefault="0053651E">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62"/>
        <w:gridCol w:w="74"/>
        <w:gridCol w:w="74"/>
        <w:gridCol w:w="1046"/>
        <w:gridCol w:w="75"/>
        <w:gridCol w:w="75"/>
        <w:gridCol w:w="75"/>
        <w:gridCol w:w="1047"/>
        <w:gridCol w:w="75"/>
        <w:gridCol w:w="75"/>
        <w:gridCol w:w="75"/>
        <w:gridCol w:w="1047"/>
        <w:gridCol w:w="75"/>
      </w:tblGrid>
      <w:tr w:rsidR="00000000" w14:paraId="31B2EF86" w14:textId="77777777">
        <w:trPr>
          <w:tblCellSpacing w:w="0" w:type="dxa"/>
        </w:trPr>
        <w:tc>
          <w:tcPr>
            <w:tcW w:w="0" w:type="auto"/>
            <w:vAlign w:val="bottom"/>
            <w:hideMark/>
          </w:tcPr>
          <w:p w14:paraId="0471538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A9D988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F1B8B4"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647B1A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777FCF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1311FCC"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49D9D3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DA4309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EE948A7" w14:textId="77777777" w:rsidR="00000000" w:rsidRDefault="0053651E">
            <w:pPr>
              <w:pStyle w:val="a3"/>
              <w:spacing w:before="0" w:beforeAutospacing="0" w:after="0" w:afterAutospacing="0"/>
              <w:ind w:left="4"/>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56951E29" w14:textId="77777777" w:rsidR="00000000" w:rsidRDefault="0053651E">
            <w:pPr>
              <w:rPr>
                <w:rFonts w:eastAsia="Times New Roman"/>
                <w:sz w:val="20"/>
                <w:szCs w:val="20"/>
              </w:rPr>
            </w:pPr>
            <w:r>
              <w:rPr>
                <w:rFonts w:eastAsia="Times New Roman"/>
                <w:sz w:val="20"/>
                <w:szCs w:val="20"/>
              </w:rPr>
              <w:t> </w:t>
            </w:r>
          </w:p>
        </w:tc>
      </w:tr>
      <w:tr w:rsidR="00000000" w14:paraId="524D2343" w14:textId="77777777">
        <w:trPr>
          <w:tblCellSpacing w:w="0" w:type="dxa"/>
        </w:trPr>
        <w:tc>
          <w:tcPr>
            <w:tcW w:w="2450" w:type="pct"/>
            <w:shd w:val="clear" w:color="auto" w:fill="CCEEFF"/>
            <w:vAlign w:val="bottom"/>
            <w:hideMark/>
          </w:tcPr>
          <w:p w14:paraId="389BBF59" w14:textId="77777777" w:rsidR="00000000" w:rsidRDefault="0053651E">
            <w:pPr>
              <w:pStyle w:val="a3"/>
              <w:spacing w:before="0" w:beforeAutospacing="0" w:after="0" w:afterAutospacing="0"/>
              <w:rPr>
                <w:sz w:val="20"/>
                <w:szCs w:val="20"/>
              </w:rPr>
            </w:pPr>
            <w:r>
              <w:rPr>
                <w:sz w:val="20"/>
                <w:szCs w:val="20"/>
              </w:rPr>
              <w:t>Performance share awards outstanding as of January 1,</w:t>
            </w:r>
          </w:p>
        </w:tc>
        <w:tc>
          <w:tcPr>
            <w:tcW w:w="50" w:type="pct"/>
            <w:tcBorders>
              <w:bottom w:val="nil"/>
            </w:tcBorders>
            <w:shd w:val="clear" w:color="auto" w:fill="CCEEFF"/>
            <w:vAlign w:val="bottom"/>
            <w:hideMark/>
          </w:tcPr>
          <w:p w14:paraId="4A0880B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33FB078"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7D61D550" w14:textId="77777777" w:rsidR="00000000" w:rsidRDefault="0053651E">
            <w:pPr>
              <w:jc w:val="right"/>
              <w:rPr>
                <w:rFonts w:eastAsia="Times New Roman"/>
                <w:sz w:val="20"/>
                <w:szCs w:val="20"/>
              </w:rPr>
            </w:pPr>
            <w:r>
              <w:rPr>
                <w:rFonts w:eastAsia="Times New Roman"/>
                <w:sz w:val="20"/>
                <w:szCs w:val="20"/>
              </w:rPr>
              <w:t>433,230</w:t>
            </w:r>
          </w:p>
        </w:tc>
        <w:tc>
          <w:tcPr>
            <w:tcW w:w="50" w:type="pct"/>
            <w:tcBorders>
              <w:bottom w:val="nil"/>
            </w:tcBorders>
            <w:shd w:val="clear" w:color="auto" w:fill="CCEEFF"/>
            <w:vAlign w:val="bottom"/>
            <w:hideMark/>
          </w:tcPr>
          <w:p w14:paraId="2D41699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17C34F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509F97F"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7AB55553" w14:textId="77777777" w:rsidR="00000000" w:rsidRDefault="0053651E">
            <w:pPr>
              <w:jc w:val="right"/>
              <w:rPr>
                <w:rFonts w:eastAsia="Times New Roman"/>
                <w:sz w:val="20"/>
                <w:szCs w:val="20"/>
              </w:rPr>
            </w:pPr>
            <w:r>
              <w:rPr>
                <w:rFonts w:eastAsia="Times New Roman"/>
                <w:sz w:val="20"/>
                <w:szCs w:val="20"/>
              </w:rPr>
              <w:t>235,950</w:t>
            </w:r>
          </w:p>
        </w:tc>
        <w:tc>
          <w:tcPr>
            <w:tcW w:w="50" w:type="pct"/>
            <w:tcBorders>
              <w:bottom w:val="nil"/>
            </w:tcBorders>
            <w:shd w:val="clear" w:color="auto" w:fill="CCEEFF"/>
            <w:vAlign w:val="bottom"/>
            <w:hideMark/>
          </w:tcPr>
          <w:p w14:paraId="1997495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E54F9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72A5A07" w14:textId="77777777" w:rsidR="00000000" w:rsidRDefault="0053651E">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14:paraId="7ECC64AE" w14:textId="77777777" w:rsidR="00000000" w:rsidRDefault="0053651E">
            <w:pPr>
              <w:jc w:val="right"/>
              <w:rPr>
                <w:rFonts w:eastAsia="Times New Roman"/>
                <w:sz w:val="20"/>
                <w:szCs w:val="20"/>
              </w:rPr>
            </w:pPr>
            <w:r>
              <w:rPr>
                <w:rFonts w:eastAsia="Times New Roman"/>
                <w:sz w:val="20"/>
                <w:szCs w:val="20"/>
              </w:rPr>
              <w:t>197,249</w:t>
            </w:r>
          </w:p>
        </w:tc>
        <w:tc>
          <w:tcPr>
            <w:tcW w:w="50" w:type="pct"/>
            <w:tcBorders>
              <w:bottom w:val="nil"/>
            </w:tcBorders>
            <w:shd w:val="clear" w:color="auto" w:fill="CCEEFF"/>
            <w:vAlign w:val="bottom"/>
            <w:hideMark/>
          </w:tcPr>
          <w:p w14:paraId="023F5283" w14:textId="77777777" w:rsidR="00000000" w:rsidRDefault="0053651E">
            <w:pPr>
              <w:rPr>
                <w:rFonts w:eastAsia="Times New Roman"/>
                <w:sz w:val="20"/>
                <w:szCs w:val="20"/>
              </w:rPr>
            </w:pPr>
            <w:r>
              <w:rPr>
                <w:rFonts w:eastAsia="Times New Roman"/>
                <w:sz w:val="20"/>
                <w:szCs w:val="20"/>
              </w:rPr>
              <w:t> </w:t>
            </w:r>
          </w:p>
        </w:tc>
      </w:tr>
      <w:tr w:rsidR="00000000" w14:paraId="7C6706E9" w14:textId="77777777">
        <w:trPr>
          <w:tblCellSpacing w:w="0" w:type="dxa"/>
        </w:trPr>
        <w:tc>
          <w:tcPr>
            <w:tcW w:w="0" w:type="auto"/>
            <w:shd w:val="clear" w:color="auto" w:fill="FFFFFF"/>
            <w:vAlign w:val="bottom"/>
            <w:hideMark/>
          </w:tcPr>
          <w:p w14:paraId="744E999B" w14:textId="77777777" w:rsidR="00000000" w:rsidRDefault="0053651E">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14:paraId="0667BF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1B2295"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D0A9BAD" w14:textId="77777777" w:rsidR="00000000" w:rsidRDefault="0053651E">
            <w:pPr>
              <w:jc w:val="right"/>
              <w:rPr>
                <w:rFonts w:eastAsia="Times New Roman"/>
                <w:sz w:val="20"/>
                <w:szCs w:val="20"/>
              </w:rPr>
            </w:pPr>
            <w:r>
              <w:rPr>
                <w:rFonts w:eastAsia="Times New Roman"/>
                <w:sz w:val="20"/>
                <w:szCs w:val="20"/>
              </w:rPr>
              <w:t>407,080</w:t>
            </w:r>
          </w:p>
        </w:tc>
        <w:tc>
          <w:tcPr>
            <w:tcW w:w="50" w:type="pct"/>
            <w:shd w:val="clear" w:color="auto" w:fill="FFFFFF"/>
            <w:vAlign w:val="bottom"/>
            <w:hideMark/>
          </w:tcPr>
          <w:p w14:paraId="6B0304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DA2F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6A08C5"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CDF5A4A" w14:textId="77777777" w:rsidR="00000000" w:rsidRDefault="0053651E">
            <w:pPr>
              <w:jc w:val="right"/>
              <w:rPr>
                <w:rFonts w:eastAsia="Times New Roman"/>
                <w:sz w:val="20"/>
                <w:szCs w:val="20"/>
              </w:rPr>
            </w:pPr>
            <w:r>
              <w:rPr>
                <w:rFonts w:eastAsia="Times New Roman"/>
                <w:sz w:val="20"/>
                <w:szCs w:val="20"/>
              </w:rPr>
              <w:t>297,450</w:t>
            </w:r>
          </w:p>
        </w:tc>
        <w:tc>
          <w:tcPr>
            <w:tcW w:w="50" w:type="pct"/>
            <w:shd w:val="clear" w:color="auto" w:fill="FFFFFF"/>
            <w:vAlign w:val="bottom"/>
            <w:hideMark/>
          </w:tcPr>
          <w:p w14:paraId="6F9791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3A1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29D3CF"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FAF5376" w14:textId="77777777" w:rsidR="00000000" w:rsidRDefault="0053651E">
            <w:pPr>
              <w:jc w:val="right"/>
              <w:rPr>
                <w:rFonts w:eastAsia="Times New Roman"/>
                <w:sz w:val="20"/>
                <w:szCs w:val="20"/>
              </w:rPr>
            </w:pPr>
            <w:r>
              <w:rPr>
                <w:rFonts w:eastAsia="Times New Roman"/>
                <w:sz w:val="20"/>
                <w:szCs w:val="20"/>
              </w:rPr>
              <w:t>135,780</w:t>
            </w:r>
          </w:p>
        </w:tc>
        <w:tc>
          <w:tcPr>
            <w:tcW w:w="50" w:type="pct"/>
            <w:shd w:val="clear" w:color="auto" w:fill="FFFFFF"/>
            <w:vAlign w:val="bottom"/>
            <w:hideMark/>
          </w:tcPr>
          <w:p w14:paraId="6421B699" w14:textId="77777777" w:rsidR="00000000" w:rsidRDefault="0053651E">
            <w:pPr>
              <w:rPr>
                <w:rFonts w:eastAsia="Times New Roman"/>
                <w:sz w:val="20"/>
                <w:szCs w:val="20"/>
              </w:rPr>
            </w:pPr>
            <w:r>
              <w:rPr>
                <w:rFonts w:eastAsia="Times New Roman"/>
                <w:sz w:val="20"/>
                <w:szCs w:val="20"/>
              </w:rPr>
              <w:t> </w:t>
            </w:r>
          </w:p>
        </w:tc>
      </w:tr>
      <w:tr w:rsidR="00000000" w14:paraId="31042885" w14:textId="77777777">
        <w:trPr>
          <w:tblCellSpacing w:w="0" w:type="dxa"/>
        </w:trPr>
        <w:tc>
          <w:tcPr>
            <w:tcW w:w="0" w:type="auto"/>
            <w:shd w:val="clear" w:color="auto" w:fill="CCEEFF"/>
            <w:vAlign w:val="bottom"/>
            <w:hideMark/>
          </w:tcPr>
          <w:p w14:paraId="1781181A" w14:textId="77777777" w:rsidR="00000000" w:rsidRDefault="0053651E">
            <w:pPr>
              <w:pStyle w:val="a3"/>
              <w:spacing w:before="0" w:beforeAutospacing="0" w:after="0" w:afterAutospacing="0"/>
              <w:ind w:left="180"/>
              <w:rPr>
                <w:sz w:val="20"/>
                <w:szCs w:val="20"/>
              </w:rPr>
            </w:pPr>
            <w:r>
              <w:rPr>
                <w:sz w:val="20"/>
                <w:szCs w:val="20"/>
              </w:rPr>
              <w:t>Vested (2)</w:t>
            </w:r>
          </w:p>
        </w:tc>
        <w:tc>
          <w:tcPr>
            <w:tcW w:w="50" w:type="pct"/>
            <w:shd w:val="clear" w:color="auto" w:fill="CCEEFF"/>
            <w:tcMar>
              <w:top w:w="0" w:type="dxa"/>
              <w:left w:w="0" w:type="dxa"/>
              <w:bottom w:w="15" w:type="dxa"/>
              <w:right w:w="0" w:type="dxa"/>
            </w:tcMar>
            <w:vAlign w:val="bottom"/>
            <w:hideMark/>
          </w:tcPr>
          <w:p w14:paraId="4E864FD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1B30138"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1B4287B4" w14:textId="77777777" w:rsidR="00000000" w:rsidRDefault="0053651E">
            <w:pPr>
              <w:jc w:val="right"/>
              <w:rPr>
                <w:rFonts w:eastAsia="Times New Roman"/>
                <w:sz w:val="20"/>
                <w:szCs w:val="20"/>
              </w:rPr>
            </w:pPr>
            <w:r>
              <w:rPr>
                <w:rFonts w:eastAsia="Times New Roman"/>
                <w:sz w:val="20"/>
                <w:szCs w:val="20"/>
              </w:rPr>
              <w:t>(135,780</w:t>
            </w:r>
          </w:p>
        </w:tc>
        <w:tc>
          <w:tcPr>
            <w:tcW w:w="50" w:type="pct"/>
            <w:shd w:val="clear" w:color="auto" w:fill="CCEEFF"/>
            <w:tcMar>
              <w:top w:w="0" w:type="dxa"/>
              <w:left w:w="0" w:type="dxa"/>
              <w:bottom w:w="15" w:type="dxa"/>
              <w:right w:w="0" w:type="dxa"/>
            </w:tcMar>
            <w:vAlign w:val="bottom"/>
            <w:hideMark/>
          </w:tcPr>
          <w:p w14:paraId="625CCD5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D3F8C3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9F286CD"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582A2D21" w14:textId="77777777" w:rsidR="00000000" w:rsidRDefault="0053651E">
            <w:pPr>
              <w:jc w:val="right"/>
              <w:rPr>
                <w:rFonts w:eastAsia="Times New Roman"/>
                <w:sz w:val="20"/>
                <w:szCs w:val="20"/>
              </w:rPr>
            </w:pPr>
            <w:r>
              <w:rPr>
                <w:rFonts w:eastAsia="Times New Roman"/>
                <w:sz w:val="20"/>
                <w:szCs w:val="20"/>
              </w:rPr>
              <w:t>(100,170</w:t>
            </w:r>
          </w:p>
        </w:tc>
        <w:tc>
          <w:tcPr>
            <w:tcW w:w="50" w:type="pct"/>
            <w:shd w:val="clear" w:color="auto" w:fill="CCEEFF"/>
            <w:tcMar>
              <w:top w:w="0" w:type="dxa"/>
              <w:left w:w="0" w:type="dxa"/>
              <w:bottom w:w="15" w:type="dxa"/>
              <w:right w:w="0" w:type="dxa"/>
            </w:tcMar>
            <w:vAlign w:val="bottom"/>
            <w:hideMark/>
          </w:tcPr>
          <w:p w14:paraId="65122FD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5C237A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DEC94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2BDBA18D" w14:textId="77777777" w:rsidR="00000000" w:rsidRDefault="0053651E">
            <w:pPr>
              <w:jc w:val="right"/>
              <w:rPr>
                <w:rFonts w:eastAsia="Times New Roman"/>
                <w:sz w:val="20"/>
                <w:szCs w:val="20"/>
              </w:rPr>
            </w:pPr>
            <w:r>
              <w:rPr>
                <w:rFonts w:eastAsia="Times New Roman"/>
                <w:sz w:val="20"/>
                <w:szCs w:val="20"/>
              </w:rPr>
              <w:t>(97,079</w:t>
            </w:r>
          </w:p>
        </w:tc>
        <w:tc>
          <w:tcPr>
            <w:tcW w:w="50" w:type="pct"/>
            <w:shd w:val="clear" w:color="auto" w:fill="CCEEFF"/>
            <w:tcMar>
              <w:top w:w="0" w:type="dxa"/>
              <w:left w:w="0" w:type="dxa"/>
              <w:bottom w:w="15" w:type="dxa"/>
              <w:right w:w="0" w:type="dxa"/>
            </w:tcMar>
            <w:vAlign w:val="bottom"/>
            <w:hideMark/>
          </w:tcPr>
          <w:p w14:paraId="23D15705" w14:textId="77777777" w:rsidR="00000000" w:rsidRDefault="0053651E">
            <w:pPr>
              <w:rPr>
                <w:rFonts w:eastAsia="Times New Roman"/>
                <w:sz w:val="20"/>
                <w:szCs w:val="20"/>
              </w:rPr>
            </w:pPr>
            <w:r>
              <w:rPr>
                <w:rFonts w:eastAsia="Times New Roman"/>
                <w:sz w:val="20"/>
                <w:szCs w:val="20"/>
              </w:rPr>
              <w:t>)</w:t>
            </w:r>
          </w:p>
        </w:tc>
      </w:tr>
      <w:tr w:rsidR="00000000" w14:paraId="68DD37CC" w14:textId="77777777">
        <w:trPr>
          <w:tblCellSpacing w:w="0" w:type="dxa"/>
        </w:trPr>
        <w:tc>
          <w:tcPr>
            <w:tcW w:w="0" w:type="auto"/>
            <w:shd w:val="clear" w:color="auto" w:fill="FFFFFF"/>
            <w:vAlign w:val="bottom"/>
            <w:hideMark/>
          </w:tcPr>
          <w:p w14:paraId="079337A8" w14:textId="77777777" w:rsidR="00000000" w:rsidRDefault="0053651E">
            <w:pPr>
              <w:pStyle w:val="a3"/>
              <w:spacing w:before="0" w:beforeAutospacing="0" w:after="0" w:afterAutospacing="0"/>
              <w:rPr>
                <w:sz w:val="20"/>
                <w:szCs w:val="20"/>
              </w:rPr>
            </w:pPr>
            <w:r>
              <w:rPr>
                <w:sz w:val="20"/>
                <w:szCs w:val="20"/>
              </w:rPr>
              <w:t>Performance share awards outstanding as of December 31,</w:t>
            </w:r>
          </w:p>
        </w:tc>
        <w:tc>
          <w:tcPr>
            <w:tcW w:w="50" w:type="pct"/>
            <w:shd w:val="clear" w:color="auto" w:fill="FFFFFF"/>
            <w:vAlign w:val="bottom"/>
            <w:hideMark/>
          </w:tcPr>
          <w:p w14:paraId="35CAEA7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492C209"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4D2A9A14" w14:textId="77777777" w:rsidR="00000000" w:rsidRDefault="0053651E">
            <w:pPr>
              <w:jc w:val="right"/>
              <w:rPr>
                <w:rFonts w:eastAsia="Times New Roman"/>
                <w:sz w:val="20"/>
                <w:szCs w:val="20"/>
              </w:rPr>
            </w:pPr>
            <w:r>
              <w:rPr>
                <w:rFonts w:eastAsia="Times New Roman"/>
                <w:sz w:val="20"/>
                <w:szCs w:val="20"/>
              </w:rPr>
              <w:t>704,530</w:t>
            </w:r>
          </w:p>
        </w:tc>
        <w:tc>
          <w:tcPr>
            <w:tcW w:w="50" w:type="pct"/>
            <w:shd w:val="clear" w:color="auto" w:fill="FFFFFF"/>
            <w:tcMar>
              <w:top w:w="0" w:type="dxa"/>
              <w:left w:w="0" w:type="dxa"/>
              <w:bottom w:w="45" w:type="dxa"/>
              <w:right w:w="0" w:type="dxa"/>
            </w:tcMar>
            <w:vAlign w:val="bottom"/>
            <w:hideMark/>
          </w:tcPr>
          <w:p w14:paraId="7665BD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2B13A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79CE9B8"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09BF16B5" w14:textId="77777777" w:rsidR="00000000" w:rsidRDefault="0053651E">
            <w:pPr>
              <w:jc w:val="right"/>
              <w:rPr>
                <w:rFonts w:eastAsia="Times New Roman"/>
                <w:sz w:val="20"/>
                <w:szCs w:val="20"/>
              </w:rPr>
            </w:pPr>
            <w:r>
              <w:rPr>
                <w:rFonts w:eastAsia="Times New Roman"/>
                <w:sz w:val="20"/>
                <w:szCs w:val="20"/>
              </w:rPr>
              <w:t>433,230</w:t>
            </w:r>
          </w:p>
        </w:tc>
        <w:tc>
          <w:tcPr>
            <w:tcW w:w="50" w:type="pct"/>
            <w:shd w:val="clear" w:color="auto" w:fill="FFFFFF"/>
            <w:tcMar>
              <w:top w:w="0" w:type="dxa"/>
              <w:left w:w="0" w:type="dxa"/>
              <w:bottom w:w="45" w:type="dxa"/>
              <w:right w:w="0" w:type="dxa"/>
            </w:tcMar>
            <w:vAlign w:val="bottom"/>
            <w:hideMark/>
          </w:tcPr>
          <w:p w14:paraId="02D6CF9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E658F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0EF499A" w14:textId="77777777" w:rsidR="00000000" w:rsidRDefault="0053651E">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14:paraId="26E79C49" w14:textId="77777777" w:rsidR="00000000" w:rsidRDefault="0053651E">
            <w:pPr>
              <w:jc w:val="right"/>
              <w:rPr>
                <w:rFonts w:eastAsia="Times New Roman"/>
                <w:sz w:val="20"/>
                <w:szCs w:val="20"/>
              </w:rPr>
            </w:pPr>
            <w:r>
              <w:rPr>
                <w:rFonts w:eastAsia="Times New Roman"/>
                <w:sz w:val="20"/>
                <w:szCs w:val="20"/>
              </w:rPr>
              <w:t>235,950</w:t>
            </w:r>
          </w:p>
        </w:tc>
        <w:tc>
          <w:tcPr>
            <w:tcW w:w="50" w:type="pct"/>
            <w:shd w:val="clear" w:color="auto" w:fill="FFFFFF"/>
            <w:tcMar>
              <w:top w:w="0" w:type="dxa"/>
              <w:left w:w="0" w:type="dxa"/>
              <w:bottom w:w="45" w:type="dxa"/>
              <w:right w:w="0" w:type="dxa"/>
            </w:tcMar>
            <w:vAlign w:val="bottom"/>
            <w:hideMark/>
          </w:tcPr>
          <w:p w14:paraId="1E63771C" w14:textId="77777777" w:rsidR="00000000" w:rsidRDefault="0053651E">
            <w:pPr>
              <w:rPr>
                <w:rFonts w:eastAsia="Times New Roman"/>
                <w:sz w:val="20"/>
                <w:szCs w:val="20"/>
              </w:rPr>
            </w:pPr>
            <w:r>
              <w:rPr>
                <w:rFonts w:eastAsia="Times New Roman"/>
                <w:sz w:val="20"/>
                <w:szCs w:val="20"/>
              </w:rPr>
              <w:t> </w:t>
            </w:r>
          </w:p>
        </w:tc>
      </w:tr>
    </w:tbl>
    <w:p w14:paraId="09B28A05"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CE2B53E" w14:textId="77777777">
        <w:trPr>
          <w:tblCellSpacing w:w="0" w:type="dxa"/>
        </w:trPr>
        <w:tc>
          <w:tcPr>
            <w:tcW w:w="360" w:type="dxa"/>
            <w:hideMark/>
          </w:tcPr>
          <w:p w14:paraId="21658D6D"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4FEF5D7F" w14:textId="77777777" w:rsidR="00000000" w:rsidRDefault="0053651E">
            <w:pPr>
              <w:pStyle w:val="a3"/>
              <w:spacing w:before="0" w:beforeAutospacing="0" w:after="0" w:afterAutospacing="0"/>
              <w:jc w:val="both"/>
              <w:rPr>
                <w:sz w:val="20"/>
                <w:szCs w:val="20"/>
              </w:rPr>
            </w:pPr>
            <w:r>
              <w:rPr>
                <w:sz w:val="20"/>
                <w:szCs w:val="20"/>
              </w:rPr>
              <w:t>The weighted-average grant date fair value for performance shares issued during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were $22.00, $15.40 and $23.35, respectively.</w:t>
            </w:r>
          </w:p>
        </w:tc>
      </w:tr>
    </w:tbl>
    <w:p w14:paraId="104FD8C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07FBC5A" w14:textId="77777777">
        <w:trPr>
          <w:tblCellSpacing w:w="0" w:type="dxa"/>
        </w:trPr>
        <w:tc>
          <w:tcPr>
            <w:tcW w:w="360" w:type="dxa"/>
            <w:hideMark/>
          </w:tcPr>
          <w:p w14:paraId="623C082F"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3412CE43" w14:textId="77777777" w:rsidR="00000000" w:rsidRDefault="0053651E">
            <w:pPr>
              <w:pStyle w:val="a3"/>
              <w:spacing w:before="0" w:beforeAutospacing="0" w:after="0" w:afterAutospacing="0"/>
              <w:jc w:val="both"/>
              <w:rPr>
                <w:sz w:val="20"/>
                <w:szCs w:val="20"/>
              </w:rPr>
            </w:pPr>
            <w:r>
              <w:rPr>
                <w:sz w:val="20"/>
                <w:szCs w:val="20"/>
              </w:rPr>
              <w:t>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t>
            </w:r>
            <w:r>
              <w:rPr>
                <w:sz w:val="20"/>
                <w:szCs w:val="20"/>
              </w:rPr>
              <w:t>the corresponding common stock equivalent of these vested awards were 104,551, 0 and 0 shares, respectively.</w:t>
            </w:r>
          </w:p>
        </w:tc>
      </w:tr>
    </w:tbl>
    <w:p w14:paraId="4F69A4A2" w14:textId="77777777" w:rsidR="00000000" w:rsidRDefault="0053651E">
      <w:pPr>
        <w:pStyle w:val="a3"/>
        <w:spacing w:before="0" w:beforeAutospacing="0" w:after="0" w:afterAutospacing="0"/>
        <w:ind w:left="360"/>
        <w:jc w:val="both"/>
        <w:rPr>
          <w:sz w:val="20"/>
          <w:szCs w:val="20"/>
        </w:rPr>
      </w:pPr>
      <w:r>
        <w:rPr>
          <w:sz w:val="20"/>
          <w:szCs w:val="20"/>
        </w:rPr>
        <w:t> </w:t>
      </w:r>
    </w:p>
    <w:p w14:paraId="22DDAFD3" w14:textId="77777777" w:rsidR="00000000" w:rsidRDefault="0053651E">
      <w:pPr>
        <w:pStyle w:val="a3"/>
        <w:spacing w:before="0" w:beforeAutospacing="0" w:after="0" w:afterAutospacing="0"/>
        <w:ind w:left="360"/>
        <w:jc w:val="both"/>
        <w:rPr>
          <w:sz w:val="20"/>
          <w:szCs w:val="20"/>
        </w:rPr>
      </w:pPr>
      <w:r>
        <w:rPr>
          <w:sz w:val="20"/>
          <w:szCs w:val="20"/>
        </w:rPr>
        <w:t>The more significant assumptions underlying the determination of fair values for these performance awards granted during</w:t>
      </w:r>
      <w:r>
        <w:rPr>
          <w:sz w:val="20"/>
          <w:szCs w:val="20"/>
        </w:rPr>
        <w:t xml:space="preserve"> </w:t>
      </w:r>
      <w:r>
        <w:rPr>
          <w:rStyle w:val="a6"/>
          <w:i w:val="0"/>
          <w:iCs w:val="0"/>
          <w:sz w:val="20"/>
          <w:szCs w:val="20"/>
        </w:rPr>
        <w:t>2019,</w:t>
      </w:r>
      <w:r>
        <w:rPr>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were as follows:</w:t>
      </w:r>
    </w:p>
    <w:p w14:paraId="2DAEE461"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599"/>
        <w:gridCol w:w="50"/>
        <w:gridCol w:w="460"/>
        <w:gridCol w:w="810"/>
        <w:gridCol w:w="167"/>
        <w:gridCol w:w="50"/>
        <w:gridCol w:w="460"/>
        <w:gridCol w:w="810"/>
        <w:gridCol w:w="167"/>
        <w:gridCol w:w="50"/>
        <w:gridCol w:w="460"/>
        <w:gridCol w:w="810"/>
        <w:gridCol w:w="167"/>
      </w:tblGrid>
      <w:tr w:rsidR="00000000" w14:paraId="6B04F0C8" w14:textId="77777777">
        <w:trPr>
          <w:tblCellSpacing w:w="0" w:type="dxa"/>
        </w:trPr>
        <w:tc>
          <w:tcPr>
            <w:tcW w:w="0" w:type="auto"/>
            <w:vAlign w:val="bottom"/>
            <w:hideMark/>
          </w:tcPr>
          <w:p w14:paraId="297C35F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D2EADE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2D15B38"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4A53BF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1F9B37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367B6EC" w14:textId="77777777" w:rsidR="00000000" w:rsidRDefault="0053651E">
            <w:pPr>
              <w:pStyle w:val="a3"/>
              <w:spacing w:before="0" w:beforeAutospacing="0" w:after="0" w:afterAutospacing="0"/>
              <w:ind w:left="56"/>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CE166E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E34BC3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24D11B"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3776FE42" w14:textId="77777777" w:rsidR="00000000" w:rsidRDefault="0053651E">
            <w:pPr>
              <w:rPr>
                <w:rFonts w:eastAsia="Times New Roman"/>
                <w:sz w:val="20"/>
                <w:szCs w:val="20"/>
              </w:rPr>
            </w:pPr>
            <w:r>
              <w:rPr>
                <w:rFonts w:eastAsia="Times New Roman"/>
                <w:sz w:val="20"/>
                <w:szCs w:val="20"/>
              </w:rPr>
              <w:t> </w:t>
            </w:r>
          </w:p>
        </w:tc>
      </w:tr>
      <w:tr w:rsidR="00000000" w14:paraId="047832CE" w14:textId="77777777">
        <w:trPr>
          <w:tblCellSpacing w:w="0" w:type="dxa"/>
        </w:trPr>
        <w:tc>
          <w:tcPr>
            <w:tcW w:w="2300" w:type="pct"/>
            <w:shd w:val="clear" w:color="auto" w:fill="CCEEFF"/>
            <w:vAlign w:val="bottom"/>
            <w:hideMark/>
          </w:tcPr>
          <w:p w14:paraId="37961B72" w14:textId="77777777" w:rsidR="00000000" w:rsidRDefault="0053651E">
            <w:pPr>
              <w:pStyle w:val="a3"/>
              <w:spacing w:before="0" w:beforeAutospacing="0" w:after="0" w:afterAutospacing="0"/>
              <w:rPr>
                <w:sz w:val="20"/>
                <w:szCs w:val="20"/>
              </w:rPr>
            </w:pPr>
            <w:r>
              <w:rPr>
                <w:sz w:val="20"/>
                <w:szCs w:val="20"/>
              </w:rPr>
              <w:t>Stock price</w:t>
            </w:r>
          </w:p>
        </w:tc>
        <w:tc>
          <w:tcPr>
            <w:tcW w:w="50" w:type="pct"/>
            <w:tcBorders>
              <w:bottom w:val="nil"/>
            </w:tcBorders>
            <w:shd w:val="clear" w:color="auto" w:fill="CCEEFF"/>
            <w:vAlign w:val="bottom"/>
            <w:hideMark/>
          </w:tcPr>
          <w:p w14:paraId="14A7C8BF"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CD032F" w14:textId="77777777" w:rsidR="00000000" w:rsidRDefault="0053651E">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6AFFD399" w14:textId="77777777" w:rsidR="00000000" w:rsidRDefault="0053651E">
            <w:pPr>
              <w:ind w:left="360"/>
              <w:jc w:val="right"/>
              <w:rPr>
                <w:rFonts w:eastAsia="Times New Roman"/>
                <w:sz w:val="20"/>
                <w:szCs w:val="20"/>
              </w:rPr>
            </w:pPr>
            <w:r>
              <w:rPr>
                <w:rFonts w:eastAsia="Times New Roman"/>
                <w:sz w:val="20"/>
                <w:szCs w:val="20"/>
              </w:rPr>
              <w:t>17.81</w:t>
            </w:r>
          </w:p>
        </w:tc>
        <w:tc>
          <w:tcPr>
            <w:tcW w:w="50" w:type="pct"/>
            <w:tcBorders>
              <w:bottom w:val="nil"/>
            </w:tcBorders>
            <w:shd w:val="clear" w:color="auto" w:fill="CCEEFF"/>
            <w:vAlign w:val="bottom"/>
            <w:hideMark/>
          </w:tcPr>
          <w:p w14:paraId="7365974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B68906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5796A29" w14:textId="77777777" w:rsidR="00000000" w:rsidRDefault="0053651E">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6DEA6216" w14:textId="77777777" w:rsidR="00000000" w:rsidRDefault="0053651E">
            <w:pPr>
              <w:ind w:left="360"/>
              <w:jc w:val="right"/>
              <w:rPr>
                <w:rFonts w:eastAsia="Times New Roman"/>
                <w:sz w:val="20"/>
                <w:szCs w:val="20"/>
              </w:rPr>
            </w:pPr>
            <w:r>
              <w:rPr>
                <w:rFonts w:eastAsia="Times New Roman"/>
                <w:sz w:val="20"/>
                <w:szCs w:val="20"/>
              </w:rPr>
              <w:t>14.99</w:t>
            </w:r>
          </w:p>
        </w:tc>
        <w:tc>
          <w:tcPr>
            <w:tcW w:w="50" w:type="pct"/>
            <w:tcBorders>
              <w:bottom w:val="nil"/>
            </w:tcBorders>
            <w:shd w:val="clear" w:color="auto" w:fill="CCEEFF"/>
            <w:vAlign w:val="bottom"/>
            <w:hideMark/>
          </w:tcPr>
          <w:p w14:paraId="53C1D2D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DC33F4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5F5C36" w14:textId="77777777" w:rsidR="00000000" w:rsidRDefault="0053651E">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23616028" w14:textId="77777777" w:rsidR="00000000" w:rsidRDefault="0053651E">
            <w:pPr>
              <w:ind w:left="360"/>
              <w:jc w:val="right"/>
              <w:rPr>
                <w:rFonts w:eastAsia="Times New Roman"/>
                <w:sz w:val="20"/>
                <w:szCs w:val="20"/>
              </w:rPr>
            </w:pPr>
            <w:r>
              <w:rPr>
                <w:rFonts w:eastAsia="Times New Roman"/>
                <w:sz w:val="20"/>
                <w:szCs w:val="20"/>
              </w:rPr>
              <w:t>24.91</w:t>
            </w:r>
          </w:p>
        </w:tc>
        <w:tc>
          <w:tcPr>
            <w:tcW w:w="50" w:type="pct"/>
            <w:tcBorders>
              <w:bottom w:val="nil"/>
            </w:tcBorders>
            <w:shd w:val="clear" w:color="auto" w:fill="CCEEFF"/>
            <w:vAlign w:val="bottom"/>
            <w:hideMark/>
          </w:tcPr>
          <w:p w14:paraId="69B29E85" w14:textId="77777777" w:rsidR="00000000" w:rsidRDefault="0053651E">
            <w:pPr>
              <w:rPr>
                <w:rFonts w:eastAsia="Times New Roman"/>
                <w:sz w:val="20"/>
                <w:szCs w:val="20"/>
              </w:rPr>
            </w:pPr>
            <w:r>
              <w:rPr>
                <w:rFonts w:eastAsia="Times New Roman"/>
                <w:sz w:val="20"/>
                <w:szCs w:val="20"/>
              </w:rPr>
              <w:t> </w:t>
            </w:r>
          </w:p>
        </w:tc>
      </w:tr>
      <w:tr w:rsidR="00000000" w14:paraId="1A682CAB" w14:textId="77777777">
        <w:trPr>
          <w:tblCellSpacing w:w="0" w:type="dxa"/>
        </w:trPr>
        <w:tc>
          <w:tcPr>
            <w:tcW w:w="0" w:type="auto"/>
            <w:shd w:val="clear" w:color="auto" w:fill="FFFFFF"/>
            <w:vAlign w:val="bottom"/>
            <w:hideMark/>
          </w:tcPr>
          <w:p w14:paraId="1241BE30" w14:textId="77777777" w:rsidR="00000000" w:rsidRDefault="0053651E">
            <w:pPr>
              <w:pStyle w:val="a3"/>
              <w:spacing w:before="0" w:beforeAutospacing="0" w:after="0" w:afterAutospacing="0"/>
              <w:rPr>
                <w:sz w:val="20"/>
                <w:szCs w:val="20"/>
              </w:rPr>
            </w:pPr>
            <w:r>
              <w:rPr>
                <w:sz w:val="20"/>
                <w:szCs w:val="20"/>
              </w:rPr>
              <w:t>Dividend yield (1)</w:t>
            </w:r>
          </w:p>
        </w:tc>
        <w:tc>
          <w:tcPr>
            <w:tcW w:w="50" w:type="pct"/>
            <w:shd w:val="clear" w:color="auto" w:fill="FFFFFF"/>
            <w:vAlign w:val="bottom"/>
            <w:hideMark/>
          </w:tcPr>
          <w:p w14:paraId="7F29F77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08CEF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4F83E61" w14:textId="77777777" w:rsidR="00000000" w:rsidRDefault="0053651E">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14:paraId="527E03F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76B67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6ED052"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C3AE1C8" w14:textId="77777777" w:rsidR="00000000" w:rsidRDefault="0053651E">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14:paraId="79F4A99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A1A1F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45CC7D"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BC29167" w14:textId="77777777" w:rsidR="00000000" w:rsidRDefault="0053651E">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14:paraId="22510CE3" w14:textId="77777777" w:rsidR="00000000" w:rsidRDefault="0053651E">
            <w:pPr>
              <w:rPr>
                <w:rFonts w:eastAsia="Times New Roman"/>
                <w:sz w:val="20"/>
                <w:szCs w:val="20"/>
              </w:rPr>
            </w:pPr>
            <w:r>
              <w:rPr>
                <w:rFonts w:eastAsia="Times New Roman"/>
                <w:sz w:val="20"/>
                <w:szCs w:val="20"/>
              </w:rPr>
              <w:t>%</w:t>
            </w:r>
          </w:p>
        </w:tc>
      </w:tr>
      <w:tr w:rsidR="00000000" w14:paraId="63F9DD16" w14:textId="77777777">
        <w:trPr>
          <w:tblCellSpacing w:w="0" w:type="dxa"/>
        </w:trPr>
        <w:tc>
          <w:tcPr>
            <w:tcW w:w="0" w:type="auto"/>
            <w:shd w:val="clear" w:color="auto" w:fill="CCEEFF"/>
            <w:vAlign w:val="bottom"/>
            <w:hideMark/>
          </w:tcPr>
          <w:p w14:paraId="29866B8C" w14:textId="77777777" w:rsidR="00000000" w:rsidRDefault="0053651E">
            <w:pPr>
              <w:pStyle w:val="a3"/>
              <w:spacing w:before="0" w:beforeAutospacing="0" w:after="0" w:afterAutospacing="0"/>
              <w:rPr>
                <w:sz w:val="20"/>
                <w:szCs w:val="20"/>
              </w:rPr>
            </w:pPr>
            <w:r>
              <w:rPr>
                <w:sz w:val="20"/>
                <w:szCs w:val="20"/>
              </w:rPr>
              <w:t>Risk-free rate</w:t>
            </w:r>
          </w:p>
        </w:tc>
        <w:tc>
          <w:tcPr>
            <w:tcW w:w="50" w:type="pct"/>
            <w:shd w:val="clear" w:color="auto" w:fill="CCEEFF"/>
            <w:vAlign w:val="bottom"/>
            <w:hideMark/>
          </w:tcPr>
          <w:p w14:paraId="24D8A2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CC4A39"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9482D39" w14:textId="77777777" w:rsidR="00000000" w:rsidRDefault="0053651E">
            <w:pPr>
              <w:ind w:left="360"/>
              <w:jc w:val="right"/>
              <w:rPr>
                <w:rFonts w:eastAsia="Times New Roman"/>
                <w:sz w:val="20"/>
                <w:szCs w:val="20"/>
              </w:rPr>
            </w:pPr>
            <w:r>
              <w:rPr>
                <w:rFonts w:eastAsia="Times New Roman"/>
                <w:sz w:val="20"/>
                <w:szCs w:val="20"/>
              </w:rPr>
              <w:t>2.52</w:t>
            </w:r>
          </w:p>
        </w:tc>
        <w:tc>
          <w:tcPr>
            <w:tcW w:w="50" w:type="pct"/>
            <w:shd w:val="clear" w:color="auto" w:fill="CCEEFF"/>
            <w:vAlign w:val="bottom"/>
            <w:hideMark/>
          </w:tcPr>
          <w:p w14:paraId="50FBA63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1257D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5617CC"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FDBE046" w14:textId="77777777" w:rsidR="00000000" w:rsidRDefault="0053651E">
            <w:pPr>
              <w:ind w:left="360"/>
              <w:jc w:val="right"/>
              <w:rPr>
                <w:rFonts w:eastAsia="Times New Roman"/>
                <w:sz w:val="20"/>
                <w:szCs w:val="20"/>
              </w:rPr>
            </w:pPr>
            <w:r>
              <w:rPr>
                <w:rFonts w:eastAsia="Times New Roman"/>
                <w:sz w:val="20"/>
                <w:szCs w:val="20"/>
              </w:rPr>
              <w:t>2.39</w:t>
            </w:r>
          </w:p>
        </w:tc>
        <w:tc>
          <w:tcPr>
            <w:tcW w:w="50" w:type="pct"/>
            <w:shd w:val="clear" w:color="auto" w:fill="CCEEFF"/>
            <w:vAlign w:val="bottom"/>
            <w:hideMark/>
          </w:tcPr>
          <w:p w14:paraId="1137BE5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28CD79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3744C6"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3562B02" w14:textId="77777777" w:rsidR="00000000" w:rsidRDefault="0053651E">
            <w:pPr>
              <w:ind w:left="360"/>
              <w:jc w:val="right"/>
              <w:rPr>
                <w:rFonts w:eastAsia="Times New Roman"/>
                <w:sz w:val="20"/>
                <w:szCs w:val="20"/>
              </w:rPr>
            </w:pPr>
            <w:r>
              <w:rPr>
                <w:rFonts w:eastAsia="Times New Roman"/>
                <w:sz w:val="20"/>
                <w:szCs w:val="20"/>
              </w:rPr>
              <w:t>1.45</w:t>
            </w:r>
          </w:p>
        </w:tc>
        <w:tc>
          <w:tcPr>
            <w:tcW w:w="50" w:type="pct"/>
            <w:shd w:val="clear" w:color="auto" w:fill="CCEEFF"/>
            <w:vAlign w:val="bottom"/>
            <w:hideMark/>
          </w:tcPr>
          <w:p w14:paraId="0BBCC5B8" w14:textId="77777777" w:rsidR="00000000" w:rsidRDefault="0053651E">
            <w:pPr>
              <w:rPr>
                <w:rFonts w:eastAsia="Times New Roman"/>
                <w:sz w:val="20"/>
                <w:szCs w:val="20"/>
              </w:rPr>
            </w:pPr>
            <w:r>
              <w:rPr>
                <w:rFonts w:eastAsia="Times New Roman"/>
                <w:sz w:val="20"/>
                <w:szCs w:val="20"/>
              </w:rPr>
              <w:t>%</w:t>
            </w:r>
          </w:p>
        </w:tc>
      </w:tr>
      <w:tr w:rsidR="00000000" w14:paraId="67F5BCDB" w14:textId="77777777">
        <w:trPr>
          <w:tblCellSpacing w:w="0" w:type="dxa"/>
        </w:trPr>
        <w:tc>
          <w:tcPr>
            <w:tcW w:w="0" w:type="auto"/>
            <w:shd w:val="clear" w:color="auto" w:fill="FFFFFF"/>
            <w:vAlign w:val="bottom"/>
            <w:hideMark/>
          </w:tcPr>
          <w:p w14:paraId="03A38C82" w14:textId="77777777" w:rsidR="00000000" w:rsidRDefault="0053651E">
            <w:pPr>
              <w:pStyle w:val="a3"/>
              <w:spacing w:before="0" w:beforeAutospacing="0" w:after="0" w:afterAutospacing="0"/>
              <w:rPr>
                <w:sz w:val="20"/>
                <w:szCs w:val="20"/>
              </w:rPr>
            </w:pPr>
            <w:r>
              <w:rPr>
                <w:sz w:val="20"/>
                <w:szCs w:val="20"/>
              </w:rPr>
              <w:t>Volatility (2)</w:t>
            </w:r>
          </w:p>
        </w:tc>
        <w:tc>
          <w:tcPr>
            <w:tcW w:w="50" w:type="pct"/>
            <w:shd w:val="clear" w:color="auto" w:fill="FFFFFF"/>
            <w:vAlign w:val="bottom"/>
            <w:hideMark/>
          </w:tcPr>
          <w:p w14:paraId="3451FF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D09FD1"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68FDE0F" w14:textId="77777777" w:rsidR="00000000" w:rsidRDefault="0053651E">
            <w:pPr>
              <w:ind w:left="360"/>
              <w:jc w:val="right"/>
              <w:rPr>
                <w:rFonts w:eastAsia="Times New Roman"/>
                <w:sz w:val="20"/>
                <w:szCs w:val="20"/>
              </w:rPr>
            </w:pPr>
            <w:r>
              <w:rPr>
                <w:rFonts w:eastAsia="Times New Roman"/>
                <w:sz w:val="20"/>
                <w:szCs w:val="20"/>
              </w:rPr>
              <w:t>24.55</w:t>
            </w:r>
          </w:p>
        </w:tc>
        <w:tc>
          <w:tcPr>
            <w:tcW w:w="50" w:type="pct"/>
            <w:shd w:val="clear" w:color="auto" w:fill="FFFFFF"/>
            <w:vAlign w:val="bottom"/>
            <w:hideMark/>
          </w:tcPr>
          <w:p w14:paraId="5846A3B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9037B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98283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94B7D6E" w14:textId="77777777" w:rsidR="00000000" w:rsidRDefault="0053651E">
            <w:pPr>
              <w:ind w:left="360"/>
              <w:jc w:val="right"/>
              <w:rPr>
                <w:rFonts w:eastAsia="Times New Roman"/>
                <w:sz w:val="20"/>
                <w:szCs w:val="20"/>
              </w:rPr>
            </w:pPr>
            <w:r>
              <w:rPr>
                <w:rFonts w:eastAsia="Times New Roman"/>
                <w:sz w:val="20"/>
                <w:szCs w:val="20"/>
              </w:rPr>
              <w:t>22.90</w:t>
            </w:r>
          </w:p>
        </w:tc>
        <w:tc>
          <w:tcPr>
            <w:tcW w:w="50" w:type="pct"/>
            <w:shd w:val="clear" w:color="auto" w:fill="FFFFFF"/>
            <w:vAlign w:val="bottom"/>
            <w:hideMark/>
          </w:tcPr>
          <w:p w14:paraId="2017A85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6A136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C59DA2"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53D20C7" w14:textId="77777777" w:rsidR="00000000" w:rsidRDefault="0053651E">
            <w:pPr>
              <w:ind w:left="360"/>
              <w:jc w:val="right"/>
              <w:rPr>
                <w:rFonts w:eastAsia="Times New Roman"/>
                <w:sz w:val="20"/>
                <w:szCs w:val="20"/>
              </w:rPr>
            </w:pPr>
            <w:r>
              <w:rPr>
                <w:rFonts w:eastAsia="Times New Roman"/>
                <w:sz w:val="20"/>
                <w:szCs w:val="20"/>
              </w:rPr>
              <w:t>18.93</w:t>
            </w:r>
          </w:p>
        </w:tc>
        <w:tc>
          <w:tcPr>
            <w:tcW w:w="50" w:type="pct"/>
            <w:shd w:val="clear" w:color="auto" w:fill="FFFFFF"/>
            <w:vAlign w:val="bottom"/>
            <w:hideMark/>
          </w:tcPr>
          <w:p w14:paraId="151F2C5E" w14:textId="77777777" w:rsidR="00000000" w:rsidRDefault="0053651E">
            <w:pPr>
              <w:rPr>
                <w:rFonts w:eastAsia="Times New Roman"/>
                <w:sz w:val="20"/>
                <w:szCs w:val="20"/>
              </w:rPr>
            </w:pPr>
            <w:r>
              <w:rPr>
                <w:rFonts w:eastAsia="Times New Roman"/>
                <w:sz w:val="20"/>
                <w:szCs w:val="20"/>
              </w:rPr>
              <w:t>%</w:t>
            </w:r>
          </w:p>
        </w:tc>
      </w:tr>
      <w:tr w:rsidR="00000000" w14:paraId="58B21159" w14:textId="77777777">
        <w:trPr>
          <w:tblCellSpacing w:w="0" w:type="dxa"/>
        </w:trPr>
        <w:tc>
          <w:tcPr>
            <w:tcW w:w="0" w:type="auto"/>
            <w:shd w:val="clear" w:color="auto" w:fill="CCEEFF"/>
            <w:vAlign w:val="bottom"/>
            <w:hideMark/>
          </w:tcPr>
          <w:p w14:paraId="595B0BED" w14:textId="77777777" w:rsidR="00000000" w:rsidRDefault="0053651E">
            <w:pPr>
              <w:pStyle w:val="a3"/>
              <w:spacing w:before="0" w:beforeAutospacing="0" w:after="0" w:afterAutospacing="0"/>
              <w:rPr>
                <w:sz w:val="20"/>
                <w:szCs w:val="20"/>
              </w:rPr>
            </w:pPr>
            <w:r>
              <w:rPr>
                <w:sz w:val="20"/>
                <w:szCs w:val="20"/>
              </w:rPr>
              <w:t>Term of the award (years)</w:t>
            </w:r>
          </w:p>
        </w:tc>
        <w:tc>
          <w:tcPr>
            <w:tcW w:w="50" w:type="pct"/>
            <w:shd w:val="clear" w:color="auto" w:fill="CCEEFF"/>
            <w:vAlign w:val="bottom"/>
            <w:hideMark/>
          </w:tcPr>
          <w:p w14:paraId="14E572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5E7000"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EFB9826" w14:textId="77777777" w:rsidR="00000000" w:rsidRDefault="0053651E">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14:paraId="7508D6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0982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EBBB87"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08607C8" w14:textId="77777777" w:rsidR="00000000" w:rsidRDefault="0053651E">
            <w:pPr>
              <w:jc w:val="right"/>
              <w:rPr>
                <w:rFonts w:eastAsia="Times New Roman"/>
                <w:sz w:val="20"/>
                <w:szCs w:val="20"/>
              </w:rPr>
            </w:pPr>
            <w:r>
              <w:rPr>
                <w:rFonts w:eastAsia="Times New Roman"/>
                <w:sz w:val="20"/>
                <w:szCs w:val="20"/>
              </w:rPr>
              <w:t>2.85</w:t>
            </w:r>
          </w:p>
        </w:tc>
        <w:tc>
          <w:tcPr>
            <w:tcW w:w="50" w:type="pct"/>
            <w:shd w:val="clear" w:color="auto" w:fill="CCEEFF"/>
            <w:vAlign w:val="bottom"/>
            <w:hideMark/>
          </w:tcPr>
          <w:p w14:paraId="50E540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D6F5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A298F"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CCEEFF"/>
            <w:vAlign w:val="bottom"/>
            <w:hideMark/>
          </w:tcPr>
          <w:p w14:paraId="0F392766" w14:textId="77777777" w:rsidR="00000000" w:rsidRDefault="0053651E">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14:paraId="1EA91C5E" w14:textId="77777777" w:rsidR="00000000" w:rsidRDefault="0053651E">
            <w:pPr>
              <w:rPr>
                <w:rFonts w:eastAsia="Times New Roman"/>
                <w:sz w:val="20"/>
                <w:szCs w:val="20"/>
              </w:rPr>
            </w:pPr>
            <w:r>
              <w:rPr>
                <w:rFonts w:eastAsia="Times New Roman"/>
                <w:sz w:val="20"/>
                <w:szCs w:val="20"/>
              </w:rPr>
              <w:t> </w:t>
            </w:r>
          </w:p>
        </w:tc>
      </w:tr>
    </w:tbl>
    <w:p w14:paraId="42505CF2" w14:textId="77777777" w:rsidR="00000000" w:rsidRDefault="0053651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BE87CDA" w14:textId="77777777">
        <w:trPr>
          <w:tblCellSpacing w:w="0" w:type="dxa"/>
        </w:trPr>
        <w:tc>
          <w:tcPr>
            <w:tcW w:w="360" w:type="dxa"/>
            <w:hideMark/>
          </w:tcPr>
          <w:p w14:paraId="200A930C"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50B7F2BF" w14:textId="77777777" w:rsidR="00000000" w:rsidRDefault="0053651E">
            <w:pPr>
              <w:pStyle w:val="a3"/>
              <w:spacing w:before="0" w:beforeAutospacing="0" w:after="0" w:afterAutospacing="0"/>
              <w:jc w:val="both"/>
              <w:rPr>
                <w:sz w:val="20"/>
                <w:szCs w:val="20"/>
              </w:rPr>
            </w:pPr>
            <w:r>
              <w:rPr>
                <w:sz w:val="20"/>
                <w:szCs w:val="20"/>
              </w:rPr>
              <w:t>Total Shareholder Returns, as used in the performance share awards computation, are measured based on cumulative dividend stock prices, as such a</w:t>
            </w:r>
            <w:r>
              <w:rPr>
                <w:sz w:val="20"/>
                <w:szCs w:val="20"/>
              </w:rPr>
              <w:t xml:space="preserve"> </w:t>
            </w:r>
            <w:r>
              <w:rPr>
                <w:sz w:val="20"/>
                <w:szCs w:val="20"/>
              </w:rPr>
              <w:t>zer</w:t>
            </w:r>
            <w:r>
              <w:rPr>
                <w:sz w:val="20"/>
                <w:szCs w:val="20"/>
              </w:rPr>
              <w:t>o</w:t>
            </w:r>
            <w:r>
              <w:rPr>
                <w:sz w:val="20"/>
                <w:szCs w:val="20"/>
              </w:rPr>
              <w:t xml:space="preserve"> percent dividend yield is utilized.</w:t>
            </w:r>
          </w:p>
        </w:tc>
      </w:tr>
    </w:tbl>
    <w:p w14:paraId="610A8D8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8195F65" w14:textId="77777777">
        <w:trPr>
          <w:tblCellSpacing w:w="0" w:type="dxa"/>
        </w:trPr>
        <w:tc>
          <w:tcPr>
            <w:tcW w:w="360" w:type="dxa"/>
            <w:hideMark/>
          </w:tcPr>
          <w:p w14:paraId="6CE3BE04"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77FDA113" w14:textId="77777777" w:rsidR="00000000" w:rsidRDefault="0053651E">
            <w:pPr>
              <w:pStyle w:val="a3"/>
              <w:spacing w:before="0" w:beforeAutospacing="0" w:after="0" w:afterAutospacing="0"/>
              <w:jc w:val="both"/>
              <w:rPr>
                <w:sz w:val="20"/>
                <w:szCs w:val="20"/>
              </w:rPr>
            </w:pPr>
            <w:r>
              <w:rPr>
                <w:sz w:val="20"/>
                <w:szCs w:val="20"/>
              </w:rPr>
              <w:t>Volatility is based on the annualized standard deviation of the daily logarithmic returns on dividend-adjusted closing prices over the look-back period based on the term of the award.</w:t>
            </w:r>
          </w:p>
        </w:tc>
      </w:tr>
    </w:tbl>
    <w:p w14:paraId="606D8B84" w14:textId="77777777" w:rsidR="00000000" w:rsidRDefault="0053651E">
      <w:pPr>
        <w:pStyle w:val="a3"/>
        <w:spacing w:before="0" w:beforeAutospacing="0" w:after="0" w:afterAutospacing="0"/>
        <w:ind w:left="720"/>
        <w:jc w:val="both"/>
        <w:rPr>
          <w:sz w:val="20"/>
          <w:szCs w:val="20"/>
        </w:rPr>
      </w:pPr>
      <w:r>
        <w:rPr>
          <w:i/>
          <w:iCs/>
          <w:sz w:val="20"/>
          <w:szCs w:val="20"/>
        </w:rPr>
        <w:t> </w:t>
      </w:r>
    </w:p>
    <w:p w14:paraId="658E4162" w14:textId="77777777" w:rsidR="00000000" w:rsidRDefault="0053651E">
      <w:pPr>
        <w:jc w:val="center"/>
        <w:divId w:val="307708358"/>
        <w:rPr>
          <w:rFonts w:eastAsia="Times New Roman"/>
          <w:sz w:val="20"/>
          <w:szCs w:val="20"/>
        </w:rPr>
      </w:pPr>
      <w:r>
        <w:rPr>
          <w:rStyle w:val="a6"/>
          <w:rFonts w:eastAsia="Times New Roman"/>
          <w:i w:val="0"/>
          <w:iCs w:val="0"/>
          <w:sz w:val="20"/>
          <w:szCs w:val="20"/>
        </w:rPr>
        <w:t>80</w:t>
      </w:r>
      <w:r>
        <w:rPr>
          <w:rFonts w:eastAsia="Times New Roman"/>
          <w:sz w:val="20"/>
          <w:szCs w:val="20"/>
        </w:rPr>
        <w:t xml:space="preserve"> </w:t>
      </w:r>
    </w:p>
    <w:p w14:paraId="1D6F452A" w14:textId="77777777" w:rsidR="00000000" w:rsidRDefault="0053651E">
      <w:pPr>
        <w:divId w:val="307708358"/>
        <w:rPr>
          <w:rFonts w:eastAsia="Times New Roman"/>
          <w:sz w:val="20"/>
          <w:szCs w:val="20"/>
        </w:rPr>
      </w:pPr>
      <w:r>
        <w:rPr>
          <w:rFonts w:eastAsia="Times New Roman"/>
          <w:sz w:val="20"/>
          <w:szCs w:val="20"/>
        </w:rPr>
        <w:pict w14:anchorId="51229586">
          <v:rect id="_x0000_i1111" style="width:415.3pt;height:1.5pt" o:hralign="center" o:hrstd="t" o:hrnoshade="t" o:hr="t" fillcolor="black" stroked="f"/>
        </w:pict>
      </w:r>
    </w:p>
    <w:p w14:paraId="50BD19B3" w14:textId="77777777" w:rsidR="00000000" w:rsidRDefault="0053651E">
      <w:pPr>
        <w:divId w:val="3077083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8FBFC6" w14:textId="77777777" w:rsidR="00000000" w:rsidRDefault="0053651E">
      <w:pPr>
        <w:pStyle w:val="a3"/>
        <w:spacing w:before="0" w:beforeAutospacing="0" w:after="0" w:afterAutospacing="0"/>
        <w:rPr>
          <w:sz w:val="20"/>
          <w:szCs w:val="20"/>
        </w:rPr>
      </w:pPr>
      <w:r>
        <w:rPr>
          <w:sz w:val="20"/>
          <w:szCs w:val="20"/>
        </w:rPr>
        <w:t> </w:t>
      </w:r>
    </w:p>
    <w:p w14:paraId="02BCB6F2"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1CC3153E" w14:textId="77777777" w:rsidR="00000000" w:rsidRDefault="0053651E">
      <w:pPr>
        <w:pStyle w:val="a3"/>
        <w:spacing w:before="0" w:beforeAutospacing="0" w:after="0" w:afterAutospacing="0"/>
        <w:jc w:val="center"/>
        <w:rPr>
          <w:sz w:val="20"/>
          <w:szCs w:val="20"/>
        </w:rPr>
      </w:pPr>
      <w:r>
        <w:rPr>
          <w:sz w:val="20"/>
          <w:szCs w:val="20"/>
        </w:rPr>
        <w:t> </w:t>
      </w:r>
    </w:p>
    <w:p w14:paraId="0312BAC3"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00937DC2" w14:textId="77777777" w:rsidR="00000000" w:rsidRDefault="0053651E">
      <w:pPr>
        <w:pStyle w:val="a3"/>
        <w:spacing w:before="0" w:beforeAutospacing="0" w:after="0" w:afterAutospacing="0"/>
        <w:rPr>
          <w:sz w:val="20"/>
          <w:szCs w:val="20"/>
        </w:rPr>
      </w:pPr>
      <w:r>
        <w:rPr>
          <w:sz w:val="20"/>
          <w:szCs w:val="20"/>
        </w:rPr>
        <w:t> </w:t>
      </w:r>
    </w:p>
    <w:p w14:paraId="354C2C12" w14:textId="77777777" w:rsidR="00000000" w:rsidRDefault="0053651E">
      <w:pPr>
        <w:pStyle w:val="a3"/>
        <w:spacing w:before="0" w:beforeAutospacing="0" w:after="0" w:afterAutospacing="0"/>
        <w:ind w:left="360"/>
        <w:jc w:val="both"/>
        <w:rPr>
          <w:sz w:val="20"/>
          <w:szCs w:val="20"/>
        </w:rPr>
      </w:pPr>
      <w:r>
        <w:rPr>
          <w:i/>
          <w:iCs/>
          <w:sz w:val="20"/>
          <w:szCs w:val="20"/>
        </w:rPr>
        <w:t>Other</w:t>
      </w:r>
    </w:p>
    <w:p w14:paraId="4643844A" w14:textId="77777777" w:rsidR="00000000" w:rsidRDefault="0053651E">
      <w:pPr>
        <w:pStyle w:val="a3"/>
        <w:spacing w:before="0" w:beforeAutospacing="0" w:after="0" w:afterAutospacing="0"/>
        <w:ind w:left="360"/>
        <w:jc w:val="both"/>
        <w:rPr>
          <w:sz w:val="20"/>
          <w:szCs w:val="20"/>
        </w:rPr>
      </w:pPr>
      <w:r>
        <w:rPr>
          <w:sz w:val="20"/>
          <w:szCs w:val="20"/>
        </w:rPr>
        <w:t> </w:t>
      </w:r>
    </w:p>
    <w:p w14:paraId="2736E074" w14:textId="77777777" w:rsidR="00000000" w:rsidRDefault="0053651E">
      <w:pPr>
        <w:pStyle w:val="a3"/>
        <w:spacing w:before="0" w:beforeAutospacing="0" w:after="0" w:afterAutospacing="0"/>
        <w:ind w:left="360"/>
        <w:jc w:val="both"/>
        <w:rPr>
          <w:sz w:val="20"/>
          <w:szCs w:val="20"/>
        </w:rPr>
      </w:pPr>
      <w:r>
        <w:rPr>
          <w:sz w:val="20"/>
          <w:szCs w:val="20"/>
        </w:rPr>
        <w:t>The Company maintains a</w:t>
      </w:r>
      <w:r>
        <w:rPr>
          <w:sz w:val="20"/>
          <w:szCs w:val="20"/>
        </w:rPr>
        <w:t xml:space="preserve"> </w:t>
      </w:r>
      <w:r>
        <w:rPr>
          <w:rStyle w:val="a6"/>
          <w:i w:val="0"/>
          <w:iCs w:val="0"/>
          <w:sz w:val="20"/>
          <w:szCs w:val="20"/>
        </w:rPr>
        <w:t>401</w:t>
      </w:r>
      <w:r>
        <w:rPr>
          <w:sz w:val="20"/>
          <w:szCs w:val="20"/>
        </w:rPr>
        <w:t>(k)-retirement plan covering substantially all officers and employees, which permits participants to defer up to the maximum allowable amount determined by the Internal Revenue Service of their eligible compensation. This deferred compensation, together wi</w:t>
      </w:r>
      <w:r>
        <w:rPr>
          <w:sz w:val="20"/>
          <w:szCs w:val="20"/>
        </w:rPr>
        <w:t>th Company matching contributions, which generally equal employee deferrals up to a maximum of 5% of their eligible compensation, is fully vested and funded as of</w:t>
      </w:r>
      <w:r>
        <w:rPr>
          <w:sz w:val="20"/>
          <w:szCs w:val="20"/>
        </w:rPr>
        <w:t xml:space="preserve"> </w:t>
      </w:r>
      <w:r>
        <w:rPr>
          <w:rStyle w:val="a6"/>
          <w:i w:val="0"/>
          <w:iCs w:val="0"/>
          <w:sz w:val="20"/>
          <w:szCs w:val="20"/>
        </w:rPr>
        <w:t xml:space="preserve">December 31, 2019. </w:t>
      </w:r>
      <w:r>
        <w:rPr>
          <w:sz w:val="20"/>
          <w:szCs w:val="20"/>
        </w:rPr>
        <w:t>The Company’s contributions to the plan were $2.2 million, $2.2 million an</w:t>
      </w:r>
      <w:r>
        <w:rPr>
          <w:sz w:val="20"/>
          <w:szCs w:val="20"/>
        </w:rPr>
        <w:t>d $2.1 million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w:t>
      </w:r>
    </w:p>
    <w:p w14:paraId="7F4D863F" w14:textId="77777777" w:rsidR="00000000" w:rsidRDefault="0053651E">
      <w:pPr>
        <w:pStyle w:val="a3"/>
        <w:spacing w:before="0" w:beforeAutospacing="0" w:after="0" w:afterAutospacing="0"/>
        <w:ind w:left="360"/>
        <w:jc w:val="both"/>
        <w:rPr>
          <w:sz w:val="20"/>
          <w:szCs w:val="20"/>
        </w:rPr>
      </w:pPr>
      <w:r>
        <w:rPr>
          <w:sz w:val="20"/>
          <w:szCs w:val="20"/>
        </w:rPr>
        <w:t> </w:t>
      </w:r>
    </w:p>
    <w:p w14:paraId="5C24235C" w14:textId="77777777" w:rsidR="00000000" w:rsidRDefault="0053651E">
      <w:pPr>
        <w:pStyle w:val="a3"/>
        <w:spacing w:before="0" w:beforeAutospacing="0" w:after="0" w:afterAutospacing="0"/>
        <w:ind w:left="360"/>
        <w:jc w:val="both"/>
        <w:rPr>
          <w:sz w:val="20"/>
          <w:szCs w:val="20"/>
        </w:rPr>
      </w:pPr>
      <w:r>
        <w:rPr>
          <w:sz w:val="20"/>
          <w:szCs w:val="20"/>
        </w:rPr>
        <w:t>The Company recognized severance costs associated with employee terminations during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of $2.6 million, $3.8 million and $5.</w:t>
      </w:r>
      <w:r>
        <w:rPr>
          <w:sz w:val="20"/>
          <w:szCs w:val="20"/>
        </w:rPr>
        <w:t>5 million, respectively.</w:t>
      </w:r>
    </w:p>
    <w:p w14:paraId="716D5FA7" w14:textId="77777777" w:rsidR="00000000" w:rsidRDefault="0053651E">
      <w:pPr>
        <w:pStyle w:val="a3"/>
        <w:spacing w:before="0" w:beforeAutospacing="0" w:after="0" w:afterAutospacing="0"/>
        <w:ind w:left="360"/>
        <w:jc w:val="both"/>
        <w:rPr>
          <w:sz w:val="20"/>
          <w:szCs w:val="20"/>
        </w:rPr>
      </w:pPr>
      <w:r>
        <w:rPr>
          <w:sz w:val="20"/>
          <w:szCs w:val="20"/>
        </w:rPr>
        <w:t> </w:t>
      </w:r>
    </w:p>
    <w:p w14:paraId="0BFB84B4" w14:textId="77777777" w:rsidR="00000000" w:rsidRDefault="0053651E">
      <w:pPr>
        <w:divId w:val="1805347085"/>
        <w:rPr>
          <w:rFonts w:eastAsia="Times New Roman"/>
          <w:sz w:val="20"/>
          <w:szCs w:val="20"/>
        </w:rPr>
      </w:pPr>
      <w:r>
        <w:rPr>
          <w:rFonts w:eastAsia="Times New Roman"/>
          <w:sz w:val="20"/>
          <w:szCs w:val="20"/>
        </w:rPr>
        <w:t xml:space="preserve">  </w:t>
      </w:r>
    </w:p>
    <w:p w14:paraId="4B1EAAC2" w14:textId="77777777" w:rsidR="00000000" w:rsidRDefault="0053651E">
      <w:pPr>
        <w:pStyle w:val="a3"/>
        <w:spacing w:before="0" w:beforeAutospacing="0" w:after="0" w:afterAutospacing="0"/>
        <w:rPr>
          <w:sz w:val="20"/>
          <w:szCs w:val="20"/>
        </w:rPr>
      </w:pPr>
      <w:r>
        <w:rPr>
          <w:rStyle w:val="a6"/>
          <w:i w:val="0"/>
          <w:iCs w:val="0"/>
          <w:sz w:val="20"/>
          <w:szCs w:val="20"/>
        </w:rPr>
        <w:t>21.</w:t>
      </w:r>
      <w:r>
        <w:rPr>
          <w:sz w:val="20"/>
          <w:szCs w:val="20"/>
        </w:rPr>
        <w:t>  </w:t>
      </w:r>
      <w:r>
        <w:rPr>
          <w:sz w:val="20"/>
          <w:szCs w:val="20"/>
          <w:u w:val="single"/>
        </w:rPr>
        <w:t>Income Taxes</w:t>
      </w:r>
      <w:r>
        <w:rPr>
          <w:sz w:val="20"/>
          <w:szCs w:val="20"/>
        </w:rPr>
        <w:t>:</w:t>
      </w:r>
    </w:p>
    <w:p w14:paraId="7289A53F" w14:textId="77777777" w:rsidR="00000000" w:rsidRDefault="0053651E">
      <w:pPr>
        <w:pStyle w:val="a3"/>
        <w:spacing w:before="0" w:beforeAutospacing="0" w:after="0" w:afterAutospacing="0"/>
        <w:ind w:left="360"/>
        <w:jc w:val="both"/>
        <w:rPr>
          <w:sz w:val="20"/>
          <w:szCs w:val="20"/>
        </w:rPr>
      </w:pPr>
      <w:r>
        <w:rPr>
          <w:sz w:val="20"/>
          <w:szCs w:val="20"/>
        </w:rPr>
        <w:t> </w:t>
      </w:r>
    </w:p>
    <w:p w14:paraId="25955ABF" w14:textId="77777777" w:rsidR="00000000" w:rsidRDefault="0053651E">
      <w:pPr>
        <w:pStyle w:val="a3"/>
        <w:spacing w:before="0" w:beforeAutospacing="0" w:after="0" w:afterAutospacing="0"/>
        <w:ind w:left="360"/>
        <w:jc w:val="both"/>
        <w:rPr>
          <w:sz w:val="20"/>
          <w:szCs w:val="20"/>
        </w:rPr>
      </w:pPr>
      <w:r>
        <w:rPr>
          <w:sz w:val="20"/>
          <w:szCs w:val="20"/>
        </w:rPr>
        <w:t>The Company elected to qualify as a REIT in accordance with the Code commencing with its taxable year which began</w:t>
      </w:r>
      <w:r>
        <w:rPr>
          <w:sz w:val="20"/>
          <w:szCs w:val="20"/>
        </w:rPr>
        <w:t xml:space="preserve"> </w:t>
      </w:r>
      <w:r>
        <w:rPr>
          <w:rStyle w:val="a6"/>
          <w:i w:val="0"/>
          <w:iCs w:val="0"/>
          <w:sz w:val="20"/>
          <w:szCs w:val="20"/>
        </w:rPr>
        <w:t xml:space="preserve">January 1, 1992. </w:t>
      </w:r>
      <w:r>
        <w:rPr>
          <w:sz w:val="20"/>
          <w:szCs w:val="20"/>
        </w:rPr>
        <w:t>To qualify as a REIT, the Company must meet several organizational and ope</w:t>
      </w:r>
      <w:r>
        <w:rPr>
          <w:sz w:val="20"/>
          <w:szCs w:val="20"/>
        </w:rPr>
        <w:t>rational requirements, including a requirement that it currently distribute at least 90% of its REIT taxable income to its stockholders. Management intends to adhere to these requirements and maintain the Company’s REIT status. As a REIT, the Company gener</w:t>
      </w:r>
      <w:r>
        <w:rPr>
          <w:sz w:val="20"/>
          <w:szCs w:val="20"/>
        </w:rPr>
        <w:t>ally will</w:t>
      </w:r>
      <w:r>
        <w:rPr>
          <w:sz w:val="20"/>
          <w:szCs w:val="20"/>
        </w:rPr>
        <w:t xml:space="preserve"> </w:t>
      </w:r>
      <w:r>
        <w:rPr>
          <w:rStyle w:val="a6"/>
          <w:i w:val="0"/>
          <w:iCs w:val="0"/>
          <w:sz w:val="20"/>
          <w:szCs w:val="20"/>
        </w:rPr>
        <w:t>not</w:t>
      </w:r>
      <w:r>
        <w:rPr>
          <w:sz w:val="20"/>
          <w:szCs w:val="20"/>
        </w:rPr>
        <w:t xml:space="preserve"> be subject to corporate federal income tax, provided that dividends to its stockholders equal at least the amount of its REIT taxable income. If the Company failed to qualify as a REIT in any taxable year, it would be subject to federal incom</w:t>
      </w:r>
      <w:r>
        <w:rPr>
          <w:sz w:val="20"/>
          <w:szCs w:val="20"/>
        </w:rPr>
        <w:t>e taxes at regular corporate rates (including any applicable alternative minimum tax) and</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be permitted to elect REIT status for</w:t>
      </w:r>
      <w:r>
        <w:rPr>
          <w:sz w:val="20"/>
          <w:szCs w:val="20"/>
        </w:rPr>
        <w:t xml:space="preserve"> </w:t>
      </w:r>
      <w:r>
        <w:rPr>
          <w:rStyle w:val="a6"/>
          <w:i w:val="0"/>
          <w:iCs w:val="0"/>
          <w:sz w:val="20"/>
          <w:szCs w:val="20"/>
        </w:rPr>
        <w:t>four</w:t>
      </w:r>
      <w:r>
        <w:rPr>
          <w:sz w:val="20"/>
          <w:szCs w:val="20"/>
        </w:rPr>
        <w:t xml:space="preserve"> </w:t>
      </w:r>
      <w:r>
        <w:rPr>
          <w:sz w:val="20"/>
          <w:szCs w:val="20"/>
        </w:rPr>
        <w:t>subsequent taxable years. Even if the Company qualifies for taxation as a REIT, the Company is subject to certain state and local taxes on its income and property, and federal income and excise taxes on its undistributed taxable income. In addition, taxabl</w:t>
      </w:r>
      <w:r>
        <w:rPr>
          <w:sz w:val="20"/>
          <w:szCs w:val="20"/>
        </w:rPr>
        <w:t>e income from non-REIT activities managed through TRSs is subject to federal, state and local income taxes. The Company is also subject to local taxes on certain non-U.S. investments.</w:t>
      </w:r>
    </w:p>
    <w:p w14:paraId="6DC72AC6" w14:textId="77777777" w:rsidR="00000000" w:rsidRDefault="0053651E">
      <w:pPr>
        <w:pStyle w:val="a3"/>
        <w:spacing w:before="0" w:beforeAutospacing="0" w:after="0" w:afterAutospacing="0"/>
        <w:ind w:left="360"/>
        <w:jc w:val="both"/>
        <w:rPr>
          <w:sz w:val="20"/>
          <w:szCs w:val="20"/>
        </w:rPr>
      </w:pPr>
      <w:r>
        <w:rPr>
          <w:sz w:val="20"/>
          <w:szCs w:val="20"/>
        </w:rPr>
        <w:t> </w:t>
      </w:r>
    </w:p>
    <w:p w14:paraId="0CC0E286" w14:textId="77777777" w:rsidR="00000000" w:rsidRDefault="0053651E">
      <w:pPr>
        <w:pStyle w:val="a3"/>
        <w:spacing w:before="0" w:beforeAutospacing="0" w:after="0" w:afterAutospacing="0"/>
        <w:ind w:left="360"/>
        <w:rPr>
          <w:sz w:val="20"/>
          <w:szCs w:val="20"/>
        </w:rPr>
      </w:pPr>
      <w:r>
        <w:rPr>
          <w:i/>
          <w:iCs/>
          <w:sz w:val="20"/>
          <w:szCs w:val="20"/>
        </w:rPr>
        <w:t>Reconciliation between GAAP Net Income and Federal Taxable Income</w:t>
      </w:r>
    </w:p>
    <w:p w14:paraId="5EBED411" w14:textId="77777777" w:rsidR="00000000" w:rsidRDefault="0053651E">
      <w:pPr>
        <w:pStyle w:val="a3"/>
        <w:spacing w:before="0" w:beforeAutospacing="0" w:after="0" w:afterAutospacing="0"/>
        <w:ind w:left="360"/>
        <w:jc w:val="both"/>
        <w:rPr>
          <w:sz w:val="20"/>
          <w:szCs w:val="20"/>
        </w:rPr>
      </w:pPr>
      <w:r>
        <w:rPr>
          <w:sz w:val="20"/>
          <w:szCs w:val="20"/>
        </w:rPr>
        <w:t> </w:t>
      </w:r>
    </w:p>
    <w:p w14:paraId="59DA8284" w14:textId="77777777" w:rsidR="00000000" w:rsidRDefault="0053651E">
      <w:pPr>
        <w:pStyle w:val="a3"/>
        <w:spacing w:before="0" w:beforeAutospacing="0" w:after="0" w:afterAutospacing="0"/>
        <w:ind w:left="360"/>
        <w:jc w:val="both"/>
        <w:rPr>
          <w:sz w:val="20"/>
          <w:szCs w:val="20"/>
        </w:rPr>
      </w:pPr>
      <w:r>
        <w:rPr>
          <w:sz w:val="20"/>
          <w:szCs w:val="20"/>
        </w:rPr>
        <w:t>Th</w:t>
      </w:r>
      <w:r>
        <w:rPr>
          <w:sz w:val="20"/>
          <w:szCs w:val="20"/>
        </w:rPr>
        <w:t>e following table reconciles GAAP net income to taxable income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(in thousands):</w:t>
      </w:r>
    </w:p>
    <w:p w14:paraId="2ECDE2D6"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2"/>
        <w:gridCol w:w="78"/>
        <w:gridCol w:w="78"/>
        <w:gridCol w:w="100"/>
        <w:gridCol w:w="992"/>
        <w:gridCol w:w="78"/>
        <w:gridCol w:w="78"/>
        <w:gridCol w:w="100"/>
        <w:gridCol w:w="992"/>
        <w:gridCol w:w="78"/>
      </w:tblGrid>
      <w:tr w:rsidR="00000000" w14:paraId="4BDF70BB" w14:textId="77777777">
        <w:trPr>
          <w:tblCellSpacing w:w="0" w:type="dxa"/>
        </w:trPr>
        <w:tc>
          <w:tcPr>
            <w:tcW w:w="0" w:type="auto"/>
            <w:vAlign w:val="bottom"/>
            <w:hideMark/>
          </w:tcPr>
          <w:p w14:paraId="2B84004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20ADFFD" w14:textId="77777777" w:rsidR="00000000" w:rsidRDefault="0053651E">
            <w:pPr>
              <w:rPr>
                <w:rFonts w:eastAsia="Times New Roman"/>
                <w:sz w:val="20"/>
                <w:szCs w:val="20"/>
              </w:rPr>
            </w:pPr>
            <w:r>
              <w:rPr>
                <w:rFonts w:eastAsia="Times New Roman"/>
                <w:sz w:val="20"/>
                <w:szCs w:val="20"/>
              </w:rPr>
              <w:t> </w:t>
            </w:r>
          </w:p>
        </w:tc>
        <w:tc>
          <w:tcPr>
            <w:tcW w:w="0" w:type="auto"/>
            <w:gridSpan w:val="2"/>
            <w:vAlign w:val="bottom"/>
            <w:hideMark/>
          </w:tcPr>
          <w:p w14:paraId="763F919F"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vAlign w:val="bottom"/>
            <w:hideMark/>
          </w:tcPr>
          <w:p w14:paraId="7FC2811D"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3E02C25" w14:textId="77777777" w:rsidR="00000000" w:rsidRDefault="0053651E">
            <w:pPr>
              <w:rPr>
                <w:rFonts w:eastAsia="Times New Roman"/>
                <w:sz w:val="20"/>
                <w:szCs w:val="20"/>
              </w:rPr>
            </w:pPr>
            <w:r>
              <w:rPr>
                <w:rFonts w:eastAsia="Times New Roman"/>
                <w:sz w:val="20"/>
                <w:szCs w:val="20"/>
              </w:rPr>
              <w:t> </w:t>
            </w:r>
          </w:p>
        </w:tc>
        <w:tc>
          <w:tcPr>
            <w:tcW w:w="0" w:type="auto"/>
            <w:gridSpan w:val="2"/>
            <w:vAlign w:val="bottom"/>
            <w:hideMark/>
          </w:tcPr>
          <w:p w14:paraId="2A0A75F6"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vAlign w:val="bottom"/>
            <w:hideMark/>
          </w:tcPr>
          <w:p w14:paraId="6E5C352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26F403A" w14:textId="77777777" w:rsidR="00000000" w:rsidRDefault="0053651E">
            <w:pPr>
              <w:rPr>
                <w:rFonts w:eastAsia="Times New Roman"/>
                <w:sz w:val="20"/>
                <w:szCs w:val="20"/>
              </w:rPr>
            </w:pPr>
            <w:r>
              <w:rPr>
                <w:rFonts w:eastAsia="Times New Roman"/>
                <w:sz w:val="20"/>
                <w:szCs w:val="20"/>
              </w:rPr>
              <w:t> </w:t>
            </w:r>
          </w:p>
        </w:tc>
        <w:tc>
          <w:tcPr>
            <w:tcW w:w="0" w:type="auto"/>
            <w:gridSpan w:val="2"/>
            <w:vAlign w:val="bottom"/>
            <w:hideMark/>
          </w:tcPr>
          <w:p w14:paraId="60FFDA0B"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vAlign w:val="bottom"/>
            <w:hideMark/>
          </w:tcPr>
          <w:p w14:paraId="525CC431" w14:textId="77777777" w:rsidR="00000000" w:rsidRDefault="0053651E">
            <w:pPr>
              <w:rPr>
                <w:rFonts w:eastAsia="Times New Roman"/>
                <w:sz w:val="20"/>
                <w:szCs w:val="20"/>
              </w:rPr>
            </w:pPr>
            <w:r>
              <w:rPr>
                <w:rFonts w:eastAsia="Times New Roman"/>
                <w:sz w:val="20"/>
                <w:szCs w:val="20"/>
              </w:rPr>
              <w:t> </w:t>
            </w:r>
          </w:p>
        </w:tc>
      </w:tr>
      <w:tr w:rsidR="00000000" w14:paraId="375EBCC6" w14:textId="77777777">
        <w:trPr>
          <w:tblCellSpacing w:w="0" w:type="dxa"/>
        </w:trPr>
        <w:tc>
          <w:tcPr>
            <w:tcW w:w="0" w:type="auto"/>
            <w:vAlign w:val="bottom"/>
            <w:hideMark/>
          </w:tcPr>
          <w:p w14:paraId="55F4831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056A67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3CB5D0" w14:textId="77777777" w:rsidR="00000000" w:rsidRDefault="0053651E">
            <w:pPr>
              <w:pStyle w:val="a3"/>
              <w:spacing w:before="0" w:beforeAutospacing="0" w:after="0" w:afterAutospacing="0"/>
              <w:jc w:val="center"/>
              <w:rPr>
                <w:sz w:val="20"/>
                <w:szCs w:val="20"/>
              </w:rPr>
            </w:pPr>
            <w:r>
              <w:rPr>
                <w:b/>
                <w:bCs/>
                <w:sz w:val="20"/>
                <w:szCs w:val="20"/>
              </w:rPr>
              <w:t>(Estimated)</w:t>
            </w:r>
          </w:p>
        </w:tc>
        <w:tc>
          <w:tcPr>
            <w:tcW w:w="0" w:type="auto"/>
            <w:tcMar>
              <w:top w:w="0" w:type="dxa"/>
              <w:left w:w="0" w:type="dxa"/>
              <w:bottom w:w="15" w:type="dxa"/>
              <w:right w:w="0" w:type="dxa"/>
            </w:tcMar>
            <w:vAlign w:val="bottom"/>
            <w:hideMark/>
          </w:tcPr>
          <w:p w14:paraId="2F17C83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E682BF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6C4C1F" w14:textId="77777777" w:rsidR="00000000" w:rsidRDefault="0053651E">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14:paraId="7EB1187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B04EAA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6AA8C31" w14:textId="77777777" w:rsidR="00000000" w:rsidRDefault="0053651E">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14:paraId="47D0FBF5" w14:textId="77777777" w:rsidR="00000000" w:rsidRDefault="0053651E">
            <w:pPr>
              <w:rPr>
                <w:rFonts w:eastAsia="Times New Roman"/>
                <w:sz w:val="20"/>
                <w:szCs w:val="20"/>
              </w:rPr>
            </w:pPr>
            <w:r>
              <w:rPr>
                <w:rFonts w:eastAsia="Times New Roman"/>
                <w:sz w:val="20"/>
                <w:szCs w:val="20"/>
              </w:rPr>
              <w:t> </w:t>
            </w:r>
          </w:p>
        </w:tc>
      </w:tr>
      <w:tr w:rsidR="00000000" w14:paraId="580DC5C9" w14:textId="77777777">
        <w:trPr>
          <w:tblCellSpacing w:w="0" w:type="dxa"/>
        </w:trPr>
        <w:tc>
          <w:tcPr>
            <w:tcW w:w="2750" w:type="pct"/>
            <w:shd w:val="clear" w:color="auto" w:fill="CCEEFF"/>
            <w:vAlign w:val="bottom"/>
            <w:hideMark/>
          </w:tcPr>
          <w:p w14:paraId="487CB871" w14:textId="77777777" w:rsidR="00000000" w:rsidRDefault="0053651E">
            <w:pPr>
              <w:pStyle w:val="a3"/>
              <w:spacing w:before="0" w:beforeAutospacing="0" w:after="0" w:afterAutospacing="0"/>
              <w:rPr>
                <w:sz w:val="20"/>
                <w:szCs w:val="20"/>
              </w:rPr>
            </w:pPr>
            <w:r>
              <w:rPr>
                <w:sz w:val="20"/>
                <w:szCs w:val="20"/>
              </w:rPr>
              <w:t>GAAP net income attributable to the Company</w:t>
            </w:r>
          </w:p>
        </w:tc>
        <w:tc>
          <w:tcPr>
            <w:tcW w:w="50" w:type="pct"/>
            <w:shd w:val="clear" w:color="auto" w:fill="CCEEFF"/>
            <w:vAlign w:val="bottom"/>
            <w:hideMark/>
          </w:tcPr>
          <w:p w14:paraId="73BCAF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B6E282"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0B1C57FE" w14:textId="77777777" w:rsidR="00000000" w:rsidRDefault="0053651E">
            <w:pPr>
              <w:jc w:val="right"/>
              <w:rPr>
                <w:rFonts w:eastAsia="Times New Roman"/>
                <w:sz w:val="20"/>
                <w:szCs w:val="20"/>
              </w:rPr>
            </w:pPr>
            <w:r>
              <w:rPr>
                <w:rFonts w:eastAsia="Times New Roman"/>
                <w:sz w:val="20"/>
                <w:szCs w:val="20"/>
              </w:rPr>
              <w:t>410,605</w:t>
            </w:r>
          </w:p>
        </w:tc>
        <w:tc>
          <w:tcPr>
            <w:tcW w:w="50" w:type="pct"/>
            <w:shd w:val="clear" w:color="auto" w:fill="CCEEFF"/>
            <w:vAlign w:val="bottom"/>
            <w:hideMark/>
          </w:tcPr>
          <w:p w14:paraId="596858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1EE7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B3307B"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2C57B4ED" w14:textId="77777777" w:rsidR="00000000" w:rsidRDefault="0053651E">
            <w:pPr>
              <w:jc w:val="right"/>
              <w:rPr>
                <w:rFonts w:eastAsia="Times New Roman"/>
                <w:sz w:val="20"/>
                <w:szCs w:val="20"/>
              </w:rPr>
            </w:pPr>
            <w:r>
              <w:rPr>
                <w:rFonts w:eastAsia="Times New Roman"/>
                <w:sz w:val="20"/>
                <w:szCs w:val="20"/>
              </w:rPr>
              <w:t>497,795</w:t>
            </w:r>
          </w:p>
        </w:tc>
        <w:tc>
          <w:tcPr>
            <w:tcW w:w="50" w:type="pct"/>
            <w:shd w:val="clear" w:color="auto" w:fill="CCEEFF"/>
            <w:vAlign w:val="bottom"/>
            <w:hideMark/>
          </w:tcPr>
          <w:p w14:paraId="3BC4C4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B581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2F7C7B"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44C77C62" w14:textId="77777777" w:rsidR="00000000" w:rsidRDefault="0053651E">
            <w:pPr>
              <w:jc w:val="right"/>
              <w:rPr>
                <w:rFonts w:eastAsia="Times New Roman"/>
                <w:sz w:val="20"/>
                <w:szCs w:val="20"/>
              </w:rPr>
            </w:pPr>
            <w:r>
              <w:rPr>
                <w:rFonts w:eastAsia="Times New Roman"/>
                <w:sz w:val="20"/>
                <w:szCs w:val="20"/>
              </w:rPr>
              <w:t>426,075</w:t>
            </w:r>
          </w:p>
        </w:tc>
        <w:tc>
          <w:tcPr>
            <w:tcW w:w="50" w:type="pct"/>
            <w:shd w:val="clear" w:color="auto" w:fill="CCEEFF"/>
            <w:vAlign w:val="bottom"/>
            <w:hideMark/>
          </w:tcPr>
          <w:p w14:paraId="33FBA5A0" w14:textId="77777777" w:rsidR="00000000" w:rsidRDefault="0053651E">
            <w:pPr>
              <w:rPr>
                <w:rFonts w:eastAsia="Times New Roman"/>
                <w:sz w:val="20"/>
                <w:szCs w:val="20"/>
              </w:rPr>
            </w:pPr>
            <w:r>
              <w:rPr>
                <w:rFonts w:eastAsia="Times New Roman"/>
                <w:sz w:val="20"/>
                <w:szCs w:val="20"/>
              </w:rPr>
              <w:t> </w:t>
            </w:r>
          </w:p>
        </w:tc>
      </w:tr>
      <w:tr w:rsidR="00000000" w14:paraId="18CAE51E" w14:textId="77777777">
        <w:trPr>
          <w:tblCellSpacing w:w="0" w:type="dxa"/>
        </w:trPr>
        <w:tc>
          <w:tcPr>
            <w:tcW w:w="0" w:type="auto"/>
            <w:shd w:val="clear" w:color="auto" w:fill="FFFFFF"/>
            <w:vAlign w:val="bottom"/>
            <w:hideMark/>
          </w:tcPr>
          <w:p w14:paraId="2369A7FB" w14:textId="77777777" w:rsidR="00000000" w:rsidRDefault="0053651E">
            <w:pPr>
              <w:pStyle w:val="a3"/>
              <w:spacing w:before="0" w:beforeAutospacing="0" w:after="0" w:afterAutospacing="0"/>
              <w:rPr>
                <w:sz w:val="20"/>
                <w:szCs w:val="20"/>
              </w:rPr>
            </w:pPr>
            <w:r>
              <w:rPr>
                <w:sz w:val="20"/>
                <w:szCs w:val="20"/>
              </w:rPr>
              <w:t>GAAP net loss/(income) attributable to TRSs</w:t>
            </w:r>
          </w:p>
        </w:tc>
        <w:tc>
          <w:tcPr>
            <w:tcW w:w="50" w:type="pct"/>
            <w:shd w:val="clear" w:color="auto" w:fill="FFFFFF"/>
            <w:vAlign w:val="bottom"/>
            <w:hideMark/>
          </w:tcPr>
          <w:p w14:paraId="275E1A9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02F7EA7"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91ABE69" w14:textId="77777777" w:rsidR="00000000" w:rsidRDefault="0053651E">
            <w:pPr>
              <w:jc w:val="right"/>
              <w:rPr>
                <w:rFonts w:eastAsia="Times New Roman"/>
                <w:sz w:val="20"/>
                <w:szCs w:val="20"/>
              </w:rPr>
            </w:pPr>
            <w:r>
              <w:rPr>
                <w:rFonts w:eastAsia="Times New Roman"/>
                <w:sz w:val="20"/>
                <w:szCs w:val="20"/>
              </w:rPr>
              <w:t>1,117</w:t>
            </w:r>
          </w:p>
        </w:tc>
        <w:tc>
          <w:tcPr>
            <w:tcW w:w="50" w:type="pct"/>
            <w:shd w:val="clear" w:color="auto" w:fill="FFFFFF"/>
            <w:tcMar>
              <w:top w:w="0" w:type="dxa"/>
              <w:left w:w="0" w:type="dxa"/>
              <w:bottom w:w="15" w:type="dxa"/>
              <w:right w:w="0" w:type="dxa"/>
            </w:tcMar>
            <w:vAlign w:val="bottom"/>
            <w:hideMark/>
          </w:tcPr>
          <w:p w14:paraId="320791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6B361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705FCD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BC0EB8A" w14:textId="77777777" w:rsidR="00000000" w:rsidRDefault="0053651E">
            <w:pPr>
              <w:jc w:val="right"/>
              <w:rPr>
                <w:rFonts w:eastAsia="Times New Roman"/>
                <w:sz w:val="20"/>
                <w:szCs w:val="20"/>
              </w:rPr>
            </w:pPr>
            <w:r>
              <w:rPr>
                <w:rFonts w:eastAsia="Times New Roman"/>
                <w:sz w:val="20"/>
                <w:szCs w:val="20"/>
              </w:rPr>
              <w:t>(2,436</w:t>
            </w:r>
          </w:p>
        </w:tc>
        <w:tc>
          <w:tcPr>
            <w:tcW w:w="50" w:type="pct"/>
            <w:shd w:val="clear" w:color="auto" w:fill="FFFFFF"/>
            <w:tcMar>
              <w:top w:w="0" w:type="dxa"/>
              <w:left w:w="0" w:type="dxa"/>
              <w:bottom w:w="15" w:type="dxa"/>
              <w:right w:w="0" w:type="dxa"/>
            </w:tcMar>
            <w:vAlign w:val="bottom"/>
            <w:hideMark/>
          </w:tcPr>
          <w:p w14:paraId="1318F28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F1C5C3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E0A6E8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13F85B1" w14:textId="77777777" w:rsidR="00000000" w:rsidRDefault="0053651E">
            <w:pPr>
              <w:jc w:val="right"/>
              <w:rPr>
                <w:rFonts w:eastAsia="Times New Roman"/>
                <w:sz w:val="20"/>
                <w:szCs w:val="20"/>
              </w:rPr>
            </w:pPr>
            <w:r>
              <w:rPr>
                <w:rFonts w:eastAsia="Times New Roman"/>
                <w:sz w:val="20"/>
                <w:szCs w:val="20"/>
              </w:rPr>
              <w:t>(12,406</w:t>
            </w:r>
          </w:p>
        </w:tc>
        <w:tc>
          <w:tcPr>
            <w:tcW w:w="50" w:type="pct"/>
            <w:shd w:val="clear" w:color="auto" w:fill="FFFFFF"/>
            <w:tcMar>
              <w:top w:w="0" w:type="dxa"/>
              <w:left w:w="0" w:type="dxa"/>
              <w:bottom w:w="15" w:type="dxa"/>
              <w:right w:w="0" w:type="dxa"/>
            </w:tcMar>
            <w:vAlign w:val="bottom"/>
            <w:hideMark/>
          </w:tcPr>
          <w:p w14:paraId="6CF89DCE" w14:textId="77777777" w:rsidR="00000000" w:rsidRDefault="0053651E">
            <w:pPr>
              <w:rPr>
                <w:rFonts w:eastAsia="Times New Roman"/>
                <w:sz w:val="20"/>
                <w:szCs w:val="20"/>
              </w:rPr>
            </w:pPr>
            <w:r>
              <w:rPr>
                <w:rFonts w:eastAsia="Times New Roman"/>
                <w:sz w:val="20"/>
                <w:szCs w:val="20"/>
              </w:rPr>
              <w:t>)</w:t>
            </w:r>
          </w:p>
        </w:tc>
      </w:tr>
      <w:tr w:rsidR="00000000" w14:paraId="17D8552B" w14:textId="77777777">
        <w:trPr>
          <w:tblCellSpacing w:w="0" w:type="dxa"/>
        </w:trPr>
        <w:tc>
          <w:tcPr>
            <w:tcW w:w="0" w:type="auto"/>
            <w:shd w:val="clear" w:color="auto" w:fill="CCEEFF"/>
            <w:vAlign w:val="bottom"/>
            <w:hideMark/>
          </w:tcPr>
          <w:p w14:paraId="3AC47E59" w14:textId="77777777" w:rsidR="00000000" w:rsidRDefault="0053651E">
            <w:pPr>
              <w:pStyle w:val="a3"/>
              <w:spacing w:before="0" w:beforeAutospacing="0" w:after="0" w:afterAutospacing="0"/>
              <w:rPr>
                <w:sz w:val="20"/>
                <w:szCs w:val="20"/>
              </w:rPr>
            </w:pPr>
            <w:r>
              <w:rPr>
                <w:sz w:val="20"/>
                <w:szCs w:val="20"/>
              </w:rPr>
              <w:t>GAAP net income from REIT operations (1)</w:t>
            </w:r>
          </w:p>
        </w:tc>
        <w:tc>
          <w:tcPr>
            <w:tcW w:w="50" w:type="pct"/>
            <w:shd w:val="clear" w:color="auto" w:fill="CCEEFF"/>
            <w:vAlign w:val="bottom"/>
            <w:hideMark/>
          </w:tcPr>
          <w:p w14:paraId="1F2FFC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095BE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516F578" w14:textId="77777777" w:rsidR="00000000" w:rsidRDefault="0053651E">
            <w:pPr>
              <w:jc w:val="right"/>
              <w:rPr>
                <w:rFonts w:eastAsia="Times New Roman"/>
                <w:sz w:val="20"/>
                <w:szCs w:val="20"/>
              </w:rPr>
            </w:pPr>
            <w:r>
              <w:rPr>
                <w:rFonts w:eastAsia="Times New Roman"/>
                <w:sz w:val="20"/>
                <w:szCs w:val="20"/>
              </w:rPr>
              <w:t>411,722</w:t>
            </w:r>
          </w:p>
        </w:tc>
        <w:tc>
          <w:tcPr>
            <w:tcW w:w="50" w:type="pct"/>
            <w:shd w:val="clear" w:color="auto" w:fill="CCEEFF"/>
            <w:vAlign w:val="bottom"/>
            <w:hideMark/>
          </w:tcPr>
          <w:p w14:paraId="0CD3EC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348B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CFD41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3088A7D" w14:textId="77777777" w:rsidR="00000000" w:rsidRDefault="0053651E">
            <w:pPr>
              <w:jc w:val="right"/>
              <w:rPr>
                <w:rFonts w:eastAsia="Times New Roman"/>
                <w:sz w:val="20"/>
                <w:szCs w:val="20"/>
              </w:rPr>
            </w:pPr>
            <w:r>
              <w:rPr>
                <w:rFonts w:eastAsia="Times New Roman"/>
                <w:sz w:val="20"/>
                <w:szCs w:val="20"/>
              </w:rPr>
              <w:t>495,359</w:t>
            </w:r>
          </w:p>
        </w:tc>
        <w:tc>
          <w:tcPr>
            <w:tcW w:w="50" w:type="pct"/>
            <w:shd w:val="clear" w:color="auto" w:fill="CCEEFF"/>
            <w:vAlign w:val="bottom"/>
            <w:hideMark/>
          </w:tcPr>
          <w:p w14:paraId="09B5BB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DC3D1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1F9A5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6706A99" w14:textId="77777777" w:rsidR="00000000" w:rsidRDefault="0053651E">
            <w:pPr>
              <w:jc w:val="right"/>
              <w:rPr>
                <w:rFonts w:eastAsia="Times New Roman"/>
                <w:sz w:val="20"/>
                <w:szCs w:val="20"/>
              </w:rPr>
            </w:pPr>
            <w:r>
              <w:rPr>
                <w:rFonts w:eastAsia="Times New Roman"/>
                <w:sz w:val="20"/>
                <w:szCs w:val="20"/>
              </w:rPr>
              <w:t>413,669</w:t>
            </w:r>
          </w:p>
        </w:tc>
        <w:tc>
          <w:tcPr>
            <w:tcW w:w="50" w:type="pct"/>
            <w:shd w:val="clear" w:color="auto" w:fill="CCEEFF"/>
            <w:vAlign w:val="bottom"/>
            <w:hideMark/>
          </w:tcPr>
          <w:p w14:paraId="11B64095" w14:textId="77777777" w:rsidR="00000000" w:rsidRDefault="0053651E">
            <w:pPr>
              <w:rPr>
                <w:rFonts w:eastAsia="Times New Roman"/>
                <w:sz w:val="20"/>
                <w:szCs w:val="20"/>
              </w:rPr>
            </w:pPr>
            <w:r>
              <w:rPr>
                <w:rFonts w:eastAsia="Times New Roman"/>
                <w:sz w:val="20"/>
                <w:szCs w:val="20"/>
              </w:rPr>
              <w:t> </w:t>
            </w:r>
          </w:p>
        </w:tc>
      </w:tr>
      <w:tr w:rsidR="00000000" w14:paraId="49FDE237" w14:textId="77777777">
        <w:trPr>
          <w:tblCellSpacing w:w="0" w:type="dxa"/>
        </w:trPr>
        <w:tc>
          <w:tcPr>
            <w:tcW w:w="0" w:type="auto"/>
            <w:shd w:val="clear" w:color="auto" w:fill="FFFFFF"/>
            <w:vAlign w:val="bottom"/>
            <w:hideMark/>
          </w:tcPr>
          <w:p w14:paraId="61481F92" w14:textId="77777777" w:rsidR="00000000" w:rsidRDefault="0053651E">
            <w:pPr>
              <w:pStyle w:val="a3"/>
              <w:spacing w:before="0" w:beforeAutospacing="0" w:after="0" w:afterAutospacing="0"/>
              <w:ind w:left="180"/>
              <w:rPr>
                <w:sz w:val="20"/>
                <w:szCs w:val="20"/>
              </w:rPr>
            </w:pPr>
            <w:r>
              <w:rPr>
                <w:sz w:val="20"/>
                <w:szCs w:val="20"/>
              </w:rPr>
              <w:t>Net book depreciation in excess of tax depreciation</w:t>
            </w:r>
          </w:p>
        </w:tc>
        <w:tc>
          <w:tcPr>
            <w:tcW w:w="50" w:type="pct"/>
            <w:shd w:val="clear" w:color="auto" w:fill="FFFFFF"/>
            <w:vAlign w:val="bottom"/>
            <w:hideMark/>
          </w:tcPr>
          <w:p w14:paraId="26F012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0D6E5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4E6708" w14:textId="77777777" w:rsidR="00000000" w:rsidRDefault="0053651E">
            <w:pPr>
              <w:jc w:val="right"/>
              <w:rPr>
                <w:rFonts w:eastAsia="Times New Roman"/>
                <w:sz w:val="20"/>
                <w:szCs w:val="20"/>
              </w:rPr>
            </w:pPr>
            <w:r>
              <w:rPr>
                <w:rFonts w:eastAsia="Times New Roman"/>
                <w:sz w:val="20"/>
                <w:szCs w:val="20"/>
              </w:rPr>
              <w:t>56,094</w:t>
            </w:r>
          </w:p>
        </w:tc>
        <w:tc>
          <w:tcPr>
            <w:tcW w:w="50" w:type="pct"/>
            <w:shd w:val="clear" w:color="auto" w:fill="FFFFFF"/>
            <w:vAlign w:val="bottom"/>
            <w:hideMark/>
          </w:tcPr>
          <w:p w14:paraId="7BD361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52D2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5C255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D11CE21" w14:textId="77777777" w:rsidR="00000000" w:rsidRDefault="0053651E">
            <w:pPr>
              <w:jc w:val="right"/>
              <w:rPr>
                <w:rFonts w:eastAsia="Times New Roman"/>
                <w:sz w:val="20"/>
                <w:szCs w:val="20"/>
              </w:rPr>
            </w:pPr>
            <w:r>
              <w:rPr>
                <w:rFonts w:eastAsia="Times New Roman"/>
                <w:sz w:val="20"/>
                <w:szCs w:val="20"/>
              </w:rPr>
              <w:t>46,754</w:t>
            </w:r>
          </w:p>
        </w:tc>
        <w:tc>
          <w:tcPr>
            <w:tcW w:w="50" w:type="pct"/>
            <w:shd w:val="clear" w:color="auto" w:fill="FFFFFF"/>
            <w:vAlign w:val="bottom"/>
            <w:hideMark/>
          </w:tcPr>
          <w:p w14:paraId="3F1D99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85C2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8FBB1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0A5D05" w14:textId="77777777" w:rsidR="00000000" w:rsidRDefault="0053651E">
            <w:pPr>
              <w:jc w:val="right"/>
              <w:rPr>
                <w:rFonts w:eastAsia="Times New Roman"/>
                <w:sz w:val="20"/>
                <w:szCs w:val="20"/>
              </w:rPr>
            </w:pPr>
            <w:r>
              <w:rPr>
                <w:rFonts w:eastAsia="Times New Roman"/>
                <w:sz w:val="20"/>
                <w:szCs w:val="20"/>
              </w:rPr>
              <w:t>122,043</w:t>
            </w:r>
          </w:p>
        </w:tc>
        <w:tc>
          <w:tcPr>
            <w:tcW w:w="50" w:type="pct"/>
            <w:shd w:val="clear" w:color="auto" w:fill="FFFFFF"/>
            <w:vAlign w:val="bottom"/>
            <w:hideMark/>
          </w:tcPr>
          <w:p w14:paraId="109F4A9B" w14:textId="77777777" w:rsidR="00000000" w:rsidRDefault="0053651E">
            <w:pPr>
              <w:rPr>
                <w:rFonts w:eastAsia="Times New Roman"/>
                <w:sz w:val="20"/>
                <w:szCs w:val="20"/>
              </w:rPr>
            </w:pPr>
            <w:r>
              <w:rPr>
                <w:rFonts w:eastAsia="Times New Roman"/>
                <w:sz w:val="20"/>
                <w:szCs w:val="20"/>
              </w:rPr>
              <w:t> </w:t>
            </w:r>
          </w:p>
        </w:tc>
      </w:tr>
      <w:tr w:rsidR="00000000" w14:paraId="232F0A81" w14:textId="77777777">
        <w:trPr>
          <w:tblCellSpacing w:w="0" w:type="dxa"/>
        </w:trPr>
        <w:tc>
          <w:tcPr>
            <w:tcW w:w="0" w:type="auto"/>
            <w:shd w:val="clear" w:color="auto" w:fill="CCEEFF"/>
            <w:vAlign w:val="bottom"/>
            <w:hideMark/>
          </w:tcPr>
          <w:p w14:paraId="2BDC43E1" w14:textId="77777777" w:rsidR="00000000" w:rsidRDefault="0053651E">
            <w:pPr>
              <w:pStyle w:val="a3"/>
              <w:spacing w:before="0" w:beforeAutospacing="0" w:after="0" w:afterAutospacing="0"/>
              <w:ind w:left="180"/>
              <w:rPr>
                <w:sz w:val="20"/>
                <w:szCs w:val="20"/>
              </w:rPr>
            </w:pPr>
            <w:r>
              <w:rPr>
                <w:sz w:val="20"/>
                <w:szCs w:val="20"/>
              </w:rPr>
              <w:t>Capitalized leasing/legal commissions</w:t>
            </w:r>
          </w:p>
        </w:tc>
        <w:tc>
          <w:tcPr>
            <w:tcW w:w="50" w:type="pct"/>
            <w:shd w:val="clear" w:color="auto" w:fill="CCEEFF"/>
            <w:vAlign w:val="bottom"/>
            <w:hideMark/>
          </w:tcPr>
          <w:p w14:paraId="3C24D7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77646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53C59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CF39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D028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B7D4D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6E2C4E" w14:textId="77777777" w:rsidR="00000000" w:rsidRDefault="0053651E">
            <w:pPr>
              <w:jc w:val="right"/>
              <w:rPr>
                <w:rFonts w:eastAsia="Times New Roman"/>
                <w:sz w:val="20"/>
                <w:szCs w:val="20"/>
              </w:rPr>
            </w:pPr>
            <w:r>
              <w:rPr>
                <w:rFonts w:eastAsia="Times New Roman"/>
                <w:sz w:val="20"/>
                <w:szCs w:val="20"/>
              </w:rPr>
              <w:t>(15,268</w:t>
            </w:r>
          </w:p>
        </w:tc>
        <w:tc>
          <w:tcPr>
            <w:tcW w:w="50" w:type="pct"/>
            <w:shd w:val="clear" w:color="auto" w:fill="CCEEFF"/>
            <w:vAlign w:val="bottom"/>
            <w:hideMark/>
          </w:tcPr>
          <w:p w14:paraId="03A67625"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40F19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599A9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8CF716" w14:textId="77777777" w:rsidR="00000000" w:rsidRDefault="0053651E">
            <w:pPr>
              <w:jc w:val="right"/>
              <w:rPr>
                <w:rFonts w:eastAsia="Times New Roman"/>
                <w:sz w:val="20"/>
                <w:szCs w:val="20"/>
              </w:rPr>
            </w:pPr>
            <w:r>
              <w:rPr>
                <w:rFonts w:eastAsia="Times New Roman"/>
                <w:sz w:val="20"/>
                <w:szCs w:val="20"/>
              </w:rPr>
              <w:t>(7,102</w:t>
            </w:r>
          </w:p>
        </w:tc>
        <w:tc>
          <w:tcPr>
            <w:tcW w:w="50" w:type="pct"/>
            <w:shd w:val="clear" w:color="auto" w:fill="CCEEFF"/>
            <w:vAlign w:val="bottom"/>
            <w:hideMark/>
          </w:tcPr>
          <w:p w14:paraId="24EFEB9F" w14:textId="77777777" w:rsidR="00000000" w:rsidRDefault="0053651E">
            <w:pPr>
              <w:rPr>
                <w:rFonts w:eastAsia="Times New Roman"/>
                <w:sz w:val="20"/>
                <w:szCs w:val="20"/>
              </w:rPr>
            </w:pPr>
            <w:r>
              <w:rPr>
                <w:rFonts w:eastAsia="Times New Roman"/>
                <w:sz w:val="20"/>
                <w:szCs w:val="20"/>
              </w:rPr>
              <w:t>)</w:t>
            </w:r>
          </w:p>
        </w:tc>
      </w:tr>
      <w:tr w:rsidR="00000000" w14:paraId="54FFA857" w14:textId="77777777">
        <w:trPr>
          <w:tblCellSpacing w:w="0" w:type="dxa"/>
        </w:trPr>
        <w:tc>
          <w:tcPr>
            <w:tcW w:w="0" w:type="auto"/>
            <w:shd w:val="clear" w:color="auto" w:fill="FFFFFF"/>
            <w:vAlign w:val="bottom"/>
            <w:hideMark/>
          </w:tcPr>
          <w:p w14:paraId="5EB2C53D" w14:textId="77777777" w:rsidR="00000000" w:rsidRDefault="0053651E">
            <w:pPr>
              <w:pStyle w:val="a3"/>
              <w:spacing w:before="0" w:beforeAutospacing="0" w:after="0" w:afterAutospacing="0"/>
              <w:ind w:left="180"/>
              <w:rPr>
                <w:sz w:val="20"/>
                <w:szCs w:val="20"/>
              </w:rPr>
            </w:pPr>
            <w:r>
              <w:rPr>
                <w:sz w:val="20"/>
                <w:szCs w:val="20"/>
              </w:rPr>
              <w:t>Deferred/prepaid/above-market and below-market rents, net</w:t>
            </w:r>
          </w:p>
        </w:tc>
        <w:tc>
          <w:tcPr>
            <w:tcW w:w="50" w:type="pct"/>
            <w:shd w:val="clear" w:color="auto" w:fill="FFFFFF"/>
            <w:vAlign w:val="bottom"/>
            <w:hideMark/>
          </w:tcPr>
          <w:p w14:paraId="0B458E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8604E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E780017" w14:textId="77777777" w:rsidR="00000000" w:rsidRDefault="0053651E">
            <w:pPr>
              <w:jc w:val="right"/>
              <w:rPr>
                <w:rFonts w:eastAsia="Times New Roman"/>
                <w:sz w:val="20"/>
                <w:szCs w:val="20"/>
              </w:rPr>
            </w:pPr>
            <w:r>
              <w:rPr>
                <w:rFonts w:eastAsia="Times New Roman"/>
                <w:sz w:val="20"/>
                <w:szCs w:val="20"/>
              </w:rPr>
              <w:t>(33,518</w:t>
            </w:r>
          </w:p>
        </w:tc>
        <w:tc>
          <w:tcPr>
            <w:tcW w:w="50" w:type="pct"/>
            <w:shd w:val="clear" w:color="auto" w:fill="FFFFFF"/>
            <w:vAlign w:val="bottom"/>
            <w:hideMark/>
          </w:tcPr>
          <w:p w14:paraId="3CA8663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3655E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F8D23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EA47EF0" w14:textId="77777777" w:rsidR="00000000" w:rsidRDefault="0053651E">
            <w:pPr>
              <w:jc w:val="right"/>
              <w:rPr>
                <w:rFonts w:eastAsia="Times New Roman"/>
                <w:sz w:val="20"/>
                <w:szCs w:val="20"/>
              </w:rPr>
            </w:pPr>
            <w:r>
              <w:rPr>
                <w:rFonts w:eastAsia="Times New Roman"/>
                <w:sz w:val="20"/>
                <w:szCs w:val="20"/>
              </w:rPr>
              <w:t>(23,466</w:t>
            </w:r>
          </w:p>
        </w:tc>
        <w:tc>
          <w:tcPr>
            <w:tcW w:w="50" w:type="pct"/>
            <w:shd w:val="clear" w:color="auto" w:fill="FFFFFF"/>
            <w:vAlign w:val="bottom"/>
            <w:hideMark/>
          </w:tcPr>
          <w:p w14:paraId="27A68E9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BB7FE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B8070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F23C42" w14:textId="77777777" w:rsidR="00000000" w:rsidRDefault="0053651E">
            <w:pPr>
              <w:jc w:val="right"/>
              <w:rPr>
                <w:rFonts w:eastAsia="Times New Roman"/>
                <w:sz w:val="20"/>
                <w:szCs w:val="20"/>
              </w:rPr>
            </w:pPr>
            <w:r>
              <w:rPr>
                <w:rFonts w:eastAsia="Times New Roman"/>
                <w:sz w:val="20"/>
                <w:szCs w:val="20"/>
              </w:rPr>
              <w:t>(29,364</w:t>
            </w:r>
          </w:p>
        </w:tc>
        <w:tc>
          <w:tcPr>
            <w:tcW w:w="50" w:type="pct"/>
            <w:shd w:val="clear" w:color="auto" w:fill="FFFFFF"/>
            <w:vAlign w:val="bottom"/>
            <w:hideMark/>
          </w:tcPr>
          <w:p w14:paraId="19FE89F8" w14:textId="77777777" w:rsidR="00000000" w:rsidRDefault="0053651E">
            <w:pPr>
              <w:rPr>
                <w:rFonts w:eastAsia="Times New Roman"/>
                <w:sz w:val="20"/>
                <w:szCs w:val="20"/>
              </w:rPr>
            </w:pPr>
            <w:r>
              <w:rPr>
                <w:rFonts w:eastAsia="Times New Roman"/>
                <w:sz w:val="20"/>
                <w:szCs w:val="20"/>
              </w:rPr>
              <w:t>)</w:t>
            </w:r>
          </w:p>
        </w:tc>
      </w:tr>
      <w:tr w:rsidR="00000000" w14:paraId="231DC707" w14:textId="77777777">
        <w:trPr>
          <w:tblCellSpacing w:w="0" w:type="dxa"/>
        </w:trPr>
        <w:tc>
          <w:tcPr>
            <w:tcW w:w="0" w:type="auto"/>
            <w:shd w:val="clear" w:color="auto" w:fill="CCEEFF"/>
            <w:vAlign w:val="bottom"/>
            <w:hideMark/>
          </w:tcPr>
          <w:p w14:paraId="6EE9E2C0" w14:textId="77777777" w:rsidR="00000000" w:rsidRDefault="0053651E">
            <w:pPr>
              <w:pStyle w:val="a3"/>
              <w:spacing w:before="0" w:beforeAutospacing="0" w:after="0" w:afterAutospacing="0"/>
              <w:ind w:left="180"/>
              <w:rPr>
                <w:sz w:val="20"/>
                <w:szCs w:val="20"/>
              </w:rPr>
            </w:pPr>
            <w:r>
              <w:rPr>
                <w:sz w:val="20"/>
                <w:szCs w:val="20"/>
              </w:rPr>
              <w:t>Fair market value debt amortization</w:t>
            </w:r>
          </w:p>
        </w:tc>
        <w:tc>
          <w:tcPr>
            <w:tcW w:w="50" w:type="pct"/>
            <w:shd w:val="clear" w:color="auto" w:fill="CCEEFF"/>
            <w:vAlign w:val="bottom"/>
            <w:hideMark/>
          </w:tcPr>
          <w:p w14:paraId="1DACD5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7983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9174D0D" w14:textId="77777777" w:rsidR="00000000" w:rsidRDefault="0053651E">
            <w:pPr>
              <w:jc w:val="right"/>
              <w:rPr>
                <w:rFonts w:eastAsia="Times New Roman"/>
                <w:sz w:val="20"/>
                <w:szCs w:val="20"/>
              </w:rPr>
            </w:pPr>
            <w:r>
              <w:rPr>
                <w:rFonts w:eastAsia="Times New Roman"/>
                <w:sz w:val="20"/>
                <w:szCs w:val="20"/>
              </w:rPr>
              <w:t>(4,412</w:t>
            </w:r>
          </w:p>
        </w:tc>
        <w:tc>
          <w:tcPr>
            <w:tcW w:w="50" w:type="pct"/>
            <w:shd w:val="clear" w:color="auto" w:fill="CCEEFF"/>
            <w:vAlign w:val="bottom"/>
            <w:hideMark/>
          </w:tcPr>
          <w:p w14:paraId="7DF3A1B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690F4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0C433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B7AD67E" w14:textId="77777777" w:rsidR="00000000" w:rsidRDefault="0053651E">
            <w:pPr>
              <w:jc w:val="right"/>
              <w:rPr>
                <w:rFonts w:eastAsia="Times New Roman"/>
                <w:sz w:val="20"/>
                <w:szCs w:val="20"/>
              </w:rPr>
            </w:pPr>
            <w:r>
              <w:rPr>
                <w:rFonts w:eastAsia="Times New Roman"/>
                <w:sz w:val="20"/>
                <w:szCs w:val="20"/>
              </w:rPr>
              <w:t>(5,268</w:t>
            </w:r>
          </w:p>
        </w:tc>
        <w:tc>
          <w:tcPr>
            <w:tcW w:w="50" w:type="pct"/>
            <w:shd w:val="clear" w:color="auto" w:fill="CCEEFF"/>
            <w:vAlign w:val="bottom"/>
            <w:hideMark/>
          </w:tcPr>
          <w:p w14:paraId="228366E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60EC5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AA01C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812ED68" w14:textId="77777777" w:rsidR="00000000" w:rsidRDefault="0053651E">
            <w:pPr>
              <w:jc w:val="right"/>
              <w:rPr>
                <w:rFonts w:eastAsia="Times New Roman"/>
                <w:sz w:val="20"/>
                <w:szCs w:val="20"/>
              </w:rPr>
            </w:pPr>
            <w:r>
              <w:rPr>
                <w:rFonts w:eastAsia="Times New Roman"/>
                <w:sz w:val="20"/>
                <w:szCs w:val="20"/>
              </w:rPr>
              <w:t>(8,495</w:t>
            </w:r>
          </w:p>
        </w:tc>
        <w:tc>
          <w:tcPr>
            <w:tcW w:w="50" w:type="pct"/>
            <w:shd w:val="clear" w:color="auto" w:fill="CCEEFF"/>
            <w:vAlign w:val="bottom"/>
            <w:hideMark/>
          </w:tcPr>
          <w:p w14:paraId="692A9EDF" w14:textId="77777777" w:rsidR="00000000" w:rsidRDefault="0053651E">
            <w:pPr>
              <w:rPr>
                <w:rFonts w:eastAsia="Times New Roman"/>
                <w:sz w:val="20"/>
                <w:szCs w:val="20"/>
              </w:rPr>
            </w:pPr>
            <w:r>
              <w:rPr>
                <w:rFonts w:eastAsia="Times New Roman"/>
                <w:sz w:val="20"/>
                <w:szCs w:val="20"/>
              </w:rPr>
              <w:t>)</w:t>
            </w:r>
          </w:p>
        </w:tc>
      </w:tr>
      <w:tr w:rsidR="00000000" w14:paraId="57B86884" w14:textId="77777777">
        <w:trPr>
          <w:tblCellSpacing w:w="0" w:type="dxa"/>
        </w:trPr>
        <w:tc>
          <w:tcPr>
            <w:tcW w:w="0" w:type="auto"/>
            <w:shd w:val="clear" w:color="auto" w:fill="FFFFFF"/>
            <w:vAlign w:val="bottom"/>
            <w:hideMark/>
          </w:tcPr>
          <w:p w14:paraId="48690E3E" w14:textId="77777777" w:rsidR="00000000" w:rsidRDefault="0053651E">
            <w:pPr>
              <w:pStyle w:val="a3"/>
              <w:spacing w:before="0" w:beforeAutospacing="0" w:after="0" w:afterAutospacing="0"/>
              <w:ind w:left="180"/>
              <w:rPr>
                <w:sz w:val="20"/>
                <w:szCs w:val="20"/>
              </w:rPr>
            </w:pPr>
            <w:r>
              <w:rPr>
                <w:sz w:val="20"/>
                <w:szCs w:val="20"/>
              </w:rPr>
              <w:t>Book/tax differences from executive compensation (2)</w:t>
            </w:r>
          </w:p>
        </w:tc>
        <w:tc>
          <w:tcPr>
            <w:tcW w:w="50" w:type="pct"/>
            <w:shd w:val="clear" w:color="auto" w:fill="FFFFFF"/>
            <w:vAlign w:val="bottom"/>
            <w:hideMark/>
          </w:tcPr>
          <w:p w14:paraId="01542A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FFAE1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C6D36B" w14:textId="77777777" w:rsidR="00000000" w:rsidRDefault="0053651E">
            <w:pPr>
              <w:jc w:val="right"/>
              <w:rPr>
                <w:rFonts w:eastAsia="Times New Roman"/>
                <w:sz w:val="20"/>
                <w:szCs w:val="20"/>
              </w:rPr>
            </w:pPr>
            <w:r>
              <w:rPr>
                <w:rFonts w:eastAsia="Times New Roman"/>
                <w:sz w:val="20"/>
                <w:szCs w:val="20"/>
              </w:rPr>
              <w:t>6,026</w:t>
            </w:r>
          </w:p>
        </w:tc>
        <w:tc>
          <w:tcPr>
            <w:tcW w:w="50" w:type="pct"/>
            <w:shd w:val="clear" w:color="auto" w:fill="FFFFFF"/>
            <w:vAlign w:val="bottom"/>
            <w:hideMark/>
          </w:tcPr>
          <w:p w14:paraId="79A9892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FF4D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56F0B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5D1284" w14:textId="77777777" w:rsidR="00000000" w:rsidRDefault="0053651E">
            <w:pPr>
              <w:jc w:val="right"/>
              <w:rPr>
                <w:rFonts w:eastAsia="Times New Roman"/>
                <w:sz w:val="20"/>
                <w:szCs w:val="20"/>
              </w:rPr>
            </w:pPr>
            <w:r>
              <w:rPr>
                <w:rFonts w:eastAsia="Times New Roman"/>
                <w:sz w:val="20"/>
                <w:szCs w:val="20"/>
              </w:rPr>
              <w:t>5,460</w:t>
            </w:r>
          </w:p>
        </w:tc>
        <w:tc>
          <w:tcPr>
            <w:tcW w:w="50" w:type="pct"/>
            <w:shd w:val="clear" w:color="auto" w:fill="FFFFFF"/>
            <w:vAlign w:val="bottom"/>
            <w:hideMark/>
          </w:tcPr>
          <w:p w14:paraId="3F9C25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6006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F54D1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79C4E25" w14:textId="77777777" w:rsidR="00000000" w:rsidRDefault="0053651E">
            <w:pPr>
              <w:jc w:val="right"/>
              <w:rPr>
                <w:rFonts w:eastAsia="Times New Roman"/>
                <w:sz w:val="20"/>
                <w:szCs w:val="20"/>
              </w:rPr>
            </w:pPr>
            <w:r>
              <w:rPr>
                <w:rFonts w:eastAsia="Times New Roman"/>
                <w:sz w:val="20"/>
                <w:szCs w:val="20"/>
              </w:rPr>
              <w:t>2,396</w:t>
            </w:r>
          </w:p>
        </w:tc>
        <w:tc>
          <w:tcPr>
            <w:tcW w:w="50" w:type="pct"/>
            <w:shd w:val="clear" w:color="auto" w:fill="FFFFFF"/>
            <w:vAlign w:val="bottom"/>
            <w:hideMark/>
          </w:tcPr>
          <w:p w14:paraId="326E978A" w14:textId="77777777" w:rsidR="00000000" w:rsidRDefault="0053651E">
            <w:pPr>
              <w:rPr>
                <w:rFonts w:eastAsia="Times New Roman"/>
                <w:sz w:val="20"/>
                <w:szCs w:val="20"/>
              </w:rPr>
            </w:pPr>
            <w:r>
              <w:rPr>
                <w:rFonts w:eastAsia="Times New Roman"/>
                <w:sz w:val="20"/>
                <w:szCs w:val="20"/>
              </w:rPr>
              <w:t> </w:t>
            </w:r>
          </w:p>
        </w:tc>
      </w:tr>
      <w:tr w:rsidR="00000000" w14:paraId="60CFE6DF" w14:textId="77777777">
        <w:trPr>
          <w:tblCellSpacing w:w="0" w:type="dxa"/>
        </w:trPr>
        <w:tc>
          <w:tcPr>
            <w:tcW w:w="0" w:type="auto"/>
            <w:shd w:val="clear" w:color="auto" w:fill="CCEEFF"/>
            <w:vAlign w:val="bottom"/>
            <w:hideMark/>
          </w:tcPr>
          <w:p w14:paraId="588E728F" w14:textId="77777777" w:rsidR="00000000" w:rsidRDefault="0053651E">
            <w:pPr>
              <w:pStyle w:val="a3"/>
              <w:spacing w:before="0" w:beforeAutospacing="0" w:after="0" w:afterAutospacing="0"/>
              <w:ind w:left="180"/>
              <w:rPr>
                <w:sz w:val="20"/>
                <w:szCs w:val="20"/>
              </w:rPr>
            </w:pPr>
            <w:r>
              <w:rPr>
                <w:sz w:val="20"/>
                <w:szCs w:val="20"/>
              </w:rPr>
              <w:t>Book/tax differences from non-qualified stock options</w:t>
            </w:r>
          </w:p>
        </w:tc>
        <w:tc>
          <w:tcPr>
            <w:tcW w:w="50" w:type="pct"/>
            <w:shd w:val="clear" w:color="auto" w:fill="CCEEFF"/>
            <w:vAlign w:val="bottom"/>
            <w:hideMark/>
          </w:tcPr>
          <w:p w14:paraId="6BCDB3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63E17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BCD8C71" w14:textId="77777777" w:rsidR="00000000" w:rsidRDefault="0053651E">
            <w:pPr>
              <w:jc w:val="right"/>
              <w:rPr>
                <w:rFonts w:eastAsia="Times New Roman"/>
                <w:sz w:val="20"/>
                <w:szCs w:val="20"/>
              </w:rPr>
            </w:pPr>
            <w:r>
              <w:rPr>
                <w:rFonts w:eastAsia="Times New Roman"/>
                <w:sz w:val="20"/>
                <w:szCs w:val="20"/>
              </w:rPr>
              <w:t>(1,121</w:t>
            </w:r>
          </w:p>
        </w:tc>
        <w:tc>
          <w:tcPr>
            <w:tcW w:w="50" w:type="pct"/>
            <w:shd w:val="clear" w:color="auto" w:fill="CCEEFF"/>
            <w:vAlign w:val="bottom"/>
            <w:hideMark/>
          </w:tcPr>
          <w:p w14:paraId="6791885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52861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3BBF8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3036CC" w14:textId="77777777" w:rsidR="00000000" w:rsidRDefault="0053651E">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58B3214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B0F78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9767A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A70B469" w14:textId="77777777" w:rsidR="00000000" w:rsidRDefault="0053651E">
            <w:pPr>
              <w:jc w:val="right"/>
              <w:rPr>
                <w:rFonts w:eastAsia="Times New Roman"/>
                <w:sz w:val="20"/>
                <w:szCs w:val="20"/>
              </w:rPr>
            </w:pPr>
            <w:r>
              <w:rPr>
                <w:rFonts w:eastAsia="Times New Roman"/>
                <w:sz w:val="20"/>
                <w:szCs w:val="20"/>
              </w:rPr>
              <w:t>(172</w:t>
            </w:r>
          </w:p>
        </w:tc>
        <w:tc>
          <w:tcPr>
            <w:tcW w:w="50" w:type="pct"/>
            <w:shd w:val="clear" w:color="auto" w:fill="CCEEFF"/>
            <w:vAlign w:val="bottom"/>
            <w:hideMark/>
          </w:tcPr>
          <w:p w14:paraId="20C5D6D8" w14:textId="77777777" w:rsidR="00000000" w:rsidRDefault="0053651E">
            <w:pPr>
              <w:rPr>
                <w:rFonts w:eastAsia="Times New Roman"/>
                <w:sz w:val="20"/>
                <w:szCs w:val="20"/>
              </w:rPr>
            </w:pPr>
            <w:r>
              <w:rPr>
                <w:rFonts w:eastAsia="Times New Roman"/>
                <w:sz w:val="20"/>
                <w:szCs w:val="20"/>
              </w:rPr>
              <w:t>)</w:t>
            </w:r>
          </w:p>
        </w:tc>
      </w:tr>
      <w:tr w:rsidR="00000000" w14:paraId="58FB4EF7" w14:textId="77777777">
        <w:trPr>
          <w:tblCellSpacing w:w="0" w:type="dxa"/>
        </w:trPr>
        <w:tc>
          <w:tcPr>
            <w:tcW w:w="0" w:type="auto"/>
            <w:shd w:val="clear" w:color="auto" w:fill="FFFFFF"/>
            <w:vAlign w:val="bottom"/>
            <w:hideMark/>
          </w:tcPr>
          <w:p w14:paraId="22D8E104" w14:textId="77777777" w:rsidR="00000000" w:rsidRDefault="0053651E">
            <w:pPr>
              <w:pStyle w:val="a3"/>
              <w:spacing w:before="0" w:beforeAutospacing="0" w:after="0" w:afterAutospacing="0"/>
              <w:ind w:left="180"/>
              <w:rPr>
                <w:sz w:val="20"/>
                <w:szCs w:val="20"/>
              </w:rPr>
            </w:pPr>
            <w:r>
              <w:rPr>
                <w:sz w:val="20"/>
                <w:szCs w:val="20"/>
              </w:rPr>
              <w:t>Book/tax differences from investments in and advances to real estate joint ventures</w:t>
            </w:r>
          </w:p>
        </w:tc>
        <w:tc>
          <w:tcPr>
            <w:tcW w:w="50" w:type="pct"/>
            <w:shd w:val="clear" w:color="auto" w:fill="FFFFFF"/>
            <w:vAlign w:val="bottom"/>
            <w:hideMark/>
          </w:tcPr>
          <w:p w14:paraId="753D0E6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5F396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28E054" w14:textId="77777777" w:rsidR="00000000" w:rsidRDefault="0053651E">
            <w:pPr>
              <w:jc w:val="right"/>
              <w:rPr>
                <w:rFonts w:eastAsia="Times New Roman"/>
                <w:sz w:val="20"/>
                <w:szCs w:val="20"/>
              </w:rPr>
            </w:pPr>
            <w:r>
              <w:rPr>
                <w:rFonts w:eastAsia="Times New Roman"/>
                <w:sz w:val="20"/>
                <w:szCs w:val="20"/>
              </w:rPr>
              <w:t>(606</w:t>
            </w:r>
          </w:p>
        </w:tc>
        <w:tc>
          <w:tcPr>
            <w:tcW w:w="50" w:type="pct"/>
            <w:shd w:val="clear" w:color="auto" w:fill="FFFFFF"/>
            <w:vAlign w:val="bottom"/>
            <w:hideMark/>
          </w:tcPr>
          <w:p w14:paraId="6D32E92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52779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7D3D3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DA1F85D" w14:textId="77777777" w:rsidR="00000000" w:rsidRDefault="0053651E">
            <w:pPr>
              <w:jc w:val="right"/>
              <w:rPr>
                <w:rFonts w:eastAsia="Times New Roman"/>
                <w:sz w:val="20"/>
                <w:szCs w:val="20"/>
              </w:rPr>
            </w:pPr>
            <w:r>
              <w:rPr>
                <w:rFonts w:eastAsia="Times New Roman"/>
                <w:sz w:val="20"/>
                <w:szCs w:val="20"/>
              </w:rPr>
              <w:t>26,263</w:t>
            </w:r>
          </w:p>
        </w:tc>
        <w:tc>
          <w:tcPr>
            <w:tcW w:w="50" w:type="pct"/>
            <w:shd w:val="clear" w:color="auto" w:fill="FFFFFF"/>
            <w:vAlign w:val="bottom"/>
            <w:hideMark/>
          </w:tcPr>
          <w:p w14:paraId="79C1E7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C87F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D27B9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1DB7C17" w14:textId="77777777" w:rsidR="00000000" w:rsidRDefault="0053651E">
            <w:pPr>
              <w:jc w:val="right"/>
              <w:rPr>
                <w:rFonts w:eastAsia="Times New Roman"/>
                <w:sz w:val="20"/>
                <w:szCs w:val="20"/>
              </w:rPr>
            </w:pPr>
            <w:r>
              <w:rPr>
                <w:rFonts w:eastAsia="Times New Roman"/>
                <w:sz w:val="20"/>
                <w:szCs w:val="20"/>
              </w:rPr>
              <w:t>(24,992</w:t>
            </w:r>
          </w:p>
        </w:tc>
        <w:tc>
          <w:tcPr>
            <w:tcW w:w="50" w:type="pct"/>
            <w:shd w:val="clear" w:color="auto" w:fill="FFFFFF"/>
            <w:vAlign w:val="bottom"/>
            <w:hideMark/>
          </w:tcPr>
          <w:p w14:paraId="5C342EFC" w14:textId="77777777" w:rsidR="00000000" w:rsidRDefault="0053651E">
            <w:pPr>
              <w:rPr>
                <w:rFonts w:eastAsia="Times New Roman"/>
                <w:sz w:val="20"/>
                <w:szCs w:val="20"/>
              </w:rPr>
            </w:pPr>
            <w:r>
              <w:rPr>
                <w:rFonts w:eastAsia="Times New Roman"/>
                <w:sz w:val="20"/>
                <w:szCs w:val="20"/>
              </w:rPr>
              <w:t>)</w:t>
            </w:r>
          </w:p>
        </w:tc>
      </w:tr>
      <w:tr w:rsidR="00000000" w14:paraId="64858D83" w14:textId="77777777">
        <w:trPr>
          <w:tblCellSpacing w:w="0" w:type="dxa"/>
        </w:trPr>
        <w:tc>
          <w:tcPr>
            <w:tcW w:w="0" w:type="auto"/>
            <w:shd w:val="clear" w:color="auto" w:fill="CCEEFF"/>
            <w:vAlign w:val="bottom"/>
            <w:hideMark/>
          </w:tcPr>
          <w:p w14:paraId="3C114D45" w14:textId="77777777" w:rsidR="00000000" w:rsidRDefault="0053651E">
            <w:pPr>
              <w:pStyle w:val="a3"/>
              <w:spacing w:before="0" w:beforeAutospacing="0" w:after="0" w:afterAutospacing="0"/>
              <w:ind w:left="180"/>
              <w:rPr>
                <w:sz w:val="20"/>
                <w:szCs w:val="20"/>
              </w:rPr>
            </w:pPr>
            <w:r>
              <w:rPr>
                <w:sz w:val="20"/>
                <w:szCs w:val="20"/>
              </w:rPr>
              <w:t>Book/tax differences from sale of properties</w:t>
            </w:r>
          </w:p>
        </w:tc>
        <w:tc>
          <w:tcPr>
            <w:tcW w:w="50" w:type="pct"/>
            <w:shd w:val="clear" w:color="auto" w:fill="CCEEFF"/>
            <w:vAlign w:val="bottom"/>
            <w:hideMark/>
          </w:tcPr>
          <w:p w14:paraId="7ECE2D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AEB50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762C300" w14:textId="77777777" w:rsidR="00000000" w:rsidRDefault="0053651E">
            <w:pPr>
              <w:jc w:val="right"/>
              <w:rPr>
                <w:rFonts w:eastAsia="Times New Roman"/>
                <w:sz w:val="20"/>
                <w:szCs w:val="20"/>
              </w:rPr>
            </w:pPr>
            <w:r>
              <w:rPr>
                <w:rFonts w:eastAsia="Times New Roman"/>
                <w:sz w:val="20"/>
                <w:szCs w:val="20"/>
              </w:rPr>
              <w:t>18,692</w:t>
            </w:r>
          </w:p>
        </w:tc>
        <w:tc>
          <w:tcPr>
            <w:tcW w:w="50" w:type="pct"/>
            <w:shd w:val="clear" w:color="auto" w:fill="CCEEFF"/>
            <w:vAlign w:val="bottom"/>
            <w:hideMark/>
          </w:tcPr>
          <w:p w14:paraId="62DFB6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6790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0F267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3442702" w14:textId="77777777" w:rsidR="00000000" w:rsidRDefault="0053651E">
            <w:pPr>
              <w:jc w:val="right"/>
              <w:rPr>
                <w:rFonts w:eastAsia="Times New Roman"/>
                <w:sz w:val="20"/>
                <w:szCs w:val="20"/>
              </w:rPr>
            </w:pPr>
            <w:r>
              <w:rPr>
                <w:rFonts w:eastAsia="Times New Roman"/>
                <w:sz w:val="20"/>
                <w:szCs w:val="20"/>
              </w:rPr>
              <w:t>(13,612</w:t>
            </w:r>
          </w:p>
        </w:tc>
        <w:tc>
          <w:tcPr>
            <w:tcW w:w="50" w:type="pct"/>
            <w:shd w:val="clear" w:color="auto" w:fill="CCEEFF"/>
            <w:vAlign w:val="bottom"/>
            <w:hideMark/>
          </w:tcPr>
          <w:p w14:paraId="789947E6"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B682A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148E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5F69125" w14:textId="77777777" w:rsidR="00000000" w:rsidRDefault="0053651E">
            <w:pPr>
              <w:jc w:val="right"/>
              <w:rPr>
                <w:rFonts w:eastAsia="Times New Roman"/>
                <w:sz w:val="20"/>
                <w:szCs w:val="20"/>
              </w:rPr>
            </w:pPr>
            <w:r>
              <w:rPr>
                <w:rFonts w:eastAsia="Times New Roman"/>
                <w:sz w:val="20"/>
                <w:szCs w:val="20"/>
              </w:rPr>
              <w:t>(86,629</w:t>
            </w:r>
          </w:p>
        </w:tc>
        <w:tc>
          <w:tcPr>
            <w:tcW w:w="50" w:type="pct"/>
            <w:shd w:val="clear" w:color="auto" w:fill="CCEEFF"/>
            <w:vAlign w:val="bottom"/>
            <w:hideMark/>
          </w:tcPr>
          <w:p w14:paraId="6F2B205D" w14:textId="77777777" w:rsidR="00000000" w:rsidRDefault="0053651E">
            <w:pPr>
              <w:rPr>
                <w:rFonts w:eastAsia="Times New Roman"/>
                <w:sz w:val="20"/>
                <w:szCs w:val="20"/>
              </w:rPr>
            </w:pPr>
            <w:r>
              <w:rPr>
                <w:rFonts w:eastAsia="Times New Roman"/>
                <w:sz w:val="20"/>
                <w:szCs w:val="20"/>
              </w:rPr>
              <w:t>)</w:t>
            </w:r>
          </w:p>
        </w:tc>
      </w:tr>
      <w:tr w:rsidR="00000000" w14:paraId="46B21D11" w14:textId="77777777">
        <w:trPr>
          <w:tblCellSpacing w:w="0" w:type="dxa"/>
        </w:trPr>
        <w:tc>
          <w:tcPr>
            <w:tcW w:w="0" w:type="auto"/>
            <w:shd w:val="clear" w:color="auto" w:fill="FFFFFF"/>
            <w:vAlign w:val="bottom"/>
            <w:hideMark/>
          </w:tcPr>
          <w:p w14:paraId="7292D2FF" w14:textId="77777777" w:rsidR="00000000" w:rsidRDefault="0053651E">
            <w:pPr>
              <w:pStyle w:val="a3"/>
              <w:spacing w:before="0" w:beforeAutospacing="0" w:after="0" w:afterAutospacing="0"/>
              <w:ind w:left="180"/>
              <w:rPr>
                <w:sz w:val="20"/>
                <w:szCs w:val="20"/>
              </w:rPr>
            </w:pPr>
            <w:r>
              <w:rPr>
                <w:sz w:val="20"/>
                <w:szCs w:val="20"/>
              </w:rPr>
              <w:t>Book adjustment to property carrying values and marketable equity securities</w:t>
            </w:r>
          </w:p>
        </w:tc>
        <w:tc>
          <w:tcPr>
            <w:tcW w:w="50" w:type="pct"/>
            <w:shd w:val="clear" w:color="auto" w:fill="FFFFFF"/>
            <w:vAlign w:val="bottom"/>
            <w:hideMark/>
          </w:tcPr>
          <w:p w14:paraId="05B57C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430C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504438" w14:textId="77777777" w:rsidR="00000000" w:rsidRDefault="0053651E">
            <w:pPr>
              <w:jc w:val="right"/>
              <w:rPr>
                <w:rFonts w:eastAsia="Times New Roman"/>
                <w:sz w:val="20"/>
                <w:szCs w:val="20"/>
              </w:rPr>
            </w:pPr>
            <w:r>
              <w:rPr>
                <w:rFonts w:eastAsia="Times New Roman"/>
                <w:sz w:val="20"/>
                <w:szCs w:val="20"/>
              </w:rPr>
              <w:t>31,980</w:t>
            </w:r>
          </w:p>
        </w:tc>
        <w:tc>
          <w:tcPr>
            <w:tcW w:w="50" w:type="pct"/>
            <w:shd w:val="clear" w:color="auto" w:fill="FFFFFF"/>
            <w:vAlign w:val="bottom"/>
            <w:hideMark/>
          </w:tcPr>
          <w:p w14:paraId="3255F0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0509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39F4B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C6F0ADF" w14:textId="77777777" w:rsidR="00000000" w:rsidRDefault="0053651E">
            <w:pPr>
              <w:jc w:val="right"/>
              <w:rPr>
                <w:rFonts w:eastAsia="Times New Roman"/>
                <w:sz w:val="20"/>
                <w:szCs w:val="20"/>
              </w:rPr>
            </w:pPr>
            <w:r>
              <w:rPr>
                <w:rFonts w:eastAsia="Times New Roman"/>
                <w:sz w:val="20"/>
                <w:szCs w:val="20"/>
              </w:rPr>
              <w:t>59,866</w:t>
            </w:r>
          </w:p>
        </w:tc>
        <w:tc>
          <w:tcPr>
            <w:tcW w:w="50" w:type="pct"/>
            <w:shd w:val="clear" w:color="auto" w:fill="FFFFFF"/>
            <w:vAlign w:val="bottom"/>
            <w:hideMark/>
          </w:tcPr>
          <w:p w14:paraId="1B00CB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88FA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F35C0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81F63A5" w14:textId="77777777" w:rsidR="00000000" w:rsidRDefault="0053651E">
            <w:pPr>
              <w:jc w:val="right"/>
              <w:rPr>
                <w:rFonts w:eastAsia="Times New Roman"/>
                <w:sz w:val="20"/>
                <w:szCs w:val="20"/>
              </w:rPr>
            </w:pPr>
            <w:r>
              <w:rPr>
                <w:rFonts w:eastAsia="Times New Roman"/>
                <w:sz w:val="20"/>
                <w:szCs w:val="20"/>
              </w:rPr>
              <w:t>51,309</w:t>
            </w:r>
          </w:p>
        </w:tc>
        <w:tc>
          <w:tcPr>
            <w:tcW w:w="50" w:type="pct"/>
            <w:shd w:val="clear" w:color="auto" w:fill="FFFFFF"/>
            <w:vAlign w:val="bottom"/>
            <w:hideMark/>
          </w:tcPr>
          <w:p w14:paraId="473E939F" w14:textId="77777777" w:rsidR="00000000" w:rsidRDefault="0053651E">
            <w:pPr>
              <w:rPr>
                <w:rFonts w:eastAsia="Times New Roman"/>
                <w:sz w:val="20"/>
                <w:szCs w:val="20"/>
              </w:rPr>
            </w:pPr>
            <w:r>
              <w:rPr>
                <w:rFonts w:eastAsia="Times New Roman"/>
                <w:sz w:val="20"/>
                <w:szCs w:val="20"/>
              </w:rPr>
              <w:t> </w:t>
            </w:r>
          </w:p>
        </w:tc>
      </w:tr>
      <w:tr w:rsidR="00000000" w14:paraId="4B097622" w14:textId="77777777">
        <w:trPr>
          <w:tblCellSpacing w:w="0" w:type="dxa"/>
        </w:trPr>
        <w:tc>
          <w:tcPr>
            <w:tcW w:w="0" w:type="auto"/>
            <w:shd w:val="clear" w:color="auto" w:fill="CCEEFF"/>
            <w:vAlign w:val="bottom"/>
            <w:hideMark/>
          </w:tcPr>
          <w:p w14:paraId="3A11FB01" w14:textId="77777777" w:rsidR="00000000" w:rsidRDefault="0053651E">
            <w:pPr>
              <w:pStyle w:val="a3"/>
              <w:spacing w:before="0" w:beforeAutospacing="0" w:after="0" w:afterAutospacing="0"/>
              <w:ind w:left="180"/>
              <w:rPr>
                <w:sz w:val="20"/>
                <w:szCs w:val="20"/>
              </w:rPr>
            </w:pPr>
            <w:r>
              <w:rPr>
                <w:sz w:val="20"/>
                <w:szCs w:val="20"/>
              </w:rPr>
              <w:t>Taxable currency exchange gains/(losses), net</w:t>
            </w:r>
          </w:p>
        </w:tc>
        <w:tc>
          <w:tcPr>
            <w:tcW w:w="50" w:type="pct"/>
            <w:shd w:val="clear" w:color="auto" w:fill="CCEEFF"/>
            <w:vAlign w:val="bottom"/>
            <w:hideMark/>
          </w:tcPr>
          <w:p w14:paraId="5ED729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5D598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40271F" w14:textId="77777777" w:rsidR="00000000" w:rsidRDefault="0053651E">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14:paraId="2729A801"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41EFC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D2B85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5F7186E" w14:textId="77777777" w:rsidR="00000000" w:rsidRDefault="0053651E">
            <w:pPr>
              <w:jc w:val="right"/>
              <w:rPr>
                <w:rFonts w:eastAsia="Times New Roman"/>
                <w:sz w:val="20"/>
                <w:szCs w:val="20"/>
              </w:rPr>
            </w:pPr>
            <w:r>
              <w:rPr>
                <w:rFonts w:eastAsia="Times New Roman"/>
                <w:sz w:val="20"/>
                <w:szCs w:val="20"/>
              </w:rPr>
              <w:t>929</w:t>
            </w:r>
          </w:p>
        </w:tc>
        <w:tc>
          <w:tcPr>
            <w:tcW w:w="50" w:type="pct"/>
            <w:shd w:val="clear" w:color="auto" w:fill="CCEEFF"/>
            <w:vAlign w:val="bottom"/>
            <w:hideMark/>
          </w:tcPr>
          <w:p w14:paraId="637115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5635B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56C07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223DB0" w14:textId="77777777" w:rsidR="00000000" w:rsidRDefault="0053651E">
            <w:pPr>
              <w:jc w:val="right"/>
              <w:rPr>
                <w:rFonts w:eastAsia="Times New Roman"/>
                <w:sz w:val="20"/>
                <w:szCs w:val="20"/>
              </w:rPr>
            </w:pPr>
            <w:r>
              <w:rPr>
                <w:rFonts w:eastAsia="Times New Roman"/>
                <w:sz w:val="20"/>
                <w:szCs w:val="20"/>
              </w:rPr>
              <w:t>(780</w:t>
            </w:r>
          </w:p>
        </w:tc>
        <w:tc>
          <w:tcPr>
            <w:tcW w:w="50" w:type="pct"/>
            <w:shd w:val="clear" w:color="auto" w:fill="CCEEFF"/>
            <w:vAlign w:val="bottom"/>
            <w:hideMark/>
          </w:tcPr>
          <w:p w14:paraId="55A58C70" w14:textId="77777777" w:rsidR="00000000" w:rsidRDefault="0053651E">
            <w:pPr>
              <w:rPr>
                <w:rFonts w:eastAsia="Times New Roman"/>
                <w:sz w:val="20"/>
                <w:szCs w:val="20"/>
              </w:rPr>
            </w:pPr>
            <w:r>
              <w:rPr>
                <w:rFonts w:eastAsia="Times New Roman"/>
                <w:sz w:val="20"/>
                <w:szCs w:val="20"/>
              </w:rPr>
              <w:t>)</w:t>
            </w:r>
          </w:p>
        </w:tc>
      </w:tr>
      <w:tr w:rsidR="00000000" w14:paraId="3D84612B" w14:textId="77777777">
        <w:trPr>
          <w:tblCellSpacing w:w="0" w:type="dxa"/>
        </w:trPr>
        <w:tc>
          <w:tcPr>
            <w:tcW w:w="0" w:type="auto"/>
            <w:shd w:val="clear" w:color="auto" w:fill="FFFFFF"/>
            <w:vAlign w:val="bottom"/>
            <w:hideMark/>
          </w:tcPr>
          <w:p w14:paraId="4505E133" w14:textId="77777777" w:rsidR="00000000" w:rsidRDefault="0053651E">
            <w:pPr>
              <w:pStyle w:val="a3"/>
              <w:spacing w:before="0" w:beforeAutospacing="0" w:after="0" w:afterAutospacing="0"/>
              <w:ind w:left="180"/>
              <w:rPr>
                <w:sz w:val="20"/>
                <w:szCs w:val="20"/>
              </w:rPr>
            </w:pPr>
            <w:r>
              <w:rPr>
                <w:sz w:val="20"/>
                <w:szCs w:val="20"/>
              </w:rPr>
              <w:t>Tangible property regulation deduction</w:t>
            </w:r>
          </w:p>
        </w:tc>
        <w:tc>
          <w:tcPr>
            <w:tcW w:w="50" w:type="pct"/>
            <w:shd w:val="clear" w:color="auto" w:fill="FFFFFF"/>
            <w:vAlign w:val="bottom"/>
            <w:hideMark/>
          </w:tcPr>
          <w:p w14:paraId="0D9D3C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18158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FEB29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815F67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9D02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67901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0FB5F8" w14:textId="77777777" w:rsidR="00000000" w:rsidRDefault="0053651E">
            <w:pPr>
              <w:jc w:val="right"/>
              <w:rPr>
                <w:rFonts w:eastAsia="Times New Roman"/>
                <w:sz w:val="20"/>
                <w:szCs w:val="20"/>
              </w:rPr>
            </w:pPr>
            <w:r>
              <w:rPr>
                <w:rFonts w:eastAsia="Times New Roman"/>
                <w:sz w:val="20"/>
                <w:szCs w:val="20"/>
              </w:rPr>
              <w:t>(40,361</w:t>
            </w:r>
          </w:p>
        </w:tc>
        <w:tc>
          <w:tcPr>
            <w:tcW w:w="50" w:type="pct"/>
            <w:shd w:val="clear" w:color="auto" w:fill="FFFFFF"/>
            <w:vAlign w:val="bottom"/>
            <w:hideMark/>
          </w:tcPr>
          <w:p w14:paraId="28C4CF6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15644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A883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E98A8A8" w14:textId="77777777" w:rsidR="00000000" w:rsidRDefault="0053651E">
            <w:pPr>
              <w:jc w:val="right"/>
              <w:rPr>
                <w:rFonts w:eastAsia="Times New Roman"/>
                <w:sz w:val="20"/>
                <w:szCs w:val="20"/>
              </w:rPr>
            </w:pPr>
            <w:r>
              <w:rPr>
                <w:rFonts w:eastAsia="Times New Roman"/>
                <w:sz w:val="20"/>
                <w:szCs w:val="20"/>
              </w:rPr>
              <w:t>(52,809</w:t>
            </w:r>
          </w:p>
        </w:tc>
        <w:tc>
          <w:tcPr>
            <w:tcW w:w="50" w:type="pct"/>
            <w:shd w:val="clear" w:color="auto" w:fill="FFFFFF"/>
            <w:vAlign w:val="bottom"/>
            <w:hideMark/>
          </w:tcPr>
          <w:p w14:paraId="318B067B" w14:textId="77777777" w:rsidR="00000000" w:rsidRDefault="0053651E">
            <w:pPr>
              <w:rPr>
                <w:rFonts w:eastAsia="Times New Roman"/>
                <w:sz w:val="20"/>
                <w:szCs w:val="20"/>
              </w:rPr>
            </w:pPr>
            <w:r>
              <w:rPr>
                <w:rFonts w:eastAsia="Times New Roman"/>
                <w:sz w:val="20"/>
                <w:szCs w:val="20"/>
              </w:rPr>
              <w:t>)</w:t>
            </w:r>
          </w:p>
        </w:tc>
      </w:tr>
      <w:tr w:rsidR="00000000" w14:paraId="15C31117" w14:textId="77777777">
        <w:trPr>
          <w:tblCellSpacing w:w="0" w:type="dxa"/>
        </w:trPr>
        <w:tc>
          <w:tcPr>
            <w:tcW w:w="0" w:type="auto"/>
            <w:shd w:val="clear" w:color="auto" w:fill="CCEEFF"/>
            <w:vAlign w:val="bottom"/>
            <w:hideMark/>
          </w:tcPr>
          <w:p w14:paraId="1A908936" w14:textId="77777777" w:rsidR="00000000" w:rsidRDefault="0053651E">
            <w:pPr>
              <w:pStyle w:val="a3"/>
              <w:spacing w:before="0" w:beforeAutospacing="0" w:after="0" w:afterAutospacing="0"/>
              <w:ind w:left="180"/>
              <w:rPr>
                <w:sz w:val="20"/>
                <w:szCs w:val="20"/>
              </w:rPr>
            </w:pPr>
            <w:r>
              <w:rPr>
                <w:sz w:val="20"/>
                <w:szCs w:val="20"/>
              </w:rPr>
              <w:t>GAAP gain on change in control of joint venture interests</w:t>
            </w:r>
          </w:p>
        </w:tc>
        <w:tc>
          <w:tcPr>
            <w:tcW w:w="50" w:type="pct"/>
            <w:shd w:val="clear" w:color="auto" w:fill="CCEEFF"/>
            <w:vAlign w:val="bottom"/>
            <w:hideMark/>
          </w:tcPr>
          <w:p w14:paraId="35ECA7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D8F26E"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7D937EE" w14:textId="77777777" w:rsidR="00000000" w:rsidRDefault="0053651E">
            <w:pPr>
              <w:jc w:val="right"/>
              <w:rPr>
                <w:rFonts w:eastAsia="Times New Roman"/>
                <w:sz w:val="20"/>
                <w:szCs w:val="20"/>
              </w:rPr>
            </w:pPr>
            <w:r>
              <w:rPr>
                <w:rFonts w:eastAsia="Times New Roman"/>
                <w:sz w:val="20"/>
                <w:szCs w:val="20"/>
              </w:rPr>
              <w:t>(137</w:t>
            </w:r>
          </w:p>
        </w:tc>
        <w:tc>
          <w:tcPr>
            <w:tcW w:w="50" w:type="pct"/>
            <w:shd w:val="clear" w:color="auto" w:fill="CCEEFF"/>
            <w:vAlign w:val="bottom"/>
            <w:hideMark/>
          </w:tcPr>
          <w:p w14:paraId="13439AB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3938F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DBD5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848A51" w14:textId="77777777" w:rsidR="00000000" w:rsidRDefault="0053651E">
            <w:pPr>
              <w:jc w:val="right"/>
              <w:rPr>
                <w:rFonts w:eastAsia="Times New Roman"/>
                <w:sz w:val="20"/>
                <w:szCs w:val="20"/>
              </w:rPr>
            </w:pPr>
            <w:r>
              <w:rPr>
                <w:rFonts w:eastAsia="Times New Roman"/>
                <w:sz w:val="20"/>
                <w:szCs w:val="20"/>
              </w:rPr>
              <w:t>(6,800</w:t>
            </w:r>
          </w:p>
        </w:tc>
        <w:tc>
          <w:tcPr>
            <w:tcW w:w="50" w:type="pct"/>
            <w:shd w:val="clear" w:color="auto" w:fill="CCEEFF"/>
            <w:vAlign w:val="bottom"/>
            <w:hideMark/>
          </w:tcPr>
          <w:p w14:paraId="44BB20C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9E4C2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1931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5443BFD" w14:textId="77777777" w:rsidR="00000000" w:rsidRDefault="0053651E">
            <w:pPr>
              <w:jc w:val="right"/>
              <w:rPr>
                <w:rFonts w:eastAsia="Times New Roman"/>
                <w:sz w:val="20"/>
                <w:szCs w:val="20"/>
              </w:rPr>
            </w:pPr>
            <w:r>
              <w:rPr>
                <w:rFonts w:eastAsia="Times New Roman"/>
                <w:sz w:val="20"/>
                <w:szCs w:val="20"/>
              </w:rPr>
              <w:t>(71,160</w:t>
            </w:r>
          </w:p>
        </w:tc>
        <w:tc>
          <w:tcPr>
            <w:tcW w:w="50" w:type="pct"/>
            <w:shd w:val="clear" w:color="auto" w:fill="CCEEFF"/>
            <w:vAlign w:val="bottom"/>
            <w:hideMark/>
          </w:tcPr>
          <w:p w14:paraId="75BE0497" w14:textId="77777777" w:rsidR="00000000" w:rsidRDefault="0053651E">
            <w:pPr>
              <w:rPr>
                <w:rFonts w:eastAsia="Times New Roman"/>
                <w:sz w:val="20"/>
                <w:szCs w:val="20"/>
              </w:rPr>
            </w:pPr>
            <w:r>
              <w:rPr>
                <w:rFonts w:eastAsia="Times New Roman"/>
                <w:sz w:val="20"/>
                <w:szCs w:val="20"/>
              </w:rPr>
              <w:t>)</w:t>
            </w:r>
          </w:p>
        </w:tc>
      </w:tr>
      <w:tr w:rsidR="00000000" w14:paraId="76DD47E7" w14:textId="77777777">
        <w:trPr>
          <w:tblCellSpacing w:w="0" w:type="dxa"/>
        </w:trPr>
        <w:tc>
          <w:tcPr>
            <w:tcW w:w="0" w:type="auto"/>
            <w:vAlign w:val="center"/>
            <w:hideMark/>
          </w:tcPr>
          <w:p w14:paraId="7773591F" w14:textId="77777777" w:rsidR="00000000" w:rsidRDefault="0053651E">
            <w:pPr>
              <w:ind w:firstLine="180"/>
              <w:rPr>
                <w:rFonts w:eastAsia="Times New Roman"/>
                <w:sz w:val="20"/>
                <w:szCs w:val="20"/>
              </w:rPr>
            </w:pPr>
            <w:r>
              <w:rPr>
                <w:rFonts w:eastAsia="Times New Roman"/>
                <w:sz w:val="20"/>
                <w:szCs w:val="20"/>
              </w:rPr>
              <w:t>Dividends from TRSs</w:t>
            </w:r>
          </w:p>
        </w:tc>
        <w:tc>
          <w:tcPr>
            <w:tcW w:w="50" w:type="pct"/>
            <w:vAlign w:val="center"/>
            <w:hideMark/>
          </w:tcPr>
          <w:p w14:paraId="1F2EFC31"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688D9613" w14:textId="77777777" w:rsidR="00000000" w:rsidRDefault="0053651E">
            <w:pPr>
              <w:rPr>
                <w:rFonts w:eastAsia="Times New Roman"/>
                <w:sz w:val="20"/>
                <w:szCs w:val="20"/>
              </w:rPr>
            </w:pPr>
            <w:r>
              <w:rPr>
                <w:rFonts w:eastAsia="Times New Roman"/>
                <w:sz w:val="20"/>
                <w:szCs w:val="20"/>
              </w:rPr>
              <w:t> </w:t>
            </w:r>
          </w:p>
        </w:tc>
        <w:tc>
          <w:tcPr>
            <w:tcW w:w="600" w:type="pct"/>
            <w:vAlign w:val="center"/>
            <w:hideMark/>
          </w:tcPr>
          <w:p w14:paraId="1AC35289" w14:textId="77777777" w:rsidR="00000000" w:rsidRDefault="0053651E">
            <w:pPr>
              <w:jc w:val="right"/>
              <w:rPr>
                <w:rFonts w:eastAsia="Times New Roman"/>
                <w:sz w:val="20"/>
                <w:szCs w:val="20"/>
              </w:rPr>
            </w:pPr>
            <w:r>
              <w:rPr>
                <w:rFonts w:eastAsia="Times New Roman"/>
                <w:sz w:val="20"/>
                <w:szCs w:val="20"/>
              </w:rPr>
              <w:t>3,331</w:t>
            </w:r>
          </w:p>
        </w:tc>
        <w:tc>
          <w:tcPr>
            <w:tcW w:w="50" w:type="pct"/>
            <w:tcMar>
              <w:top w:w="0" w:type="dxa"/>
              <w:left w:w="0" w:type="dxa"/>
              <w:bottom w:w="15" w:type="dxa"/>
              <w:right w:w="0" w:type="dxa"/>
            </w:tcMar>
            <w:vAlign w:val="center"/>
            <w:hideMark/>
          </w:tcPr>
          <w:p w14:paraId="5242205E"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4DE0A4BE"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3E1CEAC2" w14:textId="77777777" w:rsidR="00000000" w:rsidRDefault="0053651E">
            <w:pPr>
              <w:rPr>
                <w:rFonts w:eastAsia="Times New Roman"/>
                <w:sz w:val="20"/>
                <w:szCs w:val="20"/>
              </w:rPr>
            </w:pPr>
            <w:r>
              <w:rPr>
                <w:rFonts w:eastAsia="Times New Roman"/>
                <w:sz w:val="20"/>
                <w:szCs w:val="20"/>
              </w:rPr>
              <w:t> </w:t>
            </w:r>
          </w:p>
        </w:tc>
        <w:tc>
          <w:tcPr>
            <w:tcW w:w="600" w:type="pct"/>
            <w:vAlign w:val="center"/>
            <w:hideMark/>
          </w:tcPr>
          <w:p w14:paraId="7666F73B" w14:textId="77777777" w:rsidR="00000000" w:rsidRDefault="0053651E">
            <w:pPr>
              <w:jc w:val="right"/>
              <w:rPr>
                <w:rFonts w:eastAsia="Times New Roman"/>
                <w:sz w:val="20"/>
                <w:szCs w:val="20"/>
              </w:rPr>
            </w:pPr>
            <w:r>
              <w:rPr>
                <w:rFonts w:eastAsia="Times New Roman"/>
                <w:sz w:val="20"/>
                <w:szCs w:val="20"/>
              </w:rPr>
              <w:t>526</w:t>
            </w:r>
          </w:p>
        </w:tc>
        <w:tc>
          <w:tcPr>
            <w:tcW w:w="50" w:type="pct"/>
            <w:tcMar>
              <w:top w:w="0" w:type="dxa"/>
              <w:left w:w="0" w:type="dxa"/>
              <w:bottom w:w="15" w:type="dxa"/>
              <w:right w:w="0" w:type="dxa"/>
            </w:tcMar>
            <w:vAlign w:val="center"/>
            <w:hideMark/>
          </w:tcPr>
          <w:p w14:paraId="67277BB5"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70C1B088" w14:textId="77777777" w:rsidR="00000000" w:rsidRDefault="0053651E">
            <w:pPr>
              <w:rPr>
                <w:rFonts w:eastAsia="Times New Roman"/>
                <w:sz w:val="20"/>
                <w:szCs w:val="20"/>
              </w:rPr>
            </w:pPr>
            <w:r>
              <w:rPr>
                <w:rFonts w:eastAsia="Times New Roman"/>
                <w:sz w:val="20"/>
                <w:szCs w:val="20"/>
              </w:rPr>
              <w:t> </w:t>
            </w:r>
          </w:p>
        </w:tc>
        <w:tc>
          <w:tcPr>
            <w:tcW w:w="50" w:type="pct"/>
            <w:vAlign w:val="center"/>
            <w:hideMark/>
          </w:tcPr>
          <w:p w14:paraId="519E532E" w14:textId="77777777" w:rsidR="00000000" w:rsidRDefault="0053651E">
            <w:pPr>
              <w:rPr>
                <w:rFonts w:eastAsia="Times New Roman"/>
                <w:sz w:val="20"/>
                <w:szCs w:val="20"/>
              </w:rPr>
            </w:pPr>
            <w:r>
              <w:rPr>
                <w:rFonts w:eastAsia="Times New Roman"/>
                <w:sz w:val="20"/>
                <w:szCs w:val="20"/>
              </w:rPr>
              <w:t> </w:t>
            </w:r>
          </w:p>
        </w:tc>
        <w:tc>
          <w:tcPr>
            <w:tcW w:w="600" w:type="pct"/>
            <w:vAlign w:val="center"/>
            <w:hideMark/>
          </w:tcPr>
          <w:p w14:paraId="41E9FCA1" w14:textId="77777777" w:rsidR="00000000" w:rsidRDefault="0053651E">
            <w:pPr>
              <w:jc w:val="right"/>
              <w:rPr>
                <w:rFonts w:eastAsia="Times New Roman"/>
                <w:sz w:val="20"/>
                <w:szCs w:val="20"/>
              </w:rPr>
            </w:pPr>
            <w:r>
              <w:rPr>
                <w:rFonts w:eastAsia="Times New Roman"/>
                <w:sz w:val="20"/>
                <w:szCs w:val="20"/>
              </w:rPr>
              <w:t>1,226</w:t>
            </w:r>
          </w:p>
        </w:tc>
        <w:tc>
          <w:tcPr>
            <w:tcW w:w="50" w:type="pct"/>
            <w:tcMar>
              <w:top w:w="0" w:type="dxa"/>
              <w:left w:w="0" w:type="dxa"/>
              <w:bottom w:w="15" w:type="dxa"/>
              <w:right w:w="0" w:type="dxa"/>
            </w:tcMar>
            <w:vAlign w:val="center"/>
            <w:hideMark/>
          </w:tcPr>
          <w:p w14:paraId="488D7C10" w14:textId="77777777" w:rsidR="00000000" w:rsidRDefault="0053651E">
            <w:pPr>
              <w:rPr>
                <w:rFonts w:eastAsia="Times New Roman"/>
                <w:sz w:val="20"/>
                <w:szCs w:val="20"/>
              </w:rPr>
            </w:pPr>
            <w:r>
              <w:rPr>
                <w:rFonts w:eastAsia="Times New Roman"/>
                <w:sz w:val="20"/>
                <w:szCs w:val="20"/>
              </w:rPr>
              <w:t> </w:t>
            </w:r>
          </w:p>
        </w:tc>
      </w:tr>
      <w:tr w:rsidR="00000000" w14:paraId="043210EC" w14:textId="77777777">
        <w:trPr>
          <w:tblCellSpacing w:w="0" w:type="dxa"/>
        </w:trPr>
        <w:tc>
          <w:tcPr>
            <w:tcW w:w="0" w:type="auto"/>
            <w:shd w:val="clear" w:color="auto" w:fill="CCEEFF"/>
            <w:vAlign w:val="bottom"/>
            <w:hideMark/>
          </w:tcPr>
          <w:p w14:paraId="221C5DCF" w14:textId="77777777" w:rsidR="00000000" w:rsidRDefault="0053651E">
            <w:pPr>
              <w:pStyle w:val="a3"/>
              <w:spacing w:before="0" w:beforeAutospacing="0" w:after="0" w:afterAutospacing="0"/>
              <w:ind w:left="180"/>
              <w:rPr>
                <w:sz w:val="20"/>
                <w:szCs w:val="20"/>
              </w:rPr>
            </w:pPr>
            <w:r>
              <w:rPr>
                <w:sz w:val="20"/>
                <w:szCs w:val="20"/>
              </w:rPr>
              <w:t>Other book/tax differences, net</w:t>
            </w:r>
          </w:p>
        </w:tc>
        <w:tc>
          <w:tcPr>
            <w:tcW w:w="50" w:type="pct"/>
            <w:shd w:val="clear" w:color="auto" w:fill="CCEEFF"/>
            <w:vAlign w:val="bottom"/>
            <w:hideMark/>
          </w:tcPr>
          <w:p w14:paraId="35478F7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55783BA"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9653296" w14:textId="77777777" w:rsidR="00000000" w:rsidRDefault="0053651E">
            <w:pPr>
              <w:jc w:val="right"/>
              <w:rPr>
                <w:rFonts w:eastAsia="Times New Roman"/>
                <w:sz w:val="20"/>
                <w:szCs w:val="20"/>
              </w:rPr>
            </w:pPr>
            <w:r>
              <w:rPr>
                <w:rFonts w:eastAsia="Times New Roman"/>
                <w:sz w:val="20"/>
                <w:szCs w:val="20"/>
              </w:rPr>
              <w:t>(3,166</w:t>
            </w:r>
          </w:p>
        </w:tc>
        <w:tc>
          <w:tcPr>
            <w:tcW w:w="50" w:type="pct"/>
            <w:shd w:val="clear" w:color="auto" w:fill="CCEEFF"/>
            <w:tcMar>
              <w:top w:w="0" w:type="dxa"/>
              <w:left w:w="0" w:type="dxa"/>
              <w:bottom w:w="15" w:type="dxa"/>
              <w:right w:w="0" w:type="dxa"/>
            </w:tcMar>
            <w:vAlign w:val="bottom"/>
            <w:hideMark/>
          </w:tcPr>
          <w:p w14:paraId="1A5291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C9C93D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DE024F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AF65EB6" w14:textId="77777777" w:rsidR="00000000" w:rsidRDefault="0053651E">
            <w:pPr>
              <w:jc w:val="right"/>
              <w:rPr>
                <w:rFonts w:eastAsia="Times New Roman"/>
                <w:sz w:val="20"/>
                <w:szCs w:val="20"/>
              </w:rPr>
            </w:pPr>
            <w:r>
              <w:rPr>
                <w:rFonts w:eastAsia="Times New Roman"/>
                <w:sz w:val="20"/>
                <w:szCs w:val="20"/>
              </w:rPr>
              <w:t>775</w:t>
            </w:r>
          </w:p>
        </w:tc>
        <w:tc>
          <w:tcPr>
            <w:tcW w:w="50" w:type="pct"/>
            <w:shd w:val="clear" w:color="auto" w:fill="CCEEFF"/>
            <w:tcMar>
              <w:top w:w="0" w:type="dxa"/>
              <w:left w:w="0" w:type="dxa"/>
              <w:bottom w:w="15" w:type="dxa"/>
              <w:right w:w="0" w:type="dxa"/>
            </w:tcMar>
            <w:vAlign w:val="bottom"/>
            <w:hideMark/>
          </w:tcPr>
          <w:p w14:paraId="489C3D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E448C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CC9F607"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AF059A9" w14:textId="77777777" w:rsidR="00000000" w:rsidRDefault="0053651E">
            <w:pPr>
              <w:jc w:val="right"/>
              <w:rPr>
                <w:rFonts w:eastAsia="Times New Roman"/>
                <w:sz w:val="20"/>
                <w:szCs w:val="20"/>
              </w:rPr>
            </w:pPr>
            <w:r>
              <w:rPr>
                <w:rFonts w:eastAsia="Times New Roman"/>
                <w:sz w:val="20"/>
                <w:szCs w:val="20"/>
              </w:rPr>
              <w:t>2,056</w:t>
            </w:r>
          </w:p>
        </w:tc>
        <w:tc>
          <w:tcPr>
            <w:tcW w:w="50" w:type="pct"/>
            <w:shd w:val="clear" w:color="auto" w:fill="CCEEFF"/>
            <w:tcMar>
              <w:top w:w="0" w:type="dxa"/>
              <w:left w:w="0" w:type="dxa"/>
              <w:bottom w:w="15" w:type="dxa"/>
              <w:right w:w="0" w:type="dxa"/>
            </w:tcMar>
            <w:vAlign w:val="bottom"/>
            <w:hideMark/>
          </w:tcPr>
          <w:p w14:paraId="71AC908B" w14:textId="77777777" w:rsidR="00000000" w:rsidRDefault="0053651E">
            <w:pPr>
              <w:rPr>
                <w:rFonts w:eastAsia="Times New Roman"/>
                <w:sz w:val="20"/>
                <w:szCs w:val="20"/>
              </w:rPr>
            </w:pPr>
            <w:r>
              <w:rPr>
                <w:rFonts w:eastAsia="Times New Roman"/>
                <w:sz w:val="20"/>
                <w:szCs w:val="20"/>
              </w:rPr>
              <w:t> </w:t>
            </w:r>
          </w:p>
        </w:tc>
      </w:tr>
      <w:tr w:rsidR="00000000" w14:paraId="4CF073E9" w14:textId="77777777">
        <w:trPr>
          <w:tblCellSpacing w:w="0" w:type="dxa"/>
        </w:trPr>
        <w:tc>
          <w:tcPr>
            <w:tcW w:w="0" w:type="auto"/>
            <w:shd w:val="clear" w:color="auto" w:fill="FFFFFF"/>
            <w:vAlign w:val="bottom"/>
            <w:hideMark/>
          </w:tcPr>
          <w:p w14:paraId="0FBFDAEB" w14:textId="77777777" w:rsidR="00000000" w:rsidRDefault="0053651E">
            <w:pPr>
              <w:pStyle w:val="a3"/>
              <w:spacing w:before="0" w:beforeAutospacing="0" w:after="0" w:afterAutospacing="0"/>
              <w:rPr>
                <w:sz w:val="20"/>
                <w:szCs w:val="20"/>
              </w:rPr>
            </w:pPr>
            <w:r>
              <w:rPr>
                <w:sz w:val="20"/>
                <w:szCs w:val="20"/>
              </w:rPr>
              <w:t>Adjusted REIT taxable income</w:t>
            </w:r>
          </w:p>
        </w:tc>
        <w:tc>
          <w:tcPr>
            <w:tcW w:w="50" w:type="pct"/>
            <w:shd w:val="clear" w:color="auto" w:fill="FFFFFF"/>
            <w:vAlign w:val="bottom"/>
            <w:hideMark/>
          </w:tcPr>
          <w:p w14:paraId="4E3E312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F07F75"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F5680A0" w14:textId="77777777" w:rsidR="00000000" w:rsidRDefault="0053651E">
            <w:pPr>
              <w:jc w:val="right"/>
              <w:rPr>
                <w:rFonts w:eastAsia="Times New Roman"/>
                <w:sz w:val="20"/>
                <w:szCs w:val="20"/>
              </w:rPr>
            </w:pPr>
            <w:r>
              <w:rPr>
                <w:rFonts w:eastAsia="Times New Roman"/>
                <w:sz w:val="20"/>
                <w:szCs w:val="20"/>
              </w:rPr>
              <w:t>484,852</w:t>
            </w:r>
          </w:p>
        </w:tc>
        <w:tc>
          <w:tcPr>
            <w:tcW w:w="50" w:type="pct"/>
            <w:shd w:val="clear" w:color="auto" w:fill="FFFFFF"/>
            <w:tcMar>
              <w:top w:w="0" w:type="dxa"/>
              <w:left w:w="0" w:type="dxa"/>
              <w:bottom w:w="45" w:type="dxa"/>
              <w:right w:w="0" w:type="dxa"/>
            </w:tcMar>
            <w:vAlign w:val="bottom"/>
            <w:hideMark/>
          </w:tcPr>
          <w:p w14:paraId="54913A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8927D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CAD98B"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B08934B" w14:textId="77777777" w:rsidR="00000000" w:rsidRDefault="0053651E">
            <w:pPr>
              <w:jc w:val="right"/>
              <w:rPr>
                <w:rFonts w:eastAsia="Times New Roman"/>
                <w:sz w:val="20"/>
                <w:szCs w:val="20"/>
              </w:rPr>
            </w:pPr>
            <w:r>
              <w:rPr>
                <w:rFonts w:eastAsia="Times New Roman"/>
                <w:sz w:val="20"/>
                <w:szCs w:val="20"/>
              </w:rPr>
              <w:t>527,045</w:t>
            </w:r>
          </w:p>
        </w:tc>
        <w:tc>
          <w:tcPr>
            <w:tcW w:w="50" w:type="pct"/>
            <w:shd w:val="clear" w:color="auto" w:fill="FFFFFF"/>
            <w:tcMar>
              <w:top w:w="0" w:type="dxa"/>
              <w:left w:w="0" w:type="dxa"/>
              <w:bottom w:w="45" w:type="dxa"/>
              <w:right w:w="0" w:type="dxa"/>
            </w:tcMar>
            <w:vAlign w:val="bottom"/>
            <w:hideMark/>
          </w:tcPr>
          <w:p w14:paraId="1307905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3A442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A569756"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6F8BD66" w14:textId="77777777" w:rsidR="00000000" w:rsidRDefault="0053651E">
            <w:pPr>
              <w:jc w:val="right"/>
              <w:rPr>
                <w:rFonts w:eastAsia="Times New Roman"/>
                <w:sz w:val="20"/>
                <w:szCs w:val="20"/>
              </w:rPr>
            </w:pPr>
            <w:r>
              <w:rPr>
                <w:rFonts w:eastAsia="Times New Roman"/>
                <w:sz w:val="20"/>
                <w:szCs w:val="20"/>
              </w:rPr>
              <w:t>311,196</w:t>
            </w:r>
          </w:p>
        </w:tc>
        <w:tc>
          <w:tcPr>
            <w:tcW w:w="50" w:type="pct"/>
            <w:shd w:val="clear" w:color="auto" w:fill="FFFFFF"/>
            <w:tcMar>
              <w:top w:w="0" w:type="dxa"/>
              <w:left w:w="0" w:type="dxa"/>
              <w:bottom w:w="45" w:type="dxa"/>
              <w:right w:w="0" w:type="dxa"/>
            </w:tcMar>
            <w:vAlign w:val="bottom"/>
            <w:hideMark/>
          </w:tcPr>
          <w:p w14:paraId="5F86AEE5" w14:textId="77777777" w:rsidR="00000000" w:rsidRDefault="0053651E">
            <w:pPr>
              <w:rPr>
                <w:rFonts w:eastAsia="Times New Roman"/>
                <w:sz w:val="20"/>
                <w:szCs w:val="20"/>
              </w:rPr>
            </w:pPr>
            <w:r>
              <w:rPr>
                <w:rFonts w:eastAsia="Times New Roman"/>
                <w:sz w:val="20"/>
                <w:szCs w:val="20"/>
              </w:rPr>
              <w:t> </w:t>
            </w:r>
          </w:p>
        </w:tc>
      </w:tr>
    </w:tbl>
    <w:p w14:paraId="3F9BA0FD" w14:textId="77777777" w:rsidR="00000000" w:rsidRDefault="0053651E">
      <w:pPr>
        <w:pStyle w:val="a3"/>
        <w:spacing w:before="0" w:beforeAutospacing="0" w:after="0" w:afterAutospacing="0"/>
        <w:ind w:left="360"/>
        <w:jc w:val="both"/>
        <w:rPr>
          <w:sz w:val="20"/>
          <w:szCs w:val="20"/>
        </w:rPr>
      </w:pPr>
      <w:r>
        <w:rPr>
          <w:sz w:val="20"/>
          <w:szCs w:val="20"/>
        </w:rPr>
        <w:t> </w:t>
      </w:r>
    </w:p>
    <w:p w14:paraId="507BE09A" w14:textId="77777777" w:rsidR="00000000" w:rsidRDefault="0053651E">
      <w:pPr>
        <w:pStyle w:val="a3"/>
        <w:spacing w:before="0" w:beforeAutospacing="0" w:after="0" w:afterAutospacing="0"/>
        <w:ind w:left="360"/>
        <w:jc w:val="both"/>
        <w:rPr>
          <w:sz w:val="20"/>
          <w:szCs w:val="20"/>
        </w:rPr>
      </w:pPr>
      <w:r>
        <w:rPr>
          <w:sz w:val="20"/>
          <w:szCs w:val="20"/>
        </w:rPr>
        <w:t>Certain amounts in the prior periods have been reclassified to conform to the current year presentation, in the table above.</w:t>
      </w:r>
    </w:p>
    <w:p w14:paraId="3B6453DB"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B828F3" w14:textId="77777777">
        <w:trPr>
          <w:tblCellSpacing w:w="0" w:type="dxa"/>
        </w:trPr>
        <w:tc>
          <w:tcPr>
            <w:tcW w:w="360" w:type="dxa"/>
            <w:hideMark/>
          </w:tcPr>
          <w:p w14:paraId="12F1BF38"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5F4185D5" w14:textId="77777777" w:rsidR="00000000" w:rsidRDefault="0053651E">
            <w:pPr>
              <w:pStyle w:val="a3"/>
              <w:spacing w:before="0" w:beforeAutospacing="0" w:after="0" w:afterAutospacing="0"/>
              <w:jc w:val="both"/>
              <w:rPr>
                <w:sz w:val="20"/>
                <w:szCs w:val="20"/>
              </w:rPr>
            </w:pPr>
            <w:r>
              <w:rPr>
                <w:sz w:val="20"/>
                <w:szCs w:val="20"/>
              </w:rPr>
              <w:t>All adjustments to "GAAP net income from REIT operations" are net of amounts attributable to noncontrolling interests and TRSs.</w:t>
            </w:r>
          </w:p>
        </w:tc>
      </w:tr>
    </w:tbl>
    <w:p w14:paraId="0707D3B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2A14CAB" w14:textId="77777777">
        <w:trPr>
          <w:tblCellSpacing w:w="0" w:type="dxa"/>
        </w:trPr>
        <w:tc>
          <w:tcPr>
            <w:tcW w:w="360" w:type="dxa"/>
            <w:hideMark/>
          </w:tcPr>
          <w:p w14:paraId="5250BF82"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7ECFBD62" w14:textId="77777777" w:rsidR="00000000" w:rsidRDefault="0053651E">
            <w:pPr>
              <w:pStyle w:val="a3"/>
              <w:spacing w:before="0" w:beforeAutospacing="0" w:after="0" w:afterAutospacing="0"/>
              <w:jc w:val="both"/>
              <w:rPr>
                <w:sz w:val="20"/>
                <w:szCs w:val="20"/>
              </w:rPr>
            </w:pPr>
            <w:r>
              <w:rPr>
                <w:sz w:val="20"/>
                <w:szCs w:val="20"/>
              </w:rPr>
              <w:t>In accordance with the Tax Cuts and Jobs Act, effective for tax years beginning on</w:t>
            </w:r>
            <w:r>
              <w:rPr>
                <w:sz w:val="20"/>
                <w:szCs w:val="20"/>
              </w:rPr>
              <w:t xml:space="preserve"> </w:t>
            </w:r>
            <w:r>
              <w:rPr>
                <w:rStyle w:val="a6"/>
                <w:i w:val="0"/>
                <w:iCs w:val="0"/>
                <w:sz w:val="20"/>
                <w:szCs w:val="20"/>
              </w:rPr>
              <w:t xml:space="preserve">January 1, 2018, </w:t>
            </w:r>
            <w:r>
              <w:rPr>
                <w:sz w:val="20"/>
                <w:szCs w:val="20"/>
              </w:rPr>
              <w:t>Section</w:t>
            </w:r>
            <w:r>
              <w:rPr>
                <w:sz w:val="20"/>
                <w:szCs w:val="20"/>
              </w:rPr>
              <w:t xml:space="preserve"> </w:t>
            </w:r>
            <w:r>
              <w:rPr>
                <w:rStyle w:val="a6"/>
                <w:i w:val="0"/>
                <w:iCs w:val="0"/>
                <w:sz w:val="20"/>
                <w:szCs w:val="20"/>
              </w:rPr>
              <w:t>162</w:t>
            </w:r>
            <w:r>
              <w:rPr>
                <w:sz w:val="20"/>
                <w:szCs w:val="20"/>
              </w:rPr>
              <w:t xml:space="preserve">(m) of the </w:t>
            </w:r>
            <w:r>
              <w:rPr>
                <w:sz w:val="20"/>
                <w:szCs w:val="20"/>
              </w:rPr>
              <w:t>Code a</w:t>
            </w:r>
            <w:r>
              <w:rPr>
                <w:sz w:val="20"/>
                <w:szCs w:val="20"/>
              </w:rPr>
              <w:t xml:space="preserve"> </w:t>
            </w:r>
            <w:r>
              <w:rPr>
                <w:rStyle w:val="a6"/>
                <w:i w:val="0"/>
                <w:iCs w:val="0"/>
                <w:sz w:val="20"/>
                <w:szCs w:val="20"/>
              </w:rPr>
              <w:t>$1.0</w:t>
            </w:r>
            <w:r>
              <w:rPr>
                <w:sz w:val="20"/>
                <w:szCs w:val="20"/>
              </w:rPr>
              <w:t xml:space="preserve"> million limit per executive was placed on the amount a company can deduct for executive compensation for each of their CEO, CFO and the other</w:t>
            </w:r>
            <w:r>
              <w:rPr>
                <w:sz w:val="20"/>
                <w:szCs w:val="20"/>
              </w:rPr>
              <w:t xml:space="preserve"> </w:t>
            </w:r>
            <w:r>
              <w:rPr>
                <w:rStyle w:val="a6"/>
                <w:i w:val="0"/>
                <w:iCs w:val="0"/>
                <w:sz w:val="20"/>
                <w:szCs w:val="20"/>
              </w:rPr>
              <w:t>three</w:t>
            </w:r>
            <w:r>
              <w:rPr>
                <w:sz w:val="20"/>
                <w:szCs w:val="20"/>
              </w:rPr>
              <w:t xml:space="preserve"> most highly paid executives.</w:t>
            </w:r>
          </w:p>
        </w:tc>
      </w:tr>
    </w:tbl>
    <w:p w14:paraId="0106FD8A" w14:textId="77777777" w:rsidR="00000000" w:rsidRDefault="0053651E">
      <w:pPr>
        <w:pStyle w:val="a3"/>
        <w:spacing w:before="0" w:beforeAutospacing="0" w:after="0" w:afterAutospacing="0"/>
        <w:jc w:val="both"/>
        <w:rPr>
          <w:sz w:val="20"/>
          <w:szCs w:val="20"/>
        </w:rPr>
      </w:pPr>
      <w:r>
        <w:rPr>
          <w:sz w:val="20"/>
          <w:szCs w:val="20"/>
        </w:rPr>
        <w:t> </w:t>
      </w:r>
    </w:p>
    <w:p w14:paraId="04393A35" w14:textId="77777777" w:rsidR="00000000" w:rsidRDefault="0053651E">
      <w:pPr>
        <w:jc w:val="center"/>
        <w:divId w:val="1273170366"/>
        <w:rPr>
          <w:rFonts w:eastAsia="Times New Roman"/>
          <w:sz w:val="20"/>
          <w:szCs w:val="20"/>
        </w:rPr>
      </w:pPr>
      <w:r>
        <w:rPr>
          <w:rStyle w:val="a6"/>
          <w:rFonts w:eastAsia="Times New Roman"/>
          <w:i w:val="0"/>
          <w:iCs w:val="0"/>
          <w:sz w:val="20"/>
          <w:szCs w:val="20"/>
        </w:rPr>
        <w:t>81</w:t>
      </w:r>
      <w:r>
        <w:rPr>
          <w:rFonts w:eastAsia="Times New Roman"/>
          <w:sz w:val="20"/>
          <w:szCs w:val="20"/>
        </w:rPr>
        <w:t xml:space="preserve"> </w:t>
      </w:r>
    </w:p>
    <w:p w14:paraId="227AA7AA" w14:textId="77777777" w:rsidR="00000000" w:rsidRDefault="0053651E">
      <w:pPr>
        <w:divId w:val="1273170366"/>
        <w:rPr>
          <w:rFonts w:eastAsia="Times New Roman"/>
          <w:sz w:val="20"/>
          <w:szCs w:val="20"/>
        </w:rPr>
      </w:pPr>
      <w:r>
        <w:rPr>
          <w:rFonts w:eastAsia="Times New Roman"/>
          <w:sz w:val="20"/>
          <w:szCs w:val="20"/>
        </w:rPr>
        <w:pict w14:anchorId="36CF1CA2">
          <v:rect id="_x0000_i1112" style="width:415.3pt;height:1.5pt" o:hralign="center" o:hrstd="t" o:hrnoshade="t" o:hr="t" fillcolor="black" stroked="f"/>
        </w:pict>
      </w:r>
    </w:p>
    <w:p w14:paraId="567EF61C" w14:textId="77777777" w:rsidR="00000000" w:rsidRDefault="0053651E">
      <w:pPr>
        <w:divId w:val="12731703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B47BEB" w14:textId="77777777" w:rsidR="00000000" w:rsidRDefault="0053651E">
      <w:pPr>
        <w:pStyle w:val="a3"/>
        <w:spacing w:before="0" w:beforeAutospacing="0" w:after="0" w:afterAutospacing="0"/>
        <w:rPr>
          <w:sz w:val="20"/>
          <w:szCs w:val="20"/>
        </w:rPr>
      </w:pPr>
      <w:r>
        <w:rPr>
          <w:sz w:val="20"/>
          <w:szCs w:val="20"/>
        </w:rPr>
        <w:t> </w:t>
      </w:r>
    </w:p>
    <w:p w14:paraId="2A02C7DB"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47B9DC19" w14:textId="77777777" w:rsidR="00000000" w:rsidRDefault="0053651E">
      <w:pPr>
        <w:pStyle w:val="a3"/>
        <w:spacing w:before="0" w:beforeAutospacing="0" w:after="0" w:afterAutospacing="0"/>
        <w:jc w:val="center"/>
        <w:rPr>
          <w:sz w:val="20"/>
          <w:szCs w:val="20"/>
        </w:rPr>
      </w:pPr>
      <w:r>
        <w:rPr>
          <w:sz w:val="20"/>
          <w:szCs w:val="20"/>
        </w:rPr>
        <w:t> </w:t>
      </w:r>
    </w:p>
    <w:p w14:paraId="403D861F"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134F2157" w14:textId="77777777" w:rsidR="00000000" w:rsidRDefault="0053651E">
      <w:pPr>
        <w:pStyle w:val="a3"/>
        <w:spacing w:before="0" w:beforeAutospacing="0" w:after="0" w:afterAutospacing="0"/>
        <w:rPr>
          <w:sz w:val="20"/>
          <w:szCs w:val="20"/>
        </w:rPr>
      </w:pPr>
      <w:r>
        <w:rPr>
          <w:sz w:val="20"/>
          <w:szCs w:val="20"/>
        </w:rPr>
        <w:t> </w:t>
      </w:r>
    </w:p>
    <w:p w14:paraId="5DBEC46B" w14:textId="77777777" w:rsidR="00000000" w:rsidRDefault="0053651E">
      <w:pPr>
        <w:pStyle w:val="a3"/>
        <w:spacing w:before="0" w:beforeAutospacing="0" w:after="0" w:afterAutospacing="0"/>
        <w:ind w:left="360"/>
        <w:rPr>
          <w:sz w:val="20"/>
          <w:szCs w:val="20"/>
        </w:rPr>
      </w:pPr>
      <w:r>
        <w:rPr>
          <w:i/>
          <w:iCs/>
          <w:sz w:val="20"/>
          <w:szCs w:val="20"/>
        </w:rPr>
        <w:t>Characterization of Distributions</w:t>
      </w:r>
    </w:p>
    <w:p w14:paraId="7A823773" w14:textId="77777777" w:rsidR="00000000" w:rsidRDefault="0053651E">
      <w:pPr>
        <w:pStyle w:val="a3"/>
        <w:spacing w:before="0" w:beforeAutospacing="0" w:after="0" w:afterAutospacing="0"/>
        <w:ind w:left="360"/>
        <w:jc w:val="both"/>
        <w:rPr>
          <w:sz w:val="20"/>
          <w:szCs w:val="20"/>
        </w:rPr>
      </w:pPr>
      <w:r>
        <w:rPr>
          <w:sz w:val="20"/>
          <w:szCs w:val="20"/>
        </w:rPr>
        <w:t> </w:t>
      </w:r>
    </w:p>
    <w:p w14:paraId="70963D45" w14:textId="77777777" w:rsidR="00000000" w:rsidRDefault="0053651E">
      <w:pPr>
        <w:pStyle w:val="a3"/>
        <w:spacing w:before="0" w:beforeAutospacing="0" w:after="0" w:afterAutospacing="0"/>
        <w:ind w:left="360"/>
        <w:jc w:val="both"/>
        <w:rPr>
          <w:sz w:val="20"/>
          <w:szCs w:val="20"/>
        </w:rPr>
      </w:pPr>
      <w:r>
        <w:rPr>
          <w:sz w:val="20"/>
          <w:szCs w:val="20"/>
        </w:rPr>
        <w:t>The following characterizes distributions paid for tax purposes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and</w:t>
      </w:r>
      <w:r>
        <w:rPr>
          <w:sz w:val="20"/>
          <w:szCs w:val="20"/>
        </w:rPr>
        <w:t xml:space="preserve"> </w:t>
      </w:r>
      <w:r>
        <w:rPr>
          <w:rStyle w:val="a6"/>
          <w:i w:val="0"/>
          <w:iCs w:val="0"/>
          <w:sz w:val="20"/>
          <w:szCs w:val="20"/>
        </w:rPr>
        <w:t>2017,</w:t>
      </w:r>
      <w:r>
        <w:rPr>
          <w:sz w:val="20"/>
          <w:szCs w:val="20"/>
        </w:rPr>
        <w:t xml:space="preserve"> (amounts in thousands):</w:t>
      </w:r>
    </w:p>
    <w:p w14:paraId="4EB98211"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191"/>
        <w:gridCol w:w="61"/>
        <w:gridCol w:w="100"/>
        <w:gridCol w:w="692"/>
        <w:gridCol w:w="61"/>
        <w:gridCol w:w="62"/>
        <w:gridCol w:w="62"/>
        <w:gridCol w:w="693"/>
        <w:gridCol w:w="167"/>
        <w:gridCol w:w="62"/>
        <w:gridCol w:w="100"/>
        <w:gridCol w:w="693"/>
        <w:gridCol w:w="62"/>
        <w:gridCol w:w="62"/>
        <w:gridCol w:w="62"/>
        <w:gridCol w:w="693"/>
        <w:gridCol w:w="167"/>
        <w:gridCol w:w="62"/>
        <w:gridCol w:w="100"/>
        <w:gridCol w:w="693"/>
        <w:gridCol w:w="62"/>
        <w:gridCol w:w="62"/>
        <w:gridCol w:w="62"/>
        <w:gridCol w:w="693"/>
        <w:gridCol w:w="167"/>
      </w:tblGrid>
      <w:tr w:rsidR="00000000" w14:paraId="602EE239" w14:textId="77777777">
        <w:trPr>
          <w:tblCellSpacing w:w="0" w:type="dxa"/>
        </w:trPr>
        <w:tc>
          <w:tcPr>
            <w:tcW w:w="1400" w:type="pct"/>
            <w:vAlign w:val="bottom"/>
            <w:hideMark/>
          </w:tcPr>
          <w:p w14:paraId="3DBFA5B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C45014B" w14:textId="77777777" w:rsidR="00000000" w:rsidRDefault="0053651E">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14:paraId="7E4F93B4" w14:textId="77777777" w:rsidR="00000000" w:rsidRDefault="0053651E">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4DE24B2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D6A5DF3" w14:textId="77777777" w:rsidR="00000000" w:rsidRDefault="0053651E">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14:paraId="74A32F5B" w14:textId="77777777" w:rsidR="00000000" w:rsidRDefault="0053651E">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335CAE7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59E078A" w14:textId="77777777" w:rsidR="00000000" w:rsidRDefault="0053651E">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14:paraId="1A93F9B9" w14:textId="77777777" w:rsidR="00000000" w:rsidRDefault="0053651E">
            <w:pPr>
              <w:pStyle w:val="a3"/>
              <w:spacing w:before="0" w:beforeAutospacing="0" w:after="0" w:afterAutospacing="0"/>
              <w:jc w:val="center"/>
              <w:rPr>
                <w:sz w:val="20"/>
                <w:szCs w:val="20"/>
              </w:rPr>
            </w:pPr>
            <w:r>
              <w:rPr>
                <w:b/>
                <w:bCs/>
                <w:sz w:val="20"/>
                <w:szCs w:val="20"/>
              </w:rPr>
              <w:t>2017</w:t>
            </w:r>
          </w:p>
        </w:tc>
        <w:tc>
          <w:tcPr>
            <w:tcW w:w="50" w:type="pct"/>
            <w:tcMar>
              <w:top w:w="0" w:type="dxa"/>
              <w:left w:w="0" w:type="dxa"/>
              <w:bottom w:w="15" w:type="dxa"/>
              <w:right w:w="0" w:type="dxa"/>
            </w:tcMar>
            <w:vAlign w:val="bottom"/>
            <w:hideMark/>
          </w:tcPr>
          <w:p w14:paraId="39DFF7B6" w14:textId="77777777" w:rsidR="00000000" w:rsidRDefault="0053651E">
            <w:pPr>
              <w:rPr>
                <w:rFonts w:eastAsia="Times New Roman"/>
                <w:sz w:val="20"/>
                <w:szCs w:val="20"/>
              </w:rPr>
            </w:pPr>
            <w:r>
              <w:rPr>
                <w:rFonts w:eastAsia="Times New Roman"/>
                <w:sz w:val="20"/>
                <w:szCs w:val="20"/>
              </w:rPr>
              <w:t> </w:t>
            </w:r>
          </w:p>
        </w:tc>
      </w:tr>
      <w:tr w:rsidR="00000000" w14:paraId="6B8303AC" w14:textId="77777777">
        <w:trPr>
          <w:tblCellSpacing w:w="0" w:type="dxa"/>
        </w:trPr>
        <w:tc>
          <w:tcPr>
            <w:tcW w:w="1400" w:type="pct"/>
            <w:shd w:val="clear" w:color="auto" w:fill="CCEEFF"/>
            <w:vAlign w:val="bottom"/>
            <w:hideMark/>
          </w:tcPr>
          <w:p w14:paraId="01A98E23" w14:textId="77777777" w:rsidR="00000000" w:rsidRDefault="0053651E">
            <w:pPr>
              <w:pStyle w:val="a3"/>
              <w:spacing w:before="0" w:beforeAutospacing="0" w:after="0" w:afterAutospacing="0"/>
              <w:rPr>
                <w:sz w:val="20"/>
                <w:szCs w:val="20"/>
              </w:rPr>
            </w:pPr>
            <w:r>
              <w:rPr>
                <w:sz w:val="20"/>
                <w:szCs w:val="20"/>
                <w:u w:val="single"/>
              </w:rPr>
              <w:t>Preferred I Dividends</w:t>
            </w:r>
          </w:p>
        </w:tc>
        <w:tc>
          <w:tcPr>
            <w:tcW w:w="50" w:type="pct"/>
            <w:shd w:val="clear" w:color="auto" w:fill="CCEEFF"/>
            <w:vAlign w:val="bottom"/>
            <w:hideMark/>
          </w:tcPr>
          <w:p w14:paraId="60BE77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004E0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4BF49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85BB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892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66331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C1FA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E2D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0539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7DC0D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5C0A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0C40F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2459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84056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D0B7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0F58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D00B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F577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ABF3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A002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83DB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9B91B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630F4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2BB9C8" w14:textId="77777777" w:rsidR="00000000" w:rsidRDefault="0053651E">
            <w:pPr>
              <w:rPr>
                <w:rFonts w:eastAsia="Times New Roman"/>
                <w:sz w:val="20"/>
                <w:szCs w:val="20"/>
              </w:rPr>
            </w:pPr>
            <w:r>
              <w:rPr>
                <w:rFonts w:eastAsia="Times New Roman"/>
                <w:sz w:val="20"/>
                <w:szCs w:val="20"/>
              </w:rPr>
              <w:t> </w:t>
            </w:r>
          </w:p>
        </w:tc>
      </w:tr>
      <w:tr w:rsidR="00000000" w14:paraId="3EE2FE67" w14:textId="77777777">
        <w:trPr>
          <w:tblCellSpacing w:w="0" w:type="dxa"/>
        </w:trPr>
        <w:tc>
          <w:tcPr>
            <w:tcW w:w="1400" w:type="pct"/>
            <w:shd w:val="clear" w:color="auto" w:fill="FFFFFF"/>
            <w:vAlign w:val="bottom"/>
            <w:hideMark/>
          </w:tcPr>
          <w:p w14:paraId="1C30CB68"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16F81A3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137E9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1ED0874" w14:textId="77777777" w:rsidR="00000000" w:rsidRDefault="0053651E">
            <w:pPr>
              <w:jc w:val="right"/>
              <w:rPr>
                <w:rFonts w:eastAsia="Times New Roman"/>
                <w:sz w:val="20"/>
                <w:szCs w:val="20"/>
              </w:rPr>
            </w:pPr>
            <w:r>
              <w:rPr>
                <w:rFonts w:eastAsia="Times New Roman"/>
                <w:sz w:val="20"/>
                <w:szCs w:val="20"/>
              </w:rPr>
              <w:t>7,389</w:t>
            </w:r>
          </w:p>
        </w:tc>
        <w:tc>
          <w:tcPr>
            <w:tcW w:w="50" w:type="pct"/>
            <w:shd w:val="clear" w:color="auto" w:fill="FFFFFF"/>
            <w:vAlign w:val="bottom"/>
            <w:hideMark/>
          </w:tcPr>
          <w:p w14:paraId="0D6A25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2F83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6CBA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67F9BC3" w14:textId="77777777" w:rsidR="00000000" w:rsidRDefault="0053651E">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5887565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B0915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873F0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0D88C562" w14:textId="77777777" w:rsidR="00000000" w:rsidRDefault="0053651E">
            <w:pPr>
              <w:jc w:val="right"/>
              <w:rPr>
                <w:rFonts w:eastAsia="Times New Roman"/>
                <w:sz w:val="20"/>
                <w:szCs w:val="20"/>
              </w:rPr>
            </w:pPr>
            <w:r>
              <w:rPr>
                <w:rFonts w:eastAsia="Times New Roman"/>
                <w:sz w:val="20"/>
                <w:szCs w:val="20"/>
              </w:rPr>
              <w:t>5,565</w:t>
            </w:r>
          </w:p>
        </w:tc>
        <w:tc>
          <w:tcPr>
            <w:tcW w:w="50" w:type="pct"/>
            <w:shd w:val="clear" w:color="auto" w:fill="FFFFFF"/>
            <w:vAlign w:val="bottom"/>
            <w:hideMark/>
          </w:tcPr>
          <w:p w14:paraId="530907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5FB43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919AE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F0E34A" w14:textId="77777777" w:rsidR="00000000" w:rsidRDefault="0053651E">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7E4C7761"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68CBA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E90559"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97F2476" w14:textId="77777777" w:rsidR="00000000" w:rsidRDefault="0053651E">
            <w:pPr>
              <w:jc w:val="right"/>
              <w:rPr>
                <w:rFonts w:eastAsia="Times New Roman"/>
                <w:sz w:val="20"/>
                <w:szCs w:val="20"/>
              </w:rPr>
            </w:pPr>
            <w:r>
              <w:rPr>
                <w:rFonts w:eastAsia="Times New Roman"/>
                <w:sz w:val="20"/>
                <w:szCs w:val="20"/>
              </w:rPr>
              <w:t>21,636</w:t>
            </w:r>
          </w:p>
        </w:tc>
        <w:tc>
          <w:tcPr>
            <w:tcW w:w="50" w:type="pct"/>
            <w:shd w:val="clear" w:color="auto" w:fill="FFFFFF"/>
            <w:vAlign w:val="bottom"/>
            <w:hideMark/>
          </w:tcPr>
          <w:p w14:paraId="7DA6A9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D086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CB04E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E8796A3" w14:textId="77777777" w:rsidR="00000000" w:rsidRDefault="0053651E">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14:paraId="12AAD611" w14:textId="77777777" w:rsidR="00000000" w:rsidRDefault="0053651E">
            <w:pPr>
              <w:rPr>
                <w:rFonts w:eastAsia="Times New Roman"/>
                <w:sz w:val="20"/>
                <w:szCs w:val="20"/>
              </w:rPr>
            </w:pPr>
            <w:r>
              <w:rPr>
                <w:rFonts w:eastAsia="Times New Roman"/>
                <w:sz w:val="20"/>
                <w:szCs w:val="20"/>
              </w:rPr>
              <w:t>%</w:t>
            </w:r>
          </w:p>
        </w:tc>
      </w:tr>
      <w:tr w:rsidR="00000000" w14:paraId="3CB8664C" w14:textId="77777777">
        <w:trPr>
          <w:tblCellSpacing w:w="0" w:type="dxa"/>
        </w:trPr>
        <w:tc>
          <w:tcPr>
            <w:tcW w:w="1400" w:type="pct"/>
            <w:shd w:val="clear" w:color="auto" w:fill="CCEEFF"/>
            <w:vAlign w:val="bottom"/>
            <w:hideMark/>
          </w:tcPr>
          <w:p w14:paraId="2546800C"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1CAB22E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66C9E3"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E5BFEBA" w14:textId="77777777" w:rsidR="00000000" w:rsidRDefault="0053651E">
            <w:pPr>
              <w:jc w:val="right"/>
              <w:rPr>
                <w:rFonts w:eastAsia="Times New Roman"/>
                <w:sz w:val="20"/>
                <w:szCs w:val="20"/>
              </w:rPr>
            </w:pPr>
            <w:r>
              <w:rPr>
                <w:rFonts w:eastAsia="Times New Roman"/>
                <w:sz w:val="20"/>
                <w:szCs w:val="20"/>
              </w:rPr>
              <w:t>2,207</w:t>
            </w:r>
          </w:p>
        </w:tc>
        <w:tc>
          <w:tcPr>
            <w:tcW w:w="50" w:type="pct"/>
            <w:shd w:val="clear" w:color="auto" w:fill="CCEEFF"/>
            <w:tcMar>
              <w:top w:w="0" w:type="dxa"/>
              <w:left w:w="0" w:type="dxa"/>
              <w:bottom w:w="15" w:type="dxa"/>
              <w:right w:w="0" w:type="dxa"/>
            </w:tcMar>
            <w:vAlign w:val="bottom"/>
            <w:hideMark/>
          </w:tcPr>
          <w:p w14:paraId="6A4809B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AADEF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E38B03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FCD7CA2"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14:paraId="69332B7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B18560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A9B29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C355FE3" w14:textId="77777777" w:rsidR="00000000" w:rsidRDefault="0053651E">
            <w:pPr>
              <w:jc w:val="right"/>
              <w:rPr>
                <w:rFonts w:eastAsia="Times New Roman"/>
                <w:sz w:val="20"/>
                <w:szCs w:val="20"/>
              </w:rPr>
            </w:pPr>
            <w:r>
              <w:rPr>
                <w:rFonts w:eastAsia="Times New Roman"/>
                <w:sz w:val="20"/>
                <w:szCs w:val="20"/>
              </w:rPr>
              <w:t>4,935</w:t>
            </w:r>
          </w:p>
        </w:tc>
        <w:tc>
          <w:tcPr>
            <w:tcW w:w="50" w:type="pct"/>
            <w:shd w:val="clear" w:color="auto" w:fill="CCEEFF"/>
            <w:tcMar>
              <w:top w:w="0" w:type="dxa"/>
              <w:left w:w="0" w:type="dxa"/>
              <w:bottom w:w="15" w:type="dxa"/>
              <w:right w:w="0" w:type="dxa"/>
            </w:tcMar>
            <w:vAlign w:val="bottom"/>
            <w:hideMark/>
          </w:tcPr>
          <w:p w14:paraId="36AC6C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E8C4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17834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D137F86"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00101DE3"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55737A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FEBF4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0FC3A50" w14:textId="77777777" w:rsidR="00000000" w:rsidRDefault="0053651E">
            <w:pPr>
              <w:jc w:val="right"/>
              <w:rPr>
                <w:rFonts w:eastAsia="Times New Roman"/>
                <w:sz w:val="20"/>
                <w:szCs w:val="20"/>
              </w:rPr>
            </w:pPr>
            <w:r>
              <w:rPr>
                <w:rFonts w:eastAsia="Times New Roman"/>
                <w:sz w:val="20"/>
                <w:szCs w:val="20"/>
              </w:rPr>
              <w:t>902</w:t>
            </w:r>
          </w:p>
        </w:tc>
        <w:tc>
          <w:tcPr>
            <w:tcW w:w="50" w:type="pct"/>
            <w:shd w:val="clear" w:color="auto" w:fill="CCEEFF"/>
            <w:tcMar>
              <w:top w:w="0" w:type="dxa"/>
              <w:left w:w="0" w:type="dxa"/>
              <w:bottom w:w="15" w:type="dxa"/>
              <w:right w:w="0" w:type="dxa"/>
            </w:tcMar>
            <w:vAlign w:val="bottom"/>
            <w:hideMark/>
          </w:tcPr>
          <w:p w14:paraId="5755CFB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0EE30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028F9F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F0AFBFC"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CCEEFF"/>
            <w:tcMar>
              <w:top w:w="0" w:type="dxa"/>
              <w:left w:w="0" w:type="dxa"/>
              <w:bottom w:w="15" w:type="dxa"/>
              <w:right w:w="0" w:type="dxa"/>
            </w:tcMar>
            <w:vAlign w:val="bottom"/>
            <w:hideMark/>
          </w:tcPr>
          <w:p w14:paraId="0371B84F" w14:textId="77777777" w:rsidR="00000000" w:rsidRDefault="0053651E">
            <w:pPr>
              <w:rPr>
                <w:rFonts w:eastAsia="Times New Roman"/>
                <w:sz w:val="20"/>
                <w:szCs w:val="20"/>
              </w:rPr>
            </w:pPr>
            <w:r>
              <w:rPr>
                <w:rFonts w:eastAsia="Times New Roman"/>
                <w:sz w:val="20"/>
                <w:szCs w:val="20"/>
              </w:rPr>
              <w:t>%</w:t>
            </w:r>
          </w:p>
        </w:tc>
      </w:tr>
      <w:tr w:rsidR="00000000" w14:paraId="1EE519B6" w14:textId="77777777">
        <w:trPr>
          <w:tblCellSpacing w:w="0" w:type="dxa"/>
        </w:trPr>
        <w:tc>
          <w:tcPr>
            <w:tcW w:w="1400" w:type="pct"/>
            <w:shd w:val="clear" w:color="auto" w:fill="FFFFFF"/>
            <w:vAlign w:val="bottom"/>
            <w:hideMark/>
          </w:tcPr>
          <w:p w14:paraId="093942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C89B3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EF689A1"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30AD5CE" w14:textId="77777777" w:rsidR="00000000" w:rsidRDefault="0053651E">
            <w:pPr>
              <w:jc w:val="right"/>
              <w:rPr>
                <w:rFonts w:eastAsia="Times New Roman"/>
                <w:sz w:val="20"/>
                <w:szCs w:val="20"/>
              </w:rPr>
            </w:pPr>
            <w:r>
              <w:rPr>
                <w:rFonts w:eastAsia="Times New Roman"/>
                <w:sz w:val="20"/>
                <w:szCs w:val="20"/>
              </w:rPr>
              <w:t>9,596</w:t>
            </w:r>
          </w:p>
        </w:tc>
        <w:tc>
          <w:tcPr>
            <w:tcW w:w="50" w:type="pct"/>
            <w:shd w:val="clear" w:color="auto" w:fill="FFFFFF"/>
            <w:tcMar>
              <w:top w:w="0" w:type="dxa"/>
              <w:left w:w="0" w:type="dxa"/>
              <w:bottom w:w="15" w:type="dxa"/>
              <w:right w:w="0" w:type="dxa"/>
            </w:tcMar>
            <w:vAlign w:val="bottom"/>
            <w:hideMark/>
          </w:tcPr>
          <w:p w14:paraId="31B924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B5E10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A869513"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811B0FA"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29BF2DB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64925C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F3B703A"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064D439B" w14:textId="77777777" w:rsidR="00000000" w:rsidRDefault="0053651E">
            <w:pPr>
              <w:jc w:val="right"/>
              <w:rPr>
                <w:rFonts w:eastAsia="Times New Roman"/>
                <w:sz w:val="20"/>
                <w:szCs w:val="20"/>
              </w:rPr>
            </w:pPr>
            <w:r>
              <w:rPr>
                <w:rFonts w:eastAsia="Times New Roman"/>
                <w:sz w:val="20"/>
                <w:szCs w:val="20"/>
              </w:rPr>
              <w:t>10,500</w:t>
            </w:r>
          </w:p>
        </w:tc>
        <w:tc>
          <w:tcPr>
            <w:tcW w:w="50" w:type="pct"/>
            <w:shd w:val="clear" w:color="auto" w:fill="FFFFFF"/>
            <w:tcMar>
              <w:top w:w="0" w:type="dxa"/>
              <w:left w:w="0" w:type="dxa"/>
              <w:bottom w:w="15" w:type="dxa"/>
              <w:right w:w="0" w:type="dxa"/>
            </w:tcMar>
            <w:vAlign w:val="bottom"/>
            <w:hideMark/>
          </w:tcPr>
          <w:p w14:paraId="5D273F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B4CE2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454C1AC"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296BCBA"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6BD2EBD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5AF2AE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C0E5B9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DDD01CE" w14:textId="77777777" w:rsidR="00000000" w:rsidRDefault="0053651E">
            <w:pPr>
              <w:jc w:val="right"/>
              <w:rPr>
                <w:rFonts w:eastAsia="Times New Roman"/>
                <w:sz w:val="20"/>
                <w:szCs w:val="20"/>
              </w:rPr>
            </w:pPr>
            <w:r>
              <w:rPr>
                <w:rFonts w:eastAsia="Times New Roman"/>
                <w:sz w:val="20"/>
                <w:szCs w:val="20"/>
              </w:rPr>
              <w:t>22,538</w:t>
            </w:r>
          </w:p>
        </w:tc>
        <w:tc>
          <w:tcPr>
            <w:tcW w:w="50" w:type="pct"/>
            <w:shd w:val="clear" w:color="auto" w:fill="FFFFFF"/>
            <w:tcMar>
              <w:top w:w="0" w:type="dxa"/>
              <w:left w:w="0" w:type="dxa"/>
              <w:bottom w:w="15" w:type="dxa"/>
              <w:right w:w="0" w:type="dxa"/>
            </w:tcMar>
            <w:vAlign w:val="bottom"/>
            <w:hideMark/>
          </w:tcPr>
          <w:p w14:paraId="329B14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61E21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2C04E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3C48BED"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1638DF8E" w14:textId="77777777" w:rsidR="00000000" w:rsidRDefault="0053651E">
            <w:pPr>
              <w:rPr>
                <w:rFonts w:eastAsia="Times New Roman"/>
                <w:sz w:val="20"/>
                <w:szCs w:val="20"/>
              </w:rPr>
            </w:pPr>
            <w:r>
              <w:rPr>
                <w:rFonts w:eastAsia="Times New Roman"/>
                <w:sz w:val="20"/>
                <w:szCs w:val="20"/>
              </w:rPr>
              <w:t>%</w:t>
            </w:r>
          </w:p>
        </w:tc>
      </w:tr>
      <w:tr w:rsidR="00000000" w14:paraId="1ADEEF09" w14:textId="77777777">
        <w:trPr>
          <w:tblCellSpacing w:w="0" w:type="dxa"/>
        </w:trPr>
        <w:tc>
          <w:tcPr>
            <w:tcW w:w="1400" w:type="pct"/>
            <w:shd w:val="clear" w:color="auto" w:fill="CCEEFF"/>
            <w:vAlign w:val="bottom"/>
            <w:hideMark/>
          </w:tcPr>
          <w:p w14:paraId="56182DC3" w14:textId="77777777" w:rsidR="00000000" w:rsidRDefault="0053651E">
            <w:pPr>
              <w:pStyle w:val="a3"/>
              <w:spacing w:before="0" w:beforeAutospacing="0" w:after="0" w:afterAutospacing="0"/>
              <w:rPr>
                <w:sz w:val="20"/>
                <w:szCs w:val="20"/>
              </w:rPr>
            </w:pPr>
            <w:r>
              <w:rPr>
                <w:sz w:val="20"/>
                <w:szCs w:val="20"/>
                <w:u w:val="single"/>
              </w:rPr>
              <w:t>Preferred J Dividends</w:t>
            </w:r>
          </w:p>
        </w:tc>
        <w:tc>
          <w:tcPr>
            <w:tcW w:w="50" w:type="pct"/>
            <w:shd w:val="clear" w:color="auto" w:fill="CCEEFF"/>
            <w:vAlign w:val="bottom"/>
            <w:hideMark/>
          </w:tcPr>
          <w:p w14:paraId="78A079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24CB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35698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383A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1C3A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4858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841F4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AFE0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50BA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1BDEA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39C1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B1D5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6299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A56AB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3FB4F6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2154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AAA3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52F7D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FA52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33A5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5901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A9706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449CF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9F9334" w14:textId="77777777" w:rsidR="00000000" w:rsidRDefault="0053651E">
            <w:pPr>
              <w:rPr>
                <w:rFonts w:eastAsia="Times New Roman"/>
                <w:sz w:val="20"/>
                <w:szCs w:val="20"/>
              </w:rPr>
            </w:pPr>
            <w:r>
              <w:rPr>
                <w:rFonts w:eastAsia="Times New Roman"/>
                <w:sz w:val="20"/>
                <w:szCs w:val="20"/>
              </w:rPr>
              <w:t> </w:t>
            </w:r>
          </w:p>
        </w:tc>
      </w:tr>
      <w:tr w:rsidR="00000000" w14:paraId="5FFDE0BA" w14:textId="77777777">
        <w:trPr>
          <w:tblCellSpacing w:w="0" w:type="dxa"/>
        </w:trPr>
        <w:tc>
          <w:tcPr>
            <w:tcW w:w="1400" w:type="pct"/>
            <w:shd w:val="clear" w:color="auto" w:fill="FFFFFF"/>
            <w:vAlign w:val="bottom"/>
            <w:hideMark/>
          </w:tcPr>
          <w:p w14:paraId="7584E822"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06CA65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A790BF"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068A8C8" w14:textId="77777777" w:rsidR="00000000" w:rsidRDefault="0053651E">
            <w:pPr>
              <w:jc w:val="right"/>
              <w:rPr>
                <w:rFonts w:eastAsia="Times New Roman"/>
                <w:sz w:val="20"/>
                <w:szCs w:val="20"/>
              </w:rPr>
            </w:pPr>
            <w:r>
              <w:rPr>
                <w:rFonts w:eastAsia="Times New Roman"/>
                <w:sz w:val="20"/>
                <w:szCs w:val="20"/>
              </w:rPr>
              <w:t>11,541</w:t>
            </w:r>
          </w:p>
        </w:tc>
        <w:tc>
          <w:tcPr>
            <w:tcW w:w="50" w:type="pct"/>
            <w:shd w:val="clear" w:color="auto" w:fill="FFFFFF"/>
            <w:vAlign w:val="bottom"/>
            <w:hideMark/>
          </w:tcPr>
          <w:p w14:paraId="0A1FDF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D742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28D1E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0AA646" w14:textId="77777777" w:rsidR="00000000" w:rsidRDefault="0053651E">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7C99AD5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E9C8B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AAED6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661F397" w14:textId="77777777" w:rsidR="00000000" w:rsidRDefault="0053651E">
            <w:pPr>
              <w:jc w:val="right"/>
              <w:rPr>
                <w:rFonts w:eastAsia="Times New Roman"/>
                <w:sz w:val="20"/>
                <w:szCs w:val="20"/>
              </w:rPr>
            </w:pPr>
            <w:r>
              <w:rPr>
                <w:rFonts w:eastAsia="Times New Roman"/>
                <w:sz w:val="20"/>
                <w:szCs w:val="20"/>
              </w:rPr>
              <w:t>6,559</w:t>
            </w:r>
          </w:p>
        </w:tc>
        <w:tc>
          <w:tcPr>
            <w:tcW w:w="50" w:type="pct"/>
            <w:shd w:val="clear" w:color="auto" w:fill="FFFFFF"/>
            <w:vAlign w:val="bottom"/>
            <w:hideMark/>
          </w:tcPr>
          <w:p w14:paraId="16CAAE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9B7C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F7FB6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77480A6" w14:textId="77777777" w:rsidR="00000000" w:rsidRDefault="0053651E">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7B783F3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F1EE6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6A5A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5BD53DA" w14:textId="77777777" w:rsidR="00000000" w:rsidRDefault="0053651E">
            <w:pPr>
              <w:jc w:val="right"/>
              <w:rPr>
                <w:rFonts w:eastAsia="Times New Roman"/>
                <w:sz w:val="20"/>
                <w:szCs w:val="20"/>
              </w:rPr>
            </w:pPr>
            <w:r>
              <w:rPr>
                <w:rFonts w:eastAsia="Times New Roman"/>
                <w:sz w:val="20"/>
                <w:szCs w:val="20"/>
              </w:rPr>
              <w:t>11,880</w:t>
            </w:r>
          </w:p>
        </w:tc>
        <w:tc>
          <w:tcPr>
            <w:tcW w:w="50" w:type="pct"/>
            <w:shd w:val="clear" w:color="auto" w:fill="FFFFFF"/>
            <w:vAlign w:val="bottom"/>
            <w:hideMark/>
          </w:tcPr>
          <w:p w14:paraId="3B46B2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4B1B0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5952E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BCD726F" w14:textId="77777777" w:rsidR="00000000" w:rsidRDefault="0053651E">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14:paraId="33ABC6FF" w14:textId="77777777" w:rsidR="00000000" w:rsidRDefault="0053651E">
            <w:pPr>
              <w:rPr>
                <w:rFonts w:eastAsia="Times New Roman"/>
                <w:sz w:val="20"/>
                <w:szCs w:val="20"/>
              </w:rPr>
            </w:pPr>
            <w:r>
              <w:rPr>
                <w:rFonts w:eastAsia="Times New Roman"/>
                <w:sz w:val="20"/>
                <w:szCs w:val="20"/>
              </w:rPr>
              <w:t>%</w:t>
            </w:r>
          </w:p>
        </w:tc>
      </w:tr>
      <w:tr w:rsidR="00000000" w14:paraId="3ABBB62A" w14:textId="77777777">
        <w:trPr>
          <w:tblCellSpacing w:w="0" w:type="dxa"/>
        </w:trPr>
        <w:tc>
          <w:tcPr>
            <w:tcW w:w="1400" w:type="pct"/>
            <w:shd w:val="clear" w:color="auto" w:fill="CCEEFF"/>
            <w:vAlign w:val="bottom"/>
            <w:hideMark/>
          </w:tcPr>
          <w:p w14:paraId="29A33356"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74F5361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E28237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4E628E2" w14:textId="77777777" w:rsidR="00000000" w:rsidRDefault="0053651E">
            <w:pPr>
              <w:jc w:val="right"/>
              <w:rPr>
                <w:rFonts w:eastAsia="Times New Roman"/>
                <w:sz w:val="20"/>
                <w:szCs w:val="20"/>
              </w:rPr>
            </w:pPr>
            <w:r>
              <w:rPr>
                <w:rFonts w:eastAsia="Times New Roman"/>
                <w:sz w:val="20"/>
                <w:szCs w:val="20"/>
              </w:rPr>
              <w:t>3,447</w:t>
            </w:r>
          </w:p>
        </w:tc>
        <w:tc>
          <w:tcPr>
            <w:tcW w:w="50" w:type="pct"/>
            <w:shd w:val="clear" w:color="auto" w:fill="CCEEFF"/>
            <w:tcMar>
              <w:top w:w="0" w:type="dxa"/>
              <w:left w:w="0" w:type="dxa"/>
              <w:bottom w:w="15" w:type="dxa"/>
              <w:right w:w="0" w:type="dxa"/>
            </w:tcMar>
            <w:vAlign w:val="bottom"/>
            <w:hideMark/>
          </w:tcPr>
          <w:p w14:paraId="6CBB42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E14E9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91432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BCB48BB"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14:paraId="60B1DBB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246D4A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2589DA1"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CA3DB3D" w14:textId="77777777" w:rsidR="00000000" w:rsidRDefault="0053651E">
            <w:pPr>
              <w:jc w:val="right"/>
              <w:rPr>
                <w:rFonts w:eastAsia="Times New Roman"/>
                <w:sz w:val="20"/>
                <w:szCs w:val="20"/>
              </w:rPr>
            </w:pPr>
            <w:r>
              <w:rPr>
                <w:rFonts w:eastAsia="Times New Roman"/>
                <w:sz w:val="20"/>
                <w:szCs w:val="20"/>
              </w:rPr>
              <w:t>5,816</w:t>
            </w:r>
          </w:p>
        </w:tc>
        <w:tc>
          <w:tcPr>
            <w:tcW w:w="50" w:type="pct"/>
            <w:shd w:val="clear" w:color="auto" w:fill="CCEEFF"/>
            <w:tcMar>
              <w:top w:w="0" w:type="dxa"/>
              <w:left w:w="0" w:type="dxa"/>
              <w:bottom w:w="15" w:type="dxa"/>
              <w:right w:w="0" w:type="dxa"/>
            </w:tcMar>
            <w:vAlign w:val="bottom"/>
            <w:hideMark/>
          </w:tcPr>
          <w:p w14:paraId="651EA4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94E26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BE2FA1"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83625C1"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3053370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372E03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90F405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9243E92" w14:textId="77777777" w:rsidR="00000000" w:rsidRDefault="0053651E">
            <w:pPr>
              <w:jc w:val="right"/>
              <w:rPr>
                <w:rFonts w:eastAsia="Times New Roman"/>
                <w:sz w:val="20"/>
                <w:szCs w:val="20"/>
              </w:rPr>
            </w:pPr>
            <w:r>
              <w:rPr>
                <w:rFonts w:eastAsia="Times New Roman"/>
                <w:sz w:val="20"/>
                <w:szCs w:val="20"/>
              </w:rPr>
              <w:t>495</w:t>
            </w:r>
          </w:p>
        </w:tc>
        <w:tc>
          <w:tcPr>
            <w:tcW w:w="50" w:type="pct"/>
            <w:shd w:val="clear" w:color="auto" w:fill="CCEEFF"/>
            <w:tcMar>
              <w:top w:w="0" w:type="dxa"/>
              <w:left w:w="0" w:type="dxa"/>
              <w:bottom w:w="15" w:type="dxa"/>
              <w:right w:w="0" w:type="dxa"/>
            </w:tcMar>
            <w:vAlign w:val="bottom"/>
            <w:hideMark/>
          </w:tcPr>
          <w:p w14:paraId="4E812F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FF47C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872663A"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7C8A858"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CCEEFF"/>
            <w:tcMar>
              <w:top w:w="0" w:type="dxa"/>
              <w:left w:w="0" w:type="dxa"/>
              <w:bottom w:w="15" w:type="dxa"/>
              <w:right w:w="0" w:type="dxa"/>
            </w:tcMar>
            <w:vAlign w:val="bottom"/>
            <w:hideMark/>
          </w:tcPr>
          <w:p w14:paraId="47EF19C0" w14:textId="77777777" w:rsidR="00000000" w:rsidRDefault="0053651E">
            <w:pPr>
              <w:rPr>
                <w:rFonts w:eastAsia="Times New Roman"/>
                <w:sz w:val="20"/>
                <w:szCs w:val="20"/>
              </w:rPr>
            </w:pPr>
            <w:r>
              <w:rPr>
                <w:rFonts w:eastAsia="Times New Roman"/>
                <w:sz w:val="20"/>
                <w:szCs w:val="20"/>
              </w:rPr>
              <w:t>%</w:t>
            </w:r>
          </w:p>
        </w:tc>
      </w:tr>
      <w:tr w:rsidR="00000000" w14:paraId="1F26CBCE" w14:textId="77777777">
        <w:trPr>
          <w:tblCellSpacing w:w="0" w:type="dxa"/>
        </w:trPr>
        <w:tc>
          <w:tcPr>
            <w:tcW w:w="1400" w:type="pct"/>
            <w:shd w:val="clear" w:color="auto" w:fill="FFFFFF"/>
            <w:vAlign w:val="bottom"/>
            <w:hideMark/>
          </w:tcPr>
          <w:p w14:paraId="4E4833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F8822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2A54ECE"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ACD29BA" w14:textId="77777777" w:rsidR="00000000" w:rsidRDefault="0053651E">
            <w:pPr>
              <w:jc w:val="right"/>
              <w:rPr>
                <w:rFonts w:eastAsia="Times New Roman"/>
                <w:sz w:val="20"/>
                <w:szCs w:val="20"/>
              </w:rPr>
            </w:pPr>
            <w:r>
              <w:rPr>
                <w:rFonts w:eastAsia="Times New Roman"/>
                <w:sz w:val="20"/>
                <w:szCs w:val="20"/>
              </w:rPr>
              <w:t>14,988</w:t>
            </w:r>
          </w:p>
        </w:tc>
        <w:tc>
          <w:tcPr>
            <w:tcW w:w="50" w:type="pct"/>
            <w:shd w:val="clear" w:color="auto" w:fill="FFFFFF"/>
            <w:tcMar>
              <w:top w:w="0" w:type="dxa"/>
              <w:left w:w="0" w:type="dxa"/>
              <w:bottom w:w="15" w:type="dxa"/>
              <w:right w:w="0" w:type="dxa"/>
            </w:tcMar>
            <w:vAlign w:val="bottom"/>
            <w:hideMark/>
          </w:tcPr>
          <w:p w14:paraId="1BC685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091E3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AD9C62E"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F949925"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12C3F06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1E9FEE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8E49DD7"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588043E" w14:textId="77777777" w:rsidR="00000000" w:rsidRDefault="0053651E">
            <w:pPr>
              <w:jc w:val="right"/>
              <w:rPr>
                <w:rFonts w:eastAsia="Times New Roman"/>
                <w:sz w:val="20"/>
                <w:szCs w:val="20"/>
              </w:rPr>
            </w:pPr>
            <w:r>
              <w:rPr>
                <w:rFonts w:eastAsia="Times New Roman"/>
                <w:sz w:val="20"/>
                <w:szCs w:val="20"/>
              </w:rPr>
              <w:t>12,375</w:t>
            </w:r>
          </w:p>
        </w:tc>
        <w:tc>
          <w:tcPr>
            <w:tcW w:w="50" w:type="pct"/>
            <w:shd w:val="clear" w:color="auto" w:fill="FFFFFF"/>
            <w:tcMar>
              <w:top w:w="0" w:type="dxa"/>
              <w:left w:w="0" w:type="dxa"/>
              <w:bottom w:w="15" w:type="dxa"/>
              <w:right w:w="0" w:type="dxa"/>
            </w:tcMar>
            <w:vAlign w:val="bottom"/>
            <w:hideMark/>
          </w:tcPr>
          <w:p w14:paraId="0E17A5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3F264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DAD002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0EAFFFA"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626AFBA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D45FE3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36E3DE"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71D08B98" w14:textId="77777777" w:rsidR="00000000" w:rsidRDefault="0053651E">
            <w:pPr>
              <w:jc w:val="right"/>
              <w:rPr>
                <w:rFonts w:eastAsia="Times New Roman"/>
                <w:sz w:val="20"/>
                <w:szCs w:val="20"/>
              </w:rPr>
            </w:pPr>
            <w:r>
              <w:rPr>
                <w:rFonts w:eastAsia="Times New Roman"/>
                <w:sz w:val="20"/>
                <w:szCs w:val="20"/>
              </w:rPr>
              <w:t>12,375</w:t>
            </w:r>
          </w:p>
        </w:tc>
        <w:tc>
          <w:tcPr>
            <w:tcW w:w="50" w:type="pct"/>
            <w:shd w:val="clear" w:color="auto" w:fill="FFFFFF"/>
            <w:tcMar>
              <w:top w:w="0" w:type="dxa"/>
              <w:left w:w="0" w:type="dxa"/>
              <w:bottom w:w="15" w:type="dxa"/>
              <w:right w:w="0" w:type="dxa"/>
            </w:tcMar>
            <w:vAlign w:val="bottom"/>
            <w:hideMark/>
          </w:tcPr>
          <w:p w14:paraId="68883F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EB9B9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BD340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F816BD3"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7312467B" w14:textId="77777777" w:rsidR="00000000" w:rsidRDefault="0053651E">
            <w:pPr>
              <w:rPr>
                <w:rFonts w:eastAsia="Times New Roman"/>
                <w:sz w:val="20"/>
                <w:szCs w:val="20"/>
              </w:rPr>
            </w:pPr>
            <w:r>
              <w:rPr>
                <w:rFonts w:eastAsia="Times New Roman"/>
                <w:sz w:val="20"/>
                <w:szCs w:val="20"/>
              </w:rPr>
              <w:t>%</w:t>
            </w:r>
          </w:p>
        </w:tc>
      </w:tr>
      <w:tr w:rsidR="00000000" w14:paraId="05D679B3" w14:textId="77777777">
        <w:trPr>
          <w:tblCellSpacing w:w="0" w:type="dxa"/>
        </w:trPr>
        <w:tc>
          <w:tcPr>
            <w:tcW w:w="1400" w:type="pct"/>
            <w:shd w:val="clear" w:color="auto" w:fill="CCEEFF"/>
            <w:vAlign w:val="bottom"/>
            <w:hideMark/>
          </w:tcPr>
          <w:p w14:paraId="2E655FB3" w14:textId="77777777" w:rsidR="00000000" w:rsidRDefault="0053651E">
            <w:pPr>
              <w:pStyle w:val="a3"/>
              <w:spacing w:before="0" w:beforeAutospacing="0" w:after="0" w:afterAutospacing="0"/>
              <w:rPr>
                <w:sz w:val="20"/>
                <w:szCs w:val="20"/>
              </w:rPr>
            </w:pPr>
            <w:r>
              <w:rPr>
                <w:sz w:val="20"/>
                <w:szCs w:val="20"/>
                <w:u w:val="single"/>
              </w:rPr>
              <w:t>Preferred K Dividends</w:t>
            </w:r>
          </w:p>
        </w:tc>
        <w:tc>
          <w:tcPr>
            <w:tcW w:w="50" w:type="pct"/>
            <w:shd w:val="clear" w:color="auto" w:fill="CCEEFF"/>
            <w:vAlign w:val="bottom"/>
            <w:hideMark/>
          </w:tcPr>
          <w:p w14:paraId="021522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E8DFB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DA79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647E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6682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A07D0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7E9B8A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5DDE9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306E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13C18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1F39B6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9E80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B2FCD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9BADD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869A9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8F4F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A51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68A55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9C59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23056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9322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93D9F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41CBD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8F8461" w14:textId="77777777" w:rsidR="00000000" w:rsidRDefault="0053651E">
            <w:pPr>
              <w:rPr>
                <w:rFonts w:eastAsia="Times New Roman"/>
                <w:sz w:val="20"/>
                <w:szCs w:val="20"/>
              </w:rPr>
            </w:pPr>
            <w:r>
              <w:rPr>
                <w:rFonts w:eastAsia="Times New Roman"/>
                <w:sz w:val="20"/>
                <w:szCs w:val="20"/>
              </w:rPr>
              <w:t> </w:t>
            </w:r>
          </w:p>
        </w:tc>
      </w:tr>
      <w:tr w:rsidR="00000000" w14:paraId="0AAFAEBC" w14:textId="77777777">
        <w:trPr>
          <w:tblCellSpacing w:w="0" w:type="dxa"/>
        </w:trPr>
        <w:tc>
          <w:tcPr>
            <w:tcW w:w="1400" w:type="pct"/>
            <w:shd w:val="clear" w:color="auto" w:fill="FFFFFF"/>
            <w:vAlign w:val="bottom"/>
            <w:hideMark/>
          </w:tcPr>
          <w:p w14:paraId="10077044"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086AA8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DFB68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676B6EB4" w14:textId="77777777" w:rsidR="00000000" w:rsidRDefault="0053651E">
            <w:pPr>
              <w:jc w:val="right"/>
              <w:rPr>
                <w:rFonts w:eastAsia="Times New Roman"/>
                <w:sz w:val="20"/>
                <w:szCs w:val="20"/>
              </w:rPr>
            </w:pPr>
            <w:r>
              <w:rPr>
                <w:rFonts w:eastAsia="Times New Roman"/>
                <w:sz w:val="20"/>
                <w:szCs w:val="20"/>
              </w:rPr>
              <w:t>6,927</w:t>
            </w:r>
          </w:p>
        </w:tc>
        <w:tc>
          <w:tcPr>
            <w:tcW w:w="50" w:type="pct"/>
            <w:shd w:val="clear" w:color="auto" w:fill="FFFFFF"/>
            <w:vAlign w:val="bottom"/>
            <w:hideMark/>
          </w:tcPr>
          <w:p w14:paraId="1F82D8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C493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50247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E936C00" w14:textId="77777777" w:rsidR="00000000" w:rsidRDefault="0053651E">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28A3317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7AE5B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E80F5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5FA13B9E" w14:textId="77777777" w:rsidR="00000000" w:rsidRDefault="0053651E">
            <w:pPr>
              <w:jc w:val="right"/>
              <w:rPr>
                <w:rFonts w:eastAsia="Times New Roman"/>
                <w:sz w:val="20"/>
                <w:szCs w:val="20"/>
              </w:rPr>
            </w:pPr>
            <w:r>
              <w:rPr>
                <w:rFonts w:eastAsia="Times New Roman"/>
                <w:sz w:val="20"/>
                <w:szCs w:val="20"/>
              </w:rPr>
              <w:t>5,217</w:t>
            </w:r>
          </w:p>
        </w:tc>
        <w:tc>
          <w:tcPr>
            <w:tcW w:w="50" w:type="pct"/>
            <w:shd w:val="clear" w:color="auto" w:fill="FFFFFF"/>
            <w:vAlign w:val="bottom"/>
            <w:hideMark/>
          </w:tcPr>
          <w:p w14:paraId="477913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E981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1AD33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F2691AC" w14:textId="77777777" w:rsidR="00000000" w:rsidRDefault="0053651E">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55AF240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B0662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EDA048"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D2AF67E" w14:textId="77777777" w:rsidR="00000000" w:rsidRDefault="0053651E">
            <w:pPr>
              <w:jc w:val="right"/>
              <w:rPr>
                <w:rFonts w:eastAsia="Times New Roman"/>
                <w:sz w:val="20"/>
                <w:szCs w:val="20"/>
              </w:rPr>
            </w:pPr>
            <w:r>
              <w:rPr>
                <w:rFonts w:eastAsia="Times New Roman"/>
                <w:sz w:val="20"/>
                <w:szCs w:val="20"/>
              </w:rPr>
              <w:t>9,450</w:t>
            </w:r>
          </w:p>
        </w:tc>
        <w:tc>
          <w:tcPr>
            <w:tcW w:w="50" w:type="pct"/>
            <w:shd w:val="clear" w:color="auto" w:fill="FFFFFF"/>
            <w:vAlign w:val="bottom"/>
            <w:hideMark/>
          </w:tcPr>
          <w:p w14:paraId="743F483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C25D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83BA1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868B8C" w14:textId="77777777" w:rsidR="00000000" w:rsidRDefault="0053651E">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14:paraId="31A4647C" w14:textId="77777777" w:rsidR="00000000" w:rsidRDefault="0053651E">
            <w:pPr>
              <w:rPr>
                <w:rFonts w:eastAsia="Times New Roman"/>
                <w:sz w:val="20"/>
                <w:szCs w:val="20"/>
              </w:rPr>
            </w:pPr>
            <w:r>
              <w:rPr>
                <w:rFonts w:eastAsia="Times New Roman"/>
                <w:sz w:val="20"/>
                <w:szCs w:val="20"/>
              </w:rPr>
              <w:t>%</w:t>
            </w:r>
          </w:p>
        </w:tc>
      </w:tr>
      <w:tr w:rsidR="00000000" w14:paraId="303117F0" w14:textId="77777777">
        <w:trPr>
          <w:tblCellSpacing w:w="0" w:type="dxa"/>
        </w:trPr>
        <w:tc>
          <w:tcPr>
            <w:tcW w:w="1400" w:type="pct"/>
            <w:shd w:val="clear" w:color="auto" w:fill="CCEEFF"/>
            <w:vAlign w:val="bottom"/>
            <w:hideMark/>
          </w:tcPr>
          <w:p w14:paraId="10CF12EE"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7315E38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9C61B7E"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01970D7" w14:textId="77777777" w:rsidR="00000000" w:rsidRDefault="0053651E">
            <w:pPr>
              <w:jc w:val="right"/>
              <w:rPr>
                <w:rFonts w:eastAsia="Times New Roman"/>
                <w:sz w:val="20"/>
                <w:szCs w:val="20"/>
              </w:rPr>
            </w:pPr>
            <w:r>
              <w:rPr>
                <w:rFonts w:eastAsia="Times New Roman"/>
                <w:sz w:val="20"/>
                <w:szCs w:val="20"/>
              </w:rPr>
              <w:t>2,069</w:t>
            </w:r>
          </w:p>
        </w:tc>
        <w:tc>
          <w:tcPr>
            <w:tcW w:w="50" w:type="pct"/>
            <w:shd w:val="clear" w:color="auto" w:fill="CCEEFF"/>
            <w:tcMar>
              <w:top w:w="0" w:type="dxa"/>
              <w:left w:w="0" w:type="dxa"/>
              <w:bottom w:w="15" w:type="dxa"/>
              <w:right w:w="0" w:type="dxa"/>
            </w:tcMar>
            <w:vAlign w:val="bottom"/>
            <w:hideMark/>
          </w:tcPr>
          <w:p w14:paraId="5B0AA7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BD00C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D2D2EA"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DF23CF1"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14:paraId="7118AC8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A9FEC7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3EA1D0"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1D27E95" w14:textId="77777777" w:rsidR="00000000" w:rsidRDefault="0053651E">
            <w:pPr>
              <w:jc w:val="right"/>
              <w:rPr>
                <w:rFonts w:eastAsia="Times New Roman"/>
                <w:sz w:val="20"/>
                <w:szCs w:val="20"/>
              </w:rPr>
            </w:pPr>
            <w:r>
              <w:rPr>
                <w:rFonts w:eastAsia="Times New Roman"/>
                <w:sz w:val="20"/>
                <w:szCs w:val="20"/>
              </w:rPr>
              <w:t>4,627</w:t>
            </w:r>
          </w:p>
        </w:tc>
        <w:tc>
          <w:tcPr>
            <w:tcW w:w="50" w:type="pct"/>
            <w:shd w:val="clear" w:color="auto" w:fill="CCEEFF"/>
            <w:tcMar>
              <w:top w:w="0" w:type="dxa"/>
              <w:left w:w="0" w:type="dxa"/>
              <w:bottom w:w="15" w:type="dxa"/>
              <w:right w:w="0" w:type="dxa"/>
            </w:tcMar>
            <w:vAlign w:val="bottom"/>
            <w:hideMark/>
          </w:tcPr>
          <w:p w14:paraId="734EE1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4E25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BDB456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6030DB6"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4E31D21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8548C9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A1B84D"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D280DBA" w14:textId="77777777" w:rsidR="00000000" w:rsidRDefault="0053651E">
            <w:pPr>
              <w:jc w:val="right"/>
              <w:rPr>
                <w:rFonts w:eastAsia="Times New Roman"/>
                <w:sz w:val="20"/>
                <w:szCs w:val="20"/>
              </w:rPr>
            </w:pPr>
            <w:r>
              <w:rPr>
                <w:rFonts w:eastAsia="Times New Roman"/>
                <w:sz w:val="20"/>
                <w:szCs w:val="20"/>
              </w:rPr>
              <w:t>394</w:t>
            </w:r>
          </w:p>
        </w:tc>
        <w:tc>
          <w:tcPr>
            <w:tcW w:w="50" w:type="pct"/>
            <w:shd w:val="clear" w:color="auto" w:fill="CCEEFF"/>
            <w:tcMar>
              <w:top w:w="0" w:type="dxa"/>
              <w:left w:w="0" w:type="dxa"/>
              <w:bottom w:w="15" w:type="dxa"/>
              <w:right w:w="0" w:type="dxa"/>
            </w:tcMar>
            <w:vAlign w:val="bottom"/>
            <w:hideMark/>
          </w:tcPr>
          <w:p w14:paraId="34A39B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9BB08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CF19D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21ED978"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CCEEFF"/>
            <w:tcMar>
              <w:top w:w="0" w:type="dxa"/>
              <w:left w:w="0" w:type="dxa"/>
              <w:bottom w:w="15" w:type="dxa"/>
              <w:right w:w="0" w:type="dxa"/>
            </w:tcMar>
            <w:vAlign w:val="bottom"/>
            <w:hideMark/>
          </w:tcPr>
          <w:p w14:paraId="0489A950" w14:textId="77777777" w:rsidR="00000000" w:rsidRDefault="0053651E">
            <w:pPr>
              <w:rPr>
                <w:rFonts w:eastAsia="Times New Roman"/>
                <w:sz w:val="20"/>
                <w:szCs w:val="20"/>
              </w:rPr>
            </w:pPr>
            <w:r>
              <w:rPr>
                <w:rFonts w:eastAsia="Times New Roman"/>
                <w:sz w:val="20"/>
                <w:szCs w:val="20"/>
              </w:rPr>
              <w:t>%</w:t>
            </w:r>
          </w:p>
        </w:tc>
      </w:tr>
      <w:tr w:rsidR="00000000" w14:paraId="2A1DA4A7" w14:textId="77777777">
        <w:trPr>
          <w:tblCellSpacing w:w="0" w:type="dxa"/>
        </w:trPr>
        <w:tc>
          <w:tcPr>
            <w:tcW w:w="1400" w:type="pct"/>
            <w:shd w:val="clear" w:color="auto" w:fill="FFFFFF"/>
            <w:vAlign w:val="bottom"/>
            <w:hideMark/>
          </w:tcPr>
          <w:p w14:paraId="66701CA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0894B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23E7DC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726C562B" w14:textId="77777777" w:rsidR="00000000" w:rsidRDefault="0053651E">
            <w:pPr>
              <w:jc w:val="right"/>
              <w:rPr>
                <w:rFonts w:eastAsia="Times New Roman"/>
                <w:sz w:val="20"/>
                <w:szCs w:val="20"/>
              </w:rPr>
            </w:pPr>
            <w:r>
              <w:rPr>
                <w:rFonts w:eastAsia="Times New Roman"/>
                <w:sz w:val="20"/>
                <w:szCs w:val="20"/>
              </w:rPr>
              <w:t>8,996</w:t>
            </w:r>
          </w:p>
        </w:tc>
        <w:tc>
          <w:tcPr>
            <w:tcW w:w="50" w:type="pct"/>
            <w:shd w:val="clear" w:color="auto" w:fill="FFFFFF"/>
            <w:tcMar>
              <w:top w:w="0" w:type="dxa"/>
              <w:left w:w="0" w:type="dxa"/>
              <w:bottom w:w="15" w:type="dxa"/>
              <w:right w:w="0" w:type="dxa"/>
            </w:tcMar>
            <w:vAlign w:val="bottom"/>
            <w:hideMark/>
          </w:tcPr>
          <w:p w14:paraId="41329AC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6847D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497E50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2394D86"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2B5FF8A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BD3ED6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C463E43"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1DCF67A2" w14:textId="77777777" w:rsidR="00000000" w:rsidRDefault="0053651E">
            <w:pPr>
              <w:jc w:val="right"/>
              <w:rPr>
                <w:rFonts w:eastAsia="Times New Roman"/>
                <w:sz w:val="20"/>
                <w:szCs w:val="20"/>
              </w:rPr>
            </w:pPr>
            <w:r>
              <w:rPr>
                <w:rFonts w:eastAsia="Times New Roman"/>
                <w:sz w:val="20"/>
                <w:szCs w:val="20"/>
              </w:rPr>
              <w:t>9,844</w:t>
            </w:r>
          </w:p>
        </w:tc>
        <w:tc>
          <w:tcPr>
            <w:tcW w:w="50" w:type="pct"/>
            <w:shd w:val="clear" w:color="auto" w:fill="FFFFFF"/>
            <w:tcMar>
              <w:top w:w="0" w:type="dxa"/>
              <w:left w:w="0" w:type="dxa"/>
              <w:bottom w:w="15" w:type="dxa"/>
              <w:right w:w="0" w:type="dxa"/>
            </w:tcMar>
            <w:vAlign w:val="bottom"/>
            <w:hideMark/>
          </w:tcPr>
          <w:p w14:paraId="38C77C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0AD0B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F5979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5C5E5B5"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040A26C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47E417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A31DCB"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EBAD63A" w14:textId="77777777" w:rsidR="00000000" w:rsidRDefault="0053651E">
            <w:pPr>
              <w:jc w:val="right"/>
              <w:rPr>
                <w:rFonts w:eastAsia="Times New Roman"/>
                <w:sz w:val="20"/>
                <w:szCs w:val="20"/>
              </w:rPr>
            </w:pPr>
            <w:r>
              <w:rPr>
                <w:rFonts w:eastAsia="Times New Roman"/>
                <w:sz w:val="20"/>
                <w:szCs w:val="20"/>
              </w:rPr>
              <w:t>9,844</w:t>
            </w:r>
          </w:p>
        </w:tc>
        <w:tc>
          <w:tcPr>
            <w:tcW w:w="50" w:type="pct"/>
            <w:shd w:val="clear" w:color="auto" w:fill="FFFFFF"/>
            <w:tcMar>
              <w:top w:w="0" w:type="dxa"/>
              <w:left w:w="0" w:type="dxa"/>
              <w:bottom w:w="15" w:type="dxa"/>
              <w:right w:w="0" w:type="dxa"/>
            </w:tcMar>
            <w:vAlign w:val="bottom"/>
            <w:hideMark/>
          </w:tcPr>
          <w:p w14:paraId="10B954F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FDAF7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F42693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1CB20CD"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68B60654" w14:textId="77777777" w:rsidR="00000000" w:rsidRDefault="0053651E">
            <w:pPr>
              <w:rPr>
                <w:rFonts w:eastAsia="Times New Roman"/>
                <w:sz w:val="20"/>
                <w:szCs w:val="20"/>
              </w:rPr>
            </w:pPr>
            <w:r>
              <w:rPr>
                <w:rFonts w:eastAsia="Times New Roman"/>
                <w:sz w:val="20"/>
                <w:szCs w:val="20"/>
              </w:rPr>
              <w:t>%</w:t>
            </w:r>
          </w:p>
        </w:tc>
      </w:tr>
      <w:tr w:rsidR="00000000" w14:paraId="26365A2C" w14:textId="77777777">
        <w:trPr>
          <w:tblCellSpacing w:w="0" w:type="dxa"/>
        </w:trPr>
        <w:tc>
          <w:tcPr>
            <w:tcW w:w="1400" w:type="pct"/>
            <w:shd w:val="clear" w:color="auto" w:fill="CCEEFF"/>
            <w:vAlign w:val="bottom"/>
            <w:hideMark/>
          </w:tcPr>
          <w:p w14:paraId="4E4266DF" w14:textId="77777777" w:rsidR="00000000" w:rsidRDefault="0053651E">
            <w:pPr>
              <w:pStyle w:val="a3"/>
              <w:spacing w:before="0" w:beforeAutospacing="0" w:after="0" w:afterAutospacing="0"/>
              <w:rPr>
                <w:sz w:val="20"/>
                <w:szCs w:val="20"/>
              </w:rPr>
            </w:pPr>
            <w:r>
              <w:rPr>
                <w:sz w:val="20"/>
                <w:szCs w:val="20"/>
                <w:u w:val="single"/>
              </w:rPr>
              <w:t xml:space="preserve">Preferred L Dividends </w:t>
            </w:r>
          </w:p>
        </w:tc>
        <w:tc>
          <w:tcPr>
            <w:tcW w:w="50" w:type="pct"/>
            <w:shd w:val="clear" w:color="auto" w:fill="CCEEFF"/>
            <w:vAlign w:val="bottom"/>
            <w:hideMark/>
          </w:tcPr>
          <w:p w14:paraId="6471486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F4B8D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640D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C9D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19B86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C36CD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D32EA1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4A5B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96C9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BAE6B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430EA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872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45142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23990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1B362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E940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5D52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40974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7F7E1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8CDE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3D3C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38C3F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AC285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88E7EE" w14:textId="77777777" w:rsidR="00000000" w:rsidRDefault="0053651E">
            <w:pPr>
              <w:rPr>
                <w:rFonts w:eastAsia="Times New Roman"/>
                <w:sz w:val="20"/>
                <w:szCs w:val="20"/>
              </w:rPr>
            </w:pPr>
            <w:r>
              <w:rPr>
                <w:rFonts w:eastAsia="Times New Roman"/>
                <w:sz w:val="20"/>
                <w:szCs w:val="20"/>
              </w:rPr>
              <w:t> </w:t>
            </w:r>
          </w:p>
        </w:tc>
      </w:tr>
      <w:tr w:rsidR="00000000" w14:paraId="50CB1B15" w14:textId="77777777">
        <w:trPr>
          <w:tblCellSpacing w:w="0" w:type="dxa"/>
        </w:trPr>
        <w:tc>
          <w:tcPr>
            <w:tcW w:w="1400" w:type="pct"/>
            <w:shd w:val="clear" w:color="auto" w:fill="FFFFFF"/>
            <w:vAlign w:val="bottom"/>
            <w:hideMark/>
          </w:tcPr>
          <w:p w14:paraId="0E2E131E"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18A024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9836E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347FE981" w14:textId="77777777" w:rsidR="00000000" w:rsidRDefault="0053651E">
            <w:pPr>
              <w:jc w:val="right"/>
              <w:rPr>
                <w:rFonts w:eastAsia="Times New Roman"/>
                <w:sz w:val="20"/>
                <w:szCs w:val="20"/>
              </w:rPr>
            </w:pPr>
            <w:r>
              <w:rPr>
                <w:rFonts w:eastAsia="Times New Roman"/>
                <w:sz w:val="20"/>
                <w:szCs w:val="20"/>
              </w:rPr>
              <w:t>8,879</w:t>
            </w:r>
          </w:p>
        </w:tc>
        <w:tc>
          <w:tcPr>
            <w:tcW w:w="50" w:type="pct"/>
            <w:shd w:val="clear" w:color="auto" w:fill="FFFFFF"/>
            <w:vAlign w:val="bottom"/>
            <w:hideMark/>
          </w:tcPr>
          <w:p w14:paraId="2A2DD7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B7CB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FB956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9F98DE" w14:textId="77777777" w:rsidR="00000000" w:rsidRDefault="0053651E">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0FB8273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6C4FC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1EBD0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C45E419" w14:textId="77777777" w:rsidR="00000000" w:rsidRDefault="0053651E">
            <w:pPr>
              <w:jc w:val="right"/>
              <w:rPr>
                <w:rFonts w:eastAsia="Times New Roman"/>
                <w:sz w:val="20"/>
                <w:szCs w:val="20"/>
              </w:rPr>
            </w:pPr>
            <w:r>
              <w:rPr>
                <w:rFonts w:eastAsia="Times New Roman"/>
                <w:sz w:val="20"/>
                <w:szCs w:val="20"/>
              </w:rPr>
              <w:t>6,111</w:t>
            </w:r>
          </w:p>
        </w:tc>
        <w:tc>
          <w:tcPr>
            <w:tcW w:w="50" w:type="pct"/>
            <w:shd w:val="clear" w:color="auto" w:fill="FFFFFF"/>
            <w:vAlign w:val="bottom"/>
            <w:hideMark/>
          </w:tcPr>
          <w:p w14:paraId="104C5B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71C8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2AD2E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E8EE62" w14:textId="77777777" w:rsidR="00000000" w:rsidRDefault="0053651E">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080E0DF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E3B0AA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13C86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43FB4825" w14:textId="77777777" w:rsidR="00000000" w:rsidRDefault="0053651E">
            <w:pPr>
              <w:jc w:val="right"/>
              <w:rPr>
                <w:rFonts w:eastAsia="Times New Roman"/>
                <w:sz w:val="20"/>
                <w:szCs w:val="20"/>
              </w:rPr>
            </w:pPr>
            <w:r>
              <w:rPr>
                <w:rFonts w:eastAsia="Times New Roman"/>
                <w:sz w:val="20"/>
                <w:szCs w:val="20"/>
              </w:rPr>
              <w:t>1,814</w:t>
            </w:r>
          </w:p>
        </w:tc>
        <w:tc>
          <w:tcPr>
            <w:tcW w:w="50" w:type="pct"/>
            <w:shd w:val="clear" w:color="auto" w:fill="FFFFFF"/>
            <w:vAlign w:val="bottom"/>
            <w:hideMark/>
          </w:tcPr>
          <w:p w14:paraId="1A0B86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3520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2B683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84B0BC3" w14:textId="77777777" w:rsidR="00000000" w:rsidRDefault="0053651E">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14:paraId="420EE745" w14:textId="77777777" w:rsidR="00000000" w:rsidRDefault="0053651E">
            <w:pPr>
              <w:rPr>
                <w:rFonts w:eastAsia="Times New Roman"/>
                <w:sz w:val="20"/>
                <w:szCs w:val="20"/>
              </w:rPr>
            </w:pPr>
            <w:r>
              <w:rPr>
                <w:rFonts w:eastAsia="Times New Roman"/>
                <w:sz w:val="20"/>
                <w:szCs w:val="20"/>
              </w:rPr>
              <w:t>%</w:t>
            </w:r>
          </w:p>
        </w:tc>
      </w:tr>
      <w:tr w:rsidR="00000000" w14:paraId="6C070D44" w14:textId="77777777">
        <w:trPr>
          <w:tblCellSpacing w:w="0" w:type="dxa"/>
        </w:trPr>
        <w:tc>
          <w:tcPr>
            <w:tcW w:w="1400" w:type="pct"/>
            <w:shd w:val="clear" w:color="auto" w:fill="CCEEFF"/>
            <w:vAlign w:val="bottom"/>
            <w:hideMark/>
          </w:tcPr>
          <w:p w14:paraId="1ADAC661"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55F9313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3E294E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6772E0C" w14:textId="77777777" w:rsidR="00000000" w:rsidRDefault="0053651E">
            <w:pPr>
              <w:jc w:val="right"/>
              <w:rPr>
                <w:rFonts w:eastAsia="Times New Roman"/>
                <w:sz w:val="20"/>
                <w:szCs w:val="20"/>
              </w:rPr>
            </w:pPr>
            <w:r>
              <w:rPr>
                <w:rFonts w:eastAsia="Times New Roman"/>
                <w:sz w:val="20"/>
                <w:szCs w:val="20"/>
              </w:rPr>
              <w:t>2,652</w:t>
            </w:r>
          </w:p>
        </w:tc>
        <w:tc>
          <w:tcPr>
            <w:tcW w:w="50" w:type="pct"/>
            <w:shd w:val="clear" w:color="auto" w:fill="CCEEFF"/>
            <w:tcMar>
              <w:top w:w="0" w:type="dxa"/>
              <w:left w:w="0" w:type="dxa"/>
              <w:bottom w:w="15" w:type="dxa"/>
              <w:right w:w="0" w:type="dxa"/>
            </w:tcMar>
            <w:vAlign w:val="bottom"/>
            <w:hideMark/>
          </w:tcPr>
          <w:p w14:paraId="152E4A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F9003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A89A14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CFD318E"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14:paraId="7862EBB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5FA21E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F4558A"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82842C" w14:textId="77777777" w:rsidR="00000000" w:rsidRDefault="0053651E">
            <w:pPr>
              <w:jc w:val="right"/>
              <w:rPr>
                <w:rFonts w:eastAsia="Times New Roman"/>
                <w:sz w:val="20"/>
                <w:szCs w:val="20"/>
              </w:rPr>
            </w:pPr>
            <w:r>
              <w:rPr>
                <w:rFonts w:eastAsia="Times New Roman"/>
                <w:sz w:val="20"/>
                <w:szCs w:val="20"/>
              </w:rPr>
              <w:t>5,420</w:t>
            </w:r>
          </w:p>
        </w:tc>
        <w:tc>
          <w:tcPr>
            <w:tcW w:w="50" w:type="pct"/>
            <w:shd w:val="clear" w:color="auto" w:fill="CCEEFF"/>
            <w:tcMar>
              <w:top w:w="0" w:type="dxa"/>
              <w:left w:w="0" w:type="dxa"/>
              <w:bottom w:w="15" w:type="dxa"/>
              <w:right w:w="0" w:type="dxa"/>
            </w:tcMar>
            <w:vAlign w:val="bottom"/>
            <w:hideMark/>
          </w:tcPr>
          <w:p w14:paraId="61155B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57F3B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2C8A11"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FB993ED"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3D6CDE90"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4A310B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C4B3CA"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B322386" w14:textId="77777777" w:rsidR="00000000" w:rsidRDefault="0053651E">
            <w:pPr>
              <w:jc w:val="right"/>
              <w:rPr>
                <w:rFonts w:eastAsia="Times New Roman"/>
                <w:sz w:val="20"/>
                <w:szCs w:val="20"/>
              </w:rPr>
            </w:pPr>
            <w:r>
              <w:rPr>
                <w:rFonts w:eastAsia="Times New Roman"/>
                <w:sz w:val="20"/>
                <w:szCs w:val="20"/>
              </w:rPr>
              <w:t>76</w:t>
            </w:r>
          </w:p>
        </w:tc>
        <w:tc>
          <w:tcPr>
            <w:tcW w:w="50" w:type="pct"/>
            <w:shd w:val="clear" w:color="auto" w:fill="CCEEFF"/>
            <w:tcMar>
              <w:top w:w="0" w:type="dxa"/>
              <w:left w:w="0" w:type="dxa"/>
              <w:bottom w:w="15" w:type="dxa"/>
              <w:right w:w="0" w:type="dxa"/>
            </w:tcMar>
            <w:vAlign w:val="bottom"/>
            <w:hideMark/>
          </w:tcPr>
          <w:p w14:paraId="7D89AF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0CC0B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249FB3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B37DC99" w14:textId="77777777" w:rsidR="00000000" w:rsidRDefault="0053651E">
            <w:pPr>
              <w:jc w:val="right"/>
              <w:rPr>
                <w:rFonts w:eastAsia="Times New Roman"/>
                <w:sz w:val="20"/>
                <w:szCs w:val="20"/>
              </w:rPr>
            </w:pPr>
            <w:r>
              <w:rPr>
                <w:rFonts w:eastAsia="Times New Roman"/>
                <w:sz w:val="20"/>
                <w:szCs w:val="20"/>
              </w:rPr>
              <w:t>4</w:t>
            </w:r>
          </w:p>
        </w:tc>
        <w:tc>
          <w:tcPr>
            <w:tcW w:w="50" w:type="pct"/>
            <w:shd w:val="clear" w:color="auto" w:fill="CCEEFF"/>
            <w:tcMar>
              <w:top w:w="0" w:type="dxa"/>
              <w:left w:w="0" w:type="dxa"/>
              <w:bottom w:w="15" w:type="dxa"/>
              <w:right w:w="0" w:type="dxa"/>
            </w:tcMar>
            <w:vAlign w:val="bottom"/>
            <w:hideMark/>
          </w:tcPr>
          <w:p w14:paraId="2916D571" w14:textId="77777777" w:rsidR="00000000" w:rsidRDefault="0053651E">
            <w:pPr>
              <w:rPr>
                <w:rFonts w:eastAsia="Times New Roman"/>
                <w:sz w:val="20"/>
                <w:szCs w:val="20"/>
              </w:rPr>
            </w:pPr>
            <w:r>
              <w:rPr>
                <w:rFonts w:eastAsia="Times New Roman"/>
                <w:sz w:val="20"/>
                <w:szCs w:val="20"/>
              </w:rPr>
              <w:t>%</w:t>
            </w:r>
          </w:p>
        </w:tc>
      </w:tr>
      <w:tr w:rsidR="00000000" w14:paraId="2A82FB4F" w14:textId="77777777">
        <w:trPr>
          <w:tblCellSpacing w:w="0" w:type="dxa"/>
        </w:trPr>
        <w:tc>
          <w:tcPr>
            <w:tcW w:w="1400" w:type="pct"/>
            <w:shd w:val="clear" w:color="auto" w:fill="FFFFFF"/>
            <w:vAlign w:val="bottom"/>
            <w:hideMark/>
          </w:tcPr>
          <w:p w14:paraId="6594D2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6BC2A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6177F98"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5E86DEE1" w14:textId="77777777" w:rsidR="00000000" w:rsidRDefault="0053651E">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14:paraId="772156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0CA48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0FF08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B8C75EA"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169475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864653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E8B8D7B"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ABF5862" w14:textId="77777777" w:rsidR="00000000" w:rsidRDefault="0053651E">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14:paraId="49AEAA5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A171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FE573E5"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09C1985"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1F8BCA9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0E7394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8D2465"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EBA1B19" w14:textId="77777777" w:rsidR="00000000" w:rsidRDefault="0053651E">
            <w:pPr>
              <w:jc w:val="right"/>
              <w:rPr>
                <w:rFonts w:eastAsia="Times New Roman"/>
                <w:sz w:val="20"/>
                <w:szCs w:val="20"/>
              </w:rPr>
            </w:pPr>
            <w:r>
              <w:rPr>
                <w:rFonts w:eastAsia="Times New Roman"/>
                <w:sz w:val="20"/>
                <w:szCs w:val="20"/>
              </w:rPr>
              <w:t>1,890</w:t>
            </w:r>
          </w:p>
        </w:tc>
        <w:tc>
          <w:tcPr>
            <w:tcW w:w="50" w:type="pct"/>
            <w:shd w:val="clear" w:color="auto" w:fill="FFFFFF"/>
            <w:tcMar>
              <w:top w:w="0" w:type="dxa"/>
              <w:left w:w="0" w:type="dxa"/>
              <w:bottom w:w="15" w:type="dxa"/>
              <w:right w:w="0" w:type="dxa"/>
            </w:tcMar>
            <w:vAlign w:val="bottom"/>
            <w:hideMark/>
          </w:tcPr>
          <w:p w14:paraId="34AE50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60423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D9FAD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E7924C2"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6883FCB8" w14:textId="77777777" w:rsidR="00000000" w:rsidRDefault="0053651E">
            <w:pPr>
              <w:rPr>
                <w:rFonts w:eastAsia="Times New Roman"/>
                <w:sz w:val="20"/>
                <w:szCs w:val="20"/>
              </w:rPr>
            </w:pPr>
            <w:r>
              <w:rPr>
                <w:rFonts w:eastAsia="Times New Roman"/>
                <w:sz w:val="20"/>
                <w:szCs w:val="20"/>
              </w:rPr>
              <w:t>%</w:t>
            </w:r>
          </w:p>
        </w:tc>
      </w:tr>
      <w:tr w:rsidR="00000000" w14:paraId="3334A6D6" w14:textId="77777777">
        <w:trPr>
          <w:tblCellSpacing w:w="0" w:type="dxa"/>
        </w:trPr>
        <w:tc>
          <w:tcPr>
            <w:tcW w:w="1400" w:type="pct"/>
            <w:shd w:val="clear" w:color="auto" w:fill="CCEEFF"/>
            <w:vAlign w:val="bottom"/>
            <w:hideMark/>
          </w:tcPr>
          <w:p w14:paraId="7DEFBEB7" w14:textId="77777777" w:rsidR="00000000" w:rsidRDefault="0053651E">
            <w:pPr>
              <w:pStyle w:val="a3"/>
              <w:spacing w:before="0" w:beforeAutospacing="0" w:after="0" w:afterAutospacing="0"/>
              <w:rPr>
                <w:sz w:val="20"/>
                <w:szCs w:val="20"/>
              </w:rPr>
            </w:pPr>
            <w:r>
              <w:rPr>
                <w:sz w:val="20"/>
                <w:szCs w:val="20"/>
                <w:u w:val="single"/>
              </w:rPr>
              <w:t xml:space="preserve">Preferred M Dividends </w:t>
            </w:r>
          </w:p>
        </w:tc>
        <w:tc>
          <w:tcPr>
            <w:tcW w:w="50" w:type="pct"/>
            <w:shd w:val="clear" w:color="auto" w:fill="CCEEFF"/>
            <w:vAlign w:val="bottom"/>
            <w:hideMark/>
          </w:tcPr>
          <w:p w14:paraId="71747B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B0C61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AD308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2CB8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B330A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5D894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6814C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F1E1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6B52F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5B5CA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1FF05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74AA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B3CB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943DC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F1200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983AD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159DA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4EB46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16C13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3BFD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86C03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89731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A1059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331836" w14:textId="77777777" w:rsidR="00000000" w:rsidRDefault="0053651E">
            <w:pPr>
              <w:rPr>
                <w:rFonts w:eastAsia="Times New Roman"/>
                <w:sz w:val="20"/>
                <w:szCs w:val="20"/>
              </w:rPr>
            </w:pPr>
            <w:r>
              <w:rPr>
                <w:rFonts w:eastAsia="Times New Roman"/>
                <w:sz w:val="20"/>
                <w:szCs w:val="20"/>
              </w:rPr>
              <w:t> </w:t>
            </w:r>
          </w:p>
        </w:tc>
      </w:tr>
      <w:tr w:rsidR="00000000" w14:paraId="0C6451C6" w14:textId="77777777">
        <w:trPr>
          <w:tblCellSpacing w:w="0" w:type="dxa"/>
        </w:trPr>
        <w:tc>
          <w:tcPr>
            <w:tcW w:w="1400" w:type="pct"/>
            <w:shd w:val="clear" w:color="auto" w:fill="FFFFFF"/>
            <w:vAlign w:val="bottom"/>
            <w:hideMark/>
          </w:tcPr>
          <w:p w14:paraId="05F123B5"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0EF380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97FBC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7A3484E" w14:textId="77777777" w:rsidR="00000000" w:rsidRDefault="0053651E">
            <w:pPr>
              <w:jc w:val="right"/>
              <w:rPr>
                <w:rFonts w:eastAsia="Times New Roman"/>
                <w:sz w:val="20"/>
                <w:szCs w:val="20"/>
              </w:rPr>
            </w:pPr>
            <w:r>
              <w:rPr>
                <w:rFonts w:eastAsia="Times New Roman"/>
                <w:sz w:val="20"/>
                <w:szCs w:val="20"/>
              </w:rPr>
              <w:t>10,692</w:t>
            </w:r>
          </w:p>
        </w:tc>
        <w:tc>
          <w:tcPr>
            <w:tcW w:w="50" w:type="pct"/>
            <w:shd w:val="clear" w:color="auto" w:fill="FFFFFF"/>
            <w:vAlign w:val="bottom"/>
            <w:hideMark/>
          </w:tcPr>
          <w:p w14:paraId="6E199C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995F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E88AD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2363D3" w14:textId="77777777" w:rsidR="00000000" w:rsidRDefault="0053651E">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55B969F3"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52267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D6F931"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922A67D" w14:textId="77777777" w:rsidR="00000000" w:rsidRDefault="0053651E">
            <w:pPr>
              <w:jc w:val="right"/>
              <w:rPr>
                <w:rFonts w:eastAsia="Times New Roman"/>
                <w:sz w:val="20"/>
                <w:szCs w:val="20"/>
              </w:rPr>
            </w:pPr>
            <w:r>
              <w:rPr>
                <w:rFonts w:eastAsia="Times New Roman"/>
                <w:sz w:val="20"/>
                <w:szCs w:val="20"/>
              </w:rPr>
              <w:t>6,031</w:t>
            </w:r>
          </w:p>
        </w:tc>
        <w:tc>
          <w:tcPr>
            <w:tcW w:w="50" w:type="pct"/>
            <w:shd w:val="clear" w:color="auto" w:fill="FFFFFF"/>
            <w:vAlign w:val="bottom"/>
            <w:hideMark/>
          </w:tcPr>
          <w:p w14:paraId="4159F3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DFA3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9DFC6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E8A7D9" w14:textId="77777777" w:rsidR="00000000" w:rsidRDefault="0053651E">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4B7C2505"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4A50D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151B0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73BA261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75539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9051D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9F9C9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847024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72F4B31" w14:textId="77777777" w:rsidR="00000000" w:rsidRDefault="0053651E">
            <w:pPr>
              <w:rPr>
                <w:rFonts w:eastAsia="Times New Roman"/>
                <w:sz w:val="20"/>
                <w:szCs w:val="20"/>
              </w:rPr>
            </w:pPr>
            <w:r>
              <w:rPr>
                <w:rFonts w:eastAsia="Times New Roman"/>
                <w:sz w:val="20"/>
                <w:szCs w:val="20"/>
              </w:rPr>
              <w:t> </w:t>
            </w:r>
          </w:p>
        </w:tc>
      </w:tr>
      <w:tr w:rsidR="00000000" w14:paraId="00B1F6B4" w14:textId="77777777">
        <w:trPr>
          <w:tblCellSpacing w:w="0" w:type="dxa"/>
        </w:trPr>
        <w:tc>
          <w:tcPr>
            <w:tcW w:w="1400" w:type="pct"/>
            <w:shd w:val="clear" w:color="auto" w:fill="CCEEFF"/>
            <w:vAlign w:val="bottom"/>
            <w:hideMark/>
          </w:tcPr>
          <w:p w14:paraId="7FA1CA87"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7CE3A6A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7E7B57"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34E8482" w14:textId="77777777" w:rsidR="00000000" w:rsidRDefault="0053651E">
            <w:pPr>
              <w:jc w:val="right"/>
              <w:rPr>
                <w:rFonts w:eastAsia="Times New Roman"/>
                <w:sz w:val="20"/>
                <w:szCs w:val="20"/>
              </w:rPr>
            </w:pPr>
            <w:r>
              <w:rPr>
                <w:rFonts w:eastAsia="Times New Roman"/>
                <w:sz w:val="20"/>
                <w:szCs w:val="20"/>
              </w:rPr>
              <w:t>3,194</w:t>
            </w:r>
          </w:p>
        </w:tc>
        <w:tc>
          <w:tcPr>
            <w:tcW w:w="50" w:type="pct"/>
            <w:shd w:val="clear" w:color="auto" w:fill="CCEEFF"/>
            <w:tcMar>
              <w:top w:w="0" w:type="dxa"/>
              <w:left w:w="0" w:type="dxa"/>
              <w:bottom w:w="15" w:type="dxa"/>
              <w:right w:w="0" w:type="dxa"/>
            </w:tcMar>
            <w:vAlign w:val="bottom"/>
            <w:hideMark/>
          </w:tcPr>
          <w:p w14:paraId="363E492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88C2B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FA2E21D"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6C94123"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14:paraId="41D4A3F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5A258A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02FBB10"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22817BA" w14:textId="77777777" w:rsidR="00000000" w:rsidRDefault="0053651E">
            <w:pPr>
              <w:jc w:val="right"/>
              <w:rPr>
                <w:rFonts w:eastAsia="Times New Roman"/>
                <w:sz w:val="20"/>
                <w:szCs w:val="20"/>
              </w:rPr>
            </w:pPr>
            <w:r>
              <w:rPr>
                <w:rFonts w:eastAsia="Times New Roman"/>
                <w:sz w:val="20"/>
                <w:szCs w:val="20"/>
              </w:rPr>
              <w:t>5,348</w:t>
            </w:r>
          </w:p>
        </w:tc>
        <w:tc>
          <w:tcPr>
            <w:tcW w:w="50" w:type="pct"/>
            <w:shd w:val="clear" w:color="auto" w:fill="CCEEFF"/>
            <w:tcMar>
              <w:top w:w="0" w:type="dxa"/>
              <w:left w:w="0" w:type="dxa"/>
              <w:bottom w:w="15" w:type="dxa"/>
              <w:right w:w="0" w:type="dxa"/>
            </w:tcMar>
            <w:vAlign w:val="bottom"/>
            <w:hideMark/>
          </w:tcPr>
          <w:p w14:paraId="2722F5E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40E67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BD5BED0"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2062722"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4117E73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D0F0F9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5D5EB1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AA7FBD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9761D7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54F8F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DE0891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9F89511"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07B9939" w14:textId="77777777" w:rsidR="00000000" w:rsidRDefault="0053651E">
            <w:pPr>
              <w:rPr>
                <w:rFonts w:eastAsia="Times New Roman"/>
                <w:sz w:val="20"/>
                <w:szCs w:val="20"/>
              </w:rPr>
            </w:pPr>
            <w:r>
              <w:rPr>
                <w:rFonts w:eastAsia="Times New Roman"/>
                <w:sz w:val="20"/>
                <w:szCs w:val="20"/>
              </w:rPr>
              <w:t> </w:t>
            </w:r>
          </w:p>
        </w:tc>
      </w:tr>
      <w:tr w:rsidR="00000000" w14:paraId="7A698055" w14:textId="77777777">
        <w:trPr>
          <w:tblCellSpacing w:w="0" w:type="dxa"/>
        </w:trPr>
        <w:tc>
          <w:tcPr>
            <w:tcW w:w="1400" w:type="pct"/>
            <w:shd w:val="clear" w:color="auto" w:fill="FFFFFF"/>
            <w:vAlign w:val="bottom"/>
            <w:hideMark/>
          </w:tcPr>
          <w:p w14:paraId="465206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CE1FF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AC9F18"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A60322F" w14:textId="77777777" w:rsidR="00000000" w:rsidRDefault="0053651E">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14:paraId="0772267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39901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858E64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586B5D6"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7BFACB9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F61AC4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1A4D9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91FB675" w14:textId="77777777" w:rsidR="00000000" w:rsidRDefault="0053651E">
            <w:pPr>
              <w:jc w:val="right"/>
              <w:rPr>
                <w:rFonts w:eastAsia="Times New Roman"/>
                <w:sz w:val="20"/>
                <w:szCs w:val="20"/>
              </w:rPr>
            </w:pPr>
            <w:r>
              <w:rPr>
                <w:rFonts w:eastAsia="Times New Roman"/>
                <w:sz w:val="20"/>
                <w:szCs w:val="20"/>
              </w:rPr>
              <w:t>11,379</w:t>
            </w:r>
          </w:p>
        </w:tc>
        <w:tc>
          <w:tcPr>
            <w:tcW w:w="50" w:type="pct"/>
            <w:shd w:val="clear" w:color="auto" w:fill="FFFFFF"/>
            <w:tcMar>
              <w:top w:w="0" w:type="dxa"/>
              <w:left w:w="0" w:type="dxa"/>
              <w:bottom w:w="15" w:type="dxa"/>
              <w:right w:w="0" w:type="dxa"/>
            </w:tcMar>
            <w:vAlign w:val="bottom"/>
            <w:hideMark/>
          </w:tcPr>
          <w:p w14:paraId="40A772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D15A3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47EB2BD"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B9BF6DE"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14:paraId="595A864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0DF284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C198371"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9D4306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6C511C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D2285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F61A8EE"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09A95E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5752718" w14:textId="77777777" w:rsidR="00000000" w:rsidRDefault="0053651E">
            <w:pPr>
              <w:rPr>
                <w:rFonts w:eastAsia="Times New Roman"/>
                <w:sz w:val="20"/>
                <w:szCs w:val="20"/>
              </w:rPr>
            </w:pPr>
            <w:r>
              <w:rPr>
                <w:rFonts w:eastAsia="Times New Roman"/>
                <w:sz w:val="20"/>
                <w:szCs w:val="20"/>
              </w:rPr>
              <w:t> </w:t>
            </w:r>
          </w:p>
        </w:tc>
      </w:tr>
      <w:tr w:rsidR="00000000" w14:paraId="08C02821" w14:textId="77777777">
        <w:trPr>
          <w:tblCellSpacing w:w="0" w:type="dxa"/>
        </w:trPr>
        <w:tc>
          <w:tcPr>
            <w:tcW w:w="1400" w:type="pct"/>
            <w:shd w:val="clear" w:color="auto" w:fill="CCEEFF"/>
            <w:vAlign w:val="bottom"/>
            <w:hideMark/>
          </w:tcPr>
          <w:p w14:paraId="3C6D3B0F" w14:textId="77777777" w:rsidR="00000000" w:rsidRDefault="0053651E">
            <w:pPr>
              <w:pStyle w:val="a3"/>
              <w:spacing w:before="0" w:beforeAutospacing="0" w:after="0" w:afterAutospacing="0"/>
              <w:rPr>
                <w:sz w:val="20"/>
                <w:szCs w:val="20"/>
              </w:rPr>
            </w:pPr>
            <w:r>
              <w:rPr>
                <w:sz w:val="20"/>
                <w:szCs w:val="20"/>
                <w:u w:val="single"/>
              </w:rPr>
              <w:t>Common Dividends</w:t>
            </w:r>
          </w:p>
        </w:tc>
        <w:tc>
          <w:tcPr>
            <w:tcW w:w="50" w:type="pct"/>
            <w:shd w:val="clear" w:color="auto" w:fill="CCEEFF"/>
            <w:vAlign w:val="bottom"/>
            <w:hideMark/>
          </w:tcPr>
          <w:p w14:paraId="457F83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EFD85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4A5F8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3FE8E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D5DE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D7CB2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1986E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C8AA1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320F1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79EFB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EF5F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1D9E6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53CA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947F8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4EE69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5E3AB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0026E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E10EE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C05D3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9BC4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C3D40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AA5DD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DF1B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415754" w14:textId="77777777" w:rsidR="00000000" w:rsidRDefault="0053651E">
            <w:pPr>
              <w:rPr>
                <w:rFonts w:eastAsia="Times New Roman"/>
                <w:sz w:val="20"/>
                <w:szCs w:val="20"/>
              </w:rPr>
            </w:pPr>
            <w:r>
              <w:rPr>
                <w:rFonts w:eastAsia="Times New Roman"/>
                <w:sz w:val="20"/>
                <w:szCs w:val="20"/>
              </w:rPr>
              <w:t> </w:t>
            </w:r>
          </w:p>
        </w:tc>
      </w:tr>
      <w:tr w:rsidR="00000000" w14:paraId="73753EAD" w14:textId="77777777">
        <w:trPr>
          <w:tblCellSpacing w:w="0" w:type="dxa"/>
        </w:trPr>
        <w:tc>
          <w:tcPr>
            <w:tcW w:w="1400" w:type="pct"/>
            <w:shd w:val="clear" w:color="auto" w:fill="FFFFFF"/>
            <w:vAlign w:val="bottom"/>
            <w:hideMark/>
          </w:tcPr>
          <w:p w14:paraId="4ED04225" w14:textId="77777777" w:rsidR="00000000" w:rsidRDefault="0053651E">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14:paraId="26865C3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8C4422"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1F1E8EE4" w14:textId="77777777" w:rsidR="00000000" w:rsidRDefault="0053651E">
            <w:pPr>
              <w:jc w:val="right"/>
              <w:rPr>
                <w:rFonts w:eastAsia="Times New Roman"/>
                <w:sz w:val="20"/>
                <w:szCs w:val="20"/>
              </w:rPr>
            </w:pPr>
            <w:r>
              <w:rPr>
                <w:rFonts w:eastAsia="Times New Roman"/>
                <w:sz w:val="20"/>
                <w:szCs w:val="20"/>
              </w:rPr>
              <w:t>328,726</w:t>
            </w:r>
          </w:p>
        </w:tc>
        <w:tc>
          <w:tcPr>
            <w:tcW w:w="50" w:type="pct"/>
            <w:shd w:val="clear" w:color="auto" w:fill="FFFFFF"/>
            <w:vAlign w:val="bottom"/>
            <w:hideMark/>
          </w:tcPr>
          <w:p w14:paraId="725C7FB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9B925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4A53A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677CFAF" w14:textId="77777777" w:rsidR="00000000" w:rsidRDefault="0053651E">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14:paraId="7D67583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0B143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738A1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0A84FBEF" w14:textId="77777777" w:rsidR="00000000" w:rsidRDefault="0053651E">
            <w:pPr>
              <w:jc w:val="right"/>
              <w:rPr>
                <w:rFonts w:eastAsia="Times New Roman"/>
                <w:sz w:val="20"/>
                <w:szCs w:val="20"/>
              </w:rPr>
            </w:pPr>
            <w:r>
              <w:rPr>
                <w:rFonts w:eastAsia="Times New Roman"/>
                <w:sz w:val="20"/>
                <w:szCs w:val="20"/>
              </w:rPr>
              <w:t>235,642</w:t>
            </w:r>
          </w:p>
        </w:tc>
        <w:tc>
          <w:tcPr>
            <w:tcW w:w="50" w:type="pct"/>
            <w:shd w:val="clear" w:color="auto" w:fill="FFFFFF"/>
            <w:vAlign w:val="bottom"/>
            <w:hideMark/>
          </w:tcPr>
          <w:p w14:paraId="2AC1B69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856D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B42B9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F884F7" w14:textId="77777777" w:rsidR="00000000" w:rsidRDefault="0053651E">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6011B432"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23AD2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A6BD5E" w14:textId="77777777" w:rsidR="00000000" w:rsidRDefault="0053651E">
            <w:pPr>
              <w:rPr>
                <w:rFonts w:eastAsia="Times New Roman"/>
                <w:sz w:val="20"/>
                <w:szCs w:val="20"/>
              </w:rPr>
            </w:pPr>
            <w:r>
              <w:rPr>
                <w:rFonts w:eastAsia="Times New Roman"/>
                <w:sz w:val="20"/>
                <w:szCs w:val="20"/>
              </w:rPr>
              <w:t>$</w:t>
            </w:r>
          </w:p>
        </w:tc>
        <w:tc>
          <w:tcPr>
            <w:tcW w:w="450" w:type="pct"/>
            <w:shd w:val="clear" w:color="auto" w:fill="FFFFFF"/>
            <w:vAlign w:val="bottom"/>
            <w:hideMark/>
          </w:tcPr>
          <w:p w14:paraId="28BB93F8" w14:textId="77777777" w:rsidR="00000000" w:rsidRDefault="0053651E">
            <w:pPr>
              <w:jc w:val="right"/>
              <w:rPr>
                <w:rFonts w:eastAsia="Times New Roman"/>
                <w:sz w:val="20"/>
                <w:szCs w:val="20"/>
              </w:rPr>
            </w:pPr>
            <w:r>
              <w:rPr>
                <w:rFonts w:eastAsia="Times New Roman"/>
                <w:sz w:val="20"/>
                <w:szCs w:val="20"/>
              </w:rPr>
              <w:t>260,573</w:t>
            </w:r>
          </w:p>
        </w:tc>
        <w:tc>
          <w:tcPr>
            <w:tcW w:w="50" w:type="pct"/>
            <w:shd w:val="clear" w:color="auto" w:fill="FFFFFF"/>
            <w:vAlign w:val="bottom"/>
            <w:hideMark/>
          </w:tcPr>
          <w:p w14:paraId="3F285C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67BDD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EAE2F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611A286" w14:textId="77777777" w:rsidR="00000000" w:rsidRDefault="0053651E">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14:paraId="1D94E080" w14:textId="77777777" w:rsidR="00000000" w:rsidRDefault="0053651E">
            <w:pPr>
              <w:rPr>
                <w:rFonts w:eastAsia="Times New Roman"/>
                <w:sz w:val="20"/>
                <w:szCs w:val="20"/>
              </w:rPr>
            </w:pPr>
            <w:r>
              <w:rPr>
                <w:rFonts w:eastAsia="Times New Roman"/>
                <w:sz w:val="20"/>
                <w:szCs w:val="20"/>
              </w:rPr>
              <w:t>%</w:t>
            </w:r>
          </w:p>
        </w:tc>
      </w:tr>
      <w:tr w:rsidR="00000000" w14:paraId="2B0004C9" w14:textId="77777777">
        <w:trPr>
          <w:tblCellSpacing w:w="0" w:type="dxa"/>
        </w:trPr>
        <w:tc>
          <w:tcPr>
            <w:tcW w:w="1400" w:type="pct"/>
            <w:shd w:val="clear" w:color="auto" w:fill="CCEEFF"/>
            <w:vAlign w:val="bottom"/>
            <w:hideMark/>
          </w:tcPr>
          <w:p w14:paraId="73F26B2E" w14:textId="77777777" w:rsidR="00000000" w:rsidRDefault="0053651E">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14:paraId="3606B92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F8CC6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C57136" w14:textId="77777777" w:rsidR="00000000" w:rsidRDefault="0053651E">
            <w:pPr>
              <w:jc w:val="right"/>
              <w:rPr>
                <w:rFonts w:eastAsia="Times New Roman"/>
                <w:sz w:val="20"/>
                <w:szCs w:val="20"/>
              </w:rPr>
            </w:pPr>
            <w:r>
              <w:rPr>
                <w:rFonts w:eastAsia="Times New Roman"/>
                <w:sz w:val="20"/>
                <w:szCs w:val="20"/>
              </w:rPr>
              <w:t>98,618</w:t>
            </w:r>
          </w:p>
        </w:tc>
        <w:tc>
          <w:tcPr>
            <w:tcW w:w="50" w:type="pct"/>
            <w:shd w:val="clear" w:color="auto" w:fill="CCEEFF"/>
            <w:vAlign w:val="bottom"/>
            <w:hideMark/>
          </w:tcPr>
          <w:p w14:paraId="32952BD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C091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A9415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3CE0A7" w14:textId="77777777" w:rsidR="00000000" w:rsidRDefault="0053651E">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14:paraId="1383410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2D62ABF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6D122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5F3F90" w14:textId="77777777" w:rsidR="00000000" w:rsidRDefault="0053651E">
            <w:pPr>
              <w:jc w:val="right"/>
              <w:rPr>
                <w:rFonts w:eastAsia="Times New Roman"/>
                <w:sz w:val="20"/>
                <w:szCs w:val="20"/>
              </w:rPr>
            </w:pPr>
            <w:r>
              <w:rPr>
                <w:rFonts w:eastAsia="Times New Roman"/>
                <w:sz w:val="20"/>
                <w:szCs w:val="20"/>
              </w:rPr>
              <w:t>212,077</w:t>
            </w:r>
          </w:p>
        </w:tc>
        <w:tc>
          <w:tcPr>
            <w:tcW w:w="50" w:type="pct"/>
            <w:shd w:val="clear" w:color="auto" w:fill="CCEEFF"/>
            <w:vAlign w:val="bottom"/>
            <w:hideMark/>
          </w:tcPr>
          <w:p w14:paraId="0D162A6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65F9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29360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50A5089" w14:textId="77777777" w:rsidR="00000000" w:rsidRDefault="0053651E">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14:paraId="47C04EC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379A9B7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4B953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BA7A55D" w14:textId="77777777" w:rsidR="00000000" w:rsidRDefault="0053651E">
            <w:pPr>
              <w:jc w:val="right"/>
              <w:rPr>
                <w:rFonts w:eastAsia="Times New Roman"/>
                <w:sz w:val="20"/>
                <w:szCs w:val="20"/>
              </w:rPr>
            </w:pPr>
            <w:r>
              <w:rPr>
                <w:rFonts w:eastAsia="Times New Roman"/>
                <w:sz w:val="20"/>
                <w:szCs w:val="20"/>
              </w:rPr>
              <w:t>9,143</w:t>
            </w:r>
          </w:p>
        </w:tc>
        <w:tc>
          <w:tcPr>
            <w:tcW w:w="50" w:type="pct"/>
            <w:shd w:val="clear" w:color="auto" w:fill="CCEEFF"/>
            <w:vAlign w:val="bottom"/>
            <w:hideMark/>
          </w:tcPr>
          <w:p w14:paraId="397FA0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3C2A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47D8A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24F89F6" w14:textId="77777777" w:rsidR="00000000" w:rsidRDefault="0053651E">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14:paraId="106C6F8C" w14:textId="77777777" w:rsidR="00000000" w:rsidRDefault="0053651E">
            <w:pPr>
              <w:rPr>
                <w:rFonts w:eastAsia="Times New Roman"/>
                <w:sz w:val="20"/>
                <w:szCs w:val="20"/>
              </w:rPr>
            </w:pPr>
            <w:r>
              <w:rPr>
                <w:rFonts w:eastAsia="Times New Roman"/>
                <w:sz w:val="20"/>
                <w:szCs w:val="20"/>
              </w:rPr>
              <w:t>%</w:t>
            </w:r>
          </w:p>
        </w:tc>
      </w:tr>
      <w:tr w:rsidR="00000000" w14:paraId="47364669" w14:textId="77777777">
        <w:trPr>
          <w:tblCellSpacing w:w="0" w:type="dxa"/>
        </w:trPr>
        <w:tc>
          <w:tcPr>
            <w:tcW w:w="1400" w:type="pct"/>
            <w:shd w:val="clear" w:color="auto" w:fill="FFFFFF"/>
            <w:vAlign w:val="bottom"/>
            <w:hideMark/>
          </w:tcPr>
          <w:p w14:paraId="3AC44BF7" w14:textId="77777777" w:rsidR="00000000" w:rsidRDefault="0053651E">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14:paraId="17A31E5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7D0DB9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285B2E2" w14:textId="77777777" w:rsidR="00000000" w:rsidRDefault="0053651E">
            <w:pPr>
              <w:jc w:val="right"/>
              <w:rPr>
                <w:rFonts w:eastAsia="Times New Roman"/>
                <w:sz w:val="20"/>
                <w:szCs w:val="20"/>
              </w:rPr>
            </w:pPr>
            <w:r>
              <w:rPr>
                <w:rFonts w:eastAsia="Times New Roman"/>
                <w:sz w:val="20"/>
                <w:szCs w:val="20"/>
              </w:rPr>
              <w:t>42,265</w:t>
            </w:r>
          </w:p>
        </w:tc>
        <w:tc>
          <w:tcPr>
            <w:tcW w:w="50" w:type="pct"/>
            <w:shd w:val="clear" w:color="auto" w:fill="FFFFFF"/>
            <w:tcMar>
              <w:top w:w="0" w:type="dxa"/>
              <w:left w:w="0" w:type="dxa"/>
              <w:bottom w:w="15" w:type="dxa"/>
              <w:right w:w="0" w:type="dxa"/>
            </w:tcMar>
            <w:vAlign w:val="bottom"/>
            <w:hideMark/>
          </w:tcPr>
          <w:p w14:paraId="6E2C5F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5190C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F2AE5F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BC65615" w14:textId="77777777" w:rsidR="00000000" w:rsidRDefault="0053651E">
            <w:pPr>
              <w:jc w:val="right"/>
              <w:rPr>
                <w:rFonts w:eastAsia="Times New Roman"/>
                <w:sz w:val="20"/>
                <w:szCs w:val="20"/>
              </w:rPr>
            </w:pPr>
            <w:r>
              <w:rPr>
                <w:rFonts w:eastAsia="Times New Roman"/>
                <w:sz w:val="20"/>
                <w:szCs w:val="20"/>
              </w:rPr>
              <w:t>9</w:t>
            </w:r>
          </w:p>
        </w:tc>
        <w:tc>
          <w:tcPr>
            <w:tcW w:w="50" w:type="pct"/>
            <w:shd w:val="clear" w:color="auto" w:fill="FFFFFF"/>
            <w:tcMar>
              <w:top w:w="0" w:type="dxa"/>
              <w:left w:w="0" w:type="dxa"/>
              <w:bottom w:w="15" w:type="dxa"/>
              <w:right w:w="0" w:type="dxa"/>
            </w:tcMar>
            <w:vAlign w:val="bottom"/>
            <w:hideMark/>
          </w:tcPr>
          <w:p w14:paraId="42E1336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47EC79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EBBFAB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C8F33C6" w14:textId="77777777" w:rsidR="00000000" w:rsidRDefault="0053651E">
            <w:pPr>
              <w:jc w:val="right"/>
              <w:rPr>
                <w:rFonts w:eastAsia="Times New Roman"/>
                <w:sz w:val="20"/>
                <w:szCs w:val="20"/>
              </w:rPr>
            </w:pPr>
            <w:r>
              <w:rPr>
                <w:rFonts w:eastAsia="Times New Roman"/>
                <w:sz w:val="20"/>
                <w:szCs w:val="20"/>
              </w:rPr>
              <w:t>23,564</w:t>
            </w:r>
          </w:p>
        </w:tc>
        <w:tc>
          <w:tcPr>
            <w:tcW w:w="50" w:type="pct"/>
            <w:shd w:val="clear" w:color="auto" w:fill="FFFFFF"/>
            <w:tcMar>
              <w:top w:w="0" w:type="dxa"/>
              <w:left w:w="0" w:type="dxa"/>
              <w:bottom w:w="15" w:type="dxa"/>
              <w:right w:w="0" w:type="dxa"/>
            </w:tcMar>
            <w:vAlign w:val="bottom"/>
            <w:hideMark/>
          </w:tcPr>
          <w:p w14:paraId="0CC20A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0EF7A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83EF444"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22DBC8F" w14:textId="77777777" w:rsidR="00000000" w:rsidRDefault="0053651E">
            <w:pPr>
              <w:jc w:val="right"/>
              <w:rPr>
                <w:rFonts w:eastAsia="Times New Roman"/>
                <w:sz w:val="20"/>
                <w:szCs w:val="20"/>
              </w:rPr>
            </w:pPr>
            <w:r>
              <w:rPr>
                <w:rFonts w:eastAsia="Times New Roman"/>
                <w:sz w:val="20"/>
                <w:szCs w:val="20"/>
              </w:rPr>
              <w:t>5</w:t>
            </w:r>
          </w:p>
        </w:tc>
        <w:tc>
          <w:tcPr>
            <w:tcW w:w="50" w:type="pct"/>
            <w:shd w:val="clear" w:color="auto" w:fill="FFFFFF"/>
            <w:tcMar>
              <w:top w:w="0" w:type="dxa"/>
              <w:left w:w="0" w:type="dxa"/>
              <w:bottom w:w="15" w:type="dxa"/>
              <w:right w:w="0" w:type="dxa"/>
            </w:tcMar>
            <w:vAlign w:val="bottom"/>
            <w:hideMark/>
          </w:tcPr>
          <w:p w14:paraId="2FA763F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3B3909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ABDE93C"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2A9857A" w14:textId="77777777" w:rsidR="00000000" w:rsidRDefault="0053651E">
            <w:pPr>
              <w:jc w:val="right"/>
              <w:rPr>
                <w:rFonts w:eastAsia="Times New Roman"/>
                <w:sz w:val="20"/>
                <w:szCs w:val="20"/>
              </w:rPr>
            </w:pPr>
            <w:r>
              <w:rPr>
                <w:rFonts w:eastAsia="Times New Roman"/>
                <w:sz w:val="20"/>
                <w:szCs w:val="20"/>
              </w:rPr>
              <w:t>187,430</w:t>
            </w:r>
          </w:p>
        </w:tc>
        <w:tc>
          <w:tcPr>
            <w:tcW w:w="50" w:type="pct"/>
            <w:shd w:val="clear" w:color="auto" w:fill="FFFFFF"/>
            <w:tcMar>
              <w:top w:w="0" w:type="dxa"/>
              <w:left w:w="0" w:type="dxa"/>
              <w:bottom w:w="15" w:type="dxa"/>
              <w:right w:w="0" w:type="dxa"/>
            </w:tcMar>
            <w:vAlign w:val="bottom"/>
            <w:hideMark/>
          </w:tcPr>
          <w:p w14:paraId="7C727B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FD8EF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061FAC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9DECA2E" w14:textId="77777777" w:rsidR="00000000" w:rsidRDefault="0053651E">
            <w:pPr>
              <w:jc w:val="right"/>
              <w:rPr>
                <w:rFonts w:eastAsia="Times New Roman"/>
                <w:sz w:val="20"/>
                <w:szCs w:val="20"/>
              </w:rPr>
            </w:pPr>
            <w:r>
              <w:rPr>
                <w:rFonts w:eastAsia="Times New Roman"/>
                <w:sz w:val="20"/>
                <w:szCs w:val="20"/>
              </w:rPr>
              <w:t>41</w:t>
            </w:r>
          </w:p>
        </w:tc>
        <w:tc>
          <w:tcPr>
            <w:tcW w:w="50" w:type="pct"/>
            <w:shd w:val="clear" w:color="auto" w:fill="FFFFFF"/>
            <w:tcMar>
              <w:top w:w="0" w:type="dxa"/>
              <w:left w:w="0" w:type="dxa"/>
              <w:bottom w:w="15" w:type="dxa"/>
              <w:right w:w="0" w:type="dxa"/>
            </w:tcMar>
            <w:vAlign w:val="bottom"/>
            <w:hideMark/>
          </w:tcPr>
          <w:p w14:paraId="72FF4CE8" w14:textId="77777777" w:rsidR="00000000" w:rsidRDefault="0053651E">
            <w:pPr>
              <w:rPr>
                <w:rFonts w:eastAsia="Times New Roman"/>
                <w:sz w:val="20"/>
                <w:szCs w:val="20"/>
              </w:rPr>
            </w:pPr>
            <w:r>
              <w:rPr>
                <w:rFonts w:eastAsia="Times New Roman"/>
                <w:sz w:val="20"/>
                <w:szCs w:val="20"/>
              </w:rPr>
              <w:t>%</w:t>
            </w:r>
          </w:p>
        </w:tc>
      </w:tr>
      <w:tr w:rsidR="00000000" w14:paraId="4F4F3AEB" w14:textId="77777777">
        <w:trPr>
          <w:tblCellSpacing w:w="0" w:type="dxa"/>
        </w:trPr>
        <w:tc>
          <w:tcPr>
            <w:tcW w:w="1400" w:type="pct"/>
            <w:shd w:val="clear" w:color="auto" w:fill="CCEEFF"/>
            <w:vAlign w:val="bottom"/>
            <w:hideMark/>
          </w:tcPr>
          <w:p w14:paraId="0837F3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90C82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E5B615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12B283BA" w14:textId="77777777" w:rsidR="00000000" w:rsidRDefault="0053651E">
            <w:pPr>
              <w:jc w:val="right"/>
              <w:rPr>
                <w:rFonts w:eastAsia="Times New Roman"/>
                <w:sz w:val="20"/>
                <w:szCs w:val="20"/>
              </w:rPr>
            </w:pPr>
            <w:r>
              <w:rPr>
                <w:rFonts w:eastAsia="Times New Roman"/>
                <w:sz w:val="20"/>
                <w:szCs w:val="20"/>
              </w:rPr>
              <w:t>469,609</w:t>
            </w:r>
          </w:p>
        </w:tc>
        <w:tc>
          <w:tcPr>
            <w:tcW w:w="50" w:type="pct"/>
            <w:shd w:val="clear" w:color="auto" w:fill="CCEEFF"/>
            <w:tcMar>
              <w:top w:w="0" w:type="dxa"/>
              <w:left w:w="0" w:type="dxa"/>
              <w:bottom w:w="15" w:type="dxa"/>
              <w:right w:w="0" w:type="dxa"/>
            </w:tcMar>
            <w:vAlign w:val="bottom"/>
            <w:hideMark/>
          </w:tcPr>
          <w:p w14:paraId="65743B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24418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F20A7F"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4895DB0"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14:paraId="34DC0194"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7735600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5B207DE"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29E4BE52" w14:textId="77777777" w:rsidR="00000000" w:rsidRDefault="0053651E">
            <w:pPr>
              <w:jc w:val="right"/>
              <w:rPr>
                <w:rFonts w:eastAsia="Times New Roman"/>
                <w:sz w:val="20"/>
                <w:szCs w:val="20"/>
              </w:rPr>
            </w:pPr>
            <w:r>
              <w:rPr>
                <w:rFonts w:eastAsia="Times New Roman"/>
                <w:sz w:val="20"/>
                <w:szCs w:val="20"/>
              </w:rPr>
              <w:t>471,283</w:t>
            </w:r>
          </w:p>
        </w:tc>
        <w:tc>
          <w:tcPr>
            <w:tcW w:w="50" w:type="pct"/>
            <w:shd w:val="clear" w:color="auto" w:fill="CCEEFF"/>
            <w:tcMar>
              <w:top w:w="0" w:type="dxa"/>
              <w:left w:w="0" w:type="dxa"/>
              <w:bottom w:w="15" w:type="dxa"/>
              <w:right w:w="0" w:type="dxa"/>
            </w:tcMar>
            <w:vAlign w:val="bottom"/>
            <w:hideMark/>
          </w:tcPr>
          <w:p w14:paraId="47660E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38E6A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F44B68"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CFDD955"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14:paraId="218751C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F59B04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CBDA2D"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3D7DB00A" w14:textId="77777777" w:rsidR="00000000" w:rsidRDefault="0053651E">
            <w:pPr>
              <w:jc w:val="right"/>
              <w:rPr>
                <w:rFonts w:eastAsia="Times New Roman"/>
                <w:sz w:val="20"/>
                <w:szCs w:val="20"/>
              </w:rPr>
            </w:pPr>
            <w:r>
              <w:rPr>
                <w:rFonts w:eastAsia="Times New Roman"/>
                <w:sz w:val="20"/>
                <w:szCs w:val="20"/>
              </w:rPr>
              <w:t>457,146</w:t>
            </w:r>
          </w:p>
        </w:tc>
        <w:tc>
          <w:tcPr>
            <w:tcW w:w="50" w:type="pct"/>
            <w:shd w:val="clear" w:color="auto" w:fill="CCEEFF"/>
            <w:tcMar>
              <w:top w:w="0" w:type="dxa"/>
              <w:left w:w="0" w:type="dxa"/>
              <w:bottom w:w="15" w:type="dxa"/>
              <w:right w:w="0" w:type="dxa"/>
            </w:tcMar>
            <w:vAlign w:val="bottom"/>
            <w:hideMark/>
          </w:tcPr>
          <w:p w14:paraId="19D732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AF60B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1E57C6"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51A142E" w14:textId="77777777" w:rsidR="00000000" w:rsidRDefault="0053651E">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14:paraId="14850CF8" w14:textId="77777777" w:rsidR="00000000" w:rsidRDefault="0053651E">
            <w:pPr>
              <w:rPr>
                <w:rFonts w:eastAsia="Times New Roman"/>
                <w:sz w:val="20"/>
                <w:szCs w:val="20"/>
              </w:rPr>
            </w:pPr>
            <w:r>
              <w:rPr>
                <w:rFonts w:eastAsia="Times New Roman"/>
                <w:sz w:val="20"/>
                <w:szCs w:val="20"/>
              </w:rPr>
              <w:t>%</w:t>
            </w:r>
          </w:p>
        </w:tc>
      </w:tr>
      <w:tr w:rsidR="00000000" w14:paraId="597A11AA" w14:textId="77777777">
        <w:trPr>
          <w:tblCellSpacing w:w="0" w:type="dxa"/>
        </w:trPr>
        <w:tc>
          <w:tcPr>
            <w:tcW w:w="1400" w:type="pct"/>
            <w:shd w:val="clear" w:color="auto" w:fill="FFFFFF"/>
            <w:vAlign w:val="bottom"/>
            <w:hideMark/>
          </w:tcPr>
          <w:p w14:paraId="2D942562" w14:textId="77777777" w:rsidR="00000000" w:rsidRDefault="0053651E">
            <w:pPr>
              <w:pStyle w:val="a3"/>
              <w:spacing w:before="0" w:beforeAutospacing="0" w:after="0" w:afterAutospacing="0"/>
              <w:rPr>
                <w:sz w:val="20"/>
                <w:szCs w:val="20"/>
              </w:rPr>
            </w:pPr>
            <w:r>
              <w:rPr>
                <w:sz w:val="20"/>
                <w:szCs w:val="20"/>
              </w:rPr>
              <w:t>Total dividends distributed for tax purposes</w:t>
            </w:r>
          </w:p>
        </w:tc>
        <w:tc>
          <w:tcPr>
            <w:tcW w:w="50" w:type="pct"/>
            <w:shd w:val="clear" w:color="auto" w:fill="FFFFFF"/>
            <w:tcMar>
              <w:top w:w="0" w:type="dxa"/>
              <w:left w:w="0" w:type="dxa"/>
              <w:bottom w:w="45" w:type="dxa"/>
              <w:right w:w="0" w:type="dxa"/>
            </w:tcMar>
            <w:vAlign w:val="bottom"/>
            <w:hideMark/>
          </w:tcPr>
          <w:p w14:paraId="276AFC8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E670F1A"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62BB3189" w14:textId="77777777" w:rsidR="00000000" w:rsidRDefault="0053651E">
            <w:pPr>
              <w:jc w:val="right"/>
              <w:rPr>
                <w:rFonts w:eastAsia="Times New Roman"/>
                <w:sz w:val="20"/>
                <w:szCs w:val="20"/>
              </w:rPr>
            </w:pPr>
            <w:r>
              <w:rPr>
                <w:rFonts w:eastAsia="Times New Roman"/>
                <w:b/>
                <w:bCs/>
                <w:sz w:val="20"/>
                <w:szCs w:val="20"/>
              </w:rPr>
              <w:t>528,606</w:t>
            </w:r>
          </w:p>
        </w:tc>
        <w:tc>
          <w:tcPr>
            <w:tcW w:w="50" w:type="pct"/>
            <w:shd w:val="clear" w:color="auto" w:fill="FFFFFF"/>
            <w:tcMar>
              <w:top w:w="0" w:type="dxa"/>
              <w:left w:w="0" w:type="dxa"/>
              <w:bottom w:w="45" w:type="dxa"/>
              <w:right w:w="0" w:type="dxa"/>
            </w:tcMar>
            <w:vAlign w:val="bottom"/>
            <w:hideMark/>
          </w:tcPr>
          <w:p w14:paraId="42682D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A5CA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4E1D00"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0FBB519C"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FFFFFF"/>
            <w:vAlign w:val="bottom"/>
            <w:hideMark/>
          </w:tcPr>
          <w:p w14:paraId="20368186"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14:paraId="6613BFD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EB3132A"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56F3025B" w14:textId="77777777" w:rsidR="00000000" w:rsidRDefault="0053651E">
            <w:pPr>
              <w:jc w:val="right"/>
              <w:rPr>
                <w:rFonts w:eastAsia="Times New Roman"/>
                <w:sz w:val="20"/>
                <w:szCs w:val="20"/>
              </w:rPr>
            </w:pPr>
            <w:r>
              <w:rPr>
                <w:rFonts w:eastAsia="Times New Roman"/>
                <w:b/>
                <w:bCs/>
                <w:sz w:val="20"/>
                <w:szCs w:val="20"/>
              </w:rPr>
              <w:t>526,912</w:t>
            </w:r>
          </w:p>
        </w:tc>
        <w:tc>
          <w:tcPr>
            <w:tcW w:w="50" w:type="pct"/>
            <w:shd w:val="clear" w:color="auto" w:fill="FFFFFF"/>
            <w:tcMar>
              <w:top w:w="0" w:type="dxa"/>
              <w:left w:w="0" w:type="dxa"/>
              <w:bottom w:w="45" w:type="dxa"/>
              <w:right w:w="0" w:type="dxa"/>
            </w:tcMar>
            <w:vAlign w:val="bottom"/>
            <w:hideMark/>
          </w:tcPr>
          <w:p w14:paraId="43AE3D9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7CBB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3A45BA"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7091E023"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FFFFFF"/>
            <w:vAlign w:val="bottom"/>
            <w:hideMark/>
          </w:tcPr>
          <w:p w14:paraId="27508A50"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14:paraId="57D6F29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C261273"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0B9EC66F" w14:textId="77777777" w:rsidR="00000000" w:rsidRDefault="0053651E">
            <w:pPr>
              <w:jc w:val="right"/>
              <w:rPr>
                <w:rFonts w:eastAsia="Times New Roman"/>
                <w:sz w:val="20"/>
                <w:szCs w:val="20"/>
              </w:rPr>
            </w:pPr>
            <w:r>
              <w:rPr>
                <w:rFonts w:eastAsia="Times New Roman"/>
                <w:b/>
                <w:bCs/>
                <w:sz w:val="20"/>
                <w:szCs w:val="20"/>
              </w:rPr>
              <w:t>503,793</w:t>
            </w:r>
          </w:p>
        </w:tc>
        <w:tc>
          <w:tcPr>
            <w:tcW w:w="50" w:type="pct"/>
            <w:shd w:val="clear" w:color="auto" w:fill="FFFFFF"/>
            <w:tcMar>
              <w:top w:w="0" w:type="dxa"/>
              <w:left w:w="0" w:type="dxa"/>
              <w:bottom w:w="45" w:type="dxa"/>
              <w:right w:w="0" w:type="dxa"/>
            </w:tcMar>
            <w:vAlign w:val="bottom"/>
            <w:hideMark/>
          </w:tcPr>
          <w:p w14:paraId="652F3F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96A9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E47C9D"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6E8D4A08" w14:textId="77777777" w:rsidR="00000000" w:rsidRDefault="0053651E">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FFFFFF"/>
            <w:vAlign w:val="bottom"/>
            <w:hideMark/>
          </w:tcPr>
          <w:p w14:paraId="3D5DFB2F" w14:textId="77777777" w:rsidR="00000000" w:rsidRDefault="0053651E">
            <w:pPr>
              <w:rPr>
                <w:rFonts w:eastAsia="Times New Roman"/>
                <w:sz w:val="20"/>
                <w:szCs w:val="20"/>
              </w:rPr>
            </w:pPr>
            <w:r>
              <w:rPr>
                <w:rFonts w:eastAsia="Times New Roman"/>
                <w:b/>
                <w:bCs/>
                <w:sz w:val="20"/>
                <w:szCs w:val="20"/>
              </w:rPr>
              <w:t> </w:t>
            </w:r>
          </w:p>
        </w:tc>
      </w:tr>
    </w:tbl>
    <w:p w14:paraId="3B048D8F" w14:textId="77777777" w:rsidR="00000000" w:rsidRDefault="0053651E">
      <w:pPr>
        <w:pStyle w:val="a3"/>
        <w:spacing w:before="0" w:beforeAutospacing="0" w:after="0" w:afterAutospacing="0"/>
        <w:ind w:left="360"/>
        <w:jc w:val="both"/>
        <w:rPr>
          <w:sz w:val="20"/>
          <w:szCs w:val="20"/>
        </w:rPr>
      </w:pPr>
      <w:r>
        <w:rPr>
          <w:sz w:val="20"/>
          <w:szCs w:val="20"/>
        </w:rPr>
        <w:t> </w:t>
      </w:r>
    </w:p>
    <w:p w14:paraId="38B788E2" w14:textId="77777777" w:rsidR="00000000" w:rsidRDefault="0053651E">
      <w:pPr>
        <w:pStyle w:val="a3"/>
        <w:spacing w:before="0" w:beforeAutospacing="0" w:after="0" w:afterAutospacing="0"/>
        <w:ind w:left="360"/>
        <w:jc w:val="both"/>
        <w:rPr>
          <w:sz w:val="20"/>
          <w:szCs w:val="20"/>
        </w:rPr>
      </w:pPr>
      <w:r>
        <w:rPr>
          <w:sz w:val="20"/>
          <w:szCs w:val="20"/>
        </w:rPr>
        <w:t>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w:t>
      </w:r>
      <w:r>
        <w:rPr>
          <w:sz w:val="20"/>
          <w:szCs w:val="20"/>
        </w:rPr>
        <w:t>cash dividends paid for tax purposes were equivalent to, or in excess of, the dividends paid deduction.</w:t>
      </w:r>
    </w:p>
    <w:p w14:paraId="740B0916" w14:textId="77777777" w:rsidR="00000000" w:rsidRDefault="0053651E">
      <w:pPr>
        <w:pStyle w:val="a3"/>
        <w:spacing w:before="0" w:beforeAutospacing="0" w:after="0" w:afterAutospacing="0"/>
        <w:ind w:left="360"/>
        <w:rPr>
          <w:sz w:val="20"/>
          <w:szCs w:val="20"/>
        </w:rPr>
      </w:pPr>
      <w:r>
        <w:rPr>
          <w:sz w:val="20"/>
          <w:szCs w:val="20"/>
        </w:rPr>
        <w:t> </w:t>
      </w:r>
    </w:p>
    <w:p w14:paraId="666879AA" w14:textId="77777777" w:rsidR="00000000" w:rsidRDefault="0053651E">
      <w:pPr>
        <w:pStyle w:val="a3"/>
        <w:spacing w:before="0" w:beforeAutospacing="0" w:after="0" w:afterAutospacing="0"/>
        <w:ind w:left="360"/>
        <w:rPr>
          <w:sz w:val="20"/>
          <w:szCs w:val="20"/>
        </w:rPr>
      </w:pPr>
      <w:r>
        <w:rPr>
          <w:i/>
          <w:iCs/>
          <w:sz w:val="20"/>
          <w:szCs w:val="20"/>
        </w:rPr>
        <w:t>Taxable REIT Subsidiaries and Taxable Entities</w:t>
      </w:r>
    </w:p>
    <w:p w14:paraId="51106585" w14:textId="77777777" w:rsidR="00000000" w:rsidRDefault="0053651E">
      <w:pPr>
        <w:pStyle w:val="a3"/>
        <w:spacing w:before="0" w:beforeAutospacing="0" w:after="0" w:afterAutospacing="0"/>
        <w:ind w:left="360"/>
        <w:jc w:val="both"/>
        <w:rPr>
          <w:sz w:val="20"/>
          <w:szCs w:val="20"/>
        </w:rPr>
      </w:pPr>
      <w:r>
        <w:rPr>
          <w:sz w:val="20"/>
          <w:szCs w:val="20"/>
        </w:rPr>
        <w:t> </w:t>
      </w:r>
    </w:p>
    <w:p w14:paraId="7D137555" w14:textId="77777777" w:rsidR="00000000" w:rsidRDefault="0053651E">
      <w:pPr>
        <w:pStyle w:val="a3"/>
        <w:spacing w:before="0" w:beforeAutospacing="0" w:after="0" w:afterAutospacing="0"/>
        <w:ind w:left="360"/>
        <w:jc w:val="both"/>
        <w:rPr>
          <w:sz w:val="20"/>
          <w:szCs w:val="20"/>
        </w:rPr>
      </w:pPr>
      <w:r>
        <w:rPr>
          <w:sz w:val="20"/>
          <w:szCs w:val="20"/>
        </w:rPr>
        <w:t>The Company is subject to federal, state and local income taxes on income reported through its TRS activities, which include wholly owned subsidiaries of the Company. The Company’s TRSs include Kimco Realty Services II, Inc. (“KRS”), FNC Realty Corporation</w:t>
      </w:r>
      <w:r>
        <w:rPr>
          <w:sz w:val="20"/>
          <w:szCs w:val="20"/>
        </w:rPr>
        <w:t>, Kimco Insurance Company (collectively “KRS Consolidated”) and the consolidated entity, Blue Ridge Real Estate Company/Big Boulder Corporation. </w:t>
      </w:r>
    </w:p>
    <w:p w14:paraId="6E892BCC" w14:textId="77777777" w:rsidR="00000000" w:rsidRDefault="0053651E">
      <w:pPr>
        <w:pStyle w:val="a3"/>
        <w:spacing w:before="0" w:beforeAutospacing="0" w:after="0" w:afterAutospacing="0"/>
        <w:ind w:left="360"/>
        <w:jc w:val="both"/>
        <w:rPr>
          <w:sz w:val="20"/>
          <w:szCs w:val="20"/>
        </w:rPr>
      </w:pPr>
      <w:r>
        <w:rPr>
          <w:sz w:val="20"/>
          <w:szCs w:val="20"/>
        </w:rPr>
        <w:t> </w:t>
      </w:r>
    </w:p>
    <w:p w14:paraId="1F621CEF" w14:textId="77777777" w:rsidR="00000000" w:rsidRDefault="0053651E">
      <w:pPr>
        <w:pStyle w:val="a3"/>
        <w:spacing w:before="0" w:beforeAutospacing="0" w:after="0" w:afterAutospacing="0"/>
        <w:ind w:left="360"/>
        <w:jc w:val="both"/>
        <w:rPr>
          <w:sz w:val="20"/>
          <w:szCs w:val="20"/>
        </w:rPr>
      </w:pPr>
      <w:r>
        <w:rPr>
          <w:sz w:val="20"/>
          <w:szCs w:val="20"/>
        </w:rPr>
        <w:t>On</w:t>
      </w:r>
      <w:r>
        <w:rPr>
          <w:sz w:val="20"/>
          <w:szCs w:val="20"/>
        </w:rPr>
        <w:t xml:space="preserve"> </w:t>
      </w:r>
      <w:r>
        <w:rPr>
          <w:rStyle w:val="a6"/>
          <w:i w:val="0"/>
          <w:iCs w:val="0"/>
          <w:sz w:val="20"/>
          <w:szCs w:val="20"/>
        </w:rPr>
        <w:t xml:space="preserve">December 22, 2017, </w:t>
      </w:r>
      <w:r>
        <w:rPr>
          <w:sz w:val="20"/>
          <w:szCs w:val="20"/>
        </w:rPr>
        <w:t xml:space="preserve">the Tax Cuts and Jobs Act was signed into law, making significant changes to taxation </w:t>
      </w:r>
      <w:r>
        <w:rPr>
          <w:sz w:val="20"/>
          <w:szCs w:val="20"/>
        </w:rPr>
        <w:t>of corporations and individuals. Effective for tax years beginning on</w:t>
      </w:r>
      <w:r>
        <w:rPr>
          <w:sz w:val="20"/>
          <w:szCs w:val="20"/>
        </w:rPr>
        <w:t xml:space="preserve"> </w:t>
      </w:r>
      <w:r>
        <w:rPr>
          <w:rStyle w:val="a6"/>
          <w:i w:val="0"/>
          <w:iCs w:val="0"/>
          <w:sz w:val="20"/>
          <w:szCs w:val="20"/>
        </w:rPr>
        <w:t xml:space="preserve">January 1, 2018, </w:t>
      </w:r>
      <w:r>
        <w:rPr>
          <w:sz w:val="20"/>
          <w:szCs w:val="20"/>
        </w:rPr>
        <w:t>this tax reform law reduces the federal statutory income tax rate from</w:t>
      </w:r>
      <w:r>
        <w:rPr>
          <w:sz w:val="20"/>
          <w:szCs w:val="20"/>
        </w:rPr>
        <w:t xml:space="preserve"> </w:t>
      </w:r>
      <w:r>
        <w:rPr>
          <w:rStyle w:val="a6"/>
          <w:i w:val="0"/>
          <w:iCs w:val="0"/>
          <w:sz w:val="20"/>
          <w:szCs w:val="20"/>
        </w:rPr>
        <w:t>35%</w:t>
      </w:r>
      <w:r>
        <w:rPr>
          <w:sz w:val="20"/>
          <w:szCs w:val="20"/>
        </w:rPr>
        <w:t xml:space="preserve"> to 21% for corporations and changed other certain tax provisions and deductions. ASC</w:t>
      </w:r>
      <w:r>
        <w:rPr>
          <w:sz w:val="20"/>
          <w:szCs w:val="20"/>
        </w:rPr>
        <w:t xml:space="preserve"> </w:t>
      </w:r>
      <w:r>
        <w:rPr>
          <w:rStyle w:val="a6"/>
          <w:i w:val="0"/>
          <w:iCs w:val="0"/>
          <w:sz w:val="20"/>
          <w:szCs w:val="20"/>
        </w:rPr>
        <w:t>740,</w:t>
      </w:r>
      <w:r>
        <w:rPr>
          <w:sz w:val="20"/>
          <w:szCs w:val="20"/>
        </w:rPr>
        <w:t xml:space="preserve"> Inco</w:t>
      </w:r>
      <w:r>
        <w:rPr>
          <w:sz w:val="20"/>
          <w:szCs w:val="20"/>
        </w:rPr>
        <w:t>me Taxes, requires the effects of changes in tax rates and laws on deferred tax balances to be recognized in the period in which the legislation is enacted. As a result, the Company remeasured its deferred tax assets and liabilities and recorded a tax prov</w:t>
      </w:r>
      <w:r>
        <w:rPr>
          <w:sz w:val="20"/>
          <w:szCs w:val="20"/>
        </w:rPr>
        <w:t>ision of $1.1 million during</w:t>
      </w:r>
      <w:r>
        <w:rPr>
          <w:sz w:val="20"/>
          <w:szCs w:val="20"/>
        </w:rPr>
        <w:t xml:space="preserve"> </w:t>
      </w:r>
      <w:r>
        <w:rPr>
          <w:rStyle w:val="a6"/>
          <w:i w:val="0"/>
          <w:iCs w:val="0"/>
          <w:sz w:val="20"/>
          <w:szCs w:val="20"/>
        </w:rPr>
        <w:t>2017.</w:t>
      </w:r>
    </w:p>
    <w:p w14:paraId="11FCBEFD" w14:textId="77777777" w:rsidR="00000000" w:rsidRDefault="0053651E">
      <w:pPr>
        <w:pStyle w:val="a3"/>
        <w:spacing w:before="0" w:beforeAutospacing="0" w:after="0" w:afterAutospacing="0"/>
        <w:ind w:left="360"/>
        <w:jc w:val="both"/>
        <w:rPr>
          <w:sz w:val="20"/>
          <w:szCs w:val="20"/>
        </w:rPr>
      </w:pPr>
      <w:r>
        <w:rPr>
          <w:sz w:val="20"/>
          <w:szCs w:val="20"/>
        </w:rPr>
        <w:t> </w:t>
      </w:r>
    </w:p>
    <w:p w14:paraId="2837B24C" w14:textId="77777777" w:rsidR="00000000" w:rsidRDefault="0053651E">
      <w:pPr>
        <w:jc w:val="center"/>
        <w:divId w:val="210700188"/>
        <w:rPr>
          <w:rFonts w:eastAsia="Times New Roman"/>
          <w:sz w:val="20"/>
          <w:szCs w:val="20"/>
        </w:rPr>
      </w:pPr>
      <w:r>
        <w:rPr>
          <w:rStyle w:val="a6"/>
          <w:rFonts w:eastAsia="Times New Roman"/>
          <w:i w:val="0"/>
          <w:iCs w:val="0"/>
          <w:sz w:val="20"/>
          <w:szCs w:val="20"/>
        </w:rPr>
        <w:t>82</w:t>
      </w:r>
      <w:r>
        <w:rPr>
          <w:rFonts w:eastAsia="Times New Roman"/>
          <w:sz w:val="20"/>
          <w:szCs w:val="20"/>
        </w:rPr>
        <w:t xml:space="preserve"> </w:t>
      </w:r>
    </w:p>
    <w:p w14:paraId="7BBFE4E6" w14:textId="77777777" w:rsidR="00000000" w:rsidRDefault="0053651E">
      <w:pPr>
        <w:divId w:val="210700188"/>
        <w:rPr>
          <w:rFonts w:eastAsia="Times New Roman"/>
          <w:sz w:val="20"/>
          <w:szCs w:val="20"/>
        </w:rPr>
      </w:pPr>
      <w:r>
        <w:rPr>
          <w:rFonts w:eastAsia="Times New Roman"/>
          <w:sz w:val="20"/>
          <w:szCs w:val="20"/>
        </w:rPr>
        <w:pict w14:anchorId="428A3C5B">
          <v:rect id="_x0000_i1113" style="width:415.3pt;height:1.5pt" o:hralign="center" o:hrstd="t" o:hrnoshade="t" o:hr="t" fillcolor="black" stroked="f"/>
        </w:pict>
      </w:r>
    </w:p>
    <w:p w14:paraId="0BBD3CDA" w14:textId="77777777" w:rsidR="00000000" w:rsidRDefault="0053651E">
      <w:pPr>
        <w:divId w:val="2107001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5D41CE2" w14:textId="77777777" w:rsidR="00000000" w:rsidRDefault="0053651E">
      <w:pPr>
        <w:pStyle w:val="a3"/>
        <w:spacing w:before="0" w:beforeAutospacing="0" w:after="0" w:afterAutospacing="0"/>
        <w:rPr>
          <w:sz w:val="20"/>
          <w:szCs w:val="20"/>
        </w:rPr>
      </w:pPr>
      <w:r>
        <w:rPr>
          <w:sz w:val="20"/>
          <w:szCs w:val="20"/>
        </w:rPr>
        <w:t> </w:t>
      </w:r>
    </w:p>
    <w:p w14:paraId="6564F1F3"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6CA2EE30" w14:textId="77777777" w:rsidR="00000000" w:rsidRDefault="0053651E">
      <w:pPr>
        <w:pStyle w:val="a3"/>
        <w:spacing w:before="0" w:beforeAutospacing="0" w:after="0" w:afterAutospacing="0"/>
        <w:jc w:val="center"/>
        <w:rPr>
          <w:sz w:val="20"/>
          <w:szCs w:val="20"/>
        </w:rPr>
      </w:pPr>
      <w:r>
        <w:rPr>
          <w:sz w:val="20"/>
          <w:szCs w:val="20"/>
        </w:rPr>
        <w:t> </w:t>
      </w:r>
    </w:p>
    <w:p w14:paraId="41988B64" w14:textId="77777777" w:rsidR="00000000" w:rsidRDefault="0053651E">
      <w:pPr>
        <w:pStyle w:val="a3"/>
        <w:spacing w:before="0" w:beforeAutospacing="0" w:after="0" w:afterAutospacing="0"/>
        <w:ind w:left="144" w:right="144"/>
        <w:jc w:val="center"/>
        <w:rPr>
          <w:sz w:val="20"/>
          <w:szCs w:val="20"/>
        </w:rPr>
      </w:pPr>
      <w:r>
        <w:rPr>
          <w:sz w:val="20"/>
          <w:szCs w:val="20"/>
        </w:rPr>
        <w:t>NOTES TO CONSOLIDATED</w:t>
      </w:r>
      <w:r>
        <w:rPr>
          <w:sz w:val="20"/>
          <w:szCs w:val="20"/>
        </w:rPr>
        <w:t xml:space="preserve"> FINANCIAL STATEMENTS, continued</w:t>
      </w:r>
    </w:p>
    <w:p w14:paraId="14286129" w14:textId="77777777" w:rsidR="00000000" w:rsidRDefault="0053651E">
      <w:pPr>
        <w:pStyle w:val="a3"/>
        <w:spacing w:before="0" w:beforeAutospacing="0" w:after="0" w:afterAutospacing="0"/>
        <w:rPr>
          <w:sz w:val="20"/>
          <w:szCs w:val="20"/>
        </w:rPr>
      </w:pPr>
      <w:r>
        <w:rPr>
          <w:sz w:val="20"/>
          <w:szCs w:val="20"/>
        </w:rPr>
        <w:t> </w:t>
      </w:r>
    </w:p>
    <w:p w14:paraId="6C240F99" w14:textId="77777777" w:rsidR="00000000" w:rsidRDefault="0053651E">
      <w:pPr>
        <w:pStyle w:val="a3"/>
        <w:spacing w:before="0" w:beforeAutospacing="0" w:after="0" w:afterAutospacing="0"/>
        <w:ind w:left="360"/>
        <w:jc w:val="both"/>
        <w:rPr>
          <w:sz w:val="20"/>
          <w:szCs w:val="20"/>
        </w:rPr>
      </w:pPr>
      <w:r>
        <w:rPr>
          <w:sz w:val="20"/>
          <w:szCs w:val="20"/>
        </w:rPr>
        <w:t>The Company is also subject to local non-U.S. taxes on certain investments located outside the U.S.  In general, under local country law applicable to the entity ownership structures the Company has in place and applicabl</w:t>
      </w:r>
      <w:r>
        <w:rPr>
          <w:sz w:val="20"/>
          <w:szCs w:val="20"/>
        </w:rPr>
        <w:t>e tax treaties, the repatriation of cash to the Company from its subsidiaries and joint ventures in Canada, Puerto Rico and Mexico generally is</w:t>
      </w:r>
      <w:r>
        <w:rPr>
          <w:sz w:val="20"/>
          <w:szCs w:val="20"/>
        </w:rPr>
        <w:t xml:space="preserve"> </w:t>
      </w:r>
      <w:r>
        <w:rPr>
          <w:rStyle w:val="a6"/>
          <w:i w:val="0"/>
          <w:iCs w:val="0"/>
          <w:sz w:val="20"/>
          <w:szCs w:val="20"/>
        </w:rPr>
        <w:t>not</w:t>
      </w:r>
      <w:r>
        <w:rPr>
          <w:sz w:val="20"/>
          <w:szCs w:val="20"/>
        </w:rPr>
        <w:t xml:space="preserve"> subject to withholding tax. The Company is subject to and includes in its tax provision non-U.S. income taxe</w:t>
      </w:r>
      <w:r>
        <w:rPr>
          <w:sz w:val="20"/>
          <w:szCs w:val="20"/>
        </w:rPr>
        <w:t>s on certain investments located in jurisdictions outside the U.S. These investments are primarily held by the Company at the REIT level and</w:t>
      </w:r>
      <w:r>
        <w:rPr>
          <w:sz w:val="20"/>
          <w:szCs w:val="20"/>
        </w:rPr>
        <w:t xml:space="preserve"> </w:t>
      </w:r>
      <w:r>
        <w:rPr>
          <w:rStyle w:val="a6"/>
          <w:i w:val="0"/>
          <w:iCs w:val="0"/>
          <w:sz w:val="20"/>
          <w:szCs w:val="20"/>
        </w:rPr>
        <w:t>not</w:t>
      </w:r>
      <w:r>
        <w:rPr>
          <w:sz w:val="20"/>
          <w:szCs w:val="20"/>
        </w:rPr>
        <w:t xml:space="preserve"> in the Company’s TRSs. Accordingly, the Company does</w:t>
      </w:r>
      <w:r>
        <w:rPr>
          <w:sz w:val="20"/>
          <w:szCs w:val="20"/>
        </w:rPr>
        <w:t xml:space="preserve"> </w:t>
      </w:r>
      <w:r>
        <w:rPr>
          <w:rStyle w:val="a6"/>
          <w:i w:val="0"/>
          <w:iCs w:val="0"/>
          <w:sz w:val="20"/>
          <w:szCs w:val="20"/>
        </w:rPr>
        <w:t>not</w:t>
      </w:r>
      <w:r>
        <w:rPr>
          <w:sz w:val="20"/>
          <w:szCs w:val="20"/>
        </w:rPr>
        <w:t xml:space="preserve"> expect a U.S. income tax impact associated with the re</w:t>
      </w:r>
      <w:r>
        <w:rPr>
          <w:sz w:val="20"/>
          <w:szCs w:val="20"/>
        </w:rPr>
        <w:t>patriation of undistributed earnings from the Company’s foreign subsidiaries.</w:t>
      </w:r>
    </w:p>
    <w:p w14:paraId="3E775924" w14:textId="77777777" w:rsidR="00000000" w:rsidRDefault="0053651E">
      <w:pPr>
        <w:pStyle w:val="a3"/>
        <w:spacing w:before="0" w:beforeAutospacing="0" w:after="0" w:afterAutospacing="0"/>
        <w:ind w:left="360"/>
        <w:jc w:val="both"/>
        <w:rPr>
          <w:sz w:val="20"/>
          <w:szCs w:val="20"/>
        </w:rPr>
      </w:pPr>
      <w:r>
        <w:rPr>
          <w:sz w:val="20"/>
          <w:szCs w:val="20"/>
        </w:rPr>
        <w:t> </w:t>
      </w:r>
    </w:p>
    <w:p w14:paraId="03A39DF6" w14:textId="77777777" w:rsidR="00000000" w:rsidRDefault="0053651E">
      <w:pPr>
        <w:pStyle w:val="a3"/>
        <w:spacing w:before="0" w:beforeAutospacing="0" w:after="0" w:afterAutospacing="0"/>
        <w:ind w:left="360"/>
        <w:jc w:val="both"/>
        <w:rPr>
          <w:sz w:val="20"/>
          <w:szCs w:val="20"/>
        </w:rPr>
      </w:pPr>
      <w:r>
        <w:rPr>
          <w:sz w:val="20"/>
          <w:szCs w:val="20"/>
        </w:rPr>
        <w:t>Income taxes are accounted for under the asset and liability method. Deferred income taxes are recognized for the temporary differences between the financial reporting basis an</w:t>
      </w:r>
      <w:r>
        <w:rPr>
          <w:sz w:val="20"/>
          <w:szCs w:val="20"/>
        </w:rPr>
        <w:t>d the tax basis of taxable assets and liabilities.</w:t>
      </w:r>
    </w:p>
    <w:p w14:paraId="36EF9EB7" w14:textId="77777777" w:rsidR="00000000" w:rsidRDefault="0053651E">
      <w:pPr>
        <w:pStyle w:val="a3"/>
        <w:spacing w:before="0" w:beforeAutospacing="0" w:after="0" w:afterAutospacing="0"/>
        <w:ind w:left="360"/>
        <w:jc w:val="both"/>
        <w:rPr>
          <w:sz w:val="20"/>
          <w:szCs w:val="20"/>
        </w:rPr>
      </w:pPr>
      <w:r>
        <w:rPr>
          <w:sz w:val="20"/>
          <w:szCs w:val="20"/>
        </w:rPr>
        <w:t> </w:t>
      </w:r>
    </w:p>
    <w:p w14:paraId="21A89CBD" w14:textId="77777777" w:rsidR="00000000" w:rsidRDefault="0053651E">
      <w:pPr>
        <w:pStyle w:val="a3"/>
        <w:spacing w:before="0" w:beforeAutospacing="0" w:after="0" w:afterAutospacing="0"/>
        <w:ind w:left="360"/>
        <w:jc w:val="both"/>
        <w:rPr>
          <w:sz w:val="20"/>
          <w:szCs w:val="20"/>
        </w:rPr>
      </w:pPr>
      <w:r>
        <w:rPr>
          <w:sz w:val="20"/>
          <w:szCs w:val="20"/>
        </w:rPr>
        <w:t>The Company’s pre-tax book income/(loss) and (provision)/benefit for income taxes relating to the Company’s TRSs and taxable entities which have been consolidated for accounting reporting purposes, for t</w:t>
      </w:r>
      <w:r>
        <w:rPr>
          <w:sz w:val="20"/>
          <w:szCs w:val="20"/>
        </w:rPr>
        <w: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summarized as follows (in thousands):</w:t>
      </w:r>
    </w:p>
    <w:p w14:paraId="5C91B25C" w14:textId="77777777" w:rsidR="00000000" w:rsidRDefault="0053651E">
      <w:pPr>
        <w:pStyle w:val="a3"/>
        <w:spacing w:before="0" w:beforeAutospacing="0" w:after="0" w:afterAutospacing="0"/>
        <w:ind w:left="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874"/>
        <w:gridCol w:w="100"/>
        <w:gridCol w:w="1035"/>
        <w:gridCol w:w="67"/>
        <w:gridCol w:w="100"/>
        <w:gridCol w:w="1032"/>
        <w:gridCol w:w="67"/>
        <w:gridCol w:w="100"/>
        <w:gridCol w:w="1033"/>
        <w:gridCol w:w="67"/>
      </w:tblGrid>
      <w:tr w:rsidR="00000000" w14:paraId="12282D68" w14:textId="77777777">
        <w:trPr>
          <w:tblCellSpacing w:w="0" w:type="dxa"/>
        </w:trPr>
        <w:tc>
          <w:tcPr>
            <w:tcW w:w="0" w:type="auto"/>
            <w:vAlign w:val="bottom"/>
            <w:hideMark/>
          </w:tcPr>
          <w:p w14:paraId="5C7459F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AD7F06"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8EEFEE4"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B55875"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F0F3C1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68067E3"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671E5823" w14:textId="77777777" w:rsidR="00000000" w:rsidRDefault="0053651E">
            <w:pPr>
              <w:rPr>
                <w:rFonts w:eastAsia="Times New Roman"/>
                <w:sz w:val="20"/>
                <w:szCs w:val="20"/>
              </w:rPr>
            </w:pPr>
            <w:r>
              <w:rPr>
                <w:rFonts w:eastAsia="Times New Roman"/>
                <w:sz w:val="20"/>
                <w:szCs w:val="20"/>
              </w:rPr>
              <w:t> </w:t>
            </w:r>
          </w:p>
        </w:tc>
      </w:tr>
      <w:tr w:rsidR="00000000" w14:paraId="576A6D06" w14:textId="77777777">
        <w:trPr>
          <w:tblCellSpacing w:w="0" w:type="dxa"/>
        </w:trPr>
        <w:tc>
          <w:tcPr>
            <w:tcW w:w="0" w:type="auto"/>
            <w:shd w:val="clear" w:color="auto" w:fill="CCEEFF"/>
            <w:vAlign w:val="bottom"/>
            <w:hideMark/>
          </w:tcPr>
          <w:p w14:paraId="2A629778" w14:textId="77777777" w:rsidR="00000000" w:rsidRDefault="0053651E">
            <w:pPr>
              <w:pStyle w:val="a3"/>
              <w:spacing w:before="0" w:beforeAutospacing="0" w:after="0" w:afterAutospacing="0"/>
              <w:rPr>
                <w:sz w:val="20"/>
                <w:szCs w:val="20"/>
              </w:rPr>
            </w:pPr>
            <w:r>
              <w:rPr>
                <w:sz w:val="20"/>
                <w:szCs w:val="20"/>
              </w:rPr>
              <w:t>(Loss)/income before income taxes – U.S.</w:t>
            </w:r>
          </w:p>
        </w:tc>
        <w:tc>
          <w:tcPr>
            <w:tcW w:w="50" w:type="pct"/>
            <w:tcBorders>
              <w:bottom w:val="single" w:sz="6" w:space="0" w:color="000000"/>
            </w:tcBorders>
            <w:shd w:val="clear" w:color="auto" w:fill="CCEEFF"/>
            <w:vAlign w:val="bottom"/>
            <w:hideMark/>
          </w:tcPr>
          <w:p w14:paraId="2359A246" w14:textId="77777777" w:rsidR="00000000" w:rsidRDefault="0053651E">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14:paraId="40B31C70" w14:textId="77777777" w:rsidR="00000000" w:rsidRDefault="0053651E">
            <w:pPr>
              <w:jc w:val="right"/>
              <w:rPr>
                <w:rFonts w:eastAsia="Times New Roman"/>
                <w:sz w:val="20"/>
                <w:szCs w:val="20"/>
              </w:rPr>
            </w:pPr>
            <w:r>
              <w:rPr>
                <w:rFonts w:eastAsia="Times New Roman"/>
                <w:sz w:val="20"/>
                <w:szCs w:val="20"/>
              </w:rPr>
              <w:t>(1,682</w:t>
            </w:r>
          </w:p>
        </w:tc>
        <w:tc>
          <w:tcPr>
            <w:tcW w:w="50" w:type="pct"/>
            <w:shd w:val="clear" w:color="auto" w:fill="CCEEFF"/>
            <w:tcMar>
              <w:top w:w="0" w:type="dxa"/>
              <w:left w:w="0" w:type="dxa"/>
              <w:bottom w:w="15" w:type="dxa"/>
              <w:right w:w="0" w:type="dxa"/>
            </w:tcMar>
            <w:vAlign w:val="bottom"/>
            <w:hideMark/>
          </w:tcPr>
          <w:p w14:paraId="3256D9B1"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48EA2F72" w14:textId="77777777" w:rsidR="00000000" w:rsidRDefault="0053651E">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14:paraId="5B2B0194" w14:textId="77777777" w:rsidR="00000000" w:rsidRDefault="0053651E">
            <w:pPr>
              <w:jc w:val="right"/>
              <w:rPr>
                <w:rFonts w:eastAsia="Times New Roman"/>
                <w:sz w:val="20"/>
                <w:szCs w:val="20"/>
              </w:rPr>
            </w:pPr>
            <w:r>
              <w:rPr>
                <w:rFonts w:eastAsia="Times New Roman"/>
                <w:sz w:val="20"/>
                <w:szCs w:val="20"/>
              </w:rPr>
              <w:t>4,331</w:t>
            </w:r>
          </w:p>
        </w:tc>
        <w:tc>
          <w:tcPr>
            <w:tcW w:w="50" w:type="pct"/>
            <w:shd w:val="clear" w:color="auto" w:fill="CCEEFF"/>
            <w:tcMar>
              <w:top w:w="0" w:type="dxa"/>
              <w:left w:w="0" w:type="dxa"/>
              <w:bottom w:w="15" w:type="dxa"/>
              <w:right w:w="0" w:type="dxa"/>
            </w:tcMar>
            <w:vAlign w:val="bottom"/>
            <w:hideMark/>
          </w:tcPr>
          <w:p w14:paraId="1BE86A7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4895E5" w14:textId="77777777" w:rsidR="00000000" w:rsidRDefault="0053651E">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14:paraId="01AB3D0D" w14:textId="77777777" w:rsidR="00000000" w:rsidRDefault="0053651E">
            <w:pPr>
              <w:jc w:val="right"/>
              <w:rPr>
                <w:rFonts w:eastAsia="Times New Roman"/>
                <w:sz w:val="20"/>
                <w:szCs w:val="20"/>
              </w:rPr>
            </w:pPr>
            <w:r>
              <w:rPr>
                <w:rFonts w:eastAsia="Times New Roman"/>
                <w:sz w:val="20"/>
                <w:szCs w:val="20"/>
              </w:rPr>
              <w:t>1,487</w:t>
            </w:r>
          </w:p>
        </w:tc>
        <w:tc>
          <w:tcPr>
            <w:tcW w:w="50" w:type="pct"/>
            <w:shd w:val="clear" w:color="auto" w:fill="CCEEFF"/>
            <w:tcMar>
              <w:top w:w="0" w:type="dxa"/>
              <w:left w:w="0" w:type="dxa"/>
              <w:bottom w:w="15" w:type="dxa"/>
              <w:right w:w="0" w:type="dxa"/>
            </w:tcMar>
            <w:vAlign w:val="bottom"/>
            <w:hideMark/>
          </w:tcPr>
          <w:p w14:paraId="2151BA72" w14:textId="77777777" w:rsidR="00000000" w:rsidRDefault="0053651E">
            <w:pPr>
              <w:rPr>
                <w:rFonts w:eastAsia="Times New Roman"/>
                <w:sz w:val="20"/>
                <w:szCs w:val="20"/>
              </w:rPr>
            </w:pPr>
            <w:r>
              <w:rPr>
                <w:rFonts w:eastAsia="Times New Roman"/>
                <w:sz w:val="20"/>
                <w:szCs w:val="20"/>
              </w:rPr>
              <w:t> </w:t>
            </w:r>
          </w:p>
        </w:tc>
      </w:tr>
      <w:tr w:rsidR="00000000" w14:paraId="44BB6CB5" w14:textId="77777777">
        <w:trPr>
          <w:tblCellSpacing w:w="0" w:type="dxa"/>
        </w:trPr>
        <w:tc>
          <w:tcPr>
            <w:tcW w:w="0" w:type="auto"/>
            <w:shd w:val="clear" w:color="auto" w:fill="FFFFFF"/>
            <w:vAlign w:val="bottom"/>
            <w:hideMark/>
          </w:tcPr>
          <w:p w14:paraId="28E56635" w14:textId="77777777" w:rsidR="00000000" w:rsidRDefault="0053651E">
            <w:pPr>
              <w:pStyle w:val="a3"/>
              <w:spacing w:before="0" w:beforeAutospacing="0" w:after="0" w:afterAutospacing="0"/>
              <w:rPr>
                <w:sz w:val="20"/>
                <w:szCs w:val="20"/>
              </w:rPr>
            </w:pPr>
            <w:r>
              <w:rPr>
                <w:sz w:val="20"/>
                <w:szCs w:val="20"/>
              </w:rPr>
              <w:t>Benefit/(provision) for income taxes, net:</w:t>
            </w:r>
          </w:p>
        </w:tc>
        <w:tc>
          <w:tcPr>
            <w:tcW w:w="0" w:type="auto"/>
            <w:shd w:val="clear" w:color="auto" w:fill="FFFFFF"/>
            <w:vAlign w:val="bottom"/>
            <w:hideMark/>
          </w:tcPr>
          <w:p w14:paraId="038ECFB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3EF8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CA046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70FB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30A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9E5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5A8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BC8C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1F832" w14:textId="77777777" w:rsidR="00000000" w:rsidRDefault="0053651E">
            <w:pPr>
              <w:rPr>
                <w:rFonts w:eastAsia="Times New Roman"/>
                <w:sz w:val="20"/>
                <w:szCs w:val="20"/>
              </w:rPr>
            </w:pPr>
            <w:r>
              <w:rPr>
                <w:rFonts w:eastAsia="Times New Roman"/>
                <w:sz w:val="20"/>
                <w:szCs w:val="20"/>
              </w:rPr>
              <w:t> </w:t>
            </w:r>
          </w:p>
        </w:tc>
      </w:tr>
      <w:tr w:rsidR="00000000" w14:paraId="2FF008F8" w14:textId="77777777">
        <w:trPr>
          <w:tblCellSpacing w:w="0" w:type="dxa"/>
        </w:trPr>
        <w:tc>
          <w:tcPr>
            <w:tcW w:w="0" w:type="auto"/>
            <w:shd w:val="clear" w:color="auto" w:fill="CCEEFF"/>
            <w:vAlign w:val="bottom"/>
            <w:hideMark/>
          </w:tcPr>
          <w:p w14:paraId="65462DB9" w14:textId="77777777" w:rsidR="00000000" w:rsidRDefault="0053651E">
            <w:pPr>
              <w:pStyle w:val="a3"/>
              <w:spacing w:before="0" w:beforeAutospacing="0" w:after="0" w:afterAutospacing="0"/>
              <w:ind w:left="360"/>
              <w:rPr>
                <w:sz w:val="20"/>
                <w:szCs w:val="20"/>
              </w:rPr>
            </w:pPr>
            <w:r>
              <w:rPr>
                <w:sz w:val="20"/>
                <w:szCs w:val="20"/>
              </w:rPr>
              <w:t>Federal:</w:t>
            </w:r>
          </w:p>
        </w:tc>
        <w:tc>
          <w:tcPr>
            <w:tcW w:w="0" w:type="auto"/>
            <w:shd w:val="clear" w:color="auto" w:fill="CCEEFF"/>
            <w:vAlign w:val="bottom"/>
            <w:hideMark/>
          </w:tcPr>
          <w:p w14:paraId="5055077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0C6A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622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DE2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5C18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EF3E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E8DF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88F3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C5A45" w14:textId="77777777" w:rsidR="00000000" w:rsidRDefault="0053651E">
            <w:pPr>
              <w:rPr>
                <w:rFonts w:eastAsia="Times New Roman"/>
                <w:sz w:val="20"/>
                <w:szCs w:val="20"/>
              </w:rPr>
            </w:pPr>
            <w:r>
              <w:rPr>
                <w:rFonts w:eastAsia="Times New Roman"/>
                <w:sz w:val="20"/>
                <w:szCs w:val="20"/>
              </w:rPr>
              <w:t> </w:t>
            </w:r>
          </w:p>
        </w:tc>
      </w:tr>
      <w:tr w:rsidR="00000000" w14:paraId="53E15357" w14:textId="77777777">
        <w:trPr>
          <w:tblCellSpacing w:w="0" w:type="dxa"/>
        </w:trPr>
        <w:tc>
          <w:tcPr>
            <w:tcW w:w="0" w:type="auto"/>
            <w:shd w:val="clear" w:color="auto" w:fill="FFFFFF"/>
            <w:vAlign w:val="bottom"/>
            <w:hideMark/>
          </w:tcPr>
          <w:p w14:paraId="2694EE55" w14:textId="77777777" w:rsidR="00000000" w:rsidRDefault="0053651E">
            <w:pPr>
              <w:pStyle w:val="a3"/>
              <w:spacing w:before="0" w:beforeAutospacing="0" w:after="0" w:afterAutospacing="0"/>
              <w:ind w:left="720"/>
              <w:rPr>
                <w:sz w:val="20"/>
                <w:szCs w:val="20"/>
              </w:rPr>
            </w:pPr>
            <w:r>
              <w:rPr>
                <w:sz w:val="20"/>
                <w:szCs w:val="20"/>
              </w:rPr>
              <w:t>Current</w:t>
            </w:r>
          </w:p>
        </w:tc>
        <w:tc>
          <w:tcPr>
            <w:tcW w:w="50" w:type="pct"/>
            <w:shd w:val="clear" w:color="auto" w:fill="FFFFFF"/>
            <w:vAlign w:val="bottom"/>
            <w:hideMark/>
          </w:tcPr>
          <w:p w14:paraId="3A87FD5C"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E0F7B08" w14:textId="77777777" w:rsidR="00000000" w:rsidRDefault="0053651E">
            <w:pPr>
              <w:jc w:val="right"/>
              <w:rPr>
                <w:rFonts w:eastAsia="Times New Roman"/>
                <w:sz w:val="20"/>
                <w:szCs w:val="20"/>
              </w:rPr>
            </w:pPr>
            <w:r>
              <w:rPr>
                <w:rFonts w:eastAsia="Times New Roman"/>
                <w:sz w:val="20"/>
                <w:szCs w:val="20"/>
              </w:rPr>
              <w:t>3,362</w:t>
            </w:r>
          </w:p>
        </w:tc>
        <w:tc>
          <w:tcPr>
            <w:tcW w:w="50" w:type="pct"/>
            <w:shd w:val="clear" w:color="auto" w:fill="FFFFFF"/>
            <w:vAlign w:val="bottom"/>
            <w:hideMark/>
          </w:tcPr>
          <w:p w14:paraId="02EF95C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5101A1"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AB84247" w14:textId="77777777" w:rsidR="00000000" w:rsidRDefault="0053651E">
            <w:pPr>
              <w:jc w:val="right"/>
              <w:rPr>
                <w:rFonts w:eastAsia="Times New Roman"/>
                <w:sz w:val="20"/>
                <w:szCs w:val="20"/>
              </w:rPr>
            </w:pPr>
            <w:r>
              <w:rPr>
                <w:rFonts w:eastAsia="Times New Roman"/>
                <w:sz w:val="20"/>
                <w:szCs w:val="20"/>
              </w:rPr>
              <w:t>(1,221</w:t>
            </w:r>
          </w:p>
        </w:tc>
        <w:tc>
          <w:tcPr>
            <w:tcW w:w="50" w:type="pct"/>
            <w:shd w:val="clear" w:color="auto" w:fill="FFFFFF"/>
            <w:vAlign w:val="bottom"/>
            <w:hideMark/>
          </w:tcPr>
          <w:p w14:paraId="59D35E88"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CDE5EDA"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9E983B3" w14:textId="77777777" w:rsidR="00000000" w:rsidRDefault="0053651E">
            <w:pPr>
              <w:jc w:val="right"/>
              <w:rPr>
                <w:rFonts w:eastAsia="Times New Roman"/>
                <w:sz w:val="20"/>
                <w:szCs w:val="20"/>
              </w:rPr>
            </w:pPr>
            <w:r>
              <w:rPr>
                <w:rFonts w:eastAsia="Times New Roman"/>
                <w:sz w:val="20"/>
                <w:szCs w:val="20"/>
              </w:rPr>
              <w:t>(704</w:t>
            </w:r>
          </w:p>
        </w:tc>
        <w:tc>
          <w:tcPr>
            <w:tcW w:w="50" w:type="pct"/>
            <w:shd w:val="clear" w:color="auto" w:fill="FFFFFF"/>
            <w:vAlign w:val="bottom"/>
            <w:hideMark/>
          </w:tcPr>
          <w:p w14:paraId="2E6E2DD7" w14:textId="77777777" w:rsidR="00000000" w:rsidRDefault="0053651E">
            <w:pPr>
              <w:rPr>
                <w:rFonts w:eastAsia="Times New Roman"/>
                <w:sz w:val="20"/>
                <w:szCs w:val="20"/>
              </w:rPr>
            </w:pPr>
            <w:r>
              <w:rPr>
                <w:rFonts w:eastAsia="Times New Roman"/>
                <w:sz w:val="20"/>
                <w:szCs w:val="20"/>
              </w:rPr>
              <w:t>)</w:t>
            </w:r>
          </w:p>
        </w:tc>
      </w:tr>
      <w:tr w:rsidR="00000000" w14:paraId="1201FC50" w14:textId="77777777">
        <w:trPr>
          <w:tblCellSpacing w:w="0" w:type="dxa"/>
        </w:trPr>
        <w:tc>
          <w:tcPr>
            <w:tcW w:w="0" w:type="auto"/>
            <w:shd w:val="clear" w:color="auto" w:fill="CCEEFF"/>
            <w:vAlign w:val="bottom"/>
            <w:hideMark/>
          </w:tcPr>
          <w:p w14:paraId="06472054" w14:textId="77777777" w:rsidR="00000000" w:rsidRDefault="0053651E">
            <w:pPr>
              <w:pStyle w:val="a3"/>
              <w:spacing w:before="0" w:beforeAutospacing="0" w:after="0" w:afterAutospacing="0"/>
              <w:ind w:left="720"/>
              <w:rPr>
                <w:sz w:val="20"/>
                <w:szCs w:val="20"/>
              </w:rPr>
            </w:pPr>
            <w:r>
              <w:rPr>
                <w:sz w:val="20"/>
                <w:szCs w:val="20"/>
              </w:rPr>
              <w:t>Deferred</w:t>
            </w:r>
          </w:p>
        </w:tc>
        <w:tc>
          <w:tcPr>
            <w:tcW w:w="50" w:type="pct"/>
            <w:tcBorders>
              <w:bottom w:val="single" w:sz="6" w:space="0" w:color="000000"/>
            </w:tcBorders>
            <w:shd w:val="clear" w:color="auto" w:fill="CCEEFF"/>
            <w:vAlign w:val="bottom"/>
            <w:hideMark/>
          </w:tcPr>
          <w:p w14:paraId="71AFE35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03B0B276" w14:textId="77777777" w:rsidR="00000000" w:rsidRDefault="0053651E">
            <w:pPr>
              <w:jc w:val="right"/>
              <w:rPr>
                <w:rFonts w:eastAsia="Times New Roman"/>
                <w:sz w:val="20"/>
                <w:szCs w:val="20"/>
              </w:rPr>
            </w:pPr>
            <w:r>
              <w:rPr>
                <w:rFonts w:eastAsia="Times New Roman"/>
                <w:sz w:val="20"/>
                <w:szCs w:val="20"/>
              </w:rPr>
              <w:t>(349</w:t>
            </w:r>
          </w:p>
        </w:tc>
        <w:tc>
          <w:tcPr>
            <w:tcW w:w="50" w:type="pct"/>
            <w:shd w:val="clear" w:color="auto" w:fill="CCEEFF"/>
            <w:tcMar>
              <w:top w:w="0" w:type="dxa"/>
              <w:left w:w="0" w:type="dxa"/>
              <w:bottom w:w="15" w:type="dxa"/>
              <w:right w:w="0" w:type="dxa"/>
            </w:tcMar>
            <w:vAlign w:val="bottom"/>
            <w:hideMark/>
          </w:tcPr>
          <w:p w14:paraId="2CBAFB1C"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1C403B63"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6733131D" w14:textId="77777777" w:rsidR="00000000" w:rsidRDefault="0053651E">
            <w:pPr>
              <w:jc w:val="right"/>
              <w:rPr>
                <w:rFonts w:eastAsia="Times New Roman"/>
                <w:sz w:val="20"/>
                <w:szCs w:val="20"/>
              </w:rPr>
            </w:pPr>
            <w:r>
              <w:rPr>
                <w:rFonts w:eastAsia="Times New Roman"/>
                <w:sz w:val="20"/>
                <w:szCs w:val="20"/>
              </w:rPr>
              <w:t>(1,198</w:t>
            </w:r>
          </w:p>
        </w:tc>
        <w:tc>
          <w:tcPr>
            <w:tcW w:w="50" w:type="pct"/>
            <w:shd w:val="clear" w:color="auto" w:fill="CCEEFF"/>
            <w:tcMar>
              <w:top w:w="0" w:type="dxa"/>
              <w:left w:w="0" w:type="dxa"/>
              <w:bottom w:w="15" w:type="dxa"/>
              <w:right w:w="0" w:type="dxa"/>
            </w:tcMar>
            <w:vAlign w:val="bottom"/>
            <w:hideMark/>
          </w:tcPr>
          <w:p w14:paraId="2D712AAF"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697F4BAC"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5386E5FE" w14:textId="77777777" w:rsidR="00000000" w:rsidRDefault="0053651E">
            <w:pPr>
              <w:jc w:val="right"/>
              <w:rPr>
                <w:rFonts w:eastAsia="Times New Roman"/>
                <w:sz w:val="20"/>
                <w:szCs w:val="20"/>
              </w:rPr>
            </w:pPr>
            <w:r>
              <w:rPr>
                <w:rFonts w:eastAsia="Times New Roman"/>
                <w:sz w:val="20"/>
                <w:szCs w:val="20"/>
              </w:rPr>
              <w:t>(632</w:t>
            </w:r>
          </w:p>
        </w:tc>
        <w:tc>
          <w:tcPr>
            <w:tcW w:w="50" w:type="pct"/>
            <w:shd w:val="clear" w:color="auto" w:fill="CCEEFF"/>
            <w:tcMar>
              <w:top w:w="0" w:type="dxa"/>
              <w:left w:w="0" w:type="dxa"/>
              <w:bottom w:w="15" w:type="dxa"/>
              <w:right w:w="0" w:type="dxa"/>
            </w:tcMar>
            <w:vAlign w:val="bottom"/>
            <w:hideMark/>
          </w:tcPr>
          <w:p w14:paraId="79321950" w14:textId="77777777" w:rsidR="00000000" w:rsidRDefault="0053651E">
            <w:pPr>
              <w:rPr>
                <w:rFonts w:eastAsia="Times New Roman"/>
                <w:sz w:val="20"/>
                <w:szCs w:val="20"/>
              </w:rPr>
            </w:pPr>
            <w:r>
              <w:rPr>
                <w:rFonts w:eastAsia="Times New Roman"/>
                <w:sz w:val="20"/>
                <w:szCs w:val="20"/>
              </w:rPr>
              <w:t>)</w:t>
            </w:r>
          </w:p>
        </w:tc>
      </w:tr>
      <w:tr w:rsidR="00000000" w14:paraId="5F406B56" w14:textId="77777777">
        <w:trPr>
          <w:tblCellSpacing w:w="0" w:type="dxa"/>
        </w:trPr>
        <w:tc>
          <w:tcPr>
            <w:tcW w:w="0" w:type="auto"/>
            <w:shd w:val="clear" w:color="auto" w:fill="FFFFFF"/>
            <w:vAlign w:val="bottom"/>
            <w:hideMark/>
          </w:tcPr>
          <w:p w14:paraId="7139526A" w14:textId="77777777" w:rsidR="00000000" w:rsidRDefault="0053651E">
            <w:pPr>
              <w:pStyle w:val="a3"/>
              <w:spacing w:before="0" w:beforeAutospacing="0" w:after="0" w:afterAutospacing="0"/>
              <w:ind w:left="360"/>
              <w:rPr>
                <w:sz w:val="20"/>
                <w:szCs w:val="20"/>
              </w:rPr>
            </w:pPr>
            <w:r>
              <w:rPr>
                <w:sz w:val="20"/>
                <w:szCs w:val="20"/>
              </w:rPr>
              <w:t>Federal tax benefit/(provision)</w:t>
            </w:r>
          </w:p>
        </w:tc>
        <w:tc>
          <w:tcPr>
            <w:tcW w:w="50" w:type="pct"/>
            <w:tcBorders>
              <w:bottom w:val="single" w:sz="6" w:space="0" w:color="000000"/>
            </w:tcBorders>
            <w:shd w:val="clear" w:color="auto" w:fill="FFFFFF"/>
            <w:vAlign w:val="bottom"/>
            <w:hideMark/>
          </w:tcPr>
          <w:p w14:paraId="3F1BA60B"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22BDBF73" w14:textId="77777777" w:rsidR="00000000" w:rsidRDefault="0053651E">
            <w:pPr>
              <w:jc w:val="right"/>
              <w:rPr>
                <w:rFonts w:eastAsia="Times New Roman"/>
                <w:sz w:val="20"/>
                <w:szCs w:val="20"/>
              </w:rPr>
            </w:pPr>
            <w:r>
              <w:rPr>
                <w:rFonts w:eastAsia="Times New Roman"/>
                <w:sz w:val="20"/>
                <w:szCs w:val="20"/>
              </w:rPr>
              <w:t>3,013</w:t>
            </w:r>
          </w:p>
        </w:tc>
        <w:tc>
          <w:tcPr>
            <w:tcW w:w="50" w:type="pct"/>
            <w:shd w:val="clear" w:color="auto" w:fill="FFFFFF"/>
            <w:tcMar>
              <w:top w:w="0" w:type="dxa"/>
              <w:left w:w="0" w:type="dxa"/>
              <w:bottom w:w="15" w:type="dxa"/>
              <w:right w:w="0" w:type="dxa"/>
            </w:tcMar>
            <w:vAlign w:val="bottom"/>
            <w:hideMark/>
          </w:tcPr>
          <w:p w14:paraId="6466753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ACBCE4"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02D749DA" w14:textId="77777777" w:rsidR="00000000" w:rsidRDefault="0053651E">
            <w:pPr>
              <w:jc w:val="right"/>
              <w:rPr>
                <w:rFonts w:eastAsia="Times New Roman"/>
                <w:sz w:val="20"/>
                <w:szCs w:val="20"/>
              </w:rPr>
            </w:pPr>
            <w:r>
              <w:rPr>
                <w:rFonts w:eastAsia="Times New Roman"/>
                <w:sz w:val="20"/>
                <w:szCs w:val="20"/>
              </w:rPr>
              <w:t>(2,419</w:t>
            </w:r>
          </w:p>
        </w:tc>
        <w:tc>
          <w:tcPr>
            <w:tcW w:w="50" w:type="pct"/>
            <w:shd w:val="clear" w:color="auto" w:fill="FFFFFF"/>
            <w:tcMar>
              <w:top w:w="0" w:type="dxa"/>
              <w:left w:w="0" w:type="dxa"/>
              <w:bottom w:w="15" w:type="dxa"/>
              <w:right w:w="0" w:type="dxa"/>
            </w:tcMar>
            <w:vAlign w:val="bottom"/>
            <w:hideMark/>
          </w:tcPr>
          <w:p w14:paraId="1838ED90"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5AFE7E16"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7037FB7D" w14:textId="77777777" w:rsidR="00000000" w:rsidRDefault="0053651E">
            <w:pPr>
              <w:jc w:val="right"/>
              <w:rPr>
                <w:rFonts w:eastAsia="Times New Roman"/>
                <w:sz w:val="20"/>
                <w:szCs w:val="20"/>
              </w:rPr>
            </w:pPr>
            <w:r>
              <w:rPr>
                <w:rFonts w:eastAsia="Times New Roman"/>
                <w:sz w:val="20"/>
                <w:szCs w:val="20"/>
              </w:rPr>
              <w:t>(1,336</w:t>
            </w:r>
          </w:p>
        </w:tc>
        <w:tc>
          <w:tcPr>
            <w:tcW w:w="50" w:type="pct"/>
            <w:shd w:val="clear" w:color="auto" w:fill="FFFFFF"/>
            <w:tcMar>
              <w:top w:w="0" w:type="dxa"/>
              <w:left w:w="0" w:type="dxa"/>
              <w:bottom w:w="15" w:type="dxa"/>
              <w:right w:w="0" w:type="dxa"/>
            </w:tcMar>
            <w:vAlign w:val="bottom"/>
            <w:hideMark/>
          </w:tcPr>
          <w:p w14:paraId="2EB7E106" w14:textId="77777777" w:rsidR="00000000" w:rsidRDefault="0053651E">
            <w:pPr>
              <w:rPr>
                <w:rFonts w:eastAsia="Times New Roman"/>
                <w:sz w:val="20"/>
                <w:szCs w:val="20"/>
              </w:rPr>
            </w:pPr>
            <w:r>
              <w:rPr>
                <w:rFonts w:eastAsia="Times New Roman"/>
                <w:sz w:val="20"/>
                <w:szCs w:val="20"/>
              </w:rPr>
              <w:t>)</w:t>
            </w:r>
          </w:p>
        </w:tc>
      </w:tr>
      <w:tr w:rsidR="00000000" w14:paraId="547BFD32" w14:textId="77777777">
        <w:trPr>
          <w:tblCellSpacing w:w="0" w:type="dxa"/>
        </w:trPr>
        <w:tc>
          <w:tcPr>
            <w:tcW w:w="0" w:type="auto"/>
            <w:shd w:val="clear" w:color="auto" w:fill="CCEEFF"/>
            <w:vAlign w:val="bottom"/>
            <w:hideMark/>
          </w:tcPr>
          <w:p w14:paraId="45629902" w14:textId="77777777" w:rsidR="00000000" w:rsidRDefault="0053651E">
            <w:pPr>
              <w:pStyle w:val="a3"/>
              <w:spacing w:before="0" w:beforeAutospacing="0" w:after="0" w:afterAutospacing="0"/>
              <w:ind w:left="360"/>
              <w:rPr>
                <w:sz w:val="20"/>
                <w:szCs w:val="20"/>
              </w:rPr>
            </w:pPr>
            <w:r>
              <w:rPr>
                <w:sz w:val="20"/>
                <w:szCs w:val="20"/>
              </w:rPr>
              <w:t>State and local:</w:t>
            </w:r>
          </w:p>
        </w:tc>
        <w:tc>
          <w:tcPr>
            <w:tcW w:w="0" w:type="auto"/>
            <w:shd w:val="clear" w:color="auto" w:fill="CCEEFF"/>
            <w:vAlign w:val="bottom"/>
            <w:hideMark/>
          </w:tcPr>
          <w:p w14:paraId="7294C89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0A4D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0D7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FFB0B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B29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B8F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EC44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2CD7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44370" w14:textId="77777777" w:rsidR="00000000" w:rsidRDefault="0053651E">
            <w:pPr>
              <w:rPr>
                <w:rFonts w:eastAsia="Times New Roman"/>
                <w:sz w:val="20"/>
                <w:szCs w:val="20"/>
              </w:rPr>
            </w:pPr>
            <w:r>
              <w:rPr>
                <w:rFonts w:eastAsia="Times New Roman"/>
                <w:sz w:val="20"/>
                <w:szCs w:val="20"/>
              </w:rPr>
              <w:t> </w:t>
            </w:r>
          </w:p>
        </w:tc>
      </w:tr>
      <w:tr w:rsidR="00000000" w14:paraId="3CE5999D" w14:textId="77777777">
        <w:trPr>
          <w:tblCellSpacing w:w="0" w:type="dxa"/>
        </w:trPr>
        <w:tc>
          <w:tcPr>
            <w:tcW w:w="0" w:type="auto"/>
            <w:shd w:val="clear" w:color="auto" w:fill="FFFFFF"/>
            <w:vAlign w:val="bottom"/>
            <w:hideMark/>
          </w:tcPr>
          <w:p w14:paraId="33AD5B61" w14:textId="77777777" w:rsidR="00000000" w:rsidRDefault="0053651E">
            <w:pPr>
              <w:pStyle w:val="a3"/>
              <w:spacing w:before="0" w:beforeAutospacing="0" w:after="0" w:afterAutospacing="0"/>
              <w:ind w:left="720"/>
              <w:rPr>
                <w:sz w:val="20"/>
                <w:szCs w:val="20"/>
              </w:rPr>
            </w:pPr>
            <w:r>
              <w:rPr>
                <w:sz w:val="20"/>
                <w:szCs w:val="20"/>
              </w:rPr>
              <w:t>Current</w:t>
            </w:r>
          </w:p>
        </w:tc>
        <w:tc>
          <w:tcPr>
            <w:tcW w:w="50" w:type="pct"/>
            <w:shd w:val="clear" w:color="auto" w:fill="FFFFFF"/>
            <w:vAlign w:val="bottom"/>
            <w:hideMark/>
          </w:tcPr>
          <w:p w14:paraId="1C976784"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76AED2B" w14:textId="77777777" w:rsidR="00000000" w:rsidRDefault="0053651E">
            <w:pPr>
              <w:jc w:val="right"/>
              <w:rPr>
                <w:rFonts w:eastAsia="Times New Roman"/>
                <w:sz w:val="20"/>
                <w:szCs w:val="20"/>
              </w:rPr>
            </w:pPr>
            <w:r>
              <w:rPr>
                <w:rFonts w:eastAsia="Times New Roman"/>
                <w:sz w:val="20"/>
                <w:szCs w:val="20"/>
              </w:rPr>
              <w:t>(26</w:t>
            </w:r>
          </w:p>
        </w:tc>
        <w:tc>
          <w:tcPr>
            <w:tcW w:w="50" w:type="pct"/>
            <w:shd w:val="clear" w:color="auto" w:fill="FFFFFF"/>
            <w:vAlign w:val="bottom"/>
            <w:hideMark/>
          </w:tcPr>
          <w:p w14:paraId="5C198FF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BB5E966"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CC7DDFF" w14:textId="77777777" w:rsidR="00000000" w:rsidRDefault="0053651E">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4A9C67B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D43967E" w14:textId="77777777" w:rsidR="00000000" w:rsidRDefault="0053651E">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4F156C2" w14:textId="77777777" w:rsidR="00000000" w:rsidRDefault="0053651E">
            <w:pPr>
              <w:jc w:val="right"/>
              <w:rPr>
                <w:rFonts w:eastAsia="Times New Roman"/>
                <w:sz w:val="20"/>
                <w:szCs w:val="20"/>
              </w:rPr>
            </w:pPr>
            <w:r>
              <w:rPr>
                <w:rFonts w:eastAsia="Times New Roman"/>
                <w:sz w:val="20"/>
                <w:szCs w:val="20"/>
              </w:rPr>
              <w:t>(66</w:t>
            </w:r>
          </w:p>
        </w:tc>
        <w:tc>
          <w:tcPr>
            <w:tcW w:w="50" w:type="pct"/>
            <w:shd w:val="clear" w:color="auto" w:fill="FFFFFF"/>
            <w:vAlign w:val="bottom"/>
            <w:hideMark/>
          </w:tcPr>
          <w:p w14:paraId="499A3B66" w14:textId="77777777" w:rsidR="00000000" w:rsidRDefault="0053651E">
            <w:pPr>
              <w:rPr>
                <w:rFonts w:eastAsia="Times New Roman"/>
                <w:sz w:val="20"/>
                <w:szCs w:val="20"/>
              </w:rPr>
            </w:pPr>
            <w:r>
              <w:rPr>
                <w:rFonts w:eastAsia="Times New Roman"/>
                <w:sz w:val="20"/>
                <w:szCs w:val="20"/>
              </w:rPr>
              <w:t>)</w:t>
            </w:r>
          </w:p>
        </w:tc>
      </w:tr>
      <w:tr w:rsidR="00000000" w14:paraId="0D0A6055" w14:textId="77777777">
        <w:trPr>
          <w:tblCellSpacing w:w="0" w:type="dxa"/>
        </w:trPr>
        <w:tc>
          <w:tcPr>
            <w:tcW w:w="0" w:type="auto"/>
            <w:shd w:val="clear" w:color="auto" w:fill="CCEEFF"/>
            <w:vAlign w:val="bottom"/>
            <w:hideMark/>
          </w:tcPr>
          <w:p w14:paraId="4F42E28B" w14:textId="77777777" w:rsidR="00000000" w:rsidRDefault="0053651E">
            <w:pPr>
              <w:pStyle w:val="a3"/>
              <w:spacing w:before="0" w:beforeAutospacing="0" w:after="0" w:afterAutospacing="0"/>
              <w:ind w:left="720"/>
              <w:rPr>
                <w:sz w:val="20"/>
                <w:szCs w:val="20"/>
              </w:rPr>
            </w:pPr>
            <w:r>
              <w:rPr>
                <w:sz w:val="20"/>
                <w:szCs w:val="20"/>
              </w:rPr>
              <w:t>Deferred</w:t>
            </w:r>
          </w:p>
        </w:tc>
        <w:tc>
          <w:tcPr>
            <w:tcW w:w="50" w:type="pct"/>
            <w:tcBorders>
              <w:bottom w:val="single" w:sz="6" w:space="0" w:color="000000"/>
            </w:tcBorders>
            <w:shd w:val="clear" w:color="auto" w:fill="CCEEFF"/>
            <w:vAlign w:val="bottom"/>
            <w:hideMark/>
          </w:tcPr>
          <w:p w14:paraId="53F9C569"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301741F6" w14:textId="77777777" w:rsidR="00000000" w:rsidRDefault="0053651E">
            <w:pPr>
              <w:jc w:val="right"/>
              <w:rPr>
                <w:rFonts w:eastAsia="Times New Roman"/>
                <w:sz w:val="20"/>
                <w:szCs w:val="20"/>
              </w:rPr>
            </w:pPr>
            <w:r>
              <w:rPr>
                <w:rFonts w:eastAsia="Times New Roman"/>
                <w:sz w:val="20"/>
                <w:szCs w:val="20"/>
              </w:rPr>
              <w:t>(19</w:t>
            </w:r>
          </w:p>
        </w:tc>
        <w:tc>
          <w:tcPr>
            <w:tcW w:w="50" w:type="pct"/>
            <w:shd w:val="clear" w:color="auto" w:fill="CCEEFF"/>
            <w:tcMar>
              <w:top w:w="0" w:type="dxa"/>
              <w:left w:w="0" w:type="dxa"/>
              <w:bottom w:w="15" w:type="dxa"/>
              <w:right w:w="0" w:type="dxa"/>
            </w:tcMar>
            <w:vAlign w:val="bottom"/>
            <w:hideMark/>
          </w:tcPr>
          <w:p w14:paraId="074A34AA"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44D31D5F"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721AA784" w14:textId="77777777" w:rsidR="00000000" w:rsidRDefault="0053651E">
            <w:pPr>
              <w:jc w:val="right"/>
              <w:rPr>
                <w:rFonts w:eastAsia="Times New Roman"/>
                <w:sz w:val="20"/>
                <w:szCs w:val="20"/>
              </w:rPr>
            </w:pPr>
            <w:r>
              <w:rPr>
                <w:rFonts w:eastAsia="Times New Roman"/>
                <w:sz w:val="20"/>
                <w:szCs w:val="20"/>
              </w:rPr>
              <w:t>(414</w:t>
            </w:r>
          </w:p>
        </w:tc>
        <w:tc>
          <w:tcPr>
            <w:tcW w:w="50" w:type="pct"/>
            <w:shd w:val="clear" w:color="auto" w:fill="CCEEFF"/>
            <w:tcMar>
              <w:top w:w="0" w:type="dxa"/>
              <w:left w:w="0" w:type="dxa"/>
              <w:bottom w:w="15" w:type="dxa"/>
              <w:right w:w="0" w:type="dxa"/>
            </w:tcMar>
            <w:vAlign w:val="bottom"/>
            <w:hideMark/>
          </w:tcPr>
          <w:p w14:paraId="03996346"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2E8232B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53DFAE54" w14:textId="77777777" w:rsidR="00000000" w:rsidRDefault="0053651E">
            <w:pPr>
              <w:jc w:val="right"/>
              <w:rPr>
                <w:rFonts w:eastAsia="Times New Roman"/>
                <w:sz w:val="20"/>
                <w:szCs w:val="20"/>
              </w:rPr>
            </w:pPr>
            <w:r>
              <w:rPr>
                <w:rFonts w:eastAsia="Times New Roman"/>
                <w:sz w:val="20"/>
                <w:szCs w:val="20"/>
              </w:rPr>
              <w:t>(190</w:t>
            </w:r>
          </w:p>
        </w:tc>
        <w:tc>
          <w:tcPr>
            <w:tcW w:w="50" w:type="pct"/>
            <w:shd w:val="clear" w:color="auto" w:fill="CCEEFF"/>
            <w:tcMar>
              <w:top w:w="0" w:type="dxa"/>
              <w:left w:w="0" w:type="dxa"/>
              <w:bottom w:w="15" w:type="dxa"/>
              <w:right w:w="0" w:type="dxa"/>
            </w:tcMar>
            <w:vAlign w:val="bottom"/>
            <w:hideMark/>
          </w:tcPr>
          <w:p w14:paraId="472FBA49" w14:textId="77777777" w:rsidR="00000000" w:rsidRDefault="0053651E">
            <w:pPr>
              <w:rPr>
                <w:rFonts w:eastAsia="Times New Roman"/>
                <w:sz w:val="20"/>
                <w:szCs w:val="20"/>
              </w:rPr>
            </w:pPr>
            <w:r>
              <w:rPr>
                <w:rFonts w:eastAsia="Times New Roman"/>
                <w:sz w:val="20"/>
                <w:szCs w:val="20"/>
              </w:rPr>
              <w:t>)</w:t>
            </w:r>
          </w:p>
        </w:tc>
      </w:tr>
      <w:tr w:rsidR="00000000" w14:paraId="1AE65677" w14:textId="77777777">
        <w:trPr>
          <w:tblCellSpacing w:w="0" w:type="dxa"/>
        </w:trPr>
        <w:tc>
          <w:tcPr>
            <w:tcW w:w="0" w:type="auto"/>
            <w:shd w:val="clear" w:color="auto" w:fill="FFFFFF"/>
            <w:vAlign w:val="bottom"/>
            <w:hideMark/>
          </w:tcPr>
          <w:p w14:paraId="621E603D" w14:textId="77777777" w:rsidR="00000000" w:rsidRDefault="0053651E">
            <w:pPr>
              <w:pStyle w:val="a3"/>
              <w:spacing w:before="0" w:beforeAutospacing="0" w:after="0" w:afterAutospacing="0"/>
              <w:ind w:left="360"/>
              <w:rPr>
                <w:sz w:val="20"/>
                <w:szCs w:val="20"/>
              </w:rPr>
            </w:pPr>
            <w:r>
              <w:rPr>
                <w:sz w:val="20"/>
                <w:szCs w:val="20"/>
              </w:rPr>
              <w:t>State tax provision</w:t>
            </w:r>
          </w:p>
        </w:tc>
        <w:tc>
          <w:tcPr>
            <w:tcW w:w="50" w:type="pct"/>
            <w:tcBorders>
              <w:bottom w:val="single" w:sz="6" w:space="0" w:color="000000"/>
            </w:tcBorders>
            <w:shd w:val="clear" w:color="auto" w:fill="FFFFFF"/>
            <w:vAlign w:val="bottom"/>
            <w:hideMark/>
          </w:tcPr>
          <w:p w14:paraId="425EE950"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4E298425" w14:textId="77777777" w:rsidR="00000000" w:rsidRDefault="0053651E">
            <w:pPr>
              <w:jc w:val="right"/>
              <w:rPr>
                <w:rFonts w:eastAsia="Times New Roman"/>
                <w:sz w:val="20"/>
                <w:szCs w:val="20"/>
              </w:rPr>
            </w:pPr>
            <w:r>
              <w:rPr>
                <w:rFonts w:eastAsia="Times New Roman"/>
                <w:sz w:val="20"/>
                <w:szCs w:val="20"/>
              </w:rPr>
              <w:t>(45</w:t>
            </w:r>
          </w:p>
        </w:tc>
        <w:tc>
          <w:tcPr>
            <w:tcW w:w="50" w:type="pct"/>
            <w:shd w:val="clear" w:color="auto" w:fill="FFFFFF"/>
            <w:tcMar>
              <w:top w:w="0" w:type="dxa"/>
              <w:left w:w="0" w:type="dxa"/>
              <w:bottom w:w="15" w:type="dxa"/>
              <w:right w:w="0" w:type="dxa"/>
            </w:tcMar>
            <w:vAlign w:val="bottom"/>
            <w:hideMark/>
          </w:tcPr>
          <w:p w14:paraId="29BF505E"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2B7AE038"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23F8956B" w14:textId="77777777" w:rsidR="00000000" w:rsidRDefault="0053651E">
            <w:pPr>
              <w:jc w:val="right"/>
              <w:rPr>
                <w:rFonts w:eastAsia="Times New Roman"/>
                <w:sz w:val="20"/>
                <w:szCs w:val="20"/>
              </w:rPr>
            </w:pPr>
            <w:r>
              <w:rPr>
                <w:rFonts w:eastAsia="Times New Roman"/>
                <w:sz w:val="20"/>
                <w:szCs w:val="20"/>
              </w:rPr>
              <w:t>(457</w:t>
            </w:r>
          </w:p>
        </w:tc>
        <w:tc>
          <w:tcPr>
            <w:tcW w:w="50" w:type="pct"/>
            <w:shd w:val="clear" w:color="auto" w:fill="FFFFFF"/>
            <w:tcMar>
              <w:top w:w="0" w:type="dxa"/>
              <w:left w:w="0" w:type="dxa"/>
              <w:bottom w:w="15" w:type="dxa"/>
              <w:right w:w="0" w:type="dxa"/>
            </w:tcMar>
            <w:vAlign w:val="bottom"/>
            <w:hideMark/>
          </w:tcPr>
          <w:p w14:paraId="1288F1E1"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2AB40D9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87962CB" w14:textId="77777777" w:rsidR="00000000" w:rsidRDefault="0053651E">
            <w:pPr>
              <w:jc w:val="right"/>
              <w:rPr>
                <w:rFonts w:eastAsia="Times New Roman"/>
                <w:sz w:val="20"/>
                <w:szCs w:val="20"/>
              </w:rPr>
            </w:pPr>
            <w:r>
              <w:rPr>
                <w:rFonts w:eastAsia="Times New Roman"/>
                <w:sz w:val="20"/>
                <w:szCs w:val="20"/>
              </w:rPr>
              <w:t>(256</w:t>
            </w:r>
          </w:p>
        </w:tc>
        <w:tc>
          <w:tcPr>
            <w:tcW w:w="50" w:type="pct"/>
            <w:shd w:val="clear" w:color="auto" w:fill="FFFFFF"/>
            <w:tcMar>
              <w:top w:w="0" w:type="dxa"/>
              <w:left w:w="0" w:type="dxa"/>
              <w:bottom w:w="15" w:type="dxa"/>
              <w:right w:w="0" w:type="dxa"/>
            </w:tcMar>
            <w:vAlign w:val="bottom"/>
            <w:hideMark/>
          </w:tcPr>
          <w:p w14:paraId="43CFEDE6" w14:textId="77777777" w:rsidR="00000000" w:rsidRDefault="0053651E">
            <w:pPr>
              <w:rPr>
                <w:rFonts w:eastAsia="Times New Roman"/>
                <w:sz w:val="20"/>
                <w:szCs w:val="20"/>
              </w:rPr>
            </w:pPr>
            <w:r>
              <w:rPr>
                <w:rFonts w:eastAsia="Times New Roman"/>
                <w:sz w:val="20"/>
                <w:szCs w:val="20"/>
              </w:rPr>
              <w:t>)</w:t>
            </w:r>
          </w:p>
        </w:tc>
      </w:tr>
      <w:tr w:rsidR="00000000" w14:paraId="5008648E" w14:textId="77777777">
        <w:trPr>
          <w:tblCellSpacing w:w="0" w:type="dxa"/>
        </w:trPr>
        <w:tc>
          <w:tcPr>
            <w:tcW w:w="0" w:type="auto"/>
            <w:shd w:val="clear" w:color="auto" w:fill="CCEEFF"/>
            <w:vAlign w:val="bottom"/>
            <w:hideMark/>
          </w:tcPr>
          <w:p w14:paraId="118FD8C4" w14:textId="77777777" w:rsidR="00000000" w:rsidRDefault="0053651E">
            <w:pPr>
              <w:pStyle w:val="a3"/>
              <w:spacing w:before="0" w:beforeAutospacing="0" w:after="0" w:afterAutospacing="0"/>
              <w:rPr>
                <w:sz w:val="20"/>
                <w:szCs w:val="20"/>
              </w:rPr>
            </w:pPr>
            <w:r>
              <w:rPr>
                <w:sz w:val="20"/>
                <w:szCs w:val="20"/>
              </w:rPr>
              <w:t>Total tax benefit/(provision) – U.S.</w:t>
            </w:r>
          </w:p>
        </w:tc>
        <w:tc>
          <w:tcPr>
            <w:tcW w:w="50" w:type="pct"/>
            <w:tcBorders>
              <w:bottom w:val="single" w:sz="6" w:space="0" w:color="000000"/>
            </w:tcBorders>
            <w:shd w:val="clear" w:color="auto" w:fill="CCEEFF"/>
            <w:vAlign w:val="bottom"/>
            <w:hideMark/>
          </w:tcPr>
          <w:p w14:paraId="567BA04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5FBFE1A3" w14:textId="77777777" w:rsidR="00000000" w:rsidRDefault="0053651E">
            <w:pPr>
              <w:jc w:val="right"/>
              <w:rPr>
                <w:rFonts w:eastAsia="Times New Roman"/>
                <w:sz w:val="20"/>
                <w:szCs w:val="20"/>
              </w:rPr>
            </w:pPr>
            <w:r>
              <w:rPr>
                <w:rFonts w:eastAsia="Times New Roman"/>
                <w:sz w:val="20"/>
                <w:szCs w:val="20"/>
              </w:rPr>
              <w:t>2,968</w:t>
            </w:r>
          </w:p>
        </w:tc>
        <w:tc>
          <w:tcPr>
            <w:tcW w:w="50" w:type="pct"/>
            <w:shd w:val="clear" w:color="auto" w:fill="CCEEFF"/>
            <w:tcMar>
              <w:top w:w="0" w:type="dxa"/>
              <w:left w:w="0" w:type="dxa"/>
              <w:bottom w:w="15" w:type="dxa"/>
              <w:right w:w="0" w:type="dxa"/>
            </w:tcMar>
            <w:vAlign w:val="bottom"/>
            <w:hideMark/>
          </w:tcPr>
          <w:p w14:paraId="5F40060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331B65"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61AED306" w14:textId="77777777" w:rsidR="00000000" w:rsidRDefault="0053651E">
            <w:pPr>
              <w:jc w:val="right"/>
              <w:rPr>
                <w:rFonts w:eastAsia="Times New Roman"/>
                <w:sz w:val="20"/>
                <w:szCs w:val="20"/>
              </w:rPr>
            </w:pPr>
            <w:r>
              <w:rPr>
                <w:rFonts w:eastAsia="Times New Roman"/>
                <w:sz w:val="20"/>
                <w:szCs w:val="20"/>
              </w:rPr>
              <w:t>(2,876</w:t>
            </w:r>
          </w:p>
        </w:tc>
        <w:tc>
          <w:tcPr>
            <w:tcW w:w="50" w:type="pct"/>
            <w:shd w:val="clear" w:color="auto" w:fill="CCEEFF"/>
            <w:tcMar>
              <w:top w:w="0" w:type="dxa"/>
              <w:left w:w="0" w:type="dxa"/>
              <w:bottom w:w="15" w:type="dxa"/>
              <w:right w:w="0" w:type="dxa"/>
            </w:tcMar>
            <w:vAlign w:val="bottom"/>
            <w:hideMark/>
          </w:tcPr>
          <w:p w14:paraId="0AE26526"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2A4F1FB9"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3880C989" w14:textId="77777777" w:rsidR="00000000" w:rsidRDefault="0053651E">
            <w:pPr>
              <w:jc w:val="right"/>
              <w:rPr>
                <w:rFonts w:eastAsia="Times New Roman"/>
                <w:sz w:val="20"/>
                <w:szCs w:val="20"/>
              </w:rPr>
            </w:pPr>
            <w:r>
              <w:rPr>
                <w:rFonts w:eastAsia="Times New Roman"/>
                <w:sz w:val="20"/>
                <w:szCs w:val="20"/>
              </w:rPr>
              <w:t>(1,592</w:t>
            </w:r>
          </w:p>
        </w:tc>
        <w:tc>
          <w:tcPr>
            <w:tcW w:w="50" w:type="pct"/>
            <w:shd w:val="clear" w:color="auto" w:fill="CCEEFF"/>
            <w:tcMar>
              <w:top w:w="0" w:type="dxa"/>
              <w:left w:w="0" w:type="dxa"/>
              <w:bottom w:w="15" w:type="dxa"/>
              <w:right w:w="0" w:type="dxa"/>
            </w:tcMar>
            <w:vAlign w:val="bottom"/>
            <w:hideMark/>
          </w:tcPr>
          <w:p w14:paraId="3FC051A1" w14:textId="77777777" w:rsidR="00000000" w:rsidRDefault="0053651E">
            <w:pPr>
              <w:rPr>
                <w:rFonts w:eastAsia="Times New Roman"/>
                <w:sz w:val="20"/>
                <w:szCs w:val="20"/>
              </w:rPr>
            </w:pPr>
            <w:r>
              <w:rPr>
                <w:rFonts w:eastAsia="Times New Roman"/>
                <w:sz w:val="20"/>
                <w:szCs w:val="20"/>
              </w:rPr>
              <w:t>)</w:t>
            </w:r>
          </w:p>
        </w:tc>
      </w:tr>
      <w:tr w:rsidR="00000000" w14:paraId="0E4C9DA0" w14:textId="77777777">
        <w:trPr>
          <w:tblCellSpacing w:w="0" w:type="dxa"/>
        </w:trPr>
        <w:tc>
          <w:tcPr>
            <w:tcW w:w="0" w:type="auto"/>
            <w:shd w:val="clear" w:color="auto" w:fill="FFFFFF"/>
            <w:vAlign w:val="bottom"/>
            <w:hideMark/>
          </w:tcPr>
          <w:p w14:paraId="6D0677F8" w14:textId="77777777" w:rsidR="00000000" w:rsidRDefault="0053651E">
            <w:pPr>
              <w:pStyle w:val="a3"/>
              <w:spacing w:before="0" w:beforeAutospacing="0" w:after="0" w:afterAutospacing="0"/>
              <w:rPr>
                <w:sz w:val="20"/>
                <w:szCs w:val="20"/>
              </w:rPr>
            </w:pPr>
            <w:r>
              <w:rPr>
                <w:sz w:val="20"/>
                <w:szCs w:val="20"/>
              </w:rPr>
              <w:t>Net income/(loss) from U.S. TRSs</w:t>
            </w:r>
          </w:p>
        </w:tc>
        <w:tc>
          <w:tcPr>
            <w:tcW w:w="50" w:type="pct"/>
            <w:tcBorders>
              <w:bottom w:val="double" w:sz="6" w:space="0" w:color="000000"/>
            </w:tcBorders>
            <w:shd w:val="clear" w:color="auto" w:fill="FFFFFF"/>
            <w:vAlign w:val="bottom"/>
            <w:hideMark/>
          </w:tcPr>
          <w:p w14:paraId="2C3563E0"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174548BE" w14:textId="77777777" w:rsidR="00000000" w:rsidRDefault="0053651E">
            <w:pPr>
              <w:jc w:val="right"/>
              <w:rPr>
                <w:rFonts w:eastAsia="Times New Roman"/>
                <w:sz w:val="20"/>
                <w:szCs w:val="20"/>
              </w:rPr>
            </w:pPr>
            <w:r>
              <w:rPr>
                <w:rFonts w:eastAsia="Times New Roman"/>
                <w:sz w:val="20"/>
                <w:szCs w:val="20"/>
              </w:rPr>
              <w:t>1,286</w:t>
            </w:r>
          </w:p>
        </w:tc>
        <w:tc>
          <w:tcPr>
            <w:tcW w:w="50" w:type="pct"/>
            <w:shd w:val="clear" w:color="auto" w:fill="FFFFFF"/>
            <w:tcMar>
              <w:top w:w="0" w:type="dxa"/>
              <w:left w:w="0" w:type="dxa"/>
              <w:bottom w:w="45" w:type="dxa"/>
              <w:right w:w="0" w:type="dxa"/>
            </w:tcMar>
            <w:vAlign w:val="bottom"/>
            <w:hideMark/>
          </w:tcPr>
          <w:p w14:paraId="5804559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955A23C"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253D99BC" w14:textId="77777777" w:rsidR="00000000" w:rsidRDefault="0053651E">
            <w:pPr>
              <w:jc w:val="right"/>
              <w:rPr>
                <w:rFonts w:eastAsia="Times New Roman"/>
                <w:sz w:val="20"/>
                <w:szCs w:val="20"/>
              </w:rPr>
            </w:pPr>
            <w:r>
              <w:rPr>
                <w:rFonts w:eastAsia="Times New Roman"/>
                <w:sz w:val="20"/>
                <w:szCs w:val="20"/>
              </w:rPr>
              <w:t>1,455</w:t>
            </w:r>
          </w:p>
        </w:tc>
        <w:tc>
          <w:tcPr>
            <w:tcW w:w="50" w:type="pct"/>
            <w:shd w:val="clear" w:color="auto" w:fill="FFFFFF"/>
            <w:tcMar>
              <w:top w:w="0" w:type="dxa"/>
              <w:left w:w="0" w:type="dxa"/>
              <w:bottom w:w="45" w:type="dxa"/>
              <w:right w:w="0" w:type="dxa"/>
            </w:tcMar>
            <w:vAlign w:val="bottom"/>
            <w:hideMark/>
          </w:tcPr>
          <w:p w14:paraId="473F952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D4969BB"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46A1B1A" w14:textId="77777777" w:rsidR="00000000" w:rsidRDefault="0053651E">
            <w:pPr>
              <w:jc w:val="right"/>
              <w:rPr>
                <w:rFonts w:eastAsia="Times New Roman"/>
                <w:sz w:val="20"/>
                <w:szCs w:val="20"/>
              </w:rPr>
            </w:pPr>
            <w:r>
              <w:rPr>
                <w:rFonts w:eastAsia="Times New Roman"/>
                <w:sz w:val="20"/>
                <w:szCs w:val="20"/>
              </w:rPr>
              <w:t>(105</w:t>
            </w:r>
          </w:p>
        </w:tc>
        <w:tc>
          <w:tcPr>
            <w:tcW w:w="50" w:type="pct"/>
            <w:shd w:val="clear" w:color="auto" w:fill="FFFFFF"/>
            <w:tcMar>
              <w:top w:w="0" w:type="dxa"/>
              <w:left w:w="0" w:type="dxa"/>
              <w:bottom w:w="45" w:type="dxa"/>
              <w:right w:w="0" w:type="dxa"/>
            </w:tcMar>
            <w:vAlign w:val="bottom"/>
            <w:hideMark/>
          </w:tcPr>
          <w:p w14:paraId="659E8B23" w14:textId="77777777" w:rsidR="00000000" w:rsidRDefault="0053651E">
            <w:pPr>
              <w:rPr>
                <w:rFonts w:eastAsia="Times New Roman"/>
                <w:sz w:val="20"/>
                <w:szCs w:val="20"/>
              </w:rPr>
            </w:pPr>
            <w:r>
              <w:rPr>
                <w:rFonts w:eastAsia="Times New Roman"/>
                <w:sz w:val="20"/>
                <w:szCs w:val="20"/>
              </w:rPr>
              <w:t>)</w:t>
            </w:r>
          </w:p>
        </w:tc>
      </w:tr>
      <w:tr w:rsidR="00000000" w14:paraId="4D2A5F93" w14:textId="77777777">
        <w:trPr>
          <w:tblCellSpacing w:w="0" w:type="dxa"/>
        </w:trPr>
        <w:tc>
          <w:tcPr>
            <w:tcW w:w="0" w:type="auto"/>
            <w:shd w:val="clear" w:color="auto" w:fill="CCEEFF"/>
            <w:vAlign w:val="bottom"/>
            <w:hideMark/>
          </w:tcPr>
          <w:p w14:paraId="2C47C9C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4E2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4281C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A508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FB6E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801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324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89A5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6578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86793" w14:textId="77777777" w:rsidR="00000000" w:rsidRDefault="0053651E">
            <w:pPr>
              <w:rPr>
                <w:rFonts w:eastAsia="Times New Roman"/>
                <w:sz w:val="20"/>
                <w:szCs w:val="20"/>
              </w:rPr>
            </w:pPr>
            <w:r>
              <w:rPr>
                <w:rFonts w:eastAsia="Times New Roman"/>
                <w:sz w:val="20"/>
                <w:szCs w:val="20"/>
              </w:rPr>
              <w:t> </w:t>
            </w:r>
          </w:p>
        </w:tc>
      </w:tr>
      <w:tr w:rsidR="00000000" w14:paraId="026B6C47" w14:textId="77777777">
        <w:trPr>
          <w:tblCellSpacing w:w="0" w:type="dxa"/>
        </w:trPr>
        <w:tc>
          <w:tcPr>
            <w:tcW w:w="0" w:type="auto"/>
            <w:shd w:val="clear" w:color="auto" w:fill="FFFFFF"/>
            <w:vAlign w:val="bottom"/>
            <w:hideMark/>
          </w:tcPr>
          <w:p w14:paraId="6DA156D4" w14:textId="77777777" w:rsidR="00000000" w:rsidRDefault="0053651E">
            <w:pPr>
              <w:pStyle w:val="a3"/>
              <w:spacing w:before="0" w:beforeAutospacing="0" w:after="0" w:afterAutospacing="0"/>
              <w:rPr>
                <w:sz w:val="20"/>
                <w:szCs w:val="20"/>
              </w:rPr>
            </w:pPr>
            <w:r>
              <w:rPr>
                <w:sz w:val="20"/>
                <w:szCs w:val="20"/>
              </w:rPr>
              <w:t>(Loss)/income before taxes – Non-U.S.</w:t>
            </w:r>
          </w:p>
        </w:tc>
        <w:tc>
          <w:tcPr>
            <w:tcW w:w="50" w:type="pct"/>
            <w:tcBorders>
              <w:bottom w:val="double" w:sz="6" w:space="0" w:color="000000"/>
            </w:tcBorders>
            <w:shd w:val="clear" w:color="auto" w:fill="FFFFFF"/>
            <w:vAlign w:val="bottom"/>
            <w:hideMark/>
          </w:tcPr>
          <w:p w14:paraId="618CE758"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7593FD32" w14:textId="77777777" w:rsidR="00000000" w:rsidRDefault="0053651E">
            <w:pPr>
              <w:jc w:val="right"/>
              <w:rPr>
                <w:rFonts w:eastAsia="Times New Roman"/>
                <w:sz w:val="20"/>
                <w:szCs w:val="20"/>
              </w:rPr>
            </w:pPr>
            <w:r>
              <w:rPr>
                <w:rFonts w:eastAsia="Times New Roman"/>
                <w:sz w:val="20"/>
                <w:szCs w:val="20"/>
              </w:rPr>
              <w:t>(599</w:t>
            </w:r>
          </w:p>
        </w:tc>
        <w:tc>
          <w:tcPr>
            <w:tcW w:w="50" w:type="pct"/>
            <w:shd w:val="clear" w:color="auto" w:fill="FFFFFF"/>
            <w:tcMar>
              <w:top w:w="0" w:type="dxa"/>
              <w:left w:w="0" w:type="dxa"/>
              <w:bottom w:w="45" w:type="dxa"/>
              <w:right w:w="0" w:type="dxa"/>
            </w:tcMar>
            <w:vAlign w:val="bottom"/>
            <w:hideMark/>
          </w:tcPr>
          <w:p w14:paraId="49656C63" w14:textId="77777777" w:rsidR="00000000" w:rsidRDefault="0053651E">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14:paraId="52FBEA4E"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25589219" w14:textId="77777777" w:rsidR="00000000" w:rsidRDefault="0053651E">
            <w:pPr>
              <w:jc w:val="right"/>
              <w:rPr>
                <w:rFonts w:eastAsia="Times New Roman"/>
                <w:sz w:val="20"/>
                <w:szCs w:val="20"/>
              </w:rPr>
            </w:pPr>
            <w:r>
              <w:rPr>
                <w:rFonts w:eastAsia="Times New Roman"/>
                <w:sz w:val="20"/>
                <w:szCs w:val="20"/>
              </w:rPr>
              <w:t>2,384</w:t>
            </w:r>
          </w:p>
        </w:tc>
        <w:tc>
          <w:tcPr>
            <w:tcW w:w="50" w:type="pct"/>
            <w:shd w:val="clear" w:color="auto" w:fill="FFFFFF"/>
            <w:tcMar>
              <w:top w:w="0" w:type="dxa"/>
              <w:left w:w="0" w:type="dxa"/>
              <w:bottom w:w="45" w:type="dxa"/>
              <w:right w:w="0" w:type="dxa"/>
            </w:tcMar>
            <w:vAlign w:val="bottom"/>
            <w:hideMark/>
          </w:tcPr>
          <w:p w14:paraId="51E981C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6258292"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680EE07F" w14:textId="77777777" w:rsidR="00000000" w:rsidRDefault="0053651E">
            <w:pPr>
              <w:jc w:val="right"/>
              <w:rPr>
                <w:rFonts w:eastAsia="Times New Roman"/>
                <w:sz w:val="20"/>
                <w:szCs w:val="20"/>
              </w:rPr>
            </w:pPr>
            <w:r>
              <w:rPr>
                <w:rFonts w:eastAsia="Times New Roman"/>
                <w:sz w:val="20"/>
                <w:szCs w:val="20"/>
              </w:rPr>
              <w:t>(11,483</w:t>
            </w:r>
          </w:p>
        </w:tc>
        <w:tc>
          <w:tcPr>
            <w:tcW w:w="50" w:type="pct"/>
            <w:shd w:val="clear" w:color="auto" w:fill="FFFFFF"/>
            <w:tcMar>
              <w:top w:w="0" w:type="dxa"/>
              <w:left w:w="0" w:type="dxa"/>
              <w:bottom w:w="45" w:type="dxa"/>
              <w:right w:w="0" w:type="dxa"/>
            </w:tcMar>
            <w:vAlign w:val="bottom"/>
            <w:hideMark/>
          </w:tcPr>
          <w:p w14:paraId="1DC75097" w14:textId="77777777" w:rsidR="00000000" w:rsidRDefault="0053651E">
            <w:pPr>
              <w:rPr>
                <w:rFonts w:eastAsia="Times New Roman"/>
                <w:sz w:val="20"/>
                <w:szCs w:val="20"/>
              </w:rPr>
            </w:pPr>
            <w:r>
              <w:rPr>
                <w:rFonts w:eastAsia="Times New Roman"/>
                <w:sz w:val="20"/>
                <w:szCs w:val="20"/>
              </w:rPr>
              <w:t>)</w:t>
            </w:r>
          </w:p>
        </w:tc>
      </w:tr>
      <w:tr w:rsidR="00000000" w14:paraId="66417B2E" w14:textId="77777777">
        <w:trPr>
          <w:tblCellSpacing w:w="0" w:type="dxa"/>
        </w:trPr>
        <w:tc>
          <w:tcPr>
            <w:tcW w:w="0" w:type="auto"/>
            <w:shd w:val="clear" w:color="auto" w:fill="CCEEFF"/>
            <w:vAlign w:val="bottom"/>
            <w:hideMark/>
          </w:tcPr>
          <w:p w14:paraId="6E2594D7" w14:textId="77777777" w:rsidR="00000000" w:rsidRDefault="0053651E">
            <w:pPr>
              <w:pStyle w:val="a3"/>
              <w:spacing w:before="0" w:beforeAutospacing="0" w:after="0" w:afterAutospacing="0"/>
              <w:rPr>
                <w:sz w:val="20"/>
                <w:szCs w:val="20"/>
              </w:rPr>
            </w:pPr>
            <w:r>
              <w:rPr>
                <w:sz w:val="20"/>
                <w:szCs w:val="20"/>
              </w:rPr>
              <w:t>(Provision)/benefit for Non-U.S. income taxes:</w:t>
            </w:r>
          </w:p>
        </w:tc>
        <w:tc>
          <w:tcPr>
            <w:tcW w:w="0" w:type="auto"/>
            <w:shd w:val="clear" w:color="auto" w:fill="CCEEFF"/>
            <w:vAlign w:val="bottom"/>
            <w:hideMark/>
          </w:tcPr>
          <w:p w14:paraId="32CBED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0E5C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B108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4F43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19A32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583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8B88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C97B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544E9" w14:textId="77777777" w:rsidR="00000000" w:rsidRDefault="0053651E">
            <w:pPr>
              <w:rPr>
                <w:rFonts w:eastAsia="Times New Roman"/>
                <w:sz w:val="20"/>
                <w:szCs w:val="20"/>
              </w:rPr>
            </w:pPr>
            <w:r>
              <w:rPr>
                <w:rFonts w:eastAsia="Times New Roman"/>
                <w:sz w:val="20"/>
                <w:szCs w:val="20"/>
              </w:rPr>
              <w:t> </w:t>
            </w:r>
          </w:p>
        </w:tc>
      </w:tr>
      <w:tr w:rsidR="00000000" w14:paraId="6118067E" w14:textId="77777777">
        <w:trPr>
          <w:tblCellSpacing w:w="0" w:type="dxa"/>
        </w:trPr>
        <w:tc>
          <w:tcPr>
            <w:tcW w:w="0" w:type="auto"/>
            <w:shd w:val="clear" w:color="auto" w:fill="FFFFFF"/>
            <w:vAlign w:val="bottom"/>
            <w:hideMark/>
          </w:tcPr>
          <w:p w14:paraId="791F7A0F" w14:textId="77777777" w:rsidR="00000000" w:rsidRDefault="0053651E">
            <w:pPr>
              <w:pStyle w:val="a3"/>
              <w:spacing w:before="0" w:beforeAutospacing="0" w:after="0" w:afterAutospacing="0"/>
              <w:ind w:left="720"/>
              <w:rPr>
                <w:sz w:val="20"/>
                <w:szCs w:val="20"/>
              </w:rPr>
            </w:pPr>
            <w:r>
              <w:rPr>
                <w:sz w:val="20"/>
                <w:szCs w:val="20"/>
              </w:rPr>
              <w:t>Current</w:t>
            </w:r>
          </w:p>
        </w:tc>
        <w:tc>
          <w:tcPr>
            <w:tcW w:w="50" w:type="pct"/>
            <w:shd w:val="clear" w:color="auto" w:fill="FFFFFF"/>
            <w:vAlign w:val="bottom"/>
            <w:hideMark/>
          </w:tcPr>
          <w:p w14:paraId="479A964C"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1084BD66" w14:textId="77777777" w:rsidR="00000000" w:rsidRDefault="0053651E">
            <w:pPr>
              <w:jc w:val="right"/>
              <w:rPr>
                <w:rFonts w:eastAsia="Times New Roman"/>
                <w:sz w:val="20"/>
                <w:szCs w:val="20"/>
              </w:rPr>
            </w:pPr>
            <w:r>
              <w:rPr>
                <w:rFonts w:eastAsia="Times New Roman"/>
                <w:sz w:val="20"/>
                <w:szCs w:val="20"/>
              </w:rPr>
              <w:t>(69</w:t>
            </w:r>
          </w:p>
        </w:tc>
        <w:tc>
          <w:tcPr>
            <w:tcW w:w="50" w:type="pct"/>
            <w:shd w:val="clear" w:color="auto" w:fill="FFFFFF"/>
            <w:vAlign w:val="bottom"/>
            <w:hideMark/>
          </w:tcPr>
          <w:p w14:paraId="4F62B91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19636254"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14BFE21F" w14:textId="77777777" w:rsidR="00000000" w:rsidRDefault="0053651E">
            <w:pPr>
              <w:jc w:val="right"/>
              <w:rPr>
                <w:rFonts w:eastAsia="Times New Roman"/>
                <w:sz w:val="20"/>
                <w:szCs w:val="20"/>
              </w:rPr>
            </w:pPr>
            <w:r>
              <w:rPr>
                <w:rFonts w:eastAsia="Times New Roman"/>
                <w:sz w:val="20"/>
                <w:szCs w:val="20"/>
              </w:rPr>
              <w:t>1,634</w:t>
            </w:r>
          </w:p>
        </w:tc>
        <w:tc>
          <w:tcPr>
            <w:tcW w:w="50" w:type="pct"/>
            <w:shd w:val="clear" w:color="auto" w:fill="FFFFFF"/>
            <w:vAlign w:val="bottom"/>
            <w:hideMark/>
          </w:tcPr>
          <w:p w14:paraId="20527C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2BE0A" w14:textId="77777777" w:rsidR="00000000" w:rsidRDefault="0053651E">
            <w:pPr>
              <w:rPr>
                <w:rFonts w:eastAsia="Times New Roman"/>
                <w:sz w:val="20"/>
                <w:szCs w:val="20"/>
              </w:rPr>
            </w:pPr>
            <w:r>
              <w:rPr>
                <w:rFonts w:eastAsia="Times New Roman"/>
                <w:sz w:val="20"/>
                <w:szCs w:val="20"/>
              </w:rPr>
              <w:t>$</w:t>
            </w:r>
          </w:p>
        </w:tc>
        <w:tc>
          <w:tcPr>
            <w:tcW w:w="700" w:type="pct"/>
            <w:shd w:val="clear" w:color="auto" w:fill="FFFFFF"/>
            <w:vAlign w:val="bottom"/>
            <w:hideMark/>
          </w:tcPr>
          <w:p w14:paraId="27F14A7E" w14:textId="77777777" w:rsidR="00000000" w:rsidRDefault="0053651E">
            <w:pPr>
              <w:jc w:val="right"/>
              <w:rPr>
                <w:rFonts w:eastAsia="Times New Roman"/>
                <w:sz w:val="20"/>
                <w:szCs w:val="20"/>
              </w:rPr>
            </w:pPr>
            <w:r>
              <w:rPr>
                <w:rFonts w:eastAsia="Times New Roman"/>
                <w:sz w:val="20"/>
                <w:szCs w:val="20"/>
              </w:rPr>
              <w:t>2,425</w:t>
            </w:r>
          </w:p>
        </w:tc>
        <w:tc>
          <w:tcPr>
            <w:tcW w:w="50" w:type="pct"/>
            <w:shd w:val="clear" w:color="auto" w:fill="FFFFFF"/>
            <w:vAlign w:val="bottom"/>
            <w:hideMark/>
          </w:tcPr>
          <w:p w14:paraId="6EC39AD6" w14:textId="77777777" w:rsidR="00000000" w:rsidRDefault="0053651E">
            <w:pPr>
              <w:rPr>
                <w:rFonts w:eastAsia="Times New Roman"/>
                <w:sz w:val="20"/>
                <w:szCs w:val="20"/>
              </w:rPr>
            </w:pPr>
            <w:r>
              <w:rPr>
                <w:rFonts w:eastAsia="Times New Roman"/>
                <w:sz w:val="20"/>
                <w:szCs w:val="20"/>
              </w:rPr>
              <w:t> </w:t>
            </w:r>
          </w:p>
        </w:tc>
      </w:tr>
      <w:tr w:rsidR="00000000" w14:paraId="6D10414C" w14:textId="77777777">
        <w:trPr>
          <w:tblCellSpacing w:w="0" w:type="dxa"/>
        </w:trPr>
        <w:tc>
          <w:tcPr>
            <w:tcW w:w="0" w:type="auto"/>
            <w:shd w:val="clear" w:color="auto" w:fill="CCEEFF"/>
            <w:vAlign w:val="bottom"/>
            <w:hideMark/>
          </w:tcPr>
          <w:p w14:paraId="71BDE843" w14:textId="77777777" w:rsidR="00000000" w:rsidRDefault="0053651E">
            <w:pPr>
              <w:pStyle w:val="a3"/>
              <w:spacing w:before="0" w:beforeAutospacing="0" w:after="0" w:afterAutospacing="0"/>
              <w:ind w:left="720"/>
              <w:rPr>
                <w:sz w:val="20"/>
                <w:szCs w:val="20"/>
              </w:rPr>
            </w:pPr>
            <w:r>
              <w:rPr>
                <w:sz w:val="20"/>
                <w:szCs w:val="20"/>
              </w:rPr>
              <w:t>Deferred</w:t>
            </w:r>
          </w:p>
        </w:tc>
        <w:tc>
          <w:tcPr>
            <w:tcW w:w="50" w:type="pct"/>
            <w:tcBorders>
              <w:bottom w:val="single" w:sz="6" w:space="0" w:color="000000"/>
            </w:tcBorders>
            <w:shd w:val="clear" w:color="auto" w:fill="CCEEFF"/>
            <w:vAlign w:val="bottom"/>
            <w:hideMark/>
          </w:tcPr>
          <w:p w14:paraId="1D84400A"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7599701C" w14:textId="77777777" w:rsidR="00000000" w:rsidRDefault="0053651E">
            <w:pPr>
              <w:jc w:val="right"/>
              <w:rPr>
                <w:rFonts w:eastAsia="Times New Roman"/>
                <w:sz w:val="20"/>
                <w:szCs w:val="20"/>
              </w:rPr>
            </w:pPr>
            <w:r>
              <w:rPr>
                <w:rFonts w:eastAsia="Times New Roman"/>
                <w:sz w:val="20"/>
                <w:szCs w:val="20"/>
              </w:rPr>
              <w:t>418</w:t>
            </w:r>
          </w:p>
        </w:tc>
        <w:tc>
          <w:tcPr>
            <w:tcW w:w="50" w:type="pct"/>
            <w:shd w:val="clear" w:color="auto" w:fill="CCEEFF"/>
            <w:tcMar>
              <w:top w:w="0" w:type="dxa"/>
              <w:left w:w="0" w:type="dxa"/>
              <w:bottom w:w="15" w:type="dxa"/>
              <w:right w:w="0" w:type="dxa"/>
            </w:tcMar>
            <w:vAlign w:val="bottom"/>
            <w:hideMark/>
          </w:tcPr>
          <w:p w14:paraId="1A6ED00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2F0E6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304792C7" w14:textId="77777777" w:rsidR="00000000" w:rsidRDefault="0053651E">
            <w:pPr>
              <w:jc w:val="right"/>
              <w:rPr>
                <w:rFonts w:eastAsia="Times New Roman"/>
                <w:sz w:val="20"/>
                <w:szCs w:val="20"/>
              </w:rPr>
            </w:pPr>
            <w:r>
              <w:rPr>
                <w:rFonts w:eastAsia="Times New Roman"/>
                <w:sz w:val="20"/>
                <w:szCs w:val="20"/>
              </w:rPr>
              <w:t>(358</w:t>
            </w:r>
          </w:p>
        </w:tc>
        <w:tc>
          <w:tcPr>
            <w:tcW w:w="50" w:type="pct"/>
            <w:shd w:val="clear" w:color="auto" w:fill="CCEEFF"/>
            <w:tcMar>
              <w:top w:w="0" w:type="dxa"/>
              <w:left w:w="0" w:type="dxa"/>
              <w:bottom w:w="15" w:type="dxa"/>
              <w:right w:w="0" w:type="dxa"/>
            </w:tcMar>
            <w:vAlign w:val="bottom"/>
            <w:hideMark/>
          </w:tcPr>
          <w:p w14:paraId="44D6B994"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7C9A4212" w14:textId="77777777" w:rsidR="00000000" w:rsidRDefault="0053651E">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44E5AE8A" w14:textId="77777777" w:rsidR="00000000" w:rsidRDefault="0053651E">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14:paraId="3A65C3AB" w14:textId="77777777" w:rsidR="00000000" w:rsidRDefault="0053651E">
            <w:pPr>
              <w:rPr>
                <w:rFonts w:eastAsia="Times New Roman"/>
                <w:sz w:val="20"/>
                <w:szCs w:val="20"/>
              </w:rPr>
            </w:pPr>
            <w:r>
              <w:rPr>
                <w:rFonts w:eastAsia="Times New Roman"/>
                <w:sz w:val="20"/>
                <w:szCs w:val="20"/>
              </w:rPr>
              <w:t> </w:t>
            </w:r>
          </w:p>
        </w:tc>
      </w:tr>
      <w:tr w:rsidR="00000000" w14:paraId="15CD9213" w14:textId="77777777">
        <w:trPr>
          <w:tblCellSpacing w:w="0" w:type="dxa"/>
        </w:trPr>
        <w:tc>
          <w:tcPr>
            <w:tcW w:w="0" w:type="auto"/>
            <w:shd w:val="clear" w:color="auto" w:fill="FFFFFF"/>
            <w:vAlign w:val="bottom"/>
            <w:hideMark/>
          </w:tcPr>
          <w:p w14:paraId="23A5FA12" w14:textId="77777777" w:rsidR="00000000" w:rsidRDefault="0053651E">
            <w:pPr>
              <w:pStyle w:val="a3"/>
              <w:spacing w:before="0" w:beforeAutospacing="0" w:after="0" w:afterAutospacing="0"/>
              <w:rPr>
                <w:sz w:val="20"/>
                <w:szCs w:val="20"/>
              </w:rPr>
            </w:pPr>
            <w:r>
              <w:rPr>
                <w:sz w:val="20"/>
                <w:szCs w:val="20"/>
              </w:rPr>
              <w:t>Non-U.S. tax benefit</w:t>
            </w:r>
          </w:p>
        </w:tc>
        <w:tc>
          <w:tcPr>
            <w:tcW w:w="50" w:type="pct"/>
            <w:tcBorders>
              <w:bottom w:val="double" w:sz="6" w:space="0" w:color="000000"/>
            </w:tcBorders>
            <w:shd w:val="clear" w:color="auto" w:fill="FFFFFF"/>
            <w:vAlign w:val="bottom"/>
            <w:hideMark/>
          </w:tcPr>
          <w:p w14:paraId="317748F3"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483665E6" w14:textId="77777777" w:rsidR="00000000" w:rsidRDefault="0053651E">
            <w:pPr>
              <w:jc w:val="right"/>
              <w:rPr>
                <w:rFonts w:eastAsia="Times New Roman"/>
                <w:sz w:val="20"/>
                <w:szCs w:val="20"/>
              </w:rPr>
            </w:pPr>
            <w:r>
              <w:rPr>
                <w:rFonts w:eastAsia="Times New Roman"/>
                <w:sz w:val="20"/>
                <w:szCs w:val="20"/>
              </w:rPr>
              <w:t>349</w:t>
            </w:r>
          </w:p>
        </w:tc>
        <w:tc>
          <w:tcPr>
            <w:tcW w:w="50" w:type="pct"/>
            <w:shd w:val="clear" w:color="auto" w:fill="FFFFFF"/>
            <w:tcMar>
              <w:top w:w="0" w:type="dxa"/>
              <w:left w:w="0" w:type="dxa"/>
              <w:bottom w:w="45" w:type="dxa"/>
              <w:right w:w="0" w:type="dxa"/>
            </w:tcMar>
            <w:vAlign w:val="bottom"/>
            <w:hideMark/>
          </w:tcPr>
          <w:p w14:paraId="69EFF74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5EF4181"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6B0C75B" w14:textId="77777777" w:rsidR="00000000" w:rsidRDefault="0053651E">
            <w:pPr>
              <w:jc w:val="right"/>
              <w:rPr>
                <w:rFonts w:eastAsia="Times New Roman"/>
                <w:sz w:val="20"/>
                <w:szCs w:val="20"/>
              </w:rPr>
            </w:pPr>
            <w:r>
              <w:rPr>
                <w:rFonts w:eastAsia="Times New Roman"/>
                <w:sz w:val="20"/>
                <w:szCs w:val="20"/>
              </w:rPr>
              <w:t>1,276</w:t>
            </w:r>
          </w:p>
        </w:tc>
        <w:tc>
          <w:tcPr>
            <w:tcW w:w="50" w:type="pct"/>
            <w:shd w:val="clear" w:color="auto" w:fill="FFFFFF"/>
            <w:tcMar>
              <w:top w:w="0" w:type="dxa"/>
              <w:left w:w="0" w:type="dxa"/>
              <w:bottom w:w="45" w:type="dxa"/>
              <w:right w:w="0" w:type="dxa"/>
            </w:tcMar>
            <w:vAlign w:val="bottom"/>
            <w:hideMark/>
          </w:tcPr>
          <w:p w14:paraId="36DCD19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060638B" w14:textId="77777777" w:rsidR="00000000" w:rsidRDefault="0053651E">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1CD7AA5C" w14:textId="77777777" w:rsidR="00000000" w:rsidRDefault="0053651E">
            <w:pPr>
              <w:jc w:val="right"/>
              <w:rPr>
                <w:rFonts w:eastAsia="Times New Roman"/>
                <w:sz w:val="20"/>
                <w:szCs w:val="20"/>
              </w:rPr>
            </w:pPr>
            <w:r>
              <w:rPr>
                <w:rFonts w:eastAsia="Times New Roman"/>
                <w:sz w:val="20"/>
                <w:szCs w:val="20"/>
              </w:rPr>
              <w:t>2,472</w:t>
            </w:r>
          </w:p>
        </w:tc>
        <w:tc>
          <w:tcPr>
            <w:tcW w:w="50" w:type="pct"/>
            <w:shd w:val="clear" w:color="auto" w:fill="FFFFFF"/>
            <w:tcMar>
              <w:top w:w="0" w:type="dxa"/>
              <w:left w:w="0" w:type="dxa"/>
              <w:bottom w:w="45" w:type="dxa"/>
              <w:right w:w="0" w:type="dxa"/>
            </w:tcMar>
            <w:vAlign w:val="bottom"/>
            <w:hideMark/>
          </w:tcPr>
          <w:p w14:paraId="18AF3D40" w14:textId="77777777" w:rsidR="00000000" w:rsidRDefault="0053651E">
            <w:pPr>
              <w:rPr>
                <w:rFonts w:eastAsia="Times New Roman"/>
                <w:sz w:val="20"/>
                <w:szCs w:val="20"/>
              </w:rPr>
            </w:pPr>
            <w:r>
              <w:rPr>
                <w:rFonts w:eastAsia="Times New Roman"/>
                <w:sz w:val="20"/>
                <w:szCs w:val="20"/>
              </w:rPr>
              <w:t> </w:t>
            </w:r>
          </w:p>
        </w:tc>
      </w:tr>
    </w:tbl>
    <w:p w14:paraId="0A69A3DE" w14:textId="77777777" w:rsidR="00000000" w:rsidRDefault="0053651E">
      <w:pPr>
        <w:pStyle w:val="a3"/>
        <w:spacing w:before="0" w:beforeAutospacing="0" w:after="0" w:afterAutospacing="0"/>
        <w:ind w:left="360"/>
        <w:jc w:val="both"/>
        <w:rPr>
          <w:sz w:val="20"/>
          <w:szCs w:val="20"/>
        </w:rPr>
      </w:pPr>
      <w:r>
        <w:rPr>
          <w:sz w:val="20"/>
          <w:szCs w:val="20"/>
        </w:rPr>
        <w:t> </w:t>
      </w:r>
    </w:p>
    <w:p w14:paraId="11C041A2" w14:textId="77777777" w:rsidR="00000000" w:rsidRDefault="0053651E">
      <w:pPr>
        <w:pStyle w:val="a3"/>
        <w:spacing w:before="0" w:beforeAutospacing="0" w:after="0" w:afterAutospacing="0"/>
        <w:ind w:left="720"/>
        <w:jc w:val="both"/>
        <w:rPr>
          <w:sz w:val="20"/>
          <w:szCs w:val="20"/>
        </w:rPr>
      </w:pPr>
      <w:r>
        <w:rPr>
          <w:sz w:val="20"/>
          <w:szCs w:val="20"/>
        </w:rPr>
        <w:t>Provision for income taxes differs from the amounts computed by applying the statutory federal income tax rate to taxable income before income taxes as follows (in thousands):</w:t>
      </w:r>
    </w:p>
    <w:p w14:paraId="17A2B05B" w14:textId="77777777" w:rsidR="00000000" w:rsidRDefault="0053651E">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7"/>
        <w:gridCol w:w="61"/>
        <w:gridCol w:w="100"/>
        <w:gridCol w:w="1049"/>
        <w:gridCol w:w="67"/>
        <w:gridCol w:w="56"/>
        <w:gridCol w:w="100"/>
        <w:gridCol w:w="1049"/>
        <w:gridCol w:w="67"/>
        <w:gridCol w:w="57"/>
        <w:gridCol w:w="100"/>
        <w:gridCol w:w="1050"/>
        <w:gridCol w:w="67"/>
      </w:tblGrid>
      <w:tr w:rsidR="00000000" w14:paraId="2B3C4676" w14:textId="77777777">
        <w:trPr>
          <w:tblCellSpacing w:w="0" w:type="dxa"/>
        </w:trPr>
        <w:tc>
          <w:tcPr>
            <w:tcW w:w="0" w:type="auto"/>
            <w:vAlign w:val="bottom"/>
            <w:hideMark/>
          </w:tcPr>
          <w:p w14:paraId="575457F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9C0894F"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A6073F7"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14DA38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A87088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5EC30A"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36D1F9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C62A0B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EBCDF7B"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6ED63857" w14:textId="77777777" w:rsidR="00000000" w:rsidRDefault="0053651E">
            <w:pPr>
              <w:rPr>
                <w:rFonts w:eastAsia="Times New Roman"/>
                <w:sz w:val="20"/>
                <w:szCs w:val="20"/>
              </w:rPr>
            </w:pPr>
            <w:r>
              <w:rPr>
                <w:rFonts w:eastAsia="Times New Roman"/>
                <w:sz w:val="20"/>
                <w:szCs w:val="20"/>
              </w:rPr>
              <w:t> </w:t>
            </w:r>
          </w:p>
        </w:tc>
      </w:tr>
      <w:tr w:rsidR="00000000" w14:paraId="1E9B7536" w14:textId="77777777">
        <w:trPr>
          <w:tblCellSpacing w:w="0" w:type="dxa"/>
        </w:trPr>
        <w:tc>
          <w:tcPr>
            <w:tcW w:w="2300" w:type="pct"/>
            <w:shd w:val="clear" w:color="auto" w:fill="CCEEFF"/>
            <w:vAlign w:val="bottom"/>
            <w:hideMark/>
          </w:tcPr>
          <w:p w14:paraId="4267E33A" w14:textId="77777777" w:rsidR="00000000" w:rsidRDefault="0053651E">
            <w:pPr>
              <w:pStyle w:val="a3"/>
              <w:spacing w:before="0" w:beforeAutospacing="0" w:after="0" w:afterAutospacing="0"/>
              <w:rPr>
                <w:sz w:val="20"/>
                <w:szCs w:val="20"/>
              </w:rPr>
            </w:pPr>
            <w:r>
              <w:rPr>
                <w:sz w:val="20"/>
                <w:szCs w:val="20"/>
              </w:rPr>
              <w:t xml:space="preserve">Federal benefit/(provision) at statutory tax </w:t>
            </w:r>
            <w:r>
              <w:rPr>
                <w:sz w:val="20"/>
                <w:szCs w:val="20"/>
              </w:rPr>
              <w:t>rate* (1) (3)</w:t>
            </w:r>
          </w:p>
        </w:tc>
        <w:tc>
          <w:tcPr>
            <w:tcW w:w="50" w:type="pct"/>
            <w:tcBorders>
              <w:bottom w:val="nil"/>
            </w:tcBorders>
            <w:shd w:val="clear" w:color="auto" w:fill="CCEEFF"/>
            <w:vAlign w:val="bottom"/>
            <w:hideMark/>
          </w:tcPr>
          <w:p w14:paraId="2684F10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520566A"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54A0006A" w14:textId="77777777" w:rsidR="00000000" w:rsidRDefault="0053651E">
            <w:pPr>
              <w:jc w:val="right"/>
              <w:rPr>
                <w:rFonts w:eastAsia="Times New Roman"/>
                <w:sz w:val="20"/>
                <w:szCs w:val="20"/>
              </w:rPr>
            </w:pPr>
            <w:r>
              <w:rPr>
                <w:rFonts w:eastAsia="Times New Roman"/>
                <w:sz w:val="20"/>
                <w:szCs w:val="20"/>
              </w:rPr>
              <w:t>3,010</w:t>
            </w:r>
          </w:p>
        </w:tc>
        <w:tc>
          <w:tcPr>
            <w:tcW w:w="50" w:type="pct"/>
            <w:tcBorders>
              <w:bottom w:val="nil"/>
            </w:tcBorders>
            <w:shd w:val="clear" w:color="auto" w:fill="CCEEFF"/>
            <w:vAlign w:val="bottom"/>
            <w:hideMark/>
          </w:tcPr>
          <w:p w14:paraId="193CCF88"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CF252E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76307C4"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7D2DA53E" w14:textId="77777777" w:rsidR="00000000" w:rsidRDefault="0053651E">
            <w:pPr>
              <w:jc w:val="right"/>
              <w:rPr>
                <w:rFonts w:eastAsia="Times New Roman"/>
                <w:sz w:val="20"/>
                <w:szCs w:val="20"/>
              </w:rPr>
            </w:pPr>
            <w:r>
              <w:rPr>
                <w:rFonts w:eastAsia="Times New Roman"/>
                <w:sz w:val="20"/>
                <w:szCs w:val="20"/>
              </w:rPr>
              <w:t>(2,490</w:t>
            </w:r>
          </w:p>
        </w:tc>
        <w:tc>
          <w:tcPr>
            <w:tcW w:w="50" w:type="pct"/>
            <w:tcBorders>
              <w:bottom w:val="nil"/>
            </w:tcBorders>
            <w:shd w:val="clear" w:color="auto" w:fill="CCEEFF"/>
            <w:vAlign w:val="bottom"/>
            <w:hideMark/>
          </w:tcPr>
          <w:p w14:paraId="5B2940D2" w14:textId="77777777" w:rsidR="00000000" w:rsidRDefault="0053651E">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58A8978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C9C459"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157E6DEA" w14:textId="77777777" w:rsidR="00000000" w:rsidRDefault="0053651E">
            <w:pPr>
              <w:jc w:val="right"/>
              <w:rPr>
                <w:rFonts w:eastAsia="Times New Roman"/>
                <w:sz w:val="20"/>
                <w:szCs w:val="20"/>
              </w:rPr>
            </w:pPr>
            <w:r>
              <w:rPr>
                <w:rFonts w:eastAsia="Times New Roman"/>
                <w:sz w:val="20"/>
                <w:szCs w:val="20"/>
              </w:rPr>
              <w:t>(520</w:t>
            </w:r>
          </w:p>
        </w:tc>
        <w:tc>
          <w:tcPr>
            <w:tcW w:w="50" w:type="pct"/>
            <w:tcBorders>
              <w:bottom w:val="nil"/>
            </w:tcBorders>
            <w:shd w:val="clear" w:color="auto" w:fill="CCEEFF"/>
            <w:vAlign w:val="bottom"/>
            <w:hideMark/>
          </w:tcPr>
          <w:p w14:paraId="2E4B6CD8" w14:textId="77777777" w:rsidR="00000000" w:rsidRDefault="0053651E">
            <w:pPr>
              <w:rPr>
                <w:rFonts w:eastAsia="Times New Roman"/>
                <w:sz w:val="20"/>
                <w:szCs w:val="20"/>
              </w:rPr>
            </w:pPr>
            <w:r>
              <w:rPr>
                <w:rFonts w:eastAsia="Times New Roman"/>
                <w:sz w:val="20"/>
                <w:szCs w:val="20"/>
              </w:rPr>
              <w:t>)</w:t>
            </w:r>
          </w:p>
        </w:tc>
      </w:tr>
      <w:tr w:rsidR="00000000" w14:paraId="131B1E9F" w14:textId="77777777">
        <w:trPr>
          <w:tblCellSpacing w:w="0" w:type="dxa"/>
        </w:trPr>
        <w:tc>
          <w:tcPr>
            <w:tcW w:w="0" w:type="auto"/>
            <w:shd w:val="clear" w:color="auto" w:fill="FFFFFF"/>
            <w:vAlign w:val="bottom"/>
            <w:hideMark/>
          </w:tcPr>
          <w:p w14:paraId="4CEC4AD2" w14:textId="77777777" w:rsidR="00000000" w:rsidRDefault="0053651E">
            <w:pPr>
              <w:pStyle w:val="a3"/>
              <w:spacing w:before="0" w:beforeAutospacing="0" w:after="0" w:afterAutospacing="0"/>
              <w:rPr>
                <w:sz w:val="20"/>
                <w:szCs w:val="20"/>
              </w:rPr>
            </w:pPr>
            <w:r>
              <w:rPr>
                <w:sz w:val="20"/>
                <w:szCs w:val="20"/>
              </w:rPr>
              <w:t>State and local provision, net of federal benefit (2)</w:t>
            </w:r>
          </w:p>
        </w:tc>
        <w:tc>
          <w:tcPr>
            <w:tcW w:w="50" w:type="pct"/>
            <w:shd w:val="clear" w:color="auto" w:fill="FFFFFF"/>
            <w:tcMar>
              <w:top w:w="0" w:type="dxa"/>
              <w:left w:w="0" w:type="dxa"/>
              <w:bottom w:w="15" w:type="dxa"/>
              <w:right w:w="0" w:type="dxa"/>
            </w:tcMar>
            <w:vAlign w:val="bottom"/>
            <w:hideMark/>
          </w:tcPr>
          <w:p w14:paraId="1FFF289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AC4FB94"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11F424A0" w14:textId="77777777" w:rsidR="00000000" w:rsidRDefault="0053651E">
            <w:pPr>
              <w:jc w:val="right"/>
              <w:rPr>
                <w:rFonts w:eastAsia="Times New Roman"/>
                <w:sz w:val="20"/>
                <w:szCs w:val="20"/>
              </w:rPr>
            </w:pPr>
            <w:r>
              <w:rPr>
                <w:rFonts w:eastAsia="Times New Roman"/>
                <w:sz w:val="20"/>
                <w:szCs w:val="20"/>
              </w:rPr>
              <w:t>(42</w:t>
            </w:r>
          </w:p>
        </w:tc>
        <w:tc>
          <w:tcPr>
            <w:tcW w:w="50" w:type="pct"/>
            <w:shd w:val="clear" w:color="auto" w:fill="FFFFFF"/>
            <w:tcMar>
              <w:top w:w="0" w:type="dxa"/>
              <w:left w:w="0" w:type="dxa"/>
              <w:bottom w:w="15" w:type="dxa"/>
              <w:right w:w="0" w:type="dxa"/>
            </w:tcMar>
            <w:vAlign w:val="bottom"/>
            <w:hideMark/>
          </w:tcPr>
          <w:p w14:paraId="5E2DC90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D8595D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8D133F7"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7CC357AE" w14:textId="77777777" w:rsidR="00000000" w:rsidRDefault="0053651E">
            <w:pPr>
              <w:jc w:val="right"/>
              <w:rPr>
                <w:rFonts w:eastAsia="Times New Roman"/>
                <w:sz w:val="20"/>
                <w:szCs w:val="20"/>
              </w:rPr>
            </w:pPr>
            <w:r>
              <w:rPr>
                <w:rFonts w:eastAsia="Times New Roman"/>
                <w:sz w:val="20"/>
                <w:szCs w:val="20"/>
              </w:rPr>
              <w:t>(386</w:t>
            </w:r>
          </w:p>
        </w:tc>
        <w:tc>
          <w:tcPr>
            <w:tcW w:w="50" w:type="pct"/>
            <w:shd w:val="clear" w:color="auto" w:fill="FFFFFF"/>
            <w:tcMar>
              <w:top w:w="0" w:type="dxa"/>
              <w:left w:w="0" w:type="dxa"/>
              <w:bottom w:w="15" w:type="dxa"/>
              <w:right w:w="0" w:type="dxa"/>
            </w:tcMar>
            <w:vAlign w:val="bottom"/>
            <w:hideMark/>
          </w:tcPr>
          <w:p w14:paraId="6D079CF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581D287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1A61F64"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0D0F2815" w14:textId="77777777" w:rsidR="00000000" w:rsidRDefault="0053651E">
            <w:pPr>
              <w:jc w:val="right"/>
              <w:rPr>
                <w:rFonts w:eastAsia="Times New Roman"/>
                <w:sz w:val="20"/>
                <w:szCs w:val="20"/>
              </w:rPr>
            </w:pPr>
            <w:r>
              <w:rPr>
                <w:rFonts w:eastAsia="Times New Roman"/>
                <w:sz w:val="20"/>
                <w:szCs w:val="20"/>
              </w:rPr>
              <w:t>(1,072</w:t>
            </w:r>
          </w:p>
        </w:tc>
        <w:tc>
          <w:tcPr>
            <w:tcW w:w="50" w:type="pct"/>
            <w:shd w:val="clear" w:color="auto" w:fill="FFFFFF"/>
            <w:tcMar>
              <w:top w:w="0" w:type="dxa"/>
              <w:left w:w="0" w:type="dxa"/>
              <w:bottom w:w="15" w:type="dxa"/>
              <w:right w:w="0" w:type="dxa"/>
            </w:tcMar>
            <w:vAlign w:val="bottom"/>
            <w:hideMark/>
          </w:tcPr>
          <w:p w14:paraId="19815EB6" w14:textId="77777777" w:rsidR="00000000" w:rsidRDefault="0053651E">
            <w:pPr>
              <w:rPr>
                <w:rFonts w:eastAsia="Times New Roman"/>
                <w:sz w:val="20"/>
                <w:szCs w:val="20"/>
              </w:rPr>
            </w:pPr>
            <w:r>
              <w:rPr>
                <w:rFonts w:eastAsia="Times New Roman"/>
                <w:sz w:val="20"/>
                <w:szCs w:val="20"/>
              </w:rPr>
              <w:t>)</w:t>
            </w:r>
          </w:p>
        </w:tc>
      </w:tr>
      <w:tr w:rsidR="00000000" w14:paraId="3B4BEC63" w14:textId="77777777">
        <w:trPr>
          <w:tblCellSpacing w:w="0" w:type="dxa"/>
        </w:trPr>
        <w:tc>
          <w:tcPr>
            <w:tcW w:w="0" w:type="auto"/>
            <w:shd w:val="clear" w:color="auto" w:fill="CCEEFF"/>
            <w:vAlign w:val="bottom"/>
            <w:hideMark/>
          </w:tcPr>
          <w:p w14:paraId="12727D93" w14:textId="77777777" w:rsidR="00000000" w:rsidRDefault="0053651E">
            <w:pPr>
              <w:pStyle w:val="a3"/>
              <w:spacing w:before="0" w:beforeAutospacing="0" w:after="0" w:afterAutospacing="0"/>
              <w:ind w:left="180"/>
              <w:rPr>
                <w:sz w:val="20"/>
                <w:szCs w:val="20"/>
              </w:rPr>
            </w:pPr>
            <w:r>
              <w:rPr>
                <w:sz w:val="20"/>
                <w:szCs w:val="20"/>
              </w:rPr>
              <w:t>Total tax benefit/(provision) – U.S.</w:t>
            </w:r>
          </w:p>
        </w:tc>
        <w:tc>
          <w:tcPr>
            <w:tcW w:w="50" w:type="pct"/>
            <w:shd w:val="clear" w:color="auto" w:fill="CCEEFF"/>
            <w:vAlign w:val="bottom"/>
            <w:hideMark/>
          </w:tcPr>
          <w:p w14:paraId="4D4832A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5CB86EE"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4C0451FF" w14:textId="77777777" w:rsidR="00000000" w:rsidRDefault="0053651E">
            <w:pPr>
              <w:jc w:val="right"/>
              <w:rPr>
                <w:rFonts w:eastAsia="Times New Roman"/>
                <w:sz w:val="20"/>
                <w:szCs w:val="20"/>
              </w:rPr>
            </w:pPr>
            <w:r>
              <w:rPr>
                <w:rFonts w:eastAsia="Times New Roman"/>
                <w:sz w:val="20"/>
                <w:szCs w:val="20"/>
              </w:rPr>
              <w:t>2,968</w:t>
            </w:r>
          </w:p>
        </w:tc>
        <w:tc>
          <w:tcPr>
            <w:tcW w:w="50" w:type="pct"/>
            <w:shd w:val="clear" w:color="auto" w:fill="CCEEFF"/>
            <w:tcMar>
              <w:top w:w="0" w:type="dxa"/>
              <w:left w:w="0" w:type="dxa"/>
              <w:bottom w:w="45" w:type="dxa"/>
              <w:right w:w="0" w:type="dxa"/>
            </w:tcMar>
            <w:vAlign w:val="bottom"/>
            <w:hideMark/>
          </w:tcPr>
          <w:p w14:paraId="5CCA6EF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0EDC1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E1DE4E0"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7BE237A5" w14:textId="77777777" w:rsidR="00000000" w:rsidRDefault="0053651E">
            <w:pPr>
              <w:jc w:val="right"/>
              <w:rPr>
                <w:rFonts w:eastAsia="Times New Roman"/>
                <w:sz w:val="20"/>
                <w:szCs w:val="20"/>
              </w:rPr>
            </w:pPr>
            <w:r>
              <w:rPr>
                <w:rFonts w:eastAsia="Times New Roman"/>
                <w:sz w:val="20"/>
                <w:szCs w:val="20"/>
              </w:rPr>
              <w:t>(2,876</w:t>
            </w:r>
          </w:p>
        </w:tc>
        <w:tc>
          <w:tcPr>
            <w:tcW w:w="50" w:type="pct"/>
            <w:shd w:val="clear" w:color="auto" w:fill="CCEEFF"/>
            <w:tcMar>
              <w:top w:w="0" w:type="dxa"/>
              <w:left w:w="0" w:type="dxa"/>
              <w:bottom w:w="45" w:type="dxa"/>
              <w:right w:w="0" w:type="dxa"/>
            </w:tcMar>
            <w:vAlign w:val="bottom"/>
            <w:hideMark/>
          </w:tcPr>
          <w:p w14:paraId="307D9FB7"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E65032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437AB10"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46AA7D39" w14:textId="77777777" w:rsidR="00000000" w:rsidRDefault="0053651E">
            <w:pPr>
              <w:jc w:val="right"/>
              <w:rPr>
                <w:rFonts w:eastAsia="Times New Roman"/>
                <w:sz w:val="20"/>
                <w:szCs w:val="20"/>
              </w:rPr>
            </w:pPr>
            <w:r>
              <w:rPr>
                <w:rFonts w:eastAsia="Times New Roman"/>
                <w:sz w:val="20"/>
                <w:szCs w:val="20"/>
              </w:rPr>
              <w:t>(1,592</w:t>
            </w:r>
          </w:p>
        </w:tc>
        <w:tc>
          <w:tcPr>
            <w:tcW w:w="50" w:type="pct"/>
            <w:shd w:val="clear" w:color="auto" w:fill="CCEEFF"/>
            <w:tcMar>
              <w:top w:w="0" w:type="dxa"/>
              <w:left w:w="0" w:type="dxa"/>
              <w:bottom w:w="45" w:type="dxa"/>
              <w:right w:w="0" w:type="dxa"/>
            </w:tcMar>
            <w:vAlign w:val="bottom"/>
            <w:hideMark/>
          </w:tcPr>
          <w:p w14:paraId="1592C994" w14:textId="77777777" w:rsidR="00000000" w:rsidRDefault="0053651E">
            <w:pPr>
              <w:rPr>
                <w:rFonts w:eastAsia="Times New Roman"/>
                <w:sz w:val="20"/>
                <w:szCs w:val="20"/>
              </w:rPr>
            </w:pPr>
            <w:r>
              <w:rPr>
                <w:rFonts w:eastAsia="Times New Roman"/>
                <w:sz w:val="20"/>
                <w:szCs w:val="20"/>
              </w:rPr>
              <w:t>)</w:t>
            </w:r>
          </w:p>
        </w:tc>
      </w:tr>
    </w:tbl>
    <w:p w14:paraId="6AB85F97" w14:textId="77777777" w:rsidR="00000000" w:rsidRDefault="0053651E">
      <w:pPr>
        <w:pStyle w:val="a3"/>
        <w:spacing w:before="0" w:beforeAutospacing="0" w:after="0" w:afterAutospacing="0"/>
        <w:ind w:left="360"/>
        <w:jc w:val="both"/>
        <w:rPr>
          <w:sz w:val="20"/>
          <w:szCs w:val="20"/>
        </w:rPr>
      </w:pPr>
      <w:r>
        <w:rPr>
          <w:sz w:val="20"/>
          <w:szCs w:val="20"/>
        </w:rPr>
        <w:t> </w:t>
      </w:r>
    </w:p>
    <w:p w14:paraId="3E380497" w14:textId="77777777" w:rsidR="00000000" w:rsidRDefault="0053651E">
      <w:pPr>
        <w:pStyle w:val="a3"/>
        <w:spacing w:before="0" w:beforeAutospacing="0" w:after="0" w:afterAutospacing="0"/>
        <w:ind w:left="540" w:hanging="180"/>
        <w:jc w:val="both"/>
        <w:rPr>
          <w:sz w:val="20"/>
          <w:szCs w:val="20"/>
        </w:rPr>
      </w:pPr>
      <w:r>
        <w:rPr>
          <w:sz w:val="20"/>
          <w:szCs w:val="20"/>
        </w:rPr>
        <w:t>* Federal statutory tax rate of</w:t>
      </w:r>
      <w:r>
        <w:rPr>
          <w:sz w:val="20"/>
          <w:szCs w:val="20"/>
        </w:rPr>
        <w:t xml:space="preserve"> </w:t>
      </w:r>
      <w:r>
        <w:rPr>
          <w:sz w:val="20"/>
          <w:szCs w:val="20"/>
        </w:rPr>
        <w:t>21</w:t>
      </w:r>
      <w:r>
        <w:rPr>
          <w:sz w:val="20"/>
          <w:szCs w:val="20"/>
        </w:rPr>
        <w:t>%</w:t>
      </w:r>
      <w:r>
        <w:rPr>
          <w:sz w:val="20"/>
          <w:szCs w:val="20"/>
        </w:rPr>
        <w:t xml:space="preserve"> 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and federal statutory tax rate of 35% for the year ended</w:t>
      </w:r>
      <w:r>
        <w:rPr>
          <w:sz w:val="20"/>
          <w:szCs w:val="20"/>
        </w:rPr>
        <w:t xml:space="preserve"> </w:t>
      </w:r>
      <w:r>
        <w:rPr>
          <w:rStyle w:val="a6"/>
          <w:i w:val="0"/>
          <w:iCs w:val="0"/>
          <w:sz w:val="20"/>
          <w:szCs w:val="20"/>
        </w:rPr>
        <w:t>December 31, 2017.</w:t>
      </w:r>
    </w:p>
    <w:p w14:paraId="0614DB71"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42A70F8" w14:textId="77777777">
        <w:trPr>
          <w:tblCellSpacing w:w="0" w:type="dxa"/>
        </w:trPr>
        <w:tc>
          <w:tcPr>
            <w:tcW w:w="360" w:type="dxa"/>
            <w:hideMark/>
          </w:tcPr>
          <w:p w14:paraId="69333592"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6C9B12BB" w14:textId="77777777" w:rsidR="00000000" w:rsidRDefault="0053651E">
            <w:pPr>
              <w:pStyle w:val="a3"/>
              <w:spacing w:before="0" w:beforeAutospacing="0" w:after="0" w:afterAutospacing="0"/>
              <w:jc w:val="both"/>
              <w:rPr>
                <w:sz w:val="20"/>
                <w:szCs w:val="20"/>
              </w:rPr>
            </w:pPr>
            <w:r>
              <w:rPr>
                <w:sz w:val="20"/>
                <w:szCs w:val="20"/>
              </w:rPr>
              <w:t>The year ended</w:t>
            </w:r>
            <w:r>
              <w:rPr>
                <w:sz w:val="20"/>
                <w:szCs w:val="20"/>
              </w:rPr>
              <w:t xml:space="preserve"> </w:t>
            </w:r>
            <w:r>
              <w:rPr>
                <w:rStyle w:val="a6"/>
                <w:i w:val="0"/>
                <w:iCs w:val="0"/>
                <w:sz w:val="20"/>
                <w:szCs w:val="20"/>
              </w:rPr>
              <w:t>December 31, 2018 </w:t>
            </w:r>
            <w:r>
              <w:rPr>
                <w:sz w:val="20"/>
                <w:szCs w:val="20"/>
              </w:rPr>
              <w:t>includes a charge of $1.6 million related to the recording</w:t>
            </w:r>
            <w:r>
              <w:rPr>
                <w:sz w:val="20"/>
                <w:szCs w:val="20"/>
              </w:rPr>
              <w:t xml:space="preserve"> of a deferred tax valuation allowance.</w:t>
            </w:r>
          </w:p>
        </w:tc>
      </w:tr>
    </w:tbl>
    <w:p w14:paraId="3B3C9643"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2E066F9" w14:textId="77777777">
        <w:trPr>
          <w:tblCellSpacing w:w="0" w:type="dxa"/>
        </w:trPr>
        <w:tc>
          <w:tcPr>
            <w:tcW w:w="360" w:type="dxa"/>
            <w:hideMark/>
          </w:tcPr>
          <w:p w14:paraId="1E5D5CB6"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7EBA79D2" w14:textId="77777777" w:rsidR="00000000" w:rsidRDefault="0053651E">
            <w:pPr>
              <w:pStyle w:val="a3"/>
              <w:spacing w:before="0" w:beforeAutospacing="0" w:after="0" w:afterAutospacing="0"/>
              <w:jc w:val="both"/>
              <w:rPr>
                <w:sz w:val="20"/>
                <w:szCs w:val="20"/>
              </w:rPr>
            </w:pPr>
            <w:r>
              <w:rPr>
                <w:sz w:val="20"/>
                <w:szCs w:val="20"/>
              </w:rPr>
              <w:t>The year ended</w:t>
            </w:r>
            <w:r>
              <w:rPr>
                <w:sz w:val="20"/>
                <w:szCs w:val="20"/>
              </w:rPr>
              <w:t xml:space="preserve"> </w:t>
            </w:r>
            <w:r>
              <w:rPr>
                <w:rStyle w:val="a6"/>
                <w:i w:val="0"/>
                <w:iCs w:val="0"/>
                <w:sz w:val="20"/>
                <w:szCs w:val="20"/>
              </w:rPr>
              <w:t xml:space="preserve">December 31, 2018 </w:t>
            </w:r>
            <w:r>
              <w:rPr>
                <w:sz w:val="20"/>
                <w:szCs w:val="20"/>
              </w:rPr>
              <w:t>includes a charge of $0.3 million related to the recording of a deferred tax valuation allowance.</w:t>
            </w:r>
          </w:p>
        </w:tc>
      </w:tr>
      <w:tr w:rsidR="00000000" w14:paraId="52048D6B" w14:textId="77777777">
        <w:trPr>
          <w:tblCellSpacing w:w="0" w:type="dxa"/>
        </w:trPr>
        <w:tc>
          <w:tcPr>
            <w:tcW w:w="360" w:type="dxa"/>
            <w:hideMark/>
          </w:tcPr>
          <w:p w14:paraId="05DB37B3"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3</w:t>
            </w:r>
            <w:r>
              <w:rPr>
                <w:rFonts w:eastAsia="Times New Roman"/>
                <w:sz w:val="20"/>
                <w:szCs w:val="20"/>
              </w:rPr>
              <w:t>)</w:t>
            </w:r>
          </w:p>
        </w:tc>
        <w:tc>
          <w:tcPr>
            <w:tcW w:w="0" w:type="auto"/>
            <w:hideMark/>
          </w:tcPr>
          <w:p w14:paraId="45F48E51" w14:textId="77777777" w:rsidR="00000000" w:rsidRDefault="0053651E">
            <w:pPr>
              <w:rPr>
                <w:rFonts w:eastAsia="Times New Roman"/>
                <w:sz w:val="20"/>
                <w:szCs w:val="20"/>
              </w:rPr>
            </w:pPr>
            <w:r>
              <w:rPr>
                <w:rFonts w:eastAsia="Times New Roman"/>
                <w:sz w:val="20"/>
                <w:szCs w:val="20"/>
              </w:rPr>
              <w:t>The year ended</w:t>
            </w:r>
            <w:r>
              <w:rPr>
                <w:rFonts w:eastAsia="Times New Roman"/>
                <w:sz w:val="20"/>
                <w:szCs w:val="20"/>
              </w:rPr>
              <w:t xml:space="preserve"> </w:t>
            </w:r>
            <w:r>
              <w:rPr>
                <w:rStyle w:val="a6"/>
                <w:rFonts w:eastAsia="Times New Roman"/>
                <w:i w:val="0"/>
                <w:iCs w:val="0"/>
                <w:sz w:val="20"/>
                <w:szCs w:val="20"/>
              </w:rPr>
              <w:t xml:space="preserve">December 31, 2019 </w:t>
            </w:r>
            <w:r>
              <w:rPr>
                <w:rFonts w:eastAsia="Times New Roman"/>
                <w:sz w:val="20"/>
                <w:szCs w:val="20"/>
              </w:rPr>
              <w:t>includes a tax benefit from AMT Credit refunds of $3.7 million and $1.1 million related to the recording of a deferred tax valuation allowance.</w:t>
            </w:r>
          </w:p>
        </w:tc>
      </w:tr>
    </w:tbl>
    <w:p w14:paraId="13B23377" w14:textId="77777777" w:rsidR="00000000" w:rsidRDefault="0053651E">
      <w:pPr>
        <w:pStyle w:val="a3"/>
        <w:spacing w:before="0" w:beforeAutospacing="0" w:after="0" w:afterAutospacing="0"/>
        <w:ind w:left="360"/>
        <w:jc w:val="both"/>
        <w:rPr>
          <w:sz w:val="20"/>
          <w:szCs w:val="20"/>
        </w:rPr>
      </w:pPr>
      <w:r>
        <w:rPr>
          <w:i/>
          <w:iCs/>
          <w:sz w:val="20"/>
          <w:szCs w:val="20"/>
        </w:rPr>
        <w:t> </w:t>
      </w:r>
    </w:p>
    <w:p w14:paraId="366D1DCB" w14:textId="77777777" w:rsidR="00000000" w:rsidRDefault="0053651E">
      <w:pPr>
        <w:jc w:val="center"/>
        <w:divId w:val="329674968"/>
        <w:rPr>
          <w:rFonts w:eastAsia="Times New Roman"/>
          <w:sz w:val="20"/>
          <w:szCs w:val="20"/>
        </w:rPr>
      </w:pPr>
      <w:r>
        <w:rPr>
          <w:rStyle w:val="a6"/>
          <w:rFonts w:eastAsia="Times New Roman"/>
          <w:i w:val="0"/>
          <w:iCs w:val="0"/>
          <w:sz w:val="20"/>
          <w:szCs w:val="20"/>
        </w:rPr>
        <w:t>83</w:t>
      </w:r>
      <w:r>
        <w:rPr>
          <w:rFonts w:eastAsia="Times New Roman"/>
          <w:sz w:val="20"/>
          <w:szCs w:val="20"/>
        </w:rPr>
        <w:t xml:space="preserve"> </w:t>
      </w:r>
    </w:p>
    <w:p w14:paraId="131CCC1E" w14:textId="77777777" w:rsidR="00000000" w:rsidRDefault="0053651E">
      <w:pPr>
        <w:divId w:val="329674968"/>
        <w:rPr>
          <w:rFonts w:eastAsia="Times New Roman"/>
          <w:sz w:val="20"/>
          <w:szCs w:val="20"/>
        </w:rPr>
      </w:pPr>
      <w:r>
        <w:rPr>
          <w:rFonts w:eastAsia="Times New Roman"/>
          <w:sz w:val="20"/>
          <w:szCs w:val="20"/>
        </w:rPr>
        <w:pict w14:anchorId="4C3A502A">
          <v:rect id="_x0000_i1114" style="width:415.3pt;height:1.5pt" o:hralign="center" o:hrstd="t" o:hrnoshade="t" o:hr="t" fillcolor="black" stroked="f"/>
        </w:pict>
      </w:r>
    </w:p>
    <w:p w14:paraId="52CF466E" w14:textId="77777777" w:rsidR="00000000" w:rsidRDefault="0053651E">
      <w:pPr>
        <w:divId w:val="3296749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4CDD841" w14:textId="77777777" w:rsidR="00000000" w:rsidRDefault="0053651E">
      <w:pPr>
        <w:pStyle w:val="a3"/>
        <w:spacing w:before="0" w:beforeAutospacing="0" w:after="0" w:afterAutospacing="0"/>
        <w:rPr>
          <w:sz w:val="20"/>
          <w:szCs w:val="20"/>
        </w:rPr>
      </w:pPr>
      <w:r>
        <w:rPr>
          <w:sz w:val="20"/>
          <w:szCs w:val="20"/>
        </w:rPr>
        <w:t> </w:t>
      </w:r>
    </w:p>
    <w:p w14:paraId="17EE1DD7"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24FB8E0F" w14:textId="77777777" w:rsidR="00000000" w:rsidRDefault="0053651E">
      <w:pPr>
        <w:pStyle w:val="a3"/>
        <w:spacing w:before="0" w:beforeAutospacing="0" w:after="0" w:afterAutospacing="0"/>
        <w:jc w:val="center"/>
        <w:rPr>
          <w:sz w:val="20"/>
          <w:szCs w:val="20"/>
        </w:rPr>
      </w:pPr>
      <w:r>
        <w:rPr>
          <w:sz w:val="20"/>
          <w:szCs w:val="20"/>
        </w:rPr>
        <w:t> </w:t>
      </w:r>
    </w:p>
    <w:p w14:paraId="61859DD4"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E04B9B0" w14:textId="77777777" w:rsidR="00000000" w:rsidRDefault="0053651E">
      <w:pPr>
        <w:pStyle w:val="a3"/>
        <w:spacing w:before="0" w:beforeAutospacing="0" w:after="0" w:afterAutospacing="0"/>
        <w:rPr>
          <w:sz w:val="20"/>
          <w:szCs w:val="20"/>
        </w:rPr>
      </w:pPr>
      <w:r>
        <w:rPr>
          <w:sz w:val="20"/>
          <w:szCs w:val="20"/>
        </w:rPr>
        <w:t> </w:t>
      </w:r>
    </w:p>
    <w:p w14:paraId="76546F73" w14:textId="77777777" w:rsidR="00000000" w:rsidRDefault="0053651E">
      <w:pPr>
        <w:pStyle w:val="a3"/>
        <w:spacing w:before="0" w:beforeAutospacing="0" w:after="0" w:afterAutospacing="0"/>
        <w:ind w:left="360"/>
        <w:jc w:val="both"/>
        <w:rPr>
          <w:sz w:val="20"/>
          <w:szCs w:val="20"/>
        </w:rPr>
      </w:pPr>
      <w:r>
        <w:rPr>
          <w:i/>
          <w:iCs/>
          <w:sz w:val="20"/>
          <w:szCs w:val="20"/>
        </w:rPr>
        <w:t xml:space="preserve">Deferred Tax Assets, Liabilities </w:t>
      </w:r>
      <w:r>
        <w:rPr>
          <w:i/>
          <w:iCs/>
          <w:sz w:val="20"/>
          <w:szCs w:val="20"/>
        </w:rPr>
        <w:t>and Valuation Allowances</w:t>
      </w:r>
    </w:p>
    <w:p w14:paraId="204478CE" w14:textId="77777777" w:rsidR="00000000" w:rsidRDefault="0053651E">
      <w:pPr>
        <w:pStyle w:val="a3"/>
        <w:spacing w:before="0" w:beforeAutospacing="0" w:after="0" w:afterAutospacing="0"/>
        <w:ind w:left="360"/>
        <w:jc w:val="both"/>
        <w:rPr>
          <w:sz w:val="20"/>
          <w:szCs w:val="20"/>
        </w:rPr>
      </w:pPr>
      <w:r>
        <w:rPr>
          <w:sz w:val="20"/>
          <w:szCs w:val="20"/>
        </w:rPr>
        <w:t> </w:t>
      </w:r>
    </w:p>
    <w:p w14:paraId="7DDB2B35" w14:textId="77777777" w:rsidR="00000000" w:rsidRDefault="0053651E">
      <w:pPr>
        <w:pStyle w:val="a3"/>
        <w:spacing w:before="0" w:beforeAutospacing="0" w:after="0" w:afterAutospacing="0"/>
        <w:ind w:left="360"/>
        <w:jc w:val="both"/>
        <w:rPr>
          <w:sz w:val="20"/>
          <w:szCs w:val="20"/>
        </w:rPr>
      </w:pPr>
      <w:r>
        <w:rPr>
          <w:sz w:val="20"/>
          <w:szCs w:val="20"/>
        </w:rPr>
        <w:t>The Company’s deferred tax assets and liabilities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were as follows (in thousands):</w:t>
      </w:r>
    </w:p>
    <w:p w14:paraId="5C158F2E" w14:textId="77777777" w:rsidR="00000000" w:rsidRDefault="0053651E">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651E6D4A" w14:textId="77777777">
        <w:trPr>
          <w:tblCellSpacing w:w="0" w:type="dxa"/>
        </w:trPr>
        <w:tc>
          <w:tcPr>
            <w:tcW w:w="0" w:type="auto"/>
            <w:vAlign w:val="bottom"/>
            <w:hideMark/>
          </w:tcPr>
          <w:p w14:paraId="4222CC8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C0D115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C5EF639"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218A45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1665DAA7"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81F6D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0E826A0" w14:textId="77777777" w:rsidR="00000000" w:rsidRDefault="0053651E">
            <w:pPr>
              <w:rPr>
                <w:rFonts w:eastAsia="Times New Roman"/>
                <w:sz w:val="20"/>
                <w:szCs w:val="20"/>
              </w:rPr>
            </w:pPr>
            <w:r>
              <w:rPr>
                <w:rFonts w:eastAsia="Times New Roman"/>
                <w:sz w:val="20"/>
                <w:szCs w:val="20"/>
              </w:rPr>
              <w:t> </w:t>
            </w:r>
          </w:p>
        </w:tc>
      </w:tr>
      <w:tr w:rsidR="00000000" w14:paraId="12696A1A" w14:textId="77777777">
        <w:trPr>
          <w:tblCellSpacing w:w="0" w:type="dxa"/>
        </w:trPr>
        <w:tc>
          <w:tcPr>
            <w:tcW w:w="3100" w:type="pct"/>
            <w:shd w:val="clear" w:color="auto" w:fill="CCEEFF"/>
            <w:vAlign w:val="bottom"/>
            <w:hideMark/>
          </w:tcPr>
          <w:p w14:paraId="5B538D51" w14:textId="77777777" w:rsidR="00000000" w:rsidRDefault="0053651E">
            <w:pPr>
              <w:pStyle w:val="a3"/>
              <w:spacing w:before="0" w:beforeAutospacing="0" w:after="0" w:afterAutospacing="0"/>
              <w:rPr>
                <w:sz w:val="20"/>
                <w:szCs w:val="20"/>
              </w:rPr>
            </w:pPr>
            <w:r>
              <w:rPr>
                <w:sz w:val="20"/>
                <w:szCs w:val="20"/>
              </w:rPr>
              <w:t>Deferred tax assets:</w:t>
            </w:r>
          </w:p>
        </w:tc>
        <w:tc>
          <w:tcPr>
            <w:tcW w:w="0" w:type="auto"/>
            <w:shd w:val="clear" w:color="auto" w:fill="CCEEFF"/>
            <w:vAlign w:val="bottom"/>
            <w:hideMark/>
          </w:tcPr>
          <w:p w14:paraId="2F6155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BEB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6C7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557E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E1943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0CF7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24B46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295331" w14:textId="77777777" w:rsidR="00000000" w:rsidRDefault="0053651E">
            <w:pPr>
              <w:rPr>
                <w:rFonts w:eastAsia="Times New Roman"/>
                <w:sz w:val="20"/>
                <w:szCs w:val="20"/>
              </w:rPr>
            </w:pPr>
            <w:r>
              <w:rPr>
                <w:rFonts w:eastAsia="Times New Roman"/>
                <w:sz w:val="20"/>
                <w:szCs w:val="20"/>
              </w:rPr>
              <w:t> </w:t>
            </w:r>
          </w:p>
        </w:tc>
      </w:tr>
      <w:tr w:rsidR="00000000" w14:paraId="0A37AE62" w14:textId="77777777">
        <w:trPr>
          <w:tblCellSpacing w:w="0" w:type="dxa"/>
        </w:trPr>
        <w:tc>
          <w:tcPr>
            <w:tcW w:w="0" w:type="auto"/>
            <w:shd w:val="clear" w:color="auto" w:fill="FFFFFF"/>
            <w:vAlign w:val="bottom"/>
            <w:hideMark/>
          </w:tcPr>
          <w:p w14:paraId="71181F1D" w14:textId="77777777" w:rsidR="00000000" w:rsidRDefault="0053651E">
            <w:pPr>
              <w:pStyle w:val="a3"/>
              <w:spacing w:before="0" w:beforeAutospacing="0" w:after="0" w:afterAutospacing="0"/>
              <w:ind w:left="180"/>
              <w:rPr>
                <w:sz w:val="20"/>
                <w:szCs w:val="20"/>
              </w:rPr>
            </w:pPr>
            <w:r>
              <w:rPr>
                <w:sz w:val="20"/>
                <w:szCs w:val="20"/>
              </w:rPr>
              <w:t>Tax/GAAP basis differences</w:t>
            </w:r>
          </w:p>
        </w:tc>
        <w:tc>
          <w:tcPr>
            <w:tcW w:w="50" w:type="pct"/>
            <w:shd w:val="clear" w:color="auto" w:fill="FFFFFF"/>
            <w:vAlign w:val="bottom"/>
            <w:hideMark/>
          </w:tcPr>
          <w:p w14:paraId="456E9A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1D1633"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59E96D4E" w14:textId="77777777" w:rsidR="00000000" w:rsidRDefault="0053651E">
            <w:pPr>
              <w:jc w:val="right"/>
              <w:rPr>
                <w:rFonts w:eastAsia="Times New Roman"/>
                <w:sz w:val="20"/>
                <w:szCs w:val="20"/>
              </w:rPr>
            </w:pPr>
            <w:r>
              <w:rPr>
                <w:rFonts w:eastAsia="Times New Roman"/>
                <w:sz w:val="20"/>
                <w:szCs w:val="20"/>
              </w:rPr>
              <w:t>29,618</w:t>
            </w:r>
          </w:p>
        </w:tc>
        <w:tc>
          <w:tcPr>
            <w:tcW w:w="50" w:type="pct"/>
            <w:shd w:val="clear" w:color="auto" w:fill="FFFFFF"/>
            <w:vAlign w:val="bottom"/>
            <w:hideMark/>
          </w:tcPr>
          <w:p w14:paraId="6B132D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D174A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7520AE" w14:textId="77777777" w:rsidR="00000000" w:rsidRDefault="0053651E">
            <w:pPr>
              <w:rPr>
                <w:rFonts w:eastAsia="Times New Roman"/>
                <w:sz w:val="20"/>
                <w:szCs w:val="20"/>
              </w:rPr>
            </w:pPr>
            <w:r>
              <w:rPr>
                <w:rFonts w:eastAsia="Times New Roman"/>
                <w:sz w:val="20"/>
                <w:szCs w:val="20"/>
              </w:rPr>
              <w:t>$</w:t>
            </w:r>
          </w:p>
        </w:tc>
        <w:tc>
          <w:tcPr>
            <w:tcW w:w="800" w:type="pct"/>
            <w:shd w:val="clear" w:color="auto" w:fill="FFFFFF"/>
            <w:vAlign w:val="bottom"/>
            <w:hideMark/>
          </w:tcPr>
          <w:p w14:paraId="4F739045" w14:textId="77777777" w:rsidR="00000000" w:rsidRDefault="0053651E">
            <w:pPr>
              <w:jc w:val="right"/>
              <w:rPr>
                <w:rFonts w:eastAsia="Times New Roman"/>
                <w:sz w:val="20"/>
                <w:szCs w:val="20"/>
              </w:rPr>
            </w:pPr>
            <w:r>
              <w:rPr>
                <w:rFonts w:eastAsia="Times New Roman"/>
                <w:sz w:val="20"/>
                <w:szCs w:val="20"/>
              </w:rPr>
              <w:t>28,865</w:t>
            </w:r>
          </w:p>
        </w:tc>
        <w:tc>
          <w:tcPr>
            <w:tcW w:w="50" w:type="pct"/>
            <w:shd w:val="clear" w:color="auto" w:fill="FFFFFF"/>
            <w:vAlign w:val="bottom"/>
            <w:hideMark/>
          </w:tcPr>
          <w:p w14:paraId="1F7297D6" w14:textId="77777777" w:rsidR="00000000" w:rsidRDefault="0053651E">
            <w:pPr>
              <w:rPr>
                <w:rFonts w:eastAsia="Times New Roman"/>
                <w:sz w:val="20"/>
                <w:szCs w:val="20"/>
              </w:rPr>
            </w:pPr>
            <w:r>
              <w:rPr>
                <w:rFonts w:eastAsia="Times New Roman"/>
                <w:sz w:val="20"/>
                <w:szCs w:val="20"/>
              </w:rPr>
              <w:t> </w:t>
            </w:r>
          </w:p>
        </w:tc>
      </w:tr>
      <w:tr w:rsidR="00000000" w14:paraId="6FC6A01E" w14:textId="77777777">
        <w:trPr>
          <w:tblCellSpacing w:w="0" w:type="dxa"/>
        </w:trPr>
        <w:tc>
          <w:tcPr>
            <w:tcW w:w="0" w:type="auto"/>
            <w:shd w:val="clear" w:color="auto" w:fill="CCEEFF"/>
            <w:vAlign w:val="bottom"/>
            <w:hideMark/>
          </w:tcPr>
          <w:p w14:paraId="15299D93" w14:textId="77777777" w:rsidR="00000000" w:rsidRDefault="0053651E">
            <w:pPr>
              <w:pStyle w:val="a3"/>
              <w:spacing w:before="0" w:beforeAutospacing="0" w:after="0" w:afterAutospacing="0"/>
              <w:ind w:left="180"/>
              <w:rPr>
                <w:sz w:val="20"/>
                <w:szCs w:val="20"/>
              </w:rPr>
            </w:pPr>
            <w:r>
              <w:rPr>
                <w:sz w:val="20"/>
                <w:szCs w:val="20"/>
              </w:rPr>
              <w:t>Net operating losses (1)</w:t>
            </w:r>
          </w:p>
        </w:tc>
        <w:tc>
          <w:tcPr>
            <w:tcW w:w="50" w:type="pct"/>
            <w:shd w:val="clear" w:color="auto" w:fill="CCEEFF"/>
            <w:vAlign w:val="bottom"/>
            <w:hideMark/>
          </w:tcPr>
          <w:p w14:paraId="788EDE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EE5305"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0F3A53C" w14:textId="77777777" w:rsidR="00000000" w:rsidRDefault="0053651E">
            <w:pPr>
              <w:jc w:val="right"/>
              <w:rPr>
                <w:rFonts w:eastAsia="Times New Roman"/>
                <w:sz w:val="20"/>
                <w:szCs w:val="20"/>
              </w:rPr>
            </w:pPr>
            <w:r>
              <w:rPr>
                <w:rFonts w:eastAsia="Times New Roman"/>
                <w:sz w:val="20"/>
                <w:szCs w:val="20"/>
              </w:rPr>
              <w:t>20,917</w:t>
            </w:r>
          </w:p>
        </w:tc>
        <w:tc>
          <w:tcPr>
            <w:tcW w:w="50" w:type="pct"/>
            <w:shd w:val="clear" w:color="auto" w:fill="CCEEFF"/>
            <w:vAlign w:val="bottom"/>
            <w:hideMark/>
          </w:tcPr>
          <w:p w14:paraId="3E16AE0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1F74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D094AB"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8E446CD" w14:textId="77777777" w:rsidR="00000000" w:rsidRDefault="0053651E">
            <w:pPr>
              <w:jc w:val="right"/>
              <w:rPr>
                <w:rFonts w:eastAsia="Times New Roman"/>
                <w:sz w:val="20"/>
                <w:szCs w:val="20"/>
              </w:rPr>
            </w:pPr>
            <w:r>
              <w:rPr>
                <w:rFonts w:eastAsia="Times New Roman"/>
                <w:sz w:val="20"/>
                <w:szCs w:val="20"/>
              </w:rPr>
              <w:t>20,947</w:t>
            </w:r>
          </w:p>
        </w:tc>
        <w:tc>
          <w:tcPr>
            <w:tcW w:w="50" w:type="pct"/>
            <w:shd w:val="clear" w:color="auto" w:fill="CCEEFF"/>
            <w:vAlign w:val="bottom"/>
            <w:hideMark/>
          </w:tcPr>
          <w:p w14:paraId="787D08C7" w14:textId="77777777" w:rsidR="00000000" w:rsidRDefault="0053651E">
            <w:pPr>
              <w:rPr>
                <w:rFonts w:eastAsia="Times New Roman"/>
                <w:sz w:val="20"/>
                <w:szCs w:val="20"/>
              </w:rPr>
            </w:pPr>
            <w:r>
              <w:rPr>
                <w:rFonts w:eastAsia="Times New Roman"/>
                <w:sz w:val="20"/>
                <w:szCs w:val="20"/>
              </w:rPr>
              <w:t> </w:t>
            </w:r>
          </w:p>
        </w:tc>
      </w:tr>
      <w:tr w:rsidR="00000000" w14:paraId="323585E9" w14:textId="77777777">
        <w:trPr>
          <w:tblCellSpacing w:w="0" w:type="dxa"/>
        </w:trPr>
        <w:tc>
          <w:tcPr>
            <w:tcW w:w="0" w:type="auto"/>
            <w:shd w:val="clear" w:color="auto" w:fill="FFFFFF"/>
            <w:vAlign w:val="bottom"/>
            <w:hideMark/>
          </w:tcPr>
          <w:p w14:paraId="31F99968" w14:textId="77777777" w:rsidR="00000000" w:rsidRDefault="0053651E">
            <w:pPr>
              <w:pStyle w:val="a3"/>
              <w:spacing w:before="0" w:beforeAutospacing="0" w:after="0" w:afterAutospacing="0"/>
              <w:ind w:left="180"/>
              <w:rPr>
                <w:sz w:val="20"/>
                <w:szCs w:val="20"/>
              </w:rPr>
            </w:pPr>
            <w:r>
              <w:rPr>
                <w:sz w:val="20"/>
                <w:szCs w:val="20"/>
              </w:rPr>
              <w:t>Tax credit carryforwards (2)</w:t>
            </w:r>
          </w:p>
        </w:tc>
        <w:tc>
          <w:tcPr>
            <w:tcW w:w="50" w:type="pct"/>
            <w:shd w:val="clear" w:color="auto" w:fill="FFFFFF"/>
            <w:vAlign w:val="bottom"/>
            <w:hideMark/>
          </w:tcPr>
          <w:p w14:paraId="4F7F040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CA1A7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2664197" w14:textId="77777777" w:rsidR="00000000" w:rsidRDefault="0053651E">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14:paraId="47EF09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3C528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37E8F3"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4F0AA89" w14:textId="77777777" w:rsidR="00000000" w:rsidRDefault="0053651E">
            <w:pPr>
              <w:jc w:val="right"/>
              <w:rPr>
                <w:rFonts w:eastAsia="Times New Roman"/>
                <w:sz w:val="20"/>
                <w:szCs w:val="20"/>
              </w:rPr>
            </w:pPr>
            <w:r>
              <w:rPr>
                <w:rFonts w:eastAsia="Times New Roman"/>
                <w:sz w:val="20"/>
                <w:szCs w:val="20"/>
              </w:rPr>
              <w:t>6,064</w:t>
            </w:r>
          </w:p>
        </w:tc>
        <w:tc>
          <w:tcPr>
            <w:tcW w:w="50" w:type="pct"/>
            <w:shd w:val="clear" w:color="auto" w:fill="FFFFFF"/>
            <w:vAlign w:val="bottom"/>
            <w:hideMark/>
          </w:tcPr>
          <w:p w14:paraId="7FCB3823" w14:textId="77777777" w:rsidR="00000000" w:rsidRDefault="0053651E">
            <w:pPr>
              <w:rPr>
                <w:rFonts w:eastAsia="Times New Roman"/>
                <w:sz w:val="20"/>
                <w:szCs w:val="20"/>
              </w:rPr>
            </w:pPr>
            <w:r>
              <w:rPr>
                <w:rFonts w:eastAsia="Times New Roman"/>
                <w:sz w:val="20"/>
                <w:szCs w:val="20"/>
              </w:rPr>
              <w:t> </w:t>
            </w:r>
          </w:p>
        </w:tc>
      </w:tr>
      <w:tr w:rsidR="00000000" w14:paraId="28DF55D5" w14:textId="77777777">
        <w:trPr>
          <w:tblCellSpacing w:w="0" w:type="dxa"/>
        </w:trPr>
        <w:tc>
          <w:tcPr>
            <w:tcW w:w="0" w:type="auto"/>
            <w:shd w:val="clear" w:color="auto" w:fill="CCEEFF"/>
            <w:vAlign w:val="bottom"/>
            <w:hideMark/>
          </w:tcPr>
          <w:p w14:paraId="4A5F0466" w14:textId="77777777" w:rsidR="00000000" w:rsidRDefault="0053651E">
            <w:pPr>
              <w:pStyle w:val="a3"/>
              <w:spacing w:before="0" w:beforeAutospacing="0" w:after="0" w:afterAutospacing="0"/>
              <w:ind w:left="180"/>
              <w:rPr>
                <w:sz w:val="20"/>
                <w:szCs w:val="20"/>
              </w:rPr>
            </w:pPr>
            <w:r>
              <w:rPr>
                <w:sz w:val="20"/>
                <w:szCs w:val="20"/>
              </w:rPr>
              <w:t>Capital loss carryforwards</w:t>
            </w:r>
          </w:p>
        </w:tc>
        <w:tc>
          <w:tcPr>
            <w:tcW w:w="50" w:type="pct"/>
            <w:shd w:val="clear" w:color="auto" w:fill="CCEEFF"/>
            <w:vAlign w:val="bottom"/>
            <w:hideMark/>
          </w:tcPr>
          <w:p w14:paraId="3A38A53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26A82A"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80E18CB" w14:textId="77777777" w:rsidR="00000000" w:rsidRDefault="0053651E">
            <w:pPr>
              <w:jc w:val="right"/>
              <w:rPr>
                <w:rFonts w:eastAsia="Times New Roman"/>
                <w:sz w:val="20"/>
                <w:szCs w:val="20"/>
              </w:rPr>
            </w:pPr>
            <w:r>
              <w:rPr>
                <w:rFonts w:eastAsia="Times New Roman"/>
                <w:sz w:val="20"/>
                <w:szCs w:val="20"/>
              </w:rPr>
              <w:t>2,270</w:t>
            </w:r>
          </w:p>
        </w:tc>
        <w:tc>
          <w:tcPr>
            <w:tcW w:w="50" w:type="pct"/>
            <w:shd w:val="clear" w:color="auto" w:fill="CCEEFF"/>
            <w:vAlign w:val="bottom"/>
            <w:hideMark/>
          </w:tcPr>
          <w:p w14:paraId="3FD9ECC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5E52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81BE24"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B68321D" w14:textId="77777777" w:rsidR="00000000" w:rsidRDefault="0053651E">
            <w:pPr>
              <w:jc w:val="right"/>
              <w:rPr>
                <w:rFonts w:eastAsia="Times New Roman"/>
                <w:sz w:val="20"/>
                <w:szCs w:val="20"/>
              </w:rPr>
            </w:pPr>
            <w:r>
              <w:rPr>
                <w:rFonts w:eastAsia="Times New Roman"/>
                <w:sz w:val="20"/>
                <w:szCs w:val="20"/>
              </w:rPr>
              <w:t>2,270</w:t>
            </w:r>
          </w:p>
        </w:tc>
        <w:tc>
          <w:tcPr>
            <w:tcW w:w="50" w:type="pct"/>
            <w:shd w:val="clear" w:color="auto" w:fill="CCEEFF"/>
            <w:vAlign w:val="bottom"/>
            <w:hideMark/>
          </w:tcPr>
          <w:p w14:paraId="37573D81" w14:textId="77777777" w:rsidR="00000000" w:rsidRDefault="0053651E">
            <w:pPr>
              <w:rPr>
                <w:rFonts w:eastAsia="Times New Roman"/>
                <w:sz w:val="20"/>
                <w:szCs w:val="20"/>
              </w:rPr>
            </w:pPr>
            <w:r>
              <w:rPr>
                <w:rFonts w:eastAsia="Times New Roman"/>
                <w:sz w:val="20"/>
                <w:szCs w:val="20"/>
              </w:rPr>
              <w:t> </w:t>
            </w:r>
          </w:p>
        </w:tc>
      </w:tr>
      <w:tr w:rsidR="00000000" w14:paraId="09BB7EDF" w14:textId="77777777">
        <w:trPr>
          <w:tblCellSpacing w:w="0" w:type="dxa"/>
        </w:trPr>
        <w:tc>
          <w:tcPr>
            <w:tcW w:w="0" w:type="auto"/>
            <w:shd w:val="clear" w:color="auto" w:fill="FFFFFF"/>
            <w:vAlign w:val="bottom"/>
            <w:hideMark/>
          </w:tcPr>
          <w:p w14:paraId="1AEC894C" w14:textId="77777777" w:rsidR="00000000" w:rsidRDefault="0053651E">
            <w:pPr>
              <w:pStyle w:val="a3"/>
              <w:spacing w:before="0" w:beforeAutospacing="0" w:after="0" w:afterAutospacing="0"/>
              <w:ind w:left="180"/>
              <w:rPr>
                <w:sz w:val="20"/>
                <w:szCs w:val="20"/>
              </w:rPr>
            </w:pPr>
            <w:r>
              <w:rPr>
                <w:sz w:val="20"/>
                <w:szCs w:val="20"/>
              </w:rPr>
              <w:t>Related party deferred losses</w:t>
            </w:r>
          </w:p>
        </w:tc>
        <w:tc>
          <w:tcPr>
            <w:tcW w:w="50" w:type="pct"/>
            <w:shd w:val="clear" w:color="auto" w:fill="FFFFFF"/>
            <w:vAlign w:val="bottom"/>
            <w:hideMark/>
          </w:tcPr>
          <w:p w14:paraId="7F5BF5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F6BD0D"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5BF4C80" w14:textId="77777777" w:rsidR="00000000" w:rsidRDefault="0053651E">
            <w:pPr>
              <w:jc w:val="right"/>
              <w:rPr>
                <w:rFonts w:eastAsia="Times New Roman"/>
                <w:sz w:val="20"/>
                <w:szCs w:val="20"/>
              </w:rPr>
            </w:pPr>
            <w:r>
              <w:rPr>
                <w:rFonts w:eastAsia="Times New Roman"/>
                <w:sz w:val="20"/>
                <w:szCs w:val="20"/>
              </w:rPr>
              <w:t>619</w:t>
            </w:r>
          </w:p>
        </w:tc>
        <w:tc>
          <w:tcPr>
            <w:tcW w:w="50" w:type="pct"/>
            <w:shd w:val="clear" w:color="auto" w:fill="FFFFFF"/>
            <w:vAlign w:val="bottom"/>
            <w:hideMark/>
          </w:tcPr>
          <w:p w14:paraId="76E6AD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A87ED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17585E"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3A612ED" w14:textId="77777777" w:rsidR="00000000" w:rsidRDefault="0053651E">
            <w:pPr>
              <w:jc w:val="right"/>
              <w:rPr>
                <w:rFonts w:eastAsia="Times New Roman"/>
                <w:sz w:val="20"/>
                <w:szCs w:val="20"/>
              </w:rPr>
            </w:pPr>
            <w:r>
              <w:rPr>
                <w:rFonts w:eastAsia="Times New Roman"/>
                <w:sz w:val="20"/>
                <w:szCs w:val="20"/>
              </w:rPr>
              <w:t>619</w:t>
            </w:r>
          </w:p>
        </w:tc>
        <w:tc>
          <w:tcPr>
            <w:tcW w:w="50" w:type="pct"/>
            <w:shd w:val="clear" w:color="auto" w:fill="FFFFFF"/>
            <w:vAlign w:val="bottom"/>
            <w:hideMark/>
          </w:tcPr>
          <w:p w14:paraId="1530BC7B" w14:textId="77777777" w:rsidR="00000000" w:rsidRDefault="0053651E">
            <w:pPr>
              <w:rPr>
                <w:rFonts w:eastAsia="Times New Roman"/>
                <w:sz w:val="20"/>
                <w:szCs w:val="20"/>
              </w:rPr>
            </w:pPr>
            <w:r>
              <w:rPr>
                <w:rFonts w:eastAsia="Times New Roman"/>
                <w:sz w:val="20"/>
                <w:szCs w:val="20"/>
              </w:rPr>
              <w:t> </w:t>
            </w:r>
          </w:p>
        </w:tc>
      </w:tr>
      <w:tr w:rsidR="00000000" w14:paraId="27C7C465" w14:textId="77777777">
        <w:trPr>
          <w:tblCellSpacing w:w="0" w:type="dxa"/>
        </w:trPr>
        <w:tc>
          <w:tcPr>
            <w:tcW w:w="0" w:type="auto"/>
            <w:shd w:val="clear" w:color="auto" w:fill="CCEEFF"/>
            <w:vAlign w:val="bottom"/>
            <w:hideMark/>
          </w:tcPr>
          <w:p w14:paraId="78FEEFB9" w14:textId="77777777" w:rsidR="00000000" w:rsidRDefault="0053651E">
            <w:pPr>
              <w:pStyle w:val="a3"/>
              <w:spacing w:before="0" w:beforeAutospacing="0" w:after="0" w:afterAutospacing="0"/>
              <w:ind w:left="180"/>
              <w:rPr>
                <w:sz w:val="20"/>
                <w:szCs w:val="20"/>
              </w:rPr>
            </w:pPr>
            <w:r>
              <w:rPr>
                <w:sz w:val="20"/>
                <w:szCs w:val="20"/>
              </w:rPr>
              <w:t>Charitable contribution carryforwards</w:t>
            </w:r>
          </w:p>
        </w:tc>
        <w:tc>
          <w:tcPr>
            <w:tcW w:w="50" w:type="pct"/>
            <w:shd w:val="clear" w:color="auto" w:fill="CCEEFF"/>
            <w:vAlign w:val="bottom"/>
            <w:hideMark/>
          </w:tcPr>
          <w:p w14:paraId="673F8D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2B479F"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3675874"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14:paraId="5EB955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027C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795F7F"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C513B05" w14:textId="77777777" w:rsidR="00000000" w:rsidRDefault="0053651E">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14:paraId="7351E4E9" w14:textId="77777777" w:rsidR="00000000" w:rsidRDefault="0053651E">
            <w:pPr>
              <w:rPr>
                <w:rFonts w:eastAsia="Times New Roman"/>
                <w:sz w:val="20"/>
                <w:szCs w:val="20"/>
              </w:rPr>
            </w:pPr>
            <w:r>
              <w:rPr>
                <w:rFonts w:eastAsia="Times New Roman"/>
                <w:sz w:val="20"/>
                <w:szCs w:val="20"/>
              </w:rPr>
              <w:t> </w:t>
            </w:r>
          </w:p>
        </w:tc>
      </w:tr>
      <w:tr w:rsidR="00000000" w14:paraId="304413D9" w14:textId="77777777">
        <w:trPr>
          <w:tblCellSpacing w:w="0" w:type="dxa"/>
        </w:trPr>
        <w:tc>
          <w:tcPr>
            <w:tcW w:w="0" w:type="auto"/>
            <w:shd w:val="clear" w:color="auto" w:fill="FFFFFF"/>
            <w:vAlign w:val="bottom"/>
            <w:hideMark/>
          </w:tcPr>
          <w:p w14:paraId="35C61302" w14:textId="77777777" w:rsidR="00000000" w:rsidRDefault="0053651E">
            <w:pPr>
              <w:pStyle w:val="a3"/>
              <w:spacing w:before="0" w:beforeAutospacing="0" w:after="0" w:afterAutospacing="0"/>
              <w:ind w:left="180"/>
              <w:rPr>
                <w:sz w:val="20"/>
                <w:szCs w:val="20"/>
              </w:rPr>
            </w:pPr>
            <w:r>
              <w:rPr>
                <w:sz w:val="20"/>
                <w:szCs w:val="20"/>
              </w:rPr>
              <w:t>Valuation allowance</w:t>
            </w:r>
          </w:p>
        </w:tc>
        <w:tc>
          <w:tcPr>
            <w:tcW w:w="50" w:type="pct"/>
            <w:shd w:val="clear" w:color="auto" w:fill="FFFFFF"/>
            <w:tcMar>
              <w:top w:w="0" w:type="dxa"/>
              <w:left w:w="0" w:type="dxa"/>
              <w:bottom w:w="15" w:type="dxa"/>
              <w:right w:w="0" w:type="dxa"/>
            </w:tcMar>
            <w:vAlign w:val="bottom"/>
            <w:hideMark/>
          </w:tcPr>
          <w:p w14:paraId="0AD4160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5E16BD"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59AFE5F" w14:textId="77777777" w:rsidR="00000000" w:rsidRDefault="0053651E">
            <w:pPr>
              <w:jc w:val="right"/>
              <w:rPr>
                <w:rFonts w:eastAsia="Times New Roman"/>
                <w:sz w:val="20"/>
                <w:szCs w:val="20"/>
              </w:rPr>
            </w:pPr>
            <w:r>
              <w:rPr>
                <w:rFonts w:eastAsia="Times New Roman"/>
                <w:sz w:val="20"/>
                <w:szCs w:val="20"/>
              </w:rPr>
              <w:t>(42,703</w:t>
            </w:r>
          </w:p>
        </w:tc>
        <w:tc>
          <w:tcPr>
            <w:tcW w:w="50" w:type="pct"/>
            <w:shd w:val="clear" w:color="auto" w:fill="FFFFFF"/>
            <w:tcMar>
              <w:top w:w="0" w:type="dxa"/>
              <w:left w:w="0" w:type="dxa"/>
              <w:bottom w:w="15" w:type="dxa"/>
              <w:right w:w="0" w:type="dxa"/>
            </w:tcMar>
            <w:vAlign w:val="bottom"/>
            <w:hideMark/>
          </w:tcPr>
          <w:p w14:paraId="261D2E59"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887C9C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5488AC"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720BFCDB" w14:textId="77777777" w:rsidR="00000000" w:rsidRDefault="0053651E">
            <w:pPr>
              <w:jc w:val="right"/>
              <w:rPr>
                <w:rFonts w:eastAsia="Times New Roman"/>
                <w:sz w:val="20"/>
                <w:szCs w:val="20"/>
              </w:rPr>
            </w:pPr>
            <w:r>
              <w:rPr>
                <w:rFonts w:eastAsia="Times New Roman"/>
                <w:sz w:val="20"/>
                <w:szCs w:val="20"/>
              </w:rPr>
              <w:t>(45,413</w:t>
            </w:r>
          </w:p>
        </w:tc>
        <w:tc>
          <w:tcPr>
            <w:tcW w:w="50" w:type="pct"/>
            <w:shd w:val="clear" w:color="auto" w:fill="FFFFFF"/>
            <w:tcMar>
              <w:top w:w="0" w:type="dxa"/>
              <w:left w:w="0" w:type="dxa"/>
              <w:bottom w:w="15" w:type="dxa"/>
              <w:right w:w="0" w:type="dxa"/>
            </w:tcMar>
            <w:vAlign w:val="bottom"/>
            <w:hideMark/>
          </w:tcPr>
          <w:p w14:paraId="50F05D9C" w14:textId="77777777" w:rsidR="00000000" w:rsidRDefault="0053651E">
            <w:pPr>
              <w:rPr>
                <w:rFonts w:eastAsia="Times New Roman"/>
                <w:sz w:val="20"/>
                <w:szCs w:val="20"/>
              </w:rPr>
            </w:pPr>
            <w:r>
              <w:rPr>
                <w:rFonts w:eastAsia="Times New Roman"/>
                <w:sz w:val="20"/>
                <w:szCs w:val="20"/>
              </w:rPr>
              <w:t>)</w:t>
            </w:r>
          </w:p>
        </w:tc>
      </w:tr>
      <w:tr w:rsidR="00000000" w14:paraId="5462BFC7" w14:textId="77777777">
        <w:trPr>
          <w:tblCellSpacing w:w="0" w:type="dxa"/>
        </w:trPr>
        <w:tc>
          <w:tcPr>
            <w:tcW w:w="0" w:type="auto"/>
            <w:shd w:val="clear" w:color="auto" w:fill="CCEEFF"/>
            <w:vAlign w:val="bottom"/>
            <w:hideMark/>
          </w:tcPr>
          <w:p w14:paraId="3EBA2E12" w14:textId="77777777" w:rsidR="00000000" w:rsidRDefault="0053651E">
            <w:pPr>
              <w:pStyle w:val="a3"/>
              <w:spacing w:before="0" w:beforeAutospacing="0" w:after="0" w:afterAutospacing="0"/>
              <w:rPr>
                <w:sz w:val="20"/>
                <w:szCs w:val="20"/>
              </w:rPr>
            </w:pPr>
            <w:r>
              <w:rPr>
                <w:sz w:val="20"/>
                <w:szCs w:val="20"/>
              </w:rPr>
              <w:t>Total deferred tax assets</w:t>
            </w:r>
          </w:p>
        </w:tc>
        <w:tc>
          <w:tcPr>
            <w:tcW w:w="50" w:type="pct"/>
            <w:tcBorders>
              <w:bottom w:val="nil"/>
            </w:tcBorders>
            <w:shd w:val="clear" w:color="auto" w:fill="CCEEFF"/>
            <w:vAlign w:val="bottom"/>
            <w:hideMark/>
          </w:tcPr>
          <w:p w14:paraId="078631E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234F15D"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041C4818" w14:textId="77777777" w:rsidR="00000000" w:rsidRDefault="0053651E">
            <w:pPr>
              <w:jc w:val="right"/>
              <w:rPr>
                <w:rFonts w:eastAsia="Times New Roman"/>
                <w:sz w:val="20"/>
                <w:szCs w:val="20"/>
              </w:rPr>
            </w:pPr>
            <w:r>
              <w:rPr>
                <w:rFonts w:eastAsia="Times New Roman"/>
                <w:sz w:val="20"/>
                <w:szCs w:val="20"/>
              </w:rPr>
              <w:t>13,084</w:t>
            </w:r>
          </w:p>
        </w:tc>
        <w:tc>
          <w:tcPr>
            <w:tcW w:w="50" w:type="pct"/>
            <w:tcBorders>
              <w:bottom w:val="nil"/>
            </w:tcBorders>
            <w:shd w:val="clear" w:color="auto" w:fill="CCEEFF"/>
            <w:vAlign w:val="bottom"/>
            <w:hideMark/>
          </w:tcPr>
          <w:p w14:paraId="4C0662E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C0C71B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4732563" w14:textId="77777777" w:rsidR="00000000" w:rsidRDefault="0053651E">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006E31BE" w14:textId="77777777" w:rsidR="00000000" w:rsidRDefault="0053651E">
            <w:pPr>
              <w:jc w:val="right"/>
              <w:rPr>
                <w:rFonts w:eastAsia="Times New Roman"/>
                <w:sz w:val="20"/>
                <w:szCs w:val="20"/>
              </w:rPr>
            </w:pPr>
            <w:r>
              <w:rPr>
                <w:rFonts w:eastAsia="Times New Roman"/>
                <w:sz w:val="20"/>
                <w:szCs w:val="20"/>
              </w:rPr>
              <w:t>13,375</w:t>
            </w:r>
          </w:p>
        </w:tc>
        <w:tc>
          <w:tcPr>
            <w:tcW w:w="50" w:type="pct"/>
            <w:tcBorders>
              <w:bottom w:val="nil"/>
            </w:tcBorders>
            <w:shd w:val="clear" w:color="auto" w:fill="CCEEFF"/>
            <w:vAlign w:val="bottom"/>
            <w:hideMark/>
          </w:tcPr>
          <w:p w14:paraId="1E76F35C" w14:textId="77777777" w:rsidR="00000000" w:rsidRDefault="0053651E">
            <w:pPr>
              <w:rPr>
                <w:rFonts w:eastAsia="Times New Roman"/>
                <w:sz w:val="20"/>
                <w:szCs w:val="20"/>
              </w:rPr>
            </w:pPr>
            <w:r>
              <w:rPr>
                <w:rFonts w:eastAsia="Times New Roman"/>
                <w:sz w:val="20"/>
                <w:szCs w:val="20"/>
              </w:rPr>
              <w:t> </w:t>
            </w:r>
          </w:p>
        </w:tc>
      </w:tr>
      <w:tr w:rsidR="00000000" w14:paraId="65515E94" w14:textId="77777777">
        <w:trPr>
          <w:tblCellSpacing w:w="0" w:type="dxa"/>
        </w:trPr>
        <w:tc>
          <w:tcPr>
            <w:tcW w:w="0" w:type="auto"/>
            <w:shd w:val="clear" w:color="auto" w:fill="FFFFFF"/>
            <w:vAlign w:val="bottom"/>
            <w:hideMark/>
          </w:tcPr>
          <w:p w14:paraId="6B6412D7" w14:textId="77777777" w:rsidR="00000000" w:rsidRDefault="0053651E">
            <w:pPr>
              <w:pStyle w:val="a3"/>
              <w:spacing w:before="0" w:beforeAutospacing="0" w:after="0" w:afterAutospacing="0"/>
              <w:rPr>
                <w:sz w:val="20"/>
                <w:szCs w:val="20"/>
              </w:rPr>
            </w:pPr>
            <w:r>
              <w:rPr>
                <w:sz w:val="20"/>
                <w:szCs w:val="20"/>
              </w:rPr>
              <w:t>Deferred tax liabilities</w:t>
            </w:r>
          </w:p>
        </w:tc>
        <w:tc>
          <w:tcPr>
            <w:tcW w:w="50" w:type="pct"/>
            <w:shd w:val="clear" w:color="auto" w:fill="FFFFFF"/>
            <w:tcMar>
              <w:top w:w="0" w:type="dxa"/>
              <w:left w:w="0" w:type="dxa"/>
              <w:bottom w:w="15" w:type="dxa"/>
              <w:right w:w="0" w:type="dxa"/>
            </w:tcMar>
            <w:vAlign w:val="bottom"/>
            <w:hideMark/>
          </w:tcPr>
          <w:p w14:paraId="7933A6A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D8D723E"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6648E10" w14:textId="77777777" w:rsidR="00000000" w:rsidRDefault="0053651E">
            <w:pPr>
              <w:jc w:val="right"/>
              <w:rPr>
                <w:rFonts w:eastAsia="Times New Roman"/>
                <w:sz w:val="20"/>
                <w:szCs w:val="20"/>
              </w:rPr>
            </w:pPr>
            <w:r>
              <w:rPr>
                <w:rFonts w:eastAsia="Times New Roman"/>
                <w:sz w:val="20"/>
                <w:szCs w:val="20"/>
              </w:rPr>
              <w:t>(12,844</w:t>
            </w:r>
          </w:p>
        </w:tc>
        <w:tc>
          <w:tcPr>
            <w:tcW w:w="50" w:type="pct"/>
            <w:shd w:val="clear" w:color="auto" w:fill="FFFFFF"/>
            <w:tcMar>
              <w:top w:w="0" w:type="dxa"/>
              <w:left w:w="0" w:type="dxa"/>
              <w:bottom w:w="15" w:type="dxa"/>
              <w:right w:w="0" w:type="dxa"/>
            </w:tcMar>
            <w:vAlign w:val="bottom"/>
            <w:hideMark/>
          </w:tcPr>
          <w:p w14:paraId="1AAAD7F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72C555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AD26A9A"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25509626" w14:textId="77777777" w:rsidR="00000000" w:rsidRDefault="0053651E">
            <w:pPr>
              <w:jc w:val="right"/>
              <w:rPr>
                <w:rFonts w:eastAsia="Times New Roman"/>
                <w:sz w:val="20"/>
                <w:szCs w:val="20"/>
              </w:rPr>
            </w:pPr>
            <w:r>
              <w:rPr>
                <w:rFonts w:eastAsia="Times New Roman"/>
                <w:sz w:val="20"/>
                <w:szCs w:val="20"/>
              </w:rPr>
              <w:t>(12,768</w:t>
            </w:r>
          </w:p>
        </w:tc>
        <w:tc>
          <w:tcPr>
            <w:tcW w:w="50" w:type="pct"/>
            <w:shd w:val="clear" w:color="auto" w:fill="FFFFFF"/>
            <w:tcMar>
              <w:top w:w="0" w:type="dxa"/>
              <w:left w:w="0" w:type="dxa"/>
              <w:bottom w:w="15" w:type="dxa"/>
              <w:right w:w="0" w:type="dxa"/>
            </w:tcMar>
            <w:vAlign w:val="bottom"/>
            <w:hideMark/>
          </w:tcPr>
          <w:p w14:paraId="1F9D018E" w14:textId="77777777" w:rsidR="00000000" w:rsidRDefault="0053651E">
            <w:pPr>
              <w:rPr>
                <w:rFonts w:eastAsia="Times New Roman"/>
                <w:sz w:val="20"/>
                <w:szCs w:val="20"/>
              </w:rPr>
            </w:pPr>
            <w:r>
              <w:rPr>
                <w:rFonts w:eastAsia="Times New Roman"/>
                <w:sz w:val="20"/>
                <w:szCs w:val="20"/>
              </w:rPr>
              <w:t>)</w:t>
            </w:r>
          </w:p>
        </w:tc>
      </w:tr>
      <w:tr w:rsidR="00000000" w14:paraId="1A32532F" w14:textId="77777777">
        <w:trPr>
          <w:tblCellSpacing w:w="0" w:type="dxa"/>
        </w:trPr>
        <w:tc>
          <w:tcPr>
            <w:tcW w:w="0" w:type="auto"/>
            <w:shd w:val="clear" w:color="auto" w:fill="CCEEFF"/>
            <w:vAlign w:val="bottom"/>
            <w:hideMark/>
          </w:tcPr>
          <w:p w14:paraId="7DA6443B" w14:textId="77777777" w:rsidR="00000000" w:rsidRDefault="0053651E">
            <w:pPr>
              <w:pStyle w:val="a3"/>
              <w:spacing w:before="0" w:beforeAutospacing="0" w:after="0" w:afterAutospacing="0"/>
              <w:rPr>
                <w:sz w:val="20"/>
                <w:szCs w:val="20"/>
              </w:rPr>
            </w:pPr>
            <w:r>
              <w:rPr>
                <w:sz w:val="20"/>
                <w:szCs w:val="20"/>
              </w:rPr>
              <w:t>Net deferred tax assets</w:t>
            </w:r>
          </w:p>
        </w:tc>
        <w:tc>
          <w:tcPr>
            <w:tcW w:w="50" w:type="pct"/>
            <w:shd w:val="clear" w:color="auto" w:fill="CCEEFF"/>
            <w:vAlign w:val="bottom"/>
            <w:hideMark/>
          </w:tcPr>
          <w:p w14:paraId="6E947DE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1AFB58D"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5CD4D4F0" w14:textId="77777777" w:rsidR="00000000" w:rsidRDefault="0053651E">
            <w:pPr>
              <w:jc w:val="right"/>
              <w:rPr>
                <w:rFonts w:eastAsia="Times New Roman"/>
                <w:sz w:val="20"/>
                <w:szCs w:val="20"/>
              </w:rPr>
            </w:pPr>
            <w:r>
              <w:rPr>
                <w:rFonts w:eastAsia="Times New Roman"/>
                <w:sz w:val="20"/>
                <w:szCs w:val="20"/>
              </w:rPr>
              <w:t>240</w:t>
            </w:r>
          </w:p>
        </w:tc>
        <w:tc>
          <w:tcPr>
            <w:tcW w:w="50" w:type="pct"/>
            <w:shd w:val="clear" w:color="auto" w:fill="CCEEFF"/>
            <w:tcMar>
              <w:top w:w="0" w:type="dxa"/>
              <w:left w:w="0" w:type="dxa"/>
              <w:bottom w:w="45" w:type="dxa"/>
              <w:right w:w="0" w:type="dxa"/>
            </w:tcMar>
            <w:vAlign w:val="bottom"/>
            <w:hideMark/>
          </w:tcPr>
          <w:p w14:paraId="6BF9D8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F5592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1696B4E"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24467637" w14:textId="77777777" w:rsidR="00000000" w:rsidRDefault="0053651E">
            <w:pPr>
              <w:jc w:val="right"/>
              <w:rPr>
                <w:rFonts w:eastAsia="Times New Roman"/>
                <w:sz w:val="20"/>
                <w:szCs w:val="20"/>
              </w:rPr>
            </w:pPr>
            <w:r>
              <w:rPr>
                <w:rFonts w:eastAsia="Times New Roman"/>
                <w:sz w:val="20"/>
                <w:szCs w:val="20"/>
              </w:rPr>
              <w:t>607</w:t>
            </w:r>
          </w:p>
        </w:tc>
        <w:tc>
          <w:tcPr>
            <w:tcW w:w="50" w:type="pct"/>
            <w:shd w:val="clear" w:color="auto" w:fill="CCEEFF"/>
            <w:tcMar>
              <w:top w:w="0" w:type="dxa"/>
              <w:left w:w="0" w:type="dxa"/>
              <w:bottom w:w="45" w:type="dxa"/>
              <w:right w:w="0" w:type="dxa"/>
            </w:tcMar>
            <w:vAlign w:val="bottom"/>
            <w:hideMark/>
          </w:tcPr>
          <w:p w14:paraId="3E31DE84" w14:textId="77777777" w:rsidR="00000000" w:rsidRDefault="0053651E">
            <w:pPr>
              <w:rPr>
                <w:rFonts w:eastAsia="Times New Roman"/>
                <w:sz w:val="20"/>
                <w:szCs w:val="20"/>
              </w:rPr>
            </w:pPr>
            <w:r>
              <w:rPr>
                <w:rFonts w:eastAsia="Times New Roman"/>
                <w:sz w:val="20"/>
                <w:szCs w:val="20"/>
              </w:rPr>
              <w:t> </w:t>
            </w:r>
          </w:p>
        </w:tc>
      </w:tr>
    </w:tbl>
    <w:p w14:paraId="17ADF4C3" w14:textId="77777777" w:rsidR="00000000" w:rsidRDefault="0053651E">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E5339B7" w14:textId="77777777">
        <w:trPr>
          <w:tblCellSpacing w:w="0" w:type="dxa"/>
        </w:trPr>
        <w:tc>
          <w:tcPr>
            <w:tcW w:w="360" w:type="dxa"/>
            <w:vAlign w:val="center"/>
            <w:hideMark/>
          </w:tcPr>
          <w:p w14:paraId="0793A9A5" w14:textId="77777777" w:rsidR="00000000" w:rsidRDefault="0053651E">
            <w:pPr>
              <w:rPr>
                <w:rFonts w:eastAsia="Times New Roman"/>
                <w:sz w:val="20"/>
                <w:szCs w:val="20"/>
              </w:rPr>
            </w:pPr>
            <w:r>
              <w:rPr>
                <w:rFonts w:eastAsia="Times New Roman"/>
                <w:sz w:val="20"/>
                <w:szCs w:val="20"/>
              </w:rPr>
              <w:t> </w:t>
            </w:r>
          </w:p>
        </w:tc>
        <w:tc>
          <w:tcPr>
            <w:tcW w:w="360" w:type="dxa"/>
            <w:hideMark/>
          </w:tcPr>
          <w:p w14:paraId="46DFD963"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14A37885" w14:textId="77777777" w:rsidR="00000000" w:rsidRDefault="0053651E">
            <w:pPr>
              <w:pStyle w:val="a3"/>
              <w:spacing w:before="0" w:beforeAutospacing="0" w:after="0" w:afterAutospacing="0"/>
              <w:jc w:val="both"/>
              <w:rPr>
                <w:sz w:val="20"/>
                <w:szCs w:val="20"/>
              </w:rPr>
            </w:pPr>
            <w:r>
              <w:rPr>
                <w:sz w:val="20"/>
                <w:szCs w:val="20"/>
              </w:rPr>
              <w:t>Expiration dates ranging from</w:t>
            </w:r>
            <w:r>
              <w:rPr>
                <w:sz w:val="20"/>
                <w:szCs w:val="20"/>
              </w:rPr>
              <w:t xml:space="preserve"> </w:t>
            </w:r>
            <w:r>
              <w:rPr>
                <w:rStyle w:val="a6"/>
                <w:i w:val="0"/>
                <w:iCs w:val="0"/>
                <w:sz w:val="20"/>
                <w:szCs w:val="20"/>
              </w:rPr>
              <w:t>2021</w:t>
            </w:r>
            <w:r>
              <w:rPr>
                <w:sz w:val="20"/>
                <w:szCs w:val="20"/>
              </w:rPr>
              <w:t xml:space="preserve"> to</w:t>
            </w:r>
            <w:r>
              <w:rPr>
                <w:sz w:val="20"/>
                <w:szCs w:val="20"/>
              </w:rPr>
              <w:t xml:space="preserve"> </w:t>
            </w:r>
            <w:r>
              <w:rPr>
                <w:rStyle w:val="a6"/>
                <w:i w:val="0"/>
                <w:iCs w:val="0"/>
                <w:sz w:val="20"/>
                <w:szCs w:val="20"/>
              </w:rPr>
              <w:t>2032.</w:t>
            </w:r>
          </w:p>
        </w:tc>
      </w:tr>
    </w:tbl>
    <w:p w14:paraId="39DA128C"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97026E7" w14:textId="77777777">
        <w:trPr>
          <w:tblCellSpacing w:w="0" w:type="dxa"/>
        </w:trPr>
        <w:tc>
          <w:tcPr>
            <w:tcW w:w="360" w:type="dxa"/>
            <w:vAlign w:val="center"/>
            <w:hideMark/>
          </w:tcPr>
          <w:p w14:paraId="7E06625E" w14:textId="77777777" w:rsidR="00000000" w:rsidRDefault="0053651E">
            <w:pPr>
              <w:rPr>
                <w:rFonts w:eastAsia="Times New Roman"/>
                <w:sz w:val="20"/>
                <w:szCs w:val="20"/>
              </w:rPr>
            </w:pPr>
            <w:r>
              <w:rPr>
                <w:rFonts w:eastAsia="Times New Roman"/>
                <w:sz w:val="20"/>
                <w:szCs w:val="20"/>
              </w:rPr>
              <w:t> </w:t>
            </w:r>
          </w:p>
        </w:tc>
        <w:tc>
          <w:tcPr>
            <w:tcW w:w="360" w:type="dxa"/>
            <w:hideMark/>
          </w:tcPr>
          <w:p w14:paraId="55F8A45C"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3EC65322" w14:textId="77777777" w:rsidR="00000000" w:rsidRDefault="0053651E">
            <w:pPr>
              <w:pStyle w:val="a3"/>
              <w:spacing w:before="0" w:beforeAutospacing="0" w:after="0" w:afterAutospacing="0"/>
              <w:jc w:val="both"/>
              <w:rPr>
                <w:sz w:val="20"/>
                <w:szCs w:val="20"/>
              </w:rPr>
            </w:pPr>
            <w:r>
              <w:rPr>
                <w:sz w:val="20"/>
                <w:szCs w:val="20"/>
              </w:rPr>
              <w:t>Expiration dates ranging from</w:t>
            </w:r>
            <w:r>
              <w:rPr>
                <w:sz w:val="20"/>
                <w:szCs w:val="20"/>
              </w:rPr>
              <w:t xml:space="preserve"> </w:t>
            </w:r>
            <w:r>
              <w:rPr>
                <w:rStyle w:val="a6"/>
                <w:i w:val="0"/>
                <w:iCs w:val="0"/>
                <w:sz w:val="20"/>
                <w:szCs w:val="20"/>
              </w:rPr>
              <w:t>2027</w:t>
            </w:r>
            <w:r>
              <w:rPr>
                <w:sz w:val="20"/>
                <w:szCs w:val="20"/>
              </w:rPr>
              <w:t xml:space="preserve"> to</w:t>
            </w:r>
            <w:r>
              <w:rPr>
                <w:sz w:val="20"/>
                <w:szCs w:val="20"/>
              </w:rPr>
              <w:t xml:space="preserve"> </w:t>
            </w:r>
            <w:r>
              <w:rPr>
                <w:rStyle w:val="a6"/>
                <w:i w:val="0"/>
                <w:iCs w:val="0"/>
                <w:sz w:val="20"/>
                <w:szCs w:val="20"/>
              </w:rPr>
              <w:t>2035</w:t>
            </w:r>
            <w:r>
              <w:rPr>
                <w:sz w:val="20"/>
                <w:szCs w:val="20"/>
              </w:rPr>
              <w:t xml:space="preserve"> and tax year</w:t>
            </w:r>
            <w:r>
              <w:rPr>
                <w:sz w:val="20"/>
                <w:szCs w:val="20"/>
              </w:rPr>
              <w:t xml:space="preserve"> </w:t>
            </w:r>
            <w:r>
              <w:rPr>
                <w:rStyle w:val="a6"/>
                <w:i w:val="0"/>
                <w:iCs w:val="0"/>
                <w:sz w:val="20"/>
                <w:szCs w:val="20"/>
              </w:rPr>
              <w:t>2018</w:t>
            </w:r>
            <w:r>
              <w:rPr>
                <w:sz w:val="20"/>
                <w:szCs w:val="20"/>
              </w:rPr>
              <w:t xml:space="preserve"> </w:t>
            </w:r>
            <w:r>
              <w:rPr>
                <w:sz w:val="20"/>
                <w:szCs w:val="20"/>
              </w:rPr>
              <w:t>includes alternative minimum tax credit carryovers of $3.5 million that did</w:t>
            </w:r>
            <w:r>
              <w:rPr>
                <w:sz w:val="20"/>
                <w:szCs w:val="20"/>
              </w:rPr>
              <w:t xml:space="preserve"> </w:t>
            </w:r>
            <w:r>
              <w:rPr>
                <w:rStyle w:val="a6"/>
                <w:i w:val="0"/>
                <w:iCs w:val="0"/>
                <w:sz w:val="20"/>
                <w:szCs w:val="20"/>
              </w:rPr>
              <w:t>not</w:t>
            </w:r>
            <w:r>
              <w:rPr>
                <w:sz w:val="20"/>
                <w:szCs w:val="20"/>
              </w:rPr>
              <w:t xml:space="preserve"> expire. The alternative minimum tax credits were recognized in</w:t>
            </w:r>
            <w:r>
              <w:rPr>
                <w:sz w:val="20"/>
                <w:szCs w:val="20"/>
              </w:rPr>
              <w:t xml:space="preserve"> </w:t>
            </w:r>
            <w:r>
              <w:rPr>
                <w:rStyle w:val="a6"/>
                <w:i w:val="0"/>
                <w:iCs w:val="0"/>
                <w:sz w:val="20"/>
                <w:szCs w:val="20"/>
              </w:rPr>
              <w:t>2019.</w:t>
            </w:r>
          </w:p>
        </w:tc>
      </w:tr>
    </w:tbl>
    <w:p w14:paraId="3E9146CE" w14:textId="77777777" w:rsidR="00000000" w:rsidRDefault="0053651E">
      <w:pPr>
        <w:pStyle w:val="a3"/>
        <w:spacing w:before="0" w:beforeAutospacing="0" w:after="0" w:afterAutospacing="0"/>
        <w:ind w:left="360"/>
        <w:jc w:val="both"/>
        <w:rPr>
          <w:sz w:val="20"/>
          <w:szCs w:val="20"/>
        </w:rPr>
      </w:pPr>
      <w:r>
        <w:rPr>
          <w:sz w:val="20"/>
          <w:szCs w:val="20"/>
        </w:rPr>
        <w:t> </w:t>
      </w:r>
    </w:p>
    <w:p w14:paraId="66563356" w14:textId="77777777" w:rsidR="00000000" w:rsidRDefault="0053651E">
      <w:pPr>
        <w:pStyle w:val="a3"/>
        <w:spacing w:before="0" w:beforeAutospacing="0" w:after="0" w:afterAutospacing="0"/>
        <w:ind w:left="360"/>
        <w:jc w:val="both"/>
        <w:rPr>
          <w:sz w:val="20"/>
          <w:szCs w:val="20"/>
        </w:rPr>
      </w:pPr>
      <w:r>
        <w:rPr>
          <w:sz w:val="20"/>
          <w:szCs w:val="20"/>
        </w:rPr>
        <w:t xml:space="preserve">The major differences between the GAAP basis of accounting and the basis of accounting used for federal </w:t>
      </w:r>
      <w:r>
        <w:rPr>
          <w:sz w:val="20"/>
          <w:szCs w:val="20"/>
        </w:rPr>
        <w:t>and state income tax reporting consist of impairment charges recorded for GAAP purposes, but</w:t>
      </w:r>
      <w:r>
        <w:rPr>
          <w:sz w:val="20"/>
          <w:szCs w:val="20"/>
        </w:rPr>
        <w:t xml:space="preserve"> </w:t>
      </w:r>
      <w:r>
        <w:rPr>
          <w:rStyle w:val="a6"/>
          <w:i w:val="0"/>
          <w:iCs w:val="0"/>
          <w:sz w:val="20"/>
          <w:szCs w:val="20"/>
        </w:rPr>
        <w:t>not</w:t>
      </w:r>
      <w:r>
        <w:rPr>
          <w:sz w:val="20"/>
          <w:szCs w:val="20"/>
        </w:rPr>
        <w:t xml:space="preserve"> recognized for tax purposes, depreciation and amortization, rental revenue recognized on the straight-line method for GAAP, reserves for doubtful accounts, abo</w:t>
      </w:r>
      <w:r>
        <w:rPr>
          <w:sz w:val="20"/>
          <w:szCs w:val="20"/>
        </w:rPr>
        <w:t>ve-market and below-market lease amortization, differences in GAAP and tax basis of assets sold, and the period in which certain gains were recognized for tax purposes, but</w:t>
      </w:r>
      <w:r>
        <w:rPr>
          <w:sz w:val="20"/>
          <w:szCs w:val="20"/>
        </w:rPr>
        <w:t xml:space="preserve"> </w:t>
      </w:r>
      <w:r>
        <w:rPr>
          <w:rStyle w:val="a6"/>
          <w:i w:val="0"/>
          <w:iCs w:val="0"/>
          <w:sz w:val="20"/>
          <w:szCs w:val="20"/>
        </w:rPr>
        <w:t>not</w:t>
      </w:r>
      <w:r>
        <w:rPr>
          <w:sz w:val="20"/>
          <w:szCs w:val="20"/>
        </w:rPr>
        <w:t xml:space="preserve"> yet recognized under GAAP.</w:t>
      </w:r>
    </w:p>
    <w:p w14:paraId="13FC56AB" w14:textId="77777777" w:rsidR="00000000" w:rsidRDefault="0053651E">
      <w:pPr>
        <w:pStyle w:val="a3"/>
        <w:spacing w:before="0" w:beforeAutospacing="0" w:after="0" w:afterAutospacing="0"/>
        <w:ind w:left="360"/>
        <w:jc w:val="both"/>
        <w:rPr>
          <w:sz w:val="20"/>
          <w:szCs w:val="20"/>
        </w:rPr>
      </w:pPr>
      <w:r>
        <w:rPr>
          <w:sz w:val="20"/>
          <w:szCs w:val="20"/>
        </w:rPr>
        <w:t> </w:t>
      </w:r>
    </w:p>
    <w:p w14:paraId="52958B3A" w14:textId="77777777" w:rsidR="00000000" w:rsidRDefault="0053651E">
      <w:pPr>
        <w:pStyle w:val="a3"/>
        <w:spacing w:before="0" w:beforeAutospacing="0" w:after="0" w:afterAutospacing="0"/>
        <w:ind w:left="360"/>
        <w:jc w:val="both"/>
        <w:rPr>
          <w:sz w:val="20"/>
          <w:szCs w:val="20"/>
        </w:rPr>
      </w:pPr>
      <w:r>
        <w:rPr>
          <w:sz w:val="20"/>
          <w:szCs w:val="20"/>
        </w:rPr>
        <w:t>Deferred tax assets and deferred tax liabilities a</w:t>
      </w:r>
      <w:r>
        <w:rPr>
          <w:sz w:val="20"/>
          <w:szCs w:val="20"/>
        </w:rPr>
        <w:t>re included in the captions Other assets and Other liabilities on the Company's Consolidated Balance Sheets at</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Operating losses and the valuation allowance are related primarily to the Company’s consolidation of its TRSs for acc</w:t>
      </w:r>
      <w:r>
        <w:rPr>
          <w:sz w:val="20"/>
          <w:szCs w:val="20"/>
        </w:rPr>
        <w:t>ounting and reporting purposes.</w:t>
      </w:r>
    </w:p>
    <w:p w14:paraId="4E0B173F" w14:textId="77777777" w:rsidR="00000000" w:rsidRDefault="0053651E">
      <w:pPr>
        <w:pStyle w:val="a3"/>
        <w:spacing w:before="0" w:beforeAutospacing="0" w:after="0" w:afterAutospacing="0"/>
        <w:ind w:left="360"/>
        <w:jc w:val="both"/>
        <w:rPr>
          <w:sz w:val="20"/>
          <w:szCs w:val="20"/>
        </w:rPr>
      </w:pPr>
      <w:r>
        <w:rPr>
          <w:sz w:val="20"/>
          <w:szCs w:val="20"/>
        </w:rPr>
        <w:t> </w:t>
      </w:r>
    </w:p>
    <w:p w14:paraId="1A87AA4D" w14:textId="77777777" w:rsidR="00000000" w:rsidRDefault="0053651E">
      <w:pPr>
        <w:pStyle w:val="a3"/>
        <w:spacing w:before="0" w:beforeAutospacing="0" w:after="0" w:afterAutospacing="0"/>
        <w:ind w:left="360"/>
        <w:jc w:val="both"/>
        <w:rPr>
          <w:sz w:val="20"/>
          <w:szCs w:val="20"/>
        </w:rPr>
      </w:pPr>
      <w:r>
        <w:rPr>
          <w:sz w:val="20"/>
          <w:szCs w:val="20"/>
        </w:rPr>
        <w:t>Under GAAP a reduction of the carrying amounts of deferred tax assets by a valuation allowance is required, if, based on the evidence available, it is more likely than</w:t>
      </w:r>
      <w:r>
        <w:rPr>
          <w:sz w:val="20"/>
          <w:szCs w:val="20"/>
        </w:rPr>
        <w:t xml:space="preserve"> </w:t>
      </w:r>
      <w:r>
        <w:rPr>
          <w:rStyle w:val="a6"/>
          <w:i w:val="0"/>
          <w:iCs w:val="0"/>
          <w:sz w:val="20"/>
          <w:szCs w:val="20"/>
        </w:rPr>
        <w:t>not</w:t>
      </w:r>
      <w:r>
        <w:rPr>
          <w:sz w:val="20"/>
          <w:szCs w:val="20"/>
        </w:rPr>
        <w:t xml:space="preserve"> (a likelihood of more than</w:t>
      </w:r>
      <w:r>
        <w:rPr>
          <w:sz w:val="20"/>
          <w:szCs w:val="20"/>
        </w:rPr>
        <w:t xml:space="preserve"> </w:t>
      </w:r>
      <w:r>
        <w:rPr>
          <w:rStyle w:val="a6"/>
          <w:i w:val="0"/>
          <w:iCs w:val="0"/>
          <w:sz w:val="20"/>
          <w:szCs w:val="20"/>
        </w:rPr>
        <w:t>50%</w:t>
      </w:r>
      <w:r>
        <w:rPr>
          <w:sz w:val="20"/>
          <w:szCs w:val="20"/>
        </w:rPr>
        <w:t xml:space="preserve">) that some portion </w:t>
      </w:r>
      <w:r>
        <w:rPr>
          <w:sz w:val="20"/>
          <w:szCs w:val="20"/>
        </w:rPr>
        <w:t>or all of the deferred tax assets will</w:t>
      </w:r>
      <w:r>
        <w:rPr>
          <w:sz w:val="20"/>
          <w:szCs w:val="20"/>
        </w:rPr>
        <w:t xml:space="preserve"> </w:t>
      </w:r>
      <w:r>
        <w:rPr>
          <w:rStyle w:val="a6"/>
          <w:i w:val="0"/>
          <w:iCs w:val="0"/>
          <w:sz w:val="20"/>
          <w:szCs w:val="20"/>
        </w:rPr>
        <w:t>not</w:t>
      </w:r>
      <w:r>
        <w:rPr>
          <w:sz w:val="20"/>
          <w:szCs w:val="20"/>
        </w:rPr>
        <w:t xml:space="preserve"> be realized.  The valuation allowance should be sufficient to reduce the deferred tax asset to the amount that is more likely than</w:t>
      </w:r>
      <w:r>
        <w:rPr>
          <w:sz w:val="20"/>
          <w:szCs w:val="20"/>
        </w:rPr>
        <w:t xml:space="preserve"> </w:t>
      </w:r>
      <w:r>
        <w:rPr>
          <w:rStyle w:val="a6"/>
          <w:i w:val="0"/>
          <w:iCs w:val="0"/>
          <w:sz w:val="20"/>
          <w:szCs w:val="20"/>
        </w:rPr>
        <w:t>not</w:t>
      </w:r>
      <w:r>
        <w:rPr>
          <w:sz w:val="20"/>
          <w:szCs w:val="20"/>
        </w:rPr>
        <w:t xml:space="preserve"> to be realized. Effective</w:t>
      </w:r>
      <w:r>
        <w:rPr>
          <w:sz w:val="20"/>
          <w:szCs w:val="20"/>
        </w:rPr>
        <w:t xml:space="preserve"> </w:t>
      </w:r>
      <w:r>
        <w:rPr>
          <w:rStyle w:val="a6"/>
          <w:i w:val="0"/>
          <w:iCs w:val="0"/>
          <w:sz w:val="20"/>
          <w:szCs w:val="20"/>
        </w:rPr>
        <w:t xml:space="preserve">August 1, 2016, </w:t>
      </w:r>
      <w:r>
        <w:rPr>
          <w:sz w:val="20"/>
          <w:szCs w:val="20"/>
        </w:rPr>
        <w:t>the Company merged Kimco Realty Serv</w:t>
      </w:r>
      <w:r>
        <w:rPr>
          <w:sz w:val="20"/>
          <w:szCs w:val="20"/>
        </w:rPr>
        <w:t>ices, Inc. (“KRSI”), a TRS holding REIT qualifying real estate, into a wholly owned LLC (the “Merger”) and KRSI was dissolved. As a result of the Merger, the Company determined that the realization of its then net deferred tax assets was</w:t>
      </w:r>
      <w:r>
        <w:rPr>
          <w:sz w:val="20"/>
          <w:szCs w:val="20"/>
        </w:rPr>
        <w:t xml:space="preserve"> </w:t>
      </w:r>
      <w:r>
        <w:rPr>
          <w:rStyle w:val="a6"/>
          <w:i w:val="0"/>
          <w:iCs w:val="0"/>
          <w:sz w:val="20"/>
          <w:szCs w:val="20"/>
        </w:rPr>
        <w:t>not</w:t>
      </w:r>
      <w:r>
        <w:rPr>
          <w:sz w:val="20"/>
          <w:szCs w:val="20"/>
        </w:rPr>
        <w:t xml:space="preserve"> deemed more li</w:t>
      </w:r>
      <w:r>
        <w:rPr>
          <w:sz w:val="20"/>
          <w:szCs w:val="20"/>
        </w:rPr>
        <w:t>kely than</w:t>
      </w:r>
      <w:r>
        <w:rPr>
          <w:sz w:val="20"/>
          <w:szCs w:val="20"/>
        </w:rPr>
        <w:t xml:space="preserve"> </w:t>
      </w:r>
      <w:r>
        <w:rPr>
          <w:rStyle w:val="a6"/>
          <w:i w:val="0"/>
          <w:iCs w:val="0"/>
          <w:sz w:val="20"/>
          <w:szCs w:val="20"/>
        </w:rPr>
        <w:t>not</w:t>
      </w:r>
      <w:r>
        <w:rPr>
          <w:sz w:val="20"/>
          <w:szCs w:val="20"/>
        </w:rPr>
        <w:t xml:space="preserve"> and as such, the Company recorded a full valuation allowance against these net deferred tax assets that existed at the time of the Merger.</w:t>
      </w:r>
    </w:p>
    <w:p w14:paraId="619CFA5A" w14:textId="77777777" w:rsidR="00000000" w:rsidRDefault="0053651E">
      <w:pPr>
        <w:pStyle w:val="a3"/>
        <w:spacing w:before="0" w:beforeAutospacing="0" w:after="0" w:afterAutospacing="0"/>
        <w:ind w:left="360"/>
        <w:jc w:val="both"/>
        <w:rPr>
          <w:sz w:val="20"/>
          <w:szCs w:val="20"/>
        </w:rPr>
      </w:pPr>
      <w:r>
        <w:rPr>
          <w:sz w:val="20"/>
          <w:szCs w:val="20"/>
        </w:rPr>
        <w:t> </w:t>
      </w:r>
    </w:p>
    <w:p w14:paraId="5E3D393E" w14:textId="77777777" w:rsidR="00000000" w:rsidRDefault="0053651E">
      <w:pPr>
        <w:pStyle w:val="a3"/>
        <w:spacing w:before="0" w:beforeAutospacing="0" w:after="0" w:afterAutospacing="0"/>
        <w:ind w:left="360"/>
        <w:jc w:val="both"/>
        <w:rPr>
          <w:sz w:val="20"/>
          <w:szCs w:val="20"/>
        </w:rPr>
      </w:pPr>
      <w:r>
        <w:rPr>
          <w:sz w:val="20"/>
          <w:szCs w:val="20"/>
        </w:rPr>
        <w:t>The Company prepared an analysis of the tax basis built-in tax gain or built-in loss inherent in each</w:t>
      </w:r>
      <w:r>
        <w:rPr>
          <w:sz w:val="20"/>
          <w:szCs w:val="20"/>
        </w:rPr>
        <w:t xml:space="preserve"> asset acquired from KRSI in the Merger. Assets of a TRS that become REIT assets in a merger transaction of the type entered into by the Company and KRSI are subject to corporate tax on the aggregate net built-in gain (built-in gains in excess of built-in </w:t>
      </w:r>
      <w:r>
        <w:rPr>
          <w:sz w:val="20"/>
          <w:szCs w:val="20"/>
        </w:rPr>
        <w:t>losses) during a recognition period. Accordingly, the Company is subject to corporate-level taxation on the aggregate net built-in gain from the sale of KRSI assets within</w:t>
      </w:r>
      <w:r>
        <w:rPr>
          <w:sz w:val="20"/>
          <w:szCs w:val="20"/>
        </w:rPr>
        <w:t xml:space="preserve"> </w:t>
      </w:r>
      <w:r>
        <w:rPr>
          <w:rStyle w:val="a6"/>
          <w:i w:val="0"/>
          <w:iCs w:val="0"/>
          <w:sz w:val="20"/>
          <w:szCs w:val="20"/>
        </w:rPr>
        <w:t>60</w:t>
      </w:r>
      <w:r>
        <w:rPr>
          <w:sz w:val="20"/>
          <w:szCs w:val="20"/>
        </w:rPr>
        <w:t xml:space="preserve"> months from the Merger date (the recognition period). The maximum taxable amount </w:t>
      </w:r>
      <w:r>
        <w:rPr>
          <w:sz w:val="20"/>
          <w:szCs w:val="20"/>
        </w:rPr>
        <w:t>with respect to all merged assets disposed within</w:t>
      </w:r>
      <w:r>
        <w:rPr>
          <w:sz w:val="20"/>
          <w:szCs w:val="20"/>
        </w:rPr>
        <w:t xml:space="preserve"> </w:t>
      </w:r>
      <w:r>
        <w:rPr>
          <w:rStyle w:val="a6"/>
          <w:i w:val="0"/>
          <w:iCs w:val="0"/>
          <w:sz w:val="20"/>
          <w:szCs w:val="20"/>
        </w:rPr>
        <w:t>60</w:t>
      </w:r>
      <w:r>
        <w:rPr>
          <w:sz w:val="20"/>
          <w:szCs w:val="20"/>
        </w:rPr>
        <w:t xml:space="preserve"> months of the Merger is limited to the aggregate net built-in gain at the Merger date. The Company compared fair value to tax basis for each property or asset to determine its built-in gain (value over b</w:t>
      </w:r>
      <w:r>
        <w:rPr>
          <w:sz w:val="20"/>
          <w:szCs w:val="20"/>
        </w:rPr>
        <w:t>asis) or built-in loss (basis over value) which could be subject to corporate level taxes if the Company disposed of the asset previously held by KRSI during the</w:t>
      </w:r>
      <w:r>
        <w:rPr>
          <w:sz w:val="20"/>
          <w:szCs w:val="20"/>
        </w:rPr>
        <w:t xml:space="preserve"> </w:t>
      </w:r>
      <w:r>
        <w:rPr>
          <w:rStyle w:val="a6"/>
          <w:i w:val="0"/>
          <w:iCs w:val="0"/>
          <w:sz w:val="20"/>
          <w:szCs w:val="20"/>
        </w:rPr>
        <w:t>60</w:t>
      </w:r>
      <w:r>
        <w:rPr>
          <w:sz w:val="20"/>
          <w:szCs w:val="20"/>
        </w:rPr>
        <w:t xml:space="preserve"> months following the Merger date. In the event that sales of KRSI assets during the recogni</w:t>
      </w:r>
      <w:r>
        <w:rPr>
          <w:sz w:val="20"/>
          <w:szCs w:val="20"/>
        </w:rPr>
        <w:t>tion period result in corporate level tax, the unrecognized tax benefits reported as deferred tax assets from KRSI will be utilized to reduce the corporate level tax for GAAP purposes.</w:t>
      </w:r>
    </w:p>
    <w:p w14:paraId="6DC9E499" w14:textId="77777777" w:rsidR="00000000" w:rsidRDefault="0053651E">
      <w:pPr>
        <w:pStyle w:val="a3"/>
        <w:spacing w:before="0" w:beforeAutospacing="0" w:after="0" w:afterAutospacing="0"/>
        <w:ind w:left="360"/>
        <w:jc w:val="both"/>
        <w:rPr>
          <w:sz w:val="20"/>
          <w:szCs w:val="20"/>
        </w:rPr>
      </w:pPr>
      <w:r>
        <w:rPr>
          <w:sz w:val="20"/>
          <w:szCs w:val="20"/>
        </w:rPr>
        <w:t> </w:t>
      </w:r>
    </w:p>
    <w:p w14:paraId="7553C30E" w14:textId="77777777" w:rsidR="00000000" w:rsidRDefault="0053651E">
      <w:pPr>
        <w:pStyle w:val="a3"/>
        <w:spacing w:before="0" w:beforeAutospacing="0" w:after="0" w:afterAutospacing="0"/>
        <w:ind w:left="360"/>
        <w:rPr>
          <w:sz w:val="20"/>
          <w:szCs w:val="20"/>
        </w:rPr>
      </w:pPr>
      <w:r>
        <w:rPr>
          <w:i/>
          <w:iCs/>
          <w:sz w:val="20"/>
          <w:szCs w:val="20"/>
        </w:rPr>
        <w:t>Uncertain Tax Positions</w:t>
      </w:r>
    </w:p>
    <w:p w14:paraId="296EEB7F" w14:textId="77777777" w:rsidR="00000000" w:rsidRDefault="0053651E">
      <w:pPr>
        <w:pStyle w:val="a3"/>
        <w:spacing w:before="0" w:beforeAutospacing="0" w:after="0" w:afterAutospacing="0"/>
        <w:ind w:left="360"/>
        <w:jc w:val="both"/>
        <w:rPr>
          <w:sz w:val="20"/>
          <w:szCs w:val="20"/>
        </w:rPr>
      </w:pPr>
      <w:r>
        <w:rPr>
          <w:sz w:val="20"/>
          <w:szCs w:val="20"/>
        </w:rPr>
        <w:t> </w:t>
      </w:r>
    </w:p>
    <w:p w14:paraId="1F4D20E9" w14:textId="77777777" w:rsidR="00000000" w:rsidRDefault="0053651E">
      <w:pPr>
        <w:pStyle w:val="a3"/>
        <w:spacing w:before="0" w:beforeAutospacing="0" w:after="0" w:afterAutospacing="0"/>
        <w:ind w:left="360"/>
        <w:jc w:val="both"/>
        <w:rPr>
          <w:sz w:val="20"/>
          <w:szCs w:val="20"/>
        </w:rPr>
      </w:pPr>
      <w:r>
        <w:rPr>
          <w:sz w:val="20"/>
          <w:szCs w:val="20"/>
        </w:rPr>
        <w:t>The Company is subject to income tax in cer</w:t>
      </w:r>
      <w:r>
        <w:rPr>
          <w:sz w:val="20"/>
          <w:szCs w:val="20"/>
        </w:rPr>
        <w:t>tain jurisdictions outside the U.S., principally Canada and Mexico. The statute of limitations on assessment of tax varies from</w:t>
      </w:r>
      <w:r>
        <w:rPr>
          <w:sz w:val="20"/>
          <w:szCs w:val="20"/>
        </w:rPr>
        <w:t xml:space="preserve"> </w:t>
      </w:r>
      <w:r>
        <w:rPr>
          <w:rStyle w:val="a6"/>
          <w:i w:val="0"/>
          <w:iCs w:val="0"/>
          <w:sz w:val="20"/>
          <w:szCs w:val="20"/>
        </w:rPr>
        <w:t>three</w:t>
      </w:r>
      <w:r>
        <w:rPr>
          <w:sz w:val="20"/>
          <w:szCs w:val="20"/>
        </w:rPr>
        <w:t xml:space="preserve"> to</w:t>
      </w:r>
      <w:r>
        <w:rPr>
          <w:sz w:val="20"/>
          <w:szCs w:val="20"/>
        </w:rPr>
        <w:t xml:space="preserve"> </w:t>
      </w:r>
      <w:r>
        <w:rPr>
          <w:rStyle w:val="a6"/>
          <w:i w:val="0"/>
          <w:iCs w:val="0"/>
          <w:sz w:val="20"/>
          <w:szCs w:val="20"/>
        </w:rPr>
        <w:t>seven</w:t>
      </w:r>
      <w:r>
        <w:rPr>
          <w:sz w:val="20"/>
          <w:szCs w:val="20"/>
        </w:rPr>
        <w:t xml:space="preserve"> years depending on the jurisdiction and tax issue. Tax returns filed in each jurisdiction are subject to examinat</w:t>
      </w:r>
      <w:r>
        <w:rPr>
          <w:sz w:val="20"/>
          <w:szCs w:val="20"/>
        </w:rPr>
        <w:t>ion by local tax authorities. The Company is currently under audit by the Canadian Revenue Agency and Mexican Tax Authority. The resolution of these audits are</w:t>
      </w:r>
      <w:r>
        <w:rPr>
          <w:sz w:val="20"/>
          <w:szCs w:val="20"/>
        </w:rPr>
        <w:t xml:space="preserve"> </w:t>
      </w:r>
      <w:r>
        <w:rPr>
          <w:rStyle w:val="a6"/>
          <w:i w:val="0"/>
          <w:iCs w:val="0"/>
          <w:sz w:val="20"/>
          <w:szCs w:val="20"/>
        </w:rPr>
        <w:t>not</w:t>
      </w:r>
      <w:r>
        <w:rPr>
          <w:sz w:val="20"/>
          <w:szCs w:val="20"/>
        </w:rPr>
        <w:t xml:space="preserve"> expected to have a material effect on the Company’s financial statements. The Company does</w:t>
      </w:r>
      <w:r>
        <w:rPr>
          <w:sz w:val="20"/>
          <w:szCs w:val="20"/>
        </w:rPr>
        <w:t xml:space="preserve"> </w:t>
      </w:r>
      <w:r>
        <w:rPr>
          <w:rStyle w:val="a6"/>
          <w:i w:val="0"/>
          <w:iCs w:val="0"/>
          <w:sz w:val="20"/>
          <w:szCs w:val="20"/>
        </w:rPr>
        <w:t>n</w:t>
      </w:r>
      <w:r>
        <w:rPr>
          <w:rStyle w:val="a6"/>
          <w:i w:val="0"/>
          <w:iCs w:val="0"/>
          <w:sz w:val="20"/>
          <w:szCs w:val="20"/>
        </w:rPr>
        <w:t>ot</w:t>
      </w:r>
      <w:r>
        <w:rPr>
          <w:sz w:val="20"/>
          <w:szCs w:val="20"/>
        </w:rPr>
        <w:t xml:space="preserve"> believe that the total amount of unrecognized tax benefits as of</w:t>
      </w:r>
      <w:r>
        <w:rPr>
          <w:sz w:val="20"/>
          <w:szCs w:val="20"/>
        </w:rPr>
        <w:t xml:space="preserve"> </w:t>
      </w:r>
      <w:r>
        <w:rPr>
          <w:rStyle w:val="a6"/>
          <w:i w:val="0"/>
          <w:iCs w:val="0"/>
          <w:sz w:val="20"/>
          <w:szCs w:val="20"/>
        </w:rPr>
        <w:t xml:space="preserve">December 31, 2019, </w:t>
      </w:r>
      <w:r>
        <w:rPr>
          <w:sz w:val="20"/>
          <w:szCs w:val="20"/>
        </w:rPr>
        <w:t>will significantly increase or decrease within the next</w:t>
      </w:r>
      <w:r>
        <w:rPr>
          <w:sz w:val="20"/>
          <w:szCs w:val="20"/>
        </w:rPr>
        <w:t xml:space="preserve"> </w:t>
      </w:r>
      <w:r>
        <w:rPr>
          <w:rStyle w:val="a6"/>
          <w:i w:val="0"/>
          <w:iCs w:val="0"/>
          <w:sz w:val="20"/>
          <w:szCs w:val="20"/>
        </w:rPr>
        <w:t>12</w:t>
      </w:r>
      <w:r>
        <w:rPr>
          <w:sz w:val="20"/>
          <w:szCs w:val="20"/>
        </w:rPr>
        <w:t xml:space="preserve"> months.</w:t>
      </w:r>
    </w:p>
    <w:p w14:paraId="6CF43FD7" w14:textId="77777777" w:rsidR="00000000" w:rsidRDefault="0053651E">
      <w:pPr>
        <w:pStyle w:val="a3"/>
        <w:spacing w:before="0" w:beforeAutospacing="0" w:after="0" w:afterAutospacing="0"/>
        <w:ind w:left="360"/>
        <w:jc w:val="both"/>
        <w:rPr>
          <w:sz w:val="20"/>
          <w:szCs w:val="20"/>
        </w:rPr>
      </w:pPr>
      <w:r>
        <w:rPr>
          <w:sz w:val="20"/>
          <w:szCs w:val="20"/>
        </w:rPr>
        <w:t> </w:t>
      </w:r>
    </w:p>
    <w:p w14:paraId="714219F5" w14:textId="77777777" w:rsidR="00000000" w:rsidRDefault="0053651E">
      <w:pPr>
        <w:jc w:val="center"/>
        <w:divId w:val="613055633"/>
        <w:rPr>
          <w:rFonts w:eastAsia="Times New Roman"/>
          <w:sz w:val="20"/>
          <w:szCs w:val="20"/>
        </w:rPr>
      </w:pPr>
      <w:r>
        <w:rPr>
          <w:rStyle w:val="a6"/>
          <w:rFonts w:eastAsia="Times New Roman"/>
          <w:i w:val="0"/>
          <w:iCs w:val="0"/>
          <w:sz w:val="20"/>
          <w:szCs w:val="20"/>
        </w:rPr>
        <w:t>84</w:t>
      </w:r>
      <w:r>
        <w:rPr>
          <w:rFonts w:eastAsia="Times New Roman"/>
          <w:sz w:val="20"/>
          <w:szCs w:val="20"/>
        </w:rPr>
        <w:t xml:space="preserve"> </w:t>
      </w:r>
    </w:p>
    <w:p w14:paraId="0FEAB9C7" w14:textId="77777777" w:rsidR="00000000" w:rsidRDefault="0053651E">
      <w:pPr>
        <w:divId w:val="613055633"/>
        <w:rPr>
          <w:rFonts w:eastAsia="Times New Roman"/>
          <w:sz w:val="20"/>
          <w:szCs w:val="20"/>
        </w:rPr>
      </w:pPr>
      <w:r>
        <w:rPr>
          <w:rFonts w:eastAsia="Times New Roman"/>
          <w:sz w:val="20"/>
          <w:szCs w:val="20"/>
        </w:rPr>
        <w:pict w14:anchorId="742244AE">
          <v:rect id="_x0000_i1115" style="width:415.3pt;height:1.5pt" o:hralign="center" o:hrstd="t" o:hrnoshade="t" o:hr="t" fillcolor="black" stroked="f"/>
        </w:pict>
      </w:r>
    </w:p>
    <w:p w14:paraId="3AE5BED1" w14:textId="77777777" w:rsidR="00000000" w:rsidRDefault="0053651E">
      <w:pPr>
        <w:divId w:val="6130556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AD62242" w14:textId="77777777" w:rsidR="00000000" w:rsidRDefault="0053651E">
      <w:pPr>
        <w:pStyle w:val="a3"/>
        <w:spacing w:before="0" w:beforeAutospacing="0" w:after="0" w:afterAutospacing="0"/>
        <w:rPr>
          <w:sz w:val="20"/>
          <w:szCs w:val="20"/>
        </w:rPr>
      </w:pPr>
      <w:r>
        <w:rPr>
          <w:sz w:val="20"/>
          <w:szCs w:val="20"/>
        </w:rPr>
        <w:t> </w:t>
      </w:r>
    </w:p>
    <w:p w14:paraId="23ECF8A6"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550BB465" w14:textId="77777777" w:rsidR="00000000" w:rsidRDefault="0053651E">
      <w:pPr>
        <w:pStyle w:val="a3"/>
        <w:spacing w:before="0" w:beforeAutospacing="0" w:after="0" w:afterAutospacing="0"/>
        <w:jc w:val="center"/>
        <w:rPr>
          <w:sz w:val="20"/>
          <w:szCs w:val="20"/>
        </w:rPr>
      </w:pPr>
      <w:r>
        <w:rPr>
          <w:sz w:val="20"/>
          <w:szCs w:val="20"/>
        </w:rPr>
        <w:t> </w:t>
      </w:r>
    </w:p>
    <w:p w14:paraId="3D147A75"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5AAA655" w14:textId="77777777" w:rsidR="00000000" w:rsidRDefault="0053651E">
      <w:pPr>
        <w:pStyle w:val="a3"/>
        <w:spacing w:before="0" w:beforeAutospacing="0" w:after="0" w:afterAutospacing="0"/>
        <w:rPr>
          <w:sz w:val="20"/>
          <w:szCs w:val="20"/>
        </w:rPr>
      </w:pPr>
      <w:r>
        <w:rPr>
          <w:sz w:val="20"/>
          <w:szCs w:val="20"/>
        </w:rPr>
        <w:t> </w:t>
      </w:r>
    </w:p>
    <w:p w14:paraId="0EBBDDD4" w14:textId="77777777" w:rsidR="00000000" w:rsidRDefault="0053651E">
      <w:pPr>
        <w:pStyle w:val="a3"/>
        <w:spacing w:before="0" w:beforeAutospacing="0" w:after="0" w:afterAutospacing="0"/>
        <w:ind w:left="360"/>
        <w:jc w:val="both"/>
        <w:rPr>
          <w:sz w:val="20"/>
          <w:szCs w:val="20"/>
        </w:rPr>
      </w:pPr>
      <w:r>
        <w:rPr>
          <w:sz w:val="20"/>
          <w:szCs w:val="20"/>
        </w:rPr>
        <w:t>The liability for uncertain tax benefits principally consists of estimated foreign tax liabilities in years for which the statute of limitations is open.</w:t>
      </w:r>
      <w:r>
        <w:rPr>
          <w:sz w:val="20"/>
          <w:szCs w:val="20"/>
        </w:rPr>
        <w:t xml:space="preserve"> Open years range from</w:t>
      </w:r>
      <w:r>
        <w:rPr>
          <w:sz w:val="20"/>
          <w:szCs w:val="20"/>
        </w:rPr>
        <w:t xml:space="preserve"> </w:t>
      </w:r>
      <w:r>
        <w:rPr>
          <w:sz w:val="20"/>
          <w:szCs w:val="20"/>
        </w:rPr>
        <w:t>201</w:t>
      </w:r>
      <w:r>
        <w:rPr>
          <w:sz w:val="20"/>
          <w:szCs w:val="20"/>
        </w:rPr>
        <w:t>0</w:t>
      </w:r>
      <w:r>
        <w:rPr>
          <w:sz w:val="20"/>
          <w:szCs w:val="20"/>
        </w:rPr>
        <w:t xml:space="preserve"> through</w:t>
      </w:r>
      <w:r>
        <w:rPr>
          <w:sz w:val="20"/>
          <w:szCs w:val="20"/>
        </w:rPr>
        <w:t xml:space="preserve"> </w:t>
      </w:r>
      <w:r>
        <w:rPr>
          <w:rStyle w:val="a6"/>
          <w:i w:val="0"/>
          <w:iCs w:val="0"/>
          <w:sz w:val="20"/>
          <w:szCs w:val="20"/>
        </w:rPr>
        <w:t>2018</w:t>
      </w:r>
      <w:r>
        <w:rPr>
          <w:sz w:val="20"/>
          <w:szCs w:val="20"/>
        </w:rPr>
        <w:t xml:space="preserve"> </w:t>
      </w:r>
      <w:r>
        <w:rPr>
          <w:sz w:val="20"/>
          <w:szCs w:val="20"/>
        </w:rPr>
        <w:t>and vary by jurisdiction and issue. The aggregate changes in the balance of unrecognized tax benefits, associated with the Company’s previously held interests in Canada, 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were as follows (in thousands):</w:t>
      </w:r>
    </w:p>
    <w:p w14:paraId="5839C46A" w14:textId="77777777" w:rsidR="00000000" w:rsidRDefault="0053651E">
      <w:pPr>
        <w:pStyle w:val="a3"/>
        <w:spacing w:before="0" w:beforeAutospacing="0" w:after="0" w:afterAutospacing="0"/>
        <w:jc w:val="both"/>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14:paraId="6294C6C8" w14:textId="77777777">
        <w:trPr>
          <w:tblCellSpacing w:w="0" w:type="dxa"/>
        </w:trPr>
        <w:tc>
          <w:tcPr>
            <w:tcW w:w="0" w:type="auto"/>
            <w:vAlign w:val="bottom"/>
            <w:hideMark/>
          </w:tcPr>
          <w:p w14:paraId="3B30EB6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EC3A08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1F2AAF9" w14:textId="77777777" w:rsidR="00000000" w:rsidRDefault="0053651E">
            <w:pPr>
              <w:pStyle w:val="a3"/>
              <w:spacing w:before="0" w:beforeAutospacing="0" w:after="0" w:afterAutospacing="0"/>
              <w:jc w:val="center"/>
              <w:rPr>
                <w:sz w:val="20"/>
                <w:szCs w:val="20"/>
              </w:rPr>
            </w:pPr>
            <w:r>
              <w:rPr>
                <w:b/>
                <w:bCs/>
                <w:sz w:val="20"/>
                <w:szCs w:val="20"/>
              </w:rPr>
              <w:t>2</w:t>
            </w:r>
            <w:r>
              <w:rPr>
                <w:b/>
                <w:bCs/>
                <w:sz w:val="20"/>
                <w:szCs w:val="20"/>
              </w:rPr>
              <w:t>019</w:t>
            </w:r>
          </w:p>
        </w:tc>
        <w:tc>
          <w:tcPr>
            <w:tcW w:w="0" w:type="auto"/>
            <w:tcMar>
              <w:top w:w="0" w:type="dxa"/>
              <w:left w:w="0" w:type="dxa"/>
              <w:bottom w:w="15" w:type="dxa"/>
              <w:right w:w="0" w:type="dxa"/>
            </w:tcMar>
            <w:vAlign w:val="bottom"/>
            <w:hideMark/>
          </w:tcPr>
          <w:p w14:paraId="2595C7F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E24D000"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54C9392"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5C646BE" w14:textId="77777777" w:rsidR="00000000" w:rsidRDefault="0053651E">
            <w:pPr>
              <w:rPr>
                <w:rFonts w:eastAsia="Times New Roman"/>
                <w:sz w:val="20"/>
                <w:szCs w:val="20"/>
              </w:rPr>
            </w:pPr>
            <w:r>
              <w:rPr>
                <w:rFonts w:eastAsia="Times New Roman"/>
                <w:sz w:val="20"/>
                <w:szCs w:val="20"/>
              </w:rPr>
              <w:t> </w:t>
            </w:r>
          </w:p>
        </w:tc>
      </w:tr>
      <w:tr w:rsidR="00000000" w14:paraId="287BCBCD" w14:textId="77777777">
        <w:trPr>
          <w:tblCellSpacing w:w="0" w:type="dxa"/>
        </w:trPr>
        <w:tc>
          <w:tcPr>
            <w:tcW w:w="3200" w:type="pct"/>
            <w:shd w:val="clear" w:color="auto" w:fill="CCEEFF"/>
            <w:vAlign w:val="bottom"/>
            <w:hideMark/>
          </w:tcPr>
          <w:p w14:paraId="009AC5BF" w14:textId="77777777" w:rsidR="00000000" w:rsidRDefault="0053651E">
            <w:pPr>
              <w:pStyle w:val="a3"/>
              <w:spacing w:before="0" w:beforeAutospacing="0" w:after="0" w:afterAutospacing="0"/>
              <w:rPr>
                <w:sz w:val="20"/>
                <w:szCs w:val="20"/>
              </w:rPr>
            </w:pPr>
            <w:r>
              <w:rPr>
                <w:sz w:val="20"/>
                <w:szCs w:val="20"/>
              </w:rPr>
              <w:t>Balance at January 1,</w:t>
            </w:r>
          </w:p>
        </w:tc>
        <w:tc>
          <w:tcPr>
            <w:tcW w:w="50" w:type="pct"/>
            <w:tcBorders>
              <w:bottom w:val="nil"/>
            </w:tcBorders>
            <w:shd w:val="clear" w:color="auto" w:fill="CCEEFF"/>
            <w:vAlign w:val="bottom"/>
            <w:hideMark/>
          </w:tcPr>
          <w:p w14:paraId="4CA0D0C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07567F0"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43212FBD" w14:textId="77777777" w:rsidR="00000000" w:rsidRDefault="0053651E">
            <w:pPr>
              <w:jc w:val="right"/>
              <w:rPr>
                <w:rFonts w:eastAsia="Times New Roman"/>
                <w:sz w:val="20"/>
                <w:szCs w:val="20"/>
              </w:rPr>
            </w:pPr>
            <w:r>
              <w:rPr>
                <w:rFonts w:eastAsia="Times New Roman"/>
                <w:sz w:val="20"/>
                <w:szCs w:val="20"/>
              </w:rPr>
              <w:t>2,806</w:t>
            </w:r>
          </w:p>
        </w:tc>
        <w:tc>
          <w:tcPr>
            <w:tcW w:w="50" w:type="pct"/>
            <w:tcBorders>
              <w:bottom w:val="nil"/>
            </w:tcBorders>
            <w:shd w:val="clear" w:color="auto" w:fill="CCEEFF"/>
            <w:vAlign w:val="bottom"/>
            <w:hideMark/>
          </w:tcPr>
          <w:p w14:paraId="6B313F6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5B034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D9A7E8F" w14:textId="77777777" w:rsidR="00000000" w:rsidRDefault="0053651E">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AF608C5" w14:textId="77777777" w:rsidR="00000000" w:rsidRDefault="0053651E">
            <w:pPr>
              <w:jc w:val="right"/>
              <w:rPr>
                <w:rFonts w:eastAsia="Times New Roman"/>
                <w:sz w:val="20"/>
                <w:szCs w:val="20"/>
              </w:rPr>
            </w:pPr>
            <w:r>
              <w:rPr>
                <w:rFonts w:eastAsia="Times New Roman"/>
                <w:sz w:val="20"/>
                <w:szCs w:val="20"/>
              </w:rPr>
              <w:t>3,991</w:t>
            </w:r>
          </w:p>
        </w:tc>
        <w:tc>
          <w:tcPr>
            <w:tcW w:w="50" w:type="pct"/>
            <w:tcBorders>
              <w:bottom w:val="nil"/>
            </w:tcBorders>
            <w:shd w:val="clear" w:color="auto" w:fill="CCEEFF"/>
            <w:vAlign w:val="bottom"/>
            <w:hideMark/>
          </w:tcPr>
          <w:p w14:paraId="0BBB38B9" w14:textId="77777777" w:rsidR="00000000" w:rsidRDefault="0053651E">
            <w:pPr>
              <w:rPr>
                <w:rFonts w:eastAsia="Times New Roman"/>
                <w:sz w:val="20"/>
                <w:szCs w:val="20"/>
              </w:rPr>
            </w:pPr>
            <w:r>
              <w:rPr>
                <w:rFonts w:eastAsia="Times New Roman"/>
                <w:sz w:val="20"/>
                <w:szCs w:val="20"/>
              </w:rPr>
              <w:t> </w:t>
            </w:r>
          </w:p>
        </w:tc>
      </w:tr>
      <w:tr w:rsidR="00000000" w14:paraId="4E55853D" w14:textId="77777777">
        <w:trPr>
          <w:tblCellSpacing w:w="0" w:type="dxa"/>
        </w:trPr>
        <w:tc>
          <w:tcPr>
            <w:tcW w:w="0" w:type="auto"/>
            <w:shd w:val="clear" w:color="auto" w:fill="FFFFFF"/>
            <w:vAlign w:val="bottom"/>
            <w:hideMark/>
          </w:tcPr>
          <w:p w14:paraId="304652F6" w14:textId="77777777" w:rsidR="00000000" w:rsidRDefault="0053651E">
            <w:pPr>
              <w:pStyle w:val="a3"/>
              <w:spacing w:before="0" w:beforeAutospacing="0" w:after="0" w:afterAutospacing="0"/>
              <w:ind w:left="180"/>
              <w:rPr>
                <w:sz w:val="20"/>
                <w:szCs w:val="20"/>
              </w:rPr>
            </w:pPr>
            <w:r>
              <w:rPr>
                <w:sz w:val="20"/>
                <w:szCs w:val="20"/>
              </w:rPr>
              <w:t>Changes in tax positions related to current year (1)</w:t>
            </w:r>
          </w:p>
        </w:tc>
        <w:tc>
          <w:tcPr>
            <w:tcW w:w="50" w:type="pct"/>
            <w:shd w:val="clear" w:color="auto" w:fill="FFFFFF"/>
            <w:vAlign w:val="bottom"/>
            <w:hideMark/>
          </w:tcPr>
          <w:p w14:paraId="14E978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CF8E48"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49236A0" w14:textId="77777777" w:rsidR="00000000" w:rsidRDefault="0053651E">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14:paraId="384663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55BC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1A7C75" w14:textId="77777777" w:rsidR="00000000" w:rsidRDefault="0053651E">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E256559" w14:textId="77777777" w:rsidR="00000000" w:rsidRDefault="0053651E">
            <w:pPr>
              <w:jc w:val="right"/>
              <w:rPr>
                <w:rFonts w:eastAsia="Times New Roman"/>
                <w:sz w:val="20"/>
                <w:szCs w:val="20"/>
              </w:rPr>
            </w:pPr>
            <w:r>
              <w:rPr>
                <w:rFonts w:eastAsia="Times New Roman"/>
                <w:sz w:val="20"/>
                <w:szCs w:val="20"/>
              </w:rPr>
              <w:t>(250</w:t>
            </w:r>
          </w:p>
        </w:tc>
        <w:tc>
          <w:tcPr>
            <w:tcW w:w="50" w:type="pct"/>
            <w:shd w:val="clear" w:color="auto" w:fill="FFFFFF"/>
            <w:vAlign w:val="bottom"/>
            <w:hideMark/>
          </w:tcPr>
          <w:p w14:paraId="2BAE0729" w14:textId="77777777" w:rsidR="00000000" w:rsidRDefault="0053651E">
            <w:pPr>
              <w:rPr>
                <w:rFonts w:eastAsia="Times New Roman"/>
                <w:sz w:val="20"/>
                <w:szCs w:val="20"/>
              </w:rPr>
            </w:pPr>
            <w:r>
              <w:rPr>
                <w:rFonts w:eastAsia="Times New Roman"/>
                <w:sz w:val="20"/>
                <w:szCs w:val="20"/>
              </w:rPr>
              <w:t>)</w:t>
            </w:r>
          </w:p>
        </w:tc>
      </w:tr>
      <w:tr w:rsidR="00000000" w14:paraId="2B0D6094" w14:textId="77777777">
        <w:trPr>
          <w:tblCellSpacing w:w="0" w:type="dxa"/>
        </w:trPr>
        <w:tc>
          <w:tcPr>
            <w:tcW w:w="0" w:type="auto"/>
            <w:shd w:val="clear" w:color="auto" w:fill="CCEEFF"/>
            <w:vAlign w:val="bottom"/>
            <w:hideMark/>
          </w:tcPr>
          <w:p w14:paraId="41E54ABA" w14:textId="77777777" w:rsidR="00000000" w:rsidRDefault="0053651E">
            <w:pPr>
              <w:pStyle w:val="a3"/>
              <w:spacing w:before="0" w:beforeAutospacing="0" w:after="0" w:afterAutospacing="0"/>
              <w:ind w:left="180"/>
              <w:rPr>
                <w:sz w:val="20"/>
                <w:szCs w:val="20"/>
              </w:rPr>
            </w:pPr>
            <w:r>
              <w:rPr>
                <w:sz w:val="20"/>
                <w:szCs w:val="20"/>
              </w:rPr>
              <w:t>Reductions due to lapsed statute of limitations</w:t>
            </w:r>
          </w:p>
        </w:tc>
        <w:tc>
          <w:tcPr>
            <w:tcW w:w="50" w:type="pct"/>
            <w:shd w:val="clear" w:color="auto" w:fill="CCEEFF"/>
            <w:vAlign w:val="bottom"/>
            <w:hideMark/>
          </w:tcPr>
          <w:p w14:paraId="1470AC0C"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185001B"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2661EB0B" w14:textId="77777777" w:rsidR="00000000" w:rsidRDefault="0053651E">
            <w:pPr>
              <w:jc w:val="right"/>
              <w:rPr>
                <w:rFonts w:eastAsia="Times New Roman"/>
                <w:sz w:val="20"/>
                <w:szCs w:val="20"/>
              </w:rPr>
            </w:pPr>
            <w:r>
              <w:rPr>
                <w:rFonts w:eastAsia="Times New Roman"/>
                <w:sz w:val="20"/>
                <w:szCs w:val="20"/>
              </w:rPr>
              <w:t>(434</w:t>
            </w:r>
          </w:p>
        </w:tc>
        <w:tc>
          <w:tcPr>
            <w:tcW w:w="50" w:type="pct"/>
            <w:shd w:val="clear" w:color="auto" w:fill="CCEEFF"/>
            <w:tcMar>
              <w:top w:w="0" w:type="dxa"/>
              <w:left w:w="0" w:type="dxa"/>
              <w:bottom w:w="15" w:type="dxa"/>
              <w:right w:w="0" w:type="dxa"/>
            </w:tcMar>
            <w:vAlign w:val="bottom"/>
            <w:hideMark/>
          </w:tcPr>
          <w:p w14:paraId="1582D9A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7E5325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C8F672" w14:textId="77777777" w:rsidR="00000000" w:rsidRDefault="0053651E">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4EA327CA" w14:textId="77777777" w:rsidR="00000000" w:rsidRDefault="0053651E">
            <w:pPr>
              <w:jc w:val="right"/>
              <w:rPr>
                <w:rFonts w:eastAsia="Times New Roman"/>
                <w:sz w:val="20"/>
                <w:szCs w:val="20"/>
              </w:rPr>
            </w:pPr>
            <w:r>
              <w:rPr>
                <w:rFonts w:eastAsia="Times New Roman"/>
                <w:sz w:val="20"/>
                <w:szCs w:val="20"/>
              </w:rPr>
              <w:t>(935</w:t>
            </w:r>
          </w:p>
        </w:tc>
        <w:tc>
          <w:tcPr>
            <w:tcW w:w="50" w:type="pct"/>
            <w:shd w:val="clear" w:color="auto" w:fill="CCEEFF"/>
            <w:tcMar>
              <w:top w:w="0" w:type="dxa"/>
              <w:left w:w="0" w:type="dxa"/>
              <w:bottom w:w="15" w:type="dxa"/>
              <w:right w:w="0" w:type="dxa"/>
            </w:tcMar>
            <w:vAlign w:val="bottom"/>
            <w:hideMark/>
          </w:tcPr>
          <w:p w14:paraId="643A48F2" w14:textId="77777777" w:rsidR="00000000" w:rsidRDefault="0053651E">
            <w:pPr>
              <w:rPr>
                <w:rFonts w:eastAsia="Times New Roman"/>
                <w:sz w:val="20"/>
                <w:szCs w:val="20"/>
              </w:rPr>
            </w:pPr>
            <w:r>
              <w:rPr>
                <w:rFonts w:eastAsia="Times New Roman"/>
                <w:sz w:val="20"/>
                <w:szCs w:val="20"/>
              </w:rPr>
              <w:t>)</w:t>
            </w:r>
          </w:p>
        </w:tc>
      </w:tr>
      <w:tr w:rsidR="00000000" w14:paraId="47DB12A7" w14:textId="77777777">
        <w:trPr>
          <w:tblCellSpacing w:w="0" w:type="dxa"/>
        </w:trPr>
        <w:tc>
          <w:tcPr>
            <w:tcW w:w="0" w:type="auto"/>
            <w:shd w:val="clear" w:color="auto" w:fill="FFFFFF"/>
            <w:vAlign w:val="bottom"/>
            <w:hideMark/>
          </w:tcPr>
          <w:p w14:paraId="3B3EE07D" w14:textId="77777777" w:rsidR="00000000" w:rsidRDefault="0053651E">
            <w:pPr>
              <w:pStyle w:val="a3"/>
              <w:spacing w:before="0" w:beforeAutospacing="0" w:after="0" w:afterAutospacing="0"/>
              <w:rPr>
                <w:sz w:val="20"/>
                <w:szCs w:val="20"/>
              </w:rPr>
            </w:pPr>
            <w:r>
              <w:rPr>
                <w:sz w:val="20"/>
                <w:szCs w:val="20"/>
              </w:rPr>
              <w:t>Balance at December 31,</w:t>
            </w:r>
          </w:p>
        </w:tc>
        <w:tc>
          <w:tcPr>
            <w:tcW w:w="50" w:type="pct"/>
            <w:shd w:val="clear" w:color="auto" w:fill="FFFFFF"/>
            <w:vAlign w:val="bottom"/>
            <w:hideMark/>
          </w:tcPr>
          <w:p w14:paraId="7636E34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2B988F6"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12C81685" w14:textId="77777777" w:rsidR="00000000" w:rsidRDefault="0053651E">
            <w:pPr>
              <w:jc w:val="right"/>
              <w:rPr>
                <w:rFonts w:eastAsia="Times New Roman"/>
                <w:sz w:val="20"/>
                <w:szCs w:val="20"/>
              </w:rPr>
            </w:pPr>
            <w:r>
              <w:rPr>
                <w:rFonts w:eastAsia="Times New Roman"/>
                <w:sz w:val="20"/>
                <w:szCs w:val="20"/>
              </w:rPr>
              <w:t>2,388</w:t>
            </w:r>
          </w:p>
        </w:tc>
        <w:tc>
          <w:tcPr>
            <w:tcW w:w="50" w:type="pct"/>
            <w:shd w:val="clear" w:color="auto" w:fill="FFFFFF"/>
            <w:tcMar>
              <w:top w:w="0" w:type="dxa"/>
              <w:left w:w="0" w:type="dxa"/>
              <w:bottom w:w="45" w:type="dxa"/>
              <w:right w:w="0" w:type="dxa"/>
            </w:tcMar>
            <w:vAlign w:val="bottom"/>
            <w:hideMark/>
          </w:tcPr>
          <w:p w14:paraId="211494E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A2332C"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91E81D" w14:textId="77777777" w:rsidR="00000000" w:rsidRDefault="0053651E">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14:paraId="72828529" w14:textId="77777777" w:rsidR="00000000" w:rsidRDefault="0053651E">
            <w:pPr>
              <w:jc w:val="right"/>
              <w:rPr>
                <w:rFonts w:eastAsia="Times New Roman"/>
                <w:sz w:val="20"/>
                <w:szCs w:val="20"/>
              </w:rPr>
            </w:pPr>
            <w:r>
              <w:rPr>
                <w:rFonts w:eastAsia="Times New Roman"/>
                <w:sz w:val="20"/>
                <w:szCs w:val="20"/>
              </w:rPr>
              <w:t>2,806</w:t>
            </w:r>
          </w:p>
        </w:tc>
        <w:tc>
          <w:tcPr>
            <w:tcW w:w="50" w:type="pct"/>
            <w:shd w:val="clear" w:color="auto" w:fill="FFFFFF"/>
            <w:tcMar>
              <w:top w:w="0" w:type="dxa"/>
              <w:left w:w="0" w:type="dxa"/>
              <w:bottom w:w="45" w:type="dxa"/>
              <w:right w:w="0" w:type="dxa"/>
            </w:tcMar>
            <w:vAlign w:val="bottom"/>
            <w:hideMark/>
          </w:tcPr>
          <w:p w14:paraId="143B73ED" w14:textId="77777777" w:rsidR="00000000" w:rsidRDefault="0053651E">
            <w:pPr>
              <w:rPr>
                <w:rFonts w:eastAsia="Times New Roman"/>
                <w:sz w:val="20"/>
                <w:szCs w:val="20"/>
              </w:rPr>
            </w:pPr>
            <w:r>
              <w:rPr>
                <w:rFonts w:eastAsia="Times New Roman"/>
                <w:sz w:val="20"/>
                <w:szCs w:val="20"/>
              </w:rPr>
              <w:t> </w:t>
            </w:r>
          </w:p>
        </w:tc>
      </w:tr>
    </w:tbl>
    <w:p w14:paraId="3A677C6A"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866"/>
      </w:tblGrid>
      <w:tr w:rsidR="00000000" w14:paraId="5C05A218" w14:textId="77777777">
        <w:trPr>
          <w:tblCellSpacing w:w="0" w:type="dxa"/>
        </w:trPr>
        <w:tc>
          <w:tcPr>
            <w:tcW w:w="1080" w:type="dxa"/>
            <w:hideMark/>
          </w:tcPr>
          <w:p w14:paraId="2F1CCFFE" w14:textId="77777777" w:rsidR="00000000" w:rsidRDefault="0053651E">
            <w:pPr>
              <w:rPr>
                <w:rFonts w:eastAsia="Times New Roman"/>
              </w:rPr>
            </w:pPr>
            <w:r>
              <w:rPr>
                <w:rFonts w:eastAsia="Times New Roman"/>
              </w:rPr>
              <w:t> </w:t>
            </w:r>
          </w:p>
        </w:tc>
        <w:tc>
          <w:tcPr>
            <w:tcW w:w="360" w:type="dxa"/>
            <w:hideMark/>
          </w:tcPr>
          <w:p w14:paraId="7F6402CF"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3ACCC09A" w14:textId="77777777" w:rsidR="00000000" w:rsidRDefault="0053651E">
            <w:pPr>
              <w:pStyle w:val="a3"/>
              <w:spacing w:before="0" w:beforeAutospacing="0" w:after="0" w:afterAutospacing="0"/>
              <w:jc w:val="both"/>
              <w:rPr>
                <w:sz w:val="20"/>
                <w:szCs w:val="20"/>
              </w:rPr>
            </w:pPr>
            <w:r>
              <w:rPr>
                <w:sz w:val="20"/>
                <w:szCs w:val="20"/>
              </w:rPr>
              <w:t>Amounts relate to increases/(decreases) from foreign currency translation adjustments.</w:t>
            </w:r>
          </w:p>
        </w:tc>
      </w:tr>
    </w:tbl>
    <w:p w14:paraId="5F285DDD" w14:textId="77777777" w:rsidR="00000000" w:rsidRDefault="0053651E">
      <w:pPr>
        <w:pStyle w:val="a3"/>
        <w:spacing w:before="0" w:beforeAutospacing="0" w:after="0" w:afterAutospacing="0"/>
        <w:ind w:left="360"/>
        <w:jc w:val="both"/>
        <w:rPr>
          <w:sz w:val="20"/>
          <w:szCs w:val="20"/>
        </w:rPr>
      </w:pPr>
      <w:r>
        <w:rPr>
          <w:sz w:val="20"/>
          <w:szCs w:val="20"/>
        </w:rPr>
        <w:t> </w:t>
      </w:r>
    </w:p>
    <w:p w14:paraId="2AA5DDC0" w14:textId="77777777" w:rsidR="00000000" w:rsidRDefault="0053651E">
      <w:pPr>
        <w:pStyle w:val="a3"/>
        <w:spacing w:before="0" w:beforeAutospacing="0" w:after="0" w:afterAutospacing="0"/>
        <w:ind w:left="360"/>
        <w:jc w:val="both"/>
        <w:rPr>
          <w:sz w:val="20"/>
          <w:szCs w:val="20"/>
        </w:rPr>
      </w:pPr>
      <w:r>
        <w:rPr>
          <w:sz w:val="20"/>
          <w:szCs w:val="20"/>
        </w:rPr>
        <w:t>During</w:t>
      </w:r>
      <w:r>
        <w:rPr>
          <w:sz w:val="20"/>
          <w:szCs w:val="20"/>
        </w:rPr>
        <w:t xml:space="preserve"> </w:t>
      </w:r>
      <w:r>
        <w:rPr>
          <w:rStyle w:val="a6"/>
          <w:i w:val="0"/>
          <w:iCs w:val="0"/>
          <w:sz w:val="20"/>
          <w:szCs w:val="20"/>
        </w:rPr>
        <w:t xml:space="preserve">August 2016, </w:t>
      </w:r>
      <w:r>
        <w:rPr>
          <w:sz w:val="20"/>
          <w:szCs w:val="20"/>
        </w:rPr>
        <w:t>the Mexican Tax Authority issued tax assessments against</w:t>
      </w:r>
      <w:r>
        <w:rPr>
          <w:sz w:val="20"/>
          <w:szCs w:val="20"/>
        </w:rPr>
        <w:t xml:space="preserve"> </w:t>
      </w:r>
      <w:r>
        <w:rPr>
          <w:rStyle w:val="a6"/>
          <w:i w:val="0"/>
          <w:iCs w:val="0"/>
          <w:sz w:val="20"/>
          <w:szCs w:val="20"/>
        </w:rPr>
        <w:t>35</w:t>
      </w:r>
      <w:r>
        <w:rPr>
          <w:sz w:val="20"/>
          <w:szCs w:val="20"/>
        </w:rPr>
        <w:t xml:space="preserve"> </w:t>
      </w:r>
      <w:r>
        <w:rPr>
          <w:sz w:val="20"/>
          <w:szCs w:val="20"/>
        </w:rPr>
        <w:t xml:space="preserve">entities, including certain joint ventures, of the Company that had previously held interests in operating properties in Mexico. These assessments relate to certain income tax, interest expense and withholding tax items subject to the United States-Mexico </w:t>
      </w:r>
      <w:r>
        <w:rPr>
          <w:sz w:val="20"/>
          <w:szCs w:val="20"/>
        </w:rPr>
        <w:t>Income Tax Convention (the “Treaty”). The assessments were for the 2010 tax year with</w:t>
      </w:r>
      <w:r>
        <w:rPr>
          <w:sz w:val="20"/>
          <w:szCs w:val="20"/>
        </w:rPr>
        <w:t xml:space="preserve"> </w:t>
      </w:r>
      <w:r>
        <w:rPr>
          <w:rStyle w:val="a6"/>
          <w:i w:val="0"/>
          <w:iCs w:val="0"/>
          <w:sz w:val="20"/>
          <w:szCs w:val="20"/>
        </w:rPr>
        <w:t>four</w:t>
      </w:r>
      <w:r>
        <w:rPr>
          <w:sz w:val="20"/>
          <w:szCs w:val="20"/>
        </w:rPr>
        <w:t xml:space="preserve"> of the</w:t>
      </w:r>
      <w:r>
        <w:rPr>
          <w:sz w:val="20"/>
          <w:szCs w:val="20"/>
        </w:rPr>
        <w:t xml:space="preserve"> </w:t>
      </w:r>
      <w:r>
        <w:rPr>
          <w:rStyle w:val="a6"/>
          <w:i w:val="0"/>
          <w:iCs w:val="0"/>
          <w:sz w:val="20"/>
          <w:szCs w:val="20"/>
        </w:rPr>
        <w:t>35</w:t>
      </w:r>
      <w:r>
        <w:rPr>
          <w:sz w:val="20"/>
          <w:szCs w:val="20"/>
        </w:rPr>
        <w:t xml:space="preserve"> entities also assessed for the years</w:t>
      </w:r>
      <w:r>
        <w:rPr>
          <w:sz w:val="20"/>
          <w:szCs w:val="20"/>
        </w:rPr>
        <w:t xml:space="preserve"> </w:t>
      </w:r>
      <w:r>
        <w:rPr>
          <w:rStyle w:val="a6"/>
          <w:i w:val="0"/>
          <w:iCs w:val="0"/>
          <w:sz w:val="20"/>
          <w:szCs w:val="20"/>
        </w:rPr>
        <w:t>2007</w:t>
      </w:r>
      <w:r>
        <w:rPr>
          <w:sz w:val="20"/>
          <w:szCs w:val="20"/>
        </w:rPr>
        <w:t xml:space="preserve"> and/or</w:t>
      </w:r>
      <w:r>
        <w:rPr>
          <w:sz w:val="20"/>
          <w:szCs w:val="20"/>
        </w:rPr>
        <w:t xml:space="preserve"> </w:t>
      </w:r>
      <w:r>
        <w:rPr>
          <w:rStyle w:val="a6"/>
          <w:i w:val="0"/>
          <w:iCs w:val="0"/>
          <w:sz w:val="20"/>
          <w:szCs w:val="20"/>
        </w:rPr>
        <w:t>2008.</w:t>
      </w:r>
      <w:r>
        <w:rPr>
          <w:sz w:val="20"/>
          <w:szCs w:val="20"/>
        </w:rPr>
        <w:t xml:space="preserve"> The assessments include amounts for taxes aggregating $33.7 million, interest aggregating $16.5 mill</w:t>
      </w:r>
      <w:r>
        <w:rPr>
          <w:sz w:val="20"/>
          <w:szCs w:val="20"/>
        </w:rPr>
        <w:t>ion and penalties aggregating $11.4 million. The Company’s aggregate share of these amounts is $52.6 million. The Company filed appeals in the Mexican Tax Court in</w:t>
      </w:r>
      <w:r>
        <w:rPr>
          <w:sz w:val="20"/>
          <w:szCs w:val="20"/>
        </w:rPr>
        <w:t xml:space="preserve"> </w:t>
      </w:r>
      <w:r>
        <w:rPr>
          <w:rStyle w:val="a6"/>
          <w:i w:val="0"/>
          <w:iCs w:val="0"/>
          <w:sz w:val="20"/>
          <w:szCs w:val="20"/>
        </w:rPr>
        <w:t xml:space="preserve">September 2018 </w:t>
      </w:r>
      <w:r>
        <w:rPr>
          <w:sz w:val="20"/>
          <w:szCs w:val="20"/>
        </w:rPr>
        <w:t>challenging these assessments, as it believes that it has operated in accorda</w:t>
      </w:r>
      <w:r>
        <w:rPr>
          <w:sz w:val="20"/>
          <w:szCs w:val="20"/>
        </w:rPr>
        <w:t>nce with the Treaty provisions and has therefore concluded that</w:t>
      </w:r>
      <w:r>
        <w:rPr>
          <w:sz w:val="20"/>
          <w:szCs w:val="20"/>
        </w:rPr>
        <w:t xml:space="preserve"> </w:t>
      </w:r>
      <w:r>
        <w:rPr>
          <w:rStyle w:val="a6"/>
          <w:i w:val="0"/>
          <w:iCs w:val="0"/>
          <w:sz w:val="20"/>
          <w:szCs w:val="20"/>
        </w:rPr>
        <w:t>no</w:t>
      </w:r>
      <w:r>
        <w:rPr>
          <w:sz w:val="20"/>
          <w:szCs w:val="20"/>
        </w:rPr>
        <w:t xml:space="preserve"> amounts are payable with respect to this matter. The U.S.  Competent Authority (Department of Treasury), responsible for administering U.S. tax treaties, indicates agreement with this posit</w:t>
      </w:r>
      <w:r>
        <w:rPr>
          <w:sz w:val="20"/>
          <w:szCs w:val="20"/>
        </w:rPr>
        <w:t>ion and has represented the Company regarding this matter with the Mexican Competent Authority. During</w:t>
      </w:r>
      <w:r>
        <w:rPr>
          <w:sz w:val="20"/>
          <w:szCs w:val="20"/>
        </w:rPr>
        <w:t xml:space="preserve"> </w:t>
      </w:r>
      <w:r>
        <w:rPr>
          <w:rStyle w:val="a6"/>
          <w:i w:val="0"/>
          <w:iCs w:val="0"/>
          <w:sz w:val="20"/>
          <w:szCs w:val="20"/>
        </w:rPr>
        <w:t xml:space="preserve">April 2019, </w:t>
      </w:r>
      <w:r>
        <w:rPr>
          <w:sz w:val="20"/>
          <w:szCs w:val="20"/>
        </w:rPr>
        <w:t>all the appeals were argued at a hearing in the Superior Chamber of the Tax Court. During</w:t>
      </w:r>
      <w:r>
        <w:rPr>
          <w:sz w:val="20"/>
          <w:szCs w:val="20"/>
        </w:rPr>
        <w:t xml:space="preserve"> </w:t>
      </w:r>
      <w:r>
        <w:rPr>
          <w:rStyle w:val="a6"/>
          <w:i w:val="0"/>
          <w:iCs w:val="0"/>
          <w:sz w:val="20"/>
          <w:szCs w:val="20"/>
        </w:rPr>
        <w:t xml:space="preserve">November </w:t>
      </w:r>
      <w:r>
        <w:rPr>
          <w:sz w:val="20"/>
          <w:szCs w:val="20"/>
        </w:rPr>
        <w:t>and</w:t>
      </w:r>
      <w:r>
        <w:rPr>
          <w:sz w:val="20"/>
          <w:szCs w:val="20"/>
        </w:rPr>
        <w:t xml:space="preserve"> </w:t>
      </w:r>
      <w:r>
        <w:rPr>
          <w:rStyle w:val="a6"/>
          <w:i w:val="0"/>
          <w:iCs w:val="0"/>
          <w:sz w:val="20"/>
          <w:szCs w:val="20"/>
        </w:rPr>
        <w:t xml:space="preserve">December 2019, </w:t>
      </w:r>
      <w:r>
        <w:rPr>
          <w:sz w:val="20"/>
          <w:szCs w:val="20"/>
        </w:rPr>
        <w:t>the Mexican Tax Court i</w:t>
      </w:r>
      <w:r>
        <w:rPr>
          <w:sz w:val="20"/>
          <w:szCs w:val="20"/>
        </w:rPr>
        <w:t>ssued its ruling on</w:t>
      </w:r>
      <w:r>
        <w:rPr>
          <w:sz w:val="20"/>
          <w:szCs w:val="20"/>
        </w:rPr>
        <w:t xml:space="preserve"> </w:t>
      </w:r>
      <w:r>
        <w:rPr>
          <w:rStyle w:val="a6"/>
          <w:i w:val="0"/>
          <w:iCs w:val="0"/>
          <w:sz w:val="20"/>
          <w:szCs w:val="20"/>
        </w:rPr>
        <w:t>25</w:t>
      </w:r>
      <w:r>
        <w:rPr>
          <w:sz w:val="20"/>
          <w:szCs w:val="20"/>
        </w:rPr>
        <w:t xml:space="preserve"> of the</w:t>
      </w:r>
      <w:r>
        <w:rPr>
          <w:sz w:val="20"/>
          <w:szCs w:val="20"/>
        </w:rPr>
        <w:t xml:space="preserve"> </w:t>
      </w:r>
      <w:r>
        <w:rPr>
          <w:rStyle w:val="a6"/>
          <w:i w:val="0"/>
          <w:iCs w:val="0"/>
          <w:sz w:val="20"/>
          <w:szCs w:val="20"/>
        </w:rPr>
        <w:t>35</w:t>
      </w:r>
      <w:r>
        <w:rPr>
          <w:sz w:val="20"/>
          <w:szCs w:val="20"/>
        </w:rPr>
        <w:t xml:space="preserve"> total assessments which found that</w:t>
      </w:r>
      <w:r>
        <w:rPr>
          <w:sz w:val="20"/>
          <w:szCs w:val="20"/>
        </w:rPr>
        <w:t xml:space="preserve"> </w:t>
      </w:r>
      <w:r>
        <w:rPr>
          <w:rStyle w:val="a6"/>
          <w:i w:val="0"/>
          <w:iCs w:val="0"/>
          <w:sz w:val="20"/>
          <w:szCs w:val="20"/>
        </w:rPr>
        <w:t>$17.9</w:t>
      </w:r>
      <w:r>
        <w:rPr>
          <w:sz w:val="20"/>
          <w:szCs w:val="20"/>
        </w:rPr>
        <w:t xml:space="preserve"> million ($14.7 million representing the Company’s share) of the total assessment was improperly assessed, but ruled in favor of the Mexican Tax Authority with respect to the balance </w:t>
      </w:r>
      <w:r>
        <w:rPr>
          <w:sz w:val="20"/>
          <w:szCs w:val="20"/>
        </w:rPr>
        <w:t>of the assessments. Regarding the portion of the ruling in favor of the Mexican Tax Authority, the Company believes it has operated in accordance with the Treaty provisions and has therefore</w:t>
      </w:r>
      <w:r>
        <w:rPr>
          <w:sz w:val="20"/>
          <w:szCs w:val="20"/>
        </w:rPr>
        <w:t xml:space="preserve"> </w:t>
      </w:r>
      <w:r>
        <w:rPr>
          <w:rStyle w:val="a6"/>
          <w:i w:val="0"/>
          <w:iCs w:val="0"/>
          <w:sz w:val="20"/>
          <w:szCs w:val="20"/>
        </w:rPr>
        <w:t>not</w:t>
      </w:r>
      <w:r>
        <w:rPr>
          <w:sz w:val="20"/>
          <w:szCs w:val="20"/>
        </w:rPr>
        <w:t xml:space="preserve"> changed its position on this matter. The Company has filed ap</w:t>
      </w:r>
      <w:r>
        <w:rPr>
          <w:sz w:val="20"/>
          <w:szCs w:val="20"/>
        </w:rPr>
        <w:t>peals for the rulings it has received. The remaining</w:t>
      </w:r>
      <w:r>
        <w:rPr>
          <w:sz w:val="20"/>
          <w:szCs w:val="20"/>
        </w:rPr>
        <w:t xml:space="preserve"> </w:t>
      </w:r>
      <w:r>
        <w:rPr>
          <w:rStyle w:val="a6"/>
          <w:i w:val="0"/>
          <w:iCs w:val="0"/>
          <w:sz w:val="20"/>
          <w:szCs w:val="20"/>
        </w:rPr>
        <w:t>10</w:t>
      </w:r>
      <w:r>
        <w:rPr>
          <w:sz w:val="20"/>
          <w:szCs w:val="20"/>
        </w:rPr>
        <w:t xml:space="preserve"> rulings,</w:t>
      </w:r>
      <w:r>
        <w:rPr>
          <w:sz w:val="20"/>
          <w:szCs w:val="20"/>
        </w:rPr>
        <w:t xml:space="preserve"> </w:t>
      </w:r>
      <w:r>
        <w:rPr>
          <w:rStyle w:val="a6"/>
          <w:i w:val="0"/>
          <w:iCs w:val="0"/>
          <w:sz w:val="20"/>
          <w:szCs w:val="20"/>
        </w:rPr>
        <w:t>not</w:t>
      </w:r>
      <w:r>
        <w:rPr>
          <w:sz w:val="20"/>
          <w:szCs w:val="20"/>
        </w:rPr>
        <w:t xml:space="preserve"> yet received, are expected to be consistent with the current rulings and the Company intends to appeal these when received. The Company intends to continue to vigorously defend its positi</w:t>
      </w:r>
      <w:r>
        <w:rPr>
          <w:sz w:val="20"/>
          <w:szCs w:val="20"/>
        </w:rPr>
        <w:t>on and believes it will prevail, however this outcome cannot be assured.   </w:t>
      </w:r>
    </w:p>
    <w:p w14:paraId="3838C8E5" w14:textId="77777777" w:rsidR="00000000" w:rsidRDefault="0053651E">
      <w:pPr>
        <w:pStyle w:val="a3"/>
        <w:spacing w:before="0" w:beforeAutospacing="0" w:after="0" w:afterAutospacing="0"/>
        <w:rPr>
          <w:sz w:val="20"/>
          <w:szCs w:val="20"/>
        </w:rPr>
      </w:pPr>
      <w:r>
        <w:rPr>
          <w:sz w:val="20"/>
          <w:szCs w:val="20"/>
        </w:rPr>
        <w:t> </w:t>
      </w:r>
    </w:p>
    <w:p w14:paraId="757FD13B" w14:textId="77777777" w:rsidR="00000000" w:rsidRDefault="0053651E">
      <w:pPr>
        <w:pStyle w:val="a3"/>
        <w:spacing w:before="0" w:beforeAutospacing="0" w:after="0" w:afterAutospacing="0"/>
        <w:rPr>
          <w:sz w:val="20"/>
          <w:szCs w:val="20"/>
        </w:rPr>
      </w:pPr>
      <w:r>
        <w:rPr>
          <w:sz w:val="20"/>
          <w:szCs w:val="20"/>
        </w:rPr>
        <w:t> </w:t>
      </w:r>
    </w:p>
    <w:p w14:paraId="438AAEAF" w14:textId="77777777" w:rsidR="00000000" w:rsidRDefault="0053651E">
      <w:pPr>
        <w:pStyle w:val="a3"/>
        <w:spacing w:before="0" w:beforeAutospacing="0" w:after="0" w:afterAutospacing="0"/>
        <w:jc w:val="both"/>
        <w:rPr>
          <w:sz w:val="20"/>
          <w:szCs w:val="20"/>
        </w:rPr>
      </w:pPr>
      <w:r>
        <w:rPr>
          <w:sz w:val="20"/>
          <w:szCs w:val="20"/>
        </w:rPr>
        <w:t> </w:t>
      </w:r>
    </w:p>
    <w:p w14:paraId="3A5C38EE" w14:textId="77777777" w:rsidR="00000000" w:rsidRDefault="0053651E">
      <w:pPr>
        <w:jc w:val="center"/>
        <w:divId w:val="1820687587"/>
        <w:rPr>
          <w:rFonts w:eastAsia="Times New Roman"/>
          <w:sz w:val="20"/>
          <w:szCs w:val="20"/>
        </w:rPr>
      </w:pPr>
      <w:r>
        <w:rPr>
          <w:rStyle w:val="a6"/>
          <w:rFonts w:eastAsia="Times New Roman"/>
          <w:i w:val="0"/>
          <w:iCs w:val="0"/>
          <w:sz w:val="20"/>
          <w:szCs w:val="20"/>
        </w:rPr>
        <w:t>85</w:t>
      </w:r>
      <w:r>
        <w:rPr>
          <w:rFonts w:eastAsia="Times New Roman"/>
          <w:sz w:val="20"/>
          <w:szCs w:val="20"/>
        </w:rPr>
        <w:t xml:space="preserve"> </w:t>
      </w:r>
    </w:p>
    <w:p w14:paraId="7F00D5A1" w14:textId="77777777" w:rsidR="00000000" w:rsidRDefault="0053651E">
      <w:pPr>
        <w:divId w:val="1820687587"/>
        <w:rPr>
          <w:rFonts w:eastAsia="Times New Roman"/>
          <w:sz w:val="20"/>
          <w:szCs w:val="20"/>
        </w:rPr>
      </w:pPr>
      <w:r>
        <w:rPr>
          <w:rFonts w:eastAsia="Times New Roman"/>
          <w:sz w:val="20"/>
          <w:szCs w:val="20"/>
        </w:rPr>
        <w:pict w14:anchorId="61B1B6DA">
          <v:rect id="_x0000_i1116" style="width:415.3pt;height:1.5pt" o:hralign="center" o:hrstd="t" o:hrnoshade="t" o:hr="t" fillcolor="black" stroked="f"/>
        </w:pict>
      </w:r>
    </w:p>
    <w:p w14:paraId="5E107327" w14:textId="77777777" w:rsidR="00000000" w:rsidRDefault="0053651E">
      <w:pPr>
        <w:divId w:val="18206875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81E8E23" w14:textId="77777777" w:rsidR="00000000" w:rsidRDefault="0053651E">
      <w:pPr>
        <w:pStyle w:val="a3"/>
        <w:spacing w:before="0" w:beforeAutospacing="0" w:after="0" w:afterAutospacing="0"/>
        <w:rPr>
          <w:sz w:val="20"/>
          <w:szCs w:val="20"/>
        </w:rPr>
      </w:pPr>
      <w:r>
        <w:rPr>
          <w:sz w:val="20"/>
          <w:szCs w:val="20"/>
        </w:rPr>
        <w:t> </w:t>
      </w:r>
    </w:p>
    <w:p w14:paraId="073FAEEF"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3126AE9D" w14:textId="77777777" w:rsidR="00000000" w:rsidRDefault="0053651E">
      <w:pPr>
        <w:pStyle w:val="a3"/>
        <w:spacing w:before="0" w:beforeAutospacing="0" w:after="0" w:afterAutospacing="0"/>
        <w:jc w:val="center"/>
        <w:rPr>
          <w:sz w:val="20"/>
          <w:szCs w:val="20"/>
        </w:rPr>
      </w:pPr>
      <w:r>
        <w:rPr>
          <w:sz w:val="20"/>
          <w:szCs w:val="20"/>
        </w:rPr>
        <w:t> </w:t>
      </w:r>
    </w:p>
    <w:p w14:paraId="340581D2"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52522563" w14:textId="77777777" w:rsidR="00000000" w:rsidRDefault="0053651E">
      <w:pPr>
        <w:pStyle w:val="a3"/>
        <w:spacing w:before="0" w:beforeAutospacing="0" w:after="0" w:afterAutospacing="0"/>
        <w:rPr>
          <w:sz w:val="20"/>
          <w:szCs w:val="20"/>
        </w:rPr>
      </w:pPr>
      <w:r>
        <w:rPr>
          <w:sz w:val="20"/>
          <w:szCs w:val="20"/>
        </w:rPr>
        <w:t> </w:t>
      </w:r>
    </w:p>
    <w:p w14:paraId="34712779" w14:textId="77777777" w:rsidR="00000000" w:rsidRDefault="0053651E">
      <w:pPr>
        <w:divId w:val="1286693065"/>
        <w:rPr>
          <w:rFonts w:eastAsia="Times New Roman"/>
          <w:sz w:val="20"/>
          <w:szCs w:val="20"/>
        </w:rPr>
      </w:pPr>
      <w:r>
        <w:rPr>
          <w:rFonts w:eastAsia="Times New Roman"/>
          <w:sz w:val="20"/>
          <w:szCs w:val="20"/>
        </w:rPr>
        <w:t xml:space="preserve">  </w:t>
      </w:r>
    </w:p>
    <w:p w14:paraId="740424FF" w14:textId="77777777" w:rsidR="00000000" w:rsidRDefault="0053651E">
      <w:pPr>
        <w:pStyle w:val="a3"/>
        <w:spacing w:before="0" w:beforeAutospacing="0" w:after="0" w:afterAutospacing="0"/>
        <w:jc w:val="both"/>
        <w:rPr>
          <w:sz w:val="20"/>
          <w:szCs w:val="20"/>
        </w:rPr>
      </w:pPr>
      <w:r>
        <w:rPr>
          <w:rStyle w:val="a6"/>
          <w:i w:val="0"/>
          <w:iCs w:val="0"/>
          <w:sz w:val="20"/>
          <w:szCs w:val="20"/>
        </w:rPr>
        <w:t>22.</w:t>
      </w:r>
      <w:r>
        <w:rPr>
          <w:sz w:val="20"/>
          <w:szCs w:val="20"/>
        </w:rPr>
        <w:t>  </w:t>
      </w:r>
      <w:r>
        <w:rPr>
          <w:sz w:val="20"/>
          <w:szCs w:val="20"/>
          <w:u w:val="single"/>
        </w:rPr>
        <w:t>Earnings Per Share:</w:t>
      </w:r>
    </w:p>
    <w:p w14:paraId="5E0C34E2" w14:textId="77777777" w:rsidR="00000000" w:rsidRDefault="0053651E">
      <w:pPr>
        <w:pStyle w:val="a3"/>
        <w:spacing w:before="0" w:beforeAutospacing="0" w:after="0" w:afterAutospacing="0"/>
        <w:jc w:val="both"/>
        <w:rPr>
          <w:sz w:val="20"/>
          <w:szCs w:val="20"/>
        </w:rPr>
      </w:pPr>
      <w:r>
        <w:rPr>
          <w:sz w:val="20"/>
          <w:szCs w:val="20"/>
        </w:rPr>
        <w:t> </w:t>
      </w:r>
    </w:p>
    <w:p w14:paraId="1555B1D3" w14:textId="77777777" w:rsidR="00000000" w:rsidRDefault="0053651E">
      <w:pPr>
        <w:pStyle w:val="a3"/>
        <w:spacing w:before="0" w:beforeAutospacing="0" w:after="0" w:afterAutospacing="0"/>
        <w:ind w:left="360"/>
        <w:jc w:val="both"/>
        <w:rPr>
          <w:sz w:val="20"/>
          <w:szCs w:val="20"/>
        </w:rPr>
      </w:pPr>
      <w:r>
        <w:rPr>
          <w:sz w:val="20"/>
          <w:szCs w:val="20"/>
        </w:rPr>
        <w:t>The following table sets forth the reconciliation of earnings and the weighted-average number of shares used in the calculation of basic and diluted earnings per share (amounts presented in thousands, except per share data):</w:t>
      </w:r>
    </w:p>
    <w:p w14:paraId="13939876"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14:paraId="43C33FE2" w14:textId="77777777">
        <w:trPr>
          <w:tblCellSpacing w:w="0" w:type="dxa"/>
        </w:trPr>
        <w:tc>
          <w:tcPr>
            <w:tcW w:w="0" w:type="auto"/>
            <w:vAlign w:val="bottom"/>
            <w:hideMark/>
          </w:tcPr>
          <w:p w14:paraId="204CB22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95C0A84" w14:textId="77777777" w:rsidR="00000000" w:rsidRDefault="0053651E">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1B0C3D33" w14:textId="77777777" w:rsidR="00000000" w:rsidRDefault="0053651E">
            <w:pPr>
              <w:pStyle w:val="a3"/>
              <w:spacing w:before="0" w:beforeAutospacing="0" w:after="0" w:afterAutospacing="0"/>
              <w:jc w:val="center"/>
              <w:rPr>
                <w:sz w:val="20"/>
                <w:szCs w:val="20"/>
              </w:rPr>
            </w:pPr>
            <w:r>
              <w:rPr>
                <w:b/>
                <w:bCs/>
                <w:sz w:val="20"/>
                <w:szCs w:val="20"/>
              </w:rPr>
              <w:t>For the Year Ended Decemb</w:t>
            </w:r>
            <w:r>
              <w:rPr>
                <w:b/>
                <w:bCs/>
                <w:sz w:val="20"/>
                <w:szCs w:val="20"/>
              </w:rPr>
              <w:t>er 31,</w:t>
            </w:r>
          </w:p>
        </w:tc>
        <w:tc>
          <w:tcPr>
            <w:tcW w:w="0" w:type="auto"/>
            <w:tcMar>
              <w:top w:w="0" w:type="dxa"/>
              <w:left w:w="0" w:type="dxa"/>
              <w:bottom w:w="15" w:type="dxa"/>
              <w:right w:w="0" w:type="dxa"/>
            </w:tcMar>
            <w:vAlign w:val="bottom"/>
            <w:hideMark/>
          </w:tcPr>
          <w:p w14:paraId="3F949FCD" w14:textId="77777777" w:rsidR="00000000" w:rsidRDefault="0053651E">
            <w:pPr>
              <w:rPr>
                <w:rFonts w:eastAsia="Times New Roman"/>
                <w:sz w:val="20"/>
                <w:szCs w:val="20"/>
              </w:rPr>
            </w:pPr>
            <w:r>
              <w:rPr>
                <w:rFonts w:eastAsia="Times New Roman"/>
                <w:sz w:val="20"/>
                <w:szCs w:val="20"/>
              </w:rPr>
              <w:t> </w:t>
            </w:r>
          </w:p>
        </w:tc>
      </w:tr>
      <w:tr w:rsidR="00000000" w14:paraId="0D71766B" w14:textId="77777777">
        <w:trPr>
          <w:tblCellSpacing w:w="0" w:type="dxa"/>
        </w:trPr>
        <w:tc>
          <w:tcPr>
            <w:tcW w:w="0" w:type="auto"/>
            <w:vAlign w:val="bottom"/>
            <w:hideMark/>
          </w:tcPr>
          <w:p w14:paraId="347694B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4344BF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552CC2C"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46F897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5F9F0D2"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098B0E3"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CC6AD09"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CE9116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44E76AA" w14:textId="77777777" w:rsidR="00000000" w:rsidRDefault="0053651E">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14:paraId="212B192C" w14:textId="77777777" w:rsidR="00000000" w:rsidRDefault="0053651E">
            <w:pPr>
              <w:rPr>
                <w:rFonts w:eastAsia="Times New Roman"/>
                <w:sz w:val="20"/>
                <w:szCs w:val="20"/>
              </w:rPr>
            </w:pPr>
            <w:r>
              <w:rPr>
                <w:rFonts w:eastAsia="Times New Roman"/>
                <w:sz w:val="20"/>
                <w:szCs w:val="20"/>
              </w:rPr>
              <w:t> </w:t>
            </w:r>
          </w:p>
        </w:tc>
      </w:tr>
      <w:tr w:rsidR="00000000" w14:paraId="1645BCDB" w14:textId="77777777">
        <w:trPr>
          <w:tblCellSpacing w:w="0" w:type="dxa"/>
        </w:trPr>
        <w:tc>
          <w:tcPr>
            <w:tcW w:w="2750" w:type="pct"/>
            <w:shd w:val="clear" w:color="auto" w:fill="CCEEFF"/>
            <w:vAlign w:val="bottom"/>
            <w:hideMark/>
          </w:tcPr>
          <w:p w14:paraId="54D89AA5" w14:textId="77777777" w:rsidR="00000000" w:rsidRDefault="0053651E">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14:paraId="14B1997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A1950"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78A0827"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5677DD5"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E5341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26BB4"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411AC124"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A705985"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03271C2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0FAE3"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F5598B5" w14:textId="77777777" w:rsidR="00000000" w:rsidRDefault="0053651E">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1D011C0" w14:textId="77777777" w:rsidR="00000000" w:rsidRDefault="0053651E">
            <w:pPr>
              <w:rPr>
                <w:rFonts w:eastAsia="Times New Roman"/>
                <w:sz w:val="20"/>
                <w:szCs w:val="20"/>
              </w:rPr>
            </w:pPr>
            <w:r>
              <w:rPr>
                <w:rFonts w:eastAsia="Times New Roman"/>
                <w:i/>
                <w:iCs/>
                <w:sz w:val="20"/>
                <w:szCs w:val="20"/>
              </w:rPr>
              <w:t> </w:t>
            </w:r>
          </w:p>
        </w:tc>
      </w:tr>
      <w:tr w:rsidR="00000000" w14:paraId="1A7F0723" w14:textId="77777777">
        <w:trPr>
          <w:tblCellSpacing w:w="0" w:type="dxa"/>
        </w:trPr>
        <w:tc>
          <w:tcPr>
            <w:tcW w:w="0" w:type="auto"/>
            <w:shd w:val="clear" w:color="auto" w:fill="FFFFFF"/>
            <w:vAlign w:val="bottom"/>
            <w:hideMark/>
          </w:tcPr>
          <w:p w14:paraId="0C6AE9B0" w14:textId="77777777" w:rsidR="00000000" w:rsidRDefault="0053651E">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7C93CD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3B67F8"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7B106BA2" w14:textId="77777777" w:rsidR="00000000" w:rsidRDefault="0053651E">
            <w:pPr>
              <w:jc w:val="right"/>
              <w:rPr>
                <w:rFonts w:eastAsia="Times New Roman"/>
                <w:sz w:val="20"/>
                <w:szCs w:val="20"/>
              </w:rPr>
            </w:pPr>
            <w:r>
              <w:rPr>
                <w:rFonts w:eastAsia="Times New Roman"/>
                <w:sz w:val="20"/>
                <w:szCs w:val="20"/>
              </w:rPr>
              <w:t>339,988</w:t>
            </w:r>
          </w:p>
        </w:tc>
        <w:tc>
          <w:tcPr>
            <w:tcW w:w="50" w:type="pct"/>
            <w:shd w:val="clear" w:color="auto" w:fill="FFFFFF"/>
            <w:vAlign w:val="bottom"/>
            <w:hideMark/>
          </w:tcPr>
          <w:p w14:paraId="3FFE1E3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D8E67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0F1517"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2BA8D85E" w14:textId="77777777" w:rsidR="00000000" w:rsidRDefault="0053651E">
            <w:pPr>
              <w:jc w:val="right"/>
              <w:rPr>
                <w:rFonts w:eastAsia="Times New Roman"/>
                <w:sz w:val="20"/>
                <w:szCs w:val="20"/>
              </w:rPr>
            </w:pPr>
            <w:r>
              <w:rPr>
                <w:rFonts w:eastAsia="Times New Roman"/>
                <w:sz w:val="20"/>
                <w:szCs w:val="20"/>
              </w:rPr>
              <w:t>439,604</w:t>
            </w:r>
          </w:p>
        </w:tc>
        <w:tc>
          <w:tcPr>
            <w:tcW w:w="50" w:type="pct"/>
            <w:shd w:val="clear" w:color="auto" w:fill="FFFFFF"/>
            <w:vAlign w:val="bottom"/>
            <w:hideMark/>
          </w:tcPr>
          <w:p w14:paraId="07814CC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6BB5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1FD535" w14:textId="77777777" w:rsidR="00000000" w:rsidRDefault="0053651E">
            <w:pPr>
              <w:rPr>
                <w:rFonts w:eastAsia="Times New Roman"/>
                <w:sz w:val="20"/>
                <w:szCs w:val="20"/>
              </w:rPr>
            </w:pPr>
            <w:r>
              <w:rPr>
                <w:rFonts w:eastAsia="Times New Roman"/>
                <w:sz w:val="20"/>
                <w:szCs w:val="20"/>
              </w:rPr>
              <w:t>$</w:t>
            </w:r>
          </w:p>
        </w:tc>
        <w:tc>
          <w:tcPr>
            <w:tcW w:w="600" w:type="pct"/>
            <w:shd w:val="clear" w:color="auto" w:fill="FFFFFF"/>
            <w:vAlign w:val="bottom"/>
            <w:hideMark/>
          </w:tcPr>
          <w:p w14:paraId="794331EF" w14:textId="77777777" w:rsidR="00000000" w:rsidRDefault="0053651E">
            <w:pPr>
              <w:jc w:val="right"/>
              <w:rPr>
                <w:rFonts w:eastAsia="Times New Roman"/>
                <w:sz w:val="20"/>
                <w:szCs w:val="20"/>
              </w:rPr>
            </w:pPr>
            <w:r>
              <w:rPr>
                <w:rFonts w:eastAsia="Times New Roman"/>
                <w:sz w:val="20"/>
                <w:szCs w:val="20"/>
              </w:rPr>
              <w:t>372,461</w:t>
            </w:r>
          </w:p>
        </w:tc>
        <w:tc>
          <w:tcPr>
            <w:tcW w:w="50" w:type="pct"/>
            <w:shd w:val="clear" w:color="auto" w:fill="FFFFFF"/>
            <w:vAlign w:val="bottom"/>
            <w:hideMark/>
          </w:tcPr>
          <w:p w14:paraId="21DF9C61" w14:textId="77777777" w:rsidR="00000000" w:rsidRDefault="0053651E">
            <w:pPr>
              <w:rPr>
                <w:rFonts w:eastAsia="Times New Roman"/>
                <w:sz w:val="20"/>
                <w:szCs w:val="20"/>
              </w:rPr>
            </w:pPr>
            <w:r>
              <w:rPr>
                <w:rFonts w:eastAsia="Times New Roman"/>
                <w:sz w:val="20"/>
                <w:szCs w:val="20"/>
              </w:rPr>
              <w:t> </w:t>
            </w:r>
          </w:p>
        </w:tc>
      </w:tr>
      <w:tr w:rsidR="00000000" w14:paraId="524C8908" w14:textId="77777777">
        <w:trPr>
          <w:tblCellSpacing w:w="0" w:type="dxa"/>
        </w:trPr>
        <w:tc>
          <w:tcPr>
            <w:tcW w:w="0" w:type="auto"/>
            <w:shd w:val="clear" w:color="auto" w:fill="CCEEFF"/>
            <w:vAlign w:val="bottom"/>
            <w:hideMark/>
          </w:tcPr>
          <w:p w14:paraId="164191A6" w14:textId="77777777" w:rsidR="00000000" w:rsidRDefault="0053651E">
            <w:pPr>
              <w:pStyle w:val="a3"/>
              <w:spacing w:before="0" w:beforeAutospacing="0" w:after="0" w:afterAutospacing="0"/>
              <w:ind w:left="180"/>
              <w:rPr>
                <w:sz w:val="20"/>
                <w:szCs w:val="20"/>
              </w:rPr>
            </w:pPr>
            <w:r>
              <w:rPr>
                <w:sz w:val="20"/>
                <w:szCs w:val="20"/>
              </w:rPr>
              <w:t>Change in estimated redemption value of redeemable noncontrolling interests</w:t>
            </w:r>
          </w:p>
        </w:tc>
        <w:tc>
          <w:tcPr>
            <w:tcW w:w="50" w:type="pct"/>
            <w:shd w:val="clear" w:color="auto" w:fill="CCEEFF"/>
            <w:vAlign w:val="bottom"/>
            <w:hideMark/>
          </w:tcPr>
          <w:p w14:paraId="6C7D4F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52F18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F077D0F"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D55A6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D504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245C5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9F77BF4" w14:textId="77777777" w:rsidR="00000000" w:rsidRDefault="0053651E">
            <w:pPr>
              <w:jc w:val="right"/>
              <w:rPr>
                <w:rFonts w:eastAsia="Times New Roman"/>
                <w:sz w:val="20"/>
                <w:szCs w:val="20"/>
              </w:rPr>
            </w:pPr>
            <w:r>
              <w:rPr>
                <w:rFonts w:eastAsia="Times New Roman"/>
                <w:sz w:val="20"/>
                <w:szCs w:val="20"/>
              </w:rPr>
              <w:t>(7,521</w:t>
            </w:r>
          </w:p>
        </w:tc>
        <w:tc>
          <w:tcPr>
            <w:tcW w:w="50" w:type="pct"/>
            <w:shd w:val="clear" w:color="auto" w:fill="CCEEFF"/>
            <w:vAlign w:val="bottom"/>
            <w:hideMark/>
          </w:tcPr>
          <w:p w14:paraId="365B0D58"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5E1BAA4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615B2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FF3122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B0C4F56" w14:textId="77777777" w:rsidR="00000000" w:rsidRDefault="0053651E">
            <w:pPr>
              <w:rPr>
                <w:rFonts w:eastAsia="Times New Roman"/>
                <w:sz w:val="20"/>
                <w:szCs w:val="20"/>
              </w:rPr>
            </w:pPr>
            <w:r>
              <w:rPr>
                <w:rFonts w:eastAsia="Times New Roman"/>
                <w:sz w:val="20"/>
                <w:szCs w:val="20"/>
              </w:rPr>
              <w:t> </w:t>
            </w:r>
          </w:p>
        </w:tc>
      </w:tr>
      <w:tr w:rsidR="00000000" w14:paraId="0C86214A" w14:textId="77777777">
        <w:trPr>
          <w:tblCellSpacing w:w="0" w:type="dxa"/>
        </w:trPr>
        <w:tc>
          <w:tcPr>
            <w:tcW w:w="0" w:type="auto"/>
            <w:shd w:val="clear" w:color="auto" w:fill="FFFFFF"/>
            <w:vAlign w:val="bottom"/>
            <w:hideMark/>
          </w:tcPr>
          <w:p w14:paraId="5D31DC3C" w14:textId="77777777" w:rsidR="00000000" w:rsidRDefault="0053651E">
            <w:pPr>
              <w:pStyle w:val="a3"/>
              <w:spacing w:before="0" w:beforeAutospacing="0" w:after="0" w:afterAutospacing="0"/>
              <w:ind w:left="180"/>
              <w:rPr>
                <w:sz w:val="20"/>
                <w:szCs w:val="20"/>
              </w:rPr>
            </w:pPr>
            <w:r>
              <w:rPr>
                <w:sz w:val="20"/>
                <w:szCs w:val="20"/>
              </w:rPr>
              <w:t>Earnings attributable to participating securities</w:t>
            </w:r>
          </w:p>
        </w:tc>
        <w:tc>
          <w:tcPr>
            <w:tcW w:w="50" w:type="pct"/>
            <w:shd w:val="clear" w:color="auto" w:fill="FFFFFF"/>
            <w:vAlign w:val="bottom"/>
            <w:hideMark/>
          </w:tcPr>
          <w:p w14:paraId="5CDACBF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0CF2788"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62C68B8" w14:textId="77777777" w:rsidR="00000000" w:rsidRDefault="0053651E">
            <w:pPr>
              <w:jc w:val="right"/>
              <w:rPr>
                <w:rFonts w:eastAsia="Times New Roman"/>
                <w:sz w:val="20"/>
                <w:szCs w:val="20"/>
              </w:rPr>
            </w:pPr>
            <w:r>
              <w:rPr>
                <w:rFonts w:eastAsia="Times New Roman"/>
                <w:sz w:val="20"/>
                <w:szCs w:val="20"/>
              </w:rPr>
              <w:t>(2,599</w:t>
            </w:r>
          </w:p>
        </w:tc>
        <w:tc>
          <w:tcPr>
            <w:tcW w:w="50" w:type="pct"/>
            <w:shd w:val="clear" w:color="auto" w:fill="FFFFFF"/>
            <w:tcMar>
              <w:top w:w="0" w:type="dxa"/>
              <w:left w:w="0" w:type="dxa"/>
              <w:bottom w:w="15" w:type="dxa"/>
              <w:right w:w="0" w:type="dxa"/>
            </w:tcMar>
            <w:vAlign w:val="bottom"/>
            <w:hideMark/>
          </w:tcPr>
          <w:p w14:paraId="60BA2C4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141FDB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AFC98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1D2E44E" w14:textId="77777777" w:rsidR="00000000" w:rsidRDefault="0053651E">
            <w:pPr>
              <w:jc w:val="right"/>
              <w:rPr>
                <w:rFonts w:eastAsia="Times New Roman"/>
                <w:sz w:val="20"/>
                <w:szCs w:val="20"/>
              </w:rPr>
            </w:pPr>
            <w:r>
              <w:rPr>
                <w:rFonts w:eastAsia="Times New Roman"/>
                <w:sz w:val="20"/>
                <w:szCs w:val="20"/>
              </w:rPr>
              <w:t>(2,375</w:t>
            </w:r>
          </w:p>
        </w:tc>
        <w:tc>
          <w:tcPr>
            <w:tcW w:w="50" w:type="pct"/>
            <w:shd w:val="clear" w:color="auto" w:fill="FFFFFF"/>
            <w:tcMar>
              <w:top w:w="0" w:type="dxa"/>
              <w:left w:w="0" w:type="dxa"/>
              <w:bottom w:w="15" w:type="dxa"/>
              <w:right w:w="0" w:type="dxa"/>
            </w:tcMar>
            <w:vAlign w:val="bottom"/>
            <w:hideMark/>
          </w:tcPr>
          <w:p w14:paraId="728D813D"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9A3F97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A74C2F"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722991D" w14:textId="77777777" w:rsidR="00000000" w:rsidRDefault="0053651E">
            <w:pPr>
              <w:jc w:val="right"/>
              <w:rPr>
                <w:rFonts w:eastAsia="Times New Roman"/>
                <w:sz w:val="20"/>
                <w:szCs w:val="20"/>
              </w:rPr>
            </w:pPr>
            <w:r>
              <w:rPr>
                <w:rFonts w:eastAsia="Times New Roman"/>
                <w:sz w:val="20"/>
                <w:szCs w:val="20"/>
              </w:rPr>
              <w:t>(2,132</w:t>
            </w:r>
          </w:p>
        </w:tc>
        <w:tc>
          <w:tcPr>
            <w:tcW w:w="50" w:type="pct"/>
            <w:shd w:val="clear" w:color="auto" w:fill="FFFFFF"/>
            <w:tcMar>
              <w:top w:w="0" w:type="dxa"/>
              <w:left w:w="0" w:type="dxa"/>
              <w:bottom w:w="15" w:type="dxa"/>
              <w:right w:w="0" w:type="dxa"/>
            </w:tcMar>
            <w:vAlign w:val="bottom"/>
            <w:hideMark/>
          </w:tcPr>
          <w:p w14:paraId="1558D8E9" w14:textId="77777777" w:rsidR="00000000" w:rsidRDefault="0053651E">
            <w:pPr>
              <w:rPr>
                <w:rFonts w:eastAsia="Times New Roman"/>
                <w:sz w:val="20"/>
                <w:szCs w:val="20"/>
              </w:rPr>
            </w:pPr>
            <w:r>
              <w:rPr>
                <w:rFonts w:eastAsia="Times New Roman"/>
                <w:sz w:val="20"/>
                <w:szCs w:val="20"/>
              </w:rPr>
              <w:t>)</w:t>
            </w:r>
          </w:p>
        </w:tc>
      </w:tr>
      <w:tr w:rsidR="00000000" w14:paraId="7B92BF90" w14:textId="77777777">
        <w:trPr>
          <w:tblCellSpacing w:w="0" w:type="dxa"/>
        </w:trPr>
        <w:tc>
          <w:tcPr>
            <w:tcW w:w="0" w:type="auto"/>
            <w:shd w:val="clear" w:color="auto" w:fill="CCEEFF"/>
            <w:vAlign w:val="bottom"/>
            <w:hideMark/>
          </w:tcPr>
          <w:p w14:paraId="10B7C1AB" w14:textId="77777777" w:rsidR="00000000" w:rsidRDefault="0053651E">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tcBorders>
              <w:bottom w:val="nil"/>
            </w:tcBorders>
            <w:shd w:val="clear" w:color="auto" w:fill="CCEEFF"/>
            <w:vAlign w:val="bottom"/>
            <w:hideMark/>
          </w:tcPr>
          <w:p w14:paraId="748D6FE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10B906A"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63B0310F" w14:textId="77777777" w:rsidR="00000000" w:rsidRDefault="0053651E">
            <w:pPr>
              <w:jc w:val="right"/>
              <w:rPr>
                <w:rFonts w:eastAsia="Times New Roman"/>
                <w:sz w:val="20"/>
                <w:szCs w:val="20"/>
              </w:rPr>
            </w:pPr>
            <w:r>
              <w:rPr>
                <w:rFonts w:eastAsia="Times New Roman"/>
                <w:sz w:val="20"/>
                <w:szCs w:val="20"/>
              </w:rPr>
              <w:t>337,389</w:t>
            </w:r>
          </w:p>
        </w:tc>
        <w:tc>
          <w:tcPr>
            <w:tcW w:w="50" w:type="pct"/>
            <w:tcBorders>
              <w:bottom w:val="nil"/>
            </w:tcBorders>
            <w:shd w:val="clear" w:color="auto" w:fill="CCEEFF"/>
            <w:vAlign w:val="bottom"/>
            <w:hideMark/>
          </w:tcPr>
          <w:p w14:paraId="795704B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5C820D"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9F5EE95"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1ACEBD5F" w14:textId="77777777" w:rsidR="00000000" w:rsidRDefault="0053651E">
            <w:pPr>
              <w:jc w:val="right"/>
              <w:rPr>
                <w:rFonts w:eastAsia="Times New Roman"/>
                <w:sz w:val="20"/>
                <w:szCs w:val="20"/>
              </w:rPr>
            </w:pPr>
            <w:r>
              <w:rPr>
                <w:rFonts w:eastAsia="Times New Roman"/>
                <w:sz w:val="20"/>
                <w:szCs w:val="20"/>
              </w:rPr>
              <w:t>429,708</w:t>
            </w:r>
          </w:p>
        </w:tc>
        <w:tc>
          <w:tcPr>
            <w:tcW w:w="50" w:type="pct"/>
            <w:tcBorders>
              <w:bottom w:val="nil"/>
            </w:tcBorders>
            <w:shd w:val="clear" w:color="auto" w:fill="CCEEFF"/>
            <w:vAlign w:val="bottom"/>
            <w:hideMark/>
          </w:tcPr>
          <w:p w14:paraId="0843A6E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6679B87"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FC6642E" w14:textId="77777777" w:rsidR="00000000" w:rsidRDefault="0053651E">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28FE2642" w14:textId="77777777" w:rsidR="00000000" w:rsidRDefault="0053651E">
            <w:pPr>
              <w:jc w:val="right"/>
              <w:rPr>
                <w:rFonts w:eastAsia="Times New Roman"/>
                <w:sz w:val="20"/>
                <w:szCs w:val="20"/>
              </w:rPr>
            </w:pPr>
            <w:r>
              <w:rPr>
                <w:rFonts w:eastAsia="Times New Roman"/>
                <w:sz w:val="20"/>
                <w:szCs w:val="20"/>
              </w:rPr>
              <w:t>370,329</w:t>
            </w:r>
          </w:p>
        </w:tc>
        <w:tc>
          <w:tcPr>
            <w:tcW w:w="50" w:type="pct"/>
            <w:tcBorders>
              <w:bottom w:val="nil"/>
            </w:tcBorders>
            <w:shd w:val="clear" w:color="auto" w:fill="CCEEFF"/>
            <w:vAlign w:val="bottom"/>
            <w:hideMark/>
          </w:tcPr>
          <w:p w14:paraId="390E7B08" w14:textId="77777777" w:rsidR="00000000" w:rsidRDefault="0053651E">
            <w:pPr>
              <w:rPr>
                <w:rFonts w:eastAsia="Times New Roman"/>
                <w:sz w:val="20"/>
                <w:szCs w:val="20"/>
              </w:rPr>
            </w:pPr>
            <w:r>
              <w:rPr>
                <w:rFonts w:eastAsia="Times New Roman"/>
                <w:sz w:val="20"/>
                <w:szCs w:val="20"/>
              </w:rPr>
              <w:t> </w:t>
            </w:r>
          </w:p>
        </w:tc>
      </w:tr>
      <w:tr w:rsidR="00000000" w14:paraId="642558EE" w14:textId="77777777">
        <w:trPr>
          <w:tblCellSpacing w:w="0" w:type="dxa"/>
        </w:trPr>
        <w:tc>
          <w:tcPr>
            <w:tcW w:w="0" w:type="auto"/>
            <w:shd w:val="clear" w:color="auto" w:fill="FFFFFF"/>
            <w:vAlign w:val="bottom"/>
            <w:hideMark/>
          </w:tcPr>
          <w:p w14:paraId="47CBF976" w14:textId="77777777" w:rsidR="00000000" w:rsidRDefault="0053651E">
            <w:pPr>
              <w:pStyle w:val="a3"/>
              <w:spacing w:before="0" w:beforeAutospacing="0" w:after="0" w:afterAutospacing="0"/>
              <w:ind w:left="180"/>
              <w:rPr>
                <w:sz w:val="20"/>
                <w:szCs w:val="20"/>
              </w:rPr>
            </w:pPr>
            <w:r>
              <w:rPr>
                <w:sz w:val="20"/>
                <w:szCs w:val="20"/>
              </w:rPr>
              <w:t>Distributions on convertible units</w:t>
            </w:r>
          </w:p>
        </w:tc>
        <w:tc>
          <w:tcPr>
            <w:tcW w:w="50" w:type="pct"/>
            <w:shd w:val="clear" w:color="auto" w:fill="FFFFFF"/>
            <w:vAlign w:val="bottom"/>
            <w:hideMark/>
          </w:tcPr>
          <w:p w14:paraId="772E115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D5BF88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C5AC058" w14:textId="77777777" w:rsidR="00000000" w:rsidRDefault="0053651E">
            <w:pPr>
              <w:jc w:val="right"/>
              <w:rPr>
                <w:rFonts w:eastAsia="Times New Roman"/>
                <w:sz w:val="20"/>
                <w:szCs w:val="20"/>
              </w:rPr>
            </w:pPr>
            <w:r>
              <w:rPr>
                <w:rFonts w:eastAsia="Times New Roman"/>
                <w:sz w:val="20"/>
                <w:szCs w:val="20"/>
              </w:rPr>
              <w:t>30</w:t>
            </w:r>
          </w:p>
        </w:tc>
        <w:tc>
          <w:tcPr>
            <w:tcW w:w="50" w:type="pct"/>
            <w:shd w:val="clear" w:color="auto" w:fill="FFFFFF"/>
            <w:tcMar>
              <w:top w:w="0" w:type="dxa"/>
              <w:left w:w="0" w:type="dxa"/>
              <w:bottom w:w="15" w:type="dxa"/>
              <w:right w:w="0" w:type="dxa"/>
            </w:tcMar>
            <w:vAlign w:val="bottom"/>
            <w:hideMark/>
          </w:tcPr>
          <w:p w14:paraId="1091AD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B0AD2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7EF3B0E"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FB98764" w14:textId="77777777" w:rsidR="00000000" w:rsidRDefault="0053651E">
            <w:pPr>
              <w:jc w:val="right"/>
              <w:rPr>
                <w:rFonts w:eastAsia="Times New Roman"/>
                <w:sz w:val="20"/>
                <w:szCs w:val="20"/>
              </w:rPr>
            </w:pPr>
            <w:r>
              <w:rPr>
                <w:rFonts w:eastAsia="Times New Roman"/>
                <w:sz w:val="20"/>
                <w:szCs w:val="20"/>
              </w:rPr>
              <w:t>99</w:t>
            </w:r>
          </w:p>
        </w:tc>
        <w:tc>
          <w:tcPr>
            <w:tcW w:w="50" w:type="pct"/>
            <w:shd w:val="clear" w:color="auto" w:fill="FFFFFF"/>
            <w:tcMar>
              <w:top w:w="0" w:type="dxa"/>
              <w:left w:w="0" w:type="dxa"/>
              <w:bottom w:w="15" w:type="dxa"/>
              <w:right w:w="0" w:type="dxa"/>
            </w:tcMar>
            <w:vAlign w:val="bottom"/>
            <w:hideMark/>
          </w:tcPr>
          <w:p w14:paraId="7B8BD2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0B1A2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F75CA7"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EAA50A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6E401C9" w14:textId="77777777" w:rsidR="00000000" w:rsidRDefault="0053651E">
            <w:pPr>
              <w:rPr>
                <w:rFonts w:eastAsia="Times New Roman"/>
                <w:sz w:val="20"/>
                <w:szCs w:val="20"/>
              </w:rPr>
            </w:pPr>
            <w:r>
              <w:rPr>
                <w:rFonts w:eastAsia="Times New Roman"/>
                <w:sz w:val="20"/>
                <w:szCs w:val="20"/>
              </w:rPr>
              <w:t> </w:t>
            </w:r>
          </w:p>
        </w:tc>
      </w:tr>
      <w:tr w:rsidR="00000000" w14:paraId="272B1C92" w14:textId="77777777">
        <w:trPr>
          <w:tblCellSpacing w:w="0" w:type="dxa"/>
        </w:trPr>
        <w:tc>
          <w:tcPr>
            <w:tcW w:w="0" w:type="auto"/>
            <w:shd w:val="clear" w:color="auto" w:fill="CCEEFF"/>
            <w:vAlign w:val="bottom"/>
            <w:hideMark/>
          </w:tcPr>
          <w:p w14:paraId="07D1854C" w14:textId="77777777" w:rsidR="00000000" w:rsidRDefault="0053651E">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CCEEFF"/>
            <w:vAlign w:val="bottom"/>
            <w:hideMark/>
          </w:tcPr>
          <w:p w14:paraId="0BF3582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188A137"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419D6970" w14:textId="77777777" w:rsidR="00000000" w:rsidRDefault="0053651E">
            <w:pPr>
              <w:jc w:val="right"/>
              <w:rPr>
                <w:rFonts w:eastAsia="Times New Roman"/>
                <w:sz w:val="20"/>
                <w:szCs w:val="20"/>
              </w:rPr>
            </w:pPr>
            <w:r>
              <w:rPr>
                <w:rFonts w:eastAsia="Times New Roman"/>
                <w:sz w:val="20"/>
                <w:szCs w:val="20"/>
              </w:rPr>
              <w:t>337,419</w:t>
            </w:r>
          </w:p>
        </w:tc>
        <w:tc>
          <w:tcPr>
            <w:tcW w:w="50" w:type="pct"/>
            <w:shd w:val="clear" w:color="auto" w:fill="CCEEFF"/>
            <w:tcMar>
              <w:top w:w="0" w:type="dxa"/>
              <w:left w:w="0" w:type="dxa"/>
              <w:bottom w:w="45" w:type="dxa"/>
              <w:right w:w="0" w:type="dxa"/>
            </w:tcMar>
            <w:vAlign w:val="bottom"/>
            <w:hideMark/>
          </w:tcPr>
          <w:p w14:paraId="4EE2B8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D9F10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601CE4D"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4E543192" w14:textId="77777777" w:rsidR="00000000" w:rsidRDefault="0053651E">
            <w:pPr>
              <w:jc w:val="right"/>
              <w:rPr>
                <w:rFonts w:eastAsia="Times New Roman"/>
                <w:sz w:val="20"/>
                <w:szCs w:val="20"/>
              </w:rPr>
            </w:pPr>
            <w:r>
              <w:rPr>
                <w:rFonts w:eastAsia="Times New Roman"/>
                <w:sz w:val="20"/>
                <w:szCs w:val="20"/>
              </w:rPr>
              <w:t>429,807</w:t>
            </w:r>
          </w:p>
        </w:tc>
        <w:tc>
          <w:tcPr>
            <w:tcW w:w="50" w:type="pct"/>
            <w:shd w:val="clear" w:color="auto" w:fill="CCEEFF"/>
            <w:tcMar>
              <w:top w:w="0" w:type="dxa"/>
              <w:left w:w="0" w:type="dxa"/>
              <w:bottom w:w="45" w:type="dxa"/>
              <w:right w:w="0" w:type="dxa"/>
            </w:tcMar>
            <w:vAlign w:val="bottom"/>
            <w:hideMark/>
          </w:tcPr>
          <w:p w14:paraId="0EFE807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93013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6A2665C"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F3DA6EC" w14:textId="77777777" w:rsidR="00000000" w:rsidRDefault="0053651E">
            <w:pPr>
              <w:jc w:val="right"/>
              <w:rPr>
                <w:rFonts w:eastAsia="Times New Roman"/>
                <w:sz w:val="20"/>
                <w:szCs w:val="20"/>
              </w:rPr>
            </w:pPr>
            <w:r>
              <w:rPr>
                <w:rFonts w:eastAsia="Times New Roman"/>
                <w:sz w:val="20"/>
                <w:szCs w:val="20"/>
              </w:rPr>
              <w:t>370,329</w:t>
            </w:r>
          </w:p>
        </w:tc>
        <w:tc>
          <w:tcPr>
            <w:tcW w:w="50" w:type="pct"/>
            <w:shd w:val="clear" w:color="auto" w:fill="CCEEFF"/>
            <w:tcMar>
              <w:top w:w="0" w:type="dxa"/>
              <w:left w:w="0" w:type="dxa"/>
              <w:bottom w:w="45" w:type="dxa"/>
              <w:right w:w="0" w:type="dxa"/>
            </w:tcMar>
            <w:vAlign w:val="bottom"/>
            <w:hideMark/>
          </w:tcPr>
          <w:p w14:paraId="3B397ADC" w14:textId="77777777" w:rsidR="00000000" w:rsidRDefault="0053651E">
            <w:pPr>
              <w:rPr>
                <w:rFonts w:eastAsia="Times New Roman"/>
                <w:sz w:val="20"/>
                <w:szCs w:val="20"/>
              </w:rPr>
            </w:pPr>
            <w:r>
              <w:rPr>
                <w:rFonts w:eastAsia="Times New Roman"/>
                <w:sz w:val="20"/>
                <w:szCs w:val="20"/>
              </w:rPr>
              <w:t> </w:t>
            </w:r>
          </w:p>
        </w:tc>
      </w:tr>
      <w:tr w:rsidR="00000000" w14:paraId="54A4DB2D" w14:textId="77777777">
        <w:trPr>
          <w:tblCellSpacing w:w="0" w:type="dxa"/>
        </w:trPr>
        <w:tc>
          <w:tcPr>
            <w:tcW w:w="0" w:type="auto"/>
            <w:shd w:val="clear" w:color="auto" w:fill="FFFFFF"/>
            <w:vAlign w:val="bottom"/>
            <w:hideMark/>
          </w:tcPr>
          <w:p w14:paraId="3BF3CD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2FE2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032F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7F327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02D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EE77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2270D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07D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E54F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9FE6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42A0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211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27DF0D" w14:textId="77777777" w:rsidR="00000000" w:rsidRDefault="0053651E">
            <w:pPr>
              <w:rPr>
                <w:rFonts w:eastAsia="Times New Roman"/>
                <w:sz w:val="20"/>
                <w:szCs w:val="20"/>
              </w:rPr>
            </w:pPr>
            <w:r>
              <w:rPr>
                <w:rFonts w:eastAsia="Times New Roman"/>
                <w:sz w:val="20"/>
                <w:szCs w:val="20"/>
              </w:rPr>
              <w:t> </w:t>
            </w:r>
          </w:p>
        </w:tc>
      </w:tr>
      <w:tr w:rsidR="00000000" w14:paraId="1767106F" w14:textId="77777777">
        <w:trPr>
          <w:tblCellSpacing w:w="0" w:type="dxa"/>
        </w:trPr>
        <w:tc>
          <w:tcPr>
            <w:tcW w:w="0" w:type="auto"/>
            <w:shd w:val="clear" w:color="auto" w:fill="CCEEFF"/>
            <w:vAlign w:val="bottom"/>
            <w:hideMark/>
          </w:tcPr>
          <w:p w14:paraId="537924F0" w14:textId="77777777" w:rsidR="00000000" w:rsidRDefault="0053651E">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CCEEFF"/>
            <w:vAlign w:val="bottom"/>
            <w:hideMark/>
          </w:tcPr>
          <w:p w14:paraId="698AF1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258D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7C71974" w14:textId="77777777" w:rsidR="00000000" w:rsidRDefault="0053651E">
            <w:pPr>
              <w:jc w:val="right"/>
              <w:rPr>
                <w:rFonts w:eastAsia="Times New Roman"/>
                <w:sz w:val="20"/>
                <w:szCs w:val="20"/>
              </w:rPr>
            </w:pPr>
            <w:r>
              <w:rPr>
                <w:rFonts w:eastAsia="Times New Roman"/>
                <w:sz w:val="20"/>
                <w:szCs w:val="20"/>
              </w:rPr>
              <w:t>420,370</w:t>
            </w:r>
          </w:p>
        </w:tc>
        <w:tc>
          <w:tcPr>
            <w:tcW w:w="50" w:type="pct"/>
            <w:shd w:val="clear" w:color="auto" w:fill="CCEEFF"/>
            <w:vAlign w:val="bottom"/>
            <w:hideMark/>
          </w:tcPr>
          <w:p w14:paraId="3C285F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F0A5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00574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21F0BA" w14:textId="77777777" w:rsidR="00000000" w:rsidRDefault="0053651E">
            <w:pPr>
              <w:jc w:val="right"/>
              <w:rPr>
                <w:rFonts w:eastAsia="Times New Roman"/>
                <w:sz w:val="20"/>
                <w:szCs w:val="20"/>
              </w:rPr>
            </w:pPr>
            <w:r>
              <w:rPr>
                <w:rFonts w:eastAsia="Times New Roman"/>
                <w:sz w:val="20"/>
                <w:szCs w:val="20"/>
              </w:rPr>
              <w:t>420,641</w:t>
            </w:r>
          </w:p>
        </w:tc>
        <w:tc>
          <w:tcPr>
            <w:tcW w:w="50" w:type="pct"/>
            <w:shd w:val="clear" w:color="auto" w:fill="CCEEFF"/>
            <w:vAlign w:val="bottom"/>
            <w:hideMark/>
          </w:tcPr>
          <w:p w14:paraId="3B1CDB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224A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95397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2C92D59" w14:textId="77777777" w:rsidR="00000000" w:rsidRDefault="0053651E">
            <w:pPr>
              <w:jc w:val="right"/>
              <w:rPr>
                <w:rFonts w:eastAsia="Times New Roman"/>
                <w:sz w:val="20"/>
                <w:szCs w:val="20"/>
              </w:rPr>
            </w:pPr>
            <w:r>
              <w:rPr>
                <w:rFonts w:eastAsia="Times New Roman"/>
                <w:sz w:val="20"/>
                <w:szCs w:val="20"/>
              </w:rPr>
              <w:t>423,614</w:t>
            </w:r>
          </w:p>
        </w:tc>
        <w:tc>
          <w:tcPr>
            <w:tcW w:w="50" w:type="pct"/>
            <w:shd w:val="clear" w:color="auto" w:fill="CCEEFF"/>
            <w:vAlign w:val="bottom"/>
            <w:hideMark/>
          </w:tcPr>
          <w:p w14:paraId="7ADD5086" w14:textId="77777777" w:rsidR="00000000" w:rsidRDefault="0053651E">
            <w:pPr>
              <w:rPr>
                <w:rFonts w:eastAsia="Times New Roman"/>
                <w:sz w:val="20"/>
                <w:szCs w:val="20"/>
              </w:rPr>
            </w:pPr>
            <w:r>
              <w:rPr>
                <w:rFonts w:eastAsia="Times New Roman"/>
                <w:sz w:val="20"/>
                <w:szCs w:val="20"/>
              </w:rPr>
              <w:t> </w:t>
            </w:r>
          </w:p>
        </w:tc>
      </w:tr>
      <w:tr w:rsidR="00000000" w14:paraId="4AC7C981" w14:textId="77777777">
        <w:trPr>
          <w:tblCellSpacing w:w="0" w:type="dxa"/>
        </w:trPr>
        <w:tc>
          <w:tcPr>
            <w:tcW w:w="0" w:type="auto"/>
            <w:shd w:val="clear" w:color="auto" w:fill="FFFFFF"/>
            <w:vAlign w:val="bottom"/>
            <w:hideMark/>
          </w:tcPr>
          <w:p w14:paraId="67EE1E28" w14:textId="77777777" w:rsidR="00000000" w:rsidRDefault="0053651E">
            <w:pPr>
              <w:pStyle w:val="a3"/>
              <w:spacing w:before="0" w:beforeAutospacing="0" w:after="0" w:afterAutospacing="0"/>
              <w:rPr>
                <w:sz w:val="20"/>
                <w:szCs w:val="20"/>
              </w:rPr>
            </w:pPr>
            <w:r>
              <w:rPr>
                <w:sz w:val="20"/>
                <w:szCs w:val="20"/>
              </w:rPr>
              <w:t>Effect of dilutive securities (1):</w:t>
            </w:r>
          </w:p>
        </w:tc>
        <w:tc>
          <w:tcPr>
            <w:tcW w:w="0" w:type="auto"/>
            <w:shd w:val="clear" w:color="auto" w:fill="FFFFFF"/>
            <w:vAlign w:val="bottom"/>
            <w:hideMark/>
          </w:tcPr>
          <w:p w14:paraId="3507C8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D62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B2B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0D66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ED75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7B9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4A4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6F2F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D4094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4EC4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99CA9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EF347" w14:textId="77777777" w:rsidR="00000000" w:rsidRDefault="0053651E">
            <w:pPr>
              <w:rPr>
                <w:rFonts w:eastAsia="Times New Roman"/>
                <w:sz w:val="20"/>
                <w:szCs w:val="20"/>
              </w:rPr>
            </w:pPr>
            <w:r>
              <w:rPr>
                <w:rFonts w:eastAsia="Times New Roman"/>
                <w:sz w:val="20"/>
                <w:szCs w:val="20"/>
              </w:rPr>
              <w:t> </w:t>
            </w:r>
          </w:p>
        </w:tc>
      </w:tr>
      <w:tr w:rsidR="00000000" w14:paraId="6547F309" w14:textId="77777777">
        <w:trPr>
          <w:tblCellSpacing w:w="0" w:type="dxa"/>
        </w:trPr>
        <w:tc>
          <w:tcPr>
            <w:tcW w:w="0" w:type="auto"/>
            <w:shd w:val="clear" w:color="auto" w:fill="CCEEFF"/>
            <w:vAlign w:val="bottom"/>
            <w:hideMark/>
          </w:tcPr>
          <w:p w14:paraId="6D8A241D" w14:textId="77777777" w:rsidR="00000000" w:rsidRDefault="0053651E">
            <w:pPr>
              <w:pStyle w:val="a3"/>
              <w:spacing w:before="0" w:beforeAutospacing="0" w:after="0" w:afterAutospacing="0"/>
              <w:ind w:left="180"/>
              <w:rPr>
                <w:sz w:val="20"/>
                <w:szCs w:val="20"/>
              </w:rPr>
            </w:pPr>
            <w:r>
              <w:rPr>
                <w:sz w:val="20"/>
                <w:szCs w:val="20"/>
              </w:rPr>
              <w:t>Equity awards</w:t>
            </w:r>
          </w:p>
        </w:tc>
        <w:tc>
          <w:tcPr>
            <w:tcW w:w="50" w:type="pct"/>
            <w:shd w:val="clear" w:color="auto" w:fill="CCEEFF"/>
            <w:vAlign w:val="bottom"/>
            <w:hideMark/>
          </w:tcPr>
          <w:p w14:paraId="67986C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99001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1A573AE" w14:textId="77777777" w:rsidR="00000000" w:rsidRDefault="0053651E">
            <w:pPr>
              <w:jc w:val="right"/>
              <w:rPr>
                <w:rFonts w:eastAsia="Times New Roman"/>
                <w:sz w:val="20"/>
                <w:szCs w:val="20"/>
              </w:rPr>
            </w:pPr>
            <w:r>
              <w:rPr>
                <w:rFonts w:eastAsia="Times New Roman"/>
                <w:sz w:val="20"/>
                <w:szCs w:val="20"/>
              </w:rPr>
              <w:t>1,365</w:t>
            </w:r>
          </w:p>
        </w:tc>
        <w:tc>
          <w:tcPr>
            <w:tcW w:w="50" w:type="pct"/>
            <w:shd w:val="clear" w:color="auto" w:fill="CCEEFF"/>
            <w:vAlign w:val="bottom"/>
            <w:hideMark/>
          </w:tcPr>
          <w:p w14:paraId="5353C7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2046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3DE37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4AFCFB" w14:textId="77777777" w:rsidR="00000000" w:rsidRDefault="0053651E">
            <w:pPr>
              <w:jc w:val="right"/>
              <w:rPr>
                <w:rFonts w:eastAsia="Times New Roman"/>
                <w:sz w:val="20"/>
                <w:szCs w:val="20"/>
              </w:rPr>
            </w:pPr>
            <w:r>
              <w:rPr>
                <w:rFonts w:eastAsia="Times New Roman"/>
                <w:sz w:val="20"/>
                <w:szCs w:val="20"/>
              </w:rPr>
              <w:t>628</w:t>
            </w:r>
          </w:p>
        </w:tc>
        <w:tc>
          <w:tcPr>
            <w:tcW w:w="50" w:type="pct"/>
            <w:shd w:val="clear" w:color="auto" w:fill="CCEEFF"/>
            <w:vAlign w:val="bottom"/>
            <w:hideMark/>
          </w:tcPr>
          <w:p w14:paraId="5DD7F2F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91B5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FFA23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9FE3898" w14:textId="77777777" w:rsidR="00000000" w:rsidRDefault="0053651E">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14:paraId="08CE16A8" w14:textId="77777777" w:rsidR="00000000" w:rsidRDefault="0053651E">
            <w:pPr>
              <w:rPr>
                <w:rFonts w:eastAsia="Times New Roman"/>
                <w:sz w:val="20"/>
                <w:szCs w:val="20"/>
              </w:rPr>
            </w:pPr>
            <w:r>
              <w:rPr>
                <w:rFonts w:eastAsia="Times New Roman"/>
                <w:sz w:val="20"/>
                <w:szCs w:val="20"/>
              </w:rPr>
              <w:t> </w:t>
            </w:r>
          </w:p>
        </w:tc>
      </w:tr>
      <w:tr w:rsidR="00000000" w14:paraId="370381D1" w14:textId="77777777">
        <w:trPr>
          <w:tblCellSpacing w:w="0" w:type="dxa"/>
        </w:trPr>
        <w:tc>
          <w:tcPr>
            <w:tcW w:w="0" w:type="auto"/>
            <w:shd w:val="clear" w:color="auto" w:fill="FFFFFF"/>
            <w:vAlign w:val="bottom"/>
            <w:hideMark/>
          </w:tcPr>
          <w:p w14:paraId="14438F77" w14:textId="77777777" w:rsidR="00000000" w:rsidRDefault="0053651E">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FFFFFF"/>
            <w:vAlign w:val="bottom"/>
            <w:hideMark/>
          </w:tcPr>
          <w:p w14:paraId="7EE390F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B3DFBB2"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3EDC817" w14:textId="77777777" w:rsidR="00000000" w:rsidRDefault="0053651E">
            <w:pPr>
              <w:jc w:val="right"/>
              <w:rPr>
                <w:rFonts w:eastAsia="Times New Roman"/>
                <w:sz w:val="20"/>
                <w:szCs w:val="20"/>
              </w:rPr>
            </w:pPr>
            <w:r>
              <w:rPr>
                <w:rFonts w:eastAsia="Times New Roman"/>
                <w:sz w:val="20"/>
                <w:szCs w:val="20"/>
              </w:rPr>
              <w:t>64</w:t>
            </w:r>
          </w:p>
        </w:tc>
        <w:tc>
          <w:tcPr>
            <w:tcW w:w="50" w:type="pct"/>
            <w:shd w:val="clear" w:color="auto" w:fill="FFFFFF"/>
            <w:tcMar>
              <w:top w:w="0" w:type="dxa"/>
              <w:left w:w="0" w:type="dxa"/>
              <w:bottom w:w="15" w:type="dxa"/>
              <w:right w:w="0" w:type="dxa"/>
            </w:tcMar>
            <w:vAlign w:val="bottom"/>
            <w:hideMark/>
          </w:tcPr>
          <w:p w14:paraId="2421C7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F0C0E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525AB4C"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12957BB" w14:textId="77777777" w:rsidR="00000000" w:rsidRDefault="0053651E">
            <w:pPr>
              <w:jc w:val="right"/>
              <w:rPr>
                <w:rFonts w:eastAsia="Times New Roman"/>
                <w:sz w:val="20"/>
                <w:szCs w:val="20"/>
              </w:rPr>
            </w:pPr>
            <w:r>
              <w:rPr>
                <w:rFonts w:eastAsia="Times New Roman"/>
                <w:sz w:val="20"/>
                <w:szCs w:val="20"/>
              </w:rPr>
              <w:t>110</w:t>
            </w:r>
          </w:p>
        </w:tc>
        <w:tc>
          <w:tcPr>
            <w:tcW w:w="50" w:type="pct"/>
            <w:shd w:val="clear" w:color="auto" w:fill="FFFFFF"/>
            <w:tcMar>
              <w:top w:w="0" w:type="dxa"/>
              <w:left w:w="0" w:type="dxa"/>
              <w:bottom w:w="15" w:type="dxa"/>
              <w:right w:w="0" w:type="dxa"/>
            </w:tcMar>
            <w:vAlign w:val="bottom"/>
            <w:hideMark/>
          </w:tcPr>
          <w:p w14:paraId="2A17619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07FB0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373092"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74F498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7C47685" w14:textId="77777777" w:rsidR="00000000" w:rsidRDefault="0053651E">
            <w:pPr>
              <w:rPr>
                <w:rFonts w:eastAsia="Times New Roman"/>
                <w:sz w:val="20"/>
                <w:szCs w:val="20"/>
              </w:rPr>
            </w:pPr>
            <w:r>
              <w:rPr>
                <w:rFonts w:eastAsia="Times New Roman"/>
                <w:sz w:val="20"/>
                <w:szCs w:val="20"/>
              </w:rPr>
              <w:t> </w:t>
            </w:r>
          </w:p>
        </w:tc>
      </w:tr>
      <w:tr w:rsidR="00000000" w14:paraId="331337F4" w14:textId="77777777">
        <w:trPr>
          <w:tblCellSpacing w:w="0" w:type="dxa"/>
        </w:trPr>
        <w:tc>
          <w:tcPr>
            <w:tcW w:w="0" w:type="auto"/>
            <w:shd w:val="clear" w:color="auto" w:fill="CCEEFF"/>
            <w:vAlign w:val="bottom"/>
            <w:hideMark/>
          </w:tcPr>
          <w:p w14:paraId="1C97FCEE" w14:textId="77777777" w:rsidR="00000000" w:rsidRDefault="0053651E">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CCEEFF"/>
            <w:vAlign w:val="bottom"/>
            <w:hideMark/>
          </w:tcPr>
          <w:p w14:paraId="0DCEED5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72C80A"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0C710765" w14:textId="77777777" w:rsidR="00000000" w:rsidRDefault="0053651E">
            <w:pPr>
              <w:jc w:val="right"/>
              <w:rPr>
                <w:rFonts w:eastAsia="Times New Roman"/>
                <w:sz w:val="20"/>
                <w:szCs w:val="20"/>
              </w:rPr>
            </w:pPr>
            <w:r>
              <w:rPr>
                <w:rFonts w:eastAsia="Times New Roman"/>
                <w:sz w:val="20"/>
                <w:szCs w:val="20"/>
              </w:rPr>
              <w:t>421,799</w:t>
            </w:r>
          </w:p>
        </w:tc>
        <w:tc>
          <w:tcPr>
            <w:tcW w:w="50" w:type="pct"/>
            <w:shd w:val="clear" w:color="auto" w:fill="CCEEFF"/>
            <w:tcMar>
              <w:top w:w="0" w:type="dxa"/>
              <w:left w:w="0" w:type="dxa"/>
              <w:bottom w:w="45" w:type="dxa"/>
              <w:right w:w="0" w:type="dxa"/>
            </w:tcMar>
            <w:vAlign w:val="bottom"/>
            <w:hideMark/>
          </w:tcPr>
          <w:p w14:paraId="673566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A6B73E"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D08AFB"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0F70A7A3" w14:textId="77777777" w:rsidR="00000000" w:rsidRDefault="0053651E">
            <w:pPr>
              <w:jc w:val="right"/>
              <w:rPr>
                <w:rFonts w:eastAsia="Times New Roman"/>
                <w:sz w:val="20"/>
                <w:szCs w:val="20"/>
              </w:rPr>
            </w:pPr>
            <w:r>
              <w:rPr>
                <w:rFonts w:eastAsia="Times New Roman"/>
                <w:sz w:val="20"/>
                <w:szCs w:val="20"/>
              </w:rPr>
              <w:t>421,379</w:t>
            </w:r>
          </w:p>
        </w:tc>
        <w:tc>
          <w:tcPr>
            <w:tcW w:w="50" w:type="pct"/>
            <w:shd w:val="clear" w:color="auto" w:fill="CCEEFF"/>
            <w:tcMar>
              <w:top w:w="0" w:type="dxa"/>
              <w:left w:w="0" w:type="dxa"/>
              <w:bottom w:w="45" w:type="dxa"/>
              <w:right w:w="0" w:type="dxa"/>
            </w:tcMar>
            <w:vAlign w:val="bottom"/>
            <w:hideMark/>
          </w:tcPr>
          <w:p w14:paraId="6FDBD3A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52C94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6000043" w14:textId="77777777" w:rsidR="00000000" w:rsidRDefault="0053651E">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4916B38D" w14:textId="77777777" w:rsidR="00000000" w:rsidRDefault="0053651E">
            <w:pPr>
              <w:jc w:val="right"/>
              <w:rPr>
                <w:rFonts w:eastAsia="Times New Roman"/>
                <w:sz w:val="20"/>
                <w:szCs w:val="20"/>
              </w:rPr>
            </w:pPr>
            <w:r>
              <w:rPr>
                <w:rFonts w:eastAsia="Times New Roman"/>
                <w:sz w:val="20"/>
                <w:szCs w:val="20"/>
              </w:rPr>
              <w:t>424,019</w:t>
            </w:r>
          </w:p>
        </w:tc>
        <w:tc>
          <w:tcPr>
            <w:tcW w:w="50" w:type="pct"/>
            <w:shd w:val="clear" w:color="auto" w:fill="CCEEFF"/>
            <w:tcMar>
              <w:top w:w="0" w:type="dxa"/>
              <w:left w:w="0" w:type="dxa"/>
              <w:bottom w:w="45" w:type="dxa"/>
              <w:right w:w="0" w:type="dxa"/>
            </w:tcMar>
            <w:vAlign w:val="bottom"/>
            <w:hideMark/>
          </w:tcPr>
          <w:p w14:paraId="06F2FE52" w14:textId="77777777" w:rsidR="00000000" w:rsidRDefault="0053651E">
            <w:pPr>
              <w:rPr>
                <w:rFonts w:eastAsia="Times New Roman"/>
                <w:sz w:val="20"/>
                <w:szCs w:val="20"/>
              </w:rPr>
            </w:pPr>
            <w:r>
              <w:rPr>
                <w:rFonts w:eastAsia="Times New Roman"/>
                <w:sz w:val="20"/>
                <w:szCs w:val="20"/>
              </w:rPr>
              <w:t> </w:t>
            </w:r>
          </w:p>
        </w:tc>
      </w:tr>
      <w:tr w:rsidR="00000000" w14:paraId="2D3918FE" w14:textId="77777777">
        <w:trPr>
          <w:tblCellSpacing w:w="0" w:type="dxa"/>
        </w:trPr>
        <w:tc>
          <w:tcPr>
            <w:tcW w:w="0" w:type="auto"/>
            <w:shd w:val="clear" w:color="auto" w:fill="FFFFFF"/>
            <w:vAlign w:val="bottom"/>
            <w:hideMark/>
          </w:tcPr>
          <w:p w14:paraId="03564CE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11BC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35D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F8C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DB4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7282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7AE9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C1E6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CF1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79ED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4A1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BBF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DB157" w14:textId="77777777" w:rsidR="00000000" w:rsidRDefault="0053651E">
            <w:pPr>
              <w:rPr>
                <w:rFonts w:eastAsia="Times New Roman"/>
                <w:sz w:val="20"/>
                <w:szCs w:val="20"/>
              </w:rPr>
            </w:pPr>
            <w:r>
              <w:rPr>
                <w:rFonts w:eastAsia="Times New Roman"/>
                <w:sz w:val="20"/>
                <w:szCs w:val="20"/>
              </w:rPr>
              <w:t> </w:t>
            </w:r>
          </w:p>
        </w:tc>
      </w:tr>
      <w:tr w:rsidR="00000000" w14:paraId="4DBF918E" w14:textId="77777777">
        <w:trPr>
          <w:tblCellSpacing w:w="0" w:type="dxa"/>
        </w:trPr>
        <w:tc>
          <w:tcPr>
            <w:tcW w:w="0" w:type="auto"/>
            <w:shd w:val="clear" w:color="auto" w:fill="CCEEFF"/>
            <w:vAlign w:val="bottom"/>
            <w:hideMark/>
          </w:tcPr>
          <w:p w14:paraId="02809F92" w14:textId="77777777" w:rsidR="00000000" w:rsidRDefault="0053651E">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14:paraId="1B76489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CC2E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1B7E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8312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116F7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E16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1BBA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9E7C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DEFC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79DC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FBF9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4AF23" w14:textId="77777777" w:rsidR="00000000" w:rsidRDefault="0053651E">
            <w:pPr>
              <w:rPr>
                <w:rFonts w:eastAsia="Times New Roman"/>
                <w:sz w:val="20"/>
                <w:szCs w:val="20"/>
              </w:rPr>
            </w:pPr>
            <w:r>
              <w:rPr>
                <w:rFonts w:eastAsia="Times New Roman"/>
                <w:sz w:val="20"/>
                <w:szCs w:val="20"/>
              </w:rPr>
              <w:t> </w:t>
            </w:r>
          </w:p>
        </w:tc>
      </w:tr>
      <w:tr w:rsidR="00000000" w14:paraId="4F681015" w14:textId="77777777">
        <w:trPr>
          <w:tblCellSpacing w:w="0" w:type="dxa"/>
        </w:trPr>
        <w:tc>
          <w:tcPr>
            <w:tcW w:w="0" w:type="auto"/>
            <w:shd w:val="clear" w:color="auto" w:fill="FFFFFF"/>
            <w:vAlign w:val="bottom"/>
            <w:hideMark/>
          </w:tcPr>
          <w:p w14:paraId="493FC522" w14:textId="77777777" w:rsidR="00000000" w:rsidRDefault="0053651E">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14:paraId="2E7A8D4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8BCF04"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4919296"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14:paraId="1FB15E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93B38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75AADBD"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CC7FCF5"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FFFFFF"/>
            <w:tcMar>
              <w:top w:w="0" w:type="dxa"/>
              <w:left w:w="0" w:type="dxa"/>
              <w:bottom w:w="45" w:type="dxa"/>
              <w:right w:w="0" w:type="dxa"/>
            </w:tcMar>
            <w:vAlign w:val="bottom"/>
            <w:hideMark/>
          </w:tcPr>
          <w:p w14:paraId="7F401FE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1536D6"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AE5A00E"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63A4401"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FFFFFF"/>
            <w:tcMar>
              <w:top w:w="0" w:type="dxa"/>
              <w:left w:w="0" w:type="dxa"/>
              <w:bottom w:w="45" w:type="dxa"/>
              <w:right w:w="0" w:type="dxa"/>
            </w:tcMar>
            <w:vAlign w:val="bottom"/>
            <w:hideMark/>
          </w:tcPr>
          <w:p w14:paraId="144FAB37" w14:textId="77777777" w:rsidR="00000000" w:rsidRDefault="0053651E">
            <w:pPr>
              <w:rPr>
                <w:rFonts w:eastAsia="Times New Roman"/>
                <w:sz w:val="20"/>
                <w:szCs w:val="20"/>
              </w:rPr>
            </w:pPr>
            <w:r>
              <w:rPr>
                <w:rFonts w:eastAsia="Times New Roman"/>
                <w:sz w:val="20"/>
                <w:szCs w:val="20"/>
              </w:rPr>
              <w:t> </w:t>
            </w:r>
          </w:p>
        </w:tc>
      </w:tr>
      <w:tr w:rsidR="00000000" w14:paraId="6D9AD09E" w14:textId="77777777">
        <w:trPr>
          <w:tblCellSpacing w:w="0" w:type="dxa"/>
        </w:trPr>
        <w:tc>
          <w:tcPr>
            <w:tcW w:w="0" w:type="auto"/>
            <w:shd w:val="clear" w:color="auto" w:fill="CCEEFF"/>
            <w:vAlign w:val="bottom"/>
            <w:hideMark/>
          </w:tcPr>
          <w:p w14:paraId="663DCAD2" w14:textId="77777777" w:rsidR="00000000" w:rsidRDefault="0053651E">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14:paraId="6B9AC84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C0264DF"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2E49C72" w14:textId="77777777" w:rsidR="00000000" w:rsidRDefault="0053651E">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14:paraId="4752AE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035CF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E115154"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96A042A" w14:textId="77777777" w:rsidR="00000000" w:rsidRDefault="0053651E">
            <w:pPr>
              <w:jc w:val="right"/>
              <w:rPr>
                <w:rFonts w:eastAsia="Times New Roman"/>
                <w:sz w:val="20"/>
                <w:szCs w:val="20"/>
              </w:rPr>
            </w:pPr>
            <w:r>
              <w:rPr>
                <w:rFonts w:eastAsia="Times New Roman"/>
                <w:sz w:val="20"/>
                <w:szCs w:val="20"/>
              </w:rPr>
              <w:t>1.02</w:t>
            </w:r>
          </w:p>
        </w:tc>
        <w:tc>
          <w:tcPr>
            <w:tcW w:w="50" w:type="pct"/>
            <w:shd w:val="clear" w:color="auto" w:fill="CCEEFF"/>
            <w:tcMar>
              <w:top w:w="0" w:type="dxa"/>
              <w:left w:w="0" w:type="dxa"/>
              <w:bottom w:w="45" w:type="dxa"/>
              <w:right w:w="0" w:type="dxa"/>
            </w:tcMar>
            <w:vAlign w:val="bottom"/>
            <w:hideMark/>
          </w:tcPr>
          <w:p w14:paraId="732EBA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C1ABA1"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AE2393F"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3BB0619" w14:textId="77777777" w:rsidR="00000000" w:rsidRDefault="0053651E">
            <w:pPr>
              <w:jc w:val="right"/>
              <w:rPr>
                <w:rFonts w:eastAsia="Times New Roman"/>
                <w:sz w:val="20"/>
                <w:szCs w:val="20"/>
              </w:rPr>
            </w:pPr>
            <w:r>
              <w:rPr>
                <w:rFonts w:eastAsia="Times New Roman"/>
                <w:sz w:val="20"/>
                <w:szCs w:val="20"/>
              </w:rPr>
              <w:t>0.87</w:t>
            </w:r>
          </w:p>
        </w:tc>
        <w:tc>
          <w:tcPr>
            <w:tcW w:w="50" w:type="pct"/>
            <w:shd w:val="clear" w:color="auto" w:fill="CCEEFF"/>
            <w:tcMar>
              <w:top w:w="0" w:type="dxa"/>
              <w:left w:w="0" w:type="dxa"/>
              <w:bottom w:w="45" w:type="dxa"/>
              <w:right w:w="0" w:type="dxa"/>
            </w:tcMar>
            <w:vAlign w:val="bottom"/>
            <w:hideMark/>
          </w:tcPr>
          <w:p w14:paraId="08E5A941" w14:textId="77777777" w:rsidR="00000000" w:rsidRDefault="0053651E">
            <w:pPr>
              <w:rPr>
                <w:rFonts w:eastAsia="Times New Roman"/>
                <w:sz w:val="20"/>
                <w:szCs w:val="20"/>
              </w:rPr>
            </w:pPr>
            <w:r>
              <w:rPr>
                <w:rFonts w:eastAsia="Times New Roman"/>
                <w:sz w:val="20"/>
                <w:szCs w:val="20"/>
              </w:rPr>
              <w:t> </w:t>
            </w:r>
          </w:p>
        </w:tc>
      </w:tr>
    </w:tbl>
    <w:p w14:paraId="67422B77"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3B24855" w14:textId="77777777">
        <w:trPr>
          <w:tblCellSpacing w:w="0" w:type="dxa"/>
        </w:trPr>
        <w:tc>
          <w:tcPr>
            <w:tcW w:w="360" w:type="dxa"/>
            <w:vAlign w:val="center"/>
            <w:hideMark/>
          </w:tcPr>
          <w:p w14:paraId="708A6DFC" w14:textId="77777777" w:rsidR="00000000" w:rsidRDefault="0053651E">
            <w:pPr>
              <w:rPr>
                <w:rFonts w:eastAsia="Times New Roman"/>
                <w:sz w:val="20"/>
                <w:szCs w:val="20"/>
              </w:rPr>
            </w:pPr>
            <w:r>
              <w:rPr>
                <w:rFonts w:eastAsia="Times New Roman"/>
                <w:sz w:val="20"/>
                <w:szCs w:val="20"/>
              </w:rPr>
              <w:t> </w:t>
            </w:r>
          </w:p>
        </w:tc>
        <w:tc>
          <w:tcPr>
            <w:tcW w:w="360" w:type="dxa"/>
            <w:hideMark/>
          </w:tcPr>
          <w:p w14:paraId="09AA631F"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68A9586D" w14:textId="77777777" w:rsidR="00000000" w:rsidRDefault="0053651E">
            <w:pPr>
              <w:pStyle w:val="a3"/>
              <w:spacing w:before="0" w:beforeAutospacing="0" w:after="0" w:afterAutospacing="0"/>
              <w:jc w:val="both"/>
              <w:rPr>
                <w:sz w:val="20"/>
                <w:szCs w:val="20"/>
              </w:rPr>
            </w:pPr>
            <w:r>
              <w:rPr>
                <w:sz w:val="20"/>
                <w:szCs w:val="20"/>
              </w:rPr>
              <w:t>The effect of the assumed conversion of certain convertible units had an anti-dilutive effect upon the calculation of Income from continuing operations per share. Accordingly, the impact of such conversions has</w:t>
            </w:r>
            <w:r>
              <w:rPr>
                <w:sz w:val="20"/>
                <w:szCs w:val="20"/>
              </w:rPr>
              <w:t xml:space="preserve"> </w:t>
            </w:r>
            <w:r>
              <w:rPr>
                <w:rStyle w:val="a6"/>
                <w:i w:val="0"/>
                <w:iCs w:val="0"/>
                <w:sz w:val="20"/>
                <w:szCs w:val="20"/>
              </w:rPr>
              <w:t>not</w:t>
            </w:r>
            <w:r>
              <w:rPr>
                <w:sz w:val="20"/>
                <w:szCs w:val="20"/>
              </w:rPr>
              <w:t xml:space="preserve"> been included in the determination of dil</w:t>
            </w:r>
            <w:r>
              <w:rPr>
                <w:sz w:val="20"/>
                <w:szCs w:val="20"/>
              </w:rPr>
              <w:t>uted earnings per share calculations. Additionally, there were 0.5 million, 1.3 million and 3.1 million stock options that were</w:t>
            </w:r>
            <w:r>
              <w:rPr>
                <w:sz w:val="20"/>
                <w:szCs w:val="20"/>
              </w:rPr>
              <w:t xml:space="preserve"> </w:t>
            </w:r>
            <w:r>
              <w:rPr>
                <w:rStyle w:val="a6"/>
                <w:i w:val="0"/>
                <w:iCs w:val="0"/>
                <w:sz w:val="20"/>
                <w:szCs w:val="20"/>
              </w:rPr>
              <w:t>not</w:t>
            </w:r>
            <w:r>
              <w:rPr>
                <w:sz w:val="20"/>
                <w:szCs w:val="20"/>
              </w:rPr>
              <w:t xml:space="preserve"> dilutive as of</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respectively.</w:t>
            </w:r>
          </w:p>
        </w:tc>
      </w:tr>
    </w:tbl>
    <w:p w14:paraId="298DAC96" w14:textId="77777777" w:rsidR="00000000" w:rsidRDefault="0053651E">
      <w:pPr>
        <w:pStyle w:val="a3"/>
        <w:spacing w:before="0" w:beforeAutospacing="0" w:after="0" w:afterAutospacing="0"/>
        <w:ind w:left="360"/>
        <w:jc w:val="both"/>
        <w:rPr>
          <w:sz w:val="20"/>
          <w:szCs w:val="20"/>
        </w:rPr>
      </w:pPr>
      <w:r>
        <w:rPr>
          <w:sz w:val="20"/>
          <w:szCs w:val="20"/>
        </w:rPr>
        <w:t> </w:t>
      </w:r>
    </w:p>
    <w:p w14:paraId="3B22C9D0" w14:textId="77777777" w:rsidR="00000000" w:rsidRDefault="0053651E">
      <w:pPr>
        <w:pStyle w:val="a3"/>
        <w:spacing w:before="0" w:beforeAutospacing="0" w:after="0" w:afterAutospacing="0"/>
        <w:ind w:left="360"/>
        <w:jc w:val="both"/>
        <w:rPr>
          <w:sz w:val="20"/>
          <w:szCs w:val="20"/>
        </w:rPr>
      </w:pPr>
      <w:r>
        <w:rPr>
          <w:sz w:val="20"/>
          <w:szCs w:val="20"/>
        </w:rPr>
        <w:t>The Company's unvested restricted share awards contain non-forfeitable rights to distributions or distribution equivalents. The impact of the unvested restricted share awards on earnings per share has been calculated using the</w:t>
      </w:r>
      <w:r>
        <w:rPr>
          <w:sz w:val="20"/>
          <w:szCs w:val="20"/>
        </w:rPr>
        <w:t xml:space="preserve"> </w:t>
      </w:r>
      <w:r>
        <w:rPr>
          <w:rStyle w:val="a6"/>
          <w:i w:val="0"/>
          <w:iCs w:val="0"/>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14:paraId="40A509CD" w14:textId="77777777" w:rsidR="00000000" w:rsidRDefault="0053651E">
      <w:pPr>
        <w:pStyle w:val="a3"/>
        <w:spacing w:before="0" w:beforeAutospacing="0" w:after="0" w:afterAutospacing="0"/>
        <w:rPr>
          <w:sz w:val="20"/>
          <w:szCs w:val="20"/>
        </w:rPr>
      </w:pPr>
      <w:r>
        <w:rPr>
          <w:sz w:val="20"/>
          <w:szCs w:val="20"/>
        </w:rPr>
        <w:t> </w:t>
      </w:r>
    </w:p>
    <w:p w14:paraId="1675E421" w14:textId="77777777" w:rsidR="00000000" w:rsidRDefault="0053651E">
      <w:pPr>
        <w:divId w:val="176778204"/>
        <w:rPr>
          <w:rFonts w:eastAsia="Times New Roman"/>
          <w:sz w:val="20"/>
          <w:szCs w:val="20"/>
        </w:rPr>
      </w:pPr>
      <w:r>
        <w:rPr>
          <w:rFonts w:eastAsia="Times New Roman"/>
          <w:sz w:val="20"/>
          <w:szCs w:val="20"/>
        </w:rPr>
        <w:t xml:space="preserve">  </w:t>
      </w:r>
    </w:p>
    <w:p w14:paraId="43BD739F" w14:textId="77777777" w:rsidR="00000000" w:rsidRDefault="0053651E">
      <w:pPr>
        <w:pStyle w:val="a3"/>
        <w:spacing w:before="0" w:beforeAutospacing="0" w:after="0" w:afterAutospacing="0"/>
        <w:rPr>
          <w:sz w:val="20"/>
          <w:szCs w:val="20"/>
        </w:rPr>
      </w:pPr>
      <w:r>
        <w:rPr>
          <w:rStyle w:val="a6"/>
          <w:i w:val="0"/>
          <w:iCs w:val="0"/>
          <w:sz w:val="20"/>
          <w:szCs w:val="20"/>
        </w:rPr>
        <w:t>23.</w:t>
      </w:r>
      <w:r>
        <w:rPr>
          <w:sz w:val="20"/>
          <w:szCs w:val="20"/>
        </w:rPr>
        <w:t>  </w:t>
      </w:r>
      <w:r>
        <w:rPr>
          <w:sz w:val="20"/>
          <w:szCs w:val="20"/>
          <w:u w:val="single"/>
        </w:rPr>
        <w:t>Supplemental Financial Information (Unaudited):</w:t>
      </w:r>
    </w:p>
    <w:p w14:paraId="560965FD" w14:textId="77777777" w:rsidR="00000000" w:rsidRDefault="0053651E">
      <w:pPr>
        <w:pStyle w:val="a3"/>
        <w:spacing w:before="0" w:beforeAutospacing="0" w:after="0" w:afterAutospacing="0"/>
        <w:ind w:left="360"/>
        <w:jc w:val="both"/>
        <w:rPr>
          <w:sz w:val="20"/>
          <w:szCs w:val="20"/>
        </w:rPr>
      </w:pPr>
      <w:r>
        <w:rPr>
          <w:sz w:val="20"/>
          <w:szCs w:val="20"/>
        </w:rPr>
        <w:t> </w:t>
      </w:r>
    </w:p>
    <w:p w14:paraId="419A82D6" w14:textId="77777777" w:rsidR="00000000" w:rsidRDefault="0053651E">
      <w:pPr>
        <w:pStyle w:val="a3"/>
        <w:spacing w:before="0" w:beforeAutospacing="0" w:after="0" w:afterAutospacing="0"/>
        <w:ind w:left="360"/>
        <w:jc w:val="both"/>
        <w:rPr>
          <w:sz w:val="20"/>
          <w:szCs w:val="20"/>
        </w:rPr>
      </w:pPr>
      <w:r>
        <w:rPr>
          <w:sz w:val="20"/>
          <w:szCs w:val="20"/>
        </w:rPr>
        <w:t xml:space="preserve">The following represents </w:t>
      </w:r>
      <w:r>
        <w:rPr>
          <w:sz w:val="20"/>
          <w:szCs w:val="20"/>
        </w:rPr>
        <w:t>the quarterly results of operations, expressed in thousands except per share amounts, 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p>
    <w:p w14:paraId="5F9A231B" w14:textId="77777777" w:rsidR="00000000" w:rsidRDefault="0053651E">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14:paraId="1DC46BE8" w14:textId="77777777">
        <w:trPr>
          <w:tblCellSpacing w:w="0" w:type="dxa"/>
        </w:trPr>
        <w:tc>
          <w:tcPr>
            <w:tcW w:w="0" w:type="auto"/>
            <w:vAlign w:val="bottom"/>
            <w:hideMark/>
          </w:tcPr>
          <w:p w14:paraId="3741BB1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FB26978" w14:textId="77777777" w:rsidR="00000000" w:rsidRDefault="0053651E">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14:paraId="2A8508D2"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CB02D3D" w14:textId="77777777" w:rsidR="00000000" w:rsidRDefault="0053651E">
            <w:pPr>
              <w:rPr>
                <w:rFonts w:eastAsia="Times New Roman"/>
                <w:sz w:val="20"/>
                <w:szCs w:val="20"/>
              </w:rPr>
            </w:pPr>
            <w:r>
              <w:rPr>
                <w:rFonts w:eastAsia="Times New Roman"/>
                <w:sz w:val="20"/>
                <w:szCs w:val="20"/>
              </w:rPr>
              <w:t> </w:t>
            </w:r>
          </w:p>
        </w:tc>
      </w:tr>
      <w:tr w:rsidR="00000000" w14:paraId="01E8701C" w14:textId="77777777">
        <w:trPr>
          <w:tblCellSpacing w:w="0" w:type="dxa"/>
        </w:trPr>
        <w:tc>
          <w:tcPr>
            <w:tcW w:w="0" w:type="auto"/>
            <w:vAlign w:val="bottom"/>
            <w:hideMark/>
          </w:tcPr>
          <w:p w14:paraId="136C6898"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0F5435E"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C26572D" w14:textId="77777777" w:rsidR="00000000" w:rsidRDefault="0053651E">
            <w:pPr>
              <w:pStyle w:val="a3"/>
              <w:spacing w:before="0" w:beforeAutospacing="0" w:after="0" w:afterAutospacing="0"/>
              <w:jc w:val="center"/>
              <w:rPr>
                <w:sz w:val="20"/>
                <w:szCs w:val="20"/>
              </w:rPr>
            </w:pPr>
            <w:r>
              <w:rPr>
                <w:b/>
                <w:bCs/>
                <w:sz w:val="20"/>
                <w:szCs w:val="20"/>
              </w:rPr>
              <w:t>First</w:t>
            </w:r>
          </w:p>
          <w:p w14:paraId="05EB0DA7"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25776AE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14CF25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F9C5F4" w14:textId="77777777" w:rsidR="00000000" w:rsidRDefault="0053651E">
            <w:pPr>
              <w:pStyle w:val="a3"/>
              <w:spacing w:before="0" w:beforeAutospacing="0" w:after="0" w:afterAutospacing="0"/>
              <w:jc w:val="center"/>
              <w:rPr>
                <w:sz w:val="20"/>
                <w:szCs w:val="20"/>
              </w:rPr>
            </w:pPr>
            <w:r>
              <w:rPr>
                <w:b/>
                <w:bCs/>
                <w:sz w:val="20"/>
                <w:szCs w:val="20"/>
              </w:rPr>
              <w:t>Second</w:t>
            </w:r>
          </w:p>
          <w:p w14:paraId="1C2BED19"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5C33882F"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FFC6471"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0A61612" w14:textId="77777777" w:rsidR="00000000" w:rsidRDefault="0053651E">
            <w:pPr>
              <w:pStyle w:val="a3"/>
              <w:spacing w:before="0" w:beforeAutospacing="0" w:after="0" w:afterAutospacing="0"/>
              <w:jc w:val="center"/>
              <w:rPr>
                <w:sz w:val="20"/>
                <w:szCs w:val="20"/>
              </w:rPr>
            </w:pPr>
            <w:r>
              <w:rPr>
                <w:b/>
                <w:bCs/>
                <w:sz w:val="20"/>
                <w:szCs w:val="20"/>
              </w:rPr>
              <w:t>Third</w:t>
            </w:r>
          </w:p>
          <w:p w14:paraId="0EA99446"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1AA9EBD7"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3C9699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0E51242" w14:textId="77777777" w:rsidR="00000000" w:rsidRDefault="0053651E">
            <w:pPr>
              <w:pStyle w:val="a3"/>
              <w:spacing w:before="0" w:beforeAutospacing="0" w:after="0" w:afterAutospacing="0"/>
              <w:jc w:val="center"/>
              <w:rPr>
                <w:sz w:val="20"/>
                <w:szCs w:val="20"/>
              </w:rPr>
            </w:pPr>
            <w:r>
              <w:rPr>
                <w:b/>
                <w:bCs/>
                <w:sz w:val="20"/>
                <w:szCs w:val="20"/>
              </w:rPr>
              <w:t>Fourth</w:t>
            </w:r>
          </w:p>
          <w:p w14:paraId="4EFA5B99"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7598CC74" w14:textId="77777777" w:rsidR="00000000" w:rsidRDefault="0053651E">
            <w:pPr>
              <w:rPr>
                <w:rFonts w:eastAsia="Times New Roman"/>
                <w:sz w:val="20"/>
                <w:szCs w:val="20"/>
              </w:rPr>
            </w:pPr>
            <w:r>
              <w:rPr>
                <w:rFonts w:eastAsia="Times New Roman"/>
                <w:sz w:val="20"/>
                <w:szCs w:val="20"/>
              </w:rPr>
              <w:t> </w:t>
            </w:r>
          </w:p>
        </w:tc>
      </w:tr>
      <w:tr w:rsidR="00000000" w14:paraId="4104003B" w14:textId="77777777">
        <w:trPr>
          <w:tblCellSpacing w:w="0" w:type="dxa"/>
        </w:trPr>
        <w:tc>
          <w:tcPr>
            <w:tcW w:w="2400" w:type="pct"/>
            <w:shd w:val="clear" w:color="auto" w:fill="CCEEFF"/>
            <w:vAlign w:val="bottom"/>
            <w:hideMark/>
          </w:tcPr>
          <w:p w14:paraId="4D21A049" w14:textId="77777777" w:rsidR="00000000" w:rsidRDefault="0053651E">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14:paraId="1E0F009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0976DB0"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0C57CCF0" w14:textId="77777777" w:rsidR="00000000" w:rsidRDefault="0053651E">
            <w:pPr>
              <w:jc w:val="right"/>
              <w:rPr>
                <w:rFonts w:eastAsia="Times New Roman"/>
                <w:sz w:val="20"/>
                <w:szCs w:val="20"/>
              </w:rPr>
            </w:pPr>
            <w:r>
              <w:rPr>
                <w:rFonts w:eastAsia="Times New Roman"/>
                <w:sz w:val="20"/>
                <w:szCs w:val="20"/>
              </w:rPr>
              <w:t>295,010</w:t>
            </w:r>
          </w:p>
        </w:tc>
        <w:tc>
          <w:tcPr>
            <w:tcW w:w="50" w:type="pct"/>
            <w:tcBorders>
              <w:bottom w:val="nil"/>
            </w:tcBorders>
            <w:shd w:val="clear" w:color="auto" w:fill="CCEEFF"/>
            <w:vAlign w:val="bottom"/>
            <w:hideMark/>
          </w:tcPr>
          <w:p w14:paraId="1F5DB80E"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96AB2A5"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D5461AC"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933D561" w14:textId="77777777" w:rsidR="00000000" w:rsidRDefault="0053651E">
            <w:pPr>
              <w:jc w:val="right"/>
              <w:rPr>
                <w:rFonts w:eastAsia="Times New Roman"/>
                <w:sz w:val="20"/>
                <w:szCs w:val="20"/>
              </w:rPr>
            </w:pPr>
            <w:r>
              <w:rPr>
                <w:rFonts w:eastAsia="Times New Roman"/>
                <w:sz w:val="20"/>
                <w:szCs w:val="20"/>
              </w:rPr>
              <w:t>284,873</w:t>
            </w:r>
          </w:p>
        </w:tc>
        <w:tc>
          <w:tcPr>
            <w:tcW w:w="50" w:type="pct"/>
            <w:tcBorders>
              <w:bottom w:val="nil"/>
            </w:tcBorders>
            <w:shd w:val="clear" w:color="auto" w:fill="CCEEFF"/>
            <w:vAlign w:val="bottom"/>
            <w:hideMark/>
          </w:tcPr>
          <w:p w14:paraId="048DD889"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0B8C1A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AE930BA"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3EFF3759" w14:textId="77777777" w:rsidR="00000000" w:rsidRDefault="0053651E">
            <w:pPr>
              <w:jc w:val="right"/>
              <w:rPr>
                <w:rFonts w:eastAsia="Times New Roman"/>
                <w:sz w:val="20"/>
                <w:szCs w:val="20"/>
              </w:rPr>
            </w:pPr>
            <w:r>
              <w:rPr>
                <w:rFonts w:eastAsia="Times New Roman"/>
                <w:sz w:val="20"/>
                <w:szCs w:val="20"/>
              </w:rPr>
              <w:t>282,871</w:t>
            </w:r>
          </w:p>
        </w:tc>
        <w:tc>
          <w:tcPr>
            <w:tcW w:w="50" w:type="pct"/>
            <w:tcBorders>
              <w:bottom w:val="nil"/>
            </w:tcBorders>
            <w:shd w:val="clear" w:color="auto" w:fill="CCEEFF"/>
            <w:vAlign w:val="bottom"/>
            <w:hideMark/>
          </w:tcPr>
          <w:p w14:paraId="5FFB1AC3"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F3E84FB"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80585D"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42CAD70E" w14:textId="77777777" w:rsidR="00000000" w:rsidRDefault="0053651E">
            <w:pPr>
              <w:jc w:val="right"/>
              <w:rPr>
                <w:rFonts w:eastAsia="Times New Roman"/>
                <w:sz w:val="20"/>
                <w:szCs w:val="20"/>
              </w:rPr>
            </w:pPr>
            <w:r>
              <w:rPr>
                <w:rFonts w:eastAsia="Times New Roman"/>
                <w:sz w:val="20"/>
                <w:szCs w:val="20"/>
              </w:rPr>
              <w:t>296,130</w:t>
            </w:r>
          </w:p>
        </w:tc>
        <w:tc>
          <w:tcPr>
            <w:tcW w:w="50" w:type="pct"/>
            <w:tcBorders>
              <w:bottom w:val="nil"/>
            </w:tcBorders>
            <w:shd w:val="clear" w:color="auto" w:fill="CCEEFF"/>
            <w:vAlign w:val="bottom"/>
            <w:hideMark/>
          </w:tcPr>
          <w:p w14:paraId="7AA903CE" w14:textId="77777777" w:rsidR="00000000" w:rsidRDefault="0053651E">
            <w:pPr>
              <w:rPr>
                <w:rFonts w:eastAsia="Times New Roman"/>
                <w:sz w:val="20"/>
                <w:szCs w:val="20"/>
              </w:rPr>
            </w:pPr>
            <w:r>
              <w:rPr>
                <w:rFonts w:eastAsia="Times New Roman"/>
                <w:sz w:val="20"/>
                <w:szCs w:val="20"/>
              </w:rPr>
              <w:t> </w:t>
            </w:r>
          </w:p>
        </w:tc>
      </w:tr>
      <w:tr w:rsidR="00000000" w14:paraId="107BEAD0" w14:textId="77777777">
        <w:trPr>
          <w:tblCellSpacing w:w="0" w:type="dxa"/>
        </w:trPr>
        <w:tc>
          <w:tcPr>
            <w:tcW w:w="0" w:type="auto"/>
            <w:shd w:val="clear" w:color="auto" w:fill="FFFFFF"/>
            <w:vAlign w:val="bottom"/>
            <w:hideMark/>
          </w:tcPr>
          <w:p w14:paraId="51899DCA" w14:textId="77777777" w:rsidR="00000000" w:rsidRDefault="0053651E">
            <w:pPr>
              <w:pStyle w:val="a3"/>
              <w:spacing w:before="0" w:beforeAutospacing="0" w:after="0" w:afterAutospacing="0"/>
              <w:rPr>
                <w:sz w:val="20"/>
                <w:szCs w:val="20"/>
              </w:rPr>
            </w:pPr>
            <w:r>
              <w:rPr>
                <w:sz w:val="20"/>
                <w:szCs w:val="20"/>
              </w:rPr>
              <w:t>Net income attributable to the Company</w:t>
            </w:r>
          </w:p>
        </w:tc>
        <w:tc>
          <w:tcPr>
            <w:tcW w:w="50" w:type="pct"/>
            <w:shd w:val="clear" w:color="auto" w:fill="FFFFFF"/>
            <w:vAlign w:val="bottom"/>
            <w:hideMark/>
          </w:tcPr>
          <w:p w14:paraId="27773D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87DF4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0B8CED40" w14:textId="77777777" w:rsidR="00000000" w:rsidRDefault="0053651E">
            <w:pPr>
              <w:jc w:val="right"/>
              <w:rPr>
                <w:rFonts w:eastAsia="Times New Roman"/>
                <w:sz w:val="20"/>
                <w:szCs w:val="20"/>
              </w:rPr>
            </w:pPr>
            <w:r>
              <w:rPr>
                <w:rFonts w:eastAsia="Times New Roman"/>
                <w:sz w:val="20"/>
                <w:szCs w:val="20"/>
              </w:rPr>
              <w:t>116,169</w:t>
            </w:r>
          </w:p>
        </w:tc>
        <w:tc>
          <w:tcPr>
            <w:tcW w:w="50" w:type="pct"/>
            <w:shd w:val="clear" w:color="auto" w:fill="FFFFFF"/>
            <w:vAlign w:val="bottom"/>
            <w:hideMark/>
          </w:tcPr>
          <w:p w14:paraId="387676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BC872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990FE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504B225" w14:textId="77777777" w:rsidR="00000000" w:rsidRDefault="0053651E">
            <w:pPr>
              <w:jc w:val="right"/>
              <w:rPr>
                <w:rFonts w:eastAsia="Times New Roman"/>
                <w:sz w:val="20"/>
                <w:szCs w:val="20"/>
              </w:rPr>
            </w:pPr>
            <w:r>
              <w:rPr>
                <w:rFonts w:eastAsia="Times New Roman"/>
                <w:sz w:val="20"/>
                <w:szCs w:val="20"/>
              </w:rPr>
              <w:t>101,027</w:t>
            </w:r>
          </w:p>
        </w:tc>
        <w:tc>
          <w:tcPr>
            <w:tcW w:w="50" w:type="pct"/>
            <w:shd w:val="clear" w:color="auto" w:fill="FFFFFF"/>
            <w:vAlign w:val="bottom"/>
            <w:hideMark/>
          </w:tcPr>
          <w:p w14:paraId="4032EE0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E1C83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CC0CF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B19AE0E" w14:textId="77777777" w:rsidR="00000000" w:rsidRDefault="0053651E">
            <w:pPr>
              <w:jc w:val="right"/>
              <w:rPr>
                <w:rFonts w:eastAsia="Times New Roman"/>
                <w:sz w:val="20"/>
                <w:szCs w:val="20"/>
              </w:rPr>
            </w:pPr>
            <w:r>
              <w:rPr>
                <w:rFonts w:eastAsia="Times New Roman"/>
                <w:sz w:val="20"/>
                <w:szCs w:val="20"/>
              </w:rPr>
              <w:t>83,990</w:t>
            </w:r>
          </w:p>
        </w:tc>
        <w:tc>
          <w:tcPr>
            <w:tcW w:w="50" w:type="pct"/>
            <w:shd w:val="clear" w:color="auto" w:fill="FFFFFF"/>
            <w:vAlign w:val="bottom"/>
            <w:hideMark/>
          </w:tcPr>
          <w:p w14:paraId="6337189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B739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377BCB"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6694E406" w14:textId="77777777" w:rsidR="00000000" w:rsidRDefault="0053651E">
            <w:pPr>
              <w:jc w:val="right"/>
              <w:rPr>
                <w:rFonts w:eastAsia="Times New Roman"/>
                <w:sz w:val="20"/>
                <w:szCs w:val="20"/>
              </w:rPr>
            </w:pPr>
            <w:r>
              <w:rPr>
                <w:rFonts w:eastAsia="Times New Roman"/>
                <w:sz w:val="20"/>
                <w:szCs w:val="20"/>
              </w:rPr>
              <w:t>109,419</w:t>
            </w:r>
          </w:p>
        </w:tc>
        <w:tc>
          <w:tcPr>
            <w:tcW w:w="50" w:type="pct"/>
            <w:shd w:val="clear" w:color="auto" w:fill="FFFFFF"/>
            <w:vAlign w:val="bottom"/>
            <w:hideMark/>
          </w:tcPr>
          <w:p w14:paraId="78FCACBE" w14:textId="77777777" w:rsidR="00000000" w:rsidRDefault="0053651E">
            <w:pPr>
              <w:rPr>
                <w:rFonts w:eastAsia="Times New Roman"/>
                <w:sz w:val="20"/>
                <w:szCs w:val="20"/>
              </w:rPr>
            </w:pPr>
            <w:r>
              <w:rPr>
                <w:rFonts w:eastAsia="Times New Roman"/>
                <w:sz w:val="20"/>
                <w:szCs w:val="20"/>
              </w:rPr>
              <w:t> </w:t>
            </w:r>
          </w:p>
        </w:tc>
      </w:tr>
      <w:tr w:rsidR="00000000" w14:paraId="5CA84FFE" w14:textId="77777777">
        <w:trPr>
          <w:tblCellSpacing w:w="0" w:type="dxa"/>
        </w:trPr>
        <w:tc>
          <w:tcPr>
            <w:tcW w:w="0" w:type="auto"/>
            <w:shd w:val="clear" w:color="auto" w:fill="CCEEFF"/>
            <w:vAlign w:val="bottom"/>
            <w:hideMark/>
          </w:tcPr>
          <w:p w14:paraId="7CEBF5B7" w14:textId="77777777" w:rsidR="00000000" w:rsidRDefault="0053651E">
            <w:pPr>
              <w:pStyle w:val="a3"/>
              <w:spacing w:before="0" w:beforeAutospacing="0" w:after="0" w:afterAutospacing="0"/>
              <w:rPr>
                <w:sz w:val="20"/>
                <w:szCs w:val="20"/>
              </w:rPr>
            </w:pPr>
            <w:r>
              <w:rPr>
                <w:sz w:val="20"/>
                <w:szCs w:val="20"/>
              </w:rPr>
              <w:t>Net income per common share:</w:t>
            </w:r>
          </w:p>
        </w:tc>
        <w:tc>
          <w:tcPr>
            <w:tcW w:w="0" w:type="auto"/>
            <w:shd w:val="clear" w:color="auto" w:fill="CCEEFF"/>
            <w:vAlign w:val="bottom"/>
            <w:hideMark/>
          </w:tcPr>
          <w:p w14:paraId="033E6A9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CC9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2A8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72A7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5822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F86C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21F5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8218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BB76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79F1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F29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335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7FC1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FDA3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01CE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2432F" w14:textId="77777777" w:rsidR="00000000" w:rsidRDefault="0053651E">
            <w:pPr>
              <w:rPr>
                <w:rFonts w:eastAsia="Times New Roman"/>
                <w:sz w:val="20"/>
                <w:szCs w:val="20"/>
              </w:rPr>
            </w:pPr>
            <w:r>
              <w:rPr>
                <w:rFonts w:eastAsia="Times New Roman"/>
                <w:sz w:val="20"/>
                <w:szCs w:val="20"/>
              </w:rPr>
              <w:t> </w:t>
            </w:r>
          </w:p>
        </w:tc>
      </w:tr>
      <w:tr w:rsidR="00000000" w14:paraId="6F2EE69E" w14:textId="77777777">
        <w:trPr>
          <w:tblCellSpacing w:w="0" w:type="dxa"/>
        </w:trPr>
        <w:tc>
          <w:tcPr>
            <w:tcW w:w="0" w:type="auto"/>
            <w:shd w:val="clear" w:color="auto" w:fill="FFFFFF"/>
            <w:vAlign w:val="bottom"/>
            <w:hideMark/>
          </w:tcPr>
          <w:p w14:paraId="4011AF05" w14:textId="77777777" w:rsidR="00000000" w:rsidRDefault="0053651E">
            <w:pPr>
              <w:pStyle w:val="a3"/>
              <w:spacing w:before="0" w:beforeAutospacing="0" w:after="0" w:afterAutospacing="0"/>
              <w:ind w:left="180"/>
              <w:rPr>
                <w:sz w:val="20"/>
                <w:szCs w:val="20"/>
              </w:rPr>
            </w:pPr>
            <w:r>
              <w:rPr>
                <w:sz w:val="20"/>
                <w:szCs w:val="20"/>
              </w:rPr>
              <w:t>Basic</w:t>
            </w:r>
          </w:p>
        </w:tc>
        <w:tc>
          <w:tcPr>
            <w:tcW w:w="50" w:type="pct"/>
            <w:shd w:val="clear" w:color="auto" w:fill="FFFFFF"/>
            <w:vAlign w:val="bottom"/>
            <w:hideMark/>
          </w:tcPr>
          <w:p w14:paraId="017434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072D83"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869D5A1" w14:textId="77777777" w:rsidR="00000000" w:rsidRDefault="0053651E">
            <w:pPr>
              <w:jc w:val="right"/>
              <w:rPr>
                <w:rFonts w:eastAsia="Times New Roman"/>
                <w:sz w:val="20"/>
                <w:szCs w:val="20"/>
              </w:rPr>
            </w:pPr>
            <w:r>
              <w:rPr>
                <w:rFonts w:eastAsia="Times New Roman"/>
                <w:sz w:val="20"/>
                <w:szCs w:val="20"/>
              </w:rPr>
              <w:t>0.24</w:t>
            </w:r>
          </w:p>
        </w:tc>
        <w:tc>
          <w:tcPr>
            <w:tcW w:w="50" w:type="pct"/>
            <w:shd w:val="clear" w:color="auto" w:fill="FFFFFF"/>
            <w:vAlign w:val="bottom"/>
            <w:hideMark/>
          </w:tcPr>
          <w:p w14:paraId="1F355B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F1F7B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B89E4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A9C636E" w14:textId="77777777" w:rsidR="00000000" w:rsidRDefault="0053651E">
            <w:pPr>
              <w:jc w:val="right"/>
              <w:rPr>
                <w:rFonts w:eastAsia="Times New Roman"/>
                <w:sz w:val="20"/>
                <w:szCs w:val="20"/>
              </w:rPr>
            </w:pPr>
            <w:r>
              <w:rPr>
                <w:rFonts w:eastAsia="Times New Roman"/>
                <w:sz w:val="20"/>
                <w:szCs w:val="20"/>
              </w:rPr>
              <w:t>0.20</w:t>
            </w:r>
          </w:p>
        </w:tc>
        <w:tc>
          <w:tcPr>
            <w:tcW w:w="50" w:type="pct"/>
            <w:shd w:val="clear" w:color="auto" w:fill="FFFFFF"/>
            <w:vAlign w:val="bottom"/>
            <w:hideMark/>
          </w:tcPr>
          <w:p w14:paraId="6C9F4C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52262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8E32F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5246A358" w14:textId="77777777" w:rsidR="00000000" w:rsidRDefault="0053651E">
            <w:pPr>
              <w:jc w:val="right"/>
              <w:rPr>
                <w:rFonts w:eastAsia="Times New Roman"/>
                <w:sz w:val="20"/>
                <w:szCs w:val="20"/>
              </w:rPr>
            </w:pPr>
            <w:r>
              <w:rPr>
                <w:rFonts w:eastAsia="Times New Roman"/>
                <w:sz w:val="20"/>
                <w:szCs w:val="20"/>
              </w:rPr>
              <w:t>0.14</w:t>
            </w:r>
          </w:p>
        </w:tc>
        <w:tc>
          <w:tcPr>
            <w:tcW w:w="50" w:type="pct"/>
            <w:shd w:val="clear" w:color="auto" w:fill="FFFFFF"/>
            <w:vAlign w:val="bottom"/>
            <w:hideMark/>
          </w:tcPr>
          <w:p w14:paraId="7AF550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2B3B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AC70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8014309" w14:textId="77777777" w:rsidR="00000000" w:rsidRDefault="0053651E">
            <w:pPr>
              <w:jc w:val="right"/>
              <w:rPr>
                <w:rFonts w:eastAsia="Times New Roman"/>
                <w:sz w:val="20"/>
                <w:szCs w:val="20"/>
              </w:rPr>
            </w:pPr>
            <w:r>
              <w:rPr>
                <w:rFonts w:eastAsia="Times New Roman"/>
                <w:sz w:val="20"/>
                <w:szCs w:val="20"/>
              </w:rPr>
              <w:t>0.22</w:t>
            </w:r>
          </w:p>
        </w:tc>
        <w:tc>
          <w:tcPr>
            <w:tcW w:w="50" w:type="pct"/>
            <w:shd w:val="clear" w:color="auto" w:fill="FFFFFF"/>
            <w:vAlign w:val="bottom"/>
            <w:hideMark/>
          </w:tcPr>
          <w:p w14:paraId="237589A9" w14:textId="77777777" w:rsidR="00000000" w:rsidRDefault="0053651E">
            <w:pPr>
              <w:rPr>
                <w:rFonts w:eastAsia="Times New Roman"/>
                <w:sz w:val="20"/>
                <w:szCs w:val="20"/>
              </w:rPr>
            </w:pPr>
            <w:r>
              <w:rPr>
                <w:rFonts w:eastAsia="Times New Roman"/>
                <w:sz w:val="20"/>
                <w:szCs w:val="20"/>
              </w:rPr>
              <w:t> </w:t>
            </w:r>
          </w:p>
        </w:tc>
      </w:tr>
      <w:tr w:rsidR="00000000" w14:paraId="06069327" w14:textId="77777777">
        <w:trPr>
          <w:tblCellSpacing w:w="0" w:type="dxa"/>
        </w:trPr>
        <w:tc>
          <w:tcPr>
            <w:tcW w:w="0" w:type="auto"/>
            <w:shd w:val="clear" w:color="auto" w:fill="CCEEFF"/>
            <w:vAlign w:val="bottom"/>
            <w:hideMark/>
          </w:tcPr>
          <w:p w14:paraId="75522D83" w14:textId="77777777" w:rsidR="00000000" w:rsidRDefault="0053651E">
            <w:pPr>
              <w:pStyle w:val="a3"/>
              <w:spacing w:before="0" w:beforeAutospacing="0" w:after="0" w:afterAutospacing="0"/>
              <w:ind w:left="180"/>
              <w:rPr>
                <w:sz w:val="20"/>
                <w:szCs w:val="20"/>
              </w:rPr>
            </w:pPr>
            <w:r>
              <w:rPr>
                <w:sz w:val="20"/>
                <w:szCs w:val="20"/>
              </w:rPr>
              <w:t>Diluted</w:t>
            </w:r>
          </w:p>
        </w:tc>
        <w:tc>
          <w:tcPr>
            <w:tcW w:w="50" w:type="pct"/>
            <w:shd w:val="clear" w:color="auto" w:fill="CCEEFF"/>
            <w:vAlign w:val="bottom"/>
            <w:hideMark/>
          </w:tcPr>
          <w:p w14:paraId="6CA8ED0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99274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39851953" w14:textId="77777777" w:rsidR="00000000" w:rsidRDefault="0053651E">
            <w:pPr>
              <w:jc w:val="right"/>
              <w:rPr>
                <w:rFonts w:eastAsia="Times New Roman"/>
                <w:sz w:val="20"/>
                <w:szCs w:val="20"/>
              </w:rPr>
            </w:pPr>
            <w:r>
              <w:rPr>
                <w:rFonts w:eastAsia="Times New Roman"/>
                <w:sz w:val="20"/>
                <w:szCs w:val="20"/>
              </w:rPr>
              <w:t>0.24</w:t>
            </w:r>
          </w:p>
        </w:tc>
        <w:tc>
          <w:tcPr>
            <w:tcW w:w="50" w:type="pct"/>
            <w:shd w:val="clear" w:color="auto" w:fill="CCEEFF"/>
            <w:vAlign w:val="bottom"/>
            <w:hideMark/>
          </w:tcPr>
          <w:p w14:paraId="42295E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8A9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6047B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BAC73EC" w14:textId="77777777" w:rsidR="00000000" w:rsidRDefault="0053651E">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14:paraId="21E81E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DE088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F9ACC9"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45666606" w14:textId="77777777" w:rsidR="00000000" w:rsidRDefault="0053651E">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14:paraId="0464C73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3AD3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C75BC0"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0B17A740" w14:textId="77777777" w:rsidR="00000000" w:rsidRDefault="0053651E">
            <w:pPr>
              <w:jc w:val="right"/>
              <w:rPr>
                <w:rFonts w:eastAsia="Times New Roman"/>
                <w:sz w:val="20"/>
                <w:szCs w:val="20"/>
              </w:rPr>
            </w:pPr>
            <w:r>
              <w:rPr>
                <w:rFonts w:eastAsia="Times New Roman"/>
                <w:sz w:val="20"/>
                <w:szCs w:val="20"/>
              </w:rPr>
              <w:t>0.22</w:t>
            </w:r>
          </w:p>
        </w:tc>
        <w:tc>
          <w:tcPr>
            <w:tcW w:w="50" w:type="pct"/>
            <w:shd w:val="clear" w:color="auto" w:fill="CCEEFF"/>
            <w:vAlign w:val="bottom"/>
            <w:hideMark/>
          </w:tcPr>
          <w:p w14:paraId="2577F534" w14:textId="77777777" w:rsidR="00000000" w:rsidRDefault="0053651E">
            <w:pPr>
              <w:rPr>
                <w:rFonts w:eastAsia="Times New Roman"/>
                <w:sz w:val="20"/>
                <w:szCs w:val="20"/>
              </w:rPr>
            </w:pPr>
            <w:r>
              <w:rPr>
                <w:rFonts w:eastAsia="Times New Roman"/>
                <w:sz w:val="20"/>
                <w:szCs w:val="20"/>
              </w:rPr>
              <w:t> </w:t>
            </w:r>
          </w:p>
        </w:tc>
      </w:tr>
    </w:tbl>
    <w:p w14:paraId="4547E8AE" w14:textId="77777777" w:rsidR="00000000" w:rsidRDefault="0053651E">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14:paraId="0B2E0135" w14:textId="77777777">
        <w:trPr>
          <w:tblCellSpacing w:w="0" w:type="dxa"/>
        </w:trPr>
        <w:tc>
          <w:tcPr>
            <w:tcW w:w="0" w:type="auto"/>
            <w:vAlign w:val="bottom"/>
            <w:hideMark/>
          </w:tcPr>
          <w:p w14:paraId="72B626D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0FBDDF7" w14:textId="77777777" w:rsidR="00000000" w:rsidRDefault="0053651E">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14:paraId="697F35DA"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041E654" w14:textId="77777777" w:rsidR="00000000" w:rsidRDefault="0053651E">
            <w:pPr>
              <w:rPr>
                <w:rFonts w:eastAsia="Times New Roman"/>
                <w:sz w:val="20"/>
                <w:szCs w:val="20"/>
              </w:rPr>
            </w:pPr>
            <w:r>
              <w:rPr>
                <w:rFonts w:eastAsia="Times New Roman"/>
                <w:sz w:val="20"/>
                <w:szCs w:val="20"/>
              </w:rPr>
              <w:t> </w:t>
            </w:r>
          </w:p>
        </w:tc>
      </w:tr>
      <w:tr w:rsidR="00000000" w14:paraId="3D9681C0" w14:textId="77777777">
        <w:trPr>
          <w:tblCellSpacing w:w="0" w:type="dxa"/>
        </w:trPr>
        <w:tc>
          <w:tcPr>
            <w:tcW w:w="0" w:type="auto"/>
            <w:vAlign w:val="bottom"/>
            <w:hideMark/>
          </w:tcPr>
          <w:p w14:paraId="7EF0F5D0"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D13292A"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1F3328" w14:textId="77777777" w:rsidR="00000000" w:rsidRDefault="0053651E">
            <w:pPr>
              <w:pStyle w:val="a3"/>
              <w:spacing w:before="0" w:beforeAutospacing="0" w:after="0" w:afterAutospacing="0"/>
              <w:jc w:val="center"/>
              <w:rPr>
                <w:sz w:val="20"/>
                <w:szCs w:val="20"/>
              </w:rPr>
            </w:pPr>
            <w:r>
              <w:rPr>
                <w:b/>
                <w:bCs/>
                <w:sz w:val="20"/>
                <w:szCs w:val="20"/>
              </w:rPr>
              <w:t>First</w:t>
            </w:r>
          </w:p>
          <w:p w14:paraId="3EFA6BF5"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280C7B75"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1E90F1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F4F285" w14:textId="77777777" w:rsidR="00000000" w:rsidRDefault="0053651E">
            <w:pPr>
              <w:pStyle w:val="a3"/>
              <w:spacing w:before="0" w:beforeAutospacing="0" w:after="0" w:afterAutospacing="0"/>
              <w:jc w:val="center"/>
              <w:rPr>
                <w:sz w:val="20"/>
                <w:szCs w:val="20"/>
              </w:rPr>
            </w:pPr>
            <w:r>
              <w:rPr>
                <w:b/>
                <w:bCs/>
                <w:sz w:val="20"/>
                <w:szCs w:val="20"/>
              </w:rPr>
              <w:t>Second</w:t>
            </w:r>
          </w:p>
          <w:p w14:paraId="2408BA41"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7DDE033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492F1AC5"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22C8B7" w14:textId="77777777" w:rsidR="00000000" w:rsidRDefault="0053651E">
            <w:pPr>
              <w:pStyle w:val="a3"/>
              <w:spacing w:before="0" w:beforeAutospacing="0" w:after="0" w:afterAutospacing="0"/>
              <w:jc w:val="center"/>
              <w:rPr>
                <w:sz w:val="20"/>
                <w:szCs w:val="20"/>
              </w:rPr>
            </w:pPr>
            <w:r>
              <w:rPr>
                <w:b/>
                <w:bCs/>
                <w:sz w:val="20"/>
                <w:szCs w:val="20"/>
              </w:rPr>
              <w:t>Third</w:t>
            </w:r>
          </w:p>
          <w:p w14:paraId="647AE374"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5974C43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F983B1C"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E2085CD" w14:textId="77777777" w:rsidR="00000000" w:rsidRDefault="0053651E">
            <w:pPr>
              <w:pStyle w:val="a3"/>
              <w:spacing w:before="0" w:beforeAutospacing="0" w:after="0" w:afterAutospacing="0"/>
              <w:jc w:val="center"/>
              <w:rPr>
                <w:sz w:val="20"/>
                <w:szCs w:val="20"/>
              </w:rPr>
            </w:pPr>
            <w:r>
              <w:rPr>
                <w:b/>
                <w:bCs/>
                <w:sz w:val="20"/>
                <w:szCs w:val="20"/>
              </w:rPr>
              <w:t>Fourth</w:t>
            </w:r>
          </w:p>
          <w:p w14:paraId="00B9E138" w14:textId="77777777" w:rsidR="00000000" w:rsidRDefault="0053651E">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14:paraId="7601C95A" w14:textId="77777777" w:rsidR="00000000" w:rsidRDefault="0053651E">
            <w:pPr>
              <w:rPr>
                <w:rFonts w:eastAsia="Times New Roman"/>
                <w:sz w:val="20"/>
                <w:szCs w:val="20"/>
              </w:rPr>
            </w:pPr>
            <w:r>
              <w:rPr>
                <w:rFonts w:eastAsia="Times New Roman"/>
                <w:sz w:val="20"/>
                <w:szCs w:val="20"/>
              </w:rPr>
              <w:t> </w:t>
            </w:r>
          </w:p>
        </w:tc>
      </w:tr>
      <w:tr w:rsidR="00000000" w14:paraId="5B336D4A" w14:textId="77777777">
        <w:trPr>
          <w:tblCellSpacing w:w="0" w:type="dxa"/>
        </w:trPr>
        <w:tc>
          <w:tcPr>
            <w:tcW w:w="2400" w:type="pct"/>
            <w:shd w:val="clear" w:color="auto" w:fill="CCEEFF"/>
            <w:vAlign w:val="bottom"/>
            <w:hideMark/>
          </w:tcPr>
          <w:p w14:paraId="51FC7219" w14:textId="77777777" w:rsidR="00000000" w:rsidRDefault="0053651E">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14:paraId="5CB210A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634F1BE"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282AC62A" w14:textId="77777777" w:rsidR="00000000" w:rsidRDefault="0053651E">
            <w:pPr>
              <w:jc w:val="right"/>
              <w:rPr>
                <w:rFonts w:eastAsia="Times New Roman"/>
                <w:sz w:val="20"/>
                <w:szCs w:val="20"/>
              </w:rPr>
            </w:pPr>
            <w:r>
              <w:rPr>
                <w:rFonts w:eastAsia="Times New Roman"/>
                <w:sz w:val="20"/>
                <w:szCs w:val="20"/>
              </w:rPr>
              <w:t>304,078</w:t>
            </w:r>
          </w:p>
        </w:tc>
        <w:tc>
          <w:tcPr>
            <w:tcW w:w="50" w:type="pct"/>
            <w:tcBorders>
              <w:bottom w:val="nil"/>
            </w:tcBorders>
            <w:shd w:val="clear" w:color="auto" w:fill="CCEEFF"/>
            <w:vAlign w:val="bottom"/>
            <w:hideMark/>
          </w:tcPr>
          <w:p w14:paraId="0C00FF52"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D4F99E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1CFCD5F"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C066D8E" w14:textId="77777777" w:rsidR="00000000" w:rsidRDefault="0053651E">
            <w:pPr>
              <w:jc w:val="right"/>
              <w:rPr>
                <w:rFonts w:eastAsia="Times New Roman"/>
                <w:sz w:val="20"/>
                <w:szCs w:val="20"/>
              </w:rPr>
            </w:pPr>
            <w:r>
              <w:rPr>
                <w:rFonts w:eastAsia="Times New Roman"/>
                <w:sz w:val="20"/>
                <w:szCs w:val="20"/>
              </w:rPr>
              <w:t>293,403</w:t>
            </w:r>
          </w:p>
        </w:tc>
        <w:tc>
          <w:tcPr>
            <w:tcW w:w="50" w:type="pct"/>
            <w:tcBorders>
              <w:bottom w:val="nil"/>
            </w:tcBorders>
            <w:shd w:val="clear" w:color="auto" w:fill="CCEEFF"/>
            <w:vAlign w:val="bottom"/>
            <w:hideMark/>
          </w:tcPr>
          <w:p w14:paraId="4DA5DBB1"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EE9FFEC"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20BECC8"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3E878BCC" w14:textId="77777777" w:rsidR="00000000" w:rsidRDefault="0053651E">
            <w:pPr>
              <w:jc w:val="right"/>
              <w:rPr>
                <w:rFonts w:eastAsia="Times New Roman"/>
                <w:sz w:val="20"/>
                <w:szCs w:val="20"/>
              </w:rPr>
            </w:pPr>
            <w:r>
              <w:rPr>
                <w:rFonts w:eastAsia="Times New Roman"/>
                <w:sz w:val="20"/>
                <w:szCs w:val="20"/>
              </w:rPr>
              <w:t>283,080</w:t>
            </w:r>
          </w:p>
        </w:tc>
        <w:tc>
          <w:tcPr>
            <w:tcW w:w="50" w:type="pct"/>
            <w:tcBorders>
              <w:bottom w:val="nil"/>
            </w:tcBorders>
            <w:shd w:val="clear" w:color="auto" w:fill="CCEEFF"/>
            <w:vAlign w:val="bottom"/>
            <w:hideMark/>
          </w:tcPr>
          <w:p w14:paraId="710AF47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C514D86" w14:textId="77777777" w:rsidR="00000000" w:rsidRDefault="0053651E">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617F4DB" w14:textId="77777777" w:rsidR="00000000" w:rsidRDefault="0053651E">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401953F8" w14:textId="77777777" w:rsidR="00000000" w:rsidRDefault="0053651E">
            <w:pPr>
              <w:jc w:val="right"/>
              <w:rPr>
                <w:rFonts w:eastAsia="Times New Roman"/>
                <w:sz w:val="20"/>
                <w:szCs w:val="20"/>
              </w:rPr>
            </w:pPr>
            <w:r>
              <w:rPr>
                <w:rFonts w:eastAsia="Times New Roman"/>
                <w:sz w:val="20"/>
                <w:szCs w:val="20"/>
              </w:rPr>
              <w:t>284,201</w:t>
            </w:r>
          </w:p>
        </w:tc>
        <w:tc>
          <w:tcPr>
            <w:tcW w:w="50" w:type="pct"/>
            <w:tcBorders>
              <w:bottom w:val="nil"/>
            </w:tcBorders>
            <w:shd w:val="clear" w:color="auto" w:fill="CCEEFF"/>
            <w:vAlign w:val="bottom"/>
            <w:hideMark/>
          </w:tcPr>
          <w:p w14:paraId="26B725D7" w14:textId="77777777" w:rsidR="00000000" w:rsidRDefault="0053651E">
            <w:pPr>
              <w:rPr>
                <w:rFonts w:eastAsia="Times New Roman"/>
                <w:sz w:val="20"/>
                <w:szCs w:val="20"/>
              </w:rPr>
            </w:pPr>
            <w:r>
              <w:rPr>
                <w:rFonts w:eastAsia="Times New Roman"/>
                <w:sz w:val="20"/>
                <w:szCs w:val="20"/>
              </w:rPr>
              <w:t> </w:t>
            </w:r>
          </w:p>
        </w:tc>
      </w:tr>
      <w:tr w:rsidR="00000000" w14:paraId="1E7BAC36" w14:textId="77777777">
        <w:trPr>
          <w:tblCellSpacing w:w="0" w:type="dxa"/>
        </w:trPr>
        <w:tc>
          <w:tcPr>
            <w:tcW w:w="0" w:type="auto"/>
            <w:shd w:val="clear" w:color="auto" w:fill="FFFFFF"/>
            <w:vAlign w:val="bottom"/>
            <w:hideMark/>
          </w:tcPr>
          <w:p w14:paraId="5EF494F6" w14:textId="77777777" w:rsidR="00000000" w:rsidRDefault="0053651E">
            <w:pPr>
              <w:pStyle w:val="a3"/>
              <w:spacing w:before="0" w:beforeAutospacing="0" w:after="0" w:afterAutospacing="0"/>
              <w:rPr>
                <w:sz w:val="20"/>
                <w:szCs w:val="20"/>
              </w:rPr>
            </w:pPr>
            <w:r>
              <w:rPr>
                <w:sz w:val="20"/>
                <w:szCs w:val="20"/>
              </w:rPr>
              <w:t>Net income attributable to the Company</w:t>
            </w:r>
          </w:p>
        </w:tc>
        <w:tc>
          <w:tcPr>
            <w:tcW w:w="50" w:type="pct"/>
            <w:shd w:val="clear" w:color="auto" w:fill="FFFFFF"/>
            <w:vAlign w:val="bottom"/>
            <w:hideMark/>
          </w:tcPr>
          <w:p w14:paraId="68037C7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CB4FB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5ABE72A1" w14:textId="77777777" w:rsidR="00000000" w:rsidRDefault="0053651E">
            <w:pPr>
              <w:jc w:val="right"/>
              <w:rPr>
                <w:rFonts w:eastAsia="Times New Roman"/>
                <w:sz w:val="20"/>
                <w:szCs w:val="20"/>
              </w:rPr>
            </w:pPr>
            <w:r>
              <w:rPr>
                <w:rFonts w:eastAsia="Times New Roman"/>
                <w:sz w:val="20"/>
                <w:szCs w:val="20"/>
              </w:rPr>
              <w:t>144,090</w:t>
            </w:r>
          </w:p>
        </w:tc>
        <w:tc>
          <w:tcPr>
            <w:tcW w:w="50" w:type="pct"/>
            <w:shd w:val="clear" w:color="auto" w:fill="FFFFFF"/>
            <w:vAlign w:val="bottom"/>
            <w:hideMark/>
          </w:tcPr>
          <w:p w14:paraId="57405F1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8C85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E0627B"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132EE30D" w14:textId="77777777" w:rsidR="00000000" w:rsidRDefault="0053651E">
            <w:pPr>
              <w:jc w:val="right"/>
              <w:rPr>
                <w:rFonts w:eastAsia="Times New Roman"/>
                <w:sz w:val="20"/>
                <w:szCs w:val="20"/>
              </w:rPr>
            </w:pPr>
            <w:r>
              <w:rPr>
                <w:rFonts w:eastAsia="Times New Roman"/>
                <w:sz w:val="20"/>
                <w:szCs w:val="20"/>
              </w:rPr>
              <w:t>165,386</w:t>
            </w:r>
          </w:p>
        </w:tc>
        <w:tc>
          <w:tcPr>
            <w:tcW w:w="50" w:type="pct"/>
            <w:shd w:val="clear" w:color="auto" w:fill="FFFFFF"/>
            <w:vAlign w:val="bottom"/>
            <w:hideMark/>
          </w:tcPr>
          <w:p w14:paraId="08C91F7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C83B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9889A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78E50BAD" w14:textId="77777777" w:rsidR="00000000" w:rsidRDefault="0053651E">
            <w:pPr>
              <w:jc w:val="right"/>
              <w:rPr>
                <w:rFonts w:eastAsia="Times New Roman"/>
                <w:sz w:val="20"/>
                <w:szCs w:val="20"/>
              </w:rPr>
            </w:pPr>
            <w:r>
              <w:rPr>
                <w:rFonts w:eastAsia="Times New Roman"/>
                <w:sz w:val="20"/>
                <w:szCs w:val="20"/>
              </w:rPr>
              <w:t>100,158</w:t>
            </w:r>
          </w:p>
        </w:tc>
        <w:tc>
          <w:tcPr>
            <w:tcW w:w="50" w:type="pct"/>
            <w:shd w:val="clear" w:color="auto" w:fill="FFFFFF"/>
            <w:vAlign w:val="bottom"/>
            <w:hideMark/>
          </w:tcPr>
          <w:p w14:paraId="05FDE7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A348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20B6BB"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210EFD2D" w14:textId="77777777" w:rsidR="00000000" w:rsidRDefault="0053651E">
            <w:pPr>
              <w:jc w:val="right"/>
              <w:rPr>
                <w:rFonts w:eastAsia="Times New Roman"/>
                <w:sz w:val="20"/>
                <w:szCs w:val="20"/>
              </w:rPr>
            </w:pPr>
            <w:r>
              <w:rPr>
                <w:rFonts w:eastAsia="Times New Roman"/>
                <w:sz w:val="20"/>
                <w:szCs w:val="20"/>
              </w:rPr>
              <w:t>88,161</w:t>
            </w:r>
          </w:p>
        </w:tc>
        <w:tc>
          <w:tcPr>
            <w:tcW w:w="50" w:type="pct"/>
            <w:shd w:val="clear" w:color="auto" w:fill="FFFFFF"/>
            <w:vAlign w:val="bottom"/>
            <w:hideMark/>
          </w:tcPr>
          <w:p w14:paraId="571367A3" w14:textId="77777777" w:rsidR="00000000" w:rsidRDefault="0053651E">
            <w:pPr>
              <w:rPr>
                <w:rFonts w:eastAsia="Times New Roman"/>
                <w:sz w:val="20"/>
                <w:szCs w:val="20"/>
              </w:rPr>
            </w:pPr>
            <w:r>
              <w:rPr>
                <w:rFonts w:eastAsia="Times New Roman"/>
                <w:sz w:val="20"/>
                <w:szCs w:val="20"/>
              </w:rPr>
              <w:t> </w:t>
            </w:r>
          </w:p>
        </w:tc>
      </w:tr>
      <w:tr w:rsidR="00000000" w14:paraId="6A24AE56" w14:textId="77777777">
        <w:trPr>
          <w:tblCellSpacing w:w="0" w:type="dxa"/>
        </w:trPr>
        <w:tc>
          <w:tcPr>
            <w:tcW w:w="0" w:type="auto"/>
            <w:shd w:val="clear" w:color="auto" w:fill="CCEEFF"/>
            <w:vAlign w:val="bottom"/>
            <w:hideMark/>
          </w:tcPr>
          <w:p w14:paraId="098A5ED9" w14:textId="77777777" w:rsidR="00000000" w:rsidRDefault="0053651E">
            <w:pPr>
              <w:pStyle w:val="a3"/>
              <w:spacing w:before="0" w:beforeAutospacing="0" w:after="0" w:afterAutospacing="0"/>
              <w:rPr>
                <w:sz w:val="20"/>
                <w:szCs w:val="20"/>
              </w:rPr>
            </w:pPr>
            <w:r>
              <w:rPr>
                <w:sz w:val="20"/>
                <w:szCs w:val="20"/>
              </w:rPr>
              <w:t>Net income per common share:</w:t>
            </w:r>
          </w:p>
        </w:tc>
        <w:tc>
          <w:tcPr>
            <w:tcW w:w="0" w:type="auto"/>
            <w:shd w:val="clear" w:color="auto" w:fill="CCEEFF"/>
            <w:vAlign w:val="bottom"/>
            <w:hideMark/>
          </w:tcPr>
          <w:p w14:paraId="1C656C6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C360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B2AF5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DB1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91F6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7D4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DDB3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F1F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73C1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032C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9005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3DFF5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A67C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B303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5139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DFD8B" w14:textId="77777777" w:rsidR="00000000" w:rsidRDefault="0053651E">
            <w:pPr>
              <w:rPr>
                <w:rFonts w:eastAsia="Times New Roman"/>
                <w:sz w:val="20"/>
                <w:szCs w:val="20"/>
              </w:rPr>
            </w:pPr>
            <w:r>
              <w:rPr>
                <w:rFonts w:eastAsia="Times New Roman"/>
                <w:sz w:val="20"/>
                <w:szCs w:val="20"/>
              </w:rPr>
              <w:t> </w:t>
            </w:r>
          </w:p>
        </w:tc>
      </w:tr>
      <w:tr w:rsidR="00000000" w14:paraId="4FB2CB07" w14:textId="77777777">
        <w:trPr>
          <w:tblCellSpacing w:w="0" w:type="dxa"/>
        </w:trPr>
        <w:tc>
          <w:tcPr>
            <w:tcW w:w="0" w:type="auto"/>
            <w:shd w:val="clear" w:color="auto" w:fill="FFFFFF"/>
            <w:vAlign w:val="bottom"/>
            <w:hideMark/>
          </w:tcPr>
          <w:p w14:paraId="1C410837" w14:textId="77777777" w:rsidR="00000000" w:rsidRDefault="0053651E">
            <w:pPr>
              <w:pStyle w:val="a3"/>
              <w:spacing w:before="0" w:beforeAutospacing="0" w:after="0" w:afterAutospacing="0"/>
              <w:ind w:left="180"/>
              <w:rPr>
                <w:sz w:val="20"/>
                <w:szCs w:val="20"/>
              </w:rPr>
            </w:pPr>
            <w:r>
              <w:rPr>
                <w:sz w:val="20"/>
                <w:szCs w:val="20"/>
              </w:rPr>
              <w:t>Basic</w:t>
            </w:r>
          </w:p>
        </w:tc>
        <w:tc>
          <w:tcPr>
            <w:tcW w:w="50" w:type="pct"/>
            <w:shd w:val="clear" w:color="auto" w:fill="FFFFFF"/>
            <w:vAlign w:val="bottom"/>
            <w:hideMark/>
          </w:tcPr>
          <w:p w14:paraId="05E4D9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858E88"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19B9BC31" w14:textId="77777777" w:rsidR="00000000" w:rsidRDefault="0053651E">
            <w:pPr>
              <w:jc w:val="right"/>
              <w:rPr>
                <w:rFonts w:eastAsia="Times New Roman"/>
                <w:sz w:val="20"/>
                <w:szCs w:val="20"/>
              </w:rPr>
            </w:pPr>
            <w:r>
              <w:rPr>
                <w:rFonts w:eastAsia="Times New Roman"/>
                <w:sz w:val="20"/>
                <w:szCs w:val="20"/>
              </w:rPr>
              <w:t>0.30</w:t>
            </w:r>
          </w:p>
        </w:tc>
        <w:tc>
          <w:tcPr>
            <w:tcW w:w="50" w:type="pct"/>
            <w:shd w:val="clear" w:color="auto" w:fill="FFFFFF"/>
            <w:vAlign w:val="bottom"/>
            <w:hideMark/>
          </w:tcPr>
          <w:p w14:paraId="057573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EC1F1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7080D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4D0C1571" w14:textId="77777777" w:rsidR="00000000" w:rsidRDefault="0053651E">
            <w:pPr>
              <w:jc w:val="right"/>
              <w:rPr>
                <w:rFonts w:eastAsia="Times New Roman"/>
                <w:sz w:val="20"/>
                <w:szCs w:val="20"/>
              </w:rPr>
            </w:pPr>
            <w:r>
              <w:rPr>
                <w:rFonts w:eastAsia="Times New Roman"/>
                <w:sz w:val="20"/>
                <w:szCs w:val="20"/>
              </w:rPr>
              <w:t>0.36</w:t>
            </w:r>
          </w:p>
        </w:tc>
        <w:tc>
          <w:tcPr>
            <w:tcW w:w="50" w:type="pct"/>
            <w:shd w:val="clear" w:color="auto" w:fill="FFFFFF"/>
            <w:vAlign w:val="bottom"/>
            <w:hideMark/>
          </w:tcPr>
          <w:p w14:paraId="639F7F9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EFBBF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0BF92F"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066347EF" w14:textId="77777777" w:rsidR="00000000" w:rsidRDefault="0053651E">
            <w:pPr>
              <w:jc w:val="right"/>
              <w:rPr>
                <w:rFonts w:eastAsia="Times New Roman"/>
                <w:sz w:val="20"/>
                <w:szCs w:val="20"/>
              </w:rPr>
            </w:pPr>
            <w:r>
              <w:rPr>
                <w:rFonts w:eastAsia="Times New Roman"/>
                <w:sz w:val="20"/>
                <w:szCs w:val="20"/>
              </w:rPr>
              <w:t>0.19</w:t>
            </w:r>
          </w:p>
        </w:tc>
        <w:tc>
          <w:tcPr>
            <w:tcW w:w="50" w:type="pct"/>
            <w:shd w:val="clear" w:color="auto" w:fill="FFFFFF"/>
            <w:vAlign w:val="bottom"/>
            <w:hideMark/>
          </w:tcPr>
          <w:p w14:paraId="29CB56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CAA1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AF9C82" w14:textId="77777777" w:rsidR="00000000" w:rsidRDefault="0053651E">
            <w:pPr>
              <w:rPr>
                <w:rFonts w:eastAsia="Times New Roman"/>
                <w:sz w:val="20"/>
                <w:szCs w:val="20"/>
              </w:rPr>
            </w:pPr>
            <w:r>
              <w:rPr>
                <w:rFonts w:eastAsia="Times New Roman"/>
                <w:sz w:val="20"/>
                <w:szCs w:val="20"/>
              </w:rPr>
              <w:t>$</w:t>
            </w:r>
          </w:p>
        </w:tc>
        <w:tc>
          <w:tcPr>
            <w:tcW w:w="500" w:type="pct"/>
            <w:shd w:val="clear" w:color="auto" w:fill="FFFFFF"/>
            <w:vAlign w:val="bottom"/>
            <w:hideMark/>
          </w:tcPr>
          <w:p w14:paraId="3C13F42E" w14:textId="77777777" w:rsidR="00000000" w:rsidRDefault="0053651E">
            <w:pPr>
              <w:jc w:val="right"/>
              <w:rPr>
                <w:rFonts w:eastAsia="Times New Roman"/>
                <w:sz w:val="20"/>
                <w:szCs w:val="20"/>
              </w:rPr>
            </w:pPr>
            <w:r>
              <w:rPr>
                <w:rFonts w:eastAsia="Times New Roman"/>
                <w:sz w:val="20"/>
                <w:szCs w:val="20"/>
              </w:rPr>
              <w:t>0.17</w:t>
            </w:r>
          </w:p>
        </w:tc>
        <w:tc>
          <w:tcPr>
            <w:tcW w:w="50" w:type="pct"/>
            <w:shd w:val="clear" w:color="auto" w:fill="FFFFFF"/>
            <w:vAlign w:val="bottom"/>
            <w:hideMark/>
          </w:tcPr>
          <w:p w14:paraId="648B5117" w14:textId="77777777" w:rsidR="00000000" w:rsidRDefault="0053651E">
            <w:pPr>
              <w:rPr>
                <w:rFonts w:eastAsia="Times New Roman"/>
                <w:sz w:val="20"/>
                <w:szCs w:val="20"/>
              </w:rPr>
            </w:pPr>
            <w:r>
              <w:rPr>
                <w:rFonts w:eastAsia="Times New Roman"/>
                <w:sz w:val="20"/>
                <w:szCs w:val="20"/>
              </w:rPr>
              <w:t> </w:t>
            </w:r>
          </w:p>
        </w:tc>
      </w:tr>
      <w:tr w:rsidR="00000000" w14:paraId="175BE71C" w14:textId="77777777">
        <w:trPr>
          <w:tblCellSpacing w:w="0" w:type="dxa"/>
        </w:trPr>
        <w:tc>
          <w:tcPr>
            <w:tcW w:w="0" w:type="auto"/>
            <w:shd w:val="clear" w:color="auto" w:fill="CCEEFF"/>
            <w:vAlign w:val="bottom"/>
            <w:hideMark/>
          </w:tcPr>
          <w:p w14:paraId="1923A60F" w14:textId="77777777" w:rsidR="00000000" w:rsidRDefault="0053651E">
            <w:pPr>
              <w:pStyle w:val="a3"/>
              <w:spacing w:before="0" w:beforeAutospacing="0" w:after="0" w:afterAutospacing="0"/>
              <w:ind w:left="180"/>
              <w:rPr>
                <w:sz w:val="20"/>
                <w:szCs w:val="20"/>
              </w:rPr>
            </w:pPr>
            <w:r>
              <w:rPr>
                <w:sz w:val="20"/>
                <w:szCs w:val="20"/>
              </w:rPr>
              <w:t>Diluted</w:t>
            </w:r>
          </w:p>
        </w:tc>
        <w:tc>
          <w:tcPr>
            <w:tcW w:w="50" w:type="pct"/>
            <w:shd w:val="clear" w:color="auto" w:fill="CCEEFF"/>
            <w:vAlign w:val="bottom"/>
            <w:hideMark/>
          </w:tcPr>
          <w:p w14:paraId="07A6511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279D7"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3288D857" w14:textId="77777777" w:rsidR="00000000" w:rsidRDefault="0053651E">
            <w:pPr>
              <w:jc w:val="right"/>
              <w:rPr>
                <w:rFonts w:eastAsia="Times New Roman"/>
                <w:sz w:val="20"/>
                <w:szCs w:val="20"/>
              </w:rPr>
            </w:pPr>
            <w:r>
              <w:rPr>
                <w:rFonts w:eastAsia="Times New Roman"/>
                <w:sz w:val="20"/>
                <w:szCs w:val="20"/>
              </w:rPr>
              <w:t>0.30</w:t>
            </w:r>
          </w:p>
        </w:tc>
        <w:tc>
          <w:tcPr>
            <w:tcW w:w="50" w:type="pct"/>
            <w:shd w:val="clear" w:color="auto" w:fill="CCEEFF"/>
            <w:vAlign w:val="bottom"/>
            <w:hideMark/>
          </w:tcPr>
          <w:p w14:paraId="46E0540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0462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29034"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707310C0" w14:textId="77777777" w:rsidR="00000000" w:rsidRDefault="0053651E">
            <w:pPr>
              <w:jc w:val="right"/>
              <w:rPr>
                <w:rFonts w:eastAsia="Times New Roman"/>
                <w:sz w:val="20"/>
                <w:szCs w:val="20"/>
              </w:rPr>
            </w:pPr>
            <w:r>
              <w:rPr>
                <w:rFonts w:eastAsia="Times New Roman"/>
                <w:sz w:val="20"/>
                <w:szCs w:val="20"/>
              </w:rPr>
              <w:t>0.36</w:t>
            </w:r>
          </w:p>
        </w:tc>
        <w:tc>
          <w:tcPr>
            <w:tcW w:w="50" w:type="pct"/>
            <w:shd w:val="clear" w:color="auto" w:fill="CCEEFF"/>
            <w:vAlign w:val="bottom"/>
            <w:hideMark/>
          </w:tcPr>
          <w:p w14:paraId="09568B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B55C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8590DA"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4C12B677" w14:textId="77777777" w:rsidR="00000000" w:rsidRDefault="0053651E">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14:paraId="04EEC0B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63B28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C59A0C" w14:textId="77777777" w:rsidR="00000000" w:rsidRDefault="0053651E">
            <w:pPr>
              <w:rPr>
                <w:rFonts w:eastAsia="Times New Roman"/>
                <w:sz w:val="20"/>
                <w:szCs w:val="20"/>
              </w:rPr>
            </w:pPr>
            <w:r>
              <w:rPr>
                <w:rFonts w:eastAsia="Times New Roman"/>
                <w:sz w:val="20"/>
                <w:szCs w:val="20"/>
              </w:rPr>
              <w:t>$</w:t>
            </w:r>
          </w:p>
        </w:tc>
        <w:tc>
          <w:tcPr>
            <w:tcW w:w="500" w:type="pct"/>
            <w:shd w:val="clear" w:color="auto" w:fill="CCEEFF"/>
            <w:vAlign w:val="bottom"/>
            <w:hideMark/>
          </w:tcPr>
          <w:p w14:paraId="3CB39B7F" w14:textId="77777777" w:rsidR="00000000" w:rsidRDefault="0053651E">
            <w:pPr>
              <w:jc w:val="right"/>
              <w:rPr>
                <w:rFonts w:eastAsia="Times New Roman"/>
                <w:sz w:val="20"/>
                <w:szCs w:val="20"/>
              </w:rPr>
            </w:pPr>
            <w:r>
              <w:rPr>
                <w:rFonts w:eastAsia="Times New Roman"/>
                <w:sz w:val="20"/>
                <w:szCs w:val="20"/>
              </w:rPr>
              <w:t>0.17</w:t>
            </w:r>
          </w:p>
        </w:tc>
        <w:tc>
          <w:tcPr>
            <w:tcW w:w="50" w:type="pct"/>
            <w:shd w:val="clear" w:color="auto" w:fill="CCEEFF"/>
            <w:vAlign w:val="bottom"/>
            <w:hideMark/>
          </w:tcPr>
          <w:p w14:paraId="51612882" w14:textId="77777777" w:rsidR="00000000" w:rsidRDefault="0053651E">
            <w:pPr>
              <w:rPr>
                <w:rFonts w:eastAsia="Times New Roman"/>
                <w:sz w:val="20"/>
                <w:szCs w:val="20"/>
              </w:rPr>
            </w:pPr>
            <w:r>
              <w:rPr>
                <w:rFonts w:eastAsia="Times New Roman"/>
                <w:sz w:val="20"/>
                <w:szCs w:val="20"/>
              </w:rPr>
              <w:t> </w:t>
            </w:r>
          </w:p>
        </w:tc>
      </w:tr>
    </w:tbl>
    <w:p w14:paraId="3BBDD585" w14:textId="77777777" w:rsidR="00000000" w:rsidRDefault="0053651E">
      <w:pPr>
        <w:pStyle w:val="a3"/>
        <w:spacing w:before="0" w:beforeAutospacing="0" w:after="0" w:afterAutospacing="0"/>
        <w:ind w:left="360"/>
        <w:jc w:val="both"/>
        <w:rPr>
          <w:sz w:val="20"/>
          <w:szCs w:val="20"/>
        </w:rPr>
      </w:pPr>
      <w:r>
        <w:rPr>
          <w:sz w:val="20"/>
          <w:szCs w:val="20"/>
        </w:rPr>
        <w:t> </w:t>
      </w:r>
    </w:p>
    <w:p w14:paraId="7CB51991" w14:textId="77777777" w:rsidR="00000000" w:rsidRDefault="0053651E">
      <w:pPr>
        <w:jc w:val="center"/>
        <w:divId w:val="1070158320"/>
        <w:rPr>
          <w:rFonts w:eastAsia="Times New Roman"/>
          <w:sz w:val="20"/>
          <w:szCs w:val="20"/>
        </w:rPr>
      </w:pPr>
      <w:r>
        <w:rPr>
          <w:rStyle w:val="a6"/>
          <w:rFonts w:eastAsia="Times New Roman"/>
          <w:i w:val="0"/>
          <w:iCs w:val="0"/>
          <w:sz w:val="20"/>
          <w:szCs w:val="20"/>
        </w:rPr>
        <w:t>86</w:t>
      </w:r>
      <w:r>
        <w:rPr>
          <w:rFonts w:eastAsia="Times New Roman"/>
          <w:sz w:val="20"/>
          <w:szCs w:val="20"/>
        </w:rPr>
        <w:t xml:space="preserve"> </w:t>
      </w:r>
    </w:p>
    <w:p w14:paraId="4AA2D01A" w14:textId="77777777" w:rsidR="00000000" w:rsidRDefault="0053651E">
      <w:pPr>
        <w:divId w:val="1070158320"/>
        <w:rPr>
          <w:rFonts w:eastAsia="Times New Roman"/>
          <w:sz w:val="20"/>
          <w:szCs w:val="20"/>
        </w:rPr>
      </w:pPr>
      <w:r>
        <w:rPr>
          <w:rFonts w:eastAsia="Times New Roman"/>
          <w:sz w:val="20"/>
          <w:szCs w:val="20"/>
        </w:rPr>
        <w:pict w14:anchorId="79C0BBE8">
          <v:rect id="_x0000_i1117" style="width:415.3pt;height:1.5pt" o:hralign="center" o:hrstd="t" o:hrnoshade="t" o:hr="t" fillcolor="black" stroked="f"/>
        </w:pict>
      </w:r>
    </w:p>
    <w:p w14:paraId="63165C2C" w14:textId="77777777" w:rsidR="00000000" w:rsidRDefault="0053651E">
      <w:pPr>
        <w:divId w:val="10701583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BDADEF2" w14:textId="77777777" w:rsidR="00000000" w:rsidRDefault="0053651E">
      <w:pPr>
        <w:pStyle w:val="a3"/>
        <w:spacing w:before="0" w:beforeAutospacing="0" w:after="0" w:afterAutospacing="0"/>
        <w:rPr>
          <w:sz w:val="20"/>
          <w:szCs w:val="20"/>
        </w:rPr>
      </w:pPr>
      <w:r>
        <w:rPr>
          <w:sz w:val="20"/>
          <w:szCs w:val="20"/>
        </w:rPr>
        <w:t> </w:t>
      </w:r>
    </w:p>
    <w:p w14:paraId="46A7D762" w14:textId="77777777" w:rsidR="00000000" w:rsidRDefault="0053651E">
      <w:pPr>
        <w:pStyle w:val="a3"/>
        <w:spacing w:before="0" w:beforeAutospacing="0" w:after="0" w:afterAutospacing="0"/>
        <w:jc w:val="center"/>
        <w:rPr>
          <w:sz w:val="20"/>
          <w:szCs w:val="20"/>
        </w:rPr>
      </w:pPr>
      <w:r>
        <w:rPr>
          <w:sz w:val="20"/>
          <w:szCs w:val="20"/>
        </w:rPr>
        <w:t>KIMCO REALTY CORPORATION AND SUBSIDIARIES</w:t>
      </w:r>
    </w:p>
    <w:p w14:paraId="2FFEB2FA" w14:textId="77777777" w:rsidR="00000000" w:rsidRDefault="0053651E">
      <w:pPr>
        <w:pStyle w:val="a3"/>
        <w:spacing w:before="0" w:beforeAutospacing="0" w:after="0" w:afterAutospacing="0"/>
        <w:jc w:val="center"/>
        <w:rPr>
          <w:sz w:val="20"/>
          <w:szCs w:val="20"/>
        </w:rPr>
      </w:pPr>
      <w:r>
        <w:rPr>
          <w:sz w:val="20"/>
          <w:szCs w:val="20"/>
        </w:rPr>
        <w:t> </w:t>
      </w:r>
    </w:p>
    <w:p w14:paraId="5924FBA2" w14:textId="77777777" w:rsidR="00000000" w:rsidRDefault="0053651E">
      <w:pPr>
        <w:pStyle w:val="a3"/>
        <w:spacing w:before="0" w:beforeAutospacing="0" w:after="0" w:afterAutospacing="0"/>
        <w:ind w:left="144" w:right="144"/>
        <w:jc w:val="center"/>
        <w:rPr>
          <w:sz w:val="20"/>
          <w:szCs w:val="20"/>
        </w:rPr>
      </w:pPr>
      <w:r>
        <w:rPr>
          <w:sz w:val="20"/>
          <w:szCs w:val="20"/>
        </w:rPr>
        <w:t>NOTES TO CONSOLIDATED FINANCIAL STATEMENTS, continued</w:t>
      </w:r>
    </w:p>
    <w:p w14:paraId="7AD65562" w14:textId="77777777" w:rsidR="00000000" w:rsidRDefault="0053651E">
      <w:pPr>
        <w:pStyle w:val="a3"/>
        <w:spacing w:before="0" w:beforeAutospacing="0" w:after="0" w:afterAutospacing="0"/>
        <w:rPr>
          <w:sz w:val="20"/>
          <w:szCs w:val="20"/>
        </w:rPr>
      </w:pPr>
      <w:r>
        <w:rPr>
          <w:sz w:val="20"/>
          <w:szCs w:val="20"/>
        </w:rPr>
        <w:t> </w:t>
      </w:r>
    </w:p>
    <w:p w14:paraId="0B968126" w14:textId="77777777" w:rsidR="00000000" w:rsidRDefault="0053651E">
      <w:pPr>
        <w:divId w:val="321154979"/>
        <w:rPr>
          <w:rFonts w:eastAsia="Times New Roman"/>
          <w:sz w:val="20"/>
          <w:szCs w:val="20"/>
        </w:rPr>
      </w:pPr>
      <w:r>
        <w:rPr>
          <w:rFonts w:eastAsia="Times New Roman"/>
          <w:sz w:val="20"/>
          <w:szCs w:val="20"/>
        </w:rPr>
        <w:t xml:space="preserve">  </w:t>
      </w:r>
    </w:p>
    <w:p w14:paraId="27E53BB0" w14:textId="77777777" w:rsidR="00000000" w:rsidRDefault="0053651E">
      <w:pPr>
        <w:pStyle w:val="a3"/>
        <w:spacing w:before="0" w:beforeAutospacing="0" w:after="0" w:afterAutospacing="0"/>
        <w:ind w:left="1080" w:hanging="1080"/>
        <w:rPr>
          <w:sz w:val="20"/>
          <w:szCs w:val="20"/>
        </w:rPr>
      </w:pPr>
      <w:r>
        <w:rPr>
          <w:rStyle w:val="a6"/>
          <w:i w:val="0"/>
          <w:iCs w:val="0"/>
          <w:sz w:val="20"/>
          <w:szCs w:val="20"/>
        </w:rPr>
        <w:t>24.</w:t>
      </w:r>
      <w:r>
        <w:rPr>
          <w:sz w:val="20"/>
          <w:szCs w:val="20"/>
        </w:rPr>
        <w:t>  </w:t>
      </w:r>
      <w:r>
        <w:rPr>
          <w:sz w:val="20"/>
          <w:szCs w:val="20"/>
          <w:u w:val="single"/>
        </w:rPr>
        <w:t>Captive Insurance Company:</w:t>
      </w:r>
    </w:p>
    <w:p w14:paraId="202FA136" w14:textId="77777777" w:rsidR="00000000" w:rsidRDefault="0053651E">
      <w:pPr>
        <w:pStyle w:val="a3"/>
        <w:spacing w:before="0" w:beforeAutospacing="0" w:after="0" w:afterAutospacing="0"/>
        <w:ind w:left="360"/>
        <w:jc w:val="both"/>
        <w:rPr>
          <w:sz w:val="20"/>
          <w:szCs w:val="20"/>
        </w:rPr>
      </w:pPr>
      <w:r>
        <w:rPr>
          <w:sz w:val="20"/>
          <w:szCs w:val="20"/>
        </w:rPr>
        <w:t> </w:t>
      </w:r>
    </w:p>
    <w:p w14:paraId="5E485906" w14:textId="77777777" w:rsidR="00000000" w:rsidRDefault="0053651E">
      <w:pPr>
        <w:pStyle w:val="a3"/>
        <w:spacing w:before="0" w:beforeAutospacing="0" w:after="0" w:afterAutospacing="0"/>
        <w:ind w:left="360"/>
        <w:jc w:val="both"/>
        <w:rPr>
          <w:sz w:val="20"/>
          <w:szCs w:val="20"/>
        </w:rPr>
      </w:pPr>
      <w:r>
        <w:rPr>
          <w:sz w:val="20"/>
          <w:szCs w:val="20"/>
        </w:rPr>
        <w:t>In</w:t>
      </w:r>
      <w:r>
        <w:rPr>
          <w:sz w:val="20"/>
          <w:szCs w:val="20"/>
        </w:rPr>
        <w:t xml:space="preserve"> </w:t>
      </w:r>
      <w:r>
        <w:rPr>
          <w:rStyle w:val="a6"/>
          <w:i w:val="0"/>
          <w:iCs w:val="0"/>
          <w:sz w:val="20"/>
          <w:szCs w:val="20"/>
        </w:rPr>
        <w:t xml:space="preserve">October 2007, </w:t>
      </w:r>
      <w:r>
        <w:rPr>
          <w:sz w:val="20"/>
          <w:szCs w:val="20"/>
        </w:rPr>
        <w:t>the Company formed a wholly owned captive insurance company, KIC, which provides general liability insurance coverage for all losses below the deductible under the Company’s</w:t>
      </w:r>
      <w:r>
        <w:rPr>
          <w:sz w:val="20"/>
          <w:szCs w:val="20"/>
        </w:rPr>
        <w:t xml:space="preserve"> </w:t>
      </w:r>
      <w:r>
        <w:rPr>
          <w:rStyle w:val="a6"/>
          <w:i w:val="0"/>
          <w:iCs w:val="0"/>
          <w:sz w:val="20"/>
          <w:szCs w:val="20"/>
        </w:rPr>
        <w:t>third</w:t>
      </w:r>
      <w:r>
        <w:rPr>
          <w:sz w:val="20"/>
          <w:szCs w:val="20"/>
        </w:rPr>
        <w:t>-party liability insurance policy. The Company created KIC as part of its ove</w:t>
      </w:r>
      <w:r>
        <w:rPr>
          <w:sz w:val="20"/>
          <w:szCs w:val="20"/>
        </w:rPr>
        <w:t>rall risk management program and to stabilize its insurance costs, manage exposure and recoup expenses through the functions of the captive program. The Company capitalized KIC in accordance with the applicable regulatory requirements. KIC established annu</w:t>
      </w:r>
      <w:r>
        <w:rPr>
          <w:sz w:val="20"/>
          <w:szCs w:val="20"/>
        </w:rPr>
        <w:t>al premiums based on projections derived from the past loss experience of the Company’s properties. KIC has engaged an independent</w:t>
      </w:r>
      <w:r>
        <w:rPr>
          <w:sz w:val="20"/>
          <w:szCs w:val="20"/>
        </w:rPr>
        <w:t xml:space="preserve"> </w:t>
      </w:r>
      <w:r>
        <w:rPr>
          <w:rStyle w:val="a6"/>
          <w:i w:val="0"/>
          <w:iCs w:val="0"/>
          <w:sz w:val="20"/>
          <w:szCs w:val="20"/>
        </w:rPr>
        <w:t>third</w:t>
      </w:r>
      <w:r>
        <w:rPr>
          <w:sz w:val="20"/>
          <w:szCs w:val="20"/>
        </w:rPr>
        <w:t xml:space="preserve"> party to perform an actuarial estimate of future projected claims, related deductibles and projected expenses necessary</w:t>
      </w:r>
      <w:r>
        <w:rPr>
          <w:sz w:val="20"/>
          <w:szCs w:val="20"/>
        </w:rPr>
        <w:t xml:space="preserve"> to fund associated risk management programs. Premiums paid to KIC</w:t>
      </w:r>
      <w:r>
        <w:rPr>
          <w:sz w:val="20"/>
          <w:szCs w:val="20"/>
        </w:rPr>
        <w:t xml:space="preserve"> </w:t>
      </w:r>
      <w:r>
        <w:rPr>
          <w:rStyle w:val="a6"/>
          <w:i w:val="0"/>
          <w:iCs w:val="0"/>
          <w:sz w:val="20"/>
          <w:szCs w:val="20"/>
        </w:rPr>
        <w:t xml:space="preserve">may </w:t>
      </w:r>
      <w:r>
        <w:rPr>
          <w:sz w:val="20"/>
          <w:szCs w:val="20"/>
        </w:rPr>
        <w:t>be adjusted based on this estimate. Like premiums paid to</w:t>
      </w:r>
      <w:r>
        <w:rPr>
          <w:sz w:val="20"/>
          <w:szCs w:val="20"/>
        </w:rPr>
        <w:t xml:space="preserve"> </w:t>
      </w:r>
      <w:r>
        <w:rPr>
          <w:rStyle w:val="a6"/>
          <w:i w:val="0"/>
          <w:iCs w:val="0"/>
          <w:sz w:val="20"/>
          <w:szCs w:val="20"/>
        </w:rPr>
        <w:t>third</w:t>
      </w:r>
      <w:r>
        <w:rPr>
          <w:sz w:val="20"/>
          <w:szCs w:val="20"/>
        </w:rPr>
        <w:t>-party insurance companies, premiums paid to KIC</w:t>
      </w:r>
      <w:r>
        <w:rPr>
          <w:sz w:val="20"/>
          <w:szCs w:val="20"/>
        </w:rPr>
        <w:t xml:space="preserve"> </w:t>
      </w:r>
      <w:r>
        <w:rPr>
          <w:rStyle w:val="a6"/>
          <w:i w:val="0"/>
          <w:iCs w:val="0"/>
          <w:sz w:val="20"/>
          <w:szCs w:val="20"/>
        </w:rPr>
        <w:t xml:space="preserve">may </w:t>
      </w:r>
      <w:r>
        <w:rPr>
          <w:sz w:val="20"/>
          <w:szCs w:val="20"/>
        </w:rPr>
        <w:t>be reimbursed by tenants pursuant to specific lease terms.</w:t>
      </w:r>
    </w:p>
    <w:p w14:paraId="188C352A" w14:textId="77777777" w:rsidR="00000000" w:rsidRDefault="0053651E">
      <w:pPr>
        <w:pStyle w:val="a3"/>
        <w:spacing w:before="0" w:beforeAutospacing="0" w:after="0" w:afterAutospacing="0"/>
        <w:ind w:left="360"/>
        <w:jc w:val="both"/>
        <w:rPr>
          <w:sz w:val="20"/>
          <w:szCs w:val="20"/>
        </w:rPr>
      </w:pPr>
      <w:r>
        <w:rPr>
          <w:sz w:val="20"/>
          <w:szCs w:val="20"/>
        </w:rPr>
        <w:t> </w:t>
      </w:r>
    </w:p>
    <w:p w14:paraId="55E05B02" w14:textId="77777777" w:rsidR="00000000" w:rsidRDefault="0053651E">
      <w:pPr>
        <w:pStyle w:val="a3"/>
        <w:spacing w:before="0" w:beforeAutospacing="0" w:after="0" w:afterAutospacing="0"/>
        <w:ind w:left="360"/>
        <w:jc w:val="both"/>
        <w:rPr>
          <w:sz w:val="20"/>
          <w:szCs w:val="20"/>
        </w:rPr>
      </w:pPr>
      <w:r>
        <w:rPr>
          <w:sz w:val="20"/>
          <w:szCs w:val="20"/>
        </w:rPr>
        <w:t>KIC assu</w:t>
      </w:r>
      <w:r>
        <w:rPr>
          <w:sz w:val="20"/>
          <w:szCs w:val="20"/>
        </w:rPr>
        <w:t xml:space="preserve">mes occurrence basis general liability coverage </w:t>
      </w:r>
      <w:r>
        <w:rPr>
          <w:sz w:val="20"/>
          <w:szCs w:val="20"/>
        </w:rPr>
        <w:t>(</w:t>
      </w:r>
      <w:r>
        <w:rPr>
          <w:rStyle w:val="a6"/>
          <w:i w:val="0"/>
          <w:iCs w:val="0"/>
          <w:sz w:val="20"/>
          <w:szCs w:val="20"/>
        </w:rPr>
        <w:t>not</w:t>
      </w:r>
      <w:r>
        <w:rPr>
          <w:sz w:val="20"/>
          <w:szCs w:val="20"/>
        </w:rPr>
        <w:t xml:space="preserve"> including casualty loss or business interruption) for the Company and its affiliates under the terms of a reinsurance agreement entered into by KIC and the reinsurance provider.</w:t>
      </w:r>
    </w:p>
    <w:p w14:paraId="1B1031E6" w14:textId="77777777" w:rsidR="00000000" w:rsidRDefault="0053651E">
      <w:pPr>
        <w:pStyle w:val="a3"/>
        <w:spacing w:before="0" w:beforeAutospacing="0" w:after="0" w:afterAutospacing="0"/>
        <w:ind w:left="360"/>
        <w:jc w:val="both"/>
        <w:rPr>
          <w:sz w:val="20"/>
          <w:szCs w:val="20"/>
        </w:rPr>
      </w:pPr>
      <w:r>
        <w:rPr>
          <w:sz w:val="20"/>
          <w:szCs w:val="20"/>
        </w:rPr>
        <w:t> </w:t>
      </w:r>
    </w:p>
    <w:p w14:paraId="5756F3AF" w14:textId="77777777" w:rsidR="00000000" w:rsidRDefault="0053651E">
      <w:pPr>
        <w:pStyle w:val="a3"/>
        <w:spacing w:before="0" w:beforeAutospacing="0" w:after="0" w:afterAutospacing="0"/>
        <w:ind w:left="360"/>
        <w:jc w:val="both"/>
        <w:rPr>
          <w:sz w:val="20"/>
          <w:szCs w:val="20"/>
        </w:rPr>
      </w:pPr>
      <w:r>
        <w:rPr>
          <w:sz w:val="20"/>
          <w:szCs w:val="20"/>
        </w:rPr>
        <w:t>From</w:t>
      </w:r>
      <w:r>
        <w:rPr>
          <w:sz w:val="20"/>
          <w:szCs w:val="20"/>
        </w:rPr>
        <w:t xml:space="preserve"> </w:t>
      </w:r>
      <w:r>
        <w:rPr>
          <w:rStyle w:val="a6"/>
          <w:i w:val="0"/>
          <w:iCs w:val="0"/>
          <w:sz w:val="20"/>
          <w:szCs w:val="20"/>
        </w:rPr>
        <w:t xml:space="preserve">October 1, 2007 </w:t>
      </w:r>
      <w:r>
        <w:rPr>
          <w:sz w:val="20"/>
          <w:szCs w:val="20"/>
        </w:rPr>
        <w:t>th</w:t>
      </w:r>
      <w:r>
        <w:rPr>
          <w:sz w:val="20"/>
          <w:szCs w:val="20"/>
        </w:rPr>
        <w:t>rough</w:t>
      </w:r>
      <w:r>
        <w:rPr>
          <w:sz w:val="20"/>
          <w:szCs w:val="20"/>
        </w:rPr>
        <w:t xml:space="preserve"> </w:t>
      </w:r>
      <w:r>
        <w:rPr>
          <w:rStyle w:val="a6"/>
          <w:i w:val="0"/>
          <w:iCs w:val="0"/>
          <w:sz w:val="20"/>
          <w:szCs w:val="20"/>
        </w:rPr>
        <w:t xml:space="preserve">October 1, 2020, </w:t>
      </w:r>
      <w:r>
        <w:rPr>
          <w:sz w:val="20"/>
          <w:szCs w:val="20"/>
        </w:rPr>
        <w:t>KIC assumes 100% of the</w:t>
      </w:r>
      <w:r>
        <w:rPr>
          <w:sz w:val="20"/>
          <w:szCs w:val="20"/>
        </w:rPr>
        <w:t xml:space="preserve"> </w:t>
      </w:r>
      <w:r>
        <w:rPr>
          <w:rStyle w:val="a6"/>
          <w:i w:val="0"/>
          <w:iCs w:val="0"/>
          <w:sz w:val="20"/>
          <w:szCs w:val="20"/>
        </w:rPr>
        <w:t>first</w:t>
      </w:r>
      <w:r>
        <w:rPr>
          <w:sz w:val="20"/>
          <w:szCs w:val="20"/>
        </w:rPr>
        <w:t xml:space="preserve"> $250,000 per occurrence risk layer. This coverage is subject to annual aggregates ranging between $7.8 million and $11.1 </w:t>
      </w:r>
      <w:r>
        <w:rPr>
          <w:sz w:val="20"/>
          <w:szCs w:val="20"/>
        </w:rPr>
        <w:t xml:space="preserve">million per policy year. The annual aggregate is adjustable based on the amount of audited square footage of the insureds’ locations and can be adjusted for subsequent program years. Defense costs erode the stated policy limits. KIC is required to pay the </w:t>
      </w:r>
      <w:r>
        <w:rPr>
          <w:sz w:val="20"/>
          <w:szCs w:val="20"/>
        </w:rPr>
        <w:t>reinsurance provider for unallocated loss adjustment expenses an amount ranging between 8.0% and 12.2% of incurred losses for the policy periods ending</w:t>
      </w:r>
      <w:r>
        <w:rPr>
          <w:sz w:val="20"/>
          <w:szCs w:val="20"/>
        </w:rPr>
        <w:t xml:space="preserve"> </w:t>
      </w:r>
      <w:r>
        <w:rPr>
          <w:rStyle w:val="a6"/>
          <w:i w:val="0"/>
          <w:iCs w:val="0"/>
          <w:sz w:val="20"/>
          <w:szCs w:val="20"/>
        </w:rPr>
        <w:t xml:space="preserve">September 30, 2008 </w:t>
      </w:r>
      <w:r>
        <w:rPr>
          <w:sz w:val="20"/>
          <w:szCs w:val="20"/>
        </w:rPr>
        <w:t>through</w:t>
      </w:r>
      <w:r>
        <w:rPr>
          <w:sz w:val="20"/>
          <w:szCs w:val="20"/>
        </w:rPr>
        <w:t xml:space="preserve"> </w:t>
      </w:r>
      <w:r>
        <w:rPr>
          <w:rStyle w:val="a6"/>
          <w:i w:val="0"/>
          <w:iCs w:val="0"/>
          <w:sz w:val="20"/>
          <w:szCs w:val="20"/>
        </w:rPr>
        <w:t xml:space="preserve">September 30, 2020. </w:t>
      </w:r>
      <w:r>
        <w:rPr>
          <w:sz w:val="20"/>
          <w:szCs w:val="20"/>
        </w:rPr>
        <w:t>These amounts do</w:t>
      </w:r>
      <w:r>
        <w:rPr>
          <w:sz w:val="20"/>
          <w:szCs w:val="20"/>
        </w:rPr>
        <w:t xml:space="preserve"> </w:t>
      </w:r>
      <w:r>
        <w:rPr>
          <w:rStyle w:val="a6"/>
          <w:i w:val="0"/>
          <w:iCs w:val="0"/>
          <w:sz w:val="20"/>
          <w:szCs w:val="20"/>
        </w:rPr>
        <w:t>not</w:t>
      </w:r>
      <w:r>
        <w:rPr>
          <w:sz w:val="20"/>
          <w:szCs w:val="20"/>
        </w:rPr>
        <w:t xml:space="preserve"> erode the Company’s per occurrence o</w:t>
      </w:r>
      <w:r>
        <w:rPr>
          <w:sz w:val="20"/>
          <w:szCs w:val="20"/>
        </w:rPr>
        <w:t>r aggregate limits.</w:t>
      </w:r>
    </w:p>
    <w:p w14:paraId="3DCF6414" w14:textId="77777777" w:rsidR="00000000" w:rsidRDefault="0053651E">
      <w:pPr>
        <w:pStyle w:val="a3"/>
        <w:spacing w:before="0" w:beforeAutospacing="0" w:after="0" w:afterAutospacing="0"/>
        <w:ind w:left="360"/>
        <w:jc w:val="both"/>
        <w:rPr>
          <w:sz w:val="20"/>
          <w:szCs w:val="20"/>
        </w:rPr>
      </w:pPr>
      <w:r>
        <w:rPr>
          <w:sz w:val="20"/>
          <w:szCs w:val="20"/>
        </w:rPr>
        <w:t> </w:t>
      </w:r>
    </w:p>
    <w:p w14:paraId="583F357F" w14:textId="77777777" w:rsidR="00000000" w:rsidRDefault="0053651E">
      <w:pPr>
        <w:pStyle w:val="a3"/>
        <w:spacing w:before="0" w:beforeAutospacing="0" w:after="0" w:afterAutospacing="0"/>
        <w:ind w:left="360"/>
        <w:jc w:val="both"/>
        <w:rPr>
          <w:sz w:val="20"/>
          <w:szCs w:val="20"/>
        </w:rPr>
      </w:pPr>
      <w:r>
        <w:rPr>
          <w:sz w:val="20"/>
          <w:szCs w:val="20"/>
        </w:rPr>
        <w:t>As of</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the Company maintained a letter of credit in the amount of $21.5 million and $23.0 million, respectively, issued in favor of the reinsurance provider to provide security for the Company’s obligations </w:t>
      </w:r>
      <w:r>
        <w:rPr>
          <w:sz w:val="20"/>
          <w:szCs w:val="20"/>
        </w:rPr>
        <w:t>under its agreement with the reinsurance provider. The letter of credit maintained as of</w:t>
      </w:r>
      <w:r>
        <w:rPr>
          <w:sz w:val="20"/>
          <w:szCs w:val="20"/>
        </w:rPr>
        <w:t xml:space="preserve"> </w:t>
      </w:r>
      <w:r>
        <w:rPr>
          <w:rStyle w:val="a6"/>
          <w:i w:val="0"/>
          <w:iCs w:val="0"/>
          <w:sz w:val="20"/>
          <w:szCs w:val="20"/>
        </w:rPr>
        <w:t xml:space="preserve">December 31, 2019, </w:t>
      </w:r>
      <w:r>
        <w:rPr>
          <w:sz w:val="20"/>
          <w:szCs w:val="20"/>
        </w:rPr>
        <w:t>has an expiration date of</w:t>
      </w:r>
      <w:r>
        <w:rPr>
          <w:sz w:val="20"/>
          <w:szCs w:val="20"/>
        </w:rPr>
        <w:t xml:space="preserve"> </w:t>
      </w:r>
      <w:r>
        <w:rPr>
          <w:rStyle w:val="a6"/>
          <w:i w:val="0"/>
          <w:iCs w:val="0"/>
          <w:sz w:val="20"/>
          <w:szCs w:val="20"/>
        </w:rPr>
        <w:t xml:space="preserve">February 15, 2020, </w:t>
      </w:r>
      <w:r>
        <w:rPr>
          <w:sz w:val="20"/>
          <w:szCs w:val="20"/>
        </w:rPr>
        <w:t>with automatic renewals for</w:t>
      </w:r>
      <w:r>
        <w:rPr>
          <w:sz w:val="20"/>
          <w:szCs w:val="20"/>
        </w:rPr>
        <w:t xml:space="preserve"> </w:t>
      </w:r>
      <w:r>
        <w:rPr>
          <w:rStyle w:val="a6"/>
          <w:i w:val="0"/>
          <w:iCs w:val="0"/>
          <w:sz w:val="20"/>
          <w:szCs w:val="20"/>
        </w:rPr>
        <w:t>one</w:t>
      </w:r>
      <w:r>
        <w:rPr>
          <w:sz w:val="20"/>
          <w:szCs w:val="20"/>
        </w:rPr>
        <w:t xml:space="preserve"> year.</w:t>
      </w:r>
    </w:p>
    <w:p w14:paraId="0BF42800" w14:textId="77777777" w:rsidR="00000000" w:rsidRDefault="0053651E">
      <w:pPr>
        <w:pStyle w:val="a3"/>
        <w:spacing w:before="0" w:beforeAutospacing="0" w:after="0" w:afterAutospacing="0"/>
        <w:ind w:left="360"/>
        <w:jc w:val="both"/>
        <w:rPr>
          <w:sz w:val="20"/>
          <w:szCs w:val="20"/>
        </w:rPr>
      </w:pPr>
      <w:r>
        <w:rPr>
          <w:sz w:val="20"/>
          <w:szCs w:val="20"/>
        </w:rPr>
        <w:t> </w:t>
      </w:r>
    </w:p>
    <w:p w14:paraId="30AF39D4" w14:textId="77777777" w:rsidR="00000000" w:rsidRDefault="0053651E">
      <w:pPr>
        <w:pStyle w:val="a3"/>
        <w:spacing w:before="0" w:beforeAutospacing="0" w:after="0" w:afterAutospacing="0"/>
        <w:ind w:left="360"/>
        <w:jc w:val="both"/>
        <w:rPr>
          <w:sz w:val="20"/>
          <w:szCs w:val="20"/>
        </w:rPr>
      </w:pPr>
      <w:r>
        <w:rPr>
          <w:sz w:val="20"/>
          <w:szCs w:val="20"/>
        </w:rPr>
        <w:t>Activity in the liability for unpaid losses and loss adjustment</w:t>
      </w:r>
      <w:r>
        <w:rPr>
          <w:sz w:val="20"/>
          <w:szCs w:val="20"/>
        </w:rPr>
        <w:t xml:space="preserve"> expenses 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is summarized as follows (in thousands):</w:t>
      </w:r>
    </w:p>
    <w:p w14:paraId="4D4A4BD6" w14:textId="77777777" w:rsidR="00000000" w:rsidRDefault="0053651E">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3DD93CCA" w14:textId="77777777">
        <w:trPr>
          <w:tblCellSpacing w:w="0" w:type="dxa"/>
        </w:trPr>
        <w:tc>
          <w:tcPr>
            <w:tcW w:w="0" w:type="auto"/>
            <w:vAlign w:val="bottom"/>
            <w:hideMark/>
          </w:tcPr>
          <w:p w14:paraId="364C381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50FD086"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ABF712E"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D65DD02"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7DC73C3"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51D81B"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1DC5C99" w14:textId="77777777" w:rsidR="00000000" w:rsidRDefault="0053651E">
            <w:pPr>
              <w:rPr>
                <w:rFonts w:eastAsia="Times New Roman"/>
                <w:sz w:val="20"/>
                <w:szCs w:val="20"/>
              </w:rPr>
            </w:pPr>
            <w:r>
              <w:rPr>
                <w:rFonts w:eastAsia="Times New Roman"/>
                <w:sz w:val="20"/>
                <w:szCs w:val="20"/>
              </w:rPr>
              <w:t> </w:t>
            </w:r>
          </w:p>
        </w:tc>
      </w:tr>
      <w:tr w:rsidR="00000000" w14:paraId="3B3F8A4D" w14:textId="77777777">
        <w:trPr>
          <w:tblCellSpacing w:w="0" w:type="dxa"/>
        </w:trPr>
        <w:tc>
          <w:tcPr>
            <w:tcW w:w="3100" w:type="pct"/>
            <w:shd w:val="clear" w:color="auto" w:fill="CCEEFF"/>
            <w:vAlign w:val="bottom"/>
            <w:hideMark/>
          </w:tcPr>
          <w:p w14:paraId="51FDD7BD" w14:textId="77777777" w:rsidR="00000000" w:rsidRDefault="0053651E">
            <w:pPr>
              <w:pStyle w:val="a3"/>
              <w:spacing w:before="0" w:beforeAutospacing="0" w:after="0" w:afterAutospacing="0"/>
              <w:rPr>
                <w:sz w:val="20"/>
                <w:szCs w:val="20"/>
              </w:rPr>
            </w:pPr>
            <w:r>
              <w:rPr>
                <w:sz w:val="20"/>
                <w:szCs w:val="20"/>
              </w:rPr>
              <w:t>Balance at the beginning of the year</w:t>
            </w:r>
          </w:p>
        </w:tc>
        <w:tc>
          <w:tcPr>
            <w:tcW w:w="50" w:type="pct"/>
            <w:shd w:val="clear" w:color="auto" w:fill="CCEEFF"/>
            <w:vAlign w:val="bottom"/>
            <w:hideMark/>
          </w:tcPr>
          <w:p w14:paraId="124A5D0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DEC60E" w14:textId="77777777" w:rsidR="00000000" w:rsidRDefault="0053651E">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0260E700" w14:textId="77777777" w:rsidR="00000000" w:rsidRDefault="0053651E">
            <w:pPr>
              <w:jc w:val="right"/>
              <w:rPr>
                <w:rFonts w:eastAsia="Times New Roman"/>
                <w:sz w:val="20"/>
                <w:szCs w:val="20"/>
              </w:rPr>
            </w:pPr>
            <w:r>
              <w:rPr>
                <w:rFonts w:eastAsia="Times New Roman"/>
                <w:sz w:val="20"/>
                <w:szCs w:val="20"/>
              </w:rPr>
              <w:t>16,130</w:t>
            </w:r>
          </w:p>
        </w:tc>
        <w:tc>
          <w:tcPr>
            <w:tcW w:w="50" w:type="pct"/>
            <w:shd w:val="clear" w:color="auto" w:fill="CCEEFF"/>
            <w:tcMar>
              <w:top w:w="0" w:type="dxa"/>
              <w:left w:w="0" w:type="dxa"/>
              <w:bottom w:w="15" w:type="dxa"/>
              <w:right w:w="0" w:type="dxa"/>
            </w:tcMar>
            <w:vAlign w:val="bottom"/>
            <w:hideMark/>
          </w:tcPr>
          <w:p w14:paraId="5A8A8B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0EA11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473FA9" w14:textId="77777777" w:rsidR="00000000" w:rsidRDefault="0053651E">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7461E85E" w14:textId="77777777" w:rsidR="00000000" w:rsidRDefault="0053651E">
            <w:pPr>
              <w:jc w:val="right"/>
              <w:rPr>
                <w:rFonts w:eastAsia="Times New Roman"/>
                <w:sz w:val="20"/>
                <w:szCs w:val="20"/>
              </w:rPr>
            </w:pPr>
            <w:r>
              <w:rPr>
                <w:rFonts w:eastAsia="Times New Roman"/>
                <w:sz w:val="20"/>
                <w:szCs w:val="20"/>
              </w:rPr>
              <w:t>18,965</w:t>
            </w:r>
          </w:p>
        </w:tc>
        <w:tc>
          <w:tcPr>
            <w:tcW w:w="50" w:type="pct"/>
            <w:shd w:val="clear" w:color="auto" w:fill="CCEEFF"/>
            <w:tcMar>
              <w:top w:w="0" w:type="dxa"/>
              <w:left w:w="0" w:type="dxa"/>
              <w:bottom w:w="15" w:type="dxa"/>
              <w:right w:w="0" w:type="dxa"/>
            </w:tcMar>
            <w:vAlign w:val="bottom"/>
            <w:hideMark/>
          </w:tcPr>
          <w:p w14:paraId="6B1C6445" w14:textId="77777777" w:rsidR="00000000" w:rsidRDefault="0053651E">
            <w:pPr>
              <w:rPr>
                <w:rFonts w:eastAsia="Times New Roman"/>
                <w:sz w:val="20"/>
                <w:szCs w:val="20"/>
              </w:rPr>
            </w:pPr>
            <w:r>
              <w:rPr>
                <w:rFonts w:eastAsia="Times New Roman"/>
                <w:sz w:val="20"/>
                <w:szCs w:val="20"/>
              </w:rPr>
              <w:t> </w:t>
            </w:r>
          </w:p>
        </w:tc>
      </w:tr>
      <w:tr w:rsidR="00000000" w14:paraId="5F46EB44" w14:textId="77777777">
        <w:trPr>
          <w:tblCellSpacing w:w="0" w:type="dxa"/>
        </w:trPr>
        <w:tc>
          <w:tcPr>
            <w:tcW w:w="0" w:type="auto"/>
            <w:shd w:val="clear" w:color="auto" w:fill="FFFFFF"/>
            <w:vAlign w:val="bottom"/>
            <w:hideMark/>
          </w:tcPr>
          <w:p w14:paraId="0FA980B8" w14:textId="77777777" w:rsidR="00000000" w:rsidRDefault="0053651E">
            <w:pPr>
              <w:pStyle w:val="a3"/>
              <w:spacing w:before="0" w:beforeAutospacing="0" w:after="0" w:afterAutospacing="0"/>
              <w:rPr>
                <w:sz w:val="20"/>
                <w:szCs w:val="20"/>
              </w:rPr>
            </w:pPr>
            <w:r>
              <w:rPr>
                <w:sz w:val="20"/>
                <w:szCs w:val="20"/>
              </w:rPr>
              <w:t>Incurred related to:</w:t>
            </w:r>
          </w:p>
        </w:tc>
        <w:tc>
          <w:tcPr>
            <w:tcW w:w="0" w:type="auto"/>
            <w:shd w:val="clear" w:color="auto" w:fill="FFFFFF"/>
            <w:vAlign w:val="bottom"/>
            <w:hideMark/>
          </w:tcPr>
          <w:p w14:paraId="74BBD7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50C9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20A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AE84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0E3A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35F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D1FF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F0EC8" w14:textId="77777777" w:rsidR="00000000" w:rsidRDefault="0053651E">
            <w:pPr>
              <w:rPr>
                <w:rFonts w:eastAsia="Times New Roman"/>
                <w:sz w:val="20"/>
                <w:szCs w:val="20"/>
              </w:rPr>
            </w:pPr>
            <w:r>
              <w:rPr>
                <w:rFonts w:eastAsia="Times New Roman"/>
                <w:sz w:val="20"/>
                <w:szCs w:val="20"/>
              </w:rPr>
              <w:t> </w:t>
            </w:r>
          </w:p>
        </w:tc>
      </w:tr>
      <w:tr w:rsidR="00000000" w14:paraId="3E3D1127" w14:textId="77777777">
        <w:trPr>
          <w:tblCellSpacing w:w="0" w:type="dxa"/>
        </w:trPr>
        <w:tc>
          <w:tcPr>
            <w:tcW w:w="0" w:type="auto"/>
            <w:shd w:val="clear" w:color="auto" w:fill="CCEEFF"/>
            <w:vAlign w:val="bottom"/>
            <w:hideMark/>
          </w:tcPr>
          <w:p w14:paraId="3EBC7D06" w14:textId="77777777" w:rsidR="00000000" w:rsidRDefault="0053651E">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14:paraId="601529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E79596"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D625809" w14:textId="77777777" w:rsidR="00000000" w:rsidRDefault="0053651E">
            <w:pPr>
              <w:ind w:left="360"/>
              <w:jc w:val="right"/>
              <w:rPr>
                <w:rFonts w:eastAsia="Times New Roman"/>
                <w:sz w:val="20"/>
                <w:szCs w:val="20"/>
              </w:rPr>
            </w:pPr>
            <w:r>
              <w:rPr>
                <w:rFonts w:eastAsia="Times New Roman"/>
                <w:sz w:val="20"/>
                <w:szCs w:val="20"/>
              </w:rPr>
              <w:t>5,331</w:t>
            </w:r>
          </w:p>
        </w:tc>
        <w:tc>
          <w:tcPr>
            <w:tcW w:w="50" w:type="pct"/>
            <w:shd w:val="clear" w:color="auto" w:fill="CCEEFF"/>
            <w:vAlign w:val="bottom"/>
            <w:hideMark/>
          </w:tcPr>
          <w:p w14:paraId="60D8221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A1B2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446EFA"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8625AD0" w14:textId="77777777" w:rsidR="00000000" w:rsidRDefault="0053651E">
            <w:pPr>
              <w:ind w:left="360"/>
              <w:jc w:val="right"/>
              <w:rPr>
                <w:rFonts w:eastAsia="Times New Roman"/>
                <w:sz w:val="20"/>
                <w:szCs w:val="20"/>
              </w:rPr>
            </w:pPr>
            <w:r>
              <w:rPr>
                <w:rFonts w:eastAsia="Times New Roman"/>
                <w:sz w:val="20"/>
                <w:szCs w:val="20"/>
              </w:rPr>
              <w:t>5,236</w:t>
            </w:r>
          </w:p>
        </w:tc>
        <w:tc>
          <w:tcPr>
            <w:tcW w:w="50" w:type="pct"/>
            <w:shd w:val="clear" w:color="auto" w:fill="CCEEFF"/>
            <w:vAlign w:val="bottom"/>
            <w:hideMark/>
          </w:tcPr>
          <w:p w14:paraId="2042D048" w14:textId="77777777" w:rsidR="00000000" w:rsidRDefault="0053651E">
            <w:pPr>
              <w:rPr>
                <w:rFonts w:eastAsia="Times New Roman"/>
                <w:sz w:val="20"/>
                <w:szCs w:val="20"/>
              </w:rPr>
            </w:pPr>
            <w:r>
              <w:rPr>
                <w:rFonts w:eastAsia="Times New Roman"/>
                <w:sz w:val="20"/>
                <w:szCs w:val="20"/>
              </w:rPr>
              <w:t> </w:t>
            </w:r>
          </w:p>
        </w:tc>
      </w:tr>
      <w:tr w:rsidR="00000000" w14:paraId="354DD360" w14:textId="77777777">
        <w:trPr>
          <w:tblCellSpacing w:w="0" w:type="dxa"/>
        </w:trPr>
        <w:tc>
          <w:tcPr>
            <w:tcW w:w="0" w:type="auto"/>
            <w:shd w:val="clear" w:color="auto" w:fill="FFFFFF"/>
            <w:vAlign w:val="bottom"/>
            <w:hideMark/>
          </w:tcPr>
          <w:p w14:paraId="47C7EB72" w14:textId="77777777" w:rsidR="00000000" w:rsidRDefault="0053651E">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14:paraId="5BA04BE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F8DC94C"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D70284C" w14:textId="77777777" w:rsidR="00000000" w:rsidRDefault="0053651E">
            <w:pPr>
              <w:ind w:left="360"/>
              <w:jc w:val="right"/>
              <w:rPr>
                <w:rFonts w:eastAsia="Times New Roman"/>
                <w:sz w:val="20"/>
                <w:szCs w:val="20"/>
              </w:rPr>
            </w:pPr>
            <w:r>
              <w:rPr>
                <w:rFonts w:eastAsia="Times New Roman"/>
                <w:sz w:val="20"/>
                <w:szCs w:val="20"/>
              </w:rPr>
              <w:t>(1,948</w:t>
            </w:r>
          </w:p>
        </w:tc>
        <w:tc>
          <w:tcPr>
            <w:tcW w:w="50" w:type="pct"/>
            <w:shd w:val="clear" w:color="auto" w:fill="FFFFFF"/>
            <w:tcMar>
              <w:top w:w="0" w:type="dxa"/>
              <w:left w:w="0" w:type="dxa"/>
              <w:bottom w:w="15" w:type="dxa"/>
              <w:right w:w="0" w:type="dxa"/>
            </w:tcMar>
            <w:vAlign w:val="bottom"/>
            <w:hideMark/>
          </w:tcPr>
          <w:p w14:paraId="02C6D497"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0D6446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70AE8F4"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5897B8B3" w14:textId="77777777" w:rsidR="00000000" w:rsidRDefault="0053651E">
            <w:pPr>
              <w:jc w:val="right"/>
              <w:rPr>
                <w:rFonts w:eastAsia="Times New Roman"/>
                <w:sz w:val="20"/>
                <w:szCs w:val="20"/>
              </w:rPr>
            </w:pPr>
            <w:r>
              <w:rPr>
                <w:rFonts w:eastAsia="Times New Roman"/>
                <w:sz w:val="20"/>
                <w:szCs w:val="20"/>
              </w:rPr>
              <w:t>(2,653</w:t>
            </w:r>
          </w:p>
        </w:tc>
        <w:tc>
          <w:tcPr>
            <w:tcW w:w="50" w:type="pct"/>
            <w:shd w:val="clear" w:color="auto" w:fill="FFFFFF"/>
            <w:tcMar>
              <w:top w:w="0" w:type="dxa"/>
              <w:left w:w="0" w:type="dxa"/>
              <w:bottom w:w="15" w:type="dxa"/>
              <w:right w:w="0" w:type="dxa"/>
            </w:tcMar>
            <w:vAlign w:val="bottom"/>
            <w:hideMark/>
          </w:tcPr>
          <w:p w14:paraId="4F957F9F" w14:textId="77777777" w:rsidR="00000000" w:rsidRDefault="0053651E">
            <w:pPr>
              <w:rPr>
                <w:rFonts w:eastAsia="Times New Roman"/>
                <w:sz w:val="20"/>
                <w:szCs w:val="20"/>
              </w:rPr>
            </w:pPr>
            <w:r>
              <w:rPr>
                <w:rFonts w:eastAsia="Times New Roman"/>
                <w:sz w:val="20"/>
                <w:szCs w:val="20"/>
              </w:rPr>
              <w:t>)</w:t>
            </w:r>
          </w:p>
        </w:tc>
      </w:tr>
      <w:tr w:rsidR="00000000" w14:paraId="20B24F1F" w14:textId="77777777">
        <w:trPr>
          <w:tblCellSpacing w:w="0" w:type="dxa"/>
        </w:trPr>
        <w:tc>
          <w:tcPr>
            <w:tcW w:w="0" w:type="auto"/>
            <w:shd w:val="clear" w:color="auto" w:fill="CCEEFF"/>
            <w:vAlign w:val="bottom"/>
            <w:hideMark/>
          </w:tcPr>
          <w:p w14:paraId="05B2D0D6" w14:textId="77777777" w:rsidR="00000000" w:rsidRDefault="0053651E">
            <w:pPr>
              <w:pStyle w:val="a3"/>
              <w:spacing w:before="0" w:beforeAutospacing="0" w:after="0" w:afterAutospacing="0"/>
              <w:rPr>
                <w:sz w:val="20"/>
                <w:szCs w:val="20"/>
              </w:rPr>
            </w:pPr>
            <w:r>
              <w:rPr>
                <w:sz w:val="20"/>
                <w:szCs w:val="20"/>
              </w:rPr>
              <w:t>Total incurred</w:t>
            </w:r>
          </w:p>
        </w:tc>
        <w:tc>
          <w:tcPr>
            <w:tcW w:w="50" w:type="pct"/>
            <w:shd w:val="clear" w:color="auto" w:fill="CCEEFF"/>
            <w:vAlign w:val="bottom"/>
            <w:hideMark/>
          </w:tcPr>
          <w:p w14:paraId="380255B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CA0361C"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948B314" w14:textId="77777777" w:rsidR="00000000" w:rsidRDefault="0053651E">
            <w:pPr>
              <w:ind w:left="360"/>
              <w:jc w:val="right"/>
              <w:rPr>
                <w:rFonts w:eastAsia="Times New Roman"/>
                <w:sz w:val="20"/>
                <w:szCs w:val="20"/>
              </w:rPr>
            </w:pPr>
            <w:r>
              <w:rPr>
                <w:rFonts w:eastAsia="Times New Roman"/>
                <w:sz w:val="20"/>
                <w:szCs w:val="20"/>
              </w:rPr>
              <w:t>3,383</w:t>
            </w:r>
          </w:p>
        </w:tc>
        <w:tc>
          <w:tcPr>
            <w:tcW w:w="50" w:type="pct"/>
            <w:shd w:val="clear" w:color="auto" w:fill="CCEEFF"/>
            <w:tcMar>
              <w:top w:w="0" w:type="dxa"/>
              <w:left w:w="0" w:type="dxa"/>
              <w:bottom w:w="15" w:type="dxa"/>
              <w:right w:w="0" w:type="dxa"/>
            </w:tcMar>
            <w:vAlign w:val="bottom"/>
            <w:hideMark/>
          </w:tcPr>
          <w:p w14:paraId="350AD71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EB4CF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F5CE32"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CF41BDF" w14:textId="77777777" w:rsidR="00000000" w:rsidRDefault="0053651E">
            <w:pPr>
              <w:ind w:left="360"/>
              <w:jc w:val="right"/>
              <w:rPr>
                <w:rFonts w:eastAsia="Times New Roman"/>
                <w:sz w:val="20"/>
                <w:szCs w:val="20"/>
              </w:rPr>
            </w:pPr>
            <w:r>
              <w:rPr>
                <w:rFonts w:eastAsia="Times New Roman"/>
                <w:sz w:val="20"/>
                <w:szCs w:val="20"/>
              </w:rPr>
              <w:t>2,583</w:t>
            </w:r>
          </w:p>
        </w:tc>
        <w:tc>
          <w:tcPr>
            <w:tcW w:w="50" w:type="pct"/>
            <w:shd w:val="clear" w:color="auto" w:fill="CCEEFF"/>
            <w:tcMar>
              <w:top w:w="0" w:type="dxa"/>
              <w:left w:w="0" w:type="dxa"/>
              <w:bottom w:w="15" w:type="dxa"/>
              <w:right w:w="0" w:type="dxa"/>
            </w:tcMar>
            <w:vAlign w:val="bottom"/>
            <w:hideMark/>
          </w:tcPr>
          <w:p w14:paraId="4BDE0D55" w14:textId="77777777" w:rsidR="00000000" w:rsidRDefault="0053651E">
            <w:pPr>
              <w:rPr>
                <w:rFonts w:eastAsia="Times New Roman"/>
                <w:sz w:val="20"/>
                <w:szCs w:val="20"/>
              </w:rPr>
            </w:pPr>
            <w:r>
              <w:rPr>
                <w:rFonts w:eastAsia="Times New Roman"/>
                <w:sz w:val="20"/>
                <w:szCs w:val="20"/>
              </w:rPr>
              <w:t> </w:t>
            </w:r>
          </w:p>
        </w:tc>
      </w:tr>
      <w:tr w:rsidR="00000000" w14:paraId="6908D075" w14:textId="77777777">
        <w:trPr>
          <w:tblCellSpacing w:w="0" w:type="dxa"/>
        </w:trPr>
        <w:tc>
          <w:tcPr>
            <w:tcW w:w="0" w:type="auto"/>
            <w:shd w:val="clear" w:color="auto" w:fill="FFFFFF"/>
            <w:vAlign w:val="bottom"/>
            <w:hideMark/>
          </w:tcPr>
          <w:p w14:paraId="7392188C" w14:textId="77777777" w:rsidR="00000000" w:rsidRDefault="0053651E">
            <w:pPr>
              <w:pStyle w:val="a3"/>
              <w:spacing w:before="0" w:beforeAutospacing="0" w:after="0" w:afterAutospacing="0"/>
              <w:rPr>
                <w:sz w:val="20"/>
                <w:szCs w:val="20"/>
              </w:rPr>
            </w:pPr>
            <w:r>
              <w:rPr>
                <w:sz w:val="20"/>
                <w:szCs w:val="20"/>
              </w:rPr>
              <w:t>Paid related to:</w:t>
            </w:r>
          </w:p>
        </w:tc>
        <w:tc>
          <w:tcPr>
            <w:tcW w:w="0" w:type="auto"/>
            <w:shd w:val="clear" w:color="auto" w:fill="FFFFFF"/>
            <w:vAlign w:val="bottom"/>
            <w:hideMark/>
          </w:tcPr>
          <w:p w14:paraId="46C4AD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3608A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690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1F34F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0B72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067C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A381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70C20" w14:textId="77777777" w:rsidR="00000000" w:rsidRDefault="0053651E">
            <w:pPr>
              <w:rPr>
                <w:rFonts w:eastAsia="Times New Roman"/>
                <w:sz w:val="20"/>
                <w:szCs w:val="20"/>
              </w:rPr>
            </w:pPr>
            <w:r>
              <w:rPr>
                <w:rFonts w:eastAsia="Times New Roman"/>
                <w:sz w:val="20"/>
                <w:szCs w:val="20"/>
              </w:rPr>
              <w:t> </w:t>
            </w:r>
          </w:p>
        </w:tc>
      </w:tr>
      <w:tr w:rsidR="00000000" w14:paraId="4B7FC7D5" w14:textId="77777777">
        <w:trPr>
          <w:tblCellSpacing w:w="0" w:type="dxa"/>
        </w:trPr>
        <w:tc>
          <w:tcPr>
            <w:tcW w:w="0" w:type="auto"/>
            <w:shd w:val="clear" w:color="auto" w:fill="CCEEFF"/>
            <w:vAlign w:val="bottom"/>
            <w:hideMark/>
          </w:tcPr>
          <w:p w14:paraId="1232187C" w14:textId="77777777" w:rsidR="00000000" w:rsidRDefault="0053651E">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14:paraId="26E209D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9F5651"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3BF2E87" w14:textId="77777777" w:rsidR="00000000" w:rsidRDefault="0053651E">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14:paraId="7868C75B"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6B4F7D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954188" w14:textId="77777777" w:rsidR="00000000" w:rsidRDefault="0053651E">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3FFE85B" w14:textId="77777777" w:rsidR="00000000" w:rsidRDefault="0053651E">
            <w:pPr>
              <w:jc w:val="right"/>
              <w:rPr>
                <w:rFonts w:eastAsia="Times New Roman"/>
                <w:sz w:val="20"/>
                <w:szCs w:val="20"/>
              </w:rPr>
            </w:pPr>
            <w:r>
              <w:rPr>
                <w:rFonts w:eastAsia="Times New Roman"/>
                <w:sz w:val="20"/>
                <w:szCs w:val="20"/>
              </w:rPr>
              <w:t>(683</w:t>
            </w:r>
          </w:p>
        </w:tc>
        <w:tc>
          <w:tcPr>
            <w:tcW w:w="50" w:type="pct"/>
            <w:shd w:val="clear" w:color="auto" w:fill="CCEEFF"/>
            <w:vAlign w:val="bottom"/>
            <w:hideMark/>
          </w:tcPr>
          <w:p w14:paraId="4B81BEC1" w14:textId="77777777" w:rsidR="00000000" w:rsidRDefault="0053651E">
            <w:pPr>
              <w:rPr>
                <w:rFonts w:eastAsia="Times New Roman"/>
                <w:sz w:val="20"/>
                <w:szCs w:val="20"/>
              </w:rPr>
            </w:pPr>
            <w:r>
              <w:rPr>
                <w:rFonts w:eastAsia="Times New Roman"/>
                <w:sz w:val="20"/>
                <w:szCs w:val="20"/>
              </w:rPr>
              <w:t>)</w:t>
            </w:r>
          </w:p>
        </w:tc>
      </w:tr>
      <w:tr w:rsidR="00000000" w14:paraId="0B0E8C50" w14:textId="77777777">
        <w:trPr>
          <w:tblCellSpacing w:w="0" w:type="dxa"/>
        </w:trPr>
        <w:tc>
          <w:tcPr>
            <w:tcW w:w="0" w:type="auto"/>
            <w:shd w:val="clear" w:color="auto" w:fill="FFFFFF"/>
            <w:vAlign w:val="bottom"/>
            <w:hideMark/>
          </w:tcPr>
          <w:p w14:paraId="0022086E" w14:textId="77777777" w:rsidR="00000000" w:rsidRDefault="0053651E">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14:paraId="34AA137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BB99C36"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AAAC5FF" w14:textId="77777777" w:rsidR="00000000" w:rsidRDefault="0053651E">
            <w:pPr>
              <w:jc w:val="right"/>
              <w:rPr>
                <w:rFonts w:eastAsia="Times New Roman"/>
                <w:sz w:val="20"/>
                <w:szCs w:val="20"/>
              </w:rPr>
            </w:pPr>
            <w:r>
              <w:rPr>
                <w:rFonts w:eastAsia="Times New Roman"/>
                <w:sz w:val="20"/>
                <w:szCs w:val="20"/>
              </w:rPr>
              <w:t>(3,593</w:t>
            </w:r>
          </w:p>
        </w:tc>
        <w:tc>
          <w:tcPr>
            <w:tcW w:w="50" w:type="pct"/>
            <w:shd w:val="clear" w:color="auto" w:fill="FFFFFF"/>
            <w:tcMar>
              <w:top w:w="0" w:type="dxa"/>
              <w:left w:w="0" w:type="dxa"/>
              <w:bottom w:w="15" w:type="dxa"/>
              <w:right w:w="0" w:type="dxa"/>
            </w:tcMar>
            <w:vAlign w:val="bottom"/>
            <w:hideMark/>
          </w:tcPr>
          <w:p w14:paraId="247A7D36"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0A22559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3A349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E0010D7" w14:textId="77777777" w:rsidR="00000000" w:rsidRDefault="0053651E">
            <w:pPr>
              <w:jc w:val="right"/>
              <w:rPr>
                <w:rFonts w:eastAsia="Times New Roman"/>
                <w:sz w:val="20"/>
                <w:szCs w:val="20"/>
              </w:rPr>
            </w:pPr>
            <w:r>
              <w:rPr>
                <w:rFonts w:eastAsia="Times New Roman"/>
                <w:sz w:val="20"/>
                <w:szCs w:val="20"/>
              </w:rPr>
              <w:t>(4,735</w:t>
            </w:r>
          </w:p>
        </w:tc>
        <w:tc>
          <w:tcPr>
            <w:tcW w:w="50" w:type="pct"/>
            <w:shd w:val="clear" w:color="auto" w:fill="FFFFFF"/>
            <w:tcMar>
              <w:top w:w="0" w:type="dxa"/>
              <w:left w:w="0" w:type="dxa"/>
              <w:bottom w:w="15" w:type="dxa"/>
              <w:right w:w="0" w:type="dxa"/>
            </w:tcMar>
            <w:vAlign w:val="bottom"/>
            <w:hideMark/>
          </w:tcPr>
          <w:p w14:paraId="13930AB5" w14:textId="77777777" w:rsidR="00000000" w:rsidRDefault="0053651E">
            <w:pPr>
              <w:rPr>
                <w:rFonts w:eastAsia="Times New Roman"/>
                <w:sz w:val="20"/>
                <w:szCs w:val="20"/>
              </w:rPr>
            </w:pPr>
            <w:r>
              <w:rPr>
                <w:rFonts w:eastAsia="Times New Roman"/>
                <w:sz w:val="20"/>
                <w:szCs w:val="20"/>
              </w:rPr>
              <w:t>)</w:t>
            </w:r>
          </w:p>
        </w:tc>
      </w:tr>
      <w:tr w:rsidR="00000000" w14:paraId="161AF65B" w14:textId="77777777">
        <w:trPr>
          <w:tblCellSpacing w:w="0" w:type="dxa"/>
        </w:trPr>
        <w:tc>
          <w:tcPr>
            <w:tcW w:w="0" w:type="auto"/>
            <w:shd w:val="clear" w:color="auto" w:fill="CCEEFF"/>
            <w:vAlign w:val="bottom"/>
            <w:hideMark/>
          </w:tcPr>
          <w:p w14:paraId="48298246" w14:textId="77777777" w:rsidR="00000000" w:rsidRDefault="0053651E">
            <w:pPr>
              <w:pStyle w:val="a3"/>
              <w:spacing w:before="0" w:beforeAutospacing="0" w:after="0" w:afterAutospacing="0"/>
              <w:rPr>
                <w:sz w:val="20"/>
                <w:szCs w:val="20"/>
              </w:rPr>
            </w:pPr>
            <w:r>
              <w:rPr>
                <w:sz w:val="20"/>
                <w:szCs w:val="20"/>
              </w:rPr>
              <w:t>Total paid</w:t>
            </w:r>
          </w:p>
        </w:tc>
        <w:tc>
          <w:tcPr>
            <w:tcW w:w="50" w:type="pct"/>
            <w:shd w:val="clear" w:color="auto" w:fill="CCEEFF"/>
            <w:vAlign w:val="bottom"/>
            <w:hideMark/>
          </w:tcPr>
          <w:p w14:paraId="7B778D8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47D1C35"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EAFDE84" w14:textId="77777777" w:rsidR="00000000" w:rsidRDefault="0053651E">
            <w:pPr>
              <w:jc w:val="right"/>
              <w:rPr>
                <w:rFonts w:eastAsia="Times New Roman"/>
                <w:sz w:val="20"/>
                <w:szCs w:val="20"/>
              </w:rPr>
            </w:pPr>
            <w:r>
              <w:rPr>
                <w:rFonts w:eastAsia="Times New Roman"/>
                <w:sz w:val="20"/>
                <w:szCs w:val="20"/>
              </w:rPr>
              <w:t>(3,849</w:t>
            </w:r>
          </w:p>
        </w:tc>
        <w:tc>
          <w:tcPr>
            <w:tcW w:w="50" w:type="pct"/>
            <w:shd w:val="clear" w:color="auto" w:fill="CCEEFF"/>
            <w:tcMar>
              <w:top w:w="0" w:type="dxa"/>
              <w:left w:w="0" w:type="dxa"/>
              <w:bottom w:w="15" w:type="dxa"/>
              <w:right w:w="0" w:type="dxa"/>
            </w:tcMar>
            <w:vAlign w:val="bottom"/>
            <w:hideMark/>
          </w:tcPr>
          <w:p w14:paraId="7BF84FCE"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01A9A9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7A90CA4" w14:textId="77777777" w:rsidR="00000000" w:rsidRDefault="0053651E">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B56A022" w14:textId="77777777" w:rsidR="00000000" w:rsidRDefault="0053651E">
            <w:pPr>
              <w:jc w:val="right"/>
              <w:rPr>
                <w:rFonts w:eastAsia="Times New Roman"/>
                <w:sz w:val="20"/>
                <w:szCs w:val="20"/>
              </w:rPr>
            </w:pPr>
            <w:r>
              <w:rPr>
                <w:rFonts w:eastAsia="Times New Roman"/>
                <w:sz w:val="20"/>
                <w:szCs w:val="20"/>
              </w:rPr>
              <w:t>(5,418</w:t>
            </w:r>
          </w:p>
        </w:tc>
        <w:tc>
          <w:tcPr>
            <w:tcW w:w="50" w:type="pct"/>
            <w:shd w:val="clear" w:color="auto" w:fill="CCEEFF"/>
            <w:tcMar>
              <w:top w:w="0" w:type="dxa"/>
              <w:left w:w="0" w:type="dxa"/>
              <w:bottom w:w="15" w:type="dxa"/>
              <w:right w:w="0" w:type="dxa"/>
            </w:tcMar>
            <w:vAlign w:val="bottom"/>
            <w:hideMark/>
          </w:tcPr>
          <w:p w14:paraId="554A152B" w14:textId="77777777" w:rsidR="00000000" w:rsidRDefault="0053651E">
            <w:pPr>
              <w:rPr>
                <w:rFonts w:eastAsia="Times New Roman"/>
                <w:sz w:val="20"/>
                <w:szCs w:val="20"/>
              </w:rPr>
            </w:pPr>
            <w:r>
              <w:rPr>
                <w:rFonts w:eastAsia="Times New Roman"/>
                <w:sz w:val="20"/>
                <w:szCs w:val="20"/>
              </w:rPr>
              <w:t>)</w:t>
            </w:r>
          </w:p>
        </w:tc>
      </w:tr>
      <w:tr w:rsidR="00000000" w14:paraId="3B1270F4" w14:textId="77777777">
        <w:trPr>
          <w:tblCellSpacing w:w="0" w:type="dxa"/>
        </w:trPr>
        <w:tc>
          <w:tcPr>
            <w:tcW w:w="0" w:type="auto"/>
            <w:shd w:val="clear" w:color="auto" w:fill="FFFFFF"/>
            <w:vAlign w:val="bottom"/>
            <w:hideMark/>
          </w:tcPr>
          <w:p w14:paraId="2369AB78" w14:textId="77777777" w:rsidR="00000000" w:rsidRDefault="0053651E">
            <w:pPr>
              <w:pStyle w:val="a3"/>
              <w:spacing w:before="0" w:beforeAutospacing="0" w:after="0" w:afterAutospacing="0"/>
              <w:rPr>
                <w:sz w:val="20"/>
                <w:szCs w:val="20"/>
              </w:rPr>
            </w:pPr>
            <w:r>
              <w:rPr>
                <w:sz w:val="20"/>
                <w:szCs w:val="20"/>
              </w:rPr>
              <w:t>Balance at the end of the year</w:t>
            </w:r>
          </w:p>
        </w:tc>
        <w:tc>
          <w:tcPr>
            <w:tcW w:w="50" w:type="pct"/>
            <w:shd w:val="clear" w:color="auto" w:fill="FFFFFF"/>
            <w:vAlign w:val="bottom"/>
            <w:hideMark/>
          </w:tcPr>
          <w:p w14:paraId="27E3ED17"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0B64AB"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4621E1BE" w14:textId="77777777" w:rsidR="00000000" w:rsidRDefault="0053651E">
            <w:pPr>
              <w:jc w:val="right"/>
              <w:rPr>
                <w:rFonts w:eastAsia="Times New Roman"/>
                <w:sz w:val="20"/>
                <w:szCs w:val="20"/>
              </w:rPr>
            </w:pPr>
            <w:r>
              <w:rPr>
                <w:rFonts w:eastAsia="Times New Roman"/>
                <w:sz w:val="20"/>
                <w:szCs w:val="20"/>
              </w:rPr>
              <w:t>15,664</w:t>
            </w:r>
          </w:p>
        </w:tc>
        <w:tc>
          <w:tcPr>
            <w:tcW w:w="50" w:type="pct"/>
            <w:shd w:val="clear" w:color="auto" w:fill="FFFFFF"/>
            <w:tcMar>
              <w:top w:w="0" w:type="dxa"/>
              <w:left w:w="0" w:type="dxa"/>
              <w:bottom w:w="45" w:type="dxa"/>
              <w:right w:w="0" w:type="dxa"/>
            </w:tcMar>
            <w:vAlign w:val="bottom"/>
            <w:hideMark/>
          </w:tcPr>
          <w:p w14:paraId="1CDE05F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97F408"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7990D4" w14:textId="77777777" w:rsidR="00000000" w:rsidRDefault="0053651E">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1EB5D827" w14:textId="77777777" w:rsidR="00000000" w:rsidRDefault="0053651E">
            <w:pPr>
              <w:jc w:val="right"/>
              <w:rPr>
                <w:rFonts w:eastAsia="Times New Roman"/>
                <w:sz w:val="20"/>
                <w:szCs w:val="20"/>
              </w:rPr>
            </w:pPr>
            <w:r>
              <w:rPr>
                <w:rFonts w:eastAsia="Times New Roman"/>
                <w:sz w:val="20"/>
                <w:szCs w:val="20"/>
              </w:rPr>
              <w:t>16,130</w:t>
            </w:r>
          </w:p>
        </w:tc>
        <w:tc>
          <w:tcPr>
            <w:tcW w:w="50" w:type="pct"/>
            <w:shd w:val="clear" w:color="auto" w:fill="FFFFFF"/>
            <w:tcMar>
              <w:top w:w="0" w:type="dxa"/>
              <w:left w:w="0" w:type="dxa"/>
              <w:bottom w:w="45" w:type="dxa"/>
              <w:right w:w="0" w:type="dxa"/>
            </w:tcMar>
            <w:vAlign w:val="bottom"/>
            <w:hideMark/>
          </w:tcPr>
          <w:p w14:paraId="4132206B" w14:textId="77777777" w:rsidR="00000000" w:rsidRDefault="0053651E">
            <w:pPr>
              <w:rPr>
                <w:rFonts w:eastAsia="Times New Roman"/>
                <w:sz w:val="20"/>
                <w:szCs w:val="20"/>
              </w:rPr>
            </w:pPr>
            <w:r>
              <w:rPr>
                <w:rFonts w:eastAsia="Times New Roman"/>
                <w:sz w:val="20"/>
                <w:szCs w:val="20"/>
              </w:rPr>
              <w:t> </w:t>
            </w:r>
          </w:p>
        </w:tc>
      </w:tr>
    </w:tbl>
    <w:p w14:paraId="4D841070" w14:textId="77777777" w:rsidR="00000000" w:rsidRDefault="0053651E">
      <w:pPr>
        <w:pStyle w:val="a3"/>
        <w:spacing w:before="0" w:beforeAutospacing="0" w:after="0" w:afterAutospacing="0"/>
        <w:ind w:left="360"/>
        <w:jc w:val="both"/>
        <w:rPr>
          <w:sz w:val="20"/>
          <w:szCs w:val="20"/>
        </w:rPr>
      </w:pPr>
      <w:r>
        <w:rPr>
          <w:sz w:val="20"/>
          <w:szCs w:val="20"/>
        </w:rPr>
        <w:t> </w:t>
      </w:r>
    </w:p>
    <w:p w14:paraId="5E7783AF" w14:textId="77777777" w:rsidR="00000000" w:rsidRDefault="0053651E">
      <w:pPr>
        <w:pStyle w:val="a3"/>
        <w:spacing w:before="0" w:beforeAutospacing="0" w:after="0" w:afterAutospacing="0"/>
        <w:ind w:left="360"/>
        <w:jc w:val="both"/>
        <w:rPr>
          <w:sz w:val="20"/>
          <w:szCs w:val="20"/>
        </w:rPr>
      </w:pPr>
      <w:r>
        <w:rPr>
          <w:sz w:val="20"/>
          <w:szCs w:val="20"/>
        </w:rPr>
        <w:t>For the years ended</w:t>
      </w:r>
      <w:r>
        <w:rPr>
          <w:sz w:val="20"/>
          <w:szCs w:val="20"/>
        </w:rPr>
        <w:t xml:space="preserve"> </w:t>
      </w:r>
      <w:r>
        <w:rPr>
          <w:rStyle w:val="a6"/>
          <w:i w:val="0"/>
          <w:iCs w:val="0"/>
          <w:sz w:val="20"/>
          <w:szCs w:val="20"/>
        </w:rPr>
        <w:t xml:space="preserve">December 31, 2019 </w:t>
      </w:r>
      <w:r>
        <w:rPr>
          <w:sz w:val="20"/>
          <w:szCs w:val="20"/>
        </w:rPr>
        <w:t>and</w:t>
      </w:r>
      <w:r>
        <w:rPr>
          <w:sz w:val="20"/>
          <w:szCs w:val="20"/>
        </w:rPr>
        <w:t xml:space="preserve"> </w:t>
      </w:r>
      <w:r>
        <w:rPr>
          <w:rStyle w:val="a6"/>
          <w:i w:val="0"/>
          <w:iCs w:val="0"/>
          <w:sz w:val="20"/>
          <w:szCs w:val="20"/>
        </w:rPr>
        <w:t>2018,</w:t>
      </w:r>
      <w:r>
        <w:rPr>
          <w:sz w:val="20"/>
          <w:szCs w:val="20"/>
        </w:rPr>
        <w:t xml:space="preserve"> </w:t>
      </w:r>
      <w:r>
        <w:rPr>
          <w:sz w:val="20"/>
          <w:szCs w:val="20"/>
        </w:rPr>
        <w:t>the changes in estimates in insured events in the prior years, incurred losses and loss adjustment expenses resulted in a decrease of $1.9 million and $2.7 million, respectively, which was primarily due to continued regular favorable loss development on th</w:t>
      </w:r>
      <w:r>
        <w:rPr>
          <w:sz w:val="20"/>
          <w:szCs w:val="20"/>
        </w:rPr>
        <w:t>e general liability coverage assumed.</w:t>
      </w:r>
    </w:p>
    <w:p w14:paraId="2A03B91A" w14:textId="77777777" w:rsidR="00000000" w:rsidRDefault="0053651E">
      <w:pPr>
        <w:pStyle w:val="a3"/>
        <w:spacing w:before="0" w:beforeAutospacing="0" w:after="0" w:afterAutospacing="0"/>
        <w:ind w:left="360"/>
        <w:rPr>
          <w:sz w:val="20"/>
          <w:szCs w:val="20"/>
        </w:rPr>
      </w:pPr>
      <w:r>
        <w:rPr>
          <w:sz w:val="20"/>
          <w:szCs w:val="20"/>
        </w:rPr>
        <w:t> </w:t>
      </w:r>
    </w:p>
    <w:p w14:paraId="6BE0DCD4" w14:textId="77777777" w:rsidR="00000000" w:rsidRDefault="0053651E">
      <w:pPr>
        <w:jc w:val="center"/>
        <w:divId w:val="1603681631"/>
        <w:rPr>
          <w:rFonts w:eastAsia="Times New Roman"/>
          <w:sz w:val="20"/>
          <w:szCs w:val="20"/>
        </w:rPr>
      </w:pPr>
      <w:r>
        <w:rPr>
          <w:rFonts w:eastAsia="Times New Roman"/>
          <w:sz w:val="20"/>
          <w:szCs w:val="20"/>
        </w:rPr>
        <w:t xml:space="preserve">87 </w:t>
      </w:r>
    </w:p>
    <w:p w14:paraId="2C84AEAC" w14:textId="77777777" w:rsidR="00000000" w:rsidRDefault="0053651E">
      <w:pPr>
        <w:divId w:val="1603681631"/>
        <w:rPr>
          <w:rFonts w:eastAsia="Times New Roman"/>
          <w:sz w:val="20"/>
          <w:szCs w:val="20"/>
        </w:rPr>
      </w:pPr>
      <w:r>
        <w:rPr>
          <w:rFonts w:eastAsia="Times New Roman"/>
          <w:sz w:val="20"/>
          <w:szCs w:val="20"/>
        </w:rPr>
        <w:pict w14:anchorId="71F5B701">
          <v:rect id="_x0000_i1118" style="width:0;height:1.5pt" o:hralign="center" o:hrstd="t" o:hr="t" fillcolor="#a0a0a0" stroked="f"/>
        </w:pict>
      </w:r>
    </w:p>
    <w:p w14:paraId="792DC77C" w14:textId="77777777" w:rsidR="00000000" w:rsidRDefault="0053651E">
      <w:pPr>
        <w:divId w:val="16036816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C4AD96E" w14:textId="77777777" w:rsidR="00000000" w:rsidRDefault="0053651E">
      <w:pPr>
        <w:divId w:val="138351591"/>
        <w:rPr>
          <w:rFonts w:eastAsia="Times New Roman"/>
          <w:sz w:val="20"/>
          <w:szCs w:val="20"/>
        </w:rPr>
      </w:pPr>
      <w:r>
        <w:rPr>
          <w:rFonts w:eastAsia="Times New Roman"/>
          <w:sz w:val="20"/>
          <w:szCs w:val="20"/>
        </w:rPr>
        <w:t xml:space="preserve">  </w:t>
      </w:r>
    </w:p>
    <w:p w14:paraId="0E8434B2" w14:textId="77777777" w:rsidR="00000000" w:rsidRDefault="0053651E">
      <w:pPr>
        <w:pStyle w:val="a3"/>
        <w:spacing w:before="0" w:beforeAutospacing="0" w:after="0" w:afterAutospacing="0"/>
        <w:rPr>
          <w:sz w:val="20"/>
          <w:szCs w:val="20"/>
        </w:rPr>
      </w:pPr>
      <w:r>
        <w:rPr>
          <w:sz w:val="20"/>
          <w:szCs w:val="20"/>
        </w:rPr>
        <w:t> </w:t>
      </w:r>
    </w:p>
    <w:p w14:paraId="00E63B27" w14:textId="77777777" w:rsidR="00000000" w:rsidRDefault="0053651E">
      <w:pPr>
        <w:divId w:val="547227074"/>
        <w:rPr>
          <w:rFonts w:eastAsia="Times New Roman"/>
          <w:sz w:val="20"/>
          <w:szCs w:val="20"/>
        </w:rPr>
      </w:pPr>
      <w:r>
        <w:rPr>
          <w:rFonts w:eastAsia="Times New Roman"/>
          <w:sz w:val="20"/>
          <w:szCs w:val="20"/>
        </w:rPr>
        <w:t xml:space="preserve">  </w:t>
      </w:r>
    </w:p>
    <w:p w14:paraId="1B77FA46" w14:textId="77777777" w:rsidR="00000000" w:rsidRDefault="0053651E">
      <w:pPr>
        <w:pStyle w:val="a3"/>
        <w:spacing w:before="0" w:beforeAutospacing="0" w:after="0" w:afterAutospacing="0"/>
        <w:ind w:left="144" w:right="144"/>
        <w:jc w:val="center"/>
        <w:rPr>
          <w:sz w:val="20"/>
          <w:szCs w:val="20"/>
        </w:rPr>
      </w:pPr>
      <w:r>
        <w:rPr>
          <w:sz w:val="20"/>
          <w:szCs w:val="20"/>
        </w:rPr>
        <w:t>KIMCO REALTY CORPORATION AND SUBSIDIARIES</w:t>
      </w:r>
    </w:p>
    <w:p w14:paraId="64C8FE42" w14:textId="77777777" w:rsidR="00000000" w:rsidRDefault="0053651E">
      <w:pPr>
        <w:pStyle w:val="a3"/>
        <w:spacing w:before="0" w:beforeAutospacing="0" w:after="0" w:afterAutospacing="0"/>
        <w:ind w:left="144" w:right="144"/>
        <w:jc w:val="center"/>
        <w:rPr>
          <w:sz w:val="20"/>
          <w:szCs w:val="20"/>
        </w:rPr>
      </w:pPr>
      <w:r>
        <w:rPr>
          <w:sz w:val="20"/>
          <w:szCs w:val="20"/>
        </w:rPr>
        <w:t> </w:t>
      </w:r>
    </w:p>
    <w:p w14:paraId="0DCF237A" w14:textId="77777777" w:rsidR="00000000" w:rsidRDefault="0053651E">
      <w:pPr>
        <w:pStyle w:val="a3"/>
        <w:spacing w:before="0" w:beforeAutospacing="0" w:after="0" w:afterAutospacing="0"/>
        <w:ind w:left="144" w:right="144"/>
        <w:jc w:val="center"/>
        <w:rPr>
          <w:sz w:val="20"/>
          <w:szCs w:val="20"/>
        </w:rPr>
      </w:pPr>
      <w:r>
        <w:rPr>
          <w:sz w:val="20"/>
          <w:szCs w:val="20"/>
        </w:rPr>
        <w:t xml:space="preserve">SCHEDULE II – </w:t>
      </w:r>
      <w:r>
        <w:rPr>
          <w:sz w:val="20"/>
          <w:szCs w:val="20"/>
        </w:rPr>
        <w:t>VALUATION AND QUALIFYING ACCOUNTS</w:t>
      </w:r>
    </w:p>
    <w:p w14:paraId="5E90B3EB" w14:textId="77777777" w:rsidR="00000000" w:rsidRDefault="0053651E">
      <w:pPr>
        <w:pStyle w:val="a3"/>
        <w:spacing w:before="0" w:beforeAutospacing="0" w:after="0" w:afterAutospacing="0"/>
        <w:ind w:left="144" w:right="144"/>
        <w:jc w:val="center"/>
        <w:rPr>
          <w:sz w:val="20"/>
          <w:szCs w:val="20"/>
        </w:rPr>
      </w:pPr>
      <w:r>
        <w:rPr>
          <w:sz w:val="20"/>
          <w:szCs w:val="20"/>
        </w:rPr>
        <w:t> </w:t>
      </w:r>
    </w:p>
    <w:p w14:paraId="70532BD7" w14:textId="77777777" w:rsidR="00000000" w:rsidRDefault="0053651E">
      <w:pPr>
        <w:pStyle w:val="a3"/>
        <w:spacing w:before="0" w:beforeAutospacing="0" w:after="0" w:afterAutospacing="0"/>
        <w:ind w:left="144" w:right="144"/>
        <w:jc w:val="center"/>
        <w:rPr>
          <w:sz w:val="20"/>
          <w:szCs w:val="20"/>
        </w:rPr>
      </w:pPr>
      <w:r>
        <w:rPr>
          <w:sz w:val="20"/>
          <w:szCs w:val="20"/>
        </w:rPr>
        <w:t>For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p>
    <w:p w14:paraId="41C5BF68" w14:textId="77777777" w:rsidR="00000000" w:rsidRDefault="0053651E">
      <w:pPr>
        <w:pStyle w:val="a3"/>
        <w:spacing w:before="0" w:beforeAutospacing="0" w:after="0" w:afterAutospacing="0"/>
        <w:ind w:left="144" w:right="144"/>
        <w:jc w:val="center"/>
        <w:rPr>
          <w:sz w:val="20"/>
          <w:szCs w:val="20"/>
        </w:rPr>
      </w:pPr>
      <w:r>
        <w:rPr>
          <w:sz w:val="20"/>
          <w:szCs w:val="20"/>
        </w:rPr>
        <w:t>(in thousands)</w:t>
      </w:r>
    </w:p>
    <w:p w14:paraId="5A4CCCA0" w14:textId="77777777" w:rsidR="00000000" w:rsidRDefault="0053651E">
      <w:pPr>
        <w:pStyle w:val="a3"/>
        <w:spacing w:before="0" w:beforeAutospacing="0" w:after="0" w:afterAutospacing="0"/>
        <w:rPr>
          <w:sz w:val="20"/>
          <w:szCs w:val="20"/>
        </w:rPr>
      </w:pPr>
      <w:r>
        <w:rPr>
          <w:sz w:val="20"/>
          <w:szCs w:val="20"/>
        </w:rPr>
        <w:t> </w:t>
      </w:r>
    </w:p>
    <w:p w14:paraId="4F52F9C7"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86"/>
        <w:gridCol w:w="50"/>
        <w:gridCol w:w="101"/>
        <w:gridCol w:w="760"/>
        <w:gridCol w:w="50"/>
        <w:gridCol w:w="50"/>
        <w:gridCol w:w="101"/>
        <w:gridCol w:w="706"/>
        <w:gridCol w:w="50"/>
        <w:gridCol w:w="50"/>
        <w:gridCol w:w="109"/>
        <w:gridCol w:w="980"/>
        <w:gridCol w:w="67"/>
        <w:gridCol w:w="50"/>
        <w:gridCol w:w="101"/>
        <w:gridCol w:w="860"/>
        <w:gridCol w:w="67"/>
        <w:gridCol w:w="50"/>
        <w:gridCol w:w="101"/>
        <w:gridCol w:w="667"/>
        <w:gridCol w:w="50"/>
      </w:tblGrid>
      <w:tr w:rsidR="00000000" w14:paraId="5982F712" w14:textId="77777777">
        <w:trPr>
          <w:tblCellSpacing w:w="0" w:type="dxa"/>
        </w:trPr>
        <w:tc>
          <w:tcPr>
            <w:tcW w:w="0" w:type="auto"/>
            <w:vAlign w:val="bottom"/>
            <w:hideMark/>
          </w:tcPr>
          <w:p w14:paraId="3D453776"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236D807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AE6EDFD" w14:textId="77777777" w:rsidR="00000000" w:rsidRDefault="0053651E">
            <w:pPr>
              <w:pStyle w:val="a3"/>
              <w:spacing w:before="0" w:beforeAutospacing="0" w:after="0" w:afterAutospacing="0"/>
              <w:jc w:val="center"/>
              <w:rPr>
                <w:sz w:val="20"/>
                <w:szCs w:val="20"/>
              </w:rPr>
            </w:pPr>
            <w:r>
              <w:rPr>
                <w:b/>
                <w:bCs/>
                <w:sz w:val="20"/>
                <w:szCs w:val="20"/>
              </w:rPr>
              <w:t>Balance at</w:t>
            </w:r>
          </w:p>
          <w:p w14:paraId="4844CDB0" w14:textId="77777777" w:rsidR="00000000" w:rsidRDefault="0053651E">
            <w:pPr>
              <w:pStyle w:val="a3"/>
              <w:spacing w:before="0" w:beforeAutospacing="0" w:after="0" w:afterAutospacing="0"/>
              <w:jc w:val="center"/>
              <w:rPr>
                <w:sz w:val="20"/>
                <w:szCs w:val="20"/>
              </w:rPr>
            </w:pPr>
            <w:r>
              <w:rPr>
                <w:b/>
                <w:bCs/>
                <w:sz w:val="20"/>
                <w:szCs w:val="20"/>
              </w:rPr>
              <w:t>beginning of</w:t>
            </w:r>
          </w:p>
          <w:p w14:paraId="1293BD6B" w14:textId="77777777" w:rsidR="00000000" w:rsidRDefault="0053651E">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14:paraId="48D67B9A"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7509298"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14AE48" w14:textId="77777777" w:rsidR="00000000" w:rsidRDefault="0053651E">
            <w:pPr>
              <w:pStyle w:val="a3"/>
              <w:spacing w:before="0" w:beforeAutospacing="0" w:after="0" w:afterAutospacing="0"/>
              <w:jc w:val="center"/>
              <w:rPr>
                <w:sz w:val="20"/>
                <w:szCs w:val="20"/>
              </w:rPr>
            </w:pPr>
            <w:r>
              <w:rPr>
                <w:b/>
                <w:bCs/>
                <w:sz w:val="20"/>
                <w:szCs w:val="20"/>
              </w:rPr>
              <w:t>Charged to</w:t>
            </w:r>
          </w:p>
          <w:p w14:paraId="496ECA8F" w14:textId="77777777" w:rsidR="00000000" w:rsidRDefault="0053651E">
            <w:pPr>
              <w:pStyle w:val="a3"/>
              <w:spacing w:before="0" w:beforeAutospacing="0" w:after="0" w:afterAutospacing="0"/>
              <w:jc w:val="center"/>
              <w:rPr>
                <w:sz w:val="20"/>
                <w:szCs w:val="20"/>
              </w:rPr>
            </w:pPr>
            <w:r>
              <w:rPr>
                <w:b/>
                <w:bCs/>
                <w:sz w:val="20"/>
                <w:szCs w:val="20"/>
              </w:rPr>
              <w:t>expenses</w:t>
            </w:r>
          </w:p>
        </w:tc>
        <w:tc>
          <w:tcPr>
            <w:tcW w:w="0" w:type="auto"/>
            <w:tcMar>
              <w:top w:w="0" w:type="dxa"/>
              <w:left w:w="0" w:type="dxa"/>
              <w:bottom w:w="15" w:type="dxa"/>
              <w:right w:w="0" w:type="dxa"/>
            </w:tcMar>
            <w:vAlign w:val="bottom"/>
            <w:hideMark/>
          </w:tcPr>
          <w:p w14:paraId="3A5DB7F3"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3866C39D"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6B2BCF" w14:textId="77777777" w:rsidR="00000000" w:rsidRDefault="0053651E">
            <w:pPr>
              <w:pStyle w:val="a3"/>
              <w:spacing w:before="0" w:beforeAutospacing="0" w:after="0" w:afterAutospacing="0"/>
              <w:jc w:val="center"/>
              <w:rPr>
                <w:sz w:val="20"/>
                <w:szCs w:val="20"/>
              </w:rPr>
            </w:pPr>
            <w:r>
              <w:rPr>
                <w:b/>
                <w:bCs/>
                <w:sz w:val="20"/>
                <w:szCs w:val="20"/>
              </w:rPr>
              <w:t>Adjustments to</w:t>
            </w:r>
          </w:p>
          <w:p w14:paraId="7F7C92DD" w14:textId="77777777" w:rsidR="00000000" w:rsidRDefault="0053651E">
            <w:pPr>
              <w:pStyle w:val="a3"/>
              <w:spacing w:before="0" w:beforeAutospacing="0" w:after="0" w:afterAutospacing="0"/>
              <w:jc w:val="center"/>
              <w:rPr>
                <w:sz w:val="20"/>
                <w:szCs w:val="20"/>
              </w:rPr>
            </w:pPr>
            <w:r>
              <w:rPr>
                <w:b/>
                <w:bCs/>
                <w:sz w:val="20"/>
                <w:szCs w:val="20"/>
              </w:rPr>
              <w:t>valuation</w:t>
            </w:r>
          </w:p>
          <w:p w14:paraId="691B335A" w14:textId="77777777" w:rsidR="00000000" w:rsidRDefault="0053651E">
            <w:pPr>
              <w:pStyle w:val="a3"/>
              <w:spacing w:before="0" w:beforeAutospacing="0" w:after="0" w:afterAutospacing="0"/>
              <w:jc w:val="center"/>
              <w:rPr>
                <w:sz w:val="20"/>
                <w:szCs w:val="20"/>
              </w:rPr>
            </w:pPr>
            <w:r>
              <w:rPr>
                <w:b/>
                <w:bCs/>
                <w:sz w:val="20"/>
                <w:szCs w:val="20"/>
              </w:rPr>
              <w:t>accounts</w:t>
            </w:r>
          </w:p>
        </w:tc>
        <w:tc>
          <w:tcPr>
            <w:tcW w:w="0" w:type="auto"/>
            <w:tcMar>
              <w:top w:w="0" w:type="dxa"/>
              <w:left w:w="0" w:type="dxa"/>
              <w:bottom w:w="15" w:type="dxa"/>
              <w:right w:w="0" w:type="dxa"/>
            </w:tcMar>
            <w:vAlign w:val="bottom"/>
            <w:hideMark/>
          </w:tcPr>
          <w:p w14:paraId="538DE254"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05309A2B"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4971B72" w14:textId="77777777" w:rsidR="00000000" w:rsidRDefault="0053651E">
            <w:pPr>
              <w:pStyle w:val="a3"/>
              <w:spacing w:before="0" w:beforeAutospacing="0" w:after="0" w:afterAutospacing="0"/>
              <w:jc w:val="center"/>
              <w:rPr>
                <w:sz w:val="20"/>
                <w:szCs w:val="20"/>
              </w:rPr>
            </w:pPr>
            <w:r>
              <w:rPr>
                <w:b/>
                <w:bCs/>
                <w:sz w:val="20"/>
                <w:szCs w:val="20"/>
              </w:rPr>
              <w:t>Deductions</w:t>
            </w:r>
          </w:p>
        </w:tc>
        <w:tc>
          <w:tcPr>
            <w:tcW w:w="0" w:type="auto"/>
            <w:tcMar>
              <w:top w:w="0" w:type="dxa"/>
              <w:left w:w="0" w:type="dxa"/>
              <w:bottom w:w="15" w:type="dxa"/>
              <w:right w:w="0" w:type="dxa"/>
            </w:tcMar>
            <w:vAlign w:val="bottom"/>
            <w:hideMark/>
          </w:tcPr>
          <w:p w14:paraId="2404A441"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611E2229" w14:textId="77777777" w:rsidR="00000000" w:rsidRDefault="0053651E">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1162D9" w14:textId="77777777" w:rsidR="00000000" w:rsidRDefault="0053651E">
            <w:pPr>
              <w:pStyle w:val="a3"/>
              <w:spacing w:before="0" w:beforeAutospacing="0" w:after="0" w:afterAutospacing="0"/>
              <w:jc w:val="center"/>
              <w:rPr>
                <w:sz w:val="20"/>
                <w:szCs w:val="20"/>
              </w:rPr>
            </w:pPr>
            <w:r>
              <w:rPr>
                <w:b/>
                <w:bCs/>
                <w:sz w:val="20"/>
                <w:szCs w:val="20"/>
              </w:rPr>
              <w:t>Balance at</w:t>
            </w:r>
          </w:p>
          <w:p w14:paraId="220A0483" w14:textId="77777777" w:rsidR="00000000" w:rsidRDefault="0053651E">
            <w:pPr>
              <w:pStyle w:val="a3"/>
              <w:spacing w:before="0" w:beforeAutospacing="0" w:after="0" w:afterAutospacing="0"/>
              <w:jc w:val="center"/>
              <w:rPr>
                <w:sz w:val="20"/>
                <w:szCs w:val="20"/>
              </w:rPr>
            </w:pPr>
            <w:r>
              <w:rPr>
                <w:b/>
                <w:bCs/>
                <w:sz w:val="20"/>
                <w:szCs w:val="20"/>
              </w:rPr>
              <w:t>end of</w:t>
            </w:r>
          </w:p>
          <w:p w14:paraId="755BDBB8" w14:textId="77777777" w:rsidR="00000000" w:rsidRDefault="0053651E">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14:paraId="600922A5" w14:textId="77777777" w:rsidR="00000000" w:rsidRDefault="0053651E">
            <w:pPr>
              <w:rPr>
                <w:rFonts w:eastAsia="Times New Roman"/>
                <w:sz w:val="20"/>
                <w:szCs w:val="20"/>
              </w:rPr>
            </w:pPr>
            <w:r>
              <w:rPr>
                <w:rFonts w:eastAsia="Times New Roman"/>
                <w:sz w:val="20"/>
                <w:szCs w:val="20"/>
              </w:rPr>
              <w:t> </w:t>
            </w:r>
          </w:p>
        </w:tc>
      </w:tr>
      <w:tr w:rsidR="00000000" w14:paraId="16BFB42F" w14:textId="77777777">
        <w:trPr>
          <w:tblCellSpacing w:w="0" w:type="dxa"/>
        </w:trPr>
        <w:tc>
          <w:tcPr>
            <w:tcW w:w="2000" w:type="pct"/>
            <w:shd w:val="clear" w:color="auto" w:fill="CCEEFF"/>
            <w:vAlign w:val="bottom"/>
            <w:hideMark/>
          </w:tcPr>
          <w:p w14:paraId="104D534B" w14:textId="77777777" w:rsidR="00000000" w:rsidRDefault="0053651E">
            <w:pPr>
              <w:pStyle w:val="a3"/>
              <w:spacing w:before="0" w:beforeAutospacing="0" w:after="0" w:afterAutospacing="0"/>
              <w:rPr>
                <w:sz w:val="20"/>
                <w:szCs w:val="20"/>
              </w:rPr>
            </w:pPr>
            <w:r>
              <w:rPr>
                <w:sz w:val="20"/>
                <w:szCs w:val="20"/>
              </w:rPr>
              <w:t>Year Ended December 31, 2019</w:t>
            </w:r>
          </w:p>
        </w:tc>
        <w:tc>
          <w:tcPr>
            <w:tcW w:w="0" w:type="auto"/>
            <w:shd w:val="clear" w:color="auto" w:fill="CCEEFF"/>
            <w:vAlign w:val="bottom"/>
            <w:hideMark/>
          </w:tcPr>
          <w:p w14:paraId="0181315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4EF9A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C38B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96B0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BA03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BE526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CB7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741F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99AA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6007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EA23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1929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15B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9B9B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6D2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8F32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4DE5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2417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5485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62BEA" w14:textId="77777777" w:rsidR="00000000" w:rsidRDefault="0053651E">
            <w:pPr>
              <w:rPr>
                <w:rFonts w:eastAsia="Times New Roman"/>
                <w:sz w:val="20"/>
                <w:szCs w:val="20"/>
              </w:rPr>
            </w:pPr>
            <w:r>
              <w:rPr>
                <w:rFonts w:eastAsia="Times New Roman"/>
                <w:sz w:val="20"/>
                <w:szCs w:val="20"/>
              </w:rPr>
              <w:t> </w:t>
            </w:r>
          </w:p>
        </w:tc>
      </w:tr>
      <w:tr w:rsidR="00000000" w14:paraId="135E828E" w14:textId="77777777">
        <w:trPr>
          <w:tblCellSpacing w:w="0" w:type="dxa"/>
        </w:trPr>
        <w:tc>
          <w:tcPr>
            <w:tcW w:w="0" w:type="auto"/>
            <w:shd w:val="clear" w:color="auto" w:fill="FFFFFF"/>
            <w:vAlign w:val="bottom"/>
            <w:hideMark/>
          </w:tcPr>
          <w:p w14:paraId="5370326F" w14:textId="77777777" w:rsidR="00000000" w:rsidRDefault="0053651E">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14:paraId="124BB17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CE47766"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3C57B57" w14:textId="77777777" w:rsidR="00000000" w:rsidRDefault="0053651E">
            <w:pPr>
              <w:jc w:val="right"/>
              <w:rPr>
                <w:rFonts w:eastAsia="Times New Roman"/>
                <w:sz w:val="20"/>
                <w:szCs w:val="20"/>
              </w:rPr>
            </w:pPr>
            <w:r>
              <w:rPr>
                <w:rFonts w:eastAsia="Times New Roman"/>
                <w:sz w:val="20"/>
                <w:szCs w:val="20"/>
              </w:rPr>
              <w:t>45,413</w:t>
            </w:r>
          </w:p>
        </w:tc>
        <w:tc>
          <w:tcPr>
            <w:tcW w:w="50" w:type="pct"/>
            <w:shd w:val="clear" w:color="auto" w:fill="FFFFFF"/>
            <w:tcMar>
              <w:top w:w="0" w:type="dxa"/>
              <w:left w:w="0" w:type="dxa"/>
              <w:bottom w:w="15" w:type="dxa"/>
              <w:right w:w="0" w:type="dxa"/>
            </w:tcMar>
            <w:vAlign w:val="bottom"/>
            <w:hideMark/>
          </w:tcPr>
          <w:p w14:paraId="2A19990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10E5B5"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A4918C3"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5147B9A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7AAC43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37404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BAB02F8"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7A9DD010" w14:textId="77777777" w:rsidR="00000000" w:rsidRDefault="0053651E">
            <w:pPr>
              <w:jc w:val="right"/>
              <w:rPr>
                <w:rFonts w:eastAsia="Times New Roman"/>
                <w:sz w:val="20"/>
                <w:szCs w:val="20"/>
              </w:rPr>
            </w:pPr>
            <w:r>
              <w:rPr>
                <w:rFonts w:eastAsia="Times New Roman"/>
                <w:sz w:val="20"/>
                <w:szCs w:val="20"/>
              </w:rPr>
              <w:t>(2,710</w:t>
            </w:r>
          </w:p>
        </w:tc>
        <w:tc>
          <w:tcPr>
            <w:tcW w:w="50" w:type="pct"/>
            <w:shd w:val="clear" w:color="auto" w:fill="FFFFFF"/>
            <w:tcMar>
              <w:top w:w="0" w:type="dxa"/>
              <w:left w:w="0" w:type="dxa"/>
              <w:bottom w:w="15" w:type="dxa"/>
              <w:right w:w="0" w:type="dxa"/>
            </w:tcMar>
            <w:vAlign w:val="bottom"/>
            <w:hideMark/>
          </w:tcPr>
          <w:p w14:paraId="1343EC3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FC93A1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5C57A56"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13F31F1E"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0FD8E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5569F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CEFA7A"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46BFAAE" w14:textId="77777777" w:rsidR="00000000" w:rsidRDefault="0053651E">
            <w:pPr>
              <w:jc w:val="right"/>
              <w:rPr>
                <w:rFonts w:eastAsia="Times New Roman"/>
                <w:sz w:val="20"/>
                <w:szCs w:val="20"/>
              </w:rPr>
            </w:pPr>
            <w:r>
              <w:rPr>
                <w:rFonts w:eastAsia="Times New Roman"/>
                <w:sz w:val="20"/>
                <w:szCs w:val="20"/>
              </w:rPr>
              <w:t>42,703</w:t>
            </w:r>
          </w:p>
        </w:tc>
        <w:tc>
          <w:tcPr>
            <w:tcW w:w="50" w:type="pct"/>
            <w:shd w:val="clear" w:color="auto" w:fill="FFFFFF"/>
            <w:tcMar>
              <w:top w:w="0" w:type="dxa"/>
              <w:left w:w="0" w:type="dxa"/>
              <w:bottom w:w="15" w:type="dxa"/>
              <w:right w:w="0" w:type="dxa"/>
            </w:tcMar>
            <w:vAlign w:val="bottom"/>
            <w:hideMark/>
          </w:tcPr>
          <w:p w14:paraId="5D7CAF50" w14:textId="77777777" w:rsidR="00000000" w:rsidRDefault="0053651E">
            <w:pPr>
              <w:rPr>
                <w:rFonts w:eastAsia="Times New Roman"/>
                <w:sz w:val="20"/>
                <w:szCs w:val="20"/>
              </w:rPr>
            </w:pPr>
            <w:r>
              <w:rPr>
                <w:rFonts w:eastAsia="Times New Roman"/>
                <w:sz w:val="20"/>
                <w:szCs w:val="20"/>
              </w:rPr>
              <w:t> </w:t>
            </w:r>
          </w:p>
        </w:tc>
      </w:tr>
      <w:tr w:rsidR="00000000" w14:paraId="2B703ED5" w14:textId="77777777">
        <w:trPr>
          <w:tblCellSpacing w:w="0" w:type="dxa"/>
        </w:trPr>
        <w:tc>
          <w:tcPr>
            <w:tcW w:w="0" w:type="auto"/>
            <w:shd w:val="clear" w:color="auto" w:fill="CCEEFF"/>
            <w:vAlign w:val="bottom"/>
            <w:hideMark/>
          </w:tcPr>
          <w:p w14:paraId="2BC34A0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C544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9D7D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197D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A7FF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B6C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4EB24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971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2BFD8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AA04E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BCCB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87E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99DF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DE71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75FC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344B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0FDD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E82D7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576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06D9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B8DFD9" w14:textId="77777777" w:rsidR="00000000" w:rsidRDefault="0053651E">
            <w:pPr>
              <w:rPr>
                <w:rFonts w:eastAsia="Times New Roman"/>
                <w:sz w:val="20"/>
                <w:szCs w:val="20"/>
              </w:rPr>
            </w:pPr>
            <w:r>
              <w:rPr>
                <w:rFonts w:eastAsia="Times New Roman"/>
                <w:sz w:val="20"/>
                <w:szCs w:val="20"/>
              </w:rPr>
              <w:t> </w:t>
            </w:r>
          </w:p>
        </w:tc>
      </w:tr>
      <w:tr w:rsidR="00000000" w14:paraId="166A0451" w14:textId="77777777">
        <w:trPr>
          <w:tblCellSpacing w:w="0" w:type="dxa"/>
        </w:trPr>
        <w:tc>
          <w:tcPr>
            <w:tcW w:w="0" w:type="auto"/>
            <w:shd w:val="clear" w:color="auto" w:fill="FFFFFF"/>
            <w:vAlign w:val="bottom"/>
            <w:hideMark/>
          </w:tcPr>
          <w:p w14:paraId="0C27314C" w14:textId="77777777" w:rsidR="00000000" w:rsidRDefault="0053651E">
            <w:pPr>
              <w:pStyle w:val="a3"/>
              <w:spacing w:before="0" w:beforeAutospacing="0" w:after="0" w:afterAutospacing="0"/>
              <w:rPr>
                <w:sz w:val="20"/>
                <w:szCs w:val="20"/>
              </w:rPr>
            </w:pPr>
            <w:r>
              <w:rPr>
                <w:sz w:val="20"/>
                <w:szCs w:val="20"/>
              </w:rPr>
              <w:t>Year Ended December 31, 2018</w:t>
            </w:r>
          </w:p>
        </w:tc>
        <w:tc>
          <w:tcPr>
            <w:tcW w:w="0" w:type="auto"/>
            <w:shd w:val="clear" w:color="auto" w:fill="FFFFFF"/>
            <w:vAlign w:val="bottom"/>
            <w:hideMark/>
          </w:tcPr>
          <w:p w14:paraId="569AE1C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3D5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90D8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929B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D34A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60B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6538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6E0C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DC9E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7439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8B2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11209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D30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E1508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B82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3D215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34E2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502B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500A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754B9" w14:textId="77777777" w:rsidR="00000000" w:rsidRDefault="0053651E">
            <w:pPr>
              <w:rPr>
                <w:rFonts w:eastAsia="Times New Roman"/>
                <w:sz w:val="20"/>
                <w:szCs w:val="20"/>
              </w:rPr>
            </w:pPr>
            <w:r>
              <w:rPr>
                <w:rFonts w:eastAsia="Times New Roman"/>
                <w:sz w:val="20"/>
                <w:szCs w:val="20"/>
              </w:rPr>
              <w:t> </w:t>
            </w:r>
          </w:p>
        </w:tc>
      </w:tr>
      <w:tr w:rsidR="00000000" w14:paraId="1E1706BE" w14:textId="77777777">
        <w:trPr>
          <w:tblCellSpacing w:w="0" w:type="dxa"/>
        </w:trPr>
        <w:tc>
          <w:tcPr>
            <w:tcW w:w="0" w:type="auto"/>
            <w:shd w:val="clear" w:color="auto" w:fill="CCEEFF"/>
            <w:vAlign w:val="bottom"/>
            <w:hideMark/>
          </w:tcPr>
          <w:p w14:paraId="7C34595C" w14:textId="77777777" w:rsidR="00000000" w:rsidRDefault="0053651E">
            <w:pPr>
              <w:pStyle w:val="a3"/>
              <w:spacing w:before="0" w:beforeAutospacing="0" w:after="0" w:afterAutospacing="0"/>
              <w:rPr>
                <w:sz w:val="20"/>
                <w:szCs w:val="20"/>
              </w:rPr>
            </w:pPr>
            <w:r>
              <w:rPr>
                <w:sz w:val="20"/>
                <w:szCs w:val="20"/>
              </w:rPr>
              <w:t>Allowance for uncollectable accounts (1)</w:t>
            </w:r>
          </w:p>
        </w:tc>
        <w:tc>
          <w:tcPr>
            <w:tcW w:w="50" w:type="pct"/>
            <w:shd w:val="clear" w:color="auto" w:fill="CCEEFF"/>
            <w:vAlign w:val="bottom"/>
            <w:hideMark/>
          </w:tcPr>
          <w:p w14:paraId="7F5518A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9EBC3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2AA78131" w14:textId="77777777" w:rsidR="00000000" w:rsidRDefault="0053651E">
            <w:pPr>
              <w:jc w:val="right"/>
              <w:rPr>
                <w:rFonts w:eastAsia="Times New Roman"/>
                <w:sz w:val="20"/>
                <w:szCs w:val="20"/>
              </w:rPr>
            </w:pPr>
            <w:r>
              <w:rPr>
                <w:rFonts w:eastAsia="Times New Roman"/>
                <w:sz w:val="20"/>
                <w:szCs w:val="20"/>
              </w:rPr>
              <w:t>17,066</w:t>
            </w:r>
          </w:p>
        </w:tc>
        <w:tc>
          <w:tcPr>
            <w:tcW w:w="50" w:type="pct"/>
            <w:shd w:val="clear" w:color="auto" w:fill="CCEEFF"/>
            <w:vAlign w:val="bottom"/>
            <w:hideMark/>
          </w:tcPr>
          <w:p w14:paraId="77140E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76FBC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A5783B"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90223BD" w14:textId="77777777" w:rsidR="00000000" w:rsidRDefault="0053651E">
            <w:pPr>
              <w:jc w:val="right"/>
              <w:rPr>
                <w:rFonts w:eastAsia="Times New Roman"/>
                <w:sz w:val="20"/>
                <w:szCs w:val="20"/>
              </w:rPr>
            </w:pPr>
            <w:r>
              <w:rPr>
                <w:rFonts w:eastAsia="Times New Roman"/>
                <w:sz w:val="20"/>
                <w:szCs w:val="20"/>
              </w:rPr>
              <w:t>9,254</w:t>
            </w:r>
          </w:p>
        </w:tc>
        <w:tc>
          <w:tcPr>
            <w:tcW w:w="50" w:type="pct"/>
            <w:shd w:val="clear" w:color="auto" w:fill="CCEEFF"/>
            <w:vAlign w:val="bottom"/>
            <w:hideMark/>
          </w:tcPr>
          <w:p w14:paraId="3221B4E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2587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D06463"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9A7CEFB"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5BC42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5702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0F5FA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4BD630BC" w14:textId="77777777" w:rsidR="00000000" w:rsidRDefault="0053651E">
            <w:pPr>
              <w:jc w:val="right"/>
              <w:rPr>
                <w:rFonts w:eastAsia="Times New Roman"/>
                <w:sz w:val="20"/>
                <w:szCs w:val="20"/>
              </w:rPr>
            </w:pPr>
            <w:r>
              <w:rPr>
                <w:rFonts w:eastAsia="Times New Roman"/>
                <w:sz w:val="20"/>
                <w:szCs w:val="20"/>
              </w:rPr>
              <w:t>(5,882</w:t>
            </w:r>
          </w:p>
        </w:tc>
        <w:tc>
          <w:tcPr>
            <w:tcW w:w="50" w:type="pct"/>
            <w:shd w:val="clear" w:color="auto" w:fill="CCEEFF"/>
            <w:vAlign w:val="bottom"/>
            <w:hideMark/>
          </w:tcPr>
          <w:p w14:paraId="731881AC"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0E339A7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B9D884"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30B42183" w14:textId="77777777" w:rsidR="00000000" w:rsidRDefault="0053651E">
            <w:pPr>
              <w:jc w:val="right"/>
              <w:rPr>
                <w:rFonts w:eastAsia="Times New Roman"/>
                <w:sz w:val="20"/>
                <w:szCs w:val="20"/>
              </w:rPr>
            </w:pPr>
            <w:r>
              <w:rPr>
                <w:rFonts w:eastAsia="Times New Roman"/>
                <w:sz w:val="20"/>
                <w:szCs w:val="20"/>
              </w:rPr>
              <w:t>20,438</w:t>
            </w:r>
          </w:p>
        </w:tc>
        <w:tc>
          <w:tcPr>
            <w:tcW w:w="50" w:type="pct"/>
            <w:shd w:val="clear" w:color="auto" w:fill="CCEEFF"/>
            <w:vAlign w:val="bottom"/>
            <w:hideMark/>
          </w:tcPr>
          <w:p w14:paraId="09766540" w14:textId="77777777" w:rsidR="00000000" w:rsidRDefault="0053651E">
            <w:pPr>
              <w:rPr>
                <w:rFonts w:eastAsia="Times New Roman"/>
                <w:sz w:val="20"/>
                <w:szCs w:val="20"/>
              </w:rPr>
            </w:pPr>
            <w:r>
              <w:rPr>
                <w:rFonts w:eastAsia="Times New Roman"/>
                <w:sz w:val="20"/>
                <w:szCs w:val="20"/>
              </w:rPr>
              <w:t> </w:t>
            </w:r>
          </w:p>
        </w:tc>
      </w:tr>
      <w:tr w:rsidR="00000000" w14:paraId="20CB13A3" w14:textId="77777777">
        <w:trPr>
          <w:tblCellSpacing w:w="0" w:type="dxa"/>
        </w:trPr>
        <w:tc>
          <w:tcPr>
            <w:tcW w:w="0" w:type="auto"/>
            <w:shd w:val="clear" w:color="auto" w:fill="FFFFFF"/>
            <w:vAlign w:val="bottom"/>
            <w:hideMark/>
          </w:tcPr>
          <w:p w14:paraId="746A6D3A" w14:textId="77777777" w:rsidR="00000000" w:rsidRDefault="0053651E">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14:paraId="31ED51D7"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869840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02FB52CC" w14:textId="77777777" w:rsidR="00000000" w:rsidRDefault="0053651E">
            <w:pPr>
              <w:jc w:val="right"/>
              <w:rPr>
                <w:rFonts w:eastAsia="Times New Roman"/>
                <w:sz w:val="20"/>
                <w:szCs w:val="20"/>
              </w:rPr>
            </w:pPr>
            <w:r>
              <w:rPr>
                <w:rFonts w:eastAsia="Times New Roman"/>
                <w:sz w:val="20"/>
                <w:szCs w:val="20"/>
              </w:rPr>
              <w:t>54,155</w:t>
            </w:r>
          </w:p>
        </w:tc>
        <w:tc>
          <w:tcPr>
            <w:tcW w:w="50" w:type="pct"/>
            <w:shd w:val="clear" w:color="auto" w:fill="FFFFFF"/>
            <w:tcMar>
              <w:top w:w="0" w:type="dxa"/>
              <w:left w:w="0" w:type="dxa"/>
              <w:bottom w:w="15" w:type="dxa"/>
              <w:right w:w="0" w:type="dxa"/>
            </w:tcMar>
            <w:vAlign w:val="bottom"/>
            <w:hideMark/>
          </w:tcPr>
          <w:p w14:paraId="7EA4039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2AD3DB"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70E7039"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FF3F15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5C7E0D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D1A22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747C30A"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71201B7" w14:textId="77777777" w:rsidR="00000000" w:rsidRDefault="0053651E">
            <w:pPr>
              <w:jc w:val="right"/>
              <w:rPr>
                <w:rFonts w:eastAsia="Times New Roman"/>
                <w:sz w:val="20"/>
                <w:szCs w:val="20"/>
              </w:rPr>
            </w:pPr>
            <w:r>
              <w:rPr>
                <w:rFonts w:eastAsia="Times New Roman"/>
                <w:sz w:val="20"/>
                <w:szCs w:val="20"/>
              </w:rPr>
              <w:t>(8,742</w:t>
            </w:r>
          </w:p>
        </w:tc>
        <w:tc>
          <w:tcPr>
            <w:tcW w:w="50" w:type="pct"/>
            <w:shd w:val="clear" w:color="auto" w:fill="FFFFFF"/>
            <w:tcMar>
              <w:top w:w="0" w:type="dxa"/>
              <w:left w:w="0" w:type="dxa"/>
              <w:bottom w:w="15" w:type="dxa"/>
              <w:right w:w="0" w:type="dxa"/>
            </w:tcMar>
            <w:vAlign w:val="bottom"/>
            <w:hideMark/>
          </w:tcPr>
          <w:p w14:paraId="38D8B454"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6C8AD51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1E3770"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13419A3C"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56C69B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44B3A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2ADFE51"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380236AD" w14:textId="77777777" w:rsidR="00000000" w:rsidRDefault="0053651E">
            <w:pPr>
              <w:jc w:val="right"/>
              <w:rPr>
                <w:rFonts w:eastAsia="Times New Roman"/>
                <w:sz w:val="20"/>
                <w:szCs w:val="20"/>
              </w:rPr>
            </w:pPr>
            <w:r>
              <w:rPr>
                <w:rFonts w:eastAsia="Times New Roman"/>
                <w:sz w:val="20"/>
                <w:szCs w:val="20"/>
              </w:rPr>
              <w:t>45,413</w:t>
            </w:r>
          </w:p>
        </w:tc>
        <w:tc>
          <w:tcPr>
            <w:tcW w:w="50" w:type="pct"/>
            <w:shd w:val="clear" w:color="auto" w:fill="FFFFFF"/>
            <w:tcMar>
              <w:top w:w="0" w:type="dxa"/>
              <w:left w:w="0" w:type="dxa"/>
              <w:bottom w:w="15" w:type="dxa"/>
              <w:right w:w="0" w:type="dxa"/>
            </w:tcMar>
            <w:vAlign w:val="bottom"/>
            <w:hideMark/>
          </w:tcPr>
          <w:p w14:paraId="47F86F1A" w14:textId="77777777" w:rsidR="00000000" w:rsidRDefault="0053651E">
            <w:pPr>
              <w:rPr>
                <w:rFonts w:eastAsia="Times New Roman"/>
                <w:sz w:val="20"/>
                <w:szCs w:val="20"/>
              </w:rPr>
            </w:pPr>
            <w:r>
              <w:rPr>
                <w:rFonts w:eastAsia="Times New Roman"/>
                <w:sz w:val="20"/>
                <w:szCs w:val="20"/>
              </w:rPr>
              <w:t> </w:t>
            </w:r>
          </w:p>
        </w:tc>
      </w:tr>
      <w:tr w:rsidR="00000000" w14:paraId="0EA409C3" w14:textId="77777777">
        <w:trPr>
          <w:tblCellSpacing w:w="0" w:type="dxa"/>
        </w:trPr>
        <w:tc>
          <w:tcPr>
            <w:tcW w:w="0" w:type="auto"/>
            <w:shd w:val="clear" w:color="auto" w:fill="CCEEFF"/>
            <w:vAlign w:val="bottom"/>
            <w:hideMark/>
          </w:tcPr>
          <w:p w14:paraId="29BD09D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03F3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642A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68BFF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832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5A42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D75D0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1804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8FA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3D57E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18A9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F79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A6EDF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2C8D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F798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539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C77BE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97F0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BAD9C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2786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119C40" w14:textId="77777777" w:rsidR="00000000" w:rsidRDefault="0053651E">
            <w:pPr>
              <w:rPr>
                <w:rFonts w:eastAsia="Times New Roman"/>
                <w:sz w:val="20"/>
                <w:szCs w:val="20"/>
              </w:rPr>
            </w:pPr>
            <w:r>
              <w:rPr>
                <w:rFonts w:eastAsia="Times New Roman"/>
                <w:sz w:val="20"/>
                <w:szCs w:val="20"/>
              </w:rPr>
              <w:t> </w:t>
            </w:r>
          </w:p>
        </w:tc>
      </w:tr>
      <w:tr w:rsidR="00000000" w14:paraId="3D6EBB7D" w14:textId="77777777">
        <w:trPr>
          <w:tblCellSpacing w:w="0" w:type="dxa"/>
        </w:trPr>
        <w:tc>
          <w:tcPr>
            <w:tcW w:w="0" w:type="auto"/>
            <w:shd w:val="clear" w:color="auto" w:fill="FFFFFF"/>
            <w:vAlign w:val="bottom"/>
            <w:hideMark/>
          </w:tcPr>
          <w:p w14:paraId="46172E65" w14:textId="77777777" w:rsidR="00000000" w:rsidRDefault="0053651E">
            <w:pPr>
              <w:pStyle w:val="a3"/>
              <w:spacing w:before="0" w:beforeAutospacing="0" w:after="0" w:afterAutospacing="0"/>
              <w:rPr>
                <w:sz w:val="20"/>
                <w:szCs w:val="20"/>
              </w:rPr>
            </w:pPr>
            <w:r>
              <w:rPr>
                <w:sz w:val="20"/>
                <w:szCs w:val="20"/>
              </w:rPr>
              <w:t>Year Ended December 31, 2017</w:t>
            </w:r>
          </w:p>
        </w:tc>
        <w:tc>
          <w:tcPr>
            <w:tcW w:w="0" w:type="auto"/>
            <w:shd w:val="clear" w:color="auto" w:fill="FFFFFF"/>
            <w:vAlign w:val="bottom"/>
            <w:hideMark/>
          </w:tcPr>
          <w:p w14:paraId="025BA725"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7F0B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4B424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A707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85FF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55F9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00E4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1648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A96F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E483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C6231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3C84B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C412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BC1B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E2854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0F1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3783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7F369"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1A86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F59C01" w14:textId="77777777" w:rsidR="00000000" w:rsidRDefault="0053651E">
            <w:pPr>
              <w:rPr>
                <w:rFonts w:eastAsia="Times New Roman"/>
                <w:sz w:val="20"/>
                <w:szCs w:val="20"/>
              </w:rPr>
            </w:pPr>
            <w:r>
              <w:rPr>
                <w:rFonts w:eastAsia="Times New Roman"/>
                <w:sz w:val="20"/>
                <w:szCs w:val="20"/>
              </w:rPr>
              <w:t> </w:t>
            </w:r>
          </w:p>
        </w:tc>
      </w:tr>
      <w:tr w:rsidR="00000000" w14:paraId="20DAD947" w14:textId="77777777">
        <w:trPr>
          <w:tblCellSpacing w:w="0" w:type="dxa"/>
        </w:trPr>
        <w:tc>
          <w:tcPr>
            <w:tcW w:w="0" w:type="auto"/>
            <w:shd w:val="clear" w:color="auto" w:fill="CCEEFF"/>
            <w:vAlign w:val="bottom"/>
            <w:hideMark/>
          </w:tcPr>
          <w:p w14:paraId="5C1B7E2E" w14:textId="77777777" w:rsidR="00000000" w:rsidRDefault="0053651E">
            <w:pPr>
              <w:pStyle w:val="a3"/>
              <w:spacing w:before="0" w:beforeAutospacing="0" w:after="0" w:afterAutospacing="0"/>
              <w:rPr>
                <w:sz w:val="20"/>
                <w:szCs w:val="20"/>
              </w:rPr>
            </w:pPr>
            <w:r>
              <w:rPr>
                <w:sz w:val="20"/>
                <w:szCs w:val="20"/>
              </w:rPr>
              <w:t>Allowance for uncollectable accounts (1)</w:t>
            </w:r>
          </w:p>
        </w:tc>
        <w:tc>
          <w:tcPr>
            <w:tcW w:w="50" w:type="pct"/>
            <w:shd w:val="clear" w:color="auto" w:fill="CCEEFF"/>
            <w:vAlign w:val="bottom"/>
            <w:hideMark/>
          </w:tcPr>
          <w:p w14:paraId="25C4876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8B21FA"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17A3706E" w14:textId="77777777" w:rsidR="00000000" w:rsidRDefault="0053651E">
            <w:pPr>
              <w:jc w:val="right"/>
              <w:rPr>
                <w:rFonts w:eastAsia="Times New Roman"/>
                <w:sz w:val="20"/>
                <w:szCs w:val="20"/>
              </w:rPr>
            </w:pPr>
            <w:r>
              <w:rPr>
                <w:rFonts w:eastAsia="Times New Roman"/>
                <w:sz w:val="20"/>
                <w:szCs w:val="20"/>
              </w:rPr>
              <w:t>24,175</w:t>
            </w:r>
          </w:p>
        </w:tc>
        <w:tc>
          <w:tcPr>
            <w:tcW w:w="50" w:type="pct"/>
            <w:shd w:val="clear" w:color="auto" w:fill="CCEEFF"/>
            <w:vAlign w:val="bottom"/>
            <w:hideMark/>
          </w:tcPr>
          <w:p w14:paraId="741CE2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1C18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EC900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095E1FD5" w14:textId="77777777" w:rsidR="00000000" w:rsidRDefault="0053651E">
            <w:pPr>
              <w:jc w:val="right"/>
              <w:rPr>
                <w:rFonts w:eastAsia="Times New Roman"/>
                <w:sz w:val="20"/>
                <w:szCs w:val="20"/>
              </w:rPr>
            </w:pPr>
            <w:r>
              <w:rPr>
                <w:rFonts w:eastAsia="Times New Roman"/>
                <w:sz w:val="20"/>
                <w:szCs w:val="20"/>
              </w:rPr>
              <w:t>6,641</w:t>
            </w:r>
          </w:p>
        </w:tc>
        <w:tc>
          <w:tcPr>
            <w:tcW w:w="50" w:type="pct"/>
            <w:shd w:val="clear" w:color="auto" w:fill="CCEEFF"/>
            <w:vAlign w:val="bottom"/>
            <w:hideMark/>
          </w:tcPr>
          <w:p w14:paraId="7AF7E6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4718B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8C8E7C"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1042E8A4"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1E39A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BA09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048F9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10576E8" w14:textId="77777777" w:rsidR="00000000" w:rsidRDefault="0053651E">
            <w:pPr>
              <w:jc w:val="right"/>
              <w:rPr>
                <w:rFonts w:eastAsia="Times New Roman"/>
                <w:sz w:val="20"/>
                <w:szCs w:val="20"/>
              </w:rPr>
            </w:pPr>
            <w:r>
              <w:rPr>
                <w:rFonts w:eastAsia="Times New Roman"/>
                <w:sz w:val="20"/>
                <w:szCs w:val="20"/>
              </w:rPr>
              <w:t>(13,750</w:t>
            </w:r>
          </w:p>
        </w:tc>
        <w:tc>
          <w:tcPr>
            <w:tcW w:w="50" w:type="pct"/>
            <w:shd w:val="clear" w:color="auto" w:fill="CCEEFF"/>
            <w:vAlign w:val="bottom"/>
            <w:hideMark/>
          </w:tcPr>
          <w:p w14:paraId="79AFA76D"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2B6F8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5ED8F7" w14:textId="77777777" w:rsidR="00000000" w:rsidRDefault="0053651E">
            <w:pPr>
              <w:rPr>
                <w:rFonts w:eastAsia="Times New Roman"/>
                <w:sz w:val="20"/>
                <w:szCs w:val="20"/>
              </w:rPr>
            </w:pPr>
            <w:r>
              <w:rPr>
                <w:rFonts w:eastAsia="Times New Roman"/>
                <w:sz w:val="20"/>
                <w:szCs w:val="20"/>
              </w:rPr>
              <w:t>$</w:t>
            </w:r>
          </w:p>
        </w:tc>
        <w:tc>
          <w:tcPr>
            <w:tcW w:w="450" w:type="pct"/>
            <w:shd w:val="clear" w:color="auto" w:fill="CCEEFF"/>
            <w:vAlign w:val="bottom"/>
            <w:hideMark/>
          </w:tcPr>
          <w:p w14:paraId="71B63F2A" w14:textId="77777777" w:rsidR="00000000" w:rsidRDefault="0053651E">
            <w:pPr>
              <w:jc w:val="right"/>
              <w:rPr>
                <w:rFonts w:eastAsia="Times New Roman"/>
                <w:sz w:val="20"/>
                <w:szCs w:val="20"/>
              </w:rPr>
            </w:pPr>
            <w:r>
              <w:rPr>
                <w:rFonts w:eastAsia="Times New Roman"/>
                <w:sz w:val="20"/>
                <w:szCs w:val="20"/>
              </w:rPr>
              <w:t>17,066</w:t>
            </w:r>
          </w:p>
        </w:tc>
        <w:tc>
          <w:tcPr>
            <w:tcW w:w="50" w:type="pct"/>
            <w:shd w:val="clear" w:color="auto" w:fill="CCEEFF"/>
            <w:vAlign w:val="bottom"/>
            <w:hideMark/>
          </w:tcPr>
          <w:p w14:paraId="77A21A60" w14:textId="77777777" w:rsidR="00000000" w:rsidRDefault="0053651E">
            <w:pPr>
              <w:rPr>
                <w:rFonts w:eastAsia="Times New Roman"/>
                <w:sz w:val="20"/>
                <w:szCs w:val="20"/>
              </w:rPr>
            </w:pPr>
            <w:r>
              <w:rPr>
                <w:rFonts w:eastAsia="Times New Roman"/>
                <w:sz w:val="20"/>
                <w:szCs w:val="20"/>
              </w:rPr>
              <w:t> </w:t>
            </w:r>
          </w:p>
        </w:tc>
      </w:tr>
      <w:tr w:rsidR="00000000" w14:paraId="4224C857" w14:textId="77777777">
        <w:trPr>
          <w:tblCellSpacing w:w="0" w:type="dxa"/>
        </w:trPr>
        <w:tc>
          <w:tcPr>
            <w:tcW w:w="0" w:type="auto"/>
            <w:shd w:val="clear" w:color="auto" w:fill="FFFFFF"/>
            <w:vAlign w:val="bottom"/>
            <w:hideMark/>
          </w:tcPr>
          <w:p w14:paraId="06CE2AC6" w14:textId="77777777" w:rsidR="00000000" w:rsidRDefault="0053651E">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14:paraId="2E4BA75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75EFA3D"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01B2BCE6" w14:textId="77777777" w:rsidR="00000000" w:rsidRDefault="0053651E">
            <w:pPr>
              <w:jc w:val="right"/>
              <w:rPr>
                <w:rFonts w:eastAsia="Times New Roman"/>
                <w:sz w:val="20"/>
                <w:szCs w:val="20"/>
              </w:rPr>
            </w:pPr>
            <w:r>
              <w:rPr>
                <w:rFonts w:eastAsia="Times New Roman"/>
                <w:sz w:val="20"/>
                <w:szCs w:val="20"/>
              </w:rPr>
              <w:t>95,126</w:t>
            </w:r>
          </w:p>
        </w:tc>
        <w:tc>
          <w:tcPr>
            <w:tcW w:w="50" w:type="pct"/>
            <w:shd w:val="clear" w:color="auto" w:fill="FFFFFF"/>
            <w:tcMar>
              <w:top w:w="0" w:type="dxa"/>
              <w:left w:w="0" w:type="dxa"/>
              <w:bottom w:w="15" w:type="dxa"/>
              <w:right w:w="0" w:type="dxa"/>
            </w:tcMar>
            <w:vAlign w:val="bottom"/>
            <w:hideMark/>
          </w:tcPr>
          <w:p w14:paraId="410562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A662C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8277EE6"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5E3C0FE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13ADC4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221F1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A10444B"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3D18EA41" w14:textId="77777777" w:rsidR="00000000" w:rsidRDefault="0053651E">
            <w:pPr>
              <w:jc w:val="right"/>
              <w:rPr>
                <w:rFonts w:eastAsia="Times New Roman"/>
                <w:sz w:val="20"/>
                <w:szCs w:val="20"/>
              </w:rPr>
            </w:pPr>
            <w:r>
              <w:rPr>
                <w:rFonts w:eastAsia="Times New Roman"/>
                <w:sz w:val="20"/>
                <w:szCs w:val="20"/>
              </w:rPr>
              <w:t>(40,971</w:t>
            </w:r>
          </w:p>
        </w:tc>
        <w:tc>
          <w:tcPr>
            <w:tcW w:w="50" w:type="pct"/>
            <w:shd w:val="clear" w:color="auto" w:fill="FFFFFF"/>
            <w:tcMar>
              <w:top w:w="0" w:type="dxa"/>
              <w:left w:w="0" w:type="dxa"/>
              <w:bottom w:w="15" w:type="dxa"/>
              <w:right w:w="0" w:type="dxa"/>
            </w:tcMar>
            <w:vAlign w:val="bottom"/>
            <w:hideMark/>
          </w:tcPr>
          <w:p w14:paraId="7FDFA6DC"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21151A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D76B775"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3E68CF08"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55DB435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B34DD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4BE7798" w14:textId="77777777" w:rsidR="00000000" w:rsidRDefault="0053651E">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69FEBC10" w14:textId="77777777" w:rsidR="00000000" w:rsidRDefault="0053651E">
            <w:pPr>
              <w:jc w:val="right"/>
              <w:rPr>
                <w:rFonts w:eastAsia="Times New Roman"/>
                <w:sz w:val="20"/>
                <w:szCs w:val="20"/>
              </w:rPr>
            </w:pPr>
            <w:r>
              <w:rPr>
                <w:rFonts w:eastAsia="Times New Roman"/>
                <w:sz w:val="20"/>
                <w:szCs w:val="20"/>
              </w:rPr>
              <w:t>54,155</w:t>
            </w:r>
          </w:p>
        </w:tc>
        <w:tc>
          <w:tcPr>
            <w:tcW w:w="50" w:type="pct"/>
            <w:shd w:val="clear" w:color="auto" w:fill="FFFFFF"/>
            <w:tcMar>
              <w:top w:w="0" w:type="dxa"/>
              <w:left w:w="0" w:type="dxa"/>
              <w:bottom w:w="15" w:type="dxa"/>
              <w:right w:w="0" w:type="dxa"/>
            </w:tcMar>
            <w:vAlign w:val="bottom"/>
            <w:hideMark/>
          </w:tcPr>
          <w:p w14:paraId="6C819457" w14:textId="77777777" w:rsidR="00000000" w:rsidRDefault="0053651E">
            <w:pPr>
              <w:rPr>
                <w:rFonts w:eastAsia="Times New Roman"/>
                <w:sz w:val="20"/>
                <w:szCs w:val="20"/>
              </w:rPr>
            </w:pPr>
            <w:r>
              <w:rPr>
                <w:rFonts w:eastAsia="Times New Roman"/>
                <w:sz w:val="20"/>
                <w:szCs w:val="20"/>
              </w:rPr>
              <w:t> </w:t>
            </w:r>
          </w:p>
        </w:tc>
      </w:tr>
    </w:tbl>
    <w:p w14:paraId="18267977" w14:textId="77777777" w:rsidR="00000000" w:rsidRDefault="0053651E">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5D1C35" w14:textId="77777777">
        <w:trPr>
          <w:tblCellSpacing w:w="0" w:type="dxa"/>
        </w:trPr>
        <w:tc>
          <w:tcPr>
            <w:tcW w:w="360" w:type="dxa"/>
            <w:hideMark/>
          </w:tcPr>
          <w:p w14:paraId="170E8520" w14:textId="77777777" w:rsidR="00000000" w:rsidRDefault="0053651E">
            <w:pPr>
              <w:rPr>
                <w:rFonts w:eastAsia="Times New Roman"/>
              </w:rPr>
            </w:pPr>
            <w:r>
              <w:rPr>
                <w:rFonts w:eastAsia="Times New Roman"/>
              </w:rPr>
              <w:t> </w:t>
            </w:r>
          </w:p>
        </w:tc>
        <w:tc>
          <w:tcPr>
            <w:tcW w:w="360" w:type="dxa"/>
            <w:hideMark/>
          </w:tcPr>
          <w:p w14:paraId="2315EDA0" w14:textId="77777777" w:rsidR="00000000" w:rsidRDefault="0053651E">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1B49D42A" w14:textId="77777777" w:rsidR="00000000" w:rsidRDefault="0053651E">
            <w:pPr>
              <w:pStyle w:val="a3"/>
              <w:spacing w:before="0" w:beforeAutospacing="0" w:after="0" w:afterAutospacing="0"/>
              <w:jc w:val="both"/>
              <w:rPr>
                <w:sz w:val="20"/>
                <w:szCs w:val="20"/>
              </w:rPr>
            </w:pPr>
            <w:r>
              <w:rPr>
                <w:sz w:val="20"/>
                <w:szCs w:val="20"/>
              </w:rPr>
              <w:t>Includes allowances on accounts receivable and straight-line rents.</w:t>
            </w:r>
          </w:p>
        </w:tc>
      </w:tr>
    </w:tbl>
    <w:p w14:paraId="61100BFF" w14:textId="77777777" w:rsidR="00000000" w:rsidRDefault="0053651E">
      <w:pPr>
        <w:pStyle w:val="a3"/>
        <w:spacing w:before="0" w:beforeAutospacing="0" w:after="0" w:afterAutospacing="0"/>
        <w:rPr>
          <w:sz w:val="20"/>
          <w:szCs w:val="20"/>
        </w:rPr>
      </w:pPr>
      <w:r>
        <w:rPr>
          <w:sz w:val="20"/>
          <w:szCs w:val="20"/>
        </w:rPr>
        <w:t> </w:t>
      </w:r>
    </w:p>
    <w:p w14:paraId="3FA92175" w14:textId="77777777" w:rsidR="00000000" w:rsidRDefault="0053651E">
      <w:pPr>
        <w:jc w:val="center"/>
        <w:divId w:val="1213814111"/>
        <w:rPr>
          <w:rFonts w:eastAsia="Times New Roman"/>
          <w:sz w:val="20"/>
          <w:szCs w:val="20"/>
        </w:rPr>
      </w:pPr>
      <w:r>
        <w:rPr>
          <w:rFonts w:eastAsia="Times New Roman"/>
          <w:sz w:val="20"/>
          <w:szCs w:val="20"/>
        </w:rPr>
        <w:t xml:space="preserve">88 </w:t>
      </w:r>
    </w:p>
    <w:p w14:paraId="56756DF4" w14:textId="77777777" w:rsidR="00000000" w:rsidRDefault="0053651E">
      <w:pPr>
        <w:divId w:val="1213814111"/>
        <w:rPr>
          <w:rFonts w:eastAsia="Times New Roman"/>
          <w:sz w:val="20"/>
          <w:szCs w:val="20"/>
        </w:rPr>
      </w:pPr>
      <w:r>
        <w:rPr>
          <w:rFonts w:eastAsia="Times New Roman"/>
          <w:sz w:val="20"/>
          <w:szCs w:val="20"/>
        </w:rPr>
        <w:pict w14:anchorId="7A7A87C9">
          <v:rect id="_x0000_i1119" style="width:0;height:1.5pt" o:hralign="center" o:hrstd="t" o:hr="t" fillcolor="#a0a0a0" stroked="f"/>
        </w:pict>
      </w:r>
    </w:p>
    <w:p w14:paraId="72080B6B" w14:textId="77777777" w:rsidR="00000000" w:rsidRDefault="0053651E">
      <w:pPr>
        <w:divId w:val="12138141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9AB09A6" w14:textId="77777777" w:rsidR="00000000" w:rsidRDefault="0053651E">
      <w:pPr>
        <w:divId w:val="852110459"/>
        <w:rPr>
          <w:rFonts w:eastAsia="Times New Roman"/>
          <w:sz w:val="20"/>
          <w:szCs w:val="20"/>
        </w:rPr>
      </w:pPr>
      <w:r>
        <w:rPr>
          <w:rFonts w:eastAsia="Times New Roman"/>
          <w:sz w:val="20"/>
          <w:szCs w:val="20"/>
        </w:rPr>
        <w:t xml:space="preserve">  </w:t>
      </w:r>
    </w:p>
    <w:p w14:paraId="719DEFDB" w14:textId="77777777" w:rsidR="00000000" w:rsidRDefault="0053651E">
      <w:pPr>
        <w:pStyle w:val="a3"/>
        <w:spacing w:before="0" w:beforeAutospacing="0" w:after="0" w:afterAutospacing="0"/>
        <w:rPr>
          <w:sz w:val="20"/>
          <w:szCs w:val="20"/>
        </w:rPr>
      </w:pPr>
      <w:r>
        <w:rPr>
          <w:sz w:val="20"/>
          <w:szCs w:val="20"/>
        </w:rPr>
        <w:t> </w:t>
      </w:r>
    </w:p>
    <w:p w14:paraId="53079A7F" w14:textId="77777777" w:rsidR="00000000" w:rsidRDefault="0053651E">
      <w:pPr>
        <w:divId w:val="1826706693"/>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44CF5B3" w14:textId="77777777">
        <w:trPr>
          <w:tblCellSpacing w:w="0" w:type="dxa"/>
        </w:trPr>
        <w:tc>
          <w:tcPr>
            <w:tcW w:w="5000" w:type="pct"/>
            <w:vAlign w:val="bottom"/>
            <w:hideMark/>
          </w:tcPr>
          <w:p w14:paraId="65BED061" w14:textId="77777777" w:rsidR="00000000" w:rsidRDefault="0053651E">
            <w:pPr>
              <w:pStyle w:val="a3"/>
              <w:spacing w:before="0" w:beforeAutospacing="0" w:after="0" w:afterAutospacing="0"/>
              <w:jc w:val="center"/>
              <w:rPr>
                <w:sz w:val="20"/>
                <w:szCs w:val="20"/>
              </w:rPr>
            </w:pPr>
            <w:r>
              <w:rPr>
                <w:b/>
                <w:bCs/>
                <w:sz w:val="20"/>
                <w:szCs w:val="20"/>
              </w:rPr>
              <w:t>KIMCO REALTY CORPORATION AND SUBSIDIARIES</w:t>
            </w:r>
          </w:p>
        </w:tc>
      </w:tr>
      <w:tr w:rsidR="00000000" w14:paraId="3941A5C0" w14:textId="77777777">
        <w:trPr>
          <w:tblCellSpacing w:w="0" w:type="dxa"/>
        </w:trPr>
        <w:tc>
          <w:tcPr>
            <w:tcW w:w="5000" w:type="pct"/>
            <w:vAlign w:val="bottom"/>
            <w:hideMark/>
          </w:tcPr>
          <w:p w14:paraId="777AB368" w14:textId="77777777" w:rsidR="00000000" w:rsidRDefault="0053651E">
            <w:pPr>
              <w:pStyle w:val="a3"/>
              <w:spacing w:before="0" w:beforeAutospacing="0" w:after="0" w:afterAutospacing="0"/>
              <w:jc w:val="center"/>
              <w:rPr>
                <w:sz w:val="20"/>
                <w:szCs w:val="20"/>
              </w:rPr>
            </w:pPr>
            <w:r>
              <w:rPr>
                <w:b/>
                <w:bCs/>
                <w:sz w:val="20"/>
                <w:szCs w:val="20"/>
              </w:rPr>
              <w:t>SCHEDULE III - REAL ESTATE AND ACCUMULATED DEPRECIATION</w:t>
            </w:r>
          </w:p>
        </w:tc>
      </w:tr>
      <w:tr w:rsidR="00000000" w14:paraId="2D713FF1" w14:textId="77777777">
        <w:trPr>
          <w:tblCellSpacing w:w="0" w:type="dxa"/>
        </w:trPr>
        <w:tc>
          <w:tcPr>
            <w:tcW w:w="5000" w:type="pct"/>
            <w:vAlign w:val="bottom"/>
            <w:hideMark/>
          </w:tcPr>
          <w:p w14:paraId="26809217" w14:textId="77777777" w:rsidR="00000000" w:rsidRDefault="0053651E">
            <w:pPr>
              <w:pStyle w:val="a3"/>
              <w:spacing w:before="0" w:beforeAutospacing="0" w:after="0" w:afterAutospacing="0"/>
              <w:jc w:val="center"/>
              <w:rPr>
                <w:sz w:val="20"/>
                <w:szCs w:val="20"/>
              </w:rPr>
            </w:pPr>
            <w:r>
              <w:rPr>
                <w:rStyle w:val="a6"/>
                <w:b/>
                <w:bCs/>
                <w:i w:val="0"/>
                <w:iCs w:val="0"/>
                <w:sz w:val="20"/>
                <w:szCs w:val="20"/>
              </w:rPr>
              <w:t>December 31, 2019</w:t>
            </w:r>
          </w:p>
        </w:tc>
      </w:tr>
    </w:tbl>
    <w:p w14:paraId="6CAED43E" w14:textId="77777777" w:rsidR="00000000" w:rsidRDefault="0053651E">
      <w:pPr>
        <w:pStyle w:val="a3"/>
        <w:spacing w:before="0" w:beforeAutospacing="0" w:after="0" w:afterAutospacing="0"/>
        <w:rPr>
          <w:sz w:val="20"/>
          <w:szCs w:val="20"/>
        </w:rPr>
      </w:pPr>
      <w:r>
        <w:rPr>
          <w:sz w:val="20"/>
          <w:szCs w:val="20"/>
        </w:rPr>
        <w:t> </w:t>
      </w:r>
    </w:p>
    <w:p w14:paraId="0A114A9C"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
        <w:gridCol w:w="1227"/>
        <w:gridCol w:w="347"/>
        <w:gridCol w:w="720"/>
        <w:gridCol w:w="1343"/>
        <w:gridCol w:w="1112"/>
        <w:gridCol w:w="720"/>
        <w:gridCol w:w="1343"/>
        <w:gridCol w:w="800"/>
        <w:gridCol w:w="1280"/>
        <w:gridCol w:w="40"/>
        <w:gridCol w:w="1280"/>
        <w:gridCol w:w="40"/>
        <w:gridCol w:w="1369"/>
        <w:gridCol w:w="1529"/>
      </w:tblGrid>
      <w:tr w:rsidR="00000000" w14:paraId="01A0C8F9" w14:textId="77777777">
        <w:trPr>
          <w:tblCellSpacing w:w="0" w:type="dxa"/>
        </w:trPr>
        <w:tc>
          <w:tcPr>
            <w:tcW w:w="50" w:type="pct"/>
            <w:vAlign w:val="center"/>
            <w:hideMark/>
          </w:tcPr>
          <w:p w14:paraId="5467EE5B" w14:textId="77777777" w:rsidR="00000000" w:rsidRDefault="0053651E">
            <w:pPr>
              <w:rPr>
                <w:rFonts w:eastAsia="Times New Roman"/>
                <w:sz w:val="16"/>
                <w:szCs w:val="16"/>
              </w:rPr>
            </w:pPr>
            <w:r>
              <w:rPr>
                <w:rFonts w:eastAsia="Times New Roman"/>
                <w:sz w:val="16"/>
                <w:szCs w:val="16"/>
              </w:rPr>
              <w:t> </w:t>
            </w:r>
          </w:p>
        </w:tc>
        <w:tc>
          <w:tcPr>
            <w:tcW w:w="650" w:type="pct"/>
            <w:vAlign w:val="center"/>
            <w:hideMark/>
          </w:tcPr>
          <w:p w14:paraId="322FEEED" w14:textId="77777777" w:rsidR="00000000" w:rsidRDefault="0053651E">
            <w:pPr>
              <w:rPr>
                <w:rFonts w:eastAsia="Times New Roman"/>
                <w:sz w:val="16"/>
                <w:szCs w:val="16"/>
              </w:rPr>
            </w:pPr>
            <w:r>
              <w:rPr>
                <w:rFonts w:eastAsia="Times New Roman"/>
                <w:sz w:val="16"/>
                <w:szCs w:val="16"/>
              </w:rPr>
              <w:t> </w:t>
            </w:r>
          </w:p>
        </w:tc>
        <w:tc>
          <w:tcPr>
            <w:tcW w:w="150" w:type="pct"/>
            <w:vAlign w:val="center"/>
            <w:hideMark/>
          </w:tcPr>
          <w:p w14:paraId="73EDDA14" w14:textId="77777777" w:rsidR="00000000" w:rsidRDefault="0053651E">
            <w:pPr>
              <w:rPr>
                <w:rFonts w:eastAsia="Times New Roman"/>
                <w:sz w:val="16"/>
                <w:szCs w:val="16"/>
              </w:rPr>
            </w:pPr>
            <w:r>
              <w:rPr>
                <w:rFonts w:eastAsia="Times New Roman"/>
                <w:sz w:val="16"/>
                <w:szCs w:val="16"/>
              </w:rPr>
              <w:t> </w:t>
            </w:r>
          </w:p>
        </w:tc>
        <w:tc>
          <w:tcPr>
            <w:tcW w:w="300" w:type="pct"/>
            <w:gridSpan w:val="2"/>
            <w:tcBorders>
              <w:bottom w:val="single" w:sz="6" w:space="0" w:color="000000"/>
            </w:tcBorders>
            <w:vAlign w:val="center"/>
            <w:hideMark/>
          </w:tcPr>
          <w:p w14:paraId="06D42542" w14:textId="77777777" w:rsidR="00000000" w:rsidRDefault="0053651E">
            <w:pPr>
              <w:jc w:val="center"/>
              <w:rPr>
                <w:rFonts w:eastAsia="Times New Roman"/>
                <w:sz w:val="16"/>
                <w:szCs w:val="16"/>
              </w:rPr>
            </w:pPr>
            <w:r>
              <w:rPr>
                <w:rFonts w:eastAsia="Times New Roman"/>
                <w:b/>
                <w:bCs/>
                <w:sz w:val="16"/>
                <w:szCs w:val="16"/>
              </w:rPr>
              <w:t xml:space="preserve">INITIAL COST </w:t>
            </w:r>
          </w:p>
        </w:tc>
        <w:tc>
          <w:tcPr>
            <w:tcW w:w="350" w:type="pct"/>
            <w:vAlign w:val="center"/>
            <w:hideMark/>
          </w:tcPr>
          <w:p w14:paraId="13A60F59" w14:textId="77777777" w:rsidR="00000000" w:rsidRDefault="0053651E">
            <w:pPr>
              <w:jc w:val="center"/>
              <w:rPr>
                <w:rFonts w:eastAsia="Times New Roman"/>
                <w:sz w:val="16"/>
                <w:szCs w:val="16"/>
              </w:rPr>
            </w:pPr>
            <w:r>
              <w:rPr>
                <w:rFonts w:eastAsia="Times New Roman"/>
                <w:b/>
                <w:bCs/>
                <w:sz w:val="16"/>
                <w:szCs w:val="16"/>
              </w:rPr>
              <w:t xml:space="preserve">COST </w:t>
            </w:r>
          </w:p>
        </w:tc>
        <w:tc>
          <w:tcPr>
            <w:tcW w:w="300" w:type="pct"/>
            <w:vAlign w:val="center"/>
            <w:hideMark/>
          </w:tcPr>
          <w:p w14:paraId="64A78FEA" w14:textId="77777777" w:rsidR="00000000" w:rsidRDefault="0053651E">
            <w:pPr>
              <w:jc w:val="right"/>
              <w:rPr>
                <w:rFonts w:eastAsia="Times New Roman"/>
                <w:sz w:val="16"/>
                <w:szCs w:val="16"/>
              </w:rPr>
            </w:pPr>
            <w:r>
              <w:rPr>
                <w:rFonts w:eastAsia="Times New Roman"/>
                <w:sz w:val="16"/>
                <w:szCs w:val="16"/>
              </w:rPr>
              <w:t> </w:t>
            </w:r>
          </w:p>
        </w:tc>
        <w:tc>
          <w:tcPr>
            <w:tcW w:w="450" w:type="pct"/>
            <w:vAlign w:val="center"/>
            <w:hideMark/>
          </w:tcPr>
          <w:p w14:paraId="0B48E1E6" w14:textId="77777777" w:rsidR="00000000" w:rsidRDefault="0053651E">
            <w:pPr>
              <w:jc w:val="right"/>
              <w:rPr>
                <w:rFonts w:eastAsia="Times New Roman"/>
                <w:sz w:val="16"/>
                <w:szCs w:val="16"/>
              </w:rPr>
            </w:pPr>
            <w:r>
              <w:rPr>
                <w:rFonts w:eastAsia="Times New Roman"/>
                <w:sz w:val="16"/>
                <w:szCs w:val="16"/>
              </w:rPr>
              <w:t> </w:t>
            </w:r>
          </w:p>
        </w:tc>
        <w:tc>
          <w:tcPr>
            <w:tcW w:w="350" w:type="pct"/>
            <w:vAlign w:val="center"/>
            <w:hideMark/>
          </w:tcPr>
          <w:p w14:paraId="060ED886" w14:textId="77777777" w:rsidR="00000000" w:rsidRDefault="0053651E">
            <w:pPr>
              <w:jc w:val="right"/>
              <w:rPr>
                <w:rFonts w:eastAsia="Times New Roman"/>
                <w:sz w:val="16"/>
                <w:szCs w:val="16"/>
              </w:rPr>
            </w:pPr>
            <w:r>
              <w:rPr>
                <w:rFonts w:eastAsia="Times New Roman"/>
                <w:sz w:val="16"/>
                <w:szCs w:val="16"/>
              </w:rPr>
              <w:t> </w:t>
            </w:r>
          </w:p>
        </w:tc>
        <w:tc>
          <w:tcPr>
            <w:tcW w:w="400" w:type="pct"/>
            <w:vAlign w:val="center"/>
            <w:hideMark/>
          </w:tcPr>
          <w:p w14:paraId="0295475A" w14:textId="77777777" w:rsidR="00000000" w:rsidRDefault="0053651E">
            <w:pPr>
              <w:jc w:val="right"/>
              <w:rPr>
                <w:rFonts w:eastAsia="Times New Roman"/>
                <w:sz w:val="16"/>
                <w:szCs w:val="16"/>
              </w:rPr>
            </w:pPr>
            <w:r>
              <w:rPr>
                <w:rFonts w:eastAsia="Times New Roman"/>
                <w:sz w:val="16"/>
                <w:szCs w:val="16"/>
              </w:rPr>
              <w:t> </w:t>
            </w:r>
          </w:p>
        </w:tc>
        <w:tc>
          <w:tcPr>
            <w:tcW w:w="50" w:type="pct"/>
            <w:vAlign w:val="center"/>
            <w:hideMark/>
          </w:tcPr>
          <w:p w14:paraId="33DF03CA" w14:textId="77777777" w:rsidR="00000000" w:rsidRDefault="0053651E">
            <w:pPr>
              <w:jc w:val="right"/>
              <w:rPr>
                <w:rFonts w:eastAsia="Times New Roman"/>
                <w:sz w:val="16"/>
                <w:szCs w:val="16"/>
              </w:rPr>
            </w:pPr>
            <w:r>
              <w:rPr>
                <w:rFonts w:eastAsia="Times New Roman"/>
                <w:sz w:val="16"/>
                <w:szCs w:val="16"/>
              </w:rPr>
              <w:t> </w:t>
            </w:r>
          </w:p>
        </w:tc>
        <w:tc>
          <w:tcPr>
            <w:tcW w:w="400" w:type="pct"/>
            <w:vAlign w:val="center"/>
            <w:hideMark/>
          </w:tcPr>
          <w:p w14:paraId="0DA129CA" w14:textId="77777777" w:rsidR="00000000" w:rsidRDefault="0053651E">
            <w:pPr>
              <w:jc w:val="right"/>
              <w:rPr>
                <w:rFonts w:eastAsia="Times New Roman"/>
                <w:sz w:val="16"/>
                <w:szCs w:val="16"/>
              </w:rPr>
            </w:pPr>
            <w:r>
              <w:rPr>
                <w:rFonts w:eastAsia="Times New Roman"/>
                <w:sz w:val="16"/>
                <w:szCs w:val="16"/>
              </w:rPr>
              <w:t> </w:t>
            </w:r>
          </w:p>
        </w:tc>
        <w:tc>
          <w:tcPr>
            <w:tcW w:w="50" w:type="pct"/>
            <w:vAlign w:val="center"/>
            <w:hideMark/>
          </w:tcPr>
          <w:p w14:paraId="7ACCE6D9" w14:textId="77777777" w:rsidR="00000000" w:rsidRDefault="0053651E">
            <w:pPr>
              <w:jc w:val="right"/>
              <w:rPr>
                <w:rFonts w:eastAsia="Times New Roman"/>
                <w:sz w:val="16"/>
                <w:szCs w:val="16"/>
              </w:rPr>
            </w:pPr>
            <w:r>
              <w:rPr>
                <w:rFonts w:eastAsia="Times New Roman"/>
                <w:sz w:val="16"/>
                <w:szCs w:val="16"/>
              </w:rPr>
              <w:t> </w:t>
            </w:r>
          </w:p>
        </w:tc>
        <w:tc>
          <w:tcPr>
            <w:tcW w:w="450" w:type="pct"/>
            <w:vAlign w:val="center"/>
            <w:hideMark/>
          </w:tcPr>
          <w:p w14:paraId="21C10314" w14:textId="77777777" w:rsidR="00000000" w:rsidRDefault="0053651E">
            <w:pPr>
              <w:jc w:val="right"/>
              <w:rPr>
                <w:rFonts w:eastAsia="Times New Roman"/>
                <w:sz w:val="16"/>
                <w:szCs w:val="16"/>
              </w:rPr>
            </w:pPr>
            <w:r>
              <w:rPr>
                <w:rFonts w:eastAsia="Times New Roman"/>
                <w:sz w:val="16"/>
                <w:szCs w:val="16"/>
              </w:rPr>
              <w:t> </w:t>
            </w:r>
          </w:p>
        </w:tc>
        <w:tc>
          <w:tcPr>
            <w:tcW w:w="500" w:type="pct"/>
            <w:vAlign w:val="center"/>
            <w:hideMark/>
          </w:tcPr>
          <w:p w14:paraId="049FCDA4" w14:textId="77777777" w:rsidR="00000000" w:rsidRDefault="0053651E">
            <w:pPr>
              <w:jc w:val="center"/>
              <w:rPr>
                <w:rFonts w:eastAsia="Times New Roman"/>
                <w:sz w:val="16"/>
                <w:szCs w:val="16"/>
              </w:rPr>
            </w:pPr>
            <w:r>
              <w:rPr>
                <w:rFonts w:eastAsia="Times New Roman"/>
                <w:sz w:val="16"/>
                <w:szCs w:val="16"/>
              </w:rPr>
              <w:t> </w:t>
            </w:r>
          </w:p>
        </w:tc>
      </w:tr>
      <w:tr w:rsidR="00000000" w14:paraId="7A525B76" w14:textId="77777777">
        <w:trPr>
          <w:tblCellSpacing w:w="0" w:type="dxa"/>
        </w:trPr>
        <w:tc>
          <w:tcPr>
            <w:tcW w:w="50" w:type="pct"/>
            <w:tcBorders>
              <w:bottom w:val="single" w:sz="6" w:space="0" w:color="000000"/>
            </w:tcBorders>
            <w:vAlign w:val="center"/>
            <w:hideMark/>
          </w:tcPr>
          <w:p w14:paraId="104ABB5F" w14:textId="77777777" w:rsidR="00000000" w:rsidRDefault="0053651E">
            <w:pPr>
              <w:rPr>
                <w:rFonts w:eastAsia="Times New Roman"/>
                <w:sz w:val="16"/>
                <w:szCs w:val="16"/>
              </w:rPr>
            </w:pPr>
            <w:r>
              <w:rPr>
                <w:rFonts w:eastAsia="Times New Roman"/>
                <w:sz w:val="16"/>
                <w:szCs w:val="16"/>
              </w:rPr>
              <w:t> </w:t>
            </w:r>
          </w:p>
        </w:tc>
        <w:tc>
          <w:tcPr>
            <w:tcW w:w="650" w:type="pct"/>
            <w:tcBorders>
              <w:bottom w:val="single" w:sz="6" w:space="0" w:color="000000"/>
            </w:tcBorders>
            <w:vAlign w:val="bottom"/>
            <w:hideMark/>
          </w:tcPr>
          <w:p w14:paraId="1E02E6DC" w14:textId="77777777" w:rsidR="00000000" w:rsidRDefault="0053651E">
            <w:pPr>
              <w:rPr>
                <w:rFonts w:eastAsia="Times New Roman"/>
                <w:sz w:val="16"/>
                <w:szCs w:val="16"/>
              </w:rPr>
            </w:pPr>
            <w:r>
              <w:rPr>
                <w:rFonts w:eastAsia="Times New Roman"/>
                <w:b/>
                <w:bCs/>
                <w:sz w:val="16"/>
                <w:szCs w:val="16"/>
              </w:rPr>
              <w:t>DESCRIPTION</w:t>
            </w:r>
          </w:p>
        </w:tc>
        <w:tc>
          <w:tcPr>
            <w:tcW w:w="150" w:type="pct"/>
            <w:tcBorders>
              <w:bottom w:val="single" w:sz="6" w:space="0" w:color="000000"/>
            </w:tcBorders>
            <w:vAlign w:val="bottom"/>
            <w:hideMark/>
          </w:tcPr>
          <w:p w14:paraId="705F3F80" w14:textId="77777777" w:rsidR="00000000" w:rsidRDefault="0053651E">
            <w:pPr>
              <w:rPr>
                <w:rFonts w:eastAsia="Times New Roman"/>
                <w:sz w:val="16"/>
                <w:szCs w:val="16"/>
              </w:rPr>
            </w:pPr>
            <w:r>
              <w:rPr>
                <w:rFonts w:eastAsia="Times New Roman"/>
                <w:b/>
                <w:bCs/>
                <w:sz w:val="16"/>
                <w:szCs w:val="16"/>
              </w:rPr>
              <w:t>State</w:t>
            </w:r>
          </w:p>
        </w:tc>
        <w:tc>
          <w:tcPr>
            <w:tcW w:w="300" w:type="pct"/>
            <w:tcBorders>
              <w:bottom w:val="single" w:sz="6" w:space="0" w:color="000000"/>
            </w:tcBorders>
            <w:vAlign w:val="bottom"/>
            <w:hideMark/>
          </w:tcPr>
          <w:p w14:paraId="11141531" w14:textId="77777777" w:rsidR="00000000" w:rsidRDefault="0053651E">
            <w:pPr>
              <w:jc w:val="center"/>
              <w:rPr>
                <w:rFonts w:eastAsia="Times New Roman"/>
                <w:sz w:val="16"/>
                <w:szCs w:val="16"/>
              </w:rPr>
            </w:pPr>
            <w:r>
              <w:rPr>
                <w:rFonts w:eastAsia="Times New Roman"/>
                <w:b/>
                <w:bCs/>
                <w:sz w:val="16"/>
                <w:szCs w:val="16"/>
              </w:rPr>
              <w:t>LAND</w:t>
            </w:r>
          </w:p>
        </w:tc>
        <w:tc>
          <w:tcPr>
            <w:tcW w:w="550" w:type="pct"/>
            <w:tcBorders>
              <w:bottom w:val="single" w:sz="6" w:space="0" w:color="000000"/>
            </w:tcBorders>
            <w:vAlign w:val="bottom"/>
            <w:hideMark/>
          </w:tcPr>
          <w:p w14:paraId="4A7DA216" w14:textId="77777777" w:rsidR="00000000" w:rsidRDefault="0053651E">
            <w:pPr>
              <w:jc w:val="center"/>
              <w:rPr>
                <w:rFonts w:eastAsia="Times New Roman"/>
                <w:sz w:val="16"/>
                <w:szCs w:val="16"/>
              </w:rPr>
            </w:pPr>
            <w:r>
              <w:rPr>
                <w:rFonts w:eastAsia="Times New Roman"/>
                <w:b/>
                <w:bCs/>
                <w:sz w:val="16"/>
                <w:szCs w:val="16"/>
              </w:rPr>
              <w:t xml:space="preserve">BUILDING AND IMPROVEMENTS </w:t>
            </w:r>
          </w:p>
        </w:tc>
        <w:tc>
          <w:tcPr>
            <w:tcW w:w="350" w:type="pct"/>
            <w:tcBorders>
              <w:bottom w:val="single" w:sz="6" w:space="0" w:color="000000"/>
            </w:tcBorders>
            <w:vAlign w:val="bottom"/>
            <w:hideMark/>
          </w:tcPr>
          <w:p w14:paraId="50C0030D" w14:textId="77777777" w:rsidR="00000000" w:rsidRDefault="0053651E">
            <w:pPr>
              <w:jc w:val="center"/>
              <w:rPr>
                <w:rFonts w:eastAsia="Times New Roman"/>
                <w:sz w:val="16"/>
                <w:szCs w:val="16"/>
              </w:rPr>
            </w:pPr>
            <w:r>
              <w:rPr>
                <w:rFonts w:eastAsia="Times New Roman"/>
                <w:b/>
                <w:bCs/>
                <w:sz w:val="16"/>
                <w:szCs w:val="16"/>
              </w:rPr>
              <w:t xml:space="preserve">CAPITALIZED SUBSEQUENT TO ACQUISITION (1) </w:t>
            </w:r>
          </w:p>
        </w:tc>
        <w:tc>
          <w:tcPr>
            <w:tcW w:w="300" w:type="pct"/>
            <w:tcBorders>
              <w:bottom w:val="single" w:sz="6" w:space="0" w:color="000000"/>
            </w:tcBorders>
            <w:vAlign w:val="bottom"/>
            <w:hideMark/>
          </w:tcPr>
          <w:p w14:paraId="7141FA7D" w14:textId="77777777" w:rsidR="00000000" w:rsidRDefault="0053651E">
            <w:pPr>
              <w:jc w:val="center"/>
              <w:rPr>
                <w:rFonts w:eastAsia="Times New Roman"/>
                <w:sz w:val="16"/>
                <w:szCs w:val="16"/>
              </w:rPr>
            </w:pPr>
            <w:r>
              <w:rPr>
                <w:rFonts w:eastAsia="Times New Roman"/>
                <w:b/>
                <w:bCs/>
                <w:sz w:val="16"/>
                <w:szCs w:val="16"/>
              </w:rPr>
              <w:t>LAND</w:t>
            </w:r>
          </w:p>
        </w:tc>
        <w:tc>
          <w:tcPr>
            <w:tcW w:w="450" w:type="pct"/>
            <w:tcBorders>
              <w:bottom w:val="single" w:sz="6" w:space="0" w:color="000000"/>
            </w:tcBorders>
            <w:vAlign w:val="bottom"/>
            <w:hideMark/>
          </w:tcPr>
          <w:p w14:paraId="0B33756A" w14:textId="77777777" w:rsidR="00000000" w:rsidRDefault="0053651E">
            <w:pPr>
              <w:jc w:val="center"/>
              <w:rPr>
                <w:rFonts w:eastAsia="Times New Roman"/>
                <w:sz w:val="16"/>
                <w:szCs w:val="16"/>
              </w:rPr>
            </w:pPr>
            <w:r>
              <w:rPr>
                <w:rFonts w:eastAsia="Times New Roman"/>
                <w:b/>
                <w:bCs/>
                <w:sz w:val="16"/>
                <w:szCs w:val="16"/>
              </w:rPr>
              <w:t xml:space="preserve">BUILDING AND IMPROVEMENTS </w:t>
            </w:r>
          </w:p>
        </w:tc>
        <w:tc>
          <w:tcPr>
            <w:tcW w:w="350" w:type="pct"/>
            <w:tcBorders>
              <w:bottom w:val="single" w:sz="6" w:space="0" w:color="000000"/>
            </w:tcBorders>
            <w:vAlign w:val="bottom"/>
            <w:hideMark/>
          </w:tcPr>
          <w:p w14:paraId="502C1B7B" w14:textId="77777777" w:rsidR="00000000" w:rsidRDefault="0053651E">
            <w:pPr>
              <w:jc w:val="center"/>
              <w:rPr>
                <w:rFonts w:eastAsia="Times New Roman"/>
                <w:sz w:val="16"/>
                <w:szCs w:val="16"/>
              </w:rPr>
            </w:pPr>
            <w:r>
              <w:rPr>
                <w:rFonts w:eastAsia="Times New Roman"/>
                <w:b/>
                <w:bCs/>
                <w:sz w:val="16"/>
                <w:szCs w:val="16"/>
              </w:rPr>
              <w:t>TOTAL</w:t>
            </w:r>
          </w:p>
        </w:tc>
        <w:tc>
          <w:tcPr>
            <w:tcW w:w="400" w:type="pct"/>
            <w:tcBorders>
              <w:bottom w:val="single" w:sz="6" w:space="0" w:color="000000"/>
            </w:tcBorders>
            <w:vAlign w:val="bottom"/>
            <w:hideMark/>
          </w:tcPr>
          <w:p w14:paraId="47270B76" w14:textId="77777777" w:rsidR="00000000" w:rsidRDefault="0053651E">
            <w:pPr>
              <w:jc w:val="center"/>
              <w:rPr>
                <w:rFonts w:eastAsia="Times New Roman"/>
                <w:sz w:val="16"/>
                <w:szCs w:val="16"/>
              </w:rPr>
            </w:pPr>
            <w:r>
              <w:rPr>
                <w:rFonts w:eastAsia="Times New Roman"/>
                <w:b/>
                <w:bCs/>
                <w:sz w:val="16"/>
                <w:szCs w:val="16"/>
              </w:rPr>
              <w:t xml:space="preserve">ACCUMULATED DEPRECIATION </w:t>
            </w:r>
          </w:p>
        </w:tc>
        <w:tc>
          <w:tcPr>
            <w:tcW w:w="50" w:type="pct"/>
            <w:tcBorders>
              <w:bottom w:val="single" w:sz="6" w:space="0" w:color="000000"/>
            </w:tcBorders>
            <w:vAlign w:val="bottom"/>
            <w:hideMark/>
          </w:tcPr>
          <w:p w14:paraId="3FEF762C" w14:textId="77777777" w:rsidR="00000000" w:rsidRDefault="0053651E">
            <w:pPr>
              <w:jc w:val="right"/>
              <w:rPr>
                <w:rFonts w:eastAsia="Times New Roman"/>
                <w:sz w:val="16"/>
                <w:szCs w:val="16"/>
              </w:rPr>
            </w:pPr>
            <w:r>
              <w:rPr>
                <w:rFonts w:eastAsia="Times New Roman"/>
                <w:sz w:val="16"/>
                <w:szCs w:val="16"/>
              </w:rPr>
              <w:t> </w:t>
            </w:r>
          </w:p>
        </w:tc>
        <w:tc>
          <w:tcPr>
            <w:tcW w:w="400" w:type="pct"/>
            <w:tcBorders>
              <w:bottom w:val="single" w:sz="6" w:space="0" w:color="000000"/>
            </w:tcBorders>
            <w:vAlign w:val="bottom"/>
            <w:hideMark/>
          </w:tcPr>
          <w:p w14:paraId="60955AB0" w14:textId="77777777" w:rsidR="00000000" w:rsidRDefault="0053651E">
            <w:pPr>
              <w:jc w:val="center"/>
              <w:rPr>
                <w:rFonts w:eastAsia="Times New Roman"/>
                <w:sz w:val="16"/>
                <w:szCs w:val="16"/>
              </w:rPr>
            </w:pPr>
            <w:r>
              <w:rPr>
                <w:rFonts w:eastAsia="Times New Roman"/>
                <w:b/>
                <w:bCs/>
                <w:sz w:val="16"/>
                <w:szCs w:val="16"/>
              </w:rPr>
              <w:t xml:space="preserve">TOTAL COST, NET OF ACCUMULATED DEPRECIATION </w:t>
            </w:r>
          </w:p>
        </w:tc>
        <w:tc>
          <w:tcPr>
            <w:tcW w:w="50" w:type="pct"/>
            <w:tcBorders>
              <w:bottom w:val="single" w:sz="6" w:space="0" w:color="000000"/>
            </w:tcBorders>
            <w:vAlign w:val="bottom"/>
            <w:hideMark/>
          </w:tcPr>
          <w:p w14:paraId="5CC4F092" w14:textId="77777777" w:rsidR="00000000" w:rsidRDefault="0053651E">
            <w:pPr>
              <w:jc w:val="right"/>
              <w:rPr>
                <w:rFonts w:eastAsia="Times New Roman"/>
                <w:sz w:val="16"/>
                <w:szCs w:val="16"/>
              </w:rPr>
            </w:pPr>
            <w:r>
              <w:rPr>
                <w:rFonts w:eastAsia="Times New Roman"/>
                <w:sz w:val="16"/>
                <w:szCs w:val="16"/>
              </w:rPr>
              <w:t> </w:t>
            </w:r>
          </w:p>
        </w:tc>
        <w:tc>
          <w:tcPr>
            <w:tcW w:w="450" w:type="pct"/>
            <w:tcBorders>
              <w:bottom w:val="single" w:sz="6" w:space="0" w:color="000000"/>
            </w:tcBorders>
            <w:vAlign w:val="bottom"/>
            <w:hideMark/>
          </w:tcPr>
          <w:p w14:paraId="0A4DFAB1" w14:textId="77777777" w:rsidR="00000000" w:rsidRDefault="0053651E">
            <w:pPr>
              <w:jc w:val="center"/>
              <w:rPr>
                <w:rFonts w:eastAsia="Times New Roman"/>
                <w:sz w:val="16"/>
                <w:szCs w:val="16"/>
              </w:rPr>
            </w:pPr>
            <w:r>
              <w:rPr>
                <w:rFonts w:eastAsia="Times New Roman"/>
                <w:b/>
                <w:bCs/>
                <w:sz w:val="16"/>
                <w:szCs w:val="16"/>
              </w:rPr>
              <w:t xml:space="preserve">ENCUMBRANCES (2) </w:t>
            </w:r>
          </w:p>
        </w:tc>
        <w:tc>
          <w:tcPr>
            <w:tcW w:w="500" w:type="pct"/>
            <w:tcBorders>
              <w:bottom w:val="single" w:sz="6" w:space="0" w:color="000000"/>
            </w:tcBorders>
            <w:vAlign w:val="bottom"/>
            <w:hideMark/>
          </w:tcPr>
          <w:p w14:paraId="6C97101F" w14:textId="77777777" w:rsidR="00000000" w:rsidRDefault="0053651E">
            <w:pPr>
              <w:jc w:val="center"/>
              <w:rPr>
                <w:rFonts w:eastAsia="Times New Roman"/>
                <w:sz w:val="16"/>
                <w:szCs w:val="16"/>
              </w:rPr>
            </w:pPr>
            <w:r>
              <w:rPr>
                <w:rFonts w:eastAsia="Times New Roman"/>
                <w:b/>
                <w:bCs/>
                <w:sz w:val="16"/>
                <w:szCs w:val="16"/>
              </w:rPr>
              <w:t xml:space="preserve">DATE OF ACQUISITION(A) CONSTRUCTION(C) </w:t>
            </w:r>
          </w:p>
        </w:tc>
      </w:tr>
      <w:tr w:rsidR="00000000" w14:paraId="7093F4DC" w14:textId="77777777">
        <w:trPr>
          <w:tblCellSpacing w:w="0" w:type="dxa"/>
        </w:trPr>
        <w:tc>
          <w:tcPr>
            <w:tcW w:w="50" w:type="pct"/>
            <w:gridSpan w:val="2"/>
            <w:vAlign w:val="center"/>
            <w:hideMark/>
          </w:tcPr>
          <w:p w14:paraId="448BB4C7" w14:textId="77777777" w:rsidR="00000000" w:rsidRDefault="0053651E">
            <w:pPr>
              <w:rPr>
                <w:rFonts w:eastAsia="Times New Roman"/>
                <w:sz w:val="16"/>
                <w:szCs w:val="16"/>
              </w:rPr>
            </w:pPr>
            <w:r>
              <w:rPr>
                <w:rFonts w:eastAsia="Times New Roman"/>
                <w:i/>
                <w:iCs/>
                <w:sz w:val="16"/>
                <w:szCs w:val="16"/>
              </w:rPr>
              <w:t>SHOPPING CENTERS</w:t>
            </w:r>
          </w:p>
        </w:tc>
        <w:tc>
          <w:tcPr>
            <w:tcW w:w="150" w:type="pct"/>
            <w:vAlign w:val="center"/>
            <w:hideMark/>
          </w:tcPr>
          <w:p w14:paraId="3EA31A53" w14:textId="77777777" w:rsidR="00000000" w:rsidRDefault="0053651E">
            <w:pPr>
              <w:rPr>
                <w:rFonts w:eastAsia="Times New Roman"/>
                <w:sz w:val="16"/>
                <w:szCs w:val="16"/>
              </w:rPr>
            </w:pPr>
            <w:r>
              <w:rPr>
                <w:rFonts w:eastAsia="Times New Roman"/>
                <w:sz w:val="16"/>
                <w:szCs w:val="16"/>
              </w:rPr>
              <w:t> </w:t>
            </w:r>
          </w:p>
        </w:tc>
        <w:tc>
          <w:tcPr>
            <w:tcW w:w="300" w:type="pct"/>
            <w:vAlign w:val="center"/>
            <w:hideMark/>
          </w:tcPr>
          <w:p w14:paraId="1235A870" w14:textId="77777777" w:rsidR="00000000" w:rsidRDefault="0053651E">
            <w:pPr>
              <w:jc w:val="right"/>
              <w:rPr>
                <w:rFonts w:eastAsia="Times New Roman"/>
                <w:sz w:val="16"/>
                <w:szCs w:val="16"/>
              </w:rPr>
            </w:pPr>
            <w:r>
              <w:rPr>
                <w:rFonts w:eastAsia="Times New Roman"/>
                <w:sz w:val="16"/>
                <w:szCs w:val="16"/>
              </w:rPr>
              <w:t> </w:t>
            </w:r>
          </w:p>
        </w:tc>
        <w:tc>
          <w:tcPr>
            <w:tcW w:w="550" w:type="pct"/>
            <w:vAlign w:val="center"/>
            <w:hideMark/>
          </w:tcPr>
          <w:p w14:paraId="2F8B92B3" w14:textId="77777777" w:rsidR="00000000" w:rsidRDefault="0053651E">
            <w:pPr>
              <w:jc w:val="right"/>
              <w:rPr>
                <w:rFonts w:eastAsia="Times New Roman"/>
                <w:sz w:val="16"/>
                <w:szCs w:val="16"/>
              </w:rPr>
            </w:pPr>
            <w:r>
              <w:rPr>
                <w:rFonts w:eastAsia="Times New Roman"/>
                <w:sz w:val="16"/>
                <w:szCs w:val="16"/>
              </w:rPr>
              <w:t> </w:t>
            </w:r>
          </w:p>
        </w:tc>
        <w:tc>
          <w:tcPr>
            <w:tcW w:w="350" w:type="pct"/>
            <w:vAlign w:val="center"/>
            <w:hideMark/>
          </w:tcPr>
          <w:p w14:paraId="1887B7D8" w14:textId="77777777" w:rsidR="00000000" w:rsidRDefault="0053651E">
            <w:pPr>
              <w:jc w:val="right"/>
              <w:rPr>
                <w:rFonts w:eastAsia="Times New Roman"/>
                <w:sz w:val="16"/>
                <w:szCs w:val="16"/>
              </w:rPr>
            </w:pPr>
            <w:r>
              <w:rPr>
                <w:rFonts w:eastAsia="Times New Roman"/>
                <w:sz w:val="16"/>
                <w:szCs w:val="16"/>
              </w:rPr>
              <w:t> </w:t>
            </w:r>
          </w:p>
        </w:tc>
        <w:tc>
          <w:tcPr>
            <w:tcW w:w="300" w:type="pct"/>
            <w:vAlign w:val="center"/>
            <w:hideMark/>
          </w:tcPr>
          <w:p w14:paraId="29A492A4" w14:textId="77777777" w:rsidR="00000000" w:rsidRDefault="0053651E">
            <w:pPr>
              <w:jc w:val="right"/>
              <w:rPr>
                <w:rFonts w:eastAsia="Times New Roman"/>
                <w:sz w:val="16"/>
                <w:szCs w:val="16"/>
              </w:rPr>
            </w:pPr>
            <w:r>
              <w:rPr>
                <w:rFonts w:eastAsia="Times New Roman"/>
                <w:sz w:val="16"/>
                <w:szCs w:val="16"/>
              </w:rPr>
              <w:t> </w:t>
            </w:r>
          </w:p>
        </w:tc>
        <w:tc>
          <w:tcPr>
            <w:tcW w:w="450" w:type="pct"/>
            <w:vAlign w:val="center"/>
            <w:hideMark/>
          </w:tcPr>
          <w:p w14:paraId="299A67C2" w14:textId="77777777" w:rsidR="00000000" w:rsidRDefault="0053651E">
            <w:pPr>
              <w:jc w:val="right"/>
              <w:rPr>
                <w:rFonts w:eastAsia="Times New Roman"/>
                <w:sz w:val="16"/>
                <w:szCs w:val="16"/>
              </w:rPr>
            </w:pPr>
            <w:r>
              <w:rPr>
                <w:rFonts w:eastAsia="Times New Roman"/>
                <w:sz w:val="16"/>
                <w:szCs w:val="16"/>
              </w:rPr>
              <w:t> </w:t>
            </w:r>
          </w:p>
        </w:tc>
        <w:tc>
          <w:tcPr>
            <w:tcW w:w="350" w:type="pct"/>
            <w:vAlign w:val="center"/>
            <w:hideMark/>
          </w:tcPr>
          <w:p w14:paraId="238B5093" w14:textId="77777777" w:rsidR="00000000" w:rsidRDefault="0053651E">
            <w:pPr>
              <w:jc w:val="right"/>
              <w:rPr>
                <w:rFonts w:eastAsia="Times New Roman"/>
                <w:sz w:val="16"/>
                <w:szCs w:val="16"/>
              </w:rPr>
            </w:pPr>
            <w:r>
              <w:rPr>
                <w:rFonts w:eastAsia="Times New Roman"/>
                <w:sz w:val="16"/>
                <w:szCs w:val="16"/>
              </w:rPr>
              <w:t> </w:t>
            </w:r>
          </w:p>
        </w:tc>
        <w:tc>
          <w:tcPr>
            <w:tcW w:w="400" w:type="pct"/>
            <w:vAlign w:val="center"/>
            <w:hideMark/>
          </w:tcPr>
          <w:p w14:paraId="329EDBBD" w14:textId="77777777" w:rsidR="00000000" w:rsidRDefault="0053651E">
            <w:pPr>
              <w:jc w:val="right"/>
              <w:rPr>
                <w:rFonts w:eastAsia="Times New Roman"/>
                <w:sz w:val="16"/>
                <w:szCs w:val="16"/>
              </w:rPr>
            </w:pPr>
            <w:r>
              <w:rPr>
                <w:rFonts w:eastAsia="Times New Roman"/>
                <w:sz w:val="16"/>
                <w:szCs w:val="16"/>
              </w:rPr>
              <w:t> </w:t>
            </w:r>
          </w:p>
        </w:tc>
        <w:tc>
          <w:tcPr>
            <w:tcW w:w="50" w:type="pct"/>
            <w:vAlign w:val="center"/>
            <w:hideMark/>
          </w:tcPr>
          <w:p w14:paraId="1360AE51" w14:textId="77777777" w:rsidR="00000000" w:rsidRDefault="0053651E">
            <w:pPr>
              <w:jc w:val="right"/>
              <w:rPr>
                <w:rFonts w:eastAsia="Times New Roman"/>
                <w:sz w:val="16"/>
                <w:szCs w:val="16"/>
              </w:rPr>
            </w:pPr>
            <w:r>
              <w:rPr>
                <w:rFonts w:eastAsia="Times New Roman"/>
                <w:sz w:val="16"/>
                <w:szCs w:val="16"/>
              </w:rPr>
              <w:t> </w:t>
            </w:r>
          </w:p>
        </w:tc>
        <w:tc>
          <w:tcPr>
            <w:tcW w:w="400" w:type="pct"/>
            <w:vAlign w:val="center"/>
            <w:hideMark/>
          </w:tcPr>
          <w:p w14:paraId="7F0C05EE" w14:textId="77777777" w:rsidR="00000000" w:rsidRDefault="0053651E">
            <w:pPr>
              <w:jc w:val="right"/>
              <w:rPr>
                <w:rFonts w:eastAsia="Times New Roman"/>
                <w:sz w:val="16"/>
                <w:szCs w:val="16"/>
              </w:rPr>
            </w:pPr>
            <w:r>
              <w:rPr>
                <w:rFonts w:eastAsia="Times New Roman"/>
                <w:sz w:val="16"/>
                <w:szCs w:val="16"/>
              </w:rPr>
              <w:t> </w:t>
            </w:r>
          </w:p>
        </w:tc>
        <w:tc>
          <w:tcPr>
            <w:tcW w:w="50" w:type="pct"/>
            <w:vAlign w:val="center"/>
            <w:hideMark/>
          </w:tcPr>
          <w:p w14:paraId="0B4C779F" w14:textId="77777777" w:rsidR="00000000" w:rsidRDefault="0053651E">
            <w:pPr>
              <w:jc w:val="right"/>
              <w:rPr>
                <w:rFonts w:eastAsia="Times New Roman"/>
                <w:sz w:val="16"/>
                <w:szCs w:val="16"/>
              </w:rPr>
            </w:pPr>
            <w:r>
              <w:rPr>
                <w:rFonts w:eastAsia="Times New Roman"/>
                <w:sz w:val="16"/>
                <w:szCs w:val="16"/>
              </w:rPr>
              <w:t> </w:t>
            </w:r>
          </w:p>
        </w:tc>
        <w:tc>
          <w:tcPr>
            <w:tcW w:w="450" w:type="pct"/>
            <w:vAlign w:val="center"/>
            <w:hideMark/>
          </w:tcPr>
          <w:p w14:paraId="0F95C17E" w14:textId="77777777" w:rsidR="00000000" w:rsidRDefault="0053651E">
            <w:pPr>
              <w:jc w:val="right"/>
              <w:rPr>
                <w:rFonts w:eastAsia="Times New Roman"/>
                <w:sz w:val="16"/>
                <w:szCs w:val="16"/>
              </w:rPr>
            </w:pPr>
            <w:r>
              <w:rPr>
                <w:rFonts w:eastAsia="Times New Roman"/>
                <w:sz w:val="16"/>
                <w:szCs w:val="16"/>
              </w:rPr>
              <w:t> </w:t>
            </w:r>
          </w:p>
        </w:tc>
        <w:tc>
          <w:tcPr>
            <w:tcW w:w="500" w:type="pct"/>
            <w:vAlign w:val="center"/>
            <w:hideMark/>
          </w:tcPr>
          <w:p w14:paraId="7F2CB11F" w14:textId="77777777" w:rsidR="00000000" w:rsidRDefault="0053651E">
            <w:pPr>
              <w:jc w:val="center"/>
              <w:rPr>
                <w:rFonts w:eastAsia="Times New Roman"/>
                <w:sz w:val="16"/>
                <w:szCs w:val="16"/>
              </w:rPr>
            </w:pPr>
            <w:r>
              <w:rPr>
                <w:rFonts w:eastAsia="Times New Roman"/>
                <w:sz w:val="16"/>
                <w:szCs w:val="16"/>
              </w:rPr>
              <w:t> </w:t>
            </w:r>
          </w:p>
        </w:tc>
      </w:tr>
      <w:tr w:rsidR="00000000" w14:paraId="2113CA04" w14:textId="77777777">
        <w:trPr>
          <w:tblCellSpacing w:w="0" w:type="dxa"/>
        </w:trPr>
        <w:tc>
          <w:tcPr>
            <w:tcW w:w="50" w:type="pct"/>
            <w:shd w:val="clear" w:color="auto" w:fill="FFFFFF"/>
            <w:vAlign w:val="bottom"/>
            <w:hideMark/>
          </w:tcPr>
          <w:p w14:paraId="77258CD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698E3C0" w14:textId="77777777" w:rsidR="00000000" w:rsidRDefault="0053651E">
            <w:pPr>
              <w:pStyle w:val="a3"/>
              <w:spacing w:before="0" w:beforeAutospacing="0" w:after="0" w:afterAutospacing="0"/>
              <w:rPr>
                <w:sz w:val="16"/>
                <w:szCs w:val="16"/>
              </w:rPr>
            </w:pPr>
            <w:r>
              <w:rPr>
                <w:sz w:val="16"/>
                <w:szCs w:val="16"/>
              </w:rPr>
              <w:t>MESA RIVERVIEW</w:t>
            </w:r>
          </w:p>
        </w:tc>
        <w:tc>
          <w:tcPr>
            <w:tcW w:w="150" w:type="pct"/>
            <w:shd w:val="clear" w:color="auto" w:fill="FFFFFF"/>
            <w:vAlign w:val="bottom"/>
            <w:hideMark/>
          </w:tcPr>
          <w:p w14:paraId="6266403F"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07BBA8B3" w14:textId="77777777" w:rsidR="00000000" w:rsidRDefault="0053651E">
            <w:pPr>
              <w:jc w:val="right"/>
              <w:rPr>
                <w:rFonts w:eastAsia="Times New Roman"/>
                <w:sz w:val="16"/>
                <w:szCs w:val="16"/>
              </w:rPr>
            </w:pPr>
            <w:r>
              <w:rPr>
                <w:rFonts w:eastAsia="Times New Roman"/>
                <w:sz w:val="16"/>
                <w:szCs w:val="16"/>
              </w:rPr>
              <w:t>15,000,000</w:t>
            </w:r>
          </w:p>
        </w:tc>
        <w:tc>
          <w:tcPr>
            <w:tcW w:w="550" w:type="pct"/>
            <w:shd w:val="clear" w:color="auto" w:fill="FFFFFF"/>
            <w:vAlign w:val="bottom"/>
            <w:hideMark/>
          </w:tcPr>
          <w:p w14:paraId="45439F83"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4E4B3F2D" w14:textId="77777777" w:rsidR="00000000" w:rsidRDefault="0053651E">
            <w:pPr>
              <w:jc w:val="right"/>
              <w:rPr>
                <w:rFonts w:eastAsia="Times New Roman"/>
                <w:sz w:val="16"/>
                <w:szCs w:val="16"/>
              </w:rPr>
            </w:pPr>
            <w:r>
              <w:rPr>
                <w:rFonts w:eastAsia="Times New Roman"/>
                <w:sz w:val="16"/>
                <w:szCs w:val="16"/>
              </w:rPr>
              <w:t>143,355,726</w:t>
            </w:r>
          </w:p>
        </w:tc>
        <w:tc>
          <w:tcPr>
            <w:tcW w:w="300" w:type="pct"/>
            <w:shd w:val="clear" w:color="auto" w:fill="FFFFFF"/>
            <w:vAlign w:val="bottom"/>
            <w:hideMark/>
          </w:tcPr>
          <w:p w14:paraId="37C39257" w14:textId="77777777" w:rsidR="00000000" w:rsidRDefault="0053651E">
            <w:pPr>
              <w:jc w:val="right"/>
              <w:rPr>
                <w:rFonts w:eastAsia="Times New Roman"/>
                <w:sz w:val="16"/>
                <w:szCs w:val="16"/>
              </w:rPr>
            </w:pPr>
            <w:r>
              <w:rPr>
                <w:rFonts w:eastAsia="Times New Roman"/>
                <w:sz w:val="16"/>
                <w:szCs w:val="16"/>
              </w:rPr>
              <w:t>307,992</w:t>
            </w:r>
          </w:p>
        </w:tc>
        <w:tc>
          <w:tcPr>
            <w:tcW w:w="450" w:type="pct"/>
            <w:shd w:val="clear" w:color="auto" w:fill="FFFFFF"/>
            <w:vAlign w:val="bottom"/>
            <w:hideMark/>
          </w:tcPr>
          <w:p w14:paraId="64D1EA25" w14:textId="77777777" w:rsidR="00000000" w:rsidRDefault="0053651E">
            <w:pPr>
              <w:jc w:val="right"/>
              <w:rPr>
                <w:rFonts w:eastAsia="Times New Roman"/>
                <w:sz w:val="16"/>
                <w:szCs w:val="16"/>
              </w:rPr>
            </w:pPr>
            <w:r>
              <w:rPr>
                <w:rFonts w:eastAsia="Times New Roman"/>
                <w:sz w:val="16"/>
                <w:szCs w:val="16"/>
              </w:rPr>
              <w:t>158,047,734</w:t>
            </w:r>
          </w:p>
        </w:tc>
        <w:tc>
          <w:tcPr>
            <w:tcW w:w="350" w:type="pct"/>
            <w:shd w:val="clear" w:color="auto" w:fill="FFFFFF"/>
            <w:vAlign w:val="bottom"/>
            <w:hideMark/>
          </w:tcPr>
          <w:p w14:paraId="641085C6" w14:textId="77777777" w:rsidR="00000000" w:rsidRDefault="0053651E">
            <w:pPr>
              <w:jc w:val="right"/>
              <w:rPr>
                <w:rFonts w:eastAsia="Times New Roman"/>
                <w:sz w:val="16"/>
                <w:szCs w:val="16"/>
              </w:rPr>
            </w:pPr>
            <w:r>
              <w:rPr>
                <w:rFonts w:eastAsia="Times New Roman"/>
                <w:sz w:val="16"/>
                <w:szCs w:val="16"/>
              </w:rPr>
              <w:t>158,355,726</w:t>
            </w:r>
          </w:p>
        </w:tc>
        <w:tc>
          <w:tcPr>
            <w:tcW w:w="400" w:type="pct"/>
            <w:shd w:val="clear" w:color="auto" w:fill="FFFFFF"/>
            <w:vAlign w:val="bottom"/>
            <w:hideMark/>
          </w:tcPr>
          <w:p w14:paraId="68E8F231" w14:textId="77777777" w:rsidR="00000000" w:rsidRDefault="0053651E">
            <w:pPr>
              <w:jc w:val="right"/>
              <w:rPr>
                <w:rFonts w:eastAsia="Times New Roman"/>
                <w:sz w:val="16"/>
                <w:szCs w:val="16"/>
              </w:rPr>
            </w:pPr>
            <w:r>
              <w:rPr>
                <w:rFonts w:eastAsia="Times New Roman"/>
                <w:sz w:val="16"/>
                <w:szCs w:val="16"/>
              </w:rPr>
              <w:t>64,312,335</w:t>
            </w:r>
          </w:p>
        </w:tc>
        <w:tc>
          <w:tcPr>
            <w:tcW w:w="50" w:type="pct"/>
            <w:shd w:val="clear" w:color="auto" w:fill="FFFFFF"/>
            <w:vAlign w:val="bottom"/>
            <w:hideMark/>
          </w:tcPr>
          <w:p w14:paraId="4BA025E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9DB0288" w14:textId="77777777" w:rsidR="00000000" w:rsidRDefault="0053651E">
            <w:pPr>
              <w:jc w:val="right"/>
              <w:rPr>
                <w:rFonts w:eastAsia="Times New Roman"/>
                <w:sz w:val="16"/>
                <w:szCs w:val="16"/>
              </w:rPr>
            </w:pPr>
            <w:r>
              <w:rPr>
                <w:rFonts w:eastAsia="Times New Roman"/>
                <w:sz w:val="16"/>
                <w:szCs w:val="16"/>
              </w:rPr>
              <w:t>94,043,391</w:t>
            </w:r>
          </w:p>
        </w:tc>
        <w:tc>
          <w:tcPr>
            <w:tcW w:w="50" w:type="pct"/>
            <w:shd w:val="clear" w:color="auto" w:fill="FFFFFF"/>
            <w:vAlign w:val="bottom"/>
            <w:hideMark/>
          </w:tcPr>
          <w:p w14:paraId="41FCFFA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1E8D19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BBD1D23" w14:textId="77777777" w:rsidR="00000000" w:rsidRDefault="0053651E">
            <w:pPr>
              <w:pStyle w:val="a3"/>
              <w:spacing w:before="0" w:beforeAutospacing="0" w:after="0" w:afterAutospacing="0"/>
              <w:jc w:val="center"/>
              <w:rPr>
                <w:sz w:val="16"/>
                <w:szCs w:val="16"/>
              </w:rPr>
            </w:pPr>
            <w:r>
              <w:rPr>
                <w:rStyle w:val="a6"/>
                <w:i w:val="0"/>
                <w:iCs w:val="0"/>
                <w:sz w:val="16"/>
                <w:szCs w:val="16"/>
              </w:rPr>
              <w:t>2005(C)</w:t>
            </w:r>
          </w:p>
        </w:tc>
      </w:tr>
      <w:tr w:rsidR="00000000" w14:paraId="78F0884B" w14:textId="77777777">
        <w:trPr>
          <w:tblCellSpacing w:w="0" w:type="dxa"/>
        </w:trPr>
        <w:tc>
          <w:tcPr>
            <w:tcW w:w="50" w:type="pct"/>
            <w:shd w:val="clear" w:color="auto" w:fill="CCEEFF"/>
            <w:vAlign w:val="bottom"/>
            <w:hideMark/>
          </w:tcPr>
          <w:p w14:paraId="0F39D08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8007832" w14:textId="77777777" w:rsidR="00000000" w:rsidRDefault="0053651E">
            <w:pPr>
              <w:pStyle w:val="a3"/>
              <w:spacing w:before="0" w:beforeAutospacing="0" w:after="0" w:afterAutospacing="0"/>
              <w:rPr>
                <w:sz w:val="16"/>
                <w:szCs w:val="16"/>
              </w:rPr>
            </w:pPr>
            <w:r>
              <w:rPr>
                <w:sz w:val="16"/>
                <w:szCs w:val="16"/>
              </w:rPr>
              <w:t>METRO SQUARE</w:t>
            </w:r>
          </w:p>
        </w:tc>
        <w:tc>
          <w:tcPr>
            <w:tcW w:w="150" w:type="pct"/>
            <w:shd w:val="clear" w:color="auto" w:fill="CCEEFF"/>
            <w:vAlign w:val="bottom"/>
            <w:hideMark/>
          </w:tcPr>
          <w:p w14:paraId="050FEAC3"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4EADF116" w14:textId="77777777" w:rsidR="00000000" w:rsidRDefault="0053651E">
            <w:pPr>
              <w:jc w:val="right"/>
              <w:rPr>
                <w:rFonts w:eastAsia="Times New Roman"/>
                <w:sz w:val="16"/>
                <w:szCs w:val="16"/>
              </w:rPr>
            </w:pPr>
            <w:r>
              <w:rPr>
                <w:rFonts w:eastAsia="Times New Roman"/>
                <w:sz w:val="16"/>
                <w:szCs w:val="16"/>
              </w:rPr>
              <w:t>4,101,017</w:t>
            </w:r>
          </w:p>
        </w:tc>
        <w:tc>
          <w:tcPr>
            <w:tcW w:w="550" w:type="pct"/>
            <w:shd w:val="clear" w:color="auto" w:fill="CCEEFF"/>
            <w:vAlign w:val="bottom"/>
            <w:hideMark/>
          </w:tcPr>
          <w:p w14:paraId="0206C651" w14:textId="77777777" w:rsidR="00000000" w:rsidRDefault="0053651E">
            <w:pPr>
              <w:jc w:val="right"/>
              <w:rPr>
                <w:rFonts w:eastAsia="Times New Roman"/>
                <w:sz w:val="16"/>
                <w:szCs w:val="16"/>
              </w:rPr>
            </w:pPr>
            <w:r>
              <w:rPr>
                <w:rFonts w:eastAsia="Times New Roman"/>
                <w:sz w:val="16"/>
                <w:szCs w:val="16"/>
              </w:rPr>
              <w:t>16,410,632</w:t>
            </w:r>
          </w:p>
        </w:tc>
        <w:tc>
          <w:tcPr>
            <w:tcW w:w="350" w:type="pct"/>
            <w:shd w:val="clear" w:color="auto" w:fill="CCEEFF"/>
            <w:vAlign w:val="bottom"/>
            <w:hideMark/>
          </w:tcPr>
          <w:p w14:paraId="58F2C56D" w14:textId="77777777" w:rsidR="00000000" w:rsidRDefault="0053651E">
            <w:pPr>
              <w:jc w:val="right"/>
              <w:rPr>
                <w:rFonts w:eastAsia="Times New Roman"/>
                <w:sz w:val="16"/>
                <w:szCs w:val="16"/>
              </w:rPr>
            </w:pPr>
            <w:r>
              <w:rPr>
                <w:rFonts w:eastAsia="Times New Roman"/>
                <w:sz w:val="16"/>
                <w:szCs w:val="16"/>
              </w:rPr>
              <w:t>2,302,017</w:t>
            </w:r>
          </w:p>
        </w:tc>
        <w:tc>
          <w:tcPr>
            <w:tcW w:w="300" w:type="pct"/>
            <w:shd w:val="clear" w:color="auto" w:fill="CCEEFF"/>
            <w:vAlign w:val="bottom"/>
            <w:hideMark/>
          </w:tcPr>
          <w:p w14:paraId="748CC2AF" w14:textId="77777777" w:rsidR="00000000" w:rsidRDefault="0053651E">
            <w:pPr>
              <w:jc w:val="right"/>
              <w:rPr>
                <w:rFonts w:eastAsia="Times New Roman"/>
                <w:sz w:val="16"/>
                <w:szCs w:val="16"/>
              </w:rPr>
            </w:pPr>
            <w:r>
              <w:rPr>
                <w:rFonts w:eastAsia="Times New Roman"/>
                <w:sz w:val="16"/>
                <w:szCs w:val="16"/>
              </w:rPr>
              <w:t>4,101,017</w:t>
            </w:r>
          </w:p>
        </w:tc>
        <w:tc>
          <w:tcPr>
            <w:tcW w:w="450" w:type="pct"/>
            <w:shd w:val="clear" w:color="auto" w:fill="CCEEFF"/>
            <w:vAlign w:val="bottom"/>
            <w:hideMark/>
          </w:tcPr>
          <w:p w14:paraId="5715AD7B" w14:textId="77777777" w:rsidR="00000000" w:rsidRDefault="0053651E">
            <w:pPr>
              <w:jc w:val="right"/>
              <w:rPr>
                <w:rFonts w:eastAsia="Times New Roman"/>
                <w:sz w:val="16"/>
                <w:szCs w:val="16"/>
              </w:rPr>
            </w:pPr>
            <w:r>
              <w:rPr>
                <w:rFonts w:eastAsia="Times New Roman"/>
                <w:sz w:val="16"/>
                <w:szCs w:val="16"/>
              </w:rPr>
              <w:t>18,712,649</w:t>
            </w:r>
          </w:p>
        </w:tc>
        <w:tc>
          <w:tcPr>
            <w:tcW w:w="350" w:type="pct"/>
            <w:shd w:val="clear" w:color="auto" w:fill="CCEEFF"/>
            <w:vAlign w:val="bottom"/>
            <w:hideMark/>
          </w:tcPr>
          <w:p w14:paraId="75AD35E6" w14:textId="77777777" w:rsidR="00000000" w:rsidRDefault="0053651E">
            <w:pPr>
              <w:jc w:val="right"/>
              <w:rPr>
                <w:rFonts w:eastAsia="Times New Roman"/>
                <w:sz w:val="16"/>
                <w:szCs w:val="16"/>
              </w:rPr>
            </w:pPr>
            <w:r>
              <w:rPr>
                <w:rFonts w:eastAsia="Times New Roman"/>
                <w:sz w:val="16"/>
                <w:szCs w:val="16"/>
              </w:rPr>
              <w:t>22,813,666</w:t>
            </w:r>
          </w:p>
        </w:tc>
        <w:tc>
          <w:tcPr>
            <w:tcW w:w="400" w:type="pct"/>
            <w:shd w:val="clear" w:color="auto" w:fill="CCEEFF"/>
            <w:vAlign w:val="bottom"/>
            <w:hideMark/>
          </w:tcPr>
          <w:p w14:paraId="10F9C02E" w14:textId="77777777" w:rsidR="00000000" w:rsidRDefault="0053651E">
            <w:pPr>
              <w:jc w:val="right"/>
              <w:rPr>
                <w:rFonts w:eastAsia="Times New Roman"/>
                <w:sz w:val="16"/>
                <w:szCs w:val="16"/>
              </w:rPr>
            </w:pPr>
            <w:r>
              <w:rPr>
                <w:rFonts w:eastAsia="Times New Roman"/>
                <w:sz w:val="16"/>
                <w:szCs w:val="16"/>
              </w:rPr>
              <w:t>9,876,683</w:t>
            </w:r>
          </w:p>
        </w:tc>
        <w:tc>
          <w:tcPr>
            <w:tcW w:w="50" w:type="pct"/>
            <w:shd w:val="clear" w:color="auto" w:fill="CCEEFF"/>
            <w:vAlign w:val="bottom"/>
            <w:hideMark/>
          </w:tcPr>
          <w:p w14:paraId="584E4F7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F4C8A1C" w14:textId="77777777" w:rsidR="00000000" w:rsidRDefault="0053651E">
            <w:pPr>
              <w:jc w:val="right"/>
              <w:rPr>
                <w:rFonts w:eastAsia="Times New Roman"/>
                <w:sz w:val="16"/>
                <w:szCs w:val="16"/>
              </w:rPr>
            </w:pPr>
            <w:r>
              <w:rPr>
                <w:rFonts w:eastAsia="Times New Roman"/>
                <w:sz w:val="16"/>
                <w:szCs w:val="16"/>
              </w:rPr>
              <w:t>12,936,983</w:t>
            </w:r>
          </w:p>
        </w:tc>
        <w:tc>
          <w:tcPr>
            <w:tcW w:w="50" w:type="pct"/>
            <w:shd w:val="clear" w:color="auto" w:fill="CCEEFF"/>
            <w:vAlign w:val="bottom"/>
            <w:hideMark/>
          </w:tcPr>
          <w:p w14:paraId="465B3F3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5961D0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AE40715"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6ECEF9A0" w14:textId="77777777">
        <w:trPr>
          <w:tblCellSpacing w:w="0" w:type="dxa"/>
        </w:trPr>
        <w:tc>
          <w:tcPr>
            <w:tcW w:w="50" w:type="pct"/>
            <w:shd w:val="clear" w:color="auto" w:fill="FFFFFF"/>
            <w:vAlign w:val="bottom"/>
            <w:hideMark/>
          </w:tcPr>
          <w:p w14:paraId="3EA9930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A79DE58" w14:textId="77777777" w:rsidR="00000000" w:rsidRDefault="0053651E">
            <w:pPr>
              <w:pStyle w:val="a3"/>
              <w:spacing w:before="0" w:beforeAutospacing="0" w:after="0" w:afterAutospacing="0"/>
              <w:rPr>
                <w:sz w:val="16"/>
                <w:szCs w:val="16"/>
              </w:rPr>
            </w:pPr>
            <w:r>
              <w:rPr>
                <w:sz w:val="16"/>
                <w:szCs w:val="16"/>
              </w:rPr>
              <w:t>PLAZA DEL SOL</w:t>
            </w:r>
          </w:p>
        </w:tc>
        <w:tc>
          <w:tcPr>
            <w:tcW w:w="150" w:type="pct"/>
            <w:shd w:val="clear" w:color="auto" w:fill="FFFFFF"/>
            <w:vAlign w:val="bottom"/>
            <w:hideMark/>
          </w:tcPr>
          <w:p w14:paraId="005379F0"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1D79A6DC" w14:textId="77777777" w:rsidR="00000000" w:rsidRDefault="0053651E">
            <w:pPr>
              <w:jc w:val="right"/>
              <w:rPr>
                <w:rFonts w:eastAsia="Times New Roman"/>
                <w:sz w:val="16"/>
                <w:szCs w:val="16"/>
              </w:rPr>
            </w:pPr>
            <w:r>
              <w:rPr>
                <w:rFonts w:eastAsia="Times New Roman"/>
                <w:sz w:val="16"/>
                <w:szCs w:val="16"/>
              </w:rPr>
              <w:t>5,324,501</w:t>
            </w:r>
          </w:p>
        </w:tc>
        <w:tc>
          <w:tcPr>
            <w:tcW w:w="550" w:type="pct"/>
            <w:shd w:val="clear" w:color="auto" w:fill="FFFFFF"/>
            <w:vAlign w:val="bottom"/>
            <w:hideMark/>
          </w:tcPr>
          <w:p w14:paraId="5F030204" w14:textId="77777777" w:rsidR="00000000" w:rsidRDefault="0053651E">
            <w:pPr>
              <w:jc w:val="right"/>
              <w:rPr>
                <w:rFonts w:eastAsia="Times New Roman"/>
                <w:sz w:val="16"/>
                <w:szCs w:val="16"/>
              </w:rPr>
            </w:pPr>
            <w:r>
              <w:rPr>
                <w:rFonts w:eastAsia="Times New Roman"/>
                <w:sz w:val="16"/>
                <w:szCs w:val="16"/>
              </w:rPr>
              <w:t>21,269,943</w:t>
            </w:r>
          </w:p>
        </w:tc>
        <w:tc>
          <w:tcPr>
            <w:tcW w:w="350" w:type="pct"/>
            <w:shd w:val="clear" w:color="auto" w:fill="FFFFFF"/>
            <w:vAlign w:val="bottom"/>
            <w:hideMark/>
          </w:tcPr>
          <w:p w14:paraId="11712F3E" w14:textId="77777777" w:rsidR="00000000" w:rsidRDefault="0053651E">
            <w:pPr>
              <w:jc w:val="right"/>
              <w:rPr>
                <w:rFonts w:eastAsia="Times New Roman"/>
                <w:sz w:val="16"/>
                <w:szCs w:val="16"/>
              </w:rPr>
            </w:pPr>
            <w:r>
              <w:rPr>
                <w:rFonts w:eastAsia="Times New Roman"/>
                <w:sz w:val="16"/>
                <w:szCs w:val="16"/>
              </w:rPr>
              <w:t>1,600,778</w:t>
            </w:r>
          </w:p>
        </w:tc>
        <w:tc>
          <w:tcPr>
            <w:tcW w:w="300" w:type="pct"/>
            <w:shd w:val="clear" w:color="auto" w:fill="FFFFFF"/>
            <w:vAlign w:val="bottom"/>
            <w:hideMark/>
          </w:tcPr>
          <w:p w14:paraId="3E2E248E" w14:textId="77777777" w:rsidR="00000000" w:rsidRDefault="0053651E">
            <w:pPr>
              <w:jc w:val="right"/>
              <w:rPr>
                <w:rFonts w:eastAsia="Times New Roman"/>
                <w:sz w:val="16"/>
                <w:szCs w:val="16"/>
              </w:rPr>
            </w:pPr>
            <w:r>
              <w:rPr>
                <w:rFonts w:eastAsia="Times New Roman"/>
                <w:sz w:val="16"/>
                <w:szCs w:val="16"/>
              </w:rPr>
              <w:t>4,577,869</w:t>
            </w:r>
          </w:p>
        </w:tc>
        <w:tc>
          <w:tcPr>
            <w:tcW w:w="450" w:type="pct"/>
            <w:shd w:val="clear" w:color="auto" w:fill="FFFFFF"/>
            <w:vAlign w:val="bottom"/>
            <w:hideMark/>
          </w:tcPr>
          <w:p w14:paraId="0B3D3CEC" w14:textId="77777777" w:rsidR="00000000" w:rsidRDefault="0053651E">
            <w:pPr>
              <w:jc w:val="right"/>
              <w:rPr>
                <w:rFonts w:eastAsia="Times New Roman"/>
                <w:sz w:val="16"/>
                <w:szCs w:val="16"/>
              </w:rPr>
            </w:pPr>
            <w:r>
              <w:rPr>
                <w:rFonts w:eastAsia="Times New Roman"/>
                <w:sz w:val="16"/>
                <w:szCs w:val="16"/>
              </w:rPr>
              <w:t>23,617,353</w:t>
            </w:r>
          </w:p>
        </w:tc>
        <w:tc>
          <w:tcPr>
            <w:tcW w:w="350" w:type="pct"/>
            <w:shd w:val="clear" w:color="auto" w:fill="FFFFFF"/>
            <w:vAlign w:val="bottom"/>
            <w:hideMark/>
          </w:tcPr>
          <w:p w14:paraId="4756DB56" w14:textId="77777777" w:rsidR="00000000" w:rsidRDefault="0053651E">
            <w:pPr>
              <w:jc w:val="right"/>
              <w:rPr>
                <w:rFonts w:eastAsia="Times New Roman"/>
                <w:sz w:val="16"/>
                <w:szCs w:val="16"/>
              </w:rPr>
            </w:pPr>
            <w:r>
              <w:rPr>
                <w:rFonts w:eastAsia="Times New Roman"/>
                <w:sz w:val="16"/>
                <w:szCs w:val="16"/>
              </w:rPr>
              <w:t>28,195,222</w:t>
            </w:r>
          </w:p>
        </w:tc>
        <w:tc>
          <w:tcPr>
            <w:tcW w:w="400" w:type="pct"/>
            <w:shd w:val="clear" w:color="auto" w:fill="FFFFFF"/>
            <w:vAlign w:val="bottom"/>
            <w:hideMark/>
          </w:tcPr>
          <w:p w14:paraId="6A295585" w14:textId="77777777" w:rsidR="00000000" w:rsidRDefault="0053651E">
            <w:pPr>
              <w:jc w:val="right"/>
              <w:rPr>
                <w:rFonts w:eastAsia="Times New Roman"/>
                <w:sz w:val="16"/>
                <w:szCs w:val="16"/>
              </w:rPr>
            </w:pPr>
            <w:r>
              <w:rPr>
                <w:rFonts w:eastAsia="Times New Roman"/>
                <w:sz w:val="16"/>
                <w:szCs w:val="16"/>
              </w:rPr>
              <w:t>9,771,579</w:t>
            </w:r>
          </w:p>
        </w:tc>
        <w:tc>
          <w:tcPr>
            <w:tcW w:w="50" w:type="pct"/>
            <w:shd w:val="clear" w:color="auto" w:fill="FFFFFF"/>
            <w:vAlign w:val="bottom"/>
            <w:hideMark/>
          </w:tcPr>
          <w:p w14:paraId="4EC2C30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0BFE897" w14:textId="77777777" w:rsidR="00000000" w:rsidRDefault="0053651E">
            <w:pPr>
              <w:jc w:val="right"/>
              <w:rPr>
                <w:rFonts w:eastAsia="Times New Roman"/>
                <w:sz w:val="16"/>
                <w:szCs w:val="16"/>
              </w:rPr>
            </w:pPr>
            <w:r>
              <w:rPr>
                <w:rFonts w:eastAsia="Times New Roman"/>
                <w:sz w:val="16"/>
                <w:szCs w:val="16"/>
              </w:rPr>
              <w:t>18,423,643</w:t>
            </w:r>
          </w:p>
        </w:tc>
        <w:tc>
          <w:tcPr>
            <w:tcW w:w="50" w:type="pct"/>
            <w:shd w:val="clear" w:color="auto" w:fill="FFFFFF"/>
            <w:vAlign w:val="bottom"/>
            <w:hideMark/>
          </w:tcPr>
          <w:p w14:paraId="7D4A998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1F1DF5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711BEBC"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1547AEB7" w14:textId="77777777">
        <w:trPr>
          <w:tblCellSpacing w:w="0" w:type="dxa"/>
        </w:trPr>
        <w:tc>
          <w:tcPr>
            <w:tcW w:w="50" w:type="pct"/>
            <w:shd w:val="clear" w:color="auto" w:fill="CCEEFF"/>
            <w:vAlign w:val="bottom"/>
            <w:hideMark/>
          </w:tcPr>
          <w:p w14:paraId="154B6C5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987C070" w14:textId="77777777" w:rsidR="00000000" w:rsidRDefault="0053651E">
            <w:pPr>
              <w:pStyle w:val="a3"/>
              <w:spacing w:before="0" w:beforeAutospacing="0" w:after="0" w:afterAutospacing="0"/>
              <w:rPr>
                <w:sz w:val="16"/>
                <w:szCs w:val="16"/>
              </w:rPr>
            </w:pPr>
            <w:r>
              <w:rPr>
                <w:sz w:val="16"/>
                <w:szCs w:val="16"/>
              </w:rPr>
              <w:t>PLAZA AT MOUNTAINSIDE</w:t>
            </w:r>
          </w:p>
        </w:tc>
        <w:tc>
          <w:tcPr>
            <w:tcW w:w="150" w:type="pct"/>
            <w:shd w:val="clear" w:color="auto" w:fill="CCEEFF"/>
            <w:vAlign w:val="bottom"/>
            <w:hideMark/>
          </w:tcPr>
          <w:p w14:paraId="37EE4E12"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4C35EA05" w14:textId="77777777" w:rsidR="00000000" w:rsidRDefault="0053651E">
            <w:pPr>
              <w:jc w:val="right"/>
              <w:rPr>
                <w:rFonts w:eastAsia="Times New Roman"/>
                <w:sz w:val="16"/>
                <w:szCs w:val="16"/>
              </w:rPr>
            </w:pPr>
            <w:r>
              <w:rPr>
                <w:rFonts w:eastAsia="Times New Roman"/>
                <w:sz w:val="16"/>
                <w:szCs w:val="16"/>
              </w:rPr>
              <w:t>2,450,341</w:t>
            </w:r>
          </w:p>
        </w:tc>
        <w:tc>
          <w:tcPr>
            <w:tcW w:w="550" w:type="pct"/>
            <w:shd w:val="clear" w:color="auto" w:fill="CCEEFF"/>
            <w:vAlign w:val="bottom"/>
            <w:hideMark/>
          </w:tcPr>
          <w:p w14:paraId="4B5FA7B8" w14:textId="77777777" w:rsidR="00000000" w:rsidRDefault="0053651E">
            <w:pPr>
              <w:jc w:val="right"/>
              <w:rPr>
                <w:rFonts w:eastAsia="Times New Roman"/>
                <w:sz w:val="16"/>
                <w:szCs w:val="16"/>
              </w:rPr>
            </w:pPr>
            <w:r>
              <w:rPr>
                <w:rFonts w:eastAsia="Times New Roman"/>
                <w:sz w:val="16"/>
                <w:szCs w:val="16"/>
              </w:rPr>
              <w:t>9,802,046</w:t>
            </w:r>
          </w:p>
        </w:tc>
        <w:tc>
          <w:tcPr>
            <w:tcW w:w="350" w:type="pct"/>
            <w:shd w:val="clear" w:color="auto" w:fill="CCEEFF"/>
            <w:vAlign w:val="bottom"/>
            <w:hideMark/>
          </w:tcPr>
          <w:p w14:paraId="2FB218E2" w14:textId="77777777" w:rsidR="00000000" w:rsidRDefault="0053651E">
            <w:pPr>
              <w:jc w:val="right"/>
              <w:rPr>
                <w:rFonts w:eastAsia="Times New Roman"/>
                <w:sz w:val="16"/>
                <w:szCs w:val="16"/>
              </w:rPr>
            </w:pPr>
            <w:r>
              <w:rPr>
                <w:rFonts w:eastAsia="Times New Roman"/>
                <w:sz w:val="16"/>
                <w:szCs w:val="16"/>
              </w:rPr>
              <w:t>2,451,010</w:t>
            </w:r>
          </w:p>
        </w:tc>
        <w:tc>
          <w:tcPr>
            <w:tcW w:w="300" w:type="pct"/>
            <w:shd w:val="clear" w:color="auto" w:fill="CCEEFF"/>
            <w:vAlign w:val="bottom"/>
            <w:hideMark/>
          </w:tcPr>
          <w:p w14:paraId="5E71642D" w14:textId="77777777" w:rsidR="00000000" w:rsidRDefault="0053651E">
            <w:pPr>
              <w:jc w:val="right"/>
              <w:rPr>
                <w:rFonts w:eastAsia="Times New Roman"/>
                <w:sz w:val="16"/>
                <w:szCs w:val="16"/>
              </w:rPr>
            </w:pPr>
            <w:r>
              <w:rPr>
                <w:rFonts w:eastAsia="Times New Roman"/>
                <w:sz w:val="16"/>
                <w:szCs w:val="16"/>
              </w:rPr>
              <w:t>2,450,341</w:t>
            </w:r>
          </w:p>
        </w:tc>
        <w:tc>
          <w:tcPr>
            <w:tcW w:w="450" w:type="pct"/>
            <w:shd w:val="clear" w:color="auto" w:fill="CCEEFF"/>
            <w:vAlign w:val="bottom"/>
            <w:hideMark/>
          </w:tcPr>
          <w:p w14:paraId="3F1CF687" w14:textId="77777777" w:rsidR="00000000" w:rsidRDefault="0053651E">
            <w:pPr>
              <w:jc w:val="right"/>
              <w:rPr>
                <w:rFonts w:eastAsia="Times New Roman"/>
                <w:sz w:val="16"/>
                <w:szCs w:val="16"/>
              </w:rPr>
            </w:pPr>
            <w:r>
              <w:rPr>
                <w:rFonts w:eastAsia="Times New Roman"/>
                <w:sz w:val="16"/>
                <w:szCs w:val="16"/>
              </w:rPr>
              <w:t>12,253,056</w:t>
            </w:r>
          </w:p>
        </w:tc>
        <w:tc>
          <w:tcPr>
            <w:tcW w:w="350" w:type="pct"/>
            <w:shd w:val="clear" w:color="auto" w:fill="CCEEFF"/>
            <w:vAlign w:val="bottom"/>
            <w:hideMark/>
          </w:tcPr>
          <w:p w14:paraId="552A6D43" w14:textId="77777777" w:rsidR="00000000" w:rsidRDefault="0053651E">
            <w:pPr>
              <w:jc w:val="right"/>
              <w:rPr>
                <w:rFonts w:eastAsia="Times New Roman"/>
                <w:sz w:val="16"/>
                <w:szCs w:val="16"/>
              </w:rPr>
            </w:pPr>
            <w:r>
              <w:rPr>
                <w:rFonts w:eastAsia="Times New Roman"/>
                <w:sz w:val="16"/>
                <w:szCs w:val="16"/>
              </w:rPr>
              <w:t>14,703,397</w:t>
            </w:r>
          </w:p>
        </w:tc>
        <w:tc>
          <w:tcPr>
            <w:tcW w:w="400" w:type="pct"/>
            <w:shd w:val="clear" w:color="auto" w:fill="CCEEFF"/>
            <w:vAlign w:val="bottom"/>
            <w:hideMark/>
          </w:tcPr>
          <w:p w14:paraId="57AE8379" w14:textId="77777777" w:rsidR="00000000" w:rsidRDefault="0053651E">
            <w:pPr>
              <w:jc w:val="right"/>
              <w:rPr>
                <w:rFonts w:eastAsia="Times New Roman"/>
                <w:sz w:val="16"/>
                <w:szCs w:val="16"/>
              </w:rPr>
            </w:pPr>
            <w:r>
              <w:rPr>
                <w:rFonts w:eastAsia="Times New Roman"/>
                <w:sz w:val="16"/>
                <w:szCs w:val="16"/>
              </w:rPr>
              <w:t>6,977,925</w:t>
            </w:r>
          </w:p>
        </w:tc>
        <w:tc>
          <w:tcPr>
            <w:tcW w:w="50" w:type="pct"/>
            <w:shd w:val="clear" w:color="auto" w:fill="CCEEFF"/>
            <w:vAlign w:val="bottom"/>
            <w:hideMark/>
          </w:tcPr>
          <w:p w14:paraId="5CF6948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AAC8ACE" w14:textId="77777777" w:rsidR="00000000" w:rsidRDefault="0053651E">
            <w:pPr>
              <w:jc w:val="right"/>
              <w:rPr>
                <w:rFonts w:eastAsia="Times New Roman"/>
                <w:sz w:val="16"/>
                <w:szCs w:val="16"/>
              </w:rPr>
            </w:pPr>
            <w:r>
              <w:rPr>
                <w:rFonts w:eastAsia="Times New Roman"/>
                <w:sz w:val="16"/>
                <w:szCs w:val="16"/>
              </w:rPr>
              <w:t>7,725,472</w:t>
            </w:r>
          </w:p>
        </w:tc>
        <w:tc>
          <w:tcPr>
            <w:tcW w:w="50" w:type="pct"/>
            <w:shd w:val="clear" w:color="auto" w:fill="CCEEFF"/>
            <w:vAlign w:val="bottom"/>
            <w:hideMark/>
          </w:tcPr>
          <w:p w14:paraId="4855EE8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3ACAE4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2A594BC" w14:textId="77777777" w:rsidR="00000000" w:rsidRDefault="0053651E">
            <w:pPr>
              <w:pStyle w:val="a3"/>
              <w:spacing w:before="0" w:beforeAutospacing="0" w:after="0" w:afterAutospacing="0"/>
              <w:jc w:val="center"/>
              <w:rPr>
                <w:sz w:val="16"/>
                <w:szCs w:val="16"/>
              </w:rPr>
            </w:pPr>
            <w:r>
              <w:rPr>
                <w:rStyle w:val="a6"/>
                <w:i w:val="0"/>
                <w:iCs w:val="0"/>
                <w:sz w:val="16"/>
                <w:szCs w:val="16"/>
              </w:rPr>
              <w:t>1997(A)</w:t>
            </w:r>
          </w:p>
        </w:tc>
      </w:tr>
      <w:tr w:rsidR="00000000" w14:paraId="2CC129FB" w14:textId="77777777">
        <w:trPr>
          <w:tblCellSpacing w:w="0" w:type="dxa"/>
        </w:trPr>
        <w:tc>
          <w:tcPr>
            <w:tcW w:w="50" w:type="pct"/>
            <w:shd w:val="clear" w:color="auto" w:fill="FFFFFF"/>
            <w:vAlign w:val="bottom"/>
            <w:hideMark/>
          </w:tcPr>
          <w:p w14:paraId="7A0661B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1DFB55F" w14:textId="77777777" w:rsidR="00000000" w:rsidRDefault="0053651E">
            <w:pPr>
              <w:pStyle w:val="a3"/>
              <w:spacing w:before="0" w:beforeAutospacing="0" w:after="0" w:afterAutospacing="0"/>
              <w:rPr>
                <w:sz w:val="16"/>
                <w:szCs w:val="16"/>
              </w:rPr>
            </w:pPr>
            <w:r>
              <w:rPr>
                <w:sz w:val="16"/>
                <w:szCs w:val="16"/>
              </w:rPr>
              <w:t>VILLAGE CROSSROADS</w:t>
            </w:r>
          </w:p>
        </w:tc>
        <w:tc>
          <w:tcPr>
            <w:tcW w:w="150" w:type="pct"/>
            <w:shd w:val="clear" w:color="auto" w:fill="FFFFFF"/>
            <w:vAlign w:val="bottom"/>
            <w:hideMark/>
          </w:tcPr>
          <w:p w14:paraId="5E3DDC25"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06336118" w14:textId="77777777" w:rsidR="00000000" w:rsidRDefault="0053651E">
            <w:pPr>
              <w:jc w:val="right"/>
              <w:rPr>
                <w:rFonts w:eastAsia="Times New Roman"/>
                <w:sz w:val="16"/>
                <w:szCs w:val="16"/>
              </w:rPr>
            </w:pPr>
            <w:r>
              <w:rPr>
                <w:rFonts w:eastAsia="Times New Roman"/>
                <w:sz w:val="16"/>
                <w:szCs w:val="16"/>
              </w:rPr>
              <w:t>5,662,554</w:t>
            </w:r>
          </w:p>
        </w:tc>
        <w:tc>
          <w:tcPr>
            <w:tcW w:w="550" w:type="pct"/>
            <w:shd w:val="clear" w:color="auto" w:fill="FFFFFF"/>
            <w:vAlign w:val="bottom"/>
            <w:hideMark/>
          </w:tcPr>
          <w:p w14:paraId="7C208D89" w14:textId="77777777" w:rsidR="00000000" w:rsidRDefault="0053651E">
            <w:pPr>
              <w:jc w:val="right"/>
              <w:rPr>
                <w:rFonts w:eastAsia="Times New Roman"/>
                <w:sz w:val="16"/>
                <w:szCs w:val="16"/>
              </w:rPr>
            </w:pPr>
            <w:r>
              <w:rPr>
                <w:rFonts w:eastAsia="Times New Roman"/>
                <w:sz w:val="16"/>
                <w:szCs w:val="16"/>
              </w:rPr>
              <w:t>24,981,223</w:t>
            </w:r>
          </w:p>
        </w:tc>
        <w:tc>
          <w:tcPr>
            <w:tcW w:w="350" w:type="pct"/>
            <w:shd w:val="clear" w:color="auto" w:fill="FFFFFF"/>
            <w:vAlign w:val="bottom"/>
            <w:hideMark/>
          </w:tcPr>
          <w:p w14:paraId="07E2CD57" w14:textId="77777777" w:rsidR="00000000" w:rsidRDefault="0053651E">
            <w:pPr>
              <w:jc w:val="right"/>
              <w:rPr>
                <w:rFonts w:eastAsia="Times New Roman"/>
                <w:sz w:val="16"/>
                <w:szCs w:val="16"/>
              </w:rPr>
            </w:pPr>
            <w:r>
              <w:rPr>
                <w:rFonts w:eastAsia="Times New Roman"/>
                <w:sz w:val="16"/>
                <w:szCs w:val="16"/>
              </w:rPr>
              <w:t>1,265,298</w:t>
            </w:r>
          </w:p>
        </w:tc>
        <w:tc>
          <w:tcPr>
            <w:tcW w:w="300" w:type="pct"/>
            <w:shd w:val="clear" w:color="auto" w:fill="FFFFFF"/>
            <w:vAlign w:val="bottom"/>
            <w:hideMark/>
          </w:tcPr>
          <w:p w14:paraId="22EC2CCB" w14:textId="77777777" w:rsidR="00000000" w:rsidRDefault="0053651E">
            <w:pPr>
              <w:jc w:val="right"/>
              <w:rPr>
                <w:rFonts w:eastAsia="Times New Roman"/>
                <w:sz w:val="16"/>
                <w:szCs w:val="16"/>
              </w:rPr>
            </w:pPr>
            <w:r>
              <w:rPr>
                <w:rFonts w:eastAsia="Times New Roman"/>
                <w:sz w:val="16"/>
                <w:szCs w:val="16"/>
              </w:rPr>
              <w:t>5,662,554</w:t>
            </w:r>
          </w:p>
        </w:tc>
        <w:tc>
          <w:tcPr>
            <w:tcW w:w="450" w:type="pct"/>
            <w:shd w:val="clear" w:color="auto" w:fill="FFFFFF"/>
            <w:vAlign w:val="bottom"/>
            <w:hideMark/>
          </w:tcPr>
          <w:p w14:paraId="597F2556" w14:textId="77777777" w:rsidR="00000000" w:rsidRDefault="0053651E">
            <w:pPr>
              <w:jc w:val="right"/>
              <w:rPr>
                <w:rFonts w:eastAsia="Times New Roman"/>
                <w:sz w:val="16"/>
                <w:szCs w:val="16"/>
              </w:rPr>
            </w:pPr>
            <w:r>
              <w:rPr>
                <w:rFonts w:eastAsia="Times New Roman"/>
                <w:sz w:val="16"/>
                <w:szCs w:val="16"/>
              </w:rPr>
              <w:t>26,246,521</w:t>
            </w:r>
          </w:p>
        </w:tc>
        <w:tc>
          <w:tcPr>
            <w:tcW w:w="350" w:type="pct"/>
            <w:shd w:val="clear" w:color="auto" w:fill="FFFFFF"/>
            <w:vAlign w:val="bottom"/>
            <w:hideMark/>
          </w:tcPr>
          <w:p w14:paraId="7DC839EB" w14:textId="77777777" w:rsidR="00000000" w:rsidRDefault="0053651E">
            <w:pPr>
              <w:jc w:val="right"/>
              <w:rPr>
                <w:rFonts w:eastAsia="Times New Roman"/>
                <w:sz w:val="16"/>
                <w:szCs w:val="16"/>
              </w:rPr>
            </w:pPr>
            <w:r>
              <w:rPr>
                <w:rFonts w:eastAsia="Times New Roman"/>
                <w:sz w:val="16"/>
                <w:szCs w:val="16"/>
              </w:rPr>
              <w:t>31,909,075</w:t>
            </w:r>
          </w:p>
        </w:tc>
        <w:tc>
          <w:tcPr>
            <w:tcW w:w="400" w:type="pct"/>
            <w:shd w:val="clear" w:color="auto" w:fill="FFFFFF"/>
            <w:vAlign w:val="bottom"/>
            <w:hideMark/>
          </w:tcPr>
          <w:p w14:paraId="0562D8DF" w14:textId="77777777" w:rsidR="00000000" w:rsidRDefault="0053651E">
            <w:pPr>
              <w:jc w:val="right"/>
              <w:rPr>
                <w:rFonts w:eastAsia="Times New Roman"/>
                <w:sz w:val="16"/>
                <w:szCs w:val="16"/>
              </w:rPr>
            </w:pPr>
            <w:r>
              <w:rPr>
                <w:rFonts w:eastAsia="Times New Roman"/>
                <w:sz w:val="16"/>
                <w:szCs w:val="16"/>
              </w:rPr>
              <w:t>6,323,449</w:t>
            </w:r>
          </w:p>
        </w:tc>
        <w:tc>
          <w:tcPr>
            <w:tcW w:w="50" w:type="pct"/>
            <w:shd w:val="clear" w:color="auto" w:fill="FFFFFF"/>
            <w:vAlign w:val="bottom"/>
            <w:hideMark/>
          </w:tcPr>
          <w:p w14:paraId="3C26971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F7F0A0C" w14:textId="77777777" w:rsidR="00000000" w:rsidRDefault="0053651E">
            <w:pPr>
              <w:jc w:val="right"/>
              <w:rPr>
                <w:rFonts w:eastAsia="Times New Roman"/>
                <w:sz w:val="16"/>
                <w:szCs w:val="16"/>
              </w:rPr>
            </w:pPr>
            <w:r>
              <w:rPr>
                <w:rFonts w:eastAsia="Times New Roman"/>
                <w:sz w:val="16"/>
                <w:szCs w:val="16"/>
              </w:rPr>
              <w:t>25,585,626</w:t>
            </w:r>
          </w:p>
        </w:tc>
        <w:tc>
          <w:tcPr>
            <w:tcW w:w="50" w:type="pct"/>
            <w:shd w:val="clear" w:color="auto" w:fill="FFFFFF"/>
            <w:vAlign w:val="bottom"/>
            <w:hideMark/>
          </w:tcPr>
          <w:p w14:paraId="37B14D2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7E955A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D8830B3"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65F767BE" w14:textId="77777777">
        <w:trPr>
          <w:tblCellSpacing w:w="0" w:type="dxa"/>
        </w:trPr>
        <w:tc>
          <w:tcPr>
            <w:tcW w:w="50" w:type="pct"/>
            <w:shd w:val="clear" w:color="auto" w:fill="CCEEFF"/>
            <w:vAlign w:val="bottom"/>
            <w:hideMark/>
          </w:tcPr>
          <w:p w14:paraId="09744BB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D88800B" w14:textId="77777777" w:rsidR="00000000" w:rsidRDefault="0053651E">
            <w:pPr>
              <w:pStyle w:val="a3"/>
              <w:spacing w:before="0" w:beforeAutospacing="0" w:after="0" w:afterAutospacing="0"/>
              <w:rPr>
                <w:sz w:val="16"/>
                <w:szCs w:val="16"/>
              </w:rPr>
            </w:pPr>
            <w:r>
              <w:rPr>
                <w:sz w:val="16"/>
                <w:szCs w:val="16"/>
              </w:rPr>
              <w:t>NORTH VALLEY</w:t>
            </w:r>
          </w:p>
        </w:tc>
        <w:tc>
          <w:tcPr>
            <w:tcW w:w="150" w:type="pct"/>
            <w:shd w:val="clear" w:color="auto" w:fill="CCEEFF"/>
            <w:vAlign w:val="bottom"/>
            <w:hideMark/>
          </w:tcPr>
          <w:p w14:paraId="08A50F6D"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3F4D6B84" w14:textId="77777777" w:rsidR="00000000" w:rsidRDefault="0053651E">
            <w:pPr>
              <w:jc w:val="right"/>
              <w:rPr>
                <w:rFonts w:eastAsia="Times New Roman"/>
                <w:sz w:val="16"/>
                <w:szCs w:val="16"/>
              </w:rPr>
            </w:pPr>
            <w:r>
              <w:rPr>
                <w:rFonts w:eastAsia="Times New Roman"/>
                <w:sz w:val="16"/>
                <w:szCs w:val="16"/>
              </w:rPr>
              <w:t>6,861,564</w:t>
            </w:r>
          </w:p>
        </w:tc>
        <w:tc>
          <w:tcPr>
            <w:tcW w:w="550" w:type="pct"/>
            <w:shd w:val="clear" w:color="auto" w:fill="CCEEFF"/>
            <w:vAlign w:val="bottom"/>
            <w:hideMark/>
          </w:tcPr>
          <w:p w14:paraId="18227328" w14:textId="77777777" w:rsidR="00000000" w:rsidRDefault="0053651E">
            <w:pPr>
              <w:jc w:val="right"/>
              <w:rPr>
                <w:rFonts w:eastAsia="Times New Roman"/>
                <w:sz w:val="16"/>
                <w:szCs w:val="16"/>
              </w:rPr>
            </w:pPr>
            <w:r>
              <w:rPr>
                <w:rFonts w:eastAsia="Times New Roman"/>
                <w:sz w:val="16"/>
                <w:szCs w:val="16"/>
              </w:rPr>
              <w:t>18,200,901</w:t>
            </w:r>
          </w:p>
        </w:tc>
        <w:tc>
          <w:tcPr>
            <w:tcW w:w="350" w:type="pct"/>
            <w:shd w:val="clear" w:color="auto" w:fill="CCEEFF"/>
            <w:vAlign w:val="bottom"/>
            <w:hideMark/>
          </w:tcPr>
          <w:p w14:paraId="7CA894F4" w14:textId="77777777" w:rsidR="00000000" w:rsidRDefault="0053651E">
            <w:pPr>
              <w:jc w:val="right"/>
              <w:rPr>
                <w:rFonts w:eastAsia="Times New Roman"/>
                <w:sz w:val="16"/>
                <w:szCs w:val="16"/>
              </w:rPr>
            </w:pPr>
            <w:r>
              <w:rPr>
                <w:rFonts w:eastAsia="Times New Roman"/>
                <w:sz w:val="16"/>
                <w:szCs w:val="16"/>
              </w:rPr>
              <w:t>6,082,402</w:t>
            </w:r>
          </w:p>
        </w:tc>
        <w:tc>
          <w:tcPr>
            <w:tcW w:w="300" w:type="pct"/>
            <w:shd w:val="clear" w:color="auto" w:fill="CCEEFF"/>
            <w:vAlign w:val="bottom"/>
            <w:hideMark/>
          </w:tcPr>
          <w:p w14:paraId="6A674328" w14:textId="77777777" w:rsidR="00000000" w:rsidRDefault="0053651E">
            <w:pPr>
              <w:jc w:val="right"/>
              <w:rPr>
                <w:rFonts w:eastAsia="Times New Roman"/>
                <w:sz w:val="16"/>
                <w:szCs w:val="16"/>
              </w:rPr>
            </w:pPr>
            <w:r>
              <w:rPr>
                <w:rFonts w:eastAsia="Times New Roman"/>
                <w:sz w:val="16"/>
                <w:szCs w:val="16"/>
              </w:rPr>
              <w:t>3,861,272</w:t>
            </w:r>
          </w:p>
        </w:tc>
        <w:tc>
          <w:tcPr>
            <w:tcW w:w="450" w:type="pct"/>
            <w:shd w:val="clear" w:color="auto" w:fill="CCEEFF"/>
            <w:vAlign w:val="bottom"/>
            <w:hideMark/>
          </w:tcPr>
          <w:p w14:paraId="168852BD" w14:textId="77777777" w:rsidR="00000000" w:rsidRDefault="0053651E">
            <w:pPr>
              <w:jc w:val="right"/>
              <w:rPr>
                <w:rFonts w:eastAsia="Times New Roman"/>
                <w:sz w:val="16"/>
                <w:szCs w:val="16"/>
              </w:rPr>
            </w:pPr>
            <w:r>
              <w:rPr>
                <w:rFonts w:eastAsia="Times New Roman"/>
                <w:sz w:val="16"/>
                <w:szCs w:val="16"/>
              </w:rPr>
              <w:t>27,283,595</w:t>
            </w:r>
          </w:p>
        </w:tc>
        <w:tc>
          <w:tcPr>
            <w:tcW w:w="350" w:type="pct"/>
            <w:shd w:val="clear" w:color="auto" w:fill="CCEEFF"/>
            <w:vAlign w:val="bottom"/>
            <w:hideMark/>
          </w:tcPr>
          <w:p w14:paraId="06DAE425" w14:textId="77777777" w:rsidR="00000000" w:rsidRDefault="0053651E">
            <w:pPr>
              <w:jc w:val="right"/>
              <w:rPr>
                <w:rFonts w:eastAsia="Times New Roman"/>
                <w:sz w:val="16"/>
                <w:szCs w:val="16"/>
              </w:rPr>
            </w:pPr>
            <w:r>
              <w:rPr>
                <w:rFonts w:eastAsia="Times New Roman"/>
                <w:sz w:val="16"/>
                <w:szCs w:val="16"/>
              </w:rPr>
              <w:t>31,144,867</w:t>
            </w:r>
          </w:p>
        </w:tc>
        <w:tc>
          <w:tcPr>
            <w:tcW w:w="400" w:type="pct"/>
            <w:shd w:val="clear" w:color="auto" w:fill="CCEEFF"/>
            <w:vAlign w:val="bottom"/>
            <w:hideMark/>
          </w:tcPr>
          <w:p w14:paraId="166F1DDC" w14:textId="77777777" w:rsidR="00000000" w:rsidRDefault="0053651E">
            <w:pPr>
              <w:jc w:val="right"/>
              <w:rPr>
                <w:rFonts w:eastAsia="Times New Roman"/>
                <w:sz w:val="16"/>
                <w:szCs w:val="16"/>
              </w:rPr>
            </w:pPr>
            <w:r>
              <w:rPr>
                <w:rFonts w:eastAsia="Times New Roman"/>
                <w:sz w:val="16"/>
                <w:szCs w:val="16"/>
              </w:rPr>
              <w:t>5,595,396</w:t>
            </w:r>
          </w:p>
        </w:tc>
        <w:tc>
          <w:tcPr>
            <w:tcW w:w="50" w:type="pct"/>
            <w:shd w:val="clear" w:color="auto" w:fill="CCEEFF"/>
            <w:vAlign w:val="bottom"/>
            <w:hideMark/>
          </w:tcPr>
          <w:p w14:paraId="3FD9402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C7F4A6D" w14:textId="77777777" w:rsidR="00000000" w:rsidRDefault="0053651E">
            <w:pPr>
              <w:jc w:val="right"/>
              <w:rPr>
                <w:rFonts w:eastAsia="Times New Roman"/>
                <w:sz w:val="16"/>
                <w:szCs w:val="16"/>
              </w:rPr>
            </w:pPr>
            <w:r>
              <w:rPr>
                <w:rFonts w:eastAsia="Times New Roman"/>
                <w:sz w:val="16"/>
                <w:szCs w:val="16"/>
              </w:rPr>
              <w:t>25,549,471</w:t>
            </w:r>
          </w:p>
        </w:tc>
        <w:tc>
          <w:tcPr>
            <w:tcW w:w="50" w:type="pct"/>
            <w:shd w:val="clear" w:color="auto" w:fill="CCEEFF"/>
            <w:vAlign w:val="bottom"/>
            <w:hideMark/>
          </w:tcPr>
          <w:p w14:paraId="0A56EFC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43A216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52134E8"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76F3F790" w14:textId="77777777">
        <w:trPr>
          <w:tblCellSpacing w:w="0" w:type="dxa"/>
        </w:trPr>
        <w:tc>
          <w:tcPr>
            <w:tcW w:w="50" w:type="pct"/>
            <w:shd w:val="clear" w:color="auto" w:fill="FFFFFF"/>
            <w:vAlign w:val="bottom"/>
            <w:hideMark/>
          </w:tcPr>
          <w:p w14:paraId="5F53DE7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F8A00B4" w14:textId="77777777" w:rsidR="00000000" w:rsidRDefault="0053651E">
            <w:pPr>
              <w:pStyle w:val="a3"/>
              <w:spacing w:before="0" w:beforeAutospacing="0" w:after="0" w:afterAutospacing="0"/>
              <w:rPr>
                <w:sz w:val="16"/>
                <w:szCs w:val="16"/>
              </w:rPr>
            </w:pPr>
            <w:r>
              <w:rPr>
                <w:sz w:val="16"/>
                <w:szCs w:val="16"/>
              </w:rPr>
              <w:t>CHRISTOWN SPECTRUM</w:t>
            </w:r>
          </w:p>
        </w:tc>
        <w:tc>
          <w:tcPr>
            <w:tcW w:w="150" w:type="pct"/>
            <w:shd w:val="clear" w:color="auto" w:fill="FFFFFF"/>
            <w:vAlign w:val="bottom"/>
            <w:hideMark/>
          </w:tcPr>
          <w:p w14:paraId="5C49B6D5"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12F7E11F" w14:textId="77777777" w:rsidR="00000000" w:rsidRDefault="0053651E">
            <w:pPr>
              <w:jc w:val="right"/>
              <w:rPr>
                <w:rFonts w:eastAsia="Times New Roman"/>
                <w:sz w:val="16"/>
                <w:szCs w:val="16"/>
              </w:rPr>
            </w:pPr>
            <w:r>
              <w:rPr>
                <w:rFonts w:eastAsia="Times New Roman"/>
                <w:sz w:val="16"/>
                <w:szCs w:val="16"/>
              </w:rPr>
              <w:t>33,831,348</w:t>
            </w:r>
          </w:p>
        </w:tc>
        <w:tc>
          <w:tcPr>
            <w:tcW w:w="550" w:type="pct"/>
            <w:shd w:val="clear" w:color="auto" w:fill="FFFFFF"/>
            <w:vAlign w:val="bottom"/>
            <w:hideMark/>
          </w:tcPr>
          <w:p w14:paraId="4A8430A3" w14:textId="77777777" w:rsidR="00000000" w:rsidRDefault="0053651E">
            <w:pPr>
              <w:jc w:val="right"/>
              <w:rPr>
                <w:rFonts w:eastAsia="Times New Roman"/>
                <w:sz w:val="16"/>
                <w:szCs w:val="16"/>
              </w:rPr>
            </w:pPr>
            <w:r>
              <w:rPr>
                <w:rFonts w:eastAsia="Times New Roman"/>
                <w:sz w:val="16"/>
                <w:szCs w:val="16"/>
              </w:rPr>
              <w:t>91,004,070</w:t>
            </w:r>
          </w:p>
        </w:tc>
        <w:tc>
          <w:tcPr>
            <w:tcW w:w="350" w:type="pct"/>
            <w:shd w:val="clear" w:color="auto" w:fill="FFFFFF"/>
            <w:vAlign w:val="bottom"/>
            <w:hideMark/>
          </w:tcPr>
          <w:p w14:paraId="4C4AB6E7" w14:textId="77777777" w:rsidR="00000000" w:rsidRDefault="0053651E">
            <w:pPr>
              <w:jc w:val="right"/>
              <w:rPr>
                <w:rFonts w:eastAsia="Times New Roman"/>
                <w:sz w:val="16"/>
                <w:szCs w:val="16"/>
              </w:rPr>
            </w:pPr>
            <w:r>
              <w:rPr>
                <w:rFonts w:eastAsia="Times New Roman"/>
                <w:sz w:val="16"/>
                <w:szCs w:val="16"/>
              </w:rPr>
              <w:t>18,373,348</w:t>
            </w:r>
          </w:p>
        </w:tc>
        <w:tc>
          <w:tcPr>
            <w:tcW w:w="300" w:type="pct"/>
            <w:shd w:val="clear" w:color="auto" w:fill="FFFFFF"/>
            <w:vAlign w:val="bottom"/>
            <w:hideMark/>
          </w:tcPr>
          <w:p w14:paraId="6957A604" w14:textId="77777777" w:rsidR="00000000" w:rsidRDefault="0053651E">
            <w:pPr>
              <w:jc w:val="right"/>
              <w:rPr>
                <w:rFonts w:eastAsia="Times New Roman"/>
                <w:sz w:val="16"/>
                <w:szCs w:val="16"/>
              </w:rPr>
            </w:pPr>
            <w:r>
              <w:rPr>
                <w:rFonts w:eastAsia="Times New Roman"/>
                <w:sz w:val="16"/>
                <w:szCs w:val="16"/>
              </w:rPr>
              <w:t>76,638,511</w:t>
            </w:r>
          </w:p>
        </w:tc>
        <w:tc>
          <w:tcPr>
            <w:tcW w:w="450" w:type="pct"/>
            <w:shd w:val="clear" w:color="auto" w:fill="FFFFFF"/>
            <w:vAlign w:val="bottom"/>
            <w:hideMark/>
          </w:tcPr>
          <w:p w14:paraId="6288C915" w14:textId="77777777" w:rsidR="00000000" w:rsidRDefault="0053651E">
            <w:pPr>
              <w:jc w:val="right"/>
              <w:rPr>
                <w:rFonts w:eastAsia="Times New Roman"/>
                <w:sz w:val="16"/>
                <w:szCs w:val="16"/>
              </w:rPr>
            </w:pPr>
            <w:r>
              <w:rPr>
                <w:rFonts w:eastAsia="Times New Roman"/>
                <w:sz w:val="16"/>
                <w:szCs w:val="16"/>
              </w:rPr>
              <w:t>66,570,255</w:t>
            </w:r>
          </w:p>
        </w:tc>
        <w:tc>
          <w:tcPr>
            <w:tcW w:w="350" w:type="pct"/>
            <w:shd w:val="clear" w:color="auto" w:fill="FFFFFF"/>
            <w:vAlign w:val="bottom"/>
            <w:hideMark/>
          </w:tcPr>
          <w:p w14:paraId="34971E78" w14:textId="77777777" w:rsidR="00000000" w:rsidRDefault="0053651E">
            <w:pPr>
              <w:jc w:val="right"/>
              <w:rPr>
                <w:rFonts w:eastAsia="Times New Roman"/>
                <w:sz w:val="16"/>
                <w:szCs w:val="16"/>
              </w:rPr>
            </w:pPr>
            <w:r>
              <w:rPr>
                <w:rFonts w:eastAsia="Times New Roman"/>
                <w:sz w:val="16"/>
                <w:szCs w:val="16"/>
              </w:rPr>
              <w:t>143,208,766</w:t>
            </w:r>
          </w:p>
        </w:tc>
        <w:tc>
          <w:tcPr>
            <w:tcW w:w="400" w:type="pct"/>
            <w:shd w:val="clear" w:color="auto" w:fill="FFFFFF"/>
            <w:vAlign w:val="bottom"/>
            <w:hideMark/>
          </w:tcPr>
          <w:p w14:paraId="2478B464" w14:textId="77777777" w:rsidR="00000000" w:rsidRDefault="0053651E">
            <w:pPr>
              <w:jc w:val="right"/>
              <w:rPr>
                <w:rFonts w:eastAsia="Times New Roman"/>
                <w:sz w:val="16"/>
                <w:szCs w:val="16"/>
              </w:rPr>
            </w:pPr>
            <w:r>
              <w:rPr>
                <w:rFonts w:eastAsia="Times New Roman"/>
                <w:sz w:val="16"/>
                <w:szCs w:val="16"/>
              </w:rPr>
              <w:t>14,743,804</w:t>
            </w:r>
          </w:p>
        </w:tc>
        <w:tc>
          <w:tcPr>
            <w:tcW w:w="50" w:type="pct"/>
            <w:shd w:val="clear" w:color="auto" w:fill="FFFFFF"/>
            <w:vAlign w:val="bottom"/>
            <w:hideMark/>
          </w:tcPr>
          <w:p w14:paraId="45AD2F2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FF6C84E" w14:textId="77777777" w:rsidR="00000000" w:rsidRDefault="0053651E">
            <w:pPr>
              <w:jc w:val="right"/>
              <w:rPr>
                <w:rFonts w:eastAsia="Times New Roman"/>
                <w:sz w:val="16"/>
                <w:szCs w:val="16"/>
              </w:rPr>
            </w:pPr>
            <w:r>
              <w:rPr>
                <w:rFonts w:eastAsia="Times New Roman"/>
                <w:sz w:val="16"/>
                <w:szCs w:val="16"/>
              </w:rPr>
              <w:t>128,464,962</w:t>
            </w:r>
          </w:p>
        </w:tc>
        <w:tc>
          <w:tcPr>
            <w:tcW w:w="50" w:type="pct"/>
            <w:shd w:val="clear" w:color="auto" w:fill="FFFFFF"/>
            <w:vAlign w:val="bottom"/>
            <w:hideMark/>
          </w:tcPr>
          <w:p w14:paraId="596F29B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89FE8A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9AC6D90"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C230492" w14:textId="77777777">
        <w:trPr>
          <w:tblCellSpacing w:w="0" w:type="dxa"/>
        </w:trPr>
        <w:tc>
          <w:tcPr>
            <w:tcW w:w="50" w:type="pct"/>
            <w:shd w:val="clear" w:color="auto" w:fill="CCEEFF"/>
            <w:vAlign w:val="bottom"/>
            <w:hideMark/>
          </w:tcPr>
          <w:p w14:paraId="086D4FB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498EC63" w14:textId="77777777" w:rsidR="00000000" w:rsidRDefault="0053651E">
            <w:pPr>
              <w:pStyle w:val="a3"/>
              <w:spacing w:before="0" w:beforeAutospacing="0" w:after="0" w:afterAutospacing="0"/>
              <w:rPr>
                <w:sz w:val="16"/>
                <w:szCs w:val="16"/>
              </w:rPr>
            </w:pPr>
            <w:r>
              <w:rPr>
                <w:sz w:val="16"/>
                <w:szCs w:val="16"/>
              </w:rPr>
              <w:t>BELL CAMINO CENTER</w:t>
            </w:r>
          </w:p>
        </w:tc>
        <w:tc>
          <w:tcPr>
            <w:tcW w:w="150" w:type="pct"/>
            <w:shd w:val="clear" w:color="auto" w:fill="CCEEFF"/>
            <w:vAlign w:val="bottom"/>
            <w:hideMark/>
          </w:tcPr>
          <w:p w14:paraId="59B16CED"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06ACAD92" w14:textId="77777777" w:rsidR="00000000" w:rsidRDefault="0053651E">
            <w:pPr>
              <w:jc w:val="right"/>
              <w:rPr>
                <w:rFonts w:eastAsia="Times New Roman"/>
                <w:sz w:val="16"/>
                <w:szCs w:val="16"/>
              </w:rPr>
            </w:pPr>
            <w:r>
              <w:rPr>
                <w:rFonts w:eastAsia="Times New Roman"/>
                <w:sz w:val="16"/>
                <w:szCs w:val="16"/>
              </w:rPr>
              <w:t>2,427,465</w:t>
            </w:r>
          </w:p>
        </w:tc>
        <w:tc>
          <w:tcPr>
            <w:tcW w:w="550" w:type="pct"/>
            <w:shd w:val="clear" w:color="auto" w:fill="CCEEFF"/>
            <w:vAlign w:val="bottom"/>
            <w:hideMark/>
          </w:tcPr>
          <w:p w14:paraId="298B7BFA" w14:textId="77777777" w:rsidR="00000000" w:rsidRDefault="0053651E">
            <w:pPr>
              <w:jc w:val="right"/>
              <w:rPr>
                <w:rFonts w:eastAsia="Times New Roman"/>
                <w:sz w:val="16"/>
                <w:szCs w:val="16"/>
              </w:rPr>
            </w:pPr>
            <w:r>
              <w:rPr>
                <w:rFonts w:eastAsia="Times New Roman"/>
                <w:sz w:val="16"/>
                <w:szCs w:val="16"/>
              </w:rPr>
              <w:t>6,439,065</w:t>
            </w:r>
          </w:p>
        </w:tc>
        <w:tc>
          <w:tcPr>
            <w:tcW w:w="350" w:type="pct"/>
            <w:shd w:val="clear" w:color="auto" w:fill="CCEEFF"/>
            <w:vAlign w:val="bottom"/>
            <w:hideMark/>
          </w:tcPr>
          <w:p w14:paraId="671FF9AA" w14:textId="77777777" w:rsidR="00000000" w:rsidRDefault="0053651E">
            <w:pPr>
              <w:jc w:val="right"/>
              <w:rPr>
                <w:rFonts w:eastAsia="Times New Roman"/>
                <w:sz w:val="16"/>
                <w:szCs w:val="16"/>
              </w:rPr>
            </w:pPr>
            <w:r>
              <w:rPr>
                <w:rFonts w:eastAsia="Times New Roman"/>
                <w:sz w:val="16"/>
                <w:szCs w:val="16"/>
              </w:rPr>
              <w:t>689,471</w:t>
            </w:r>
          </w:p>
        </w:tc>
        <w:tc>
          <w:tcPr>
            <w:tcW w:w="300" w:type="pct"/>
            <w:shd w:val="clear" w:color="auto" w:fill="CCEEFF"/>
            <w:vAlign w:val="bottom"/>
            <w:hideMark/>
          </w:tcPr>
          <w:p w14:paraId="50B9D269" w14:textId="77777777" w:rsidR="00000000" w:rsidRDefault="0053651E">
            <w:pPr>
              <w:jc w:val="right"/>
              <w:rPr>
                <w:rFonts w:eastAsia="Times New Roman"/>
                <w:sz w:val="16"/>
                <w:szCs w:val="16"/>
              </w:rPr>
            </w:pPr>
            <w:r>
              <w:rPr>
                <w:rFonts w:eastAsia="Times New Roman"/>
                <w:sz w:val="16"/>
                <w:szCs w:val="16"/>
              </w:rPr>
              <w:t>2,427,465</w:t>
            </w:r>
          </w:p>
        </w:tc>
        <w:tc>
          <w:tcPr>
            <w:tcW w:w="450" w:type="pct"/>
            <w:shd w:val="clear" w:color="auto" w:fill="CCEEFF"/>
            <w:vAlign w:val="bottom"/>
            <w:hideMark/>
          </w:tcPr>
          <w:p w14:paraId="03C9F651" w14:textId="77777777" w:rsidR="00000000" w:rsidRDefault="0053651E">
            <w:pPr>
              <w:jc w:val="right"/>
              <w:rPr>
                <w:rFonts w:eastAsia="Times New Roman"/>
                <w:sz w:val="16"/>
                <w:szCs w:val="16"/>
              </w:rPr>
            </w:pPr>
            <w:r>
              <w:rPr>
                <w:rFonts w:eastAsia="Times New Roman"/>
                <w:sz w:val="16"/>
                <w:szCs w:val="16"/>
              </w:rPr>
              <w:t>7,128,536</w:t>
            </w:r>
          </w:p>
        </w:tc>
        <w:tc>
          <w:tcPr>
            <w:tcW w:w="350" w:type="pct"/>
            <w:shd w:val="clear" w:color="auto" w:fill="CCEEFF"/>
            <w:vAlign w:val="bottom"/>
            <w:hideMark/>
          </w:tcPr>
          <w:p w14:paraId="75FB31AD" w14:textId="77777777" w:rsidR="00000000" w:rsidRDefault="0053651E">
            <w:pPr>
              <w:jc w:val="right"/>
              <w:rPr>
                <w:rFonts w:eastAsia="Times New Roman"/>
                <w:sz w:val="16"/>
                <w:szCs w:val="16"/>
              </w:rPr>
            </w:pPr>
            <w:r>
              <w:rPr>
                <w:rFonts w:eastAsia="Times New Roman"/>
                <w:sz w:val="16"/>
                <w:szCs w:val="16"/>
              </w:rPr>
              <w:t>9,556,001</w:t>
            </w:r>
          </w:p>
        </w:tc>
        <w:tc>
          <w:tcPr>
            <w:tcW w:w="400" w:type="pct"/>
            <w:shd w:val="clear" w:color="auto" w:fill="CCEEFF"/>
            <w:vAlign w:val="bottom"/>
            <w:hideMark/>
          </w:tcPr>
          <w:p w14:paraId="40ADB927" w14:textId="77777777" w:rsidR="00000000" w:rsidRDefault="0053651E">
            <w:pPr>
              <w:jc w:val="right"/>
              <w:rPr>
                <w:rFonts w:eastAsia="Times New Roman"/>
                <w:sz w:val="16"/>
                <w:szCs w:val="16"/>
              </w:rPr>
            </w:pPr>
            <w:r>
              <w:rPr>
                <w:rFonts w:eastAsia="Times New Roman"/>
                <w:sz w:val="16"/>
                <w:szCs w:val="16"/>
              </w:rPr>
              <w:t>2,215,168</w:t>
            </w:r>
          </w:p>
        </w:tc>
        <w:tc>
          <w:tcPr>
            <w:tcW w:w="50" w:type="pct"/>
            <w:shd w:val="clear" w:color="auto" w:fill="CCEEFF"/>
            <w:vAlign w:val="bottom"/>
            <w:hideMark/>
          </w:tcPr>
          <w:p w14:paraId="63A4D80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6002343" w14:textId="77777777" w:rsidR="00000000" w:rsidRDefault="0053651E">
            <w:pPr>
              <w:jc w:val="right"/>
              <w:rPr>
                <w:rFonts w:eastAsia="Times New Roman"/>
                <w:sz w:val="16"/>
                <w:szCs w:val="16"/>
              </w:rPr>
            </w:pPr>
            <w:r>
              <w:rPr>
                <w:rFonts w:eastAsia="Times New Roman"/>
                <w:sz w:val="16"/>
                <w:szCs w:val="16"/>
              </w:rPr>
              <w:t>7,340,833</w:t>
            </w:r>
          </w:p>
        </w:tc>
        <w:tc>
          <w:tcPr>
            <w:tcW w:w="50" w:type="pct"/>
            <w:shd w:val="clear" w:color="auto" w:fill="CCEEFF"/>
            <w:vAlign w:val="bottom"/>
            <w:hideMark/>
          </w:tcPr>
          <w:p w14:paraId="0E55AD5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7E6A61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67E7388"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53465BBA" w14:textId="77777777">
        <w:trPr>
          <w:tblCellSpacing w:w="0" w:type="dxa"/>
        </w:trPr>
        <w:tc>
          <w:tcPr>
            <w:tcW w:w="50" w:type="pct"/>
            <w:shd w:val="clear" w:color="auto" w:fill="FFFFFF"/>
            <w:vAlign w:val="bottom"/>
            <w:hideMark/>
          </w:tcPr>
          <w:p w14:paraId="5673188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881A5F4" w14:textId="77777777" w:rsidR="00000000" w:rsidRDefault="0053651E">
            <w:pPr>
              <w:pStyle w:val="a3"/>
              <w:spacing w:before="0" w:beforeAutospacing="0" w:after="0" w:afterAutospacing="0"/>
              <w:rPr>
                <w:sz w:val="16"/>
                <w:szCs w:val="16"/>
              </w:rPr>
            </w:pPr>
            <w:r>
              <w:rPr>
                <w:sz w:val="16"/>
                <w:szCs w:val="16"/>
              </w:rPr>
              <w:t>BELL CAMINO-SAFEWAY PARCEL</w:t>
            </w:r>
          </w:p>
        </w:tc>
        <w:tc>
          <w:tcPr>
            <w:tcW w:w="150" w:type="pct"/>
            <w:shd w:val="clear" w:color="auto" w:fill="FFFFFF"/>
            <w:vAlign w:val="bottom"/>
            <w:hideMark/>
          </w:tcPr>
          <w:p w14:paraId="40C8351E"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5BAA9192" w14:textId="77777777" w:rsidR="00000000" w:rsidRDefault="0053651E">
            <w:pPr>
              <w:jc w:val="right"/>
              <w:rPr>
                <w:rFonts w:eastAsia="Times New Roman"/>
                <w:sz w:val="16"/>
                <w:szCs w:val="16"/>
              </w:rPr>
            </w:pPr>
            <w:r>
              <w:rPr>
                <w:rFonts w:eastAsia="Times New Roman"/>
                <w:sz w:val="16"/>
                <w:szCs w:val="16"/>
              </w:rPr>
              <w:t>1,104,233</w:t>
            </w:r>
          </w:p>
        </w:tc>
        <w:tc>
          <w:tcPr>
            <w:tcW w:w="550" w:type="pct"/>
            <w:shd w:val="clear" w:color="auto" w:fill="FFFFFF"/>
            <w:vAlign w:val="bottom"/>
            <w:hideMark/>
          </w:tcPr>
          <w:p w14:paraId="399F676E" w14:textId="77777777" w:rsidR="00000000" w:rsidRDefault="0053651E">
            <w:pPr>
              <w:jc w:val="right"/>
              <w:rPr>
                <w:rFonts w:eastAsia="Times New Roman"/>
                <w:sz w:val="16"/>
                <w:szCs w:val="16"/>
              </w:rPr>
            </w:pPr>
            <w:r>
              <w:rPr>
                <w:rFonts w:eastAsia="Times New Roman"/>
                <w:sz w:val="16"/>
                <w:szCs w:val="16"/>
              </w:rPr>
              <w:t>4,574,035</w:t>
            </w:r>
          </w:p>
        </w:tc>
        <w:tc>
          <w:tcPr>
            <w:tcW w:w="350" w:type="pct"/>
            <w:shd w:val="clear" w:color="auto" w:fill="FFFFFF"/>
            <w:vAlign w:val="bottom"/>
            <w:hideMark/>
          </w:tcPr>
          <w:p w14:paraId="334FB530"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13E6BE31" w14:textId="77777777" w:rsidR="00000000" w:rsidRDefault="0053651E">
            <w:pPr>
              <w:jc w:val="right"/>
              <w:rPr>
                <w:rFonts w:eastAsia="Times New Roman"/>
                <w:sz w:val="16"/>
                <w:szCs w:val="16"/>
              </w:rPr>
            </w:pPr>
            <w:r>
              <w:rPr>
                <w:rFonts w:eastAsia="Times New Roman"/>
                <w:sz w:val="16"/>
                <w:szCs w:val="16"/>
              </w:rPr>
              <w:t>1,104,233</w:t>
            </w:r>
          </w:p>
        </w:tc>
        <w:tc>
          <w:tcPr>
            <w:tcW w:w="450" w:type="pct"/>
            <w:shd w:val="clear" w:color="auto" w:fill="FFFFFF"/>
            <w:vAlign w:val="bottom"/>
            <w:hideMark/>
          </w:tcPr>
          <w:p w14:paraId="161B29C8" w14:textId="77777777" w:rsidR="00000000" w:rsidRDefault="0053651E">
            <w:pPr>
              <w:jc w:val="right"/>
              <w:rPr>
                <w:rFonts w:eastAsia="Times New Roman"/>
                <w:sz w:val="16"/>
                <w:szCs w:val="16"/>
              </w:rPr>
            </w:pPr>
            <w:r>
              <w:rPr>
                <w:rFonts w:eastAsia="Times New Roman"/>
                <w:sz w:val="16"/>
                <w:szCs w:val="16"/>
              </w:rPr>
              <w:t>4,574,035</w:t>
            </w:r>
          </w:p>
        </w:tc>
        <w:tc>
          <w:tcPr>
            <w:tcW w:w="350" w:type="pct"/>
            <w:shd w:val="clear" w:color="auto" w:fill="FFFFFF"/>
            <w:vAlign w:val="bottom"/>
            <w:hideMark/>
          </w:tcPr>
          <w:p w14:paraId="2B1E982D" w14:textId="77777777" w:rsidR="00000000" w:rsidRDefault="0053651E">
            <w:pPr>
              <w:jc w:val="right"/>
              <w:rPr>
                <w:rFonts w:eastAsia="Times New Roman"/>
                <w:sz w:val="16"/>
                <w:szCs w:val="16"/>
              </w:rPr>
            </w:pPr>
            <w:r>
              <w:rPr>
                <w:rFonts w:eastAsia="Times New Roman"/>
                <w:sz w:val="16"/>
                <w:szCs w:val="16"/>
              </w:rPr>
              <w:t>5,678,268</w:t>
            </w:r>
          </w:p>
        </w:tc>
        <w:tc>
          <w:tcPr>
            <w:tcW w:w="400" w:type="pct"/>
            <w:shd w:val="clear" w:color="auto" w:fill="FFFFFF"/>
            <w:vAlign w:val="bottom"/>
            <w:hideMark/>
          </w:tcPr>
          <w:p w14:paraId="4FC0CADE" w14:textId="77777777" w:rsidR="00000000" w:rsidRDefault="0053651E">
            <w:pPr>
              <w:jc w:val="right"/>
              <w:rPr>
                <w:rFonts w:eastAsia="Times New Roman"/>
                <w:sz w:val="16"/>
                <w:szCs w:val="16"/>
              </w:rPr>
            </w:pPr>
            <w:r>
              <w:rPr>
                <w:rFonts w:eastAsia="Times New Roman"/>
                <w:sz w:val="16"/>
                <w:szCs w:val="16"/>
              </w:rPr>
              <w:t>133,306</w:t>
            </w:r>
          </w:p>
        </w:tc>
        <w:tc>
          <w:tcPr>
            <w:tcW w:w="50" w:type="pct"/>
            <w:shd w:val="clear" w:color="auto" w:fill="FFFFFF"/>
            <w:vAlign w:val="bottom"/>
            <w:hideMark/>
          </w:tcPr>
          <w:p w14:paraId="32337C4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C341452" w14:textId="77777777" w:rsidR="00000000" w:rsidRDefault="0053651E">
            <w:pPr>
              <w:jc w:val="right"/>
              <w:rPr>
                <w:rFonts w:eastAsia="Times New Roman"/>
                <w:sz w:val="16"/>
                <w:szCs w:val="16"/>
              </w:rPr>
            </w:pPr>
            <w:r>
              <w:rPr>
                <w:rFonts w:eastAsia="Times New Roman"/>
                <w:sz w:val="16"/>
                <w:szCs w:val="16"/>
              </w:rPr>
              <w:t>5,544,962</w:t>
            </w:r>
          </w:p>
        </w:tc>
        <w:tc>
          <w:tcPr>
            <w:tcW w:w="50" w:type="pct"/>
            <w:shd w:val="clear" w:color="auto" w:fill="FFFFFF"/>
            <w:vAlign w:val="bottom"/>
            <w:hideMark/>
          </w:tcPr>
          <w:p w14:paraId="74FC8E2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7E5DAC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8064307" w14:textId="77777777" w:rsidR="00000000" w:rsidRDefault="0053651E">
            <w:pPr>
              <w:pStyle w:val="a3"/>
              <w:spacing w:before="0" w:beforeAutospacing="0" w:after="0" w:afterAutospacing="0"/>
              <w:jc w:val="center"/>
              <w:rPr>
                <w:sz w:val="16"/>
                <w:szCs w:val="16"/>
              </w:rPr>
            </w:pPr>
            <w:r>
              <w:rPr>
                <w:rStyle w:val="a6"/>
                <w:i w:val="0"/>
                <w:iCs w:val="0"/>
                <w:sz w:val="16"/>
                <w:szCs w:val="16"/>
              </w:rPr>
              <w:t>2019(A)</w:t>
            </w:r>
          </w:p>
        </w:tc>
      </w:tr>
      <w:tr w:rsidR="00000000" w14:paraId="20E7B2BE" w14:textId="77777777">
        <w:trPr>
          <w:tblCellSpacing w:w="0" w:type="dxa"/>
        </w:trPr>
        <w:tc>
          <w:tcPr>
            <w:tcW w:w="50" w:type="pct"/>
            <w:shd w:val="clear" w:color="auto" w:fill="CCEEFF"/>
            <w:vAlign w:val="bottom"/>
            <w:hideMark/>
          </w:tcPr>
          <w:p w14:paraId="4D39D5E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ECF9E8A" w14:textId="77777777" w:rsidR="00000000" w:rsidRDefault="0053651E">
            <w:pPr>
              <w:pStyle w:val="a3"/>
              <w:spacing w:before="0" w:beforeAutospacing="0" w:after="0" w:afterAutospacing="0"/>
              <w:rPr>
                <w:sz w:val="16"/>
                <w:szCs w:val="16"/>
              </w:rPr>
            </w:pPr>
            <w:r>
              <w:rPr>
                <w:sz w:val="16"/>
                <w:szCs w:val="16"/>
              </w:rPr>
              <w:t>COLLEGE PARK SHOPPING CENTER</w:t>
            </w:r>
          </w:p>
        </w:tc>
        <w:tc>
          <w:tcPr>
            <w:tcW w:w="150" w:type="pct"/>
            <w:shd w:val="clear" w:color="auto" w:fill="CCEEFF"/>
            <w:vAlign w:val="bottom"/>
            <w:hideMark/>
          </w:tcPr>
          <w:p w14:paraId="3E01E0A3"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69139226" w14:textId="77777777" w:rsidR="00000000" w:rsidRDefault="0053651E">
            <w:pPr>
              <w:jc w:val="right"/>
              <w:rPr>
                <w:rFonts w:eastAsia="Times New Roman"/>
                <w:sz w:val="16"/>
                <w:szCs w:val="16"/>
              </w:rPr>
            </w:pPr>
            <w:r>
              <w:rPr>
                <w:rFonts w:eastAsia="Times New Roman"/>
                <w:sz w:val="16"/>
                <w:szCs w:val="16"/>
              </w:rPr>
              <w:t>3,276,951</w:t>
            </w:r>
          </w:p>
        </w:tc>
        <w:tc>
          <w:tcPr>
            <w:tcW w:w="550" w:type="pct"/>
            <w:shd w:val="clear" w:color="auto" w:fill="CCEEFF"/>
            <w:vAlign w:val="bottom"/>
            <w:hideMark/>
          </w:tcPr>
          <w:p w14:paraId="2EDA99D7" w14:textId="77777777" w:rsidR="00000000" w:rsidRDefault="0053651E">
            <w:pPr>
              <w:jc w:val="right"/>
              <w:rPr>
                <w:rFonts w:eastAsia="Times New Roman"/>
                <w:sz w:val="16"/>
                <w:szCs w:val="16"/>
              </w:rPr>
            </w:pPr>
            <w:r>
              <w:rPr>
                <w:rFonts w:eastAsia="Times New Roman"/>
                <w:sz w:val="16"/>
                <w:szCs w:val="16"/>
              </w:rPr>
              <w:t>7,741,323</w:t>
            </w:r>
          </w:p>
        </w:tc>
        <w:tc>
          <w:tcPr>
            <w:tcW w:w="350" w:type="pct"/>
            <w:shd w:val="clear" w:color="auto" w:fill="CCEEFF"/>
            <w:vAlign w:val="bottom"/>
            <w:hideMark/>
          </w:tcPr>
          <w:p w14:paraId="134CA560" w14:textId="77777777" w:rsidR="00000000" w:rsidRDefault="0053651E">
            <w:pPr>
              <w:jc w:val="right"/>
              <w:rPr>
                <w:rFonts w:eastAsia="Times New Roman"/>
                <w:sz w:val="16"/>
                <w:szCs w:val="16"/>
              </w:rPr>
            </w:pPr>
            <w:r>
              <w:rPr>
                <w:rFonts w:eastAsia="Times New Roman"/>
                <w:sz w:val="16"/>
                <w:szCs w:val="16"/>
              </w:rPr>
              <w:t>1,275,173</w:t>
            </w:r>
          </w:p>
        </w:tc>
        <w:tc>
          <w:tcPr>
            <w:tcW w:w="300" w:type="pct"/>
            <w:shd w:val="clear" w:color="auto" w:fill="CCEEFF"/>
            <w:vAlign w:val="bottom"/>
            <w:hideMark/>
          </w:tcPr>
          <w:p w14:paraId="7E71064C" w14:textId="77777777" w:rsidR="00000000" w:rsidRDefault="0053651E">
            <w:pPr>
              <w:jc w:val="right"/>
              <w:rPr>
                <w:rFonts w:eastAsia="Times New Roman"/>
                <w:sz w:val="16"/>
                <w:szCs w:val="16"/>
              </w:rPr>
            </w:pPr>
            <w:r>
              <w:rPr>
                <w:rFonts w:eastAsia="Times New Roman"/>
                <w:sz w:val="16"/>
                <w:szCs w:val="16"/>
              </w:rPr>
              <w:t>3,276,951</w:t>
            </w:r>
          </w:p>
        </w:tc>
        <w:tc>
          <w:tcPr>
            <w:tcW w:w="450" w:type="pct"/>
            <w:shd w:val="clear" w:color="auto" w:fill="CCEEFF"/>
            <w:vAlign w:val="bottom"/>
            <w:hideMark/>
          </w:tcPr>
          <w:p w14:paraId="510B9B2D" w14:textId="77777777" w:rsidR="00000000" w:rsidRDefault="0053651E">
            <w:pPr>
              <w:jc w:val="right"/>
              <w:rPr>
                <w:rFonts w:eastAsia="Times New Roman"/>
                <w:sz w:val="16"/>
                <w:szCs w:val="16"/>
              </w:rPr>
            </w:pPr>
            <w:r>
              <w:rPr>
                <w:rFonts w:eastAsia="Times New Roman"/>
                <w:sz w:val="16"/>
                <w:szCs w:val="16"/>
              </w:rPr>
              <w:t>9,016,496</w:t>
            </w:r>
          </w:p>
        </w:tc>
        <w:tc>
          <w:tcPr>
            <w:tcW w:w="350" w:type="pct"/>
            <w:shd w:val="clear" w:color="auto" w:fill="CCEEFF"/>
            <w:vAlign w:val="bottom"/>
            <w:hideMark/>
          </w:tcPr>
          <w:p w14:paraId="454CFA12" w14:textId="77777777" w:rsidR="00000000" w:rsidRDefault="0053651E">
            <w:pPr>
              <w:jc w:val="right"/>
              <w:rPr>
                <w:rFonts w:eastAsia="Times New Roman"/>
                <w:sz w:val="16"/>
                <w:szCs w:val="16"/>
              </w:rPr>
            </w:pPr>
            <w:r>
              <w:rPr>
                <w:rFonts w:eastAsia="Times New Roman"/>
                <w:sz w:val="16"/>
                <w:szCs w:val="16"/>
              </w:rPr>
              <w:t>12,293,447</w:t>
            </w:r>
          </w:p>
        </w:tc>
        <w:tc>
          <w:tcPr>
            <w:tcW w:w="400" w:type="pct"/>
            <w:shd w:val="clear" w:color="auto" w:fill="CCEEFF"/>
            <w:vAlign w:val="bottom"/>
            <w:hideMark/>
          </w:tcPr>
          <w:p w14:paraId="35224D85" w14:textId="77777777" w:rsidR="00000000" w:rsidRDefault="0053651E">
            <w:pPr>
              <w:jc w:val="right"/>
              <w:rPr>
                <w:rFonts w:eastAsia="Times New Roman"/>
                <w:sz w:val="16"/>
                <w:szCs w:val="16"/>
              </w:rPr>
            </w:pPr>
            <w:r>
              <w:rPr>
                <w:rFonts w:eastAsia="Times New Roman"/>
                <w:sz w:val="16"/>
                <w:szCs w:val="16"/>
              </w:rPr>
              <w:t>2,862,725</w:t>
            </w:r>
          </w:p>
        </w:tc>
        <w:tc>
          <w:tcPr>
            <w:tcW w:w="50" w:type="pct"/>
            <w:shd w:val="clear" w:color="auto" w:fill="CCEEFF"/>
            <w:vAlign w:val="bottom"/>
            <w:hideMark/>
          </w:tcPr>
          <w:p w14:paraId="0004BE0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0FA32A2" w14:textId="77777777" w:rsidR="00000000" w:rsidRDefault="0053651E">
            <w:pPr>
              <w:jc w:val="right"/>
              <w:rPr>
                <w:rFonts w:eastAsia="Times New Roman"/>
                <w:sz w:val="16"/>
                <w:szCs w:val="16"/>
              </w:rPr>
            </w:pPr>
            <w:r>
              <w:rPr>
                <w:rFonts w:eastAsia="Times New Roman"/>
                <w:sz w:val="16"/>
                <w:szCs w:val="16"/>
              </w:rPr>
              <w:t>9,430,722</w:t>
            </w:r>
          </w:p>
        </w:tc>
        <w:tc>
          <w:tcPr>
            <w:tcW w:w="50" w:type="pct"/>
            <w:shd w:val="clear" w:color="auto" w:fill="CCEEFF"/>
            <w:vAlign w:val="bottom"/>
            <w:hideMark/>
          </w:tcPr>
          <w:p w14:paraId="29755DE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69F26B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29D8AEE"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67F6A7FD" w14:textId="77777777">
        <w:trPr>
          <w:tblCellSpacing w:w="0" w:type="dxa"/>
        </w:trPr>
        <w:tc>
          <w:tcPr>
            <w:tcW w:w="50" w:type="pct"/>
            <w:shd w:val="clear" w:color="auto" w:fill="FFFFFF"/>
            <w:vAlign w:val="bottom"/>
            <w:hideMark/>
          </w:tcPr>
          <w:p w14:paraId="73C0D44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79B820D" w14:textId="77777777" w:rsidR="00000000" w:rsidRDefault="0053651E">
            <w:pPr>
              <w:pStyle w:val="a3"/>
              <w:spacing w:before="0" w:beforeAutospacing="0" w:after="0" w:afterAutospacing="0"/>
              <w:rPr>
                <w:sz w:val="16"/>
                <w:szCs w:val="16"/>
              </w:rPr>
            </w:pPr>
            <w:r>
              <w:rPr>
                <w:sz w:val="16"/>
                <w:szCs w:val="16"/>
              </w:rPr>
              <w:t>COSTCO PLAZA - 541</w:t>
            </w:r>
          </w:p>
        </w:tc>
        <w:tc>
          <w:tcPr>
            <w:tcW w:w="150" w:type="pct"/>
            <w:shd w:val="clear" w:color="auto" w:fill="FFFFFF"/>
            <w:vAlign w:val="bottom"/>
            <w:hideMark/>
          </w:tcPr>
          <w:p w14:paraId="33D90EA8"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29140605" w14:textId="77777777" w:rsidR="00000000" w:rsidRDefault="0053651E">
            <w:pPr>
              <w:jc w:val="right"/>
              <w:rPr>
                <w:rFonts w:eastAsia="Times New Roman"/>
                <w:sz w:val="16"/>
                <w:szCs w:val="16"/>
              </w:rPr>
            </w:pPr>
            <w:r>
              <w:rPr>
                <w:rFonts w:eastAsia="Times New Roman"/>
                <w:sz w:val="16"/>
                <w:szCs w:val="16"/>
              </w:rPr>
              <w:t>4,995,639</w:t>
            </w:r>
          </w:p>
        </w:tc>
        <w:tc>
          <w:tcPr>
            <w:tcW w:w="550" w:type="pct"/>
            <w:shd w:val="clear" w:color="auto" w:fill="FFFFFF"/>
            <w:vAlign w:val="bottom"/>
            <w:hideMark/>
          </w:tcPr>
          <w:p w14:paraId="0037B022" w14:textId="77777777" w:rsidR="00000000" w:rsidRDefault="0053651E">
            <w:pPr>
              <w:jc w:val="right"/>
              <w:rPr>
                <w:rFonts w:eastAsia="Times New Roman"/>
                <w:sz w:val="16"/>
                <w:szCs w:val="16"/>
              </w:rPr>
            </w:pPr>
            <w:r>
              <w:rPr>
                <w:rFonts w:eastAsia="Times New Roman"/>
                <w:sz w:val="16"/>
                <w:szCs w:val="16"/>
              </w:rPr>
              <w:t>19,982,557</w:t>
            </w:r>
          </w:p>
        </w:tc>
        <w:tc>
          <w:tcPr>
            <w:tcW w:w="350" w:type="pct"/>
            <w:shd w:val="clear" w:color="auto" w:fill="FFFFFF"/>
            <w:vAlign w:val="bottom"/>
            <w:hideMark/>
          </w:tcPr>
          <w:p w14:paraId="736CB24F" w14:textId="77777777" w:rsidR="00000000" w:rsidRDefault="0053651E">
            <w:pPr>
              <w:jc w:val="right"/>
              <w:rPr>
                <w:rFonts w:eastAsia="Times New Roman"/>
                <w:sz w:val="16"/>
                <w:szCs w:val="16"/>
              </w:rPr>
            </w:pPr>
            <w:r>
              <w:rPr>
                <w:rFonts w:eastAsia="Times New Roman"/>
                <w:sz w:val="16"/>
                <w:szCs w:val="16"/>
              </w:rPr>
              <w:t>569,752</w:t>
            </w:r>
          </w:p>
        </w:tc>
        <w:tc>
          <w:tcPr>
            <w:tcW w:w="300" w:type="pct"/>
            <w:shd w:val="clear" w:color="auto" w:fill="FFFFFF"/>
            <w:vAlign w:val="bottom"/>
            <w:hideMark/>
          </w:tcPr>
          <w:p w14:paraId="2C01761D" w14:textId="77777777" w:rsidR="00000000" w:rsidRDefault="0053651E">
            <w:pPr>
              <w:jc w:val="right"/>
              <w:rPr>
                <w:rFonts w:eastAsia="Times New Roman"/>
                <w:sz w:val="16"/>
                <w:szCs w:val="16"/>
              </w:rPr>
            </w:pPr>
            <w:r>
              <w:rPr>
                <w:rFonts w:eastAsia="Times New Roman"/>
                <w:sz w:val="16"/>
                <w:szCs w:val="16"/>
              </w:rPr>
              <w:t>4,995,639</w:t>
            </w:r>
          </w:p>
        </w:tc>
        <w:tc>
          <w:tcPr>
            <w:tcW w:w="450" w:type="pct"/>
            <w:shd w:val="clear" w:color="auto" w:fill="FFFFFF"/>
            <w:vAlign w:val="bottom"/>
            <w:hideMark/>
          </w:tcPr>
          <w:p w14:paraId="4F1D10AC" w14:textId="77777777" w:rsidR="00000000" w:rsidRDefault="0053651E">
            <w:pPr>
              <w:jc w:val="right"/>
              <w:rPr>
                <w:rFonts w:eastAsia="Times New Roman"/>
                <w:sz w:val="16"/>
                <w:szCs w:val="16"/>
              </w:rPr>
            </w:pPr>
            <w:r>
              <w:rPr>
                <w:rFonts w:eastAsia="Times New Roman"/>
                <w:sz w:val="16"/>
                <w:szCs w:val="16"/>
              </w:rPr>
              <w:t>20,552,309</w:t>
            </w:r>
          </w:p>
        </w:tc>
        <w:tc>
          <w:tcPr>
            <w:tcW w:w="350" w:type="pct"/>
            <w:shd w:val="clear" w:color="auto" w:fill="FFFFFF"/>
            <w:vAlign w:val="bottom"/>
            <w:hideMark/>
          </w:tcPr>
          <w:p w14:paraId="29158408" w14:textId="77777777" w:rsidR="00000000" w:rsidRDefault="0053651E">
            <w:pPr>
              <w:jc w:val="right"/>
              <w:rPr>
                <w:rFonts w:eastAsia="Times New Roman"/>
                <w:sz w:val="16"/>
                <w:szCs w:val="16"/>
              </w:rPr>
            </w:pPr>
            <w:r>
              <w:rPr>
                <w:rFonts w:eastAsia="Times New Roman"/>
                <w:sz w:val="16"/>
                <w:szCs w:val="16"/>
              </w:rPr>
              <w:t>25,547,948</w:t>
            </w:r>
          </w:p>
        </w:tc>
        <w:tc>
          <w:tcPr>
            <w:tcW w:w="400" w:type="pct"/>
            <w:shd w:val="clear" w:color="auto" w:fill="FFFFFF"/>
            <w:vAlign w:val="bottom"/>
            <w:hideMark/>
          </w:tcPr>
          <w:p w14:paraId="3976EFD0" w14:textId="77777777" w:rsidR="00000000" w:rsidRDefault="0053651E">
            <w:pPr>
              <w:jc w:val="right"/>
              <w:rPr>
                <w:rFonts w:eastAsia="Times New Roman"/>
                <w:sz w:val="16"/>
                <w:szCs w:val="16"/>
              </w:rPr>
            </w:pPr>
            <w:r>
              <w:rPr>
                <w:rFonts w:eastAsia="Times New Roman"/>
                <w:sz w:val="16"/>
                <w:szCs w:val="16"/>
              </w:rPr>
              <w:t>11,562,681</w:t>
            </w:r>
          </w:p>
        </w:tc>
        <w:tc>
          <w:tcPr>
            <w:tcW w:w="50" w:type="pct"/>
            <w:shd w:val="clear" w:color="auto" w:fill="FFFFFF"/>
            <w:vAlign w:val="bottom"/>
            <w:hideMark/>
          </w:tcPr>
          <w:p w14:paraId="22DACE4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F28AA8D" w14:textId="77777777" w:rsidR="00000000" w:rsidRDefault="0053651E">
            <w:pPr>
              <w:jc w:val="right"/>
              <w:rPr>
                <w:rFonts w:eastAsia="Times New Roman"/>
                <w:sz w:val="16"/>
                <w:szCs w:val="16"/>
              </w:rPr>
            </w:pPr>
            <w:r>
              <w:rPr>
                <w:rFonts w:eastAsia="Times New Roman"/>
                <w:sz w:val="16"/>
                <w:szCs w:val="16"/>
              </w:rPr>
              <w:t>13,985,267</w:t>
            </w:r>
          </w:p>
        </w:tc>
        <w:tc>
          <w:tcPr>
            <w:tcW w:w="50" w:type="pct"/>
            <w:shd w:val="clear" w:color="auto" w:fill="FFFFFF"/>
            <w:vAlign w:val="bottom"/>
            <w:hideMark/>
          </w:tcPr>
          <w:p w14:paraId="1623A98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12AA23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B9ED8FA"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383F2011" w14:textId="77777777">
        <w:trPr>
          <w:tblCellSpacing w:w="0" w:type="dxa"/>
        </w:trPr>
        <w:tc>
          <w:tcPr>
            <w:tcW w:w="50" w:type="pct"/>
            <w:shd w:val="clear" w:color="auto" w:fill="CCEEFF"/>
            <w:vAlign w:val="bottom"/>
            <w:hideMark/>
          </w:tcPr>
          <w:p w14:paraId="7C97857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BE7863C" w14:textId="77777777" w:rsidR="00000000" w:rsidRDefault="0053651E">
            <w:pPr>
              <w:pStyle w:val="a3"/>
              <w:spacing w:before="0" w:beforeAutospacing="0" w:after="0" w:afterAutospacing="0"/>
              <w:rPr>
                <w:sz w:val="16"/>
                <w:szCs w:val="16"/>
              </w:rPr>
            </w:pPr>
            <w:r>
              <w:rPr>
                <w:sz w:val="16"/>
                <w:szCs w:val="16"/>
              </w:rPr>
              <w:t>BROOKHURST CENTER</w:t>
            </w:r>
          </w:p>
        </w:tc>
        <w:tc>
          <w:tcPr>
            <w:tcW w:w="150" w:type="pct"/>
            <w:shd w:val="clear" w:color="auto" w:fill="CCEEFF"/>
            <w:vAlign w:val="bottom"/>
            <w:hideMark/>
          </w:tcPr>
          <w:p w14:paraId="5C159691"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433E32A9" w14:textId="77777777" w:rsidR="00000000" w:rsidRDefault="0053651E">
            <w:pPr>
              <w:jc w:val="right"/>
              <w:rPr>
                <w:rFonts w:eastAsia="Times New Roman"/>
                <w:sz w:val="16"/>
                <w:szCs w:val="16"/>
              </w:rPr>
            </w:pPr>
            <w:r>
              <w:rPr>
                <w:rFonts w:eastAsia="Times New Roman"/>
                <w:sz w:val="16"/>
                <w:szCs w:val="16"/>
              </w:rPr>
              <w:t>10,492,714</w:t>
            </w:r>
          </w:p>
        </w:tc>
        <w:tc>
          <w:tcPr>
            <w:tcW w:w="550" w:type="pct"/>
            <w:shd w:val="clear" w:color="auto" w:fill="CCEEFF"/>
            <w:vAlign w:val="bottom"/>
            <w:hideMark/>
          </w:tcPr>
          <w:p w14:paraId="442A4C25" w14:textId="77777777" w:rsidR="00000000" w:rsidRDefault="0053651E">
            <w:pPr>
              <w:jc w:val="right"/>
              <w:rPr>
                <w:rFonts w:eastAsia="Times New Roman"/>
                <w:sz w:val="16"/>
                <w:szCs w:val="16"/>
              </w:rPr>
            </w:pPr>
            <w:r>
              <w:rPr>
                <w:rFonts w:eastAsia="Times New Roman"/>
                <w:sz w:val="16"/>
                <w:szCs w:val="16"/>
              </w:rPr>
              <w:t>31,357,512</w:t>
            </w:r>
          </w:p>
        </w:tc>
        <w:tc>
          <w:tcPr>
            <w:tcW w:w="350" w:type="pct"/>
            <w:shd w:val="clear" w:color="auto" w:fill="CCEEFF"/>
            <w:vAlign w:val="bottom"/>
            <w:hideMark/>
          </w:tcPr>
          <w:p w14:paraId="25B7FD9C" w14:textId="77777777" w:rsidR="00000000" w:rsidRDefault="0053651E">
            <w:pPr>
              <w:jc w:val="right"/>
              <w:rPr>
                <w:rFonts w:eastAsia="Times New Roman"/>
                <w:sz w:val="16"/>
                <w:szCs w:val="16"/>
              </w:rPr>
            </w:pPr>
            <w:r>
              <w:rPr>
                <w:rFonts w:eastAsia="Times New Roman"/>
                <w:sz w:val="16"/>
                <w:szCs w:val="16"/>
              </w:rPr>
              <w:t>3,524,807</w:t>
            </w:r>
          </w:p>
        </w:tc>
        <w:tc>
          <w:tcPr>
            <w:tcW w:w="300" w:type="pct"/>
            <w:shd w:val="clear" w:color="auto" w:fill="CCEEFF"/>
            <w:vAlign w:val="bottom"/>
            <w:hideMark/>
          </w:tcPr>
          <w:p w14:paraId="1E891F2B" w14:textId="77777777" w:rsidR="00000000" w:rsidRDefault="0053651E">
            <w:pPr>
              <w:jc w:val="right"/>
              <w:rPr>
                <w:rFonts w:eastAsia="Times New Roman"/>
                <w:sz w:val="16"/>
                <w:szCs w:val="16"/>
              </w:rPr>
            </w:pPr>
            <w:r>
              <w:rPr>
                <w:rFonts w:eastAsia="Times New Roman"/>
                <w:sz w:val="16"/>
                <w:szCs w:val="16"/>
              </w:rPr>
              <w:t>22,299,852</w:t>
            </w:r>
          </w:p>
        </w:tc>
        <w:tc>
          <w:tcPr>
            <w:tcW w:w="450" w:type="pct"/>
            <w:shd w:val="clear" w:color="auto" w:fill="CCEEFF"/>
            <w:vAlign w:val="bottom"/>
            <w:hideMark/>
          </w:tcPr>
          <w:p w14:paraId="0D7D71C4" w14:textId="77777777" w:rsidR="00000000" w:rsidRDefault="0053651E">
            <w:pPr>
              <w:jc w:val="right"/>
              <w:rPr>
                <w:rFonts w:eastAsia="Times New Roman"/>
                <w:sz w:val="16"/>
                <w:szCs w:val="16"/>
              </w:rPr>
            </w:pPr>
            <w:r>
              <w:rPr>
                <w:rFonts w:eastAsia="Times New Roman"/>
                <w:sz w:val="16"/>
                <w:szCs w:val="16"/>
              </w:rPr>
              <w:t>23,075,181</w:t>
            </w:r>
          </w:p>
        </w:tc>
        <w:tc>
          <w:tcPr>
            <w:tcW w:w="350" w:type="pct"/>
            <w:shd w:val="clear" w:color="auto" w:fill="CCEEFF"/>
            <w:vAlign w:val="bottom"/>
            <w:hideMark/>
          </w:tcPr>
          <w:p w14:paraId="20822813" w14:textId="77777777" w:rsidR="00000000" w:rsidRDefault="0053651E">
            <w:pPr>
              <w:jc w:val="right"/>
              <w:rPr>
                <w:rFonts w:eastAsia="Times New Roman"/>
                <w:sz w:val="16"/>
                <w:szCs w:val="16"/>
              </w:rPr>
            </w:pPr>
            <w:r>
              <w:rPr>
                <w:rFonts w:eastAsia="Times New Roman"/>
                <w:sz w:val="16"/>
                <w:szCs w:val="16"/>
              </w:rPr>
              <w:t>45,375,033</w:t>
            </w:r>
          </w:p>
        </w:tc>
        <w:tc>
          <w:tcPr>
            <w:tcW w:w="400" w:type="pct"/>
            <w:shd w:val="clear" w:color="auto" w:fill="CCEEFF"/>
            <w:vAlign w:val="bottom"/>
            <w:hideMark/>
          </w:tcPr>
          <w:p w14:paraId="3C481966" w14:textId="77777777" w:rsidR="00000000" w:rsidRDefault="0053651E">
            <w:pPr>
              <w:jc w:val="right"/>
              <w:rPr>
                <w:rFonts w:eastAsia="Times New Roman"/>
                <w:sz w:val="16"/>
                <w:szCs w:val="16"/>
              </w:rPr>
            </w:pPr>
            <w:r>
              <w:rPr>
                <w:rFonts w:eastAsia="Times New Roman"/>
                <w:sz w:val="16"/>
                <w:szCs w:val="16"/>
              </w:rPr>
              <w:t>3,894,609</w:t>
            </w:r>
          </w:p>
        </w:tc>
        <w:tc>
          <w:tcPr>
            <w:tcW w:w="50" w:type="pct"/>
            <w:shd w:val="clear" w:color="auto" w:fill="CCEEFF"/>
            <w:vAlign w:val="bottom"/>
            <w:hideMark/>
          </w:tcPr>
          <w:p w14:paraId="3503363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744E0B5" w14:textId="77777777" w:rsidR="00000000" w:rsidRDefault="0053651E">
            <w:pPr>
              <w:jc w:val="right"/>
              <w:rPr>
                <w:rFonts w:eastAsia="Times New Roman"/>
                <w:sz w:val="16"/>
                <w:szCs w:val="16"/>
              </w:rPr>
            </w:pPr>
            <w:r>
              <w:rPr>
                <w:rFonts w:eastAsia="Times New Roman"/>
                <w:sz w:val="16"/>
                <w:szCs w:val="16"/>
              </w:rPr>
              <w:t>41,480,424</w:t>
            </w:r>
          </w:p>
        </w:tc>
        <w:tc>
          <w:tcPr>
            <w:tcW w:w="50" w:type="pct"/>
            <w:shd w:val="clear" w:color="auto" w:fill="CCEEFF"/>
            <w:vAlign w:val="bottom"/>
            <w:hideMark/>
          </w:tcPr>
          <w:p w14:paraId="086D671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818569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8BF918A"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6C5892CC" w14:textId="77777777">
        <w:trPr>
          <w:tblCellSpacing w:w="0" w:type="dxa"/>
        </w:trPr>
        <w:tc>
          <w:tcPr>
            <w:tcW w:w="50" w:type="pct"/>
            <w:shd w:val="clear" w:color="auto" w:fill="FFFFFF"/>
            <w:vAlign w:val="bottom"/>
            <w:hideMark/>
          </w:tcPr>
          <w:p w14:paraId="68BE0A3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D9A91E2" w14:textId="77777777" w:rsidR="00000000" w:rsidRDefault="0053651E">
            <w:pPr>
              <w:pStyle w:val="a3"/>
              <w:spacing w:before="0" w:beforeAutospacing="0" w:after="0" w:afterAutospacing="0"/>
              <w:rPr>
                <w:sz w:val="16"/>
                <w:szCs w:val="16"/>
              </w:rPr>
            </w:pPr>
            <w:r>
              <w:rPr>
                <w:sz w:val="16"/>
                <w:szCs w:val="16"/>
              </w:rPr>
              <w:t>LAKEWOOD PLAZA</w:t>
            </w:r>
          </w:p>
        </w:tc>
        <w:tc>
          <w:tcPr>
            <w:tcW w:w="150" w:type="pct"/>
            <w:shd w:val="clear" w:color="auto" w:fill="FFFFFF"/>
            <w:vAlign w:val="bottom"/>
            <w:hideMark/>
          </w:tcPr>
          <w:p w14:paraId="0DDB63E5"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34940509" w14:textId="77777777" w:rsidR="00000000" w:rsidRDefault="0053651E">
            <w:pPr>
              <w:jc w:val="right"/>
              <w:rPr>
                <w:rFonts w:eastAsia="Times New Roman"/>
                <w:sz w:val="16"/>
                <w:szCs w:val="16"/>
              </w:rPr>
            </w:pPr>
            <w:r>
              <w:rPr>
                <w:rFonts w:eastAsia="Times New Roman"/>
                <w:sz w:val="16"/>
                <w:szCs w:val="16"/>
              </w:rPr>
              <w:t>1,294,176</w:t>
            </w:r>
          </w:p>
        </w:tc>
        <w:tc>
          <w:tcPr>
            <w:tcW w:w="550" w:type="pct"/>
            <w:shd w:val="clear" w:color="auto" w:fill="FFFFFF"/>
            <w:vAlign w:val="bottom"/>
            <w:hideMark/>
          </w:tcPr>
          <w:p w14:paraId="2D91F0A1" w14:textId="77777777" w:rsidR="00000000" w:rsidRDefault="0053651E">
            <w:pPr>
              <w:jc w:val="right"/>
              <w:rPr>
                <w:rFonts w:eastAsia="Times New Roman"/>
                <w:sz w:val="16"/>
                <w:szCs w:val="16"/>
              </w:rPr>
            </w:pPr>
            <w:r>
              <w:rPr>
                <w:rFonts w:eastAsia="Times New Roman"/>
                <w:sz w:val="16"/>
                <w:szCs w:val="16"/>
              </w:rPr>
              <w:t>3,669,266</w:t>
            </w:r>
          </w:p>
        </w:tc>
        <w:tc>
          <w:tcPr>
            <w:tcW w:w="350" w:type="pct"/>
            <w:shd w:val="clear" w:color="auto" w:fill="FFFFFF"/>
            <w:vAlign w:val="bottom"/>
            <w:hideMark/>
          </w:tcPr>
          <w:p w14:paraId="52C91978" w14:textId="77777777" w:rsidR="00000000" w:rsidRDefault="0053651E">
            <w:pPr>
              <w:jc w:val="right"/>
              <w:rPr>
                <w:rFonts w:eastAsia="Times New Roman"/>
                <w:sz w:val="16"/>
                <w:szCs w:val="16"/>
              </w:rPr>
            </w:pPr>
            <w:r>
              <w:rPr>
                <w:rFonts w:eastAsia="Times New Roman"/>
                <w:sz w:val="16"/>
                <w:szCs w:val="16"/>
              </w:rPr>
              <w:t>(3,445,611)</w:t>
            </w:r>
          </w:p>
        </w:tc>
        <w:tc>
          <w:tcPr>
            <w:tcW w:w="300" w:type="pct"/>
            <w:shd w:val="clear" w:color="auto" w:fill="FFFFFF"/>
            <w:vAlign w:val="bottom"/>
            <w:hideMark/>
          </w:tcPr>
          <w:p w14:paraId="07E2E74A"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26CFBB6E" w14:textId="77777777" w:rsidR="00000000" w:rsidRDefault="0053651E">
            <w:pPr>
              <w:jc w:val="right"/>
              <w:rPr>
                <w:rFonts w:eastAsia="Times New Roman"/>
                <w:sz w:val="16"/>
                <w:szCs w:val="16"/>
              </w:rPr>
            </w:pPr>
            <w:r>
              <w:rPr>
                <w:rFonts w:eastAsia="Times New Roman"/>
                <w:sz w:val="16"/>
                <w:szCs w:val="16"/>
              </w:rPr>
              <w:t>1,517,831</w:t>
            </w:r>
          </w:p>
        </w:tc>
        <w:tc>
          <w:tcPr>
            <w:tcW w:w="350" w:type="pct"/>
            <w:shd w:val="clear" w:color="auto" w:fill="FFFFFF"/>
            <w:vAlign w:val="bottom"/>
            <w:hideMark/>
          </w:tcPr>
          <w:p w14:paraId="0A56319F" w14:textId="77777777" w:rsidR="00000000" w:rsidRDefault="0053651E">
            <w:pPr>
              <w:jc w:val="right"/>
              <w:rPr>
                <w:rFonts w:eastAsia="Times New Roman"/>
                <w:sz w:val="16"/>
                <w:szCs w:val="16"/>
              </w:rPr>
            </w:pPr>
            <w:r>
              <w:rPr>
                <w:rFonts w:eastAsia="Times New Roman"/>
                <w:sz w:val="16"/>
                <w:szCs w:val="16"/>
              </w:rPr>
              <w:t>1,517,831</w:t>
            </w:r>
          </w:p>
        </w:tc>
        <w:tc>
          <w:tcPr>
            <w:tcW w:w="400" w:type="pct"/>
            <w:shd w:val="clear" w:color="auto" w:fill="FFFFFF"/>
            <w:vAlign w:val="bottom"/>
            <w:hideMark/>
          </w:tcPr>
          <w:p w14:paraId="27BA5F41" w14:textId="77777777" w:rsidR="00000000" w:rsidRDefault="0053651E">
            <w:pPr>
              <w:jc w:val="right"/>
              <w:rPr>
                <w:rFonts w:eastAsia="Times New Roman"/>
                <w:sz w:val="16"/>
                <w:szCs w:val="16"/>
              </w:rPr>
            </w:pPr>
            <w:r>
              <w:rPr>
                <w:rFonts w:eastAsia="Times New Roman"/>
                <w:sz w:val="16"/>
                <w:szCs w:val="16"/>
              </w:rPr>
              <w:t>727,962</w:t>
            </w:r>
          </w:p>
        </w:tc>
        <w:tc>
          <w:tcPr>
            <w:tcW w:w="50" w:type="pct"/>
            <w:shd w:val="clear" w:color="auto" w:fill="FFFFFF"/>
            <w:vAlign w:val="bottom"/>
            <w:hideMark/>
          </w:tcPr>
          <w:p w14:paraId="33E506D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44387B1" w14:textId="77777777" w:rsidR="00000000" w:rsidRDefault="0053651E">
            <w:pPr>
              <w:jc w:val="right"/>
              <w:rPr>
                <w:rFonts w:eastAsia="Times New Roman"/>
                <w:sz w:val="16"/>
                <w:szCs w:val="16"/>
              </w:rPr>
            </w:pPr>
            <w:r>
              <w:rPr>
                <w:rFonts w:eastAsia="Times New Roman"/>
                <w:sz w:val="16"/>
                <w:szCs w:val="16"/>
              </w:rPr>
              <w:t>789,869</w:t>
            </w:r>
          </w:p>
        </w:tc>
        <w:tc>
          <w:tcPr>
            <w:tcW w:w="50" w:type="pct"/>
            <w:shd w:val="clear" w:color="auto" w:fill="FFFFFF"/>
            <w:vAlign w:val="bottom"/>
            <w:hideMark/>
          </w:tcPr>
          <w:p w14:paraId="5DB9969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3D34AD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BEA089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354EDE4" w14:textId="77777777">
        <w:trPr>
          <w:tblCellSpacing w:w="0" w:type="dxa"/>
        </w:trPr>
        <w:tc>
          <w:tcPr>
            <w:tcW w:w="50" w:type="pct"/>
            <w:shd w:val="clear" w:color="auto" w:fill="CCEEFF"/>
            <w:vAlign w:val="bottom"/>
            <w:hideMark/>
          </w:tcPr>
          <w:p w14:paraId="1D04855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17B0270" w14:textId="77777777" w:rsidR="00000000" w:rsidRDefault="0053651E">
            <w:pPr>
              <w:pStyle w:val="a3"/>
              <w:spacing w:before="0" w:beforeAutospacing="0" w:after="0" w:afterAutospacing="0"/>
              <w:rPr>
                <w:sz w:val="16"/>
                <w:szCs w:val="16"/>
              </w:rPr>
            </w:pPr>
            <w:r>
              <w:rPr>
                <w:sz w:val="16"/>
                <w:szCs w:val="16"/>
              </w:rPr>
              <w:t>MADISON PLAZA</w:t>
            </w:r>
          </w:p>
        </w:tc>
        <w:tc>
          <w:tcPr>
            <w:tcW w:w="150" w:type="pct"/>
            <w:shd w:val="clear" w:color="auto" w:fill="CCEEFF"/>
            <w:vAlign w:val="bottom"/>
            <w:hideMark/>
          </w:tcPr>
          <w:p w14:paraId="77195B40"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22CE9AEA" w14:textId="77777777" w:rsidR="00000000" w:rsidRDefault="0053651E">
            <w:pPr>
              <w:jc w:val="right"/>
              <w:rPr>
                <w:rFonts w:eastAsia="Times New Roman"/>
                <w:sz w:val="16"/>
                <w:szCs w:val="16"/>
              </w:rPr>
            </w:pPr>
            <w:r>
              <w:rPr>
                <w:rFonts w:eastAsia="Times New Roman"/>
                <w:sz w:val="16"/>
                <w:szCs w:val="16"/>
              </w:rPr>
              <w:t>5,874,396</w:t>
            </w:r>
          </w:p>
        </w:tc>
        <w:tc>
          <w:tcPr>
            <w:tcW w:w="550" w:type="pct"/>
            <w:shd w:val="clear" w:color="auto" w:fill="CCEEFF"/>
            <w:vAlign w:val="bottom"/>
            <w:hideMark/>
          </w:tcPr>
          <w:p w14:paraId="6B19D5CD" w14:textId="77777777" w:rsidR="00000000" w:rsidRDefault="0053651E">
            <w:pPr>
              <w:jc w:val="right"/>
              <w:rPr>
                <w:rFonts w:eastAsia="Times New Roman"/>
                <w:sz w:val="16"/>
                <w:szCs w:val="16"/>
              </w:rPr>
            </w:pPr>
            <w:r>
              <w:rPr>
                <w:rFonts w:eastAsia="Times New Roman"/>
                <w:sz w:val="16"/>
                <w:szCs w:val="16"/>
              </w:rPr>
              <w:t>23,476,190</w:t>
            </w:r>
          </w:p>
        </w:tc>
        <w:tc>
          <w:tcPr>
            <w:tcW w:w="350" w:type="pct"/>
            <w:shd w:val="clear" w:color="auto" w:fill="CCEEFF"/>
            <w:vAlign w:val="bottom"/>
            <w:hideMark/>
          </w:tcPr>
          <w:p w14:paraId="592C0EA9" w14:textId="77777777" w:rsidR="00000000" w:rsidRDefault="0053651E">
            <w:pPr>
              <w:jc w:val="right"/>
              <w:rPr>
                <w:rFonts w:eastAsia="Times New Roman"/>
                <w:sz w:val="16"/>
                <w:szCs w:val="16"/>
              </w:rPr>
            </w:pPr>
            <w:r>
              <w:rPr>
                <w:rFonts w:eastAsia="Times New Roman"/>
                <w:sz w:val="16"/>
                <w:szCs w:val="16"/>
              </w:rPr>
              <w:t>2,511,994</w:t>
            </w:r>
          </w:p>
        </w:tc>
        <w:tc>
          <w:tcPr>
            <w:tcW w:w="300" w:type="pct"/>
            <w:shd w:val="clear" w:color="auto" w:fill="CCEEFF"/>
            <w:vAlign w:val="bottom"/>
            <w:hideMark/>
          </w:tcPr>
          <w:p w14:paraId="0A3B4689" w14:textId="77777777" w:rsidR="00000000" w:rsidRDefault="0053651E">
            <w:pPr>
              <w:jc w:val="right"/>
              <w:rPr>
                <w:rFonts w:eastAsia="Times New Roman"/>
                <w:sz w:val="16"/>
                <w:szCs w:val="16"/>
              </w:rPr>
            </w:pPr>
            <w:r>
              <w:rPr>
                <w:rFonts w:eastAsia="Times New Roman"/>
                <w:sz w:val="16"/>
                <w:szCs w:val="16"/>
              </w:rPr>
              <w:t>5,874,396</w:t>
            </w:r>
          </w:p>
        </w:tc>
        <w:tc>
          <w:tcPr>
            <w:tcW w:w="450" w:type="pct"/>
            <w:shd w:val="clear" w:color="auto" w:fill="CCEEFF"/>
            <w:vAlign w:val="bottom"/>
            <w:hideMark/>
          </w:tcPr>
          <w:p w14:paraId="1F0DA0C8" w14:textId="77777777" w:rsidR="00000000" w:rsidRDefault="0053651E">
            <w:pPr>
              <w:jc w:val="right"/>
              <w:rPr>
                <w:rFonts w:eastAsia="Times New Roman"/>
                <w:sz w:val="16"/>
                <w:szCs w:val="16"/>
              </w:rPr>
            </w:pPr>
            <w:r>
              <w:rPr>
                <w:rFonts w:eastAsia="Times New Roman"/>
                <w:sz w:val="16"/>
                <w:szCs w:val="16"/>
              </w:rPr>
              <w:t>25,988,184</w:t>
            </w:r>
          </w:p>
        </w:tc>
        <w:tc>
          <w:tcPr>
            <w:tcW w:w="350" w:type="pct"/>
            <w:shd w:val="clear" w:color="auto" w:fill="CCEEFF"/>
            <w:vAlign w:val="bottom"/>
            <w:hideMark/>
          </w:tcPr>
          <w:p w14:paraId="68DDD62C" w14:textId="77777777" w:rsidR="00000000" w:rsidRDefault="0053651E">
            <w:pPr>
              <w:jc w:val="right"/>
              <w:rPr>
                <w:rFonts w:eastAsia="Times New Roman"/>
                <w:sz w:val="16"/>
                <w:szCs w:val="16"/>
              </w:rPr>
            </w:pPr>
            <w:r>
              <w:rPr>
                <w:rFonts w:eastAsia="Times New Roman"/>
                <w:sz w:val="16"/>
                <w:szCs w:val="16"/>
              </w:rPr>
              <w:t>31,862,580</w:t>
            </w:r>
          </w:p>
        </w:tc>
        <w:tc>
          <w:tcPr>
            <w:tcW w:w="400" w:type="pct"/>
            <w:shd w:val="clear" w:color="auto" w:fill="CCEEFF"/>
            <w:vAlign w:val="bottom"/>
            <w:hideMark/>
          </w:tcPr>
          <w:p w14:paraId="216E34B2" w14:textId="77777777" w:rsidR="00000000" w:rsidRDefault="0053651E">
            <w:pPr>
              <w:jc w:val="right"/>
              <w:rPr>
                <w:rFonts w:eastAsia="Times New Roman"/>
                <w:sz w:val="16"/>
                <w:szCs w:val="16"/>
              </w:rPr>
            </w:pPr>
            <w:r>
              <w:rPr>
                <w:rFonts w:eastAsia="Times New Roman"/>
                <w:sz w:val="16"/>
                <w:szCs w:val="16"/>
              </w:rPr>
              <w:t>13,026,896</w:t>
            </w:r>
          </w:p>
        </w:tc>
        <w:tc>
          <w:tcPr>
            <w:tcW w:w="50" w:type="pct"/>
            <w:shd w:val="clear" w:color="auto" w:fill="CCEEFF"/>
            <w:vAlign w:val="bottom"/>
            <w:hideMark/>
          </w:tcPr>
          <w:p w14:paraId="1BE85AE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BF4C36F" w14:textId="77777777" w:rsidR="00000000" w:rsidRDefault="0053651E">
            <w:pPr>
              <w:jc w:val="right"/>
              <w:rPr>
                <w:rFonts w:eastAsia="Times New Roman"/>
                <w:sz w:val="16"/>
                <w:szCs w:val="16"/>
              </w:rPr>
            </w:pPr>
            <w:r>
              <w:rPr>
                <w:rFonts w:eastAsia="Times New Roman"/>
                <w:sz w:val="16"/>
                <w:szCs w:val="16"/>
              </w:rPr>
              <w:t>18,835,684</w:t>
            </w:r>
          </w:p>
        </w:tc>
        <w:tc>
          <w:tcPr>
            <w:tcW w:w="50" w:type="pct"/>
            <w:shd w:val="clear" w:color="auto" w:fill="CCEEFF"/>
            <w:vAlign w:val="bottom"/>
            <w:hideMark/>
          </w:tcPr>
          <w:p w14:paraId="37FA5FE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B3DEDF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1DE2C44"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53A07160" w14:textId="77777777">
        <w:trPr>
          <w:tblCellSpacing w:w="0" w:type="dxa"/>
        </w:trPr>
        <w:tc>
          <w:tcPr>
            <w:tcW w:w="50" w:type="pct"/>
            <w:shd w:val="clear" w:color="auto" w:fill="FFFFFF"/>
            <w:vAlign w:val="bottom"/>
            <w:hideMark/>
          </w:tcPr>
          <w:p w14:paraId="5C371EB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9A238FB" w14:textId="77777777" w:rsidR="00000000" w:rsidRDefault="0053651E">
            <w:pPr>
              <w:pStyle w:val="a3"/>
              <w:spacing w:before="0" w:beforeAutospacing="0" w:after="0" w:afterAutospacing="0"/>
              <w:rPr>
                <w:sz w:val="16"/>
                <w:szCs w:val="16"/>
              </w:rPr>
            </w:pPr>
            <w:r>
              <w:rPr>
                <w:sz w:val="16"/>
                <w:szCs w:val="16"/>
              </w:rPr>
              <w:t>CORONA HILLS PLAZA</w:t>
            </w:r>
          </w:p>
        </w:tc>
        <w:tc>
          <w:tcPr>
            <w:tcW w:w="150" w:type="pct"/>
            <w:shd w:val="clear" w:color="auto" w:fill="FFFFFF"/>
            <w:vAlign w:val="bottom"/>
            <w:hideMark/>
          </w:tcPr>
          <w:p w14:paraId="6F70E19A"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588BCAC7" w14:textId="77777777" w:rsidR="00000000" w:rsidRDefault="0053651E">
            <w:pPr>
              <w:jc w:val="right"/>
              <w:rPr>
                <w:rFonts w:eastAsia="Times New Roman"/>
                <w:sz w:val="16"/>
                <w:szCs w:val="16"/>
              </w:rPr>
            </w:pPr>
            <w:r>
              <w:rPr>
                <w:rFonts w:eastAsia="Times New Roman"/>
                <w:sz w:val="16"/>
                <w:szCs w:val="16"/>
              </w:rPr>
              <w:t>13,360,965</w:t>
            </w:r>
          </w:p>
        </w:tc>
        <w:tc>
          <w:tcPr>
            <w:tcW w:w="550" w:type="pct"/>
            <w:shd w:val="clear" w:color="auto" w:fill="FFFFFF"/>
            <w:vAlign w:val="bottom"/>
            <w:hideMark/>
          </w:tcPr>
          <w:p w14:paraId="05EF1B9F" w14:textId="77777777" w:rsidR="00000000" w:rsidRDefault="0053651E">
            <w:pPr>
              <w:jc w:val="right"/>
              <w:rPr>
                <w:rFonts w:eastAsia="Times New Roman"/>
                <w:sz w:val="16"/>
                <w:szCs w:val="16"/>
              </w:rPr>
            </w:pPr>
            <w:r>
              <w:rPr>
                <w:rFonts w:eastAsia="Times New Roman"/>
                <w:sz w:val="16"/>
                <w:szCs w:val="16"/>
              </w:rPr>
              <w:t>53,373,453</w:t>
            </w:r>
          </w:p>
        </w:tc>
        <w:tc>
          <w:tcPr>
            <w:tcW w:w="350" w:type="pct"/>
            <w:shd w:val="clear" w:color="auto" w:fill="FFFFFF"/>
            <w:vAlign w:val="bottom"/>
            <w:hideMark/>
          </w:tcPr>
          <w:p w14:paraId="410368BF" w14:textId="77777777" w:rsidR="00000000" w:rsidRDefault="0053651E">
            <w:pPr>
              <w:jc w:val="right"/>
              <w:rPr>
                <w:rFonts w:eastAsia="Times New Roman"/>
                <w:sz w:val="16"/>
                <w:szCs w:val="16"/>
              </w:rPr>
            </w:pPr>
            <w:r>
              <w:rPr>
                <w:rFonts w:eastAsia="Times New Roman"/>
                <w:sz w:val="16"/>
                <w:szCs w:val="16"/>
              </w:rPr>
              <w:t>10,875,821</w:t>
            </w:r>
          </w:p>
        </w:tc>
        <w:tc>
          <w:tcPr>
            <w:tcW w:w="300" w:type="pct"/>
            <w:shd w:val="clear" w:color="auto" w:fill="FFFFFF"/>
            <w:vAlign w:val="bottom"/>
            <w:hideMark/>
          </w:tcPr>
          <w:p w14:paraId="3AD633E4" w14:textId="77777777" w:rsidR="00000000" w:rsidRDefault="0053651E">
            <w:pPr>
              <w:jc w:val="right"/>
              <w:rPr>
                <w:rFonts w:eastAsia="Times New Roman"/>
                <w:sz w:val="16"/>
                <w:szCs w:val="16"/>
              </w:rPr>
            </w:pPr>
            <w:r>
              <w:rPr>
                <w:rFonts w:eastAsia="Times New Roman"/>
                <w:sz w:val="16"/>
                <w:szCs w:val="16"/>
              </w:rPr>
              <w:t>13,360,965</w:t>
            </w:r>
          </w:p>
        </w:tc>
        <w:tc>
          <w:tcPr>
            <w:tcW w:w="450" w:type="pct"/>
            <w:shd w:val="clear" w:color="auto" w:fill="FFFFFF"/>
            <w:vAlign w:val="bottom"/>
            <w:hideMark/>
          </w:tcPr>
          <w:p w14:paraId="469176C3" w14:textId="77777777" w:rsidR="00000000" w:rsidRDefault="0053651E">
            <w:pPr>
              <w:jc w:val="right"/>
              <w:rPr>
                <w:rFonts w:eastAsia="Times New Roman"/>
                <w:sz w:val="16"/>
                <w:szCs w:val="16"/>
              </w:rPr>
            </w:pPr>
            <w:r>
              <w:rPr>
                <w:rFonts w:eastAsia="Times New Roman"/>
                <w:sz w:val="16"/>
                <w:szCs w:val="16"/>
              </w:rPr>
              <w:t>64,249,274</w:t>
            </w:r>
          </w:p>
        </w:tc>
        <w:tc>
          <w:tcPr>
            <w:tcW w:w="350" w:type="pct"/>
            <w:shd w:val="clear" w:color="auto" w:fill="FFFFFF"/>
            <w:vAlign w:val="bottom"/>
            <w:hideMark/>
          </w:tcPr>
          <w:p w14:paraId="5585F4E0" w14:textId="77777777" w:rsidR="00000000" w:rsidRDefault="0053651E">
            <w:pPr>
              <w:jc w:val="right"/>
              <w:rPr>
                <w:rFonts w:eastAsia="Times New Roman"/>
                <w:sz w:val="16"/>
                <w:szCs w:val="16"/>
              </w:rPr>
            </w:pPr>
            <w:r>
              <w:rPr>
                <w:rFonts w:eastAsia="Times New Roman"/>
                <w:sz w:val="16"/>
                <w:szCs w:val="16"/>
              </w:rPr>
              <w:t>77,610,239</w:t>
            </w:r>
          </w:p>
        </w:tc>
        <w:tc>
          <w:tcPr>
            <w:tcW w:w="400" w:type="pct"/>
            <w:shd w:val="clear" w:color="auto" w:fill="FFFFFF"/>
            <w:vAlign w:val="bottom"/>
            <w:hideMark/>
          </w:tcPr>
          <w:p w14:paraId="0F100DA5" w14:textId="77777777" w:rsidR="00000000" w:rsidRDefault="0053651E">
            <w:pPr>
              <w:jc w:val="right"/>
              <w:rPr>
                <w:rFonts w:eastAsia="Times New Roman"/>
                <w:sz w:val="16"/>
                <w:szCs w:val="16"/>
              </w:rPr>
            </w:pPr>
            <w:r>
              <w:rPr>
                <w:rFonts w:eastAsia="Times New Roman"/>
                <w:sz w:val="16"/>
                <w:szCs w:val="16"/>
              </w:rPr>
              <w:t>36,069,787</w:t>
            </w:r>
          </w:p>
        </w:tc>
        <w:tc>
          <w:tcPr>
            <w:tcW w:w="50" w:type="pct"/>
            <w:shd w:val="clear" w:color="auto" w:fill="FFFFFF"/>
            <w:vAlign w:val="bottom"/>
            <w:hideMark/>
          </w:tcPr>
          <w:p w14:paraId="75E8255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5EE6A5A" w14:textId="77777777" w:rsidR="00000000" w:rsidRDefault="0053651E">
            <w:pPr>
              <w:jc w:val="right"/>
              <w:rPr>
                <w:rFonts w:eastAsia="Times New Roman"/>
                <w:sz w:val="16"/>
                <w:szCs w:val="16"/>
              </w:rPr>
            </w:pPr>
            <w:r>
              <w:rPr>
                <w:rFonts w:eastAsia="Times New Roman"/>
                <w:sz w:val="16"/>
                <w:szCs w:val="16"/>
              </w:rPr>
              <w:t>41,540,452</w:t>
            </w:r>
          </w:p>
        </w:tc>
        <w:tc>
          <w:tcPr>
            <w:tcW w:w="50" w:type="pct"/>
            <w:shd w:val="clear" w:color="auto" w:fill="FFFFFF"/>
            <w:vAlign w:val="bottom"/>
            <w:hideMark/>
          </w:tcPr>
          <w:p w14:paraId="0672EB6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1BE30D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864F1E2"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78C49CA1" w14:textId="77777777">
        <w:trPr>
          <w:tblCellSpacing w:w="0" w:type="dxa"/>
        </w:trPr>
        <w:tc>
          <w:tcPr>
            <w:tcW w:w="50" w:type="pct"/>
            <w:shd w:val="clear" w:color="auto" w:fill="CCEEFF"/>
            <w:vAlign w:val="bottom"/>
            <w:hideMark/>
          </w:tcPr>
          <w:p w14:paraId="4D2A4D9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AF03C6D" w14:textId="77777777" w:rsidR="00000000" w:rsidRDefault="0053651E">
            <w:pPr>
              <w:pStyle w:val="a3"/>
              <w:spacing w:before="0" w:beforeAutospacing="0" w:after="0" w:afterAutospacing="0"/>
              <w:rPr>
                <w:sz w:val="16"/>
                <w:szCs w:val="16"/>
              </w:rPr>
            </w:pPr>
            <w:r>
              <w:rPr>
                <w:sz w:val="16"/>
                <w:szCs w:val="16"/>
              </w:rPr>
              <w:t>280 METRO CENTER</w:t>
            </w:r>
          </w:p>
        </w:tc>
        <w:tc>
          <w:tcPr>
            <w:tcW w:w="150" w:type="pct"/>
            <w:shd w:val="clear" w:color="auto" w:fill="CCEEFF"/>
            <w:vAlign w:val="bottom"/>
            <w:hideMark/>
          </w:tcPr>
          <w:p w14:paraId="1D4B0AE0"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62ECEECB" w14:textId="77777777" w:rsidR="00000000" w:rsidRDefault="0053651E">
            <w:pPr>
              <w:jc w:val="right"/>
              <w:rPr>
                <w:rFonts w:eastAsia="Times New Roman"/>
                <w:sz w:val="16"/>
                <w:szCs w:val="16"/>
              </w:rPr>
            </w:pPr>
            <w:r>
              <w:rPr>
                <w:rFonts w:eastAsia="Times New Roman"/>
                <w:sz w:val="16"/>
                <w:szCs w:val="16"/>
              </w:rPr>
              <w:t>38,734,566</w:t>
            </w:r>
          </w:p>
        </w:tc>
        <w:tc>
          <w:tcPr>
            <w:tcW w:w="550" w:type="pct"/>
            <w:shd w:val="clear" w:color="auto" w:fill="CCEEFF"/>
            <w:vAlign w:val="bottom"/>
            <w:hideMark/>
          </w:tcPr>
          <w:p w14:paraId="3691BD29" w14:textId="77777777" w:rsidR="00000000" w:rsidRDefault="0053651E">
            <w:pPr>
              <w:jc w:val="right"/>
              <w:rPr>
                <w:rFonts w:eastAsia="Times New Roman"/>
                <w:sz w:val="16"/>
                <w:szCs w:val="16"/>
              </w:rPr>
            </w:pPr>
            <w:r>
              <w:rPr>
                <w:rFonts w:eastAsia="Times New Roman"/>
                <w:sz w:val="16"/>
                <w:szCs w:val="16"/>
              </w:rPr>
              <w:t>94,903,403</w:t>
            </w:r>
          </w:p>
        </w:tc>
        <w:tc>
          <w:tcPr>
            <w:tcW w:w="350" w:type="pct"/>
            <w:shd w:val="clear" w:color="auto" w:fill="CCEEFF"/>
            <w:vAlign w:val="bottom"/>
            <w:hideMark/>
          </w:tcPr>
          <w:p w14:paraId="10129874" w14:textId="77777777" w:rsidR="00000000" w:rsidRDefault="0053651E">
            <w:pPr>
              <w:jc w:val="right"/>
              <w:rPr>
                <w:rFonts w:eastAsia="Times New Roman"/>
                <w:sz w:val="16"/>
                <w:szCs w:val="16"/>
              </w:rPr>
            </w:pPr>
            <w:r>
              <w:rPr>
                <w:rFonts w:eastAsia="Times New Roman"/>
                <w:sz w:val="16"/>
                <w:szCs w:val="16"/>
              </w:rPr>
              <w:t>267,577</w:t>
            </w:r>
          </w:p>
        </w:tc>
        <w:tc>
          <w:tcPr>
            <w:tcW w:w="300" w:type="pct"/>
            <w:shd w:val="clear" w:color="auto" w:fill="CCEEFF"/>
            <w:vAlign w:val="bottom"/>
            <w:hideMark/>
          </w:tcPr>
          <w:p w14:paraId="346F435A" w14:textId="77777777" w:rsidR="00000000" w:rsidRDefault="0053651E">
            <w:pPr>
              <w:jc w:val="right"/>
              <w:rPr>
                <w:rFonts w:eastAsia="Times New Roman"/>
                <w:sz w:val="16"/>
                <w:szCs w:val="16"/>
              </w:rPr>
            </w:pPr>
            <w:r>
              <w:rPr>
                <w:rFonts w:eastAsia="Times New Roman"/>
                <w:sz w:val="16"/>
                <w:szCs w:val="16"/>
              </w:rPr>
              <w:t>38,734,566</w:t>
            </w:r>
          </w:p>
        </w:tc>
        <w:tc>
          <w:tcPr>
            <w:tcW w:w="450" w:type="pct"/>
            <w:shd w:val="clear" w:color="auto" w:fill="CCEEFF"/>
            <w:vAlign w:val="bottom"/>
            <w:hideMark/>
          </w:tcPr>
          <w:p w14:paraId="2B77A9CA" w14:textId="77777777" w:rsidR="00000000" w:rsidRDefault="0053651E">
            <w:pPr>
              <w:jc w:val="right"/>
              <w:rPr>
                <w:rFonts w:eastAsia="Times New Roman"/>
                <w:sz w:val="16"/>
                <w:szCs w:val="16"/>
              </w:rPr>
            </w:pPr>
            <w:r>
              <w:rPr>
                <w:rFonts w:eastAsia="Times New Roman"/>
                <w:sz w:val="16"/>
                <w:szCs w:val="16"/>
              </w:rPr>
              <w:t>95,170,980</w:t>
            </w:r>
          </w:p>
        </w:tc>
        <w:tc>
          <w:tcPr>
            <w:tcW w:w="350" w:type="pct"/>
            <w:shd w:val="clear" w:color="auto" w:fill="CCEEFF"/>
            <w:vAlign w:val="bottom"/>
            <w:hideMark/>
          </w:tcPr>
          <w:p w14:paraId="28B978E9" w14:textId="77777777" w:rsidR="00000000" w:rsidRDefault="0053651E">
            <w:pPr>
              <w:jc w:val="right"/>
              <w:rPr>
                <w:rFonts w:eastAsia="Times New Roman"/>
                <w:sz w:val="16"/>
                <w:szCs w:val="16"/>
              </w:rPr>
            </w:pPr>
            <w:r>
              <w:rPr>
                <w:rFonts w:eastAsia="Times New Roman"/>
                <w:sz w:val="16"/>
                <w:szCs w:val="16"/>
              </w:rPr>
              <w:t>133,905,546</w:t>
            </w:r>
          </w:p>
        </w:tc>
        <w:tc>
          <w:tcPr>
            <w:tcW w:w="400" w:type="pct"/>
            <w:shd w:val="clear" w:color="auto" w:fill="CCEEFF"/>
            <w:vAlign w:val="bottom"/>
            <w:hideMark/>
          </w:tcPr>
          <w:p w14:paraId="6E6043E8" w14:textId="77777777" w:rsidR="00000000" w:rsidRDefault="0053651E">
            <w:pPr>
              <w:jc w:val="right"/>
              <w:rPr>
                <w:rFonts w:eastAsia="Times New Roman"/>
                <w:sz w:val="16"/>
                <w:szCs w:val="16"/>
              </w:rPr>
            </w:pPr>
            <w:r>
              <w:rPr>
                <w:rFonts w:eastAsia="Times New Roman"/>
                <w:sz w:val="16"/>
                <w:szCs w:val="16"/>
              </w:rPr>
              <w:t>13,194,581</w:t>
            </w:r>
          </w:p>
        </w:tc>
        <w:tc>
          <w:tcPr>
            <w:tcW w:w="50" w:type="pct"/>
            <w:shd w:val="clear" w:color="auto" w:fill="CCEEFF"/>
            <w:vAlign w:val="bottom"/>
            <w:hideMark/>
          </w:tcPr>
          <w:p w14:paraId="7E19FD2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6110A3F" w14:textId="77777777" w:rsidR="00000000" w:rsidRDefault="0053651E">
            <w:pPr>
              <w:jc w:val="right"/>
              <w:rPr>
                <w:rFonts w:eastAsia="Times New Roman"/>
                <w:sz w:val="16"/>
                <w:szCs w:val="16"/>
              </w:rPr>
            </w:pPr>
            <w:r>
              <w:rPr>
                <w:rFonts w:eastAsia="Times New Roman"/>
                <w:sz w:val="16"/>
                <w:szCs w:val="16"/>
              </w:rPr>
              <w:t>120,710,965</w:t>
            </w:r>
          </w:p>
        </w:tc>
        <w:tc>
          <w:tcPr>
            <w:tcW w:w="50" w:type="pct"/>
            <w:shd w:val="clear" w:color="auto" w:fill="CCEEFF"/>
            <w:vAlign w:val="bottom"/>
            <w:hideMark/>
          </w:tcPr>
          <w:p w14:paraId="16C2E75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E31768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A9DF4C9"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13E9F1A" w14:textId="77777777">
        <w:trPr>
          <w:tblCellSpacing w:w="0" w:type="dxa"/>
        </w:trPr>
        <w:tc>
          <w:tcPr>
            <w:tcW w:w="50" w:type="pct"/>
            <w:shd w:val="clear" w:color="auto" w:fill="FFFFFF"/>
            <w:vAlign w:val="bottom"/>
            <w:hideMark/>
          </w:tcPr>
          <w:p w14:paraId="29B9D5F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952E403" w14:textId="77777777" w:rsidR="00000000" w:rsidRDefault="0053651E">
            <w:pPr>
              <w:pStyle w:val="a3"/>
              <w:spacing w:before="0" w:beforeAutospacing="0" w:after="0" w:afterAutospacing="0"/>
              <w:rPr>
                <w:sz w:val="16"/>
                <w:szCs w:val="16"/>
              </w:rPr>
            </w:pPr>
            <w:r>
              <w:rPr>
                <w:sz w:val="16"/>
                <w:szCs w:val="16"/>
              </w:rPr>
              <w:t>LABAND VILLAGE SHOPPING CENTER</w:t>
            </w:r>
          </w:p>
        </w:tc>
        <w:tc>
          <w:tcPr>
            <w:tcW w:w="150" w:type="pct"/>
            <w:shd w:val="clear" w:color="auto" w:fill="FFFFFF"/>
            <w:vAlign w:val="bottom"/>
            <w:hideMark/>
          </w:tcPr>
          <w:p w14:paraId="5C021B28"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57D8C617" w14:textId="77777777" w:rsidR="00000000" w:rsidRDefault="0053651E">
            <w:pPr>
              <w:jc w:val="right"/>
              <w:rPr>
                <w:rFonts w:eastAsia="Times New Roman"/>
                <w:sz w:val="16"/>
                <w:szCs w:val="16"/>
              </w:rPr>
            </w:pPr>
            <w:r>
              <w:rPr>
                <w:rFonts w:eastAsia="Times New Roman"/>
                <w:sz w:val="16"/>
                <w:szCs w:val="16"/>
              </w:rPr>
              <w:t>5,600,000</w:t>
            </w:r>
          </w:p>
        </w:tc>
        <w:tc>
          <w:tcPr>
            <w:tcW w:w="550" w:type="pct"/>
            <w:shd w:val="clear" w:color="auto" w:fill="FFFFFF"/>
            <w:vAlign w:val="bottom"/>
            <w:hideMark/>
          </w:tcPr>
          <w:p w14:paraId="32344429" w14:textId="77777777" w:rsidR="00000000" w:rsidRDefault="0053651E">
            <w:pPr>
              <w:jc w:val="right"/>
              <w:rPr>
                <w:rFonts w:eastAsia="Times New Roman"/>
                <w:sz w:val="16"/>
                <w:szCs w:val="16"/>
              </w:rPr>
            </w:pPr>
            <w:r>
              <w:rPr>
                <w:rFonts w:eastAsia="Times New Roman"/>
                <w:sz w:val="16"/>
                <w:szCs w:val="16"/>
              </w:rPr>
              <w:t>13,289,347</w:t>
            </w:r>
          </w:p>
        </w:tc>
        <w:tc>
          <w:tcPr>
            <w:tcW w:w="350" w:type="pct"/>
            <w:shd w:val="clear" w:color="auto" w:fill="FFFFFF"/>
            <w:vAlign w:val="bottom"/>
            <w:hideMark/>
          </w:tcPr>
          <w:p w14:paraId="1A27B0A3" w14:textId="77777777" w:rsidR="00000000" w:rsidRDefault="0053651E">
            <w:pPr>
              <w:jc w:val="right"/>
              <w:rPr>
                <w:rFonts w:eastAsia="Times New Roman"/>
                <w:sz w:val="16"/>
                <w:szCs w:val="16"/>
              </w:rPr>
            </w:pPr>
            <w:r>
              <w:rPr>
                <w:rFonts w:eastAsia="Times New Roman"/>
                <w:sz w:val="16"/>
                <w:szCs w:val="16"/>
              </w:rPr>
              <w:t>(858,589)</w:t>
            </w:r>
          </w:p>
        </w:tc>
        <w:tc>
          <w:tcPr>
            <w:tcW w:w="300" w:type="pct"/>
            <w:shd w:val="clear" w:color="auto" w:fill="FFFFFF"/>
            <w:vAlign w:val="bottom"/>
            <w:hideMark/>
          </w:tcPr>
          <w:p w14:paraId="7FB02B96" w14:textId="77777777" w:rsidR="00000000" w:rsidRDefault="0053651E">
            <w:pPr>
              <w:jc w:val="right"/>
              <w:rPr>
                <w:rFonts w:eastAsia="Times New Roman"/>
                <w:sz w:val="16"/>
                <w:szCs w:val="16"/>
              </w:rPr>
            </w:pPr>
            <w:r>
              <w:rPr>
                <w:rFonts w:eastAsia="Times New Roman"/>
                <w:sz w:val="16"/>
                <w:szCs w:val="16"/>
              </w:rPr>
              <w:t>5,607,237</w:t>
            </w:r>
          </w:p>
        </w:tc>
        <w:tc>
          <w:tcPr>
            <w:tcW w:w="450" w:type="pct"/>
            <w:shd w:val="clear" w:color="auto" w:fill="FFFFFF"/>
            <w:vAlign w:val="bottom"/>
            <w:hideMark/>
          </w:tcPr>
          <w:p w14:paraId="2485198C" w14:textId="77777777" w:rsidR="00000000" w:rsidRDefault="0053651E">
            <w:pPr>
              <w:jc w:val="right"/>
              <w:rPr>
                <w:rFonts w:eastAsia="Times New Roman"/>
                <w:sz w:val="16"/>
                <w:szCs w:val="16"/>
              </w:rPr>
            </w:pPr>
            <w:r>
              <w:rPr>
                <w:rFonts w:eastAsia="Times New Roman"/>
                <w:sz w:val="16"/>
                <w:szCs w:val="16"/>
              </w:rPr>
              <w:t>12,423,521</w:t>
            </w:r>
          </w:p>
        </w:tc>
        <w:tc>
          <w:tcPr>
            <w:tcW w:w="350" w:type="pct"/>
            <w:shd w:val="clear" w:color="auto" w:fill="FFFFFF"/>
            <w:vAlign w:val="bottom"/>
            <w:hideMark/>
          </w:tcPr>
          <w:p w14:paraId="2131D3AC" w14:textId="77777777" w:rsidR="00000000" w:rsidRDefault="0053651E">
            <w:pPr>
              <w:jc w:val="right"/>
              <w:rPr>
                <w:rFonts w:eastAsia="Times New Roman"/>
                <w:sz w:val="16"/>
                <w:szCs w:val="16"/>
              </w:rPr>
            </w:pPr>
            <w:r>
              <w:rPr>
                <w:rFonts w:eastAsia="Times New Roman"/>
                <w:sz w:val="16"/>
                <w:szCs w:val="16"/>
              </w:rPr>
              <w:t>18,030,758</w:t>
            </w:r>
          </w:p>
        </w:tc>
        <w:tc>
          <w:tcPr>
            <w:tcW w:w="400" w:type="pct"/>
            <w:shd w:val="clear" w:color="auto" w:fill="FFFFFF"/>
            <w:vAlign w:val="bottom"/>
            <w:hideMark/>
          </w:tcPr>
          <w:p w14:paraId="0F922FB9" w14:textId="77777777" w:rsidR="00000000" w:rsidRDefault="0053651E">
            <w:pPr>
              <w:jc w:val="right"/>
              <w:rPr>
                <w:rFonts w:eastAsia="Times New Roman"/>
                <w:sz w:val="16"/>
                <w:szCs w:val="16"/>
              </w:rPr>
            </w:pPr>
            <w:r>
              <w:rPr>
                <w:rFonts w:eastAsia="Times New Roman"/>
                <w:sz w:val="16"/>
                <w:szCs w:val="16"/>
              </w:rPr>
              <w:t>6,418,166</w:t>
            </w:r>
          </w:p>
        </w:tc>
        <w:tc>
          <w:tcPr>
            <w:tcW w:w="50" w:type="pct"/>
            <w:shd w:val="clear" w:color="auto" w:fill="FFFFFF"/>
            <w:vAlign w:val="bottom"/>
            <w:hideMark/>
          </w:tcPr>
          <w:p w14:paraId="763D958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39F887C" w14:textId="77777777" w:rsidR="00000000" w:rsidRDefault="0053651E">
            <w:pPr>
              <w:jc w:val="right"/>
              <w:rPr>
                <w:rFonts w:eastAsia="Times New Roman"/>
                <w:sz w:val="16"/>
                <w:szCs w:val="16"/>
              </w:rPr>
            </w:pPr>
            <w:r>
              <w:rPr>
                <w:rFonts w:eastAsia="Times New Roman"/>
                <w:sz w:val="16"/>
                <w:szCs w:val="16"/>
              </w:rPr>
              <w:t>11,612,592</w:t>
            </w:r>
          </w:p>
        </w:tc>
        <w:tc>
          <w:tcPr>
            <w:tcW w:w="50" w:type="pct"/>
            <w:shd w:val="clear" w:color="auto" w:fill="FFFFFF"/>
            <w:vAlign w:val="bottom"/>
            <w:hideMark/>
          </w:tcPr>
          <w:p w14:paraId="0A43C88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56FACF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84B711A"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4272D0C7" w14:textId="77777777">
        <w:trPr>
          <w:tblCellSpacing w:w="0" w:type="dxa"/>
        </w:trPr>
        <w:tc>
          <w:tcPr>
            <w:tcW w:w="50" w:type="pct"/>
            <w:shd w:val="clear" w:color="auto" w:fill="CCEEFF"/>
            <w:vAlign w:val="bottom"/>
            <w:hideMark/>
          </w:tcPr>
          <w:p w14:paraId="6A6A8C2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4906B20" w14:textId="77777777" w:rsidR="00000000" w:rsidRDefault="0053651E">
            <w:pPr>
              <w:pStyle w:val="a3"/>
              <w:spacing w:before="0" w:beforeAutospacing="0" w:after="0" w:afterAutospacing="0"/>
              <w:rPr>
                <w:sz w:val="16"/>
                <w:szCs w:val="16"/>
              </w:rPr>
            </w:pPr>
            <w:r>
              <w:rPr>
                <w:sz w:val="16"/>
                <w:szCs w:val="16"/>
              </w:rPr>
              <w:t>CUPERTINO VILLAGE</w:t>
            </w:r>
          </w:p>
        </w:tc>
        <w:tc>
          <w:tcPr>
            <w:tcW w:w="150" w:type="pct"/>
            <w:shd w:val="clear" w:color="auto" w:fill="CCEEFF"/>
            <w:vAlign w:val="bottom"/>
            <w:hideMark/>
          </w:tcPr>
          <w:p w14:paraId="036A56C3"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218F29CB" w14:textId="77777777" w:rsidR="00000000" w:rsidRDefault="0053651E">
            <w:pPr>
              <w:jc w:val="right"/>
              <w:rPr>
                <w:rFonts w:eastAsia="Times New Roman"/>
                <w:sz w:val="16"/>
                <w:szCs w:val="16"/>
              </w:rPr>
            </w:pPr>
            <w:r>
              <w:rPr>
                <w:rFonts w:eastAsia="Times New Roman"/>
                <w:sz w:val="16"/>
                <w:szCs w:val="16"/>
              </w:rPr>
              <w:t>19,886,099</w:t>
            </w:r>
          </w:p>
        </w:tc>
        <w:tc>
          <w:tcPr>
            <w:tcW w:w="550" w:type="pct"/>
            <w:shd w:val="clear" w:color="auto" w:fill="CCEEFF"/>
            <w:vAlign w:val="bottom"/>
            <w:hideMark/>
          </w:tcPr>
          <w:p w14:paraId="0C431802" w14:textId="77777777" w:rsidR="00000000" w:rsidRDefault="0053651E">
            <w:pPr>
              <w:jc w:val="right"/>
              <w:rPr>
                <w:rFonts w:eastAsia="Times New Roman"/>
                <w:sz w:val="16"/>
                <w:szCs w:val="16"/>
              </w:rPr>
            </w:pPr>
            <w:r>
              <w:rPr>
                <w:rFonts w:eastAsia="Times New Roman"/>
                <w:sz w:val="16"/>
                <w:szCs w:val="16"/>
              </w:rPr>
              <w:t>46,534,919</w:t>
            </w:r>
          </w:p>
        </w:tc>
        <w:tc>
          <w:tcPr>
            <w:tcW w:w="350" w:type="pct"/>
            <w:shd w:val="clear" w:color="auto" w:fill="CCEEFF"/>
            <w:vAlign w:val="bottom"/>
            <w:hideMark/>
          </w:tcPr>
          <w:p w14:paraId="04FCAE3E" w14:textId="77777777" w:rsidR="00000000" w:rsidRDefault="0053651E">
            <w:pPr>
              <w:jc w:val="right"/>
              <w:rPr>
                <w:rFonts w:eastAsia="Times New Roman"/>
                <w:sz w:val="16"/>
                <w:szCs w:val="16"/>
              </w:rPr>
            </w:pPr>
            <w:r>
              <w:rPr>
                <w:rFonts w:eastAsia="Times New Roman"/>
                <w:sz w:val="16"/>
                <w:szCs w:val="16"/>
              </w:rPr>
              <w:t>26,582,719</w:t>
            </w:r>
          </w:p>
        </w:tc>
        <w:tc>
          <w:tcPr>
            <w:tcW w:w="300" w:type="pct"/>
            <w:shd w:val="clear" w:color="auto" w:fill="CCEEFF"/>
            <w:vAlign w:val="bottom"/>
            <w:hideMark/>
          </w:tcPr>
          <w:p w14:paraId="6CB525C3" w14:textId="77777777" w:rsidR="00000000" w:rsidRDefault="0053651E">
            <w:pPr>
              <w:jc w:val="right"/>
              <w:rPr>
                <w:rFonts w:eastAsia="Times New Roman"/>
                <w:sz w:val="16"/>
                <w:szCs w:val="16"/>
              </w:rPr>
            </w:pPr>
            <w:r>
              <w:rPr>
                <w:rFonts w:eastAsia="Times New Roman"/>
                <w:sz w:val="16"/>
                <w:szCs w:val="16"/>
              </w:rPr>
              <w:t>19,886,099</w:t>
            </w:r>
          </w:p>
        </w:tc>
        <w:tc>
          <w:tcPr>
            <w:tcW w:w="450" w:type="pct"/>
            <w:shd w:val="clear" w:color="auto" w:fill="CCEEFF"/>
            <w:vAlign w:val="bottom"/>
            <w:hideMark/>
          </w:tcPr>
          <w:p w14:paraId="7C768E3E" w14:textId="77777777" w:rsidR="00000000" w:rsidRDefault="0053651E">
            <w:pPr>
              <w:jc w:val="right"/>
              <w:rPr>
                <w:rFonts w:eastAsia="Times New Roman"/>
                <w:sz w:val="16"/>
                <w:szCs w:val="16"/>
              </w:rPr>
            </w:pPr>
            <w:r>
              <w:rPr>
                <w:rFonts w:eastAsia="Times New Roman"/>
                <w:sz w:val="16"/>
                <w:szCs w:val="16"/>
              </w:rPr>
              <w:t>73,117,638</w:t>
            </w:r>
          </w:p>
        </w:tc>
        <w:tc>
          <w:tcPr>
            <w:tcW w:w="350" w:type="pct"/>
            <w:shd w:val="clear" w:color="auto" w:fill="CCEEFF"/>
            <w:vAlign w:val="bottom"/>
            <w:hideMark/>
          </w:tcPr>
          <w:p w14:paraId="6B3BC9A5" w14:textId="77777777" w:rsidR="00000000" w:rsidRDefault="0053651E">
            <w:pPr>
              <w:jc w:val="right"/>
              <w:rPr>
                <w:rFonts w:eastAsia="Times New Roman"/>
                <w:sz w:val="16"/>
                <w:szCs w:val="16"/>
              </w:rPr>
            </w:pPr>
            <w:r>
              <w:rPr>
                <w:rFonts w:eastAsia="Times New Roman"/>
                <w:sz w:val="16"/>
                <w:szCs w:val="16"/>
              </w:rPr>
              <w:t>93,003,737</w:t>
            </w:r>
          </w:p>
        </w:tc>
        <w:tc>
          <w:tcPr>
            <w:tcW w:w="400" w:type="pct"/>
            <w:shd w:val="clear" w:color="auto" w:fill="CCEEFF"/>
            <w:vAlign w:val="bottom"/>
            <w:hideMark/>
          </w:tcPr>
          <w:p w14:paraId="6FB3B926" w14:textId="77777777" w:rsidR="00000000" w:rsidRDefault="0053651E">
            <w:pPr>
              <w:jc w:val="right"/>
              <w:rPr>
                <w:rFonts w:eastAsia="Times New Roman"/>
                <w:sz w:val="16"/>
                <w:szCs w:val="16"/>
              </w:rPr>
            </w:pPr>
            <w:r>
              <w:rPr>
                <w:rFonts w:eastAsia="Times New Roman"/>
                <w:sz w:val="16"/>
                <w:szCs w:val="16"/>
              </w:rPr>
              <w:t>22,253,195</w:t>
            </w:r>
          </w:p>
        </w:tc>
        <w:tc>
          <w:tcPr>
            <w:tcW w:w="50" w:type="pct"/>
            <w:shd w:val="clear" w:color="auto" w:fill="CCEEFF"/>
            <w:vAlign w:val="bottom"/>
            <w:hideMark/>
          </w:tcPr>
          <w:p w14:paraId="5CD2CA8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DB0BA9F" w14:textId="77777777" w:rsidR="00000000" w:rsidRDefault="0053651E">
            <w:pPr>
              <w:jc w:val="right"/>
              <w:rPr>
                <w:rFonts w:eastAsia="Times New Roman"/>
                <w:sz w:val="16"/>
                <w:szCs w:val="16"/>
              </w:rPr>
            </w:pPr>
            <w:r>
              <w:rPr>
                <w:rFonts w:eastAsia="Times New Roman"/>
                <w:sz w:val="16"/>
                <w:szCs w:val="16"/>
              </w:rPr>
              <w:t>70,750,542</w:t>
            </w:r>
          </w:p>
        </w:tc>
        <w:tc>
          <w:tcPr>
            <w:tcW w:w="50" w:type="pct"/>
            <w:shd w:val="clear" w:color="auto" w:fill="CCEEFF"/>
            <w:vAlign w:val="bottom"/>
            <w:hideMark/>
          </w:tcPr>
          <w:p w14:paraId="1FF418D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26AAB7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1415552"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8CEADEA" w14:textId="77777777">
        <w:trPr>
          <w:tblCellSpacing w:w="0" w:type="dxa"/>
        </w:trPr>
        <w:tc>
          <w:tcPr>
            <w:tcW w:w="50" w:type="pct"/>
            <w:shd w:val="clear" w:color="auto" w:fill="FFFFFF"/>
            <w:vAlign w:val="bottom"/>
            <w:hideMark/>
          </w:tcPr>
          <w:p w14:paraId="49C03FA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F56DB68" w14:textId="77777777" w:rsidR="00000000" w:rsidRDefault="0053651E">
            <w:pPr>
              <w:pStyle w:val="a3"/>
              <w:spacing w:before="0" w:beforeAutospacing="0" w:after="0" w:afterAutospacing="0"/>
              <w:rPr>
                <w:sz w:val="16"/>
                <w:szCs w:val="16"/>
              </w:rPr>
            </w:pPr>
            <w:r>
              <w:rPr>
                <w:sz w:val="16"/>
                <w:szCs w:val="16"/>
              </w:rPr>
              <w:t>NORTH COUNTY PLAZA</w:t>
            </w:r>
          </w:p>
        </w:tc>
        <w:tc>
          <w:tcPr>
            <w:tcW w:w="150" w:type="pct"/>
            <w:shd w:val="clear" w:color="auto" w:fill="FFFFFF"/>
            <w:vAlign w:val="bottom"/>
            <w:hideMark/>
          </w:tcPr>
          <w:p w14:paraId="722C1AA4"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2106FB25" w14:textId="77777777" w:rsidR="00000000" w:rsidRDefault="0053651E">
            <w:pPr>
              <w:jc w:val="right"/>
              <w:rPr>
                <w:rFonts w:eastAsia="Times New Roman"/>
                <w:sz w:val="16"/>
                <w:szCs w:val="16"/>
              </w:rPr>
            </w:pPr>
            <w:r>
              <w:rPr>
                <w:rFonts w:eastAsia="Times New Roman"/>
                <w:sz w:val="16"/>
                <w:szCs w:val="16"/>
              </w:rPr>
              <w:t>10,205,305</w:t>
            </w:r>
          </w:p>
        </w:tc>
        <w:tc>
          <w:tcPr>
            <w:tcW w:w="550" w:type="pct"/>
            <w:shd w:val="clear" w:color="auto" w:fill="FFFFFF"/>
            <w:vAlign w:val="bottom"/>
            <w:hideMark/>
          </w:tcPr>
          <w:p w14:paraId="23DD6DC5" w14:textId="77777777" w:rsidR="00000000" w:rsidRDefault="0053651E">
            <w:pPr>
              <w:jc w:val="right"/>
              <w:rPr>
                <w:rFonts w:eastAsia="Times New Roman"/>
                <w:sz w:val="16"/>
                <w:szCs w:val="16"/>
              </w:rPr>
            </w:pPr>
            <w:r>
              <w:rPr>
                <w:rFonts w:eastAsia="Times New Roman"/>
                <w:sz w:val="16"/>
                <w:szCs w:val="16"/>
              </w:rPr>
              <w:t>28,934,219</w:t>
            </w:r>
          </w:p>
        </w:tc>
        <w:tc>
          <w:tcPr>
            <w:tcW w:w="350" w:type="pct"/>
            <w:shd w:val="clear" w:color="auto" w:fill="FFFFFF"/>
            <w:vAlign w:val="bottom"/>
            <w:hideMark/>
          </w:tcPr>
          <w:p w14:paraId="00C8E24E" w14:textId="77777777" w:rsidR="00000000" w:rsidRDefault="0053651E">
            <w:pPr>
              <w:jc w:val="right"/>
              <w:rPr>
                <w:rFonts w:eastAsia="Times New Roman"/>
                <w:sz w:val="16"/>
                <w:szCs w:val="16"/>
              </w:rPr>
            </w:pPr>
            <w:r>
              <w:rPr>
                <w:rFonts w:eastAsia="Times New Roman"/>
                <w:sz w:val="16"/>
                <w:szCs w:val="16"/>
              </w:rPr>
              <w:t>(490,889)</w:t>
            </w:r>
          </w:p>
        </w:tc>
        <w:tc>
          <w:tcPr>
            <w:tcW w:w="300" w:type="pct"/>
            <w:shd w:val="clear" w:color="auto" w:fill="FFFFFF"/>
            <w:vAlign w:val="bottom"/>
            <w:hideMark/>
          </w:tcPr>
          <w:p w14:paraId="359E859B" w14:textId="77777777" w:rsidR="00000000" w:rsidRDefault="0053651E">
            <w:pPr>
              <w:jc w:val="right"/>
              <w:rPr>
                <w:rFonts w:eastAsia="Times New Roman"/>
                <w:sz w:val="16"/>
                <w:szCs w:val="16"/>
              </w:rPr>
            </w:pPr>
            <w:r>
              <w:rPr>
                <w:rFonts w:eastAsia="Times New Roman"/>
                <w:sz w:val="16"/>
                <w:szCs w:val="16"/>
              </w:rPr>
              <w:t>20,894,811</w:t>
            </w:r>
          </w:p>
        </w:tc>
        <w:tc>
          <w:tcPr>
            <w:tcW w:w="450" w:type="pct"/>
            <w:shd w:val="clear" w:color="auto" w:fill="FFFFFF"/>
            <w:vAlign w:val="bottom"/>
            <w:hideMark/>
          </w:tcPr>
          <w:p w14:paraId="1D7858CA" w14:textId="77777777" w:rsidR="00000000" w:rsidRDefault="0053651E">
            <w:pPr>
              <w:jc w:val="right"/>
              <w:rPr>
                <w:rFonts w:eastAsia="Times New Roman"/>
                <w:sz w:val="16"/>
                <w:szCs w:val="16"/>
              </w:rPr>
            </w:pPr>
            <w:r>
              <w:rPr>
                <w:rFonts w:eastAsia="Times New Roman"/>
                <w:sz w:val="16"/>
                <w:szCs w:val="16"/>
              </w:rPr>
              <w:t>17,753,824</w:t>
            </w:r>
          </w:p>
        </w:tc>
        <w:tc>
          <w:tcPr>
            <w:tcW w:w="350" w:type="pct"/>
            <w:shd w:val="clear" w:color="auto" w:fill="FFFFFF"/>
            <w:vAlign w:val="bottom"/>
            <w:hideMark/>
          </w:tcPr>
          <w:p w14:paraId="2CF2F548" w14:textId="77777777" w:rsidR="00000000" w:rsidRDefault="0053651E">
            <w:pPr>
              <w:jc w:val="right"/>
              <w:rPr>
                <w:rFonts w:eastAsia="Times New Roman"/>
                <w:sz w:val="16"/>
                <w:szCs w:val="16"/>
              </w:rPr>
            </w:pPr>
            <w:r>
              <w:rPr>
                <w:rFonts w:eastAsia="Times New Roman"/>
                <w:sz w:val="16"/>
                <w:szCs w:val="16"/>
              </w:rPr>
              <w:t>38,648,635</w:t>
            </w:r>
          </w:p>
        </w:tc>
        <w:tc>
          <w:tcPr>
            <w:tcW w:w="400" w:type="pct"/>
            <w:shd w:val="clear" w:color="auto" w:fill="FFFFFF"/>
            <w:vAlign w:val="bottom"/>
            <w:hideMark/>
          </w:tcPr>
          <w:p w14:paraId="7FB891F6" w14:textId="77777777" w:rsidR="00000000" w:rsidRDefault="0053651E">
            <w:pPr>
              <w:jc w:val="right"/>
              <w:rPr>
                <w:rFonts w:eastAsia="Times New Roman"/>
                <w:sz w:val="16"/>
                <w:szCs w:val="16"/>
              </w:rPr>
            </w:pPr>
            <w:r>
              <w:rPr>
                <w:rFonts w:eastAsia="Times New Roman"/>
                <w:sz w:val="16"/>
                <w:szCs w:val="16"/>
              </w:rPr>
              <w:t>4,168,260</w:t>
            </w:r>
          </w:p>
        </w:tc>
        <w:tc>
          <w:tcPr>
            <w:tcW w:w="50" w:type="pct"/>
            <w:shd w:val="clear" w:color="auto" w:fill="FFFFFF"/>
            <w:vAlign w:val="bottom"/>
            <w:hideMark/>
          </w:tcPr>
          <w:p w14:paraId="66C47D2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B024BDD" w14:textId="77777777" w:rsidR="00000000" w:rsidRDefault="0053651E">
            <w:pPr>
              <w:jc w:val="right"/>
              <w:rPr>
                <w:rFonts w:eastAsia="Times New Roman"/>
                <w:sz w:val="16"/>
                <w:szCs w:val="16"/>
              </w:rPr>
            </w:pPr>
            <w:r>
              <w:rPr>
                <w:rFonts w:eastAsia="Times New Roman"/>
                <w:sz w:val="16"/>
                <w:szCs w:val="16"/>
              </w:rPr>
              <w:t>34,480,375</w:t>
            </w:r>
          </w:p>
        </w:tc>
        <w:tc>
          <w:tcPr>
            <w:tcW w:w="50" w:type="pct"/>
            <w:shd w:val="clear" w:color="auto" w:fill="FFFFFF"/>
            <w:vAlign w:val="bottom"/>
            <w:hideMark/>
          </w:tcPr>
          <w:p w14:paraId="4225191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43FEC2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35396D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925F15C" w14:textId="77777777">
        <w:trPr>
          <w:tblCellSpacing w:w="0" w:type="dxa"/>
        </w:trPr>
        <w:tc>
          <w:tcPr>
            <w:tcW w:w="50" w:type="pct"/>
            <w:shd w:val="clear" w:color="auto" w:fill="CCEEFF"/>
            <w:vAlign w:val="bottom"/>
            <w:hideMark/>
          </w:tcPr>
          <w:p w14:paraId="2BF2D4D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DDCB04D" w14:textId="77777777" w:rsidR="00000000" w:rsidRDefault="0053651E">
            <w:pPr>
              <w:pStyle w:val="a3"/>
              <w:spacing w:before="0" w:beforeAutospacing="0" w:after="0" w:afterAutospacing="0"/>
              <w:rPr>
                <w:sz w:val="16"/>
                <w:szCs w:val="16"/>
              </w:rPr>
            </w:pPr>
            <w:r>
              <w:rPr>
                <w:sz w:val="16"/>
                <w:szCs w:val="16"/>
              </w:rPr>
              <w:t>CHICO CROSSROADS</w:t>
            </w:r>
          </w:p>
        </w:tc>
        <w:tc>
          <w:tcPr>
            <w:tcW w:w="150" w:type="pct"/>
            <w:shd w:val="clear" w:color="auto" w:fill="CCEEFF"/>
            <w:vAlign w:val="bottom"/>
            <w:hideMark/>
          </w:tcPr>
          <w:p w14:paraId="36642C2D"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3BFF88A6" w14:textId="77777777" w:rsidR="00000000" w:rsidRDefault="0053651E">
            <w:pPr>
              <w:jc w:val="right"/>
              <w:rPr>
                <w:rFonts w:eastAsia="Times New Roman"/>
                <w:sz w:val="16"/>
                <w:szCs w:val="16"/>
              </w:rPr>
            </w:pPr>
            <w:r>
              <w:rPr>
                <w:rFonts w:eastAsia="Times New Roman"/>
                <w:sz w:val="16"/>
                <w:szCs w:val="16"/>
              </w:rPr>
              <w:t>9,975,810</w:t>
            </w:r>
          </w:p>
        </w:tc>
        <w:tc>
          <w:tcPr>
            <w:tcW w:w="550" w:type="pct"/>
            <w:shd w:val="clear" w:color="auto" w:fill="CCEEFF"/>
            <w:vAlign w:val="bottom"/>
            <w:hideMark/>
          </w:tcPr>
          <w:p w14:paraId="552A1B06" w14:textId="77777777" w:rsidR="00000000" w:rsidRDefault="0053651E">
            <w:pPr>
              <w:jc w:val="right"/>
              <w:rPr>
                <w:rFonts w:eastAsia="Times New Roman"/>
                <w:sz w:val="16"/>
                <w:szCs w:val="16"/>
              </w:rPr>
            </w:pPr>
            <w:r>
              <w:rPr>
                <w:rFonts w:eastAsia="Times New Roman"/>
                <w:sz w:val="16"/>
                <w:szCs w:val="16"/>
              </w:rPr>
              <w:t>30,534,524</w:t>
            </w:r>
          </w:p>
        </w:tc>
        <w:tc>
          <w:tcPr>
            <w:tcW w:w="350" w:type="pct"/>
            <w:shd w:val="clear" w:color="auto" w:fill="CCEEFF"/>
            <w:vAlign w:val="bottom"/>
            <w:hideMark/>
          </w:tcPr>
          <w:p w14:paraId="4B5BA366" w14:textId="77777777" w:rsidR="00000000" w:rsidRDefault="0053651E">
            <w:pPr>
              <w:jc w:val="right"/>
              <w:rPr>
                <w:rFonts w:eastAsia="Times New Roman"/>
                <w:sz w:val="16"/>
                <w:szCs w:val="16"/>
              </w:rPr>
            </w:pPr>
            <w:r>
              <w:rPr>
                <w:rFonts w:eastAsia="Times New Roman"/>
                <w:sz w:val="16"/>
                <w:szCs w:val="16"/>
              </w:rPr>
              <w:t>(5,581,834)</w:t>
            </w:r>
          </w:p>
        </w:tc>
        <w:tc>
          <w:tcPr>
            <w:tcW w:w="300" w:type="pct"/>
            <w:shd w:val="clear" w:color="auto" w:fill="CCEEFF"/>
            <w:vAlign w:val="bottom"/>
            <w:hideMark/>
          </w:tcPr>
          <w:p w14:paraId="15986151" w14:textId="77777777" w:rsidR="00000000" w:rsidRDefault="0053651E">
            <w:pPr>
              <w:jc w:val="right"/>
              <w:rPr>
                <w:rFonts w:eastAsia="Times New Roman"/>
                <w:sz w:val="16"/>
                <w:szCs w:val="16"/>
              </w:rPr>
            </w:pPr>
            <w:r>
              <w:rPr>
                <w:rFonts w:eastAsia="Times New Roman"/>
                <w:sz w:val="16"/>
                <w:szCs w:val="16"/>
              </w:rPr>
              <w:t>9,985,652</w:t>
            </w:r>
          </w:p>
        </w:tc>
        <w:tc>
          <w:tcPr>
            <w:tcW w:w="450" w:type="pct"/>
            <w:shd w:val="clear" w:color="auto" w:fill="CCEEFF"/>
            <w:vAlign w:val="bottom"/>
            <w:hideMark/>
          </w:tcPr>
          <w:p w14:paraId="11DA0B10" w14:textId="77777777" w:rsidR="00000000" w:rsidRDefault="0053651E">
            <w:pPr>
              <w:jc w:val="right"/>
              <w:rPr>
                <w:rFonts w:eastAsia="Times New Roman"/>
                <w:sz w:val="16"/>
                <w:szCs w:val="16"/>
              </w:rPr>
            </w:pPr>
            <w:r>
              <w:rPr>
                <w:rFonts w:eastAsia="Times New Roman"/>
                <w:sz w:val="16"/>
                <w:szCs w:val="16"/>
              </w:rPr>
              <w:t>24,942,848</w:t>
            </w:r>
          </w:p>
        </w:tc>
        <w:tc>
          <w:tcPr>
            <w:tcW w:w="350" w:type="pct"/>
            <w:shd w:val="clear" w:color="auto" w:fill="CCEEFF"/>
            <w:vAlign w:val="bottom"/>
            <w:hideMark/>
          </w:tcPr>
          <w:p w14:paraId="74E725D9" w14:textId="77777777" w:rsidR="00000000" w:rsidRDefault="0053651E">
            <w:pPr>
              <w:jc w:val="right"/>
              <w:rPr>
                <w:rFonts w:eastAsia="Times New Roman"/>
                <w:sz w:val="16"/>
                <w:szCs w:val="16"/>
              </w:rPr>
            </w:pPr>
            <w:r>
              <w:rPr>
                <w:rFonts w:eastAsia="Times New Roman"/>
                <w:sz w:val="16"/>
                <w:szCs w:val="16"/>
              </w:rPr>
              <w:t>34,928,500</w:t>
            </w:r>
          </w:p>
        </w:tc>
        <w:tc>
          <w:tcPr>
            <w:tcW w:w="400" w:type="pct"/>
            <w:shd w:val="clear" w:color="auto" w:fill="CCEEFF"/>
            <w:vAlign w:val="bottom"/>
            <w:hideMark/>
          </w:tcPr>
          <w:p w14:paraId="62A3E925" w14:textId="77777777" w:rsidR="00000000" w:rsidRDefault="0053651E">
            <w:pPr>
              <w:jc w:val="right"/>
              <w:rPr>
                <w:rFonts w:eastAsia="Times New Roman"/>
                <w:sz w:val="16"/>
                <w:szCs w:val="16"/>
              </w:rPr>
            </w:pPr>
            <w:r>
              <w:rPr>
                <w:rFonts w:eastAsia="Times New Roman"/>
                <w:sz w:val="16"/>
                <w:szCs w:val="16"/>
              </w:rPr>
              <w:t>10,428,979</w:t>
            </w:r>
          </w:p>
        </w:tc>
        <w:tc>
          <w:tcPr>
            <w:tcW w:w="50" w:type="pct"/>
            <w:shd w:val="clear" w:color="auto" w:fill="CCEEFF"/>
            <w:vAlign w:val="bottom"/>
            <w:hideMark/>
          </w:tcPr>
          <w:p w14:paraId="45341F4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BA0199D" w14:textId="77777777" w:rsidR="00000000" w:rsidRDefault="0053651E">
            <w:pPr>
              <w:jc w:val="right"/>
              <w:rPr>
                <w:rFonts w:eastAsia="Times New Roman"/>
                <w:sz w:val="16"/>
                <w:szCs w:val="16"/>
              </w:rPr>
            </w:pPr>
            <w:r>
              <w:rPr>
                <w:rFonts w:eastAsia="Times New Roman"/>
                <w:sz w:val="16"/>
                <w:szCs w:val="16"/>
              </w:rPr>
              <w:t>24,499,521</w:t>
            </w:r>
          </w:p>
        </w:tc>
        <w:tc>
          <w:tcPr>
            <w:tcW w:w="50" w:type="pct"/>
            <w:shd w:val="clear" w:color="auto" w:fill="CCEEFF"/>
            <w:vAlign w:val="bottom"/>
            <w:hideMark/>
          </w:tcPr>
          <w:p w14:paraId="480398C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D0967D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CE21AAA"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00465D8E" w14:textId="77777777">
        <w:trPr>
          <w:tblCellSpacing w:w="0" w:type="dxa"/>
        </w:trPr>
        <w:tc>
          <w:tcPr>
            <w:tcW w:w="50" w:type="pct"/>
            <w:shd w:val="clear" w:color="auto" w:fill="FFFFFF"/>
            <w:vAlign w:val="bottom"/>
            <w:hideMark/>
          </w:tcPr>
          <w:p w14:paraId="0FA904C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22A1705" w14:textId="77777777" w:rsidR="00000000" w:rsidRDefault="0053651E">
            <w:pPr>
              <w:pStyle w:val="a3"/>
              <w:spacing w:before="0" w:beforeAutospacing="0" w:after="0" w:afterAutospacing="0"/>
              <w:rPr>
                <w:sz w:val="16"/>
                <w:szCs w:val="16"/>
              </w:rPr>
            </w:pPr>
            <w:r>
              <w:rPr>
                <w:sz w:val="16"/>
                <w:szCs w:val="16"/>
              </w:rPr>
              <w:t>CREEKSIDE CENTER</w:t>
            </w:r>
          </w:p>
        </w:tc>
        <w:tc>
          <w:tcPr>
            <w:tcW w:w="150" w:type="pct"/>
            <w:shd w:val="clear" w:color="auto" w:fill="FFFFFF"/>
            <w:vAlign w:val="bottom"/>
            <w:hideMark/>
          </w:tcPr>
          <w:p w14:paraId="03C1FFE6"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4482CF4E" w14:textId="77777777" w:rsidR="00000000" w:rsidRDefault="0053651E">
            <w:pPr>
              <w:jc w:val="right"/>
              <w:rPr>
                <w:rFonts w:eastAsia="Times New Roman"/>
                <w:sz w:val="16"/>
                <w:szCs w:val="16"/>
              </w:rPr>
            </w:pPr>
            <w:r>
              <w:rPr>
                <w:rFonts w:eastAsia="Times New Roman"/>
                <w:sz w:val="16"/>
                <w:szCs w:val="16"/>
              </w:rPr>
              <w:t>3,870,823</w:t>
            </w:r>
          </w:p>
        </w:tc>
        <w:tc>
          <w:tcPr>
            <w:tcW w:w="550" w:type="pct"/>
            <w:shd w:val="clear" w:color="auto" w:fill="FFFFFF"/>
            <w:vAlign w:val="bottom"/>
            <w:hideMark/>
          </w:tcPr>
          <w:p w14:paraId="6957B861" w14:textId="77777777" w:rsidR="00000000" w:rsidRDefault="0053651E">
            <w:pPr>
              <w:jc w:val="right"/>
              <w:rPr>
                <w:rFonts w:eastAsia="Times New Roman"/>
                <w:sz w:val="16"/>
                <w:szCs w:val="16"/>
              </w:rPr>
            </w:pPr>
            <w:r>
              <w:rPr>
                <w:rFonts w:eastAsia="Times New Roman"/>
                <w:sz w:val="16"/>
                <w:szCs w:val="16"/>
              </w:rPr>
              <w:t>11,562,580</w:t>
            </w:r>
          </w:p>
        </w:tc>
        <w:tc>
          <w:tcPr>
            <w:tcW w:w="350" w:type="pct"/>
            <w:shd w:val="clear" w:color="auto" w:fill="FFFFFF"/>
            <w:vAlign w:val="bottom"/>
            <w:hideMark/>
          </w:tcPr>
          <w:p w14:paraId="6549414B" w14:textId="77777777" w:rsidR="00000000" w:rsidRDefault="0053651E">
            <w:pPr>
              <w:jc w:val="right"/>
              <w:rPr>
                <w:rFonts w:eastAsia="Times New Roman"/>
                <w:sz w:val="16"/>
                <w:szCs w:val="16"/>
              </w:rPr>
            </w:pPr>
            <w:r>
              <w:rPr>
                <w:rFonts w:eastAsia="Times New Roman"/>
                <w:sz w:val="16"/>
                <w:szCs w:val="16"/>
              </w:rPr>
              <w:t>179,527</w:t>
            </w:r>
          </w:p>
        </w:tc>
        <w:tc>
          <w:tcPr>
            <w:tcW w:w="300" w:type="pct"/>
            <w:shd w:val="clear" w:color="auto" w:fill="FFFFFF"/>
            <w:vAlign w:val="bottom"/>
            <w:hideMark/>
          </w:tcPr>
          <w:p w14:paraId="465AD534" w14:textId="77777777" w:rsidR="00000000" w:rsidRDefault="0053651E">
            <w:pPr>
              <w:jc w:val="right"/>
              <w:rPr>
                <w:rFonts w:eastAsia="Times New Roman"/>
                <w:sz w:val="16"/>
                <w:szCs w:val="16"/>
              </w:rPr>
            </w:pPr>
            <w:r>
              <w:rPr>
                <w:rFonts w:eastAsia="Times New Roman"/>
                <w:sz w:val="16"/>
                <w:szCs w:val="16"/>
              </w:rPr>
              <w:t>5,154,061</w:t>
            </w:r>
          </w:p>
        </w:tc>
        <w:tc>
          <w:tcPr>
            <w:tcW w:w="450" w:type="pct"/>
            <w:shd w:val="clear" w:color="auto" w:fill="FFFFFF"/>
            <w:vAlign w:val="bottom"/>
            <w:hideMark/>
          </w:tcPr>
          <w:p w14:paraId="25B20881" w14:textId="77777777" w:rsidR="00000000" w:rsidRDefault="0053651E">
            <w:pPr>
              <w:jc w:val="right"/>
              <w:rPr>
                <w:rFonts w:eastAsia="Times New Roman"/>
                <w:sz w:val="16"/>
                <w:szCs w:val="16"/>
              </w:rPr>
            </w:pPr>
            <w:r>
              <w:rPr>
                <w:rFonts w:eastAsia="Times New Roman"/>
                <w:sz w:val="16"/>
                <w:szCs w:val="16"/>
              </w:rPr>
              <w:t>10,458,869</w:t>
            </w:r>
          </w:p>
        </w:tc>
        <w:tc>
          <w:tcPr>
            <w:tcW w:w="350" w:type="pct"/>
            <w:shd w:val="clear" w:color="auto" w:fill="FFFFFF"/>
            <w:vAlign w:val="bottom"/>
            <w:hideMark/>
          </w:tcPr>
          <w:p w14:paraId="39FD03D2" w14:textId="77777777" w:rsidR="00000000" w:rsidRDefault="0053651E">
            <w:pPr>
              <w:jc w:val="right"/>
              <w:rPr>
                <w:rFonts w:eastAsia="Times New Roman"/>
                <w:sz w:val="16"/>
                <w:szCs w:val="16"/>
              </w:rPr>
            </w:pPr>
            <w:r>
              <w:rPr>
                <w:rFonts w:eastAsia="Times New Roman"/>
                <w:sz w:val="16"/>
                <w:szCs w:val="16"/>
              </w:rPr>
              <w:t>15,612,930</w:t>
            </w:r>
          </w:p>
        </w:tc>
        <w:tc>
          <w:tcPr>
            <w:tcW w:w="400" w:type="pct"/>
            <w:shd w:val="clear" w:color="auto" w:fill="FFFFFF"/>
            <w:vAlign w:val="bottom"/>
            <w:hideMark/>
          </w:tcPr>
          <w:p w14:paraId="3A8869A7" w14:textId="77777777" w:rsidR="00000000" w:rsidRDefault="0053651E">
            <w:pPr>
              <w:jc w:val="right"/>
              <w:rPr>
                <w:rFonts w:eastAsia="Times New Roman"/>
                <w:sz w:val="16"/>
                <w:szCs w:val="16"/>
              </w:rPr>
            </w:pPr>
            <w:r>
              <w:rPr>
                <w:rFonts w:eastAsia="Times New Roman"/>
                <w:sz w:val="16"/>
                <w:szCs w:val="16"/>
              </w:rPr>
              <w:t>1,455,396</w:t>
            </w:r>
          </w:p>
        </w:tc>
        <w:tc>
          <w:tcPr>
            <w:tcW w:w="50" w:type="pct"/>
            <w:shd w:val="clear" w:color="auto" w:fill="FFFFFF"/>
            <w:vAlign w:val="bottom"/>
            <w:hideMark/>
          </w:tcPr>
          <w:p w14:paraId="1E4A07C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9185A05" w14:textId="77777777" w:rsidR="00000000" w:rsidRDefault="0053651E">
            <w:pPr>
              <w:jc w:val="right"/>
              <w:rPr>
                <w:rFonts w:eastAsia="Times New Roman"/>
                <w:sz w:val="16"/>
                <w:szCs w:val="16"/>
              </w:rPr>
            </w:pPr>
            <w:r>
              <w:rPr>
                <w:rFonts w:eastAsia="Times New Roman"/>
                <w:sz w:val="16"/>
                <w:szCs w:val="16"/>
              </w:rPr>
              <w:t>14,157,534</w:t>
            </w:r>
          </w:p>
        </w:tc>
        <w:tc>
          <w:tcPr>
            <w:tcW w:w="50" w:type="pct"/>
            <w:shd w:val="clear" w:color="auto" w:fill="FFFFFF"/>
            <w:vAlign w:val="bottom"/>
            <w:hideMark/>
          </w:tcPr>
          <w:p w14:paraId="564242A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7044D3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B1358E7"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6597A5D7" w14:textId="77777777">
        <w:trPr>
          <w:tblCellSpacing w:w="0" w:type="dxa"/>
        </w:trPr>
        <w:tc>
          <w:tcPr>
            <w:tcW w:w="50" w:type="pct"/>
            <w:shd w:val="clear" w:color="auto" w:fill="CCEEFF"/>
            <w:vAlign w:val="bottom"/>
            <w:hideMark/>
          </w:tcPr>
          <w:p w14:paraId="267FB69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C8C02C5" w14:textId="77777777" w:rsidR="00000000" w:rsidRDefault="0053651E">
            <w:pPr>
              <w:pStyle w:val="a3"/>
              <w:spacing w:before="0" w:beforeAutospacing="0" w:after="0" w:afterAutospacing="0"/>
              <w:rPr>
                <w:sz w:val="16"/>
                <w:szCs w:val="16"/>
              </w:rPr>
            </w:pPr>
            <w:r>
              <w:rPr>
                <w:sz w:val="16"/>
                <w:szCs w:val="16"/>
              </w:rPr>
              <w:t>LA MIRADA THEATRE CENTER</w:t>
            </w:r>
          </w:p>
        </w:tc>
        <w:tc>
          <w:tcPr>
            <w:tcW w:w="150" w:type="pct"/>
            <w:shd w:val="clear" w:color="auto" w:fill="CCEEFF"/>
            <w:vAlign w:val="bottom"/>
            <w:hideMark/>
          </w:tcPr>
          <w:p w14:paraId="7252E780"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71881295" w14:textId="77777777" w:rsidR="00000000" w:rsidRDefault="0053651E">
            <w:pPr>
              <w:jc w:val="right"/>
              <w:rPr>
                <w:rFonts w:eastAsia="Times New Roman"/>
                <w:sz w:val="16"/>
                <w:szCs w:val="16"/>
              </w:rPr>
            </w:pPr>
            <w:r>
              <w:rPr>
                <w:rFonts w:eastAsia="Times New Roman"/>
                <w:sz w:val="16"/>
                <w:szCs w:val="16"/>
              </w:rPr>
              <w:t>8,816,741</w:t>
            </w:r>
          </w:p>
        </w:tc>
        <w:tc>
          <w:tcPr>
            <w:tcW w:w="550" w:type="pct"/>
            <w:shd w:val="clear" w:color="auto" w:fill="CCEEFF"/>
            <w:vAlign w:val="bottom"/>
            <w:hideMark/>
          </w:tcPr>
          <w:p w14:paraId="0C3DCC5A" w14:textId="77777777" w:rsidR="00000000" w:rsidRDefault="0053651E">
            <w:pPr>
              <w:jc w:val="right"/>
              <w:rPr>
                <w:rFonts w:eastAsia="Times New Roman"/>
                <w:sz w:val="16"/>
                <w:szCs w:val="16"/>
              </w:rPr>
            </w:pPr>
            <w:r>
              <w:rPr>
                <w:rFonts w:eastAsia="Times New Roman"/>
                <w:sz w:val="16"/>
                <w:szCs w:val="16"/>
              </w:rPr>
              <w:t xml:space="preserve">35,25 </w:t>
            </w:r>
          </w:p>
          <w:p w14:paraId="39D553AA" w14:textId="77777777" w:rsidR="00000000" w:rsidRDefault="0053651E">
            <w:pPr>
              <w:jc w:val="right"/>
              <w:divId w:val="1236545573"/>
              <w:rPr>
                <w:rFonts w:eastAsia="Times New Roman"/>
                <w:vanish/>
                <w:sz w:val="16"/>
                <w:szCs w:val="16"/>
              </w:rPr>
            </w:pPr>
            <w:r>
              <w:rPr>
                <w:rFonts w:eastAsia="Times New Roman"/>
                <w:vanish/>
                <w:sz w:val="16"/>
                <w:szCs w:val="16"/>
              </w:rPr>
              <w:t xml:space="preserve">  </w:t>
            </w:r>
          </w:p>
          <w:p w14:paraId="47F778B9" w14:textId="77777777" w:rsidR="00000000" w:rsidRDefault="0053651E">
            <w:pPr>
              <w:jc w:val="right"/>
              <w:rPr>
                <w:rFonts w:eastAsia="Times New Roman"/>
                <w:sz w:val="16"/>
                <w:szCs w:val="16"/>
              </w:rPr>
            </w:pPr>
            <w:r>
              <w:rPr>
                <w:rFonts w:eastAsia="Times New Roman"/>
                <w:sz w:val="16"/>
                <w:szCs w:val="16"/>
              </w:rPr>
              <w:t>9,965</w:t>
            </w:r>
          </w:p>
        </w:tc>
        <w:tc>
          <w:tcPr>
            <w:tcW w:w="350" w:type="pct"/>
            <w:shd w:val="clear" w:color="auto" w:fill="CCEEFF"/>
            <w:vAlign w:val="bottom"/>
            <w:hideMark/>
          </w:tcPr>
          <w:p w14:paraId="7BDF347C" w14:textId="77777777" w:rsidR="00000000" w:rsidRDefault="0053651E">
            <w:pPr>
              <w:jc w:val="right"/>
              <w:rPr>
                <w:rFonts w:eastAsia="Times New Roman"/>
                <w:sz w:val="16"/>
                <w:szCs w:val="16"/>
              </w:rPr>
            </w:pPr>
            <w:r>
              <w:rPr>
                <w:rFonts w:eastAsia="Times New Roman"/>
                <w:sz w:val="16"/>
                <w:szCs w:val="16"/>
              </w:rPr>
              <w:t>(689,279)</w:t>
            </w:r>
          </w:p>
        </w:tc>
        <w:tc>
          <w:tcPr>
            <w:tcW w:w="300" w:type="pct"/>
            <w:shd w:val="clear" w:color="auto" w:fill="CCEEFF"/>
            <w:vAlign w:val="bottom"/>
            <w:hideMark/>
          </w:tcPr>
          <w:p w14:paraId="3CED6CBD" w14:textId="77777777" w:rsidR="00000000" w:rsidRDefault="0053651E">
            <w:pPr>
              <w:jc w:val="right"/>
              <w:rPr>
                <w:rFonts w:eastAsia="Times New Roman"/>
                <w:sz w:val="16"/>
                <w:szCs w:val="16"/>
              </w:rPr>
            </w:pPr>
            <w:r>
              <w:rPr>
                <w:rFonts w:eastAsia="Times New Roman"/>
                <w:sz w:val="16"/>
                <w:szCs w:val="16"/>
              </w:rPr>
              <w:t>6,888,680</w:t>
            </w:r>
          </w:p>
        </w:tc>
        <w:tc>
          <w:tcPr>
            <w:tcW w:w="450" w:type="pct"/>
            <w:shd w:val="clear" w:color="auto" w:fill="CCEEFF"/>
            <w:vAlign w:val="bottom"/>
            <w:hideMark/>
          </w:tcPr>
          <w:p w14:paraId="7B715384" w14:textId="77777777" w:rsidR="00000000" w:rsidRDefault="0053651E">
            <w:pPr>
              <w:jc w:val="right"/>
              <w:rPr>
                <w:rFonts w:eastAsia="Times New Roman"/>
                <w:sz w:val="16"/>
                <w:szCs w:val="16"/>
              </w:rPr>
            </w:pPr>
            <w:r>
              <w:rPr>
                <w:rFonts w:eastAsia="Times New Roman"/>
                <w:sz w:val="16"/>
                <w:szCs w:val="16"/>
              </w:rPr>
              <w:t>36,498,747</w:t>
            </w:r>
          </w:p>
        </w:tc>
        <w:tc>
          <w:tcPr>
            <w:tcW w:w="350" w:type="pct"/>
            <w:shd w:val="clear" w:color="auto" w:fill="CCEEFF"/>
            <w:vAlign w:val="bottom"/>
            <w:hideMark/>
          </w:tcPr>
          <w:p w14:paraId="459DEC62" w14:textId="77777777" w:rsidR="00000000" w:rsidRDefault="0053651E">
            <w:pPr>
              <w:jc w:val="right"/>
              <w:rPr>
                <w:rFonts w:eastAsia="Times New Roman"/>
                <w:sz w:val="16"/>
                <w:szCs w:val="16"/>
              </w:rPr>
            </w:pPr>
            <w:r>
              <w:rPr>
                <w:rFonts w:eastAsia="Times New Roman"/>
                <w:sz w:val="16"/>
                <w:szCs w:val="16"/>
              </w:rPr>
              <w:t>43,387,427</w:t>
            </w:r>
          </w:p>
        </w:tc>
        <w:tc>
          <w:tcPr>
            <w:tcW w:w="400" w:type="pct"/>
            <w:shd w:val="clear" w:color="auto" w:fill="CCEEFF"/>
            <w:vAlign w:val="bottom"/>
            <w:hideMark/>
          </w:tcPr>
          <w:p w14:paraId="56824823" w14:textId="77777777" w:rsidR="00000000" w:rsidRDefault="0053651E">
            <w:pPr>
              <w:jc w:val="right"/>
              <w:rPr>
                <w:rFonts w:eastAsia="Times New Roman"/>
                <w:sz w:val="16"/>
                <w:szCs w:val="16"/>
              </w:rPr>
            </w:pPr>
            <w:r>
              <w:rPr>
                <w:rFonts w:eastAsia="Times New Roman"/>
                <w:sz w:val="16"/>
                <w:szCs w:val="16"/>
              </w:rPr>
              <w:t>18,514,444</w:t>
            </w:r>
          </w:p>
        </w:tc>
        <w:tc>
          <w:tcPr>
            <w:tcW w:w="50" w:type="pct"/>
            <w:shd w:val="clear" w:color="auto" w:fill="CCEEFF"/>
            <w:vAlign w:val="bottom"/>
            <w:hideMark/>
          </w:tcPr>
          <w:p w14:paraId="5F164D1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59763A8" w14:textId="77777777" w:rsidR="00000000" w:rsidRDefault="0053651E">
            <w:pPr>
              <w:jc w:val="right"/>
              <w:rPr>
                <w:rFonts w:eastAsia="Times New Roman"/>
                <w:sz w:val="16"/>
                <w:szCs w:val="16"/>
              </w:rPr>
            </w:pPr>
            <w:r>
              <w:rPr>
                <w:rFonts w:eastAsia="Times New Roman"/>
                <w:sz w:val="16"/>
                <w:szCs w:val="16"/>
              </w:rPr>
              <w:t>24,872,983</w:t>
            </w:r>
          </w:p>
        </w:tc>
        <w:tc>
          <w:tcPr>
            <w:tcW w:w="50" w:type="pct"/>
            <w:shd w:val="clear" w:color="auto" w:fill="CCEEFF"/>
            <w:vAlign w:val="bottom"/>
            <w:hideMark/>
          </w:tcPr>
          <w:p w14:paraId="4BD7261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7DDC03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124A340"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6AA1D0AD" w14:textId="77777777">
        <w:trPr>
          <w:tblCellSpacing w:w="0" w:type="dxa"/>
        </w:trPr>
        <w:tc>
          <w:tcPr>
            <w:tcW w:w="50" w:type="pct"/>
            <w:shd w:val="clear" w:color="auto" w:fill="FFFFFF"/>
            <w:vAlign w:val="bottom"/>
            <w:hideMark/>
          </w:tcPr>
          <w:p w14:paraId="05C20FE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0E91937" w14:textId="77777777" w:rsidR="00000000" w:rsidRDefault="0053651E">
            <w:pPr>
              <w:pStyle w:val="a3"/>
              <w:spacing w:before="0" w:beforeAutospacing="0" w:after="0" w:afterAutospacing="0"/>
              <w:rPr>
                <w:sz w:val="16"/>
                <w:szCs w:val="16"/>
              </w:rPr>
            </w:pPr>
            <w:r>
              <w:rPr>
                <w:sz w:val="16"/>
                <w:szCs w:val="16"/>
              </w:rPr>
              <w:t>KENNETH HAHN PLAZA</w:t>
            </w:r>
          </w:p>
        </w:tc>
        <w:tc>
          <w:tcPr>
            <w:tcW w:w="150" w:type="pct"/>
            <w:shd w:val="clear" w:color="auto" w:fill="FFFFFF"/>
            <w:vAlign w:val="bottom"/>
            <w:hideMark/>
          </w:tcPr>
          <w:p w14:paraId="097915F8"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054C8D69" w14:textId="77777777" w:rsidR="00000000" w:rsidRDefault="0053651E">
            <w:pPr>
              <w:jc w:val="right"/>
              <w:rPr>
                <w:rFonts w:eastAsia="Times New Roman"/>
                <w:sz w:val="16"/>
                <w:szCs w:val="16"/>
              </w:rPr>
            </w:pPr>
            <w:r>
              <w:rPr>
                <w:rFonts w:eastAsia="Times New Roman"/>
                <w:sz w:val="16"/>
                <w:szCs w:val="16"/>
              </w:rPr>
              <w:t>4,114,863</w:t>
            </w:r>
          </w:p>
        </w:tc>
        <w:tc>
          <w:tcPr>
            <w:tcW w:w="550" w:type="pct"/>
            <w:shd w:val="clear" w:color="auto" w:fill="FFFFFF"/>
            <w:vAlign w:val="bottom"/>
            <w:hideMark/>
          </w:tcPr>
          <w:p w14:paraId="64D9AA9B" w14:textId="77777777" w:rsidR="00000000" w:rsidRDefault="0053651E">
            <w:pPr>
              <w:jc w:val="right"/>
              <w:rPr>
                <w:rFonts w:eastAsia="Times New Roman"/>
                <w:sz w:val="16"/>
                <w:szCs w:val="16"/>
              </w:rPr>
            </w:pPr>
            <w:r>
              <w:rPr>
                <w:rFonts w:eastAsia="Times New Roman"/>
                <w:sz w:val="16"/>
                <w:szCs w:val="16"/>
              </w:rPr>
              <w:t>7,660,855</w:t>
            </w:r>
          </w:p>
        </w:tc>
        <w:tc>
          <w:tcPr>
            <w:tcW w:w="350" w:type="pct"/>
            <w:shd w:val="clear" w:color="auto" w:fill="FFFFFF"/>
            <w:vAlign w:val="bottom"/>
            <w:hideMark/>
          </w:tcPr>
          <w:p w14:paraId="0D72DA03"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1,796,476)</w:t>
            </w:r>
          </w:p>
        </w:tc>
        <w:tc>
          <w:tcPr>
            <w:tcW w:w="300" w:type="pct"/>
            <w:shd w:val="clear" w:color="auto" w:fill="FFFFFF"/>
            <w:vAlign w:val="bottom"/>
            <w:hideMark/>
          </w:tcPr>
          <w:p w14:paraId="0A224ADB"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609E7C03" w14:textId="77777777" w:rsidR="00000000" w:rsidRDefault="0053651E">
            <w:pPr>
              <w:jc w:val="right"/>
              <w:rPr>
                <w:rFonts w:eastAsia="Times New Roman"/>
                <w:sz w:val="16"/>
                <w:szCs w:val="16"/>
              </w:rPr>
            </w:pPr>
            <w:r>
              <w:rPr>
                <w:rFonts w:eastAsia="Times New Roman"/>
                <w:sz w:val="16"/>
                <w:szCs w:val="16"/>
              </w:rPr>
              <w:t>9,979,242</w:t>
            </w:r>
          </w:p>
        </w:tc>
        <w:tc>
          <w:tcPr>
            <w:tcW w:w="350" w:type="pct"/>
            <w:shd w:val="clear" w:color="auto" w:fill="FFFFFF"/>
            <w:vAlign w:val="bottom"/>
            <w:hideMark/>
          </w:tcPr>
          <w:p w14:paraId="3B0871BB" w14:textId="77777777" w:rsidR="00000000" w:rsidRDefault="0053651E">
            <w:pPr>
              <w:jc w:val="right"/>
              <w:rPr>
                <w:rFonts w:eastAsia="Times New Roman"/>
                <w:sz w:val="16"/>
                <w:szCs w:val="16"/>
              </w:rPr>
            </w:pPr>
            <w:r>
              <w:rPr>
                <w:rFonts w:eastAsia="Times New Roman"/>
                <w:sz w:val="16"/>
                <w:szCs w:val="16"/>
              </w:rPr>
              <w:t>9,979,242</w:t>
            </w:r>
          </w:p>
        </w:tc>
        <w:tc>
          <w:tcPr>
            <w:tcW w:w="400" w:type="pct"/>
            <w:shd w:val="clear" w:color="auto" w:fill="FFFFFF"/>
            <w:vAlign w:val="bottom"/>
            <w:hideMark/>
          </w:tcPr>
          <w:p w14:paraId="4DFFE953" w14:textId="77777777" w:rsidR="00000000" w:rsidRDefault="0053651E">
            <w:pPr>
              <w:jc w:val="right"/>
              <w:rPr>
                <w:rFonts w:eastAsia="Times New Roman"/>
                <w:sz w:val="16"/>
                <w:szCs w:val="16"/>
              </w:rPr>
            </w:pPr>
            <w:r>
              <w:rPr>
                <w:rFonts w:eastAsia="Times New Roman"/>
                <w:sz w:val="16"/>
                <w:szCs w:val="16"/>
              </w:rPr>
              <w:t>3,563,777</w:t>
            </w:r>
          </w:p>
        </w:tc>
        <w:tc>
          <w:tcPr>
            <w:tcW w:w="50" w:type="pct"/>
            <w:shd w:val="clear" w:color="auto" w:fill="FFFFFF"/>
            <w:vAlign w:val="bottom"/>
            <w:hideMark/>
          </w:tcPr>
          <w:p w14:paraId="6DA6FF8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AA69B5D" w14:textId="77777777" w:rsidR="00000000" w:rsidRDefault="0053651E">
            <w:pPr>
              <w:jc w:val="right"/>
              <w:rPr>
                <w:rFonts w:eastAsia="Times New Roman"/>
                <w:sz w:val="16"/>
                <w:szCs w:val="16"/>
              </w:rPr>
            </w:pPr>
            <w:r>
              <w:rPr>
                <w:rFonts w:eastAsia="Times New Roman"/>
                <w:sz w:val="16"/>
                <w:szCs w:val="16"/>
              </w:rPr>
              <w:t>6,415,465</w:t>
            </w:r>
          </w:p>
        </w:tc>
        <w:tc>
          <w:tcPr>
            <w:tcW w:w="50" w:type="pct"/>
            <w:shd w:val="clear" w:color="auto" w:fill="FFFFFF"/>
            <w:vAlign w:val="bottom"/>
            <w:hideMark/>
          </w:tcPr>
          <w:p w14:paraId="24A3223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164733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5A5F481" w14:textId="77777777" w:rsidR="00000000" w:rsidRDefault="0053651E">
            <w:pPr>
              <w:pStyle w:val="a3"/>
              <w:spacing w:before="0" w:beforeAutospacing="0" w:after="0" w:afterAutospacing="0"/>
              <w:jc w:val="center"/>
              <w:rPr>
                <w:sz w:val="16"/>
                <w:szCs w:val="16"/>
              </w:rPr>
            </w:pPr>
            <w:r>
              <w:rPr>
                <w:rStyle w:val="a6"/>
                <w:i w:val="0"/>
                <w:iCs w:val="0"/>
                <w:sz w:val="16"/>
                <w:szCs w:val="16"/>
              </w:rPr>
              <w:t>2010(A)</w:t>
            </w:r>
          </w:p>
        </w:tc>
      </w:tr>
      <w:tr w:rsidR="00000000" w14:paraId="24C60B08" w14:textId="77777777">
        <w:trPr>
          <w:tblCellSpacing w:w="0" w:type="dxa"/>
        </w:trPr>
        <w:tc>
          <w:tcPr>
            <w:tcW w:w="50" w:type="pct"/>
            <w:shd w:val="clear" w:color="auto" w:fill="CCEEFF"/>
            <w:vAlign w:val="bottom"/>
            <w:hideMark/>
          </w:tcPr>
          <w:p w14:paraId="5CCF788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E50B528" w14:textId="77777777" w:rsidR="00000000" w:rsidRDefault="0053651E">
            <w:pPr>
              <w:pStyle w:val="a3"/>
              <w:spacing w:before="0" w:beforeAutospacing="0" w:after="0" w:afterAutospacing="0"/>
              <w:rPr>
                <w:sz w:val="16"/>
                <w:szCs w:val="16"/>
              </w:rPr>
            </w:pPr>
            <w:r>
              <w:rPr>
                <w:sz w:val="16"/>
                <w:szCs w:val="16"/>
              </w:rPr>
              <w:t>LA VERNE TOWN CENTER</w:t>
            </w:r>
          </w:p>
        </w:tc>
        <w:tc>
          <w:tcPr>
            <w:tcW w:w="150" w:type="pct"/>
            <w:shd w:val="clear" w:color="auto" w:fill="CCEEFF"/>
            <w:vAlign w:val="bottom"/>
            <w:hideMark/>
          </w:tcPr>
          <w:p w14:paraId="194283A5"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27C108B1" w14:textId="77777777" w:rsidR="00000000" w:rsidRDefault="0053651E">
            <w:pPr>
              <w:jc w:val="right"/>
              <w:rPr>
                <w:rFonts w:eastAsia="Times New Roman"/>
                <w:sz w:val="16"/>
                <w:szCs w:val="16"/>
              </w:rPr>
            </w:pPr>
            <w:r>
              <w:rPr>
                <w:rFonts w:eastAsia="Times New Roman"/>
                <w:sz w:val="16"/>
                <w:szCs w:val="16"/>
              </w:rPr>
              <w:t>8,414,328</w:t>
            </w:r>
          </w:p>
        </w:tc>
        <w:tc>
          <w:tcPr>
            <w:tcW w:w="550" w:type="pct"/>
            <w:shd w:val="clear" w:color="auto" w:fill="CCEEFF"/>
            <w:vAlign w:val="bottom"/>
            <w:hideMark/>
          </w:tcPr>
          <w:p w14:paraId="3377272C" w14:textId="77777777" w:rsidR="00000000" w:rsidRDefault="0053651E">
            <w:pPr>
              <w:jc w:val="right"/>
              <w:rPr>
                <w:rFonts w:eastAsia="Times New Roman"/>
                <w:sz w:val="16"/>
                <w:szCs w:val="16"/>
              </w:rPr>
            </w:pPr>
            <w:r>
              <w:rPr>
                <w:rFonts w:eastAsia="Times New Roman"/>
                <w:sz w:val="16"/>
                <w:szCs w:val="16"/>
              </w:rPr>
              <w:t>23,856,418</w:t>
            </w:r>
          </w:p>
        </w:tc>
        <w:tc>
          <w:tcPr>
            <w:tcW w:w="350" w:type="pct"/>
            <w:shd w:val="clear" w:color="auto" w:fill="CCEEFF"/>
            <w:vAlign w:val="bottom"/>
            <w:hideMark/>
          </w:tcPr>
          <w:p w14:paraId="7D2697A6" w14:textId="77777777" w:rsidR="00000000" w:rsidRDefault="0053651E">
            <w:pPr>
              <w:jc w:val="right"/>
              <w:rPr>
                <w:rFonts w:eastAsia="Times New Roman"/>
                <w:sz w:val="16"/>
                <w:szCs w:val="16"/>
              </w:rPr>
            </w:pPr>
            <w:r>
              <w:rPr>
                <w:rFonts w:eastAsia="Times New Roman"/>
                <w:sz w:val="16"/>
                <w:szCs w:val="16"/>
              </w:rPr>
              <w:t>12,183,413</w:t>
            </w:r>
          </w:p>
        </w:tc>
        <w:tc>
          <w:tcPr>
            <w:tcW w:w="300" w:type="pct"/>
            <w:shd w:val="clear" w:color="auto" w:fill="CCEEFF"/>
            <w:vAlign w:val="bottom"/>
            <w:hideMark/>
          </w:tcPr>
          <w:p w14:paraId="4C94C53F" w14:textId="77777777" w:rsidR="00000000" w:rsidRDefault="0053651E">
            <w:pPr>
              <w:jc w:val="right"/>
              <w:rPr>
                <w:rFonts w:eastAsia="Times New Roman"/>
                <w:sz w:val="16"/>
                <w:szCs w:val="16"/>
              </w:rPr>
            </w:pPr>
            <w:r>
              <w:rPr>
                <w:rFonts w:eastAsia="Times New Roman"/>
                <w:sz w:val="16"/>
                <w:szCs w:val="16"/>
              </w:rPr>
              <w:t>16,362,169</w:t>
            </w:r>
          </w:p>
        </w:tc>
        <w:tc>
          <w:tcPr>
            <w:tcW w:w="450" w:type="pct"/>
            <w:shd w:val="clear" w:color="auto" w:fill="CCEEFF"/>
            <w:vAlign w:val="bottom"/>
            <w:hideMark/>
          </w:tcPr>
          <w:p w14:paraId="025FEB2A" w14:textId="77777777" w:rsidR="00000000" w:rsidRDefault="0053651E">
            <w:pPr>
              <w:jc w:val="right"/>
              <w:rPr>
                <w:rFonts w:eastAsia="Times New Roman"/>
                <w:sz w:val="16"/>
                <w:szCs w:val="16"/>
              </w:rPr>
            </w:pPr>
            <w:r>
              <w:rPr>
                <w:rFonts w:eastAsia="Times New Roman"/>
                <w:sz w:val="16"/>
                <w:szCs w:val="16"/>
              </w:rPr>
              <w:t>28,091,990</w:t>
            </w:r>
          </w:p>
        </w:tc>
        <w:tc>
          <w:tcPr>
            <w:tcW w:w="350" w:type="pct"/>
            <w:shd w:val="clear" w:color="auto" w:fill="CCEEFF"/>
            <w:vAlign w:val="bottom"/>
            <w:hideMark/>
          </w:tcPr>
          <w:p w14:paraId="34CD659A" w14:textId="77777777" w:rsidR="00000000" w:rsidRDefault="0053651E">
            <w:pPr>
              <w:jc w:val="right"/>
              <w:rPr>
                <w:rFonts w:eastAsia="Times New Roman"/>
                <w:sz w:val="16"/>
                <w:szCs w:val="16"/>
              </w:rPr>
            </w:pPr>
            <w:r>
              <w:rPr>
                <w:rFonts w:eastAsia="Times New Roman"/>
                <w:sz w:val="16"/>
                <w:szCs w:val="16"/>
              </w:rPr>
              <w:t>44,454,159</w:t>
            </w:r>
          </w:p>
        </w:tc>
        <w:tc>
          <w:tcPr>
            <w:tcW w:w="400" w:type="pct"/>
            <w:shd w:val="clear" w:color="auto" w:fill="CCEEFF"/>
            <w:vAlign w:val="bottom"/>
            <w:hideMark/>
          </w:tcPr>
          <w:p w14:paraId="46BF9964" w14:textId="77777777" w:rsidR="00000000" w:rsidRDefault="0053651E">
            <w:pPr>
              <w:jc w:val="right"/>
              <w:rPr>
                <w:rFonts w:eastAsia="Times New Roman"/>
                <w:sz w:val="16"/>
                <w:szCs w:val="16"/>
              </w:rPr>
            </w:pPr>
            <w:r>
              <w:rPr>
                <w:rFonts w:eastAsia="Times New Roman"/>
                <w:sz w:val="16"/>
                <w:szCs w:val="16"/>
              </w:rPr>
              <w:t>5,248,265</w:t>
            </w:r>
          </w:p>
        </w:tc>
        <w:tc>
          <w:tcPr>
            <w:tcW w:w="50" w:type="pct"/>
            <w:shd w:val="clear" w:color="auto" w:fill="CCEEFF"/>
            <w:vAlign w:val="bottom"/>
            <w:hideMark/>
          </w:tcPr>
          <w:p w14:paraId="3F6C770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F1E4DDC" w14:textId="77777777" w:rsidR="00000000" w:rsidRDefault="0053651E">
            <w:pPr>
              <w:jc w:val="right"/>
              <w:rPr>
                <w:rFonts w:eastAsia="Times New Roman"/>
                <w:sz w:val="16"/>
                <w:szCs w:val="16"/>
              </w:rPr>
            </w:pPr>
            <w:r>
              <w:rPr>
                <w:rFonts w:eastAsia="Times New Roman"/>
                <w:sz w:val="16"/>
                <w:szCs w:val="16"/>
              </w:rPr>
              <w:t>39,205,894</w:t>
            </w:r>
          </w:p>
        </w:tc>
        <w:tc>
          <w:tcPr>
            <w:tcW w:w="50" w:type="pct"/>
            <w:shd w:val="clear" w:color="auto" w:fill="CCEEFF"/>
            <w:vAlign w:val="bottom"/>
            <w:hideMark/>
          </w:tcPr>
          <w:p w14:paraId="089DCB5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88F6B7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11B061B"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04C2425" w14:textId="77777777">
        <w:trPr>
          <w:tblCellSpacing w:w="0" w:type="dxa"/>
        </w:trPr>
        <w:tc>
          <w:tcPr>
            <w:tcW w:w="50" w:type="pct"/>
            <w:shd w:val="clear" w:color="auto" w:fill="FFFFFF"/>
            <w:vAlign w:val="bottom"/>
            <w:hideMark/>
          </w:tcPr>
          <w:p w14:paraId="5CA207D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F13F6C8" w14:textId="77777777" w:rsidR="00000000" w:rsidRDefault="0053651E">
            <w:pPr>
              <w:pStyle w:val="a3"/>
              <w:spacing w:before="0" w:beforeAutospacing="0" w:after="0" w:afterAutospacing="0"/>
              <w:rPr>
                <w:sz w:val="16"/>
                <w:szCs w:val="16"/>
              </w:rPr>
            </w:pPr>
            <w:r>
              <w:rPr>
                <w:sz w:val="16"/>
                <w:szCs w:val="16"/>
              </w:rPr>
              <w:t>LINCOLN HILLS TOWN CENTER</w:t>
            </w:r>
          </w:p>
        </w:tc>
        <w:tc>
          <w:tcPr>
            <w:tcW w:w="150" w:type="pct"/>
            <w:shd w:val="clear" w:color="auto" w:fill="FFFFFF"/>
            <w:vAlign w:val="bottom"/>
            <w:hideMark/>
          </w:tcPr>
          <w:p w14:paraId="4BEF4686"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357163CA" w14:textId="77777777" w:rsidR="00000000" w:rsidRDefault="0053651E">
            <w:pPr>
              <w:jc w:val="right"/>
              <w:rPr>
                <w:rFonts w:eastAsia="Times New Roman"/>
                <w:sz w:val="16"/>
                <w:szCs w:val="16"/>
              </w:rPr>
            </w:pPr>
            <w:r>
              <w:rPr>
                <w:rFonts w:eastAsia="Times New Roman"/>
                <w:sz w:val="16"/>
                <w:szCs w:val="16"/>
              </w:rPr>
              <w:t>8,228,587</w:t>
            </w:r>
          </w:p>
        </w:tc>
        <w:tc>
          <w:tcPr>
            <w:tcW w:w="550" w:type="pct"/>
            <w:shd w:val="clear" w:color="auto" w:fill="FFFFFF"/>
            <w:vAlign w:val="bottom"/>
            <w:hideMark/>
          </w:tcPr>
          <w:p w14:paraId="5A0DFF71" w14:textId="77777777" w:rsidR="00000000" w:rsidRDefault="0053651E">
            <w:pPr>
              <w:jc w:val="right"/>
              <w:rPr>
                <w:rFonts w:eastAsia="Times New Roman"/>
                <w:sz w:val="16"/>
                <w:szCs w:val="16"/>
              </w:rPr>
            </w:pPr>
            <w:r>
              <w:rPr>
                <w:rFonts w:eastAsia="Times New Roman"/>
                <w:sz w:val="16"/>
                <w:szCs w:val="16"/>
              </w:rPr>
              <w:t>26,127,322</w:t>
            </w:r>
          </w:p>
        </w:tc>
        <w:tc>
          <w:tcPr>
            <w:tcW w:w="350" w:type="pct"/>
            <w:shd w:val="clear" w:color="auto" w:fill="FFFFFF"/>
            <w:vAlign w:val="bottom"/>
            <w:hideMark/>
          </w:tcPr>
          <w:p w14:paraId="660D81B1" w14:textId="77777777" w:rsidR="00000000" w:rsidRDefault="0053651E">
            <w:pPr>
              <w:jc w:val="right"/>
              <w:rPr>
                <w:rFonts w:eastAsia="Times New Roman"/>
                <w:sz w:val="16"/>
                <w:szCs w:val="16"/>
              </w:rPr>
            </w:pPr>
            <w:r>
              <w:rPr>
                <w:rFonts w:eastAsia="Times New Roman"/>
                <w:sz w:val="16"/>
                <w:szCs w:val="16"/>
              </w:rPr>
              <w:t>477,068</w:t>
            </w:r>
          </w:p>
        </w:tc>
        <w:tc>
          <w:tcPr>
            <w:tcW w:w="300" w:type="pct"/>
            <w:shd w:val="clear" w:color="auto" w:fill="FFFFFF"/>
            <w:vAlign w:val="bottom"/>
            <w:hideMark/>
          </w:tcPr>
          <w:p w14:paraId="2F3555DE" w14:textId="77777777" w:rsidR="00000000" w:rsidRDefault="0053651E">
            <w:pPr>
              <w:jc w:val="right"/>
              <w:rPr>
                <w:rFonts w:eastAsia="Times New Roman"/>
                <w:sz w:val="16"/>
                <w:szCs w:val="16"/>
              </w:rPr>
            </w:pPr>
            <w:r>
              <w:rPr>
                <w:rFonts w:eastAsia="Times New Roman"/>
                <w:sz w:val="16"/>
                <w:szCs w:val="16"/>
              </w:rPr>
              <w:t>8,228,587</w:t>
            </w:r>
          </w:p>
        </w:tc>
        <w:tc>
          <w:tcPr>
            <w:tcW w:w="450" w:type="pct"/>
            <w:shd w:val="clear" w:color="auto" w:fill="FFFFFF"/>
            <w:vAlign w:val="bottom"/>
            <w:hideMark/>
          </w:tcPr>
          <w:p w14:paraId="2C2BF513" w14:textId="77777777" w:rsidR="00000000" w:rsidRDefault="0053651E">
            <w:pPr>
              <w:jc w:val="right"/>
              <w:rPr>
                <w:rFonts w:eastAsia="Times New Roman"/>
                <w:sz w:val="16"/>
                <w:szCs w:val="16"/>
              </w:rPr>
            </w:pPr>
            <w:r>
              <w:rPr>
                <w:rFonts w:eastAsia="Times New Roman"/>
                <w:sz w:val="16"/>
                <w:szCs w:val="16"/>
              </w:rPr>
              <w:t>26,604,390</w:t>
            </w:r>
          </w:p>
        </w:tc>
        <w:tc>
          <w:tcPr>
            <w:tcW w:w="350" w:type="pct"/>
            <w:shd w:val="clear" w:color="auto" w:fill="FFFFFF"/>
            <w:vAlign w:val="bottom"/>
            <w:hideMark/>
          </w:tcPr>
          <w:p w14:paraId="2D65A20F" w14:textId="77777777" w:rsidR="00000000" w:rsidRDefault="0053651E">
            <w:pPr>
              <w:jc w:val="right"/>
              <w:rPr>
                <w:rFonts w:eastAsia="Times New Roman"/>
                <w:sz w:val="16"/>
                <w:szCs w:val="16"/>
              </w:rPr>
            </w:pPr>
            <w:r>
              <w:rPr>
                <w:rFonts w:eastAsia="Times New Roman"/>
                <w:sz w:val="16"/>
                <w:szCs w:val="16"/>
              </w:rPr>
              <w:t>34,832,977</w:t>
            </w:r>
          </w:p>
        </w:tc>
        <w:tc>
          <w:tcPr>
            <w:tcW w:w="400" w:type="pct"/>
            <w:shd w:val="clear" w:color="auto" w:fill="FFFFFF"/>
            <w:vAlign w:val="bottom"/>
            <w:hideMark/>
          </w:tcPr>
          <w:p w14:paraId="2F06F038" w14:textId="77777777" w:rsidR="00000000" w:rsidRDefault="0053651E">
            <w:pPr>
              <w:jc w:val="right"/>
              <w:rPr>
                <w:rFonts w:eastAsia="Times New Roman"/>
                <w:sz w:val="16"/>
                <w:szCs w:val="16"/>
              </w:rPr>
            </w:pPr>
            <w:r>
              <w:rPr>
                <w:rFonts w:eastAsia="Times New Roman"/>
                <w:sz w:val="16"/>
                <w:szCs w:val="16"/>
              </w:rPr>
              <w:t>4,928,028</w:t>
            </w:r>
          </w:p>
        </w:tc>
        <w:tc>
          <w:tcPr>
            <w:tcW w:w="50" w:type="pct"/>
            <w:shd w:val="clear" w:color="auto" w:fill="FFFFFF"/>
            <w:vAlign w:val="bottom"/>
            <w:hideMark/>
          </w:tcPr>
          <w:p w14:paraId="383A54D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0D63E76" w14:textId="77777777" w:rsidR="00000000" w:rsidRDefault="0053651E">
            <w:pPr>
              <w:jc w:val="right"/>
              <w:rPr>
                <w:rFonts w:eastAsia="Times New Roman"/>
                <w:sz w:val="16"/>
                <w:szCs w:val="16"/>
              </w:rPr>
            </w:pPr>
            <w:r>
              <w:rPr>
                <w:rFonts w:eastAsia="Times New Roman"/>
                <w:sz w:val="16"/>
                <w:szCs w:val="16"/>
              </w:rPr>
              <w:t>29,904,949</w:t>
            </w:r>
          </w:p>
        </w:tc>
        <w:tc>
          <w:tcPr>
            <w:tcW w:w="50" w:type="pct"/>
            <w:shd w:val="clear" w:color="auto" w:fill="FFFFFF"/>
            <w:vAlign w:val="bottom"/>
            <w:hideMark/>
          </w:tcPr>
          <w:p w14:paraId="2626F3B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F6135F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F60D15A"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0D57B27" w14:textId="77777777">
        <w:trPr>
          <w:tblCellSpacing w:w="0" w:type="dxa"/>
        </w:trPr>
        <w:tc>
          <w:tcPr>
            <w:tcW w:w="50" w:type="pct"/>
            <w:shd w:val="clear" w:color="auto" w:fill="CCEEFF"/>
            <w:vAlign w:val="bottom"/>
            <w:hideMark/>
          </w:tcPr>
          <w:p w14:paraId="541346A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2896842" w14:textId="77777777" w:rsidR="00000000" w:rsidRDefault="0053651E">
            <w:pPr>
              <w:pStyle w:val="a3"/>
              <w:spacing w:before="0" w:beforeAutospacing="0" w:after="0" w:afterAutospacing="0"/>
              <w:rPr>
                <w:sz w:val="16"/>
                <w:szCs w:val="16"/>
              </w:rPr>
            </w:pPr>
            <w:r>
              <w:rPr>
                <w:sz w:val="16"/>
                <w:szCs w:val="16"/>
              </w:rPr>
              <w:t>NOVATO FAIR S.C.</w:t>
            </w:r>
          </w:p>
        </w:tc>
        <w:tc>
          <w:tcPr>
            <w:tcW w:w="150" w:type="pct"/>
            <w:shd w:val="clear" w:color="auto" w:fill="CCEEFF"/>
            <w:vAlign w:val="bottom"/>
            <w:hideMark/>
          </w:tcPr>
          <w:p w14:paraId="6C715050"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522310F0" w14:textId="77777777" w:rsidR="00000000" w:rsidRDefault="0053651E">
            <w:pPr>
              <w:jc w:val="right"/>
              <w:rPr>
                <w:rFonts w:eastAsia="Times New Roman"/>
                <w:sz w:val="16"/>
                <w:szCs w:val="16"/>
              </w:rPr>
            </w:pPr>
            <w:r>
              <w:rPr>
                <w:rFonts w:eastAsia="Times New Roman"/>
                <w:sz w:val="16"/>
                <w:szCs w:val="16"/>
              </w:rPr>
              <w:t>9,259,778</w:t>
            </w:r>
          </w:p>
        </w:tc>
        <w:tc>
          <w:tcPr>
            <w:tcW w:w="550" w:type="pct"/>
            <w:shd w:val="clear" w:color="auto" w:fill="CCEEFF"/>
            <w:vAlign w:val="bottom"/>
            <w:hideMark/>
          </w:tcPr>
          <w:p w14:paraId="264DAC1E" w14:textId="77777777" w:rsidR="00000000" w:rsidRDefault="0053651E">
            <w:pPr>
              <w:jc w:val="right"/>
              <w:rPr>
                <w:rFonts w:eastAsia="Times New Roman"/>
                <w:sz w:val="16"/>
                <w:szCs w:val="16"/>
              </w:rPr>
            </w:pPr>
            <w:r>
              <w:rPr>
                <w:rFonts w:eastAsia="Times New Roman"/>
                <w:sz w:val="16"/>
                <w:szCs w:val="16"/>
              </w:rPr>
              <w:t>15,599,790</w:t>
            </w:r>
          </w:p>
        </w:tc>
        <w:tc>
          <w:tcPr>
            <w:tcW w:w="350" w:type="pct"/>
            <w:shd w:val="clear" w:color="auto" w:fill="CCEEFF"/>
            <w:vAlign w:val="bottom"/>
            <w:hideMark/>
          </w:tcPr>
          <w:p w14:paraId="0CD0C814" w14:textId="77777777" w:rsidR="00000000" w:rsidRDefault="0053651E">
            <w:pPr>
              <w:jc w:val="right"/>
              <w:rPr>
                <w:rFonts w:eastAsia="Times New Roman"/>
                <w:sz w:val="16"/>
                <w:szCs w:val="16"/>
              </w:rPr>
            </w:pPr>
            <w:r>
              <w:rPr>
                <w:rFonts w:eastAsia="Times New Roman"/>
                <w:sz w:val="16"/>
                <w:szCs w:val="16"/>
              </w:rPr>
              <w:t>1,179,252</w:t>
            </w:r>
          </w:p>
        </w:tc>
        <w:tc>
          <w:tcPr>
            <w:tcW w:w="300" w:type="pct"/>
            <w:shd w:val="clear" w:color="auto" w:fill="CCEEFF"/>
            <w:vAlign w:val="bottom"/>
            <w:hideMark/>
          </w:tcPr>
          <w:p w14:paraId="40985E30" w14:textId="77777777" w:rsidR="00000000" w:rsidRDefault="0053651E">
            <w:pPr>
              <w:jc w:val="right"/>
              <w:rPr>
                <w:rFonts w:eastAsia="Times New Roman"/>
                <w:sz w:val="16"/>
                <w:szCs w:val="16"/>
              </w:rPr>
            </w:pPr>
            <w:r>
              <w:rPr>
                <w:rFonts w:eastAsia="Times New Roman"/>
                <w:sz w:val="16"/>
                <w:szCs w:val="16"/>
              </w:rPr>
              <w:t>9,259,778</w:t>
            </w:r>
          </w:p>
        </w:tc>
        <w:tc>
          <w:tcPr>
            <w:tcW w:w="450" w:type="pct"/>
            <w:shd w:val="clear" w:color="auto" w:fill="CCEEFF"/>
            <w:vAlign w:val="bottom"/>
            <w:hideMark/>
          </w:tcPr>
          <w:p w14:paraId="306236BF" w14:textId="77777777" w:rsidR="00000000" w:rsidRDefault="0053651E">
            <w:pPr>
              <w:jc w:val="right"/>
              <w:rPr>
                <w:rFonts w:eastAsia="Times New Roman"/>
                <w:sz w:val="16"/>
                <w:szCs w:val="16"/>
              </w:rPr>
            </w:pPr>
            <w:r>
              <w:rPr>
                <w:rFonts w:eastAsia="Times New Roman"/>
                <w:sz w:val="16"/>
                <w:szCs w:val="16"/>
              </w:rPr>
              <w:t>16,779,042</w:t>
            </w:r>
          </w:p>
        </w:tc>
        <w:tc>
          <w:tcPr>
            <w:tcW w:w="350" w:type="pct"/>
            <w:shd w:val="clear" w:color="auto" w:fill="CCEEFF"/>
            <w:vAlign w:val="bottom"/>
            <w:hideMark/>
          </w:tcPr>
          <w:p w14:paraId="42DB1906" w14:textId="77777777" w:rsidR="00000000" w:rsidRDefault="0053651E">
            <w:pPr>
              <w:jc w:val="right"/>
              <w:rPr>
                <w:rFonts w:eastAsia="Times New Roman"/>
                <w:sz w:val="16"/>
                <w:szCs w:val="16"/>
              </w:rPr>
            </w:pPr>
            <w:r>
              <w:rPr>
                <w:rFonts w:eastAsia="Times New Roman"/>
                <w:sz w:val="16"/>
                <w:szCs w:val="16"/>
              </w:rPr>
              <w:t>26,038,820</w:t>
            </w:r>
          </w:p>
        </w:tc>
        <w:tc>
          <w:tcPr>
            <w:tcW w:w="400" w:type="pct"/>
            <w:shd w:val="clear" w:color="auto" w:fill="CCEEFF"/>
            <w:vAlign w:val="bottom"/>
            <w:hideMark/>
          </w:tcPr>
          <w:p w14:paraId="6A5BDAA3" w14:textId="77777777" w:rsidR="00000000" w:rsidRDefault="0053651E">
            <w:pPr>
              <w:jc w:val="right"/>
              <w:rPr>
                <w:rFonts w:eastAsia="Times New Roman"/>
                <w:sz w:val="16"/>
                <w:szCs w:val="16"/>
              </w:rPr>
            </w:pPr>
            <w:r>
              <w:rPr>
                <w:rFonts w:eastAsia="Times New Roman"/>
                <w:sz w:val="16"/>
                <w:szCs w:val="16"/>
              </w:rPr>
              <w:t>6,806,338</w:t>
            </w:r>
          </w:p>
        </w:tc>
        <w:tc>
          <w:tcPr>
            <w:tcW w:w="50" w:type="pct"/>
            <w:shd w:val="clear" w:color="auto" w:fill="CCEEFF"/>
            <w:vAlign w:val="bottom"/>
            <w:hideMark/>
          </w:tcPr>
          <w:p w14:paraId="60DF88C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A8F8499" w14:textId="77777777" w:rsidR="00000000" w:rsidRDefault="0053651E">
            <w:pPr>
              <w:jc w:val="right"/>
              <w:rPr>
                <w:rFonts w:eastAsia="Times New Roman"/>
                <w:sz w:val="16"/>
                <w:szCs w:val="16"/>
              </w:rPr>
            </w:pPr>
            <w:r>
              <w:rPr>
                <w:rFonts w:eastAsia="Times New Roman"/>
                <w:sz w:val="16"/>
                <w:szCs w:val="16"/>
              </w:rPr>
              <w:t>19,232,482</w:t>
            </w:r>
          </w:p>
        </w:tc>
        <w:tc>
          <w:tcPr>
            <w:tcW w:w="50" w:type="pct"/>
            <w:shd w:val="clear" w:color="auto" w:fill="CCEEFF"/>
            <w:vAlign w:val="bottom"/>
            <w:hideMark/>
          </w:tcPr>
          <w:p w14:paraId="6EDECBE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441538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92E5091"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7B17BD93" w14:textId="77777777">
        <w:trPr>
          <w:tblCellSpacing w:w="0" w:type="dxa"/>
        </w:trPr>
        <w:tc>
          <w:tcPr>
            <w:tcW w:w="50" w:type="pct"/>
            <w:shd w:val="clear" w:color="auto" w:fill="FFFFFF"/>
            <w:vAlign w:val="bottom"/>
            <w:hideMark/>
          </w:tcPr>
          <w:p w14:paraId="28E2750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2AFD8DF" w14:textId="77777777" w:rsidR="00000000" w:rsidRDefault="0053651E">
            <w:pPr>
              <w:pStyle w:val="a3"/>
              <w:spacing w:before="0" w:beforeAutospacing="0" w:after="0" w:afterAutospacing="0"/>
              <w:rPr>
                <w:sz w:val="16"/>
                <w:szCs w:val="16"/>
              </w:rPr>
            </w:pPr>
            <w:r>
              <w:rPr>
                <w:sz w:val="16"/>
                <w:szCs w:val="16"/>
              </w:rPr>
              <w:t>SOUTH NAPA MARKET PLACE</w:t>
            </w:r>
          </w:p>
        </w:tc>
        <w:tc>
          <w:tcPr>
            <w:tcW w:w="150" w:type="pct"/>
            <w:shd w:val="clear" w:color="auto" w:fill="FFFFFF"/>
            <w:vAlign w:val="bottom"/>
            <w:hideMark/>
          </w:tcPr>
          <w:p w14:paraId="7F1FA23F"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7BA056C6" w14:textId="77777777" w:rsidR="00000000" w:rsidRDefault="0053651E">
            <w:pPr>
              <w:jc w:val="right"/>
              <w:rPr>
                <w:rFonts w:eastAsia="Times New Roman"/>
                <w:sz w:val="16"/>
                <w:szCs w:val="16"/>
              </w:rPr>
            </w:pPr>
            <w:r>
              <w:rPr>
                <w:rFonts w:eastAsia="Times New Roman"/>
                <w:sz w:val="16"/>
                <w:szCs w:val="16"/>
              </w:rPr>
              <w:t>1,100,000</w:t>
            </w:r>
          </w:p>
        </w:tc>
        <w:tc>
          <w:tcPr>
            <w:tcW w:w="550" w:type="pct"/>
            <w:shd w:val="clear" w:color="auto" w:fill="FFFFFF"/>
            <w:vAlign w:val="bottom"/>
            <w:hideMark/>
          </w:tcPr>
          <w:p w14:paraId="512DEEED" w14:textId="77777777" w:rsidR="00000000" w:rsidRDefault="0053651E">
            <w:pPr>
              <w:jc w:val="right"/>
              <w:rPr>
                <w:rFonts w:eastAsia="Times New Roman"/>
                <w:sz w:val="16"/>
                <w:szCs w:val="16"/>
              </w:rPr>
            </w:pPr>
            <w:r>
              <w:rPr>
                <w:rFonts w:eastAsia="Times New Roman"/>
                <w:sz w:val="16"/>
                <w:szCs w:val="16"/>
              </w:rPr>
              <w:t>22,159,086</w:t>
            </w:r>
          </w:p>
        </w:tc>
        <w:tc>
          <w:tcPr>
            <w:tcW w:w="350" w:type="pct"/>
            <w:shd w:val="clear" w:color="auto" w:fill="FFFFFF"/>
            <w:vAlign w:val="bottom"/>
            <w:hideMark/>
          </w:tcPr>
          <w:p w14:paraId="6A33E3D2" w14:textId="77777777" w:rsidR="00000000" w:rsidRDefault="0053651E">
            <w:pPr>
              <w:jc w:val="right"/>
              <w:rPr>
                <w:rFonts w:eastAsia="Times New Roman"/>
                <w:sz w:val="16"/>
                <w:szCs w:val="16"/>
              </w:rPr>
            </w:pPr>
            <w:r>
              <w:rPr>
                <w:rFonts w:eastAsia="Times New Roman"/>
                <w:sz w:val="16"/>
                <w:szCs w:val="16"/>
              </w:rPr>
              <w:t>20,969,254</w:t>
            </w:r>
          </w:p>
        </w:tc>
        <w:tc>
          <w:tcPr>
            <w:tcW w:w="300" w:type="pct"/>
            <w:shd w:val="clear" w:color="auto" w:fill="FFFFFF"/>
            <w:vAlign w:val="bottom"/>
            <w:hideMark/>
          </w:tcPr>
          <w:p w14:paraId="63B7D471" w14:textId="77777777" w:rsidR="00000000" w:rsidRDefault="0053651E">
            <w:pPr>
              <w:jc w:val="right"/>
              <w:rPr>
                <w:rFonts w:eastAsia="Times New Roman"/>
                <w:sz w:val="16"/>
                <w:szCs w:val="16"/>
              </w:rPr>
            </w:pPr>
            <w:r>
              <w:rPr>
                <w:rFonts w:eastAsia="Times New Roman"/>
                <w:sz w:val="16"/>
                <w:szCs w:val="16"/>
              </w:rPr>
              <w:t>23,119,071</w:t>
            </w:r>
          </w:p>
        </w:tc>
        <w:tc>
          <w:tcPr>
            <w:tcW w:w="450" w:type="pct"/>
            <w:shd w:val="clear" w:color="auto" w:fill="FFFFFF"/>
            <w:vAlign w:val="bottom"/>
            <w:hideMark/>
          </w:tcPr>
          <w:p w14:paraId="1E5DD522" w14:textId="77777777" w:rsidR="00000000" w:rsidRDefault="0053651E">
            <w:pPr>
              <w:jc w:val="right"/>
              <w:rPr>
                <w:rFonts w:eastAsia="Times New Roman"/>
                <w:sz w:val="16"/>
                <w:szCs w:val="16"/>
              </w:rPr>
            </w:pPr>
            <w:r>
              <w:rPr>
                <w:rFonts w:eastAsia="Times New Roman"/>
                <w:sz w:val="16"/>
                <w:szCs w:val="16"/>
              </w:rPr>
              <w:t>21,109,269</w:t>
            </w:r>
          </w:p>
        </w:tc>
        <w:tc>
          <w:tcPr>
            <w:tcW w:w="350" w:type="pct"/>
            <w:shd w:val="clear" w:color="auto" w:fill="FFFFFF"/>
            <w:vAlign w:val="bottom"/>
            <w:hideMark/>
          </w:tcPr>
          <w:p w14:paraId="10C64A47" w14:textId="77777777" w:rsidR="00000000" w:rsidRDefault="0053651E">
            <w:pPr>
              <w:jc w:val="right"/>
              <w:rPr>
                <w:rFonts w:eastAsia="Times New Roman"/>
                <w:sz w:val="16"/>
                <w:szCs w:val="16"/>
              </w:rPr>
            </w:pPr>
            <w:r>
              <w:rPr>
                <w:rFonts w:eastAsia="Times New Roman"/>
                <w:sz w:val="16"/>
                <w:szCs w:val="16"/>
              </w:rPr>
              <w:t>44,228,340</w:t>
            </w:r>
          </w:p>
        </w:tc>
        <w:tc>
          <w:tcPr>
            <w:tcW w:w="400" w:type="pct"/>
            <w:shd w:val="clear" w:color="auto" w:fill="FFFFFF"/>
            <w:vAlign w:val="bottom"/>
            <w:hideMark/>
          </w:tcPr>
          <w:p w14:paraId="221C3FDD" w14:textId="77777777" w:rsidR="00000000" w:rsidRDefault="0053651E">
            <w:pPr>
              <w:jc w:val="right"/>
              <w:rPr>
                <w:rFonts w:eastAsia="Times New Roman"/>
                <w:sz w:val="16"/>
                <w:szCs w:val="16"/>
              </w:rPr>
            </w:pPr>
            <w:r>
              <w:rPr>
                <w:rFonts w:eastAsia="Times New Roman"/>
                <w:sz w:val="16"/>
                <w:szCs w:val="16"/>
              </w:rPr>
              <w:t>12,816,370</w:t>
            </w:r>
          </w:p>
        </w:tc>
        <w:tc>
          <w:tcPr>
            <w:tcW w:w="50" w:type="pct"/>
            <w:shd w:val="clear" w:color="auto" w:fill="FFFFFF"/>
            <w:vAlign w:val="bottom"/>
            <w:hideMark/>
          </w:tcPr>
          <w:p w14:paraId="30CAD25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FF4DB6D" w14:textId="77777777" w:rsidR="00000000" w:rsidRDefault="0053651E">
            <w:pPr>
              <w:jc w:val="right"/>
              <w:rPr>
                <w:rFonts w:eastAsia="Times New Roman"/>
                <w:sz w:val="16"/>
                <w:szCs w:val="16"/>
              </w:rPr>
            </w:pPr>
            <w:r>
              <w:rPr>
                <w:rFonts w:eastAsia="Times New Roman"/>
                <w:sz w:val="16"/>
                <w:szCs w:val="16"/>
              </w:rPr>
              <w:t>31,411,970</w:t>
            </w:r>
          </w:p>
        </w:tc>
        <w:tc>
          <w:tcPr>
            <w:tcW w:w="50" w:type="pct"/>
            <w:shd w:val="clear" w:color="auto" w:fill="FFFFFF"/>
            <w:vAlign w:val="bottom"/>
            <w:hideMark/>
          </w:tcPr>
          <w:p w14:paraId="1F92D3C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ED3DB8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098A5A8"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094A38D8" w14:textId="77777777">
        <w:trPr>
          <w:tblCellSpacing w:w="0" w:type="dxa"/>
        </w:trPr>
        <w:tc>
          <w:tcPr>
            <w:tcW w:w="50" w:type="pct"/>
            <w:shd w:val="clear" w:color="auto" w:fill="CCEEFF"/>
            <w:vAlign w:val="bottom"/>
            <w:hideMark/>
          </w:tcPr>
          <w:p w14:paraId="58D09C4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6090A91" w14:textId="77777777" w:rsidR="00000000" w:rsidRDefault="0053651E">
            <w:pPr>
              <w:pStyle w:val="a3"/>
              <w:spacing w:before="0" w:beforeAutospacing="0" w:after="0" w:afterAutospacing="0"/>
              <w:rPr>
                <w:sz w:val="16"/>
                <w:szCs w:val="16"/>
              </w:rPr>
            </w:pPr>
            <w:r>
              <w:rPr>
                <w:sz w:val="16"/>
                <w:szCs w:val="16"/>
              </w:rPr>
              <w:t>PLAZA DI NORTHRIDGE</w:t>
            </w:r>
          </w:p>
        </w:tc>
        <w:tc>
          <w:tcPr>
            <w:tcW w:w="150" w:type="pct"/>
            <w:shd w:val="clear" w:color="auto" w:fill="CCEEFF"/>
            <w:vAlign w:val="bottom"/>
            <w:hideMark/>
          </w:tcPr>
          <w:p w14:paraId="33E7394A"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488D92D7" w14:textId="77777777" w:rsidR="00000000" w:rsidRDefault="0053651E">
            <w:pPr>
              <w:jc w:val="right"/>
              <w:rPr>
                <w:rFonts w:eastAsia="Times New Roman"/>
                <w:sz w:val="16"/>
                <w:szCs w:val="16"/>
              </w:rPr>
            </w:pPr>
            <w:r>
              <w:rPr>
                <w:rFonts w:eastAsia="Times New Roman"/>
                <w:sz w:val="16"/>
                <w:szCs w:val="16"/>
              </w:rPr>
              <w:t>12,900,000</w:t>
            </w:r>
          </w:p>
        </w:tc>
        <w:tc>
          <w:tcPr>
            <w:tcW w:w="550" w:type="pct"/>
            <w:shd w:val="clear" w:color="auto" w:fill="CCEEFF"/>
            <w:vAlign w:val="bottom"/>
            <w:hideMark/>
          </w:tcPr>
          <w:p w14:paraId="7A471C77" w14:textId="77777777" w:rsidR="00000000" w:rsidRDefault="0053651E">
            <w:pPr>
              <w:jc w:val="right"/>
              <w:rPr>
                <w:rFonts w:eastAsia="Times New Roman"/>
                <w:sz w:val="16"/>
                <w:szCs w:val="16"/>
              </w:rPr>
            </w:pPr>
            <w:r>
              <w:rPr>
                <w:rFonts w:eastAsia="Times New Roman"/>
                <w:sz w:val="16"/>
                <w:szCs w:val="16"/>
              </w:rPr>
              <w:t>40,574,842</w:t>
            </w:r>
          </w:p>
        </w:tc>
        <w:tc>
          <w:tcPr>
            <w:tcW w:w="350" w:type="pct"/>
            <w:shd w:val="clear" w:color="auto" w:fill="CCEEFF"/>
            <w:vAlign w:val="bottom"/>
            <w:hideMark/>
          </w:tcPr>
          <w:p w14:paraId="151C03AF" w14:textId="77777777" w:rsidR="00000000" w:rsidRDefault="0053651E">
            <w:pPr>
              <w:jc w:val="right"/>
              <w:rPr>
                <w:rFonts w:eastAsia="Times New Roman"/>
                <w:sz w:val="16"/>
                <w:szCs w:val="16"/>
              </w:rPr>
            </w:pPr>
            <w:r>
              <w:rPr>
                <w:rFonts w:eastAsia="Times New Roman"/>
                <w:sz w:val="16"/>
                <w:szCs w:val="16"/>
              </w:rPr>
              <w:t>1,285,181</w:t>
            </w:r>
          </w:p>
        </w:tc>
        <w:tc>
          <w:tcPr>
            <w:tcW w:w="300" w:type="pct"/>
            <w:shd w:val="clear" w:color="auto" w:fill="CCEEFF"/>
            <w:vAlign w:val="bottom"/>
            <w:hideMark/>
          </w:tcPr>
          <w:p w14:paraId="6EC60D30" w14:textId="77777777" w:rsidR="00000000" w:rsidRDefault="0053651E">
            <w:pPr>
              <w:jc w:val="right"/>
              <w:rPr>
                <w:rFonts w:eastAsia="Times New Roman"/>
                <w:sz w:val="16"/>
                <w:szCs w:val="16"/>
              </w:rPr>
            </w:pPr>
            <w:r>
              <w:rPr>
                <w:rFonts w:eastAsia="Times New Roman"/>
                <w:sz w:val="16"/>
                <w:szCs w:val="16"/>
              </w:rPr>
              <w:t>12,900,000</w:t>
            </w:r>
          </w:p>
        </w:tc>
        <w:tc>
          <w:tcPr>
            <w:tcW w:w="450" w:type="pct"/>
            <w:shd w:val="clear" w:color="auto" w:fill="CCEEFF"/>
            <w:vAlign w:val="bottom"/>
            <w:hideMark/>
          </w:tcPr>
          <w:p w14:paraId="3EF4E89E" w14:textId="77777777" w:rsidR="00000000" w:rsidRDefault="0053651E">
            <w:pPr>
              <w:jc w:val="right"/>
              <w:rPr>
                <w:rFonts w:eastAsia="Times New Roman"/>
                <w:sz w:val="16"/>
                <w:szCs w:val="16"/>
              </w:rPr>
            </w:pPr>
            <w:r>
              <w:rPr>
                <w:rFonts w:eastAsia="Times New Roman"/>
                <w:sz w:val="16"/>
                <w:szCs w:val="16"/>
              </w:rPr>
              <w:t>41,860,023</w:t>
            </w:r>
          </w:p>
        </w:tc>
        <w:tc>
          <w:tcPr>
            <w:tcW w:w="350" w:type="pct"/>
            <w:shd w:val="clear" w:color="auto" w:fill="CCEEFF"/>
            <w:vAlign w:val="bottom"/>
            <w:hideMark/>
          </w:tcPr>
          <w:p w14:paraId="548CCABE" w14:textId="77777777" w:rsidR="00000000" w:rsidRDefault="0053651E">
            <w:pPr>
              <w:jc w:val="right"/>
              <w:rPr>
                <w:rFonts w:eastAsia="Times New Roman"/>
                <w:sz w:val="16"/>
                <w:szCs w:val="16"/>
              </w:rPr>
            </w:pPr>
            <w:r>
              <w:rPr>
                <w:rFonts w:eastAsia="Times New Roman"/>
                <w:sz w:val="16"/>
                <w:szCs w:val="16"/>
              </w:rPr>
              <w:t>54,760,023</w:t>
            </w:r>
          </w:p>
        </w:tc>
        <w:tc>
          <w:tcPr>
            <w:tcW w:w="400" w:type="pct"/>
            <w:shd w:val="clear" w:color="auto" w:fill="CCEEFF"/>
            <w:vAlign w:val="bottom"/>
            <w:hideMark/>
          </w:tcPr>
          <w:p w14:paraId="384AB098" w14:textId="77777777" w:rsidR="00000000" w:rsidRDefault="0053651E">
            <w:pPr>
              <w:jc w:val="right"/>
              <w:rPr>
                <w:rFonts w:eastAsia="Times New Roman"/>
                <w:sz w:val="16"/>
                <w:szCs w:val="16"/>
              </w:rPr>
            </w:pPr>
            <w:r>
              <w:rPr>
                <w:rFonts w:eastAsia="Times New Roman"/>
                <w:sz w:val="16"/>
                <w:szCs w:val="16"/>
              </w:rPr>
              <w:t>15,380,373</w:t>
            </w:r>
          </w:p>
        </w:tc>
        <w:tc>
          <w:tcPr>
            <w:tcW w:w="50" w:type="pct"/>
            <w:shd w:val="clear" w:color="auto" w:fill="CCEEFF"/>
            <w:vAlign w:val="bottom"/>
            <w:hideMark/>
          </w:tcPr>
          <w:p w14:paraId="24657B5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43923A0" w14:textId="77777777" w:rsidR="00000000" w:rsidRDefault="0053651E">
            <w:pPr>
              <w:jc w:val="right"/>
              <w:rPr>
                <w:rFonts w:eastAsia="Times New Roman"/>
                <w:sz w:val="16"/>
                <w:szCs w:val="16"/>
              </w:rPr>
            </w:pPr>
            <w:r>
              <w:rPr>
                <w:rFonts w:eastAsia="Times New Roman"/>
                <w:sz w:val="16"/>
                <w:szCs w:val="16"/>
              </w:rPr>
              <w:t>39,379,650</w:t>
            </w:r>
          </w:p>
        </w:tc>
        <w:tc>
          <w:tcPr>
            <w:tcW w:w="50" w:type="pct"/>
            <w:shd w:val="clear" w:color="auto" w:fill="CCEEFF"/>
            <w:vAlign w:val="bottom"/>
            <w:hideMark/>
          </w:tcPr>
          <w:p w14:paraId="7F18905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C66EE1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3C8CC16"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3A997787" w14:textId="77777777">
        <w:trPr>
          <w:tblCellSpacing w:w="0" w:type="dxa"/>
        </w:trPr>
        <w:tc>
          <w:tcPr>
            <w:tcW w:w="50" w:type="pct"/>
            <w:shd w:val="clear" w:color="auto" w:fill="FFFFFF"/>
            <w:vAlign w:val="bottom"/>
            <w:hideMark/>
          </w:tcPr>
          <w:p w14:paraId="7F73699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9A5DB3C" w14:textId="77777777" w:rsidR="00000000" w:rsidRDefault="0053651E">
            <w:pPr>
              <w:pStyle w:val="a3"/>
              <w:spacing w:before="0" w:beforeAutospacing="0" w:after="0" w:afterAutospacing="0"/>
              <w:rPr>
                <w:sz w:val="16"/>
                <w:szCs w:val="16"/>
              </w:rPr>
            </w:pPr>
            <w:r>
              <w:rPr>
                <w:sz w:val="16"/>
                <w:szCs w:val="16"/>
              </w:rPr>
              <w:t>LINDA MAR SHOPPING CENTER</w:t>
            </w:r>
          </w:p>
        </w:tc>
        <w:tc>
          <w:tcPr>
            <w:tcW w:w="150" w:type="pct"/>
            <w:shd w:val="clear" w:color="auto" w:fill="FFFFFF"/>
            <w:vAlign w:val="bottom"/>
            <w:hideMark/>
          </w:tcPr>
          <w:p w14:paraId="3AD85481"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182EAC30" w14:textId="77777777" w:rsidR="00000000" w:rsidRDefault="0053651E">
            <w:pPr>
              <w:jc w:val="right"/>
              <w:rPr>
                <w:rFonts w:eastAsia="Times New Roman"/>
                <w:sz w:val="16"/>
                <w:szCs w:val="16"/>
              </w:rPr>
            </w:pPr>
            <w:r>
              <w:rPr>
                <w:rFonts w:eastAsia="Times New Roman"/>
                <w:sz w:val="16"/>
                <w:szCs w:val="16"/>
              </w:rPr>
              <w:t>16,548,592</w:t>
            </w:r>
          </w:p>
        </w:tc>
        <w:tc>
          <w:tcPr>
            <w:tcW w:w="550" w:type="pct"/>
            <w:shd w:val="clear" w:color="auto" w:fill="FFFFFF"/>
            <w:vAlign w:val="bottom"/>
            <w:hideMark/>
          </w:tcPr>
          <w:p w14:paraId="51906050" w14:textId="77777777" w:rsidR="00000000" w:rsidRDefault="0053651E">
            <w:pPr>
              <w:jc w:val="right"/>
              <w:rPr>
                <w:rFonts w:eastAsia="Times New Roman"/>
                <w:sz w:val="16"/>
                <w:szCs w:val="16"/>
              </w:rPr>
            </w:pPr>
            <w:r>
              <w:rPr>
                <w:rFonts w:eastAsia="Times New Roman"/>
                <w:sz w:val="16"/>
                <w:szCs w:val="16"/>
              </w:rPr>
              <w:t>37,521,194</w:t>
            </w:r>
          </w:p>
        </w:tc>
        <w:tc>
          <w:tcPr>
            <w:tcW w:w="350" w:type="pct"/>
            <w:shd w:val="clear" w:color="auto" w:fill="FFFFFF"/>
            <w:vAlign w:val="bottom"/>
            <w:hideMark/>
          </w:tcPr>
          <w:p w14:paraId="2ACBC3B7" w14:textId="77777777" w:rsidR="00000000" w:rsidRDefault="0053651E">
            <w:pPr>
              <w:jc w:val="right"/>
              <w:rPr>
                <w:rFonts w:eastAsia="Times New Roman"/>
                <w:sz w:val="16"/>
                <w:szCs w:val="16"/>
              </w:rPr>
            </w:pPr>
            <w:r>
              <w:rPr>
                <w:rFonts w:eastAsia="Times New Roman"/>
                <w:sz w:val="16"/>
                <w:szCs w:val="16"/>
              </w:rPr>
              <w:t>4,065,640</w:t>
            </w:r>
          </w:p>
        </w:tc>
        <w:tc>
          <w:tcPr>
            <w:tcW w:w="300" w:type="pct"/>
            <w:shd w:val="clear" w:color="auto" w:fill="FFFFFF"/>
            <w:vAlign w:val="bottom"/>
            <w:hideMark/>
          </w:tcPr>
          <w:p w14:paraId="66201779" w14:textId="77777777" w:rsidR="00000000" w:rsidRDefault="0053651E">
            <w:pPr>
              <w:jc w:val="right"/>
              <w:rPr>
                <w:rFonts w:eastAsia="Times New Roman"/>
                <w:sz w:val="16"/>
                <w:szCs w:val="16"/>
              </w:rPr>
            </w:pPr>
            <w:r>
              <w:rPr>
                <w:rFonts w:eastAsia="Times New Roman"/>
                <w:sz w:val="16"/>
                <w:szCs w:val="16"/>
              </w:rPr>
              <w:t>16,548,592</w:t>
            </w:r>
          </w:p>
        </w:tc>
        <w:tc>
          <w:tcPr>
            <w:tcW w:w="450" w:type="pct"/>
            <w:shd w:val="clear" w:color="auto" w:fill="FFFFFF"/>
            <w:vAlign w:val="bottom"/>
            <w:hideMark/>
          </w:tcPr>
          <w:p w14:paraId="78316E8C" w14:textId="77777777" w:rsidR="00000000" w:rsidRDefault="0053651E">
            <w:pPr>
              <w:jc w:val="right"/>
              <w:rPr>
                <w:rFonts w:eastAsia="Times New Roman"/>
                <w:sz w:val="16"/>
                <w:szCs w:val="16"/>
              </w:rPr>
            </w:pPr>
            <w:r>
              <w:rPr>
                <w:rFonts w:eastAsia="Times New Roman"/>
                <w:sz w:val="16"/>
                <w:szCs w:val="16"/>
              </w:rPr>
              <w:t>41,586,834</w:t>
            </w:r>
          </w:p>
        </w:tc>
        <w:tc>
          <w:tcPr>
            <w:tcW w:w="350" w:type="pct"/>
            <w:shd w:val="clear" w:color="auto" w:fill="FFFFFF"/>
            <w:vAlign w:val="bottom"/>
            <w:hideMark/>
          </w:tcPr>
          <w:p w14:paraId="1B6AD8CA" w14:textId="77777777" w:rsidR="00000000" w:rsidRDefault="0053651E">
            <w:pPr>
              <w:jc w:val="right"/>
              <w:rPr>
                <w:rFonts w:eastAsia="Times New Roman"/>
                <w:sz w:val="16"/>
                <w:szCs w:val="16"/>
              </w:rPr>
            </w:pPr>
            <w:r>
              <w:rPr>
                <w:rFonts w:eastAsia="Times New Roman"/>
                <w:sz w:val="16"/>
                <w:szCs w:val="16"/>
              </w:rPr>
              <w:t>58,135,426</w:t>
            </w:r>
          </w:p>
        </w:tc>
        <w:tc>
          <w:tcPr>
            <w:tcW w:w="400" w:type="pct"/>
            <w:shd w:val="clear" w:color="auto" w:fill="FFFFFF"/>
            <w:vAlign w:val="bottom"/>
            <w:hideMark/>
          </w:tcPr>
          <w:p w14:paraId="6D0B6E75" w14:textId="77777777" w:rsidR="00000000" w:rsidRDefault="0053651E">
            <w:pPr>
              <w:jc w:val="right"/>
              <w:rPr>
                <w:rFonts w:eastAsia="Times New Roman"/>
                <w:sz w:val="16"/>
                <w:szCs w:val="16"/>
              </w:rPr>
            </w:pPr>
            <w:r>
              <w:rPr>
                <w:rFonts w:eastAsia="Times New Roman"/>
                <w:sz w:val="16"/>
                <w:szCs w:val="16"/>
              </w:rPr>
              <w:t>9,090,842</w:t>
            </w:r>
          </w:p>
        </w:tc>
        <w:tc>
          <w:tcPr>
            <w:tcW w:w="50" w:type="pct"/>
            <w:shd w:val="clear" w:color="auto" w:fill="FFFFFF"/>
            <w:vAlign w:val="bottom"/>
            <w:hideMark/>
          </w:tcPr>
          <w:p w14:paraId="6A997DB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D795942" w14:textId="77777777" w:rsidR="00000000" w:rsidRDefault="0053651E">
            <w:pPr>
              <w:jc w:val="right"/>
              <w:rPr>
                <w:rFonts w:eastAsia="Times New Roman"/>
                <w:sz w:val="16"/>
                <w:szCs w:val="16"/>
              </w:rPr>
            </w:pPr>
            <w:r>
              <w:rPr>
                <w:rFonts w:eastAsia="Times New Roman"/>
                <w:sz w:val="16"/>
                <w:szCs w:val="16"/>
              </w:rPr>
              <w:t>49,044,584</w:t>
            </w:r>
          </w:p>
        </w:tc>
        <w:tc>
          <w:tcPr>
            <w:tcW w:w="50" w:type="pct"/>
            <w:shd w:val="clear" w:color="auto" w:fill="FFFFFF"/>
            <w:vAlign w:val="bottom"/>
            <w:hideMark/>
          </w:tcPr>
          <w:p w14:paraId="5362092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305DE4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32D4413"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bl>
    <w:p w14:paraId="2C8B3BB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147"/>
        <w:gridCol w:w="223"/>
        <w:gridCol w:w="800"/>
        <w:gridCol w:w="800"/>
        <w:gridCol w:w="827"/>
        <w:gridCol w:w="720"/>
        <w:gridCol w:w="800"/>
        <w:gridCol w:w="800"/>
        <w:gridCol w:w="720"/>
        <w:gridCol w:w="40"/>
        <w:gridCol w:w="800"/>
        <w:gridCol w:w="40"/>
        <w:gridCol w:w="720"/>
        <w:gridCol w:w="543"/>
      </w:tblGrid>
      <w:tr w:rsidR="00000000" w14:paraId="44FC7DD9" w14:textId="77777777">
        <w:trPr>
          <w:tblCellSpacing w:w="0" w:type="dxa"/>
        </w:trPr>
        <w:tc>
          <w:tcPr>
            <w:tcW w:w="50" w:type="pct"/>
            <w:shd w:val="clear" w:color="auto" w:fill="CCEEFF"/>
            <w:vAlign w:val="bottom"/>
            <w:hideMark/>
          </w:tcPr>
          <w:p w14:paraId="747F258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CD0DABB" w14:textId="77777777" w:rsidR="00000000" w:rsidRDefault="0053651E">
            <w:pPr>
              <w:pStyle w:val="a3"/>
              <w:spacing w:before="0" w:beforeAutospacing="0" w:after="0" w:afterAutospacing="0"/>
              <w:rPr>
                <w:sz w:val="16"/>
                <w:szCs w:val="16"/>
              </w:rPr>
            </w:pPr>
            <w:r>
              <w:rPr>
                <w:sz w:val="16"/>
                <w:szCs w:val="16"/>
              </w:rPr>
              <w:t>POWAY CITY CENTRE</w:t>
            </w:r>
          </w:p>
        </w:tc>
        <w:tc>
          <w:tcPr>
            <w:tcW w:w="150" w:type="pct"/>
            <w:shd w:val="clear" w:color="auto" w:fill="CCEEFF"/>
            <w:vAlign w:val="bottom"/>
            <w:hideMark/>
          </w:tcPr>
          <w:p w14:paraId="03641479"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317225F2" w14:textId="77777777" w:rsidR="00000000" w:rsidRDefault="0053651E">
            <w:pPr>
              <w:jc w:val="right"/>
              <w:rPr>
                <w:rFonts w:eastAsia="Times New Roman"/>
                <w:sz w:val="16"/>
                <w:szCs w:val="16"/>
              </w:rPr>
            </w:pPr>
            <w:r>
              <w:rPr>
                <w:rFonts w:eastAsia="Times New Roman"/>
                <w:sz w:val="16"/>
                <w:szCs w:val="16"/>
              </w:rPr>
              <w:t>5,854,585</w:t>
            </w:r>
          </w:p>
        </w:tc>
        <w:tc>
          <w:tcPr>
            <w:tcW w:w="550" w:type="pct"/>
            <w:shd w:val="clear" w:color="auto" w:fill="CCEEFF"/>
            <w:vAlign w:val="bottom"/>
            <w:hideMark/>
          </w:tcPr>
          <w:p w14:paraId="03269367" w14:textId="77777777" w:rsidR="00000000" w:rsidRDefault="0053651E">
            <w:pPr>
              <w:jc w:val="right"/>
              <w:rPr>
                <w:rFonts w:eastAsia="Times New Roman"/>
                <w:sz w:val="16"/>
                <w:szCs w:val="16"/>
              </w:rPr>
            </w:pPr>
            <w:r>
              <w:rPr>
                <w:rFonts w:eastAsia="Times New Roman"/>
                <w:sz w:val="16"/>
                <w:szCs w:val="16"/>
              </w:rPr>
              <w:t>13,792,470</w:t>
            </w:r>
          </w:p>
        </w:tc>
        <w:tc>
          <w:tcPr>
            <w:tcW w:w="350" w:type="pct"/>
            <w:shd w:val="clear" w:color="auto" w:fill="CCEEFF"/>
            <w:vAlign w:val="bottom"/>
            <w:hideMark/>
          </w:tcPr>
          <w:p w14:paraId="79F18BC4" w14:textId="77777777" w:rsidR="00000000" w:rsidRDefault="0053651E">
            <w:pPr>
              <w:jc w:val="right"/>
              <w:rPr>
                <w:rFonts w:eastAsia="Times New Roman"/>
                <w:sz w:val="16"/>
                <w:szCs w:val="16"/>
              </w:rPr>
            </w:pPr>
            <w:r>
              <w:rPr>
                <w:rFonts w:eastAsia="Times New Roman"/>
                <w:sz w:val="16"/>
                <w:szCs w:val="16"/>
              </w:rPr>
              <w:t>9,133,189</w:t>
            </w:r>
          </w:p>
        </w:tc>
        <w:tc>
          <w:tcPr>
            <w:tcW w:w="300" w:type="pct"/>
            <w:shd w:val="clear" w:color="auto" w:fill="CCEEFF"/>
            <w:vAlign w:val="bottom"/>
            <w:hideMark/>
          </w:tcPr>
          <w:p w14:paraId="428BC4A2" w14:textId="77777777" w:rsidR="00000000" w:rsidRDefault="0053651E">
            <w:pPr>
              <w:jc w:val="right"/>
              <w:rPr>
                <w:rFonts w:eastAsia="Times New Roman"/>
                <w:sz w:val="16"/>
                <w:szCs w:val="16"/>
              </w:rPr>
            </w:pPr>
            <w:r>
              <w:rPr>
                <w:rFonts w:eastAsia="Times New Roman"/>
                <w:sz w:val="16"/>
                <w:szCs w:val="16"/>
              </w:rPr>
              <w:t>7,247,814</w:t>
            </w:r>
          </w:p>
        </w:tc>
        <w:tc>
          <w:tcPr>
            <w:tcW w:w="450" w:type="pct"/>
            <w:shd w:val="clear" w:color="auto" w:fill="CCEEFF"/>
            <w:vAlign w:val="bottom"/>
            <w:hideMark/>
          </w:tcPr>
          <w:p w14:paraId="070350F3" w14:textId="77777777" w:rsidR="00000000" w:rsidRDefault="0053651E">
            <w:pPr>
              <w:jc w:val="right"/>
              <w:rPr>
                <w:rFonts w:eastAsia="Times New Roman"/>
                <w:sz w:val="16"/>
                <w:szCs w:val="16"/>
              </w:rPr>
            </w:pPr>
            <w:r>
              <w:rPr>
                <w:rFonts w:eastAsia="Times New Roman"/>
                <w:sz w:val="16"/>
                <w:szCs w:val="16"/>
              </w:rPr>
              <w:t>21,532,430</w:t>
            </w:r>
          </w:p>
        </w:tc>
        <w:tc>
          <w:tcPr>
            <w:tcW w:w="350" w:type="pct"/>
            <w:shd w:val="clear" w:color="auto" w:fill="CCEEFF"/>
            <w:vAlign w:val="bottom"/>
            <w:hideMark/>
          </w:tcPr>
          <w:p w14:paraId="25452271" w14:textId="77777777" w:rsidR="00000000" w:rsidRDefault="0053651E">
            <w:pPr>
              <w:jc w:val="right"/>
              <w:rPr>
                <w:rFonts w:eastAsia="Times New Roman"/>
                <w:sz w:val="16"/>
                <w:szCs w:val="16"/>
              </w:rPr>
            </w:pPr>
            <w:r>
              <w:rPr>
                <w:rFonts w:eastAsia="Times New Roman"/>
                <w:sz w:val="16"/>
                <w:szCs w:val="16"/>
              </w:rPr>
              <w:t>28,780,244</w:t>
            </w:r>
          </w:p>
        </w:tc>
        <w:tc>
          <w:tcPr>
            <w:tcW w:w="400" w:type="pct"/>
            <w:shd w:val="clear" w:color="auto" w:fill="CCEEFF"/>
            <w:vAlign w:val="bottom"/>
            <w:hideMark/>
          </w:tcPr>
          <w:p w14:paraId="68470A50" w14:textId="77777777" w:rsidR="00000000" w:rsidRDefault="0053651E">
            <w:pPr>
              <w:jc w:val="right"/>
              <w:rPr>
                <w:rFonts w:eastAsia="Times New Roman"/>
                <w:sz w:val="16"/>
                <w:szCs w:val="16"/>
              </w:rPr>
            </w:pPr>
            <w:r>
              <w:rPr>
                <w:rFonts w:eastAsia="Times New Roman"/>
                <w:sz w:val="16"/>
                <w:szCs w:val="16"/>
              </w:rPr>
              <w:t>9,484,235</w:t>
            </w:r>
          </w:p>
        </w:tc>
        <w:tc>
          <w:tcPr>
            <w:tcW w:w="50" w:type="pct"/>
            <w:shd w:val="clear" w:color="auto" w:fill="CCEEFF"/>
            <w:vAlign w:val="bottom"/>
            <w:hideMark/>
          </w:tcPr>
          <w:p w14:paraId="086380E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C5599C0" w14:textId="77777777" w:rsidR="00000000" w:rsidRDefault="0053651E">
            <w:pPr>
              <w:jc w:val="right"/>
              <w:rPr>
                <w:rFonts w:eastAsia="Times New Roman"/>
                <w:sz w:val="16"/>
                <w:szCs w:val="16"/>
              </w:rPr>
            </w:pPr>
            <w:r>
              <w:rPr>
                <w:rFonts w:eastAsia="Times New Roman"/>
                <w:sz w:val="16"/>
                <w:szCs w:val="16"/>
              </w:rPr>
              <w:t>19,296,009</w:t>
            </w:r>
          </w:p>
        </w:tc>
        <w:tc>
          <w:tcPr>
            <w:tcW w:w="50" w:type="pct"/>
            <w:shd w:val="clear" w:color="auto" w:fill="CCEEFF"/>
            <w:vAlign w:val="bottom"/>
            <w:hideMark/>
          </w:tcPr>
          <w:p w14:paraId="2AF8478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1DD95D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CC8F8C4"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72415B14" w14:textId="77777777">
        <w:trPr>
          <w:tblCellSpacing w:w="0" w:type="dxa"/>
        </w:trPr>
        <w:tc>
          <w:tcPr>
            <w:tcW w:w="50" w:type="pct"/>
            <w:shd w:val="clear" w:color="auto" w:fill="FFFFFF"/>
            <w:vAlign w:val="bottom"/>
            <w:hideMark/>
          </w:tcPr>
          <w:p w14:paraId="2574D76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E788800" w14:textId="77777777" w:rsidR="00000000" w:rsidRDefault="0053651E">
            <w:pPr>
              <w:pStyle w:val="a3"/>
              <w:spacing w:before="0" w:beforeAutospacing="0" w:after="0" w:afterAutospacing="0"/>
              <w:rPr>
                <w:sz w:val="16"/>
                <w:szCs w:val="16"/>
              </w:rPr>
            </w:pPr>
            <w:r>
              <w:rPr>
                <w:sz w:val="16"/>
                <w:szCs w:val="16"/>
              </w:rPr>
              <w:t>REDWOOD CITY PLAZA</w:t>
            </w:r>
          </w:p>
        </w:tc>
        <w:tc>
          <w:tcPr>
            <w:tcW w:w="150" w:type="pct"/>
            <w:shd w:val="clear" w:color="auto" w:fill="FFFFFF"/>
            <w:vAlign w:val="bottom"/>
            <w:hideMark/>
          </w:tcPr>
          <w:p w14:paraId="41062BF6"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24D14C8B" w14:textId="77777777" w:rsidR="00000000" w:rsidRDefault="0053651E">
            <w:pPr>
              <w:jc w:val="right"/>
              <w:rPr>
                <w:rFonts w:eastAsia="Times New Roman"/>
                <w:sz w:val="16"/>
                <w:szCs w:val="16"/>
              </w:rPr>
            </w:pPr>
            <w:r>
              <w:rPr>
                <w:rFonts w:eastAsia="Times New Roman"/>
                <w:sz w:val="16"/>
                <w:szCs w:val="16"/>
              </w:rPr>
              <w:t>2,552,000</w:t>
            </w:r>
          </w:p>
        </w:tc>
        <w:tc>
          <w:tcPr>
            <w:tcW w:w="550" w:type="pct"/>
            <w:shd w:val="clear" w:color="auto" w:fill="FFFFFF"/>
            <w:vAlign w:val="bottom"/>
            <w:hideMark/>
          </w:tcPr>
          <w:p w14:paraId="0C72319D" w14:textId="77777777" w:rsidR="00000000" w:rsidRDefault="0053651E">
            <w:pPr>
              <w:jc w:val="right"/>
              <w:rPr>
                <w:rFonts w:eastAsia="Times New Roman"/>
                <w:sz w:val="16"/>
                <w:szCs w:val="16"/>
              </w:rPr>
            </w:pPr>
            <w:r>
              <w:rPr>
                <w:rFonts w:eastAsia="Times New Roman"/>
                <w:sz w:val="16"/>
                <w:szCs w:val="16"/>
              </w:rPr>
              <w:t>6,215,168</w:t>
            </w:r>
          </w:p>
        </w:tc>
        <w:tc>
          <w:tcPr>
            <w:tcW w:w="350" w:type="pct"/>
            <w:shd w:val="clear" w:color="auto" w:fill="FFFFFF"/>
            <w:vAlign w:val="bottom"/>
            <w:hideMark/>
          </w:tcPr>
          <w:p w14:paraId="13E60198" w14:textId="77777777" w:rsidR="00000000" w:rsidRDefault="0053651E">
            <w:pPr>
              <w:jc w:val="right"/>
              <w:rPr>
                <w:rFonts w:eastAsia="Times New Roman"/>
                <w:sz w:val="16"/>
                <w:szCs w:val="16"/>
              </w:rPr>
            </w:pPr>
            <w:r>
              <w:rPr>
                <w:rFonts w:eastAsia="Times New Roman"/>
                <w:sz w:val="16"/>
                <w:szCs w:val="16"/>
              </w:rPr>
              <w:t>5,942,958</w:t>
            </w:r>
          </w:p>
        </w:tc>
        <w:tc>
          <w:tcPr>
            <w:tcW w:w="300" w:type="pct"/>
            <w:shd w:val="clear" w:color="auto" w:fill="FFFFFF"/>
            <w:vAlign w:val="bottom"/>
            <w:hideMark/>
          </w:tcPr>
          <w:p w14:paraId="79D7E87A" w14:textId="77777777" w:rsidR="00000000" w:rsidRDefault="0053651E">
            <w:pPr>
              <w:jc w:val="right"/>
              <w:rPr>
                <w:rFonts w:eastAsia="Times New Roman"/>
                <w:sz w:val="16"/>
                <w:szCs w:val="16"/>
              </w:rPr>
            </w:pPr>
            <w:r>
              <w:rPr>
                <w:rFonts w:eastAsia="Times New Roman"/>
                <w:sz w:val="16"/>
                <w:szCs w:val="16"/>
              </w:rPr>
              <w:t>2,552,000</w:t>
            </w:r>
          </w:p>
        </w:tc>
        <w:tc>
          <w:tcPr>
            <w:tcW w:w="450" w:type="pct"/>
            <w:shd w:val="clear" w:color="auto" w:fill="FFFFFF"/>
            <w:vAlign w:val="bottom"/>
            <w:hideMark/>
          </w:tcPr>
          <w:p w14:paraId="6AFE7C5D" w14:textId="77777777" w:rsidR="00000000" w:rsidRDefault="0053651E">
            <w:pPr>
              <w:jc w:val="right"/>
              <w:rPr>
                <w:rFonts w:eastAsia="Times New Roman"/>
                <w:sz w:val="16"/>
                <w:szCs w:val="16"/>
              </w:rPr>
            </w:pPr>
            <w:r>
              <w:rPr>
                <w:rFonts w:eastAsia="Times New Roman"/>
                <w:sz w:val="16"/>
                <w:szCs w:val="16"/>
              </w:rPr>
              <w:t>12,158,126</w:t>
            </w:r>
          </w:p>
        </w:tc>
        <w:tc>
          <w:tcPr>
            <w:tcW w:w="350" w:type="pct"/>
            <w:shd w:val="clear" w:color="auto" w:fill="FFFFFF"/>
            <w:vAlign w:val="bottom"/>
            <w:hideMark/>
          </w:tcPr>
          <w:p w14:paraId="3FF5F94A" w14:textId="77777777" w:rsidR="00000000" w:rsidRDefault="0053651E">
            <w:pPr>
              <w:jc w:val="right"/>
              <w:rPr>
                <w:rFonts w:eastAsia="Times New Roman"/>
                <w:sz w:val="16"/>
                <w:szCs w:val="16"/>
              </w:rPr>
            </w:pPr>
            <w:r>
              <w:rPr>
                <w:rFonts w:eastAsia="Times New Roman"/>
                <w:sz w:val="16"/>
                <w:szCs w:val="16"/>
              </w:rPr>
              <w:t>14,710,126</w:t>
            </w:r>
          </w:p>
        </w:tc>
        <w:tc>
          <w:tcPr>
            <w:tcW w:w="400" w:type="pct"/>
            <w:shd w:val="clear" w:color="auto" w:fill="FFFFFF"/>
            <w:vAlign w:val="bottom"/>
            <w:hideMark/>
          </w:tcPr>
          <w:p w14:paraId="5A696F50" w14:textId="77777777" w:rsidR="00000000" w:rsidRDefault="0053651E">
            <w:pPr>
              <w:jc w:val="right"/>
              <w:rPr>
                <w:rFonts w:eastAsia="Times New Roman"/>
                <w:sz w:val="16"/>
                <w:szCs w:val="16"/>
              </w:rPr>
            </w:pPr>
            <w:r>
              <w:rPr>
                <w:rFonts w:eastAsia="Times New Roman"/>
                <w:sz w:val="16"/>
                <w:szCs w:val="16"/>
              </w:rPr>
              <w:t>2,223,780</w:t>
            </w:r>
          </w:p>
        </w:tc>
        <w:tc>
          <w:tcPr>
            <w:tcW w:w="50" w:type="pct"/>
            <w:shd w:val="clear" w:color="auto" w:fill="FFFFFF"/>
            <w:vAlign w:val="bottom"/>
            <w:hideMark/>
          </w:tcPr>
          <w:p w14:paraId="19E02B5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7EAF222" w14:textId="77777777" w:rsidR="00000000" w:rsidRDefault="0053651E">
            <w:pPr>
              <w:jc w:val="right"/>
              <w:rPr>
                <w:rFonts w:eastAsia="Times New Roman"/>
                <w:sz w:val="16"/>
                <w:szCs w:val="16"/>
              </w:rPr>
            </w:pPr>
            <w:r>
              <w:rPr>
                <w:rFonts w:eastAsia="Times New Roman"/>
                <w:sz w:val="16"/>
                <w:szCs w:val="16"/>
              </w:rPr>
              <w:t>12,486,346</w:t>
            </w:r>
          </w:p>
        </w:tc>
        <w:tc>
          <w:tcPr>
            <w:tcW w:w="50" w:type="pct"/>
            <w:shd w:val="clear" w:color="auto" w:fill="FFFFFF"/>
            <w:vAlign w:val="bottom"/>
            <w:hideMark/>
          </w:tcPr>
          <w:p w14:paraId="1B57DA2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45978F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782714C"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4B3A501D" w14:textId="77777777">
        <w:trPr>
          <w:tblCellSpacing w:w="0" w:type="dxa"/>
        </w:trPr>
        <w:tc>
          <w:tcPr>
            <w:tcW w:w="50" w:type="pct"/>
            <w:shd w:val="clear" w:color="auto" w:fill="CCEEFF"/>
            <w:vAlign w:val="bottom"/>
            <w:hideMark/>
          </w:tcPr>
          <w:p w14:paraId="505012B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AEBBBE5" w14:textId="77777777" w:rsidR="00000000" w:rsidRDefault="0053651E">
            <w:pPr>
              <w:pStyle w:val="a3"/>
              <w:spacing w:before="0" w:beforeAutospacing="0" w:after="0" w:afterAutospacing="0"/>
              <w:rPr>
                <w:sz w:val="16"/>
                <w:szCs w:val="16"/>
              </w:rPr>
            </w:pPr>
            <w:r>
              <w:rPr>
                <w:sz w:val="16"/>
                <w:szCs w:val="16"/>
              </w:rPr>
              <w:t>STANFORD RANCH</w:t>
            </w:r>
          </w:p>
        </w:tc>
        <w:tc>
          <w:tcPr>
            <w:tcW w:w="150" w:type="pct"/>
            <w:shd w:val="clear" w:color="auto" w:fill="CCEEFF"/>
            <w:vAlign w:val="bottom"/>
            <w:hideMark/>
          </w:tcPr>
          <w:p w14:paraId="309414DD"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3BF11F81" w14:textId="77777777" w:rsidR="00000000" w:rsidRDefault="0053651E">
            <w:pPr>
              <w:jc w:val="right"/>
              <w:rPr>
                <w:rFonts w:eastAsia="Times New Roman"/>
                <w:sz w:val="16"/>
                <w:szCs w:val="16"/>
              </w:rPr>
            </w:pPr>
            <w:r>
              <w:rPr>
                <w:rFonts w:eastAsia="Times New Roman"/>
                <w:sz w:val="16"/>
                <w:szCs w:val="16"/>
              </w:rPr>
              <w:t>10,583,764</w:t>
            </w:r>
          </w:p>
        </w:tc>
        <w:tc>
          <w:tcPr>
            <w:tcW w:w="550" w:type="pct"/>
            <w:shd w:val="clear" w:color="auto" w:fill="CCEEFF"/>
            <w:vAlign w:val="bottom"/>
            <w:hideMark/>
          </w:tcPr>
          <w:p w14:paraId="2C525AB3" w14:textId="77777777" w:rsidR="00000000" w:rsidRDefault="0053651E">
            <w:pPr>
              <w:jc w:val="right"/>
              <w:rPr>
                <w:rFonts w:eastAsia="Times New Roman"/>
                <w:sz w:val="16"/>
                <w:szCs w:val="16"/>
              </w:rPr>
            </w:pPr>
            <w:r>
              <w:rPr>
                <w:rFonts w:eastAsia="Times New Roman"/>
                <w:sz w:val="16"/>
                <w:szCs w:val="16"/>
              </w:rPr>
              <w:t>30,007,231</w:t>
            </w:r>
          </w:p>
        </w:tc>
        <w:tc>
          <w:tcPr>
            <w:tcW w:w="350" w:type="pct"/>
            <w:shd w:val="clear" w:color="auto" w:fill="CCEEFF"/>
            <w:vAlign w:val="bottom"/>
            <w:hideMark/>
          </w:tcPr>
          <w:p w14:paraId="6E6E5FC3" w14:textId="77777777" w:rsidR="00000000" w:rsidRDefault="0053651E">
            <w:pPr>
              <w:jc w:val="right"/>
              <w:rPr>
                <w:rFonts w:eastAsia="Times New Roman"/>
                <w:sz w:val="16"/>
                <w:szCs w:val="16"/>
              </w:rPr>
            </w:pPr>
            <w:r>
              <w:rPr>
                <w:rFonts w:eastAsia="Times New Roman"/>
                <w:sz w:val="16"/>
                <w:szCs w:val="16"/>
              </w:rPr>
              <w:t>2,825,590</w:t>
            </w:r>
          </w:p>
        </w:tc>
        <w:tc>
          <w:tcPr>
            <w:tcW w:w="300" w:type="pct"/>
            <w:shd w:val="clear" w:color="auto" w:fill="CCEEFF"/>
            <w:vAlign w:val="bottom"/>
            <w:hideMark/>
          </w:tcPr>
          <w:p w14:paraId="1B5CBAC5" w14:textId="77777777" w:rsidR="00000000" w:rsidRDefault="0053651E">
            <w:pPr>
              <w:jc w:val="right"/>
              <w:rPr>
                <w:rFonts w:eastAsia="Times New Roman"/>
                <w:sz w:val="16"/>
                <w:szCs w:val="16"/>
              </w:rPr>
            </w:pPr>
            <w:r>
              <w:rPr>
                <w:rFonts w:eastAsia="Times New Roman"/>
                <w:sz w:val="16"/>
                <w:szCs w:val="16"/>
              </w:rPr>
              <w:t>9,982,626</w:t>
            </w:r>
          </w:p>
        </w:tc>
        <w:tc>
          <w:tcPr>
            <w:tcW w:w="450" w:type="pct"/>
            <w:shd w:val="clear" w:color="auto" w:fill="CCEEFF"/>
            <w:vAlign w:val="bottom"/>
            <w:hideMark/>
          </w:tcPr>
          <w:p w14:paraId="4F75E604" w14:textId="77777777" w:rsidR="00000000" w:rsidRDefault="0053651E">
            <w:pPr>
              <w:jc w:val="right"/>
              <w:rPr>
                <w:rFonts w:eastAsia="Times New Roman"/>
                <w:sz w:val="16"/>
                <w:szCs w:val="16"/>
              </w:rPr>
            </w:pPr>
            <w:r>
              <w:rPr>
                <w:rFonts w:eastAsia="Times New Roman"/>
                <w:sz w:val="16"/>
                <w:szCs w:val="16"/>
              </w:rPr>
              <w:t>33,433,959</w:t>
            </w:r>
          </w:p>
        </w:tc>
        <w:tc>
          <w:tcPr>
            <w:tcW w:w="350" w:type="pct"/>
            <w:shd w:val="clear" w:color="auto" w:fill="CCEEFF"/>
            <w:vAlign w:val="bottom"/>
            <w:hideMark/>
          </w:tcPr>
          <w:p w14:paraId="7906081C" w14:textId="77777777" w:rsidR="00000000" w:rsidRDefault="0053651E">
            <w:pPr>
              <w:jc w:val="right"/>
              <w:rPr>
                <w:rFonts w:eastAsia="Times New Roman"/>
                <w:sz w:val="16"/>
                <w:szCs w:val="16"/>
              </w:rPr>
            </w:pPr>
            <w:r>
              <w:rPr>
                <w:rFonts w:eastAsia="Times New Roman"/>
                <w:sz w:val="16"/>
                <w:szCs w:val="16"/>
              </w:rPr>
              <w:t>43,416,585</w:t>
            </w:r>
          </w:p>
        </w:tc>
        <w:tc>
          <w:tcPr>
            <w:tcW w:w="400" w:type="pct"/>
            <w:shd w:val="clear" w:color="auto" w:fill="CCEEFF"/>
            <w:vAlign w:val="bottom"/>
            <w:hideMark/>
          </w:tcPr>
          <w:p w14:paraId="77720025" w14:textId="77777777" w:rsidR="00000000" w:rsidRDefault="0053651E">
            <w:pPr>
              <w:jc w:val="right"/>
              <w:rPr>
                <w:rFonts w:eastAsia="Times New Roman"/>
                <w:sz w:val="16"/>
                <w:szCs w:val="16"/>
              </w:rPr>
            </w:pPr>
            <w:r>
              <w:rPr>
                <w:rFonts w:eastAsia="Times New Roman"/>
                <w:sz w:val="16"/>
                <w:szCs w:val="16"/>
              </w:rPr>
              <w:t>5,229,353</w:t>
            </w:r>
          </w:p>
        </w:tc>
        <w:tc>
          <w:tcPr>
            <w:tcW w:w="50" w:type="pct"/>
            <w:shd w:val="clear" w:color="auto" w:fill="CCEEFF"/>
            <w:vAlign w:val="bottom"/>
            <w:hideMark/>
          </w:tcPr>
          <w:p w14:paraId="6B7C93E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5423C77" w14:textId="77777777" w:rsidR="00000000" w:rsidRDefault="0053651E">
            <w:pPr>
              <w:jc w:val="right"/>
              <w:rPr>
                <w:rFonts w:eastAsia="Times New Roman"/>
                <w:sz w:val="16"/>
                <w:szCs w:val="16"/>
              </w:rPr>
            </w:pPr>
            <w:r>
              <w:rPr>
                <w:rFonts w:eastAsia="Times New Roman"/>
                <w:sz w:val="16"/>
                <w:szCs w:val="16"/>
              </w:rPr>
              <w:t>38,187,232</w:t>
            </w:r>
          </w:p>
        </w:tc>
        <w:tc>
          <w:tcPr>
            <w:tcW w:w="50" w:type="pct"/>
            <w:shd w:val="clear" w:color="auto" w:fill="CCEEFF"/>
            <w:vAlign w:val="bottom"/>
            <w:hideMark/>
          </w:tcPr>
          <w:p w14:paraId="7916625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AC79DE3" w14:textId="77777777" w:rsidR="00000000" w:rsidRDefault="0053651E">
            <w:pPr>
              <w:jc w:val="right"/>
              <w:rPr>
                <w:rFonts w:eastAsia="Times New Roman"/>
                <w:sz w:val="16"/>
                <w:szCs w:val="16"/>
              </w:rPr>
            </w:pPr>
            <w:r>
              <w:rPr>
                <w:rFonts w:eastAsia="Times New Roman"/>
                <w:sz w:val="16"/>
                <w:szCs w:val="16"/>
              </w:rPr>
              <w:t>13,021,617</w:t>
            </w:r>
          </w:p>
        </w:tc>
        <w:tc>
          <w:tcPr>
            <w:tcW w:w="500" w:type="pct"/>
            <w:shd w:val="clear" w:color="auto" w:fill="CCEEFF"/>
            <w:vAlign w:val="bottom"/>
            <w:hideMark/>
          </w:tcPr>
          <w:p w14:paraId="0700F817"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7804164E" w14:textId="77777777">
        <w:trPr>
          <w:tblCellSpacing w:w="0" w:type="dxa"/>
        </w:trPr>
        <w:tc>
          <w:tcPr>
            <w:tcW w:w="50" w:type="pct"/>
            <w:shd w:val="clear" w:color="auto" w:fill="FFFFFF"/>
            <w:vAlign w:val="bottom"/>
            <w:hideMark/>
          </w:tcPr>
          <w:p w14:paraId="1720468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C3D476F" w14:textId="77777777" w:rsidR="00000000" w:rsidRDefault="0053651E">
            <w:pPr>
              <w:pStyle w:val="a3"/>
              <w:spacing w:before="0" w:beforeAutospacing="0" w:after="0" w:afterAutospacing="0"/>
              <w:rPr>
                <w:sz w:val="16"/>
                <w:szCs w:val="16"/>
              </w:rPr>
            </w:pPr>
            <w:r>
              <w:rPr>
                <w:sz w:val="16"/>
                <w:szCs w:val="16"/>
              </w:rPr>
              <w:t>CROCKER RANCH</w:t>
            </w:r>
          </w:p>
        </w:tc>
        <w:tc>
          <w:tcPr>
            <w:tcW w:w="150" w:type="pct"/>
            <w:shd w:val="clear" w:color="auto" w:fill="FFFFFF"/>
            <w:vAlign w:val="bottom"/>
            <w:hideMark/>
          </w:tcPr>
          <w:p w14:paraId="65EA4A3C"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682EC2A0" w14:textId="77777777" w:rsidR="00000000" w:rsidRDefault="0053651E">
            <w:pPr>
              <w:jc w:val="right"/>
              <w:rPr>
                <w:rFonts w:eastAsia="Times New Roman"/>
                <w:sz w:val="16"/>
                <w:szCs w:val="16"/>
              </w:rPr>
            </w:pPr>
            <w:r>
              <w:rPr>
                <w:rFonts w:eastAsia="Times New Roman"/>
                <w:sz w:val="16"/>
                <w:szCs w:val="16"/>
              </w:rPr>
              <w:t>7,526,146</w:t>
            </w:r>
          </w:p>
        </w:tc>
        <w:tc>
          <w:tcPr>
            <w:tcW w:w="550" w:type="pct"/>
            <w:shd w:val="clear" w:color="auto" w:fill="FFFFFF"/>
            <w:vAlign w:val="bottom"/>
            <w:hideMark/>
          </w:tcPr>
          <w:p w14:paraId="64ED645E" w14:textId="77777777" w:rsidR="00000000" w:rsidRDefault="0053651E">
            <w:pPr>
              <w:jc w:val="right"/>
              <w:rPr>
                <w:rFonts w:eastAsia="Times New Roman"/>
                <w:sz w:val="16"/>
                <w:szCs w:val="16"/>
              </w:rPr>
            </w:pPr>
            <w:r>
              <w:rPr>
                <w:rFonts w:eastAsia="Times New Roman"/>
                <w:sz w:val="16"/>
                <w:szCs w:val="16"/>
              </w:rPr>
              <w:t>24,877,611</w:t>
            </w:r>
          </w:p>
        </w:tc>
        <w:tc>
          <w:tcPr>
            <w:tcW w:w="350" w:type="pct"/>
            <w:shd w:val="clear" w:color="auto" w:fill="FFFFFF"/>
            <w:vAlign w:val="bottom"/>
            <w:hideMark/>
          </w:tcPr>
          <w:p w14:paraId="023047BD" w14:textId="77777777" w:rsidR="00000000" w:rsidRDefault="0053651E">
            <w:pPr>
              <w:jc w:val="right"/>
              <w:rPr>
                <w:rFonts w:eastAsia="Times New Roman"/>
                <w:sz w:val="16"/>
                <w:szCs w:val="16"/>
              </w:rPr>
            </w:pPr>
            <w:r>
              <w:rPr>
                <w:rFonts w:eastAsia="Times New Roman"/>
                <w:sz w:val="16"/>
                <w:szCs w:val="16"/>
              </w:rPr>
              <w:t>104,542</w:t>
            </w:r>
          </w:p>
        </w:tc>
        <w:tc>
          <w:tcPr>
            <w:tcW w:w="300" w:type="pct"/>
            <w:shd w:val="clear" w:color="auto" w:fill="FFFFFF"/>
            <w:vAlign w:val="bottom"/>
            <w:hideMark/>
          </w:tcPr>
          <w:p w14:paraId="113CCC1E" w14:textId="77777777" w:rsidR="00000000" w:rsidRDefault="0053651E">
            <w:pPr>
              <w:jc w:val="right"/>
              <w:rPr>
                <w:rFonts w:eastAsia="Times New Roman"/>
                <w:sz w:val="16"/>
                <w:szCs w:val="16"/>
              </w:rPr>
            </w:pPr>
            <w:r>
              <w:rPr>
                <w:rFonts w:eastAsia="Times New Roman"/>
                <w:sz w:val="16"/>
                <w:szCs w:val="16"/>
              </w:rPr>
              <w:t>7,526,146</w:t>
            </w:r>
          </w:p>
        </w:tc>
        <w:tc>
          <w:tcPr>
            <w:tcW w:w="450" w:type="pct"/>
            <w:shd w:val="clear" w:color="auto" w:fill="FFFFFF"/>
            <w:vAlign w:val="bottom"/>
            <w:hideMark/>
          </w:tcPr>
          <w:p w14:paraId="646F660D" w14:textId="77777777" w:rsidR="00000000" w:rsidRDefault="0053651E">
            <w:pPr>
              <w:jc w:val="right"/>
              <w:rPr>
                <w:rFonts w:eastAsia="Times New Roman"/>
                <w:sz w:val="16"/>
                <w:szCs w:val="16"/>
              </w:rPr>
            </w:pPr>
            <w:r>
              <w:rPr>
                <w:rFonts w:eastAsia="Times New Roman"/>
                <w:sz w:val="16"/>
                <w:szCs w:val="16"/>
              </w:rPr>
              <w:t>24,982,153</w:t>
            </w:r>
          </w:p>
        </w:tc>
        <w:tc>
          <w:tcPr>
            <w:tcW w:w="350" w:type="pct"/>
            <w:shd w:val="clear" w:color="auto" w:fill="FFFFFF"/>
            <w:vAlign w:val="bottom"/>
            <w:hideMark/>
          </w:tcPr>
          <w:p w14:paraId="20AAF8AF" w14:textId="77777777" w:rsidR="00000000" w:rsidRDefault="0053651E">
            <w:pPr>
              <w:jc w:val="right"/>
              <w:rPr>
                <w:rFonts w:eastAsia="Times New Roman"/>
                <w:sz w:val="16"/>
                <w:szCs w:val="16"/>
              </w:rPr>
            </w:pPr>
            <w:r>
              <w:rPr>
                <w:rFonts w:eastAsia="Times New Roman"/>
                <w:sz w:val="16"/>
                <w:szCs w:val="16"/>
              </w:rPr>
              <w:t>32,508,299</w:t>
            </w:r>
          </w:p>
        </w:tc>
        <w:tc>
          <w:tcPr>
            <w:tcW w:w="400" w:type="pct"/>
            <w:shd w:val="clear" w:color="auto" w:fill="FFFFFF"/>
            <w:vAlign w:val="bottom"/>
            <w:hideMark/>
          </w:tcPr>
          <w:p w14:paraId="5A1323FE" w14:textId="77777777" w:rsidR="00000000" w:rsidRDefault="0053651E">
            <w:pPr>
              <w:jc w:val="right"/>
              <w:rPr>
                <w:rFonts w:eastAsia="Times New Roman"/>
                <w:sz w:val="16"/>
                <w:szCs w:val="16"/>
              </w:rPr>
            </w:pPr>
            <w:r>
              <w:rPr>
                <w:rFonts w:eastAsia="Times New Roman"/>
                <w:sz w:val="16"/>
                <w:szCs w:val="16"/>
              </w:rPr>
              <w:t>3,987,122</w:t>
            </w:r>
          </w:p>
        </w:tc>
        <w:tc>
          <w:tcPr>
            <w:tcW w:w="50" w:type="pct"/>
            <w:shd w:val="clear" w:color="auto" w:fill="FFFFFF"/>
            <w:vAlign w:val="bottom"/>
            <w:hideMark/>
          </w:tcPr>
          <w:p w14:paraId="2B58BFF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6C9F1EE" w14:textId="77777777" w:rsidR="00000000" w:rsidRDefault="0053651E">
            <w:pPr>
              <w:jc w:val="right"/>
              <w:rPr>
                <w:rFonts w:eastAsia="Times New Roman"/>
                <w:sz w:val="16"/>
                <w:szCs w:val="16"/>
              </w:rPr>
            </w:pPr>
            <w:r>
              <w:rPr>
                <w:rFonts w:eastAsia="Times New Roman"/>
                <w:sz w:val="16"/>
                <w:szCs w:val="16"/>
              </w:rPr>
              <w:t>28,521,177</w:t>
            </w:r>
          </w:p>
        </w:tc>
        <w:tc>
          <w:tcPr>
            <w:tcW w:w="50" w:type="pct"/>
            <w:shd w:val="clear" w:color="auto" w:fill="FFFFFF"/>
            <w:vAlign w:val="bottom"/>
            <w:hideMark/>
          </w:tcPr>
          <w:p w14:paraId="0C52E09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27F1CB4" w14:textId="77777777" w:rsidR="00000000" w:rsidRDefault="0053651E">
            <w:pPr>
              <w:jc w:val="right"/>
              <w:rPr>
                <w:rFonts w:eastAsia="Times New Roman"/>
                <w:sz w:val="16"/>
                <w:szCs w:val="16"/>
              </w:rPr>
            </w:pPr>
            <w:r>
              <w:rPr>
                <w:rFonts w:eastAsia="Times New Roman"/>
                <w:sz w:val="16"/>
                <w:szCs w:val="16"/>
              </w:rPr>
              <w:t>8,766,823</w:t>
            </w:r>
          </w:p>
        </w:tc>
        <w:tc>
          <w:tcPr>
            <w:tcW w:w="500" w:type="pct"/>
            <w:shd w:val="clear" w:color="auto" w:fill="FFFFFF"/>
            <w:vAlign w:val="bottom"/>
            <w:hideMark/>
          </w:tcPr>
          <w:p w14:paraId="417D1E66"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080631B2" w14:textId="77777777">
        <w:trPr>
          <w:tblCellSpacing w:w="0" w:type="dxa"/>
        </w:trPr>
        <w:tc>
          <w:tcPr>
            <w:tcW w:w="50" w:type="pct"/>
            <w:shd w:val="clear" w:color="auto" w:fill="CCEEFF"/>
            <w:vAlign w:val="bottom"/>
            <w:hideMark/>
          </w:tcPr>
          <w:p w14:paraId="4FD893B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2A7A42E" w14:textId="77777777" w:rsidR="00000000" w:rsidRDefault="0053651E">
            <w:pPr>
              <w:pStyle w:val="a3"/>
              <w:spacing w:before="0" w:beforeAutospacing="0" w:after="0" w:afterAutospacing="0"/>
              <w:rPr>
                <w:sz w:val="16"/>
                <w:szCs w:val="16"/>
              </w:rPr>
            </w:pPr>
            <w:r>
              <w:rPr>
                <w:sz w:val="16"/>
                <w:szCs w:val="16"/>
              </w:rPr>
              <w:t>HOME DEPOT PLAZA</w:t>
            </w:r>
          </w:p>
        </w:tc>
        <w:tc>
          <w:tcPr>
            <w:tcW w:w="150" w:type="pct"/>
            <w:shd w:val="clear" w:color="auto" w:fill="CCEEFF"/>
            <w:vAlign w:val="bottom"/>
            <w:hideMark/>
          </w:tcPr>
          <w:p w14:paraId="3452443D"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5310B598" w14:textId="77777777" w:rsidR="00000000" w:rsidRDefault="0053651E">
            <w:pPr>
              <w:jc w:val="right"/>
              <w:rPr>
                <w:rFonts w:eastAsia="Times New Roman"/>
                <w:sz w:val="16"/>
                <w:szCs w:val="16"/>
              </w:rPr>
            </w:pPr>
            <w:r>
              <w:rPr>
                <w:rFonts w:eastAsia="Times New Roman"/>
                <w:sz w:val="16"/>
                <w:szCs w:val="16"/>
              </w:rPr>
              <w:t>4,592,364</w:t>
            </w:r>
          </w:p>
        </w:tc>
        <w:tc>
          <w:tcPr>
            <w:tcW w:w="550" w:type="pct"/>
            <w:shd w:val="clear" w:color="auto" w:fill="CCEEFF"/>
            <w:vAlign w:val="bottom"/>
            <w:hideMark/>
          </w:tcPr>
          <w:p w14:paraId="43137577" w14:textId="77777777" w:rsidR="00000000" w:rsidRDefault="0053651E">
            <w:pPr>
              <w:jc w:val="right"/>
              <w:rPr>
                <w:rFonts w:eastAsia="Times New Roman"/>
                <w:sz w:val="16"/>
                <w:szCs w:val="16"/>
              </w:rPr>
            </w:pPr>
            <w:r>
              <w:rPr>
                <w:rFonts w:eastAsia="Times New Roman"/>
                <w:sz w:val="16"/>
                <w:szCs w:val="16"/>
              </w:rPr>
              <w:t>18,345,257</w:t>
            </w:r>
          </w:p>
        </w:tc>
        <w:tc>
          <w:tcPr>
            <w:tcW w:w="350" w:type="pct"/>
            <w:shd w:val="clear" w:color="auto" w:fill="CCEEFF"/>
            <w:vAlign w:val="bottom"/>
            <w:hideMark/>
          </w:tcPr>
          <w:p w14:paraId="5C8E29A0" w14:textId="77777777" w:rsidR="00000000" w:rsidRDefault="0053651E">
            <w:pPr>
              <w:jc w:val="right"/>
              <w:rPr>
                <w:rFonts w:eastAsia="Times New Roman"/>
                <w:sz w:val="16"/>
                <w:szCs w:val="16"/>
              </w:rPr>
            </w:pPr>
            <w:r>
              <w:rPr>
                <w:rFonts w:eastAsia="Times New Roman"/>
                <w:sz w:val="16"/>
                <w:szCs w:val="16"/>
              </w:rPr>
              <w:t>17,200</w:t>
            </w:r>
          </w:p>
        </w:tc>
        <w:tc>
          <w:tcPr>
            <w:tcW w:w="300" w:type="pct"/>
            <w:shd w:val="clear" w:color="auto" w:fill="CCEEFF"/>
            <w:vAlign w:val="bottom"/>
            <w:hideMark/>
          </w:tcPr>
          <w:p w14:paraId="54DFBF55" w14:textId="77777777" w:rsidR="00000000" w:rsidRDefault="0053651E">
            <w:pPr>
              <w:jc w:val="right"/>
              <w:rPr>
                <w:rFonts w:eastAsia="Times New Roman"/>
                <w:sz w:val="16"/>
                <w:szCs w:val="16"/>
              </w:rPr>
            </w:pPr>
            <w:r>
              <w:rPr>
                <w:rFonts w:eastAsia="Times New Roman"/>
                <w:sz w:val="16"/>
                <w:szCs w:val="16"/>
              </w:rPr>
              <w:t>4,592,364</w:t>
            </w:r>
          </w:p>
        </w:tc>
        <w:tc>
          <w:tcPr>
            <w:tcW w:w="450" w:type="pct"/>
            <w:shd w:val="clear" w:color="auto" w:fill="CCEEFF"/>
            <w:vAlign w:val="bottom"/>
            <w:hideMark/>
          </w:tcPr>
          <w:p w14:paraId="26BC0269" w14:textId="77777777" w:rsidR="00000000" w:rsidRDefault="0053651E">
            <w:pPr>
              <w:jc w:val="right"/>
              <w:rPr>
                <w:rFonts w:eastAsia="Times New Roman"/>
                <w:sz w:val="16"/>
                <w:szCs w:val="16"/>
              </w:rPr>
            </w:pPr>
            <w:r>
              <w:rPr>
                <w:rFonts w:eastAsia="Times New Roman"/>
                <w:sz w:val="16"/>
                <w:szCs w:val="16"/>
              </w:rPr>
              <w:t>18,362,457</w:t>
            </w:r>
          </w:p>
        </w:tc>
        <w:tc>
          <w:tcPr>
            <w:tcW w:w="350" w:type="pct"/>
            <w:shd w:val="clear" w:color="auto" w:fill="CCEEFF"/>
            <w:vAlign w:val="bottom"/>
            <w:hideMark/>
          </w:tcPr>
          <w:p w14:paraId="15B54A84" w14:textId="77777777" w:rsidR="00000000" w:rsidRDefault="0053651E">
            <w:pPr>
              <w:jc w:val="right"/>
              <w:rPr>
                <w:rFonts w:eastAsia="Times New Roman"/>
                <w:sz w:val="16"/>
                <w:szCs w:val="16"/>
              </w:rPr>
            </w:pPr>
            <w:r>
              <w:rPr>
                <w:rFonts w:eastAsia="Times New Roman"/>
                <w:sz w:val="16"/>
                <w:szCs w:val="16"/>
              </w:rPr>
              <w:t>22,954,821</w:t>
            </w:r>
          </w:p>
        </w:tc>
        <w:tc>
          <w:tcPr>
            <w:tcW w:w="400" w:type="pct"/>
            <w:shd w:val="clear" w:color="auto" w:fill="CCEEFF"/>
            <w:vAlign w:val="bottom"/>
            <w:hideMark/>
          </w:tcPr>
          <w:p w14:paraId="66F871A8" w14:textId="77777777" w:rsidR="00000000" w:rsidRDefault="0053651E">
            <w:pPr>
              <w:jc w:val="right"/>
              <w:rPr>
                <w:rFonts w:eastAsia="Times New Roman"/>
                <w:sz w:val="16"/>
                <w:szCs w:val="16"/>
              </w:rPr>
            </w:pPr>
            <w:r>
              <w:rPr>
                <w:rFonts w:eastAsia="Times New Roman"/>
                <w:sz w:val="16"/>
                <w:szCs w:val="16"/>
              </w:rPr>
              <w:t>10,315,399</w:t>
            </w:r>
          </w:p>
        </w:tc>
        <w:tc>
          <w:tcPr>
            <w:tcW w:w="50" w:type="pct"/>
            <w:shd w:val="clear" w:color="auto" w:fill="CCEEFF"/>
            <w:vAlign w:val="bottom"/>
            <w:hideMark/>
          </w:tcPr>
          <w:p w14:paraId="642D33B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525CCB9" w14:textId="77777777" w:rsidR="00000000" w:rsidRDefault="0053651E">
            <w:pPr>
              <w:jc w:val="right"/>
              <w:rPr>
                <w:rFonts w:eastAsia="Times New Roman"/>
                <w:sz w:val="16"/>
                <w:szCs w:val="16"/>
              </w:rPr>
            </w:pPr>
            <w:r>
              <w:rPr>
                <w:rFonts w:eastAsia="Times New Roman"/>
                <w:sz w:val="16"/>
                <w:szCs w:val="16"/>
              </w:rPr>
              <w:t>12,639,422</w:t>
            </w:r>
          </w:p>
        </w:tc>
        <w:tc>
          <w:tcPr>
            <w:tcW w:w="50" w:type="pct"/>
            <w:shd w:val="clear" w:color="auto" w:fill="CCEEFF"/>
            <w:vAlign w:val="bottom"/>
            <w:hideMark/>
          </w:tcPr>
          <w:p w14:paraId="062B958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112FD2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085CC94"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39BDD5EE" w14:textId="77777777">
        <w:trPr>
          <w:tblCellSpacing w:w="0" w:type="dxa"/>
        </w:trPr>
        <w:tc>
          <w:tcPr>
            <w:tcW w:w="50" w:type="pct"/>
            <w:shd w:val="clear" w:color="auto" w:fill="FFFFFF"/>
            <w:vAlign w:val="bottom"/>
            <w:hideMark/>
          </w:tcPr>
          <w:p w14:paraId="70AD2AA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E4AB405" w14:textId="77777777" w:rsidR="00000000" w:rsidRDefault="0053651E">
            <w:pPr>
              <w:pStyle w:val="a3"/>
              <w:spacing w:before="0" w:beforeAutospacing="0" w:after="0" w:afterAutospacing="0"/>
              <w:rPr>
                <w:sz w:val="16"/>
                <w:szCs w:val="16"/>
              </w:rPr>
            </w:pPr>
            <w:r>
              <w:rPr>
                <w:sz w:val="16"/>
                <w:szCs w:val="16"/>
              </w:rPr>
              <w:t>SANTEE TROLLEY SQUARE</w:t>
            </w:r>
          </w:p>
        </w:tc>
        <w:tc>
          <w:tcPr>
            <w:tcW w:w="150" w:type="pct"/>
            <w:shd w:val="clear" w:color="auto" w:fill="FFFFFF"/>
            <w:vAlign w:val="bottom"/>
            <w:hideMark/>
          </w:tcPr>
          <w:p w14:paraId="52E8EBD2"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4CABC67B" w14:textId="77777777" w:rsidR="00000000" w:rsidRDefault="0053651E">
            <w:pPr>
              <w:jc w:val="right"/>
              <w:rPr>
                <w:rFonts w:eastAsia="Times New Roman"/>
                <w:sz w:val="16"/>
                <w:szCs w:val="16"/>
              </w:rPr>
            </w:pPr>
            <w:r>
              <w:rPr>
                <w:rFonts w:eastAsia="Times New Roman"/>
                <w:sz w:val="16"/>
                <w:szCs w:val="16"/>
              </w:rPr>
              <w:t>40,208,683</w:t>
            </w:r>
          </w:p>
        </w:tc>
        <w:tc>
          <w:tcPr>
            <w:tcW w:w="550" w:type="pct"/>
            <w:shd w:val="clear" w:color="auto" w:fill="FFFFFF"/>
            <w:vAlign w:val="bottom"/>
            <w:hideMark/>
          </w:tcPr>
          <w:p w14:paraId="74EA4BCD" w14:textId="77777777" w:rsidR="00000000" w:rsidRDefault="0053651E">
            <w:pPr>
              <w:jc w:val="right"/>
              <w:rPr>
                <w:rFonts w:eastAsia="Times New Roman"/>
                <w:sz w:val="16"/>
                <w:szCs w:val="16"/>
              </w:rPr>
            </w:pPr>
            <w:r>
              <w:rPr>
                <w:rFonts w:eastAsia="Times New Roman"/>
                <w:sz w:val="16"/>
                <w:szCs w:val="16"/>
              </w:rPr>
              <w:t>62,963,757</w:t>
            </w:r>
          </w:p>
        </w:tc>
        <w:tc>
          <w:tcPr>
            <w:tcW w:w="350" w:type="pct"/>
            <w:shd w:val="clear" w:color="auto" w:fill="FFFFFF"/>
            <w:vAlign w:val="bottom"/>
            <w:hideMark/>
          </w:tcPr>
          <w:p w14:paraId="5B6ADF9F" w14:textId="77777777" w:rsidR="00000000" w:rsidRDefault="0053651E">
            <w:pPr>
              <w:jc w:val="right"/>
              <w:rPr>
                <w:rFonts w:eastAsia="Times New Roman"/>
                <w:sz w:val="16"/>
                <w:szCs w:val="16"/>
              </w:rPr>
            </w:pPr>
            <w:r>
              <w:rPr>
                <w:rFonts w:eastAsia="Times New Roman"/>
                <w:sz w:val="16"/>
                <w:szCs w:val="16"/>
              </w:rPr>
              <w:t>411,257</w:t>
            </w:r>
          </w:p>
        </w:tc>
        <w:tc>
          <w:tcPr>
            <w:tcW w:w="300" w:type="pct"/>
            <w:shd w:val="clear" w:color="auto" w:fill="FFFFFF"/>
            <w:vAlign w:val="bottom"/>
            <w:hideMark/>
          </w:tcPr>
          <w:p w14:paraId="2E11C32F" w14:textId="77777777" w:rsidR="00000000" w:rsidRDefault="0053651E">
            <w:pPr>
              <w:jc w:val="right"/>
              <w:rPr>
                <w:rFonts w:eastAsia="Times New Roman"/>
                <w:sz w:val="16"/>
                <w:szCs w:val="16"/>
              </w:rPr>
            </w:pPr>
            <w:r>
              <w:rPr>
                <w:rFonts w:eastAsia="Times New Roman"/>
                <w:sz w:val="16"/>
                <w:szCs w:val="16"/>
              </w:rPr>
              <w:t>40,208,683</w:t>
            </w:r>
          </w:p>
        </w:tc>
        <w:tc>
          <w:tcPr>
            <w:tcW w:w="450" w:type="pct"/>
            <w:shd w:val="clear" w:color="auto" w:fill="FFFFFF"/>
            <w:vAlign w:val="bottom"/>
            <w:hideMark/>
          </w:tcPr>
          <w:p w14:paraId="7A79B58B" w14:textId="77777777" w:rsidR="00000000" w:rsidRDefault="0053651E">
            <w:pPr>
              <w:jc w:val="right"/>
              <w:rPr>
                <w:rFonts w:eastAsia="Times New Roman"/>
                <w:sz w:val="16"/>
                <w:szCs w:val="16"/>
              </w:rPr>
            </w:pPr>
            <w:r>
              <w:rPr>
                <w:rFonts w:eastAsia="Times New Roman"/>
                <w:sz w:val="16"/>
                <w:szCs w:val="16"/>
              </w:rPr>
              <w:t>63,375,014</w:t>
            </w:r>
          </w:p>
        </w:tc>
        <w:tc>
          <w:tcPr>
            <w:tcW w:w="350" w:type="pct"/>
            <w:shd w:val="clear" w:color="auto" w:fill="FFFFFF"/>
            <w:vAlign w:val="bottom"/>
            <w:hideMark/>
          </w:tcPr>
          <w:p w14:paraId="2A367CAD" w14:textId="77777777" w:rsidR="00000000" w:rsidRDefault="0053651E">
            <w:pPr>
              <w:jc w:val="right"/>
              <w:rPr>
                <w:rFonts w:eastAsia="Times New Roman"/>
                <w:sz w:val="16"/>
                <w:szCs w:val="16"/>
              </w:rPr>
            </w:pPr>
            <w:r>
              <w:rPr>
                <w:rFonts w:eastAsia="Times New Roman"/>
                <w:sz w:val="16"/>
                <w:szCs w:val="16"/>
              </w:rPr>
              <w:t>103,583,697</w:t>
            </w:r>
          </w:p>
        </w:tc>
        <w:tc>
          <w:tcPr>
            <w:tcW w:w="400" w:type="pct"/>
            <w:shd w:val="clear" w:color="auto" w:fill="FFFFFF"/>
            <w:vAlign w:val="bottom"/>
            <w:hideMark/>
          </w:tcPr>
          <w:p w14:paraId="0759B0F9" w14:textId="77777777" w:rsidR="00000000" w:rsidRDefault="0053651E">
            <w:pPr>
              <w:jc w:val="right"/>
              <w:rPr>
                <w:rFonts w:eastAsia="Times New Roman"/>
                <w:sz w:val="16"/>
                <w:szCs w:val="16"/>
              </w:rPr>
            </w:pPr>
            <w:r>
              <w:rPr>
                <w:rFonts w:eastAsia="Times New Roman"/>
                <w:sz w:val="16"/>
                <w:szCs w:val="16"/>
              </w:rPr>
              <w:t>17,986,945</w:t>
            </w:r>
          </w:p>
        </w:tc>
        <w:tc>
          <w:tcPr>
            <w:tcW w:w="50" w:type="pct"/>
            <w:shd w:val="clear" w:color="auto" w:fill="FFFFFF"/>
            <w:vAlign w:val="bottom"/>
            <w:hideMark/>
          </w:tcPr>
          <w:p w14:paraId="16E6F5C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570C644" w14:textId="77777777" w:rsidR="00000000" w:rsidRDefault="0053651E">
            <w:pPr>
              <w:jc w:val="right"/>
              <w:rPr>
                <w:rFonts w:eastAsia="Times New Roman"/>
                <w:sz w:val="16"/>
                <w:szCs w:val="16"/>
              </w:rPr>
            </w:pPr>
            <w:r>
              <w:rPr>
                <w:rFonts w:eastAsia="Times New Roman"/>
                <w:sz w:val="16"/>
                <w:szCs w:val="16"/>
              </w:rPr>
              <w:t>85,596,752</w:t>
            </w:r>
          </w:p>
        </w:tc>
        <w:tc>
          <w:tcPr>
            <w:tcW w:w="50" w:type="pct"/>
            <w:shd w:val="clear" w:color="auto" w:fill="FFFFFF"/>
            <w:vAlign w:val="bottom"/>
            <w:hideMark/>
          </w:tcPr>
          <w:p w14:paraId="4272DDC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BB38C5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21BA60B"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F255437" w14:textId="77777777">
        <w:trPr>
          <w:tblCellSpacing w:w="0" w:type="dxa"/>
        </w:trPr>
        <w:tc>
          <w:tcPr>
            <w:tcW w:w="50" w:type="pct"/>
            <w:shd w:val="clear" w:color="auto" w:fill="CCEEFF"/>
            <w:vAlign w:val="bottom"/>
            <w:hideMark/>
          </w:tcPr>
          <w:p w14:paraId="42C4CE7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330D418" w14:textId="77777777" w:rsidR="00000000" w:rsidRDefault="0053651E">
            <w:pPr>
              <w:pStyle w:val="a3"/>
              <w:spacing w:before="0" w:beforeAutospacing="0" w:after="0" w:afterAutospacing="0"/>
              <w:rPr>
                <w:sz w:val="16"/>
                <w:szCs w:val="16"/>
              </w:rPr>
            </w:pPr>
            <w:r>
              <w:rPr>
                <w:sz w:val="16"/>
                <w:szCs w:val="16"/>
              </w:rPr>
              <w:t>SAN DIEGO CARMEL MOUNTAIN</w:t>
            </w:r>
          </w:p>
        </w:tc>
        <w:tc>
          <w:tcPr>
            <w:tcW w:w="150" w:type="pct"/>
            <w:shd w:val="clear" w:color="auto" w:fill="CCEEFF"/>
            <w:vAlign w:val="bottom"/>
            <w:hideMark/>
          </w:tcPr>
          <w:p w14:paraId="534546AE"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23B55043" w14:textId="77777777" w:rsidR="00000000" w:rsidRDefault="0053651E">
            <w:pPr>
              <w:jc w:val="right"/>
              <w:rPr>
                <w:rFonts w:eastAsia="Times New Roman"/>
                <w:sz w:val="16"/>
                <w:szCs w:val="16"/>
              </w:rPr>
            </w:pPr>
            <w:r>
              <w:rPr>
                <w:rFonts w:eastAsia="Times New Roman"/>
                <w:sz w:val="16"/>
                <w:szCs w:val="16"/>
              </w:rPr>
              <w:t>5,322,600</w:t>
            </w:r>
          </w:p>
        </w:tc>
        <w:tc>
          <w:tcPr>
            <w:tcW w:w="550" w:type="pct"/>
            <w:shd w:val="clear" w:color="auto" w:fill="CCEEFF"/>
            <w:vAlign w:val="bottom"/>
            <w:hideMark/>
          </w:tcPr>
          <w:p w14:paraId="7DD4E604" w14:textId="77777777" w:rsidR="00000000" w:rsidRDefault="0053651E">
            <w:pPr>
              <w:jc w:val="right"/>
              <w:rPr>
                <w:rFonts w:eastAsia="Times New Roman"/>
                <w:sz w:val="16"/>
                <w:szCs w:val="16"/>
              </w:rPr>
            </w:pPr>
            <w:r>
              <w:rPr>
                <w:rFonts w:eastAsia="Times New Roman"/>
                <w:sz w:val="16"/>
                <w:szCs w:val="16"/>
              </w:rPr>
              <w:t>8,873,991</w:t>
            </w:r>
          </w:p>
        </w:tc>
        <w:tc>
          <w:tcPr>
            <w:tcW w:w="350" w:type="pct"/>
            <w:shd w:val="clear" w:color="auto" w:fill="CCEEFF"/>
            <w:vAlign w:val="bottom"/>
            <w:hideMark/>
          </w:tcPr>
          <w:p w14:paraId="6B8912D3" w14:textId="77777777" w:rsidR="00000000" w:rsidRDefault="0053651E">
            <w:pPr>
              <w:jc w:val="right"/>
              <w:rPr>
                <w:rFonts w:eastAsia="Times New Roman"/>
                <w:sz w:val="16"/>
                <w:szCs w:val="16"/>
              </w:rPr>
            </w:pPr>
            <w:r>
              <w:rPr>
                <w:rFonts w:eastAsia="Times New Roman"/>
                <w:sz w:val="16"/>
                <w:szCs w:val="16"/>
              </w:rPr>
              <w:t>244,224</w:t>
            </w:r>
          </w:p>
        </w:tc>
        <w:tc>
          <w:tcPr>
            <w:tcW w:w="300" w:type="pct"/>
            <w:shd w:val="clear" w:color="auto" w:fill="CCEEFF"/>
            <w:vAlign w:val="bottom"/>
            <w:hideMark/>
          </w:tcPr>
          <w:p w14:paraId="04A40DBC" w14:textId="77777777" w:rsidR="00000000" w:rsidRDefault="0053651E">
            <w:pPr>
              <w:jc w:val="right"/>
              <w:rPr>
                <w:rFonts w:eastAsia="Times New Roman"/>
                <w:sz w:val="16"/>
                <w:szCs w:val="16"/>
              </w:rPr>
            </w:pPr>
            <w:r>
              <w:rPr>
                <w:rFonts w:eastAsia="Times New Roman"/>
                <w:sz w:val="16"/>
                <w:szCs w:val="16"/>
              </w:rPr>
              <w:t>5,322,600</w:t>
            </w:r>
          </w:p>
        </w:tc>
        <w:tc>
          <w:tcPr>
            <w:tcW w:w="450" w:type="pct"/>
            <w:shd w:val="clear" w:color="auto" w:fill="CCEEFF"/>
            <w:vAlign w:val="bottom"/>
            <w:hideMark/>
          </w:tcPr>
          <w:p w14:paraId="24AF9A20" w14:textId="77777777" w:rsidR="00000000" w:rsidRDefault="0053651E">
            <w:pPr>
              <w:jc w:val="right"/>
              <w:rPr>
                <w:rFonts w:eastAsia="Times New Roman"/>
                <w:sz w:val="16"/>
                <w:szCs w:val="16"/>
              </w:rPr>
            </w:pPr>
            <w:r>
              <w:rPr>
                <w:rFonts w:eastAsia="Times New Roman"/>
                <w:sz w:val="16"/>
                <w:szCs w:val="16"/>
              </w:rPr>
              <w:t>9,118,215</w:t>
            </w:r>
          </w:p>
        </w:tc>
        <w:tc>
          <w:tcPr>
            <w:tcW w:w="350" w:type="pct"/>
            <w:shd w:val="clear" w:color="auto" w:fill="CCEEFF"/>
            <w:vAlign w:val="bottom"/>
            <w:hideMark/>
          </w:tcPr>
          <w:p w14:paraId="7FB87345" w14:textId="77777777" w:rsidR="00000000" w:rsidRDefault="0053651E">
            <w:pPr>
              <w:jc w:val="right"/>
              <w:rPr>
                <w:rFonts w:eastAsia="Times New Roman"/>
                <w:sz w:val="16"/>
                <w:szCs w:val="16"/>
              </w:rPr>
            </w:pPr>
            <w:r>
              <w:rPr>
                <w:rFonts w:eastAsia="Times New Roman"/>
                <w:sz w:val="16"/>
                <w:szCs w:val="16"/>
              </w:rPr>
              <w:t>14,440,815</w:t>
            </w:r>
          </w:p>
        </w:tc>
        <w:tc>
          <w:tcPr>
            <w:tcW w:w="400" w:type="pct"/>
            <w:shd w:val="clear" w:color="auto" w:fill="CCEEFF"/>
            <w:vAlign w:val="bottom"/>
            <w:hideMark/>
          </w:tcPr>
          <w:p w14:paraId="622B205D" w14:textId="77777777" w:rsidR="00000000" w:rsidRDefault="0053651E">
            <w:pPr>
              <w:jc w:val="right"/>
              <w:rPr>
                <w:rFonts w:eastAsia="Times New Roman"/>
                <w:sz w:val="16"/>
                <w:szCs w:val="16"/>
              </w:rPr>
            </w:pPr>
            <w:r>
              <w:rPr>
                <w:rFonts w:eastAsia="Times New Roman"/>
                <w:sz w:val="16"/>
                <w:szCs w:val="16"/>
              </w:rPr>
              <w:t>2,681,379</w:t>
            </w:r>
          </w:p>
        </w:tc>
        <w:tc>
          <w:tcPr>
            <w:tcW w:w="50" w:type="pct"/>
            <w:shd w:val="clear" w:color="auto" w:fill="CCEEFF"/>
            <w:vAlign w:val="bottom"/>
            <w:hideMark/>
          </w:tcPr>
          <w:p w14:paraId="2B858B3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D39B6DC" w14:textId="77777777" w:rsidR="00000000" w:rsidRDefault="0053651E">
            <w:pPr>
              <w:jc w:val="right"/>
              <w:rPr>
                <w:rFonts w:eastAsia="Times New Roman"/>
                <w:sz w:val="16"/>
                <w:szCs w:val="16"/>
              </w:rPr>
            </w:pPr>
            <w:r>
              <w:rPr>
                <w:rFonts w:eastAsia="Times New Roman"/>
                <w:sz w:val="16"/>
                <w:szCs w:val="16"/>
              </w:rPr>
              <w:t>11,759,436</w:t>
            </w:r>
          </w:p>
        </w:tc>
        <w:tc>
          <w:tcPr>
            <w:tcW w:w="50" w:type="pct"/>
            <w:shd w:val="clear" w:color="auto" w:fill="CCEEFF"/>
            <w:vAlign w:val="bottom"/>
            <w:hideMark/>
          </w:tcPr>
          <w:p w14:paraId="6A28EA8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EB9A69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337CFA1"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23AE2BB7" w14:textId="77777777">
        <w:trPr>
          <w:tblCellSpacing w:w="0" w:type="dxa"/>
        </w:trPr>
        <w:tc>
          <w:tcPr>
            <w:tcW w:w="50" w:type="pct"/>
            <w:shd w:val="clear" w:color="auto" w:fill="FFFFFF"/>
            <w:vAlign w:val="bottom"/>
            <w:hideMark/>
          </w:tcPr>
          <w:p w14:paraId="161C9E3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2EE94D2" w14:textId="77777777" w:rsidR="00000000" w:rsidRDefault="0053651E">
            <w:pPr>
              <w:pStyle w:val="a3"/>
              <w:spacing w:before="0" w:beforeAutospacing="0" w:after="0" w:afterAutospacing="0"/>
              <w:rPr>
                <w:sz w:val="16"/>
                <w:szCs w:val="16"/>
              </w:rPr>
            </w:pPr>
            <w:r>
              <w:rPr>
                <w:sz w:val="16"/>
                <w:szCs w:val="16"/>
              </w:rPr>
              <w:t>FULTON MARKET PLACE</w:t>
            </w:r>
          </w:p>
        </w:tc>
        <w:tc>
          <w:tcPr>
            <w:tcW w:w="150" w:type="pct"/>
            <w:shd w:val="clear" w:color="auto" w:fill="FFFFFF"/>
            <w:vAlign w:val="bottom"/>
            <w:hideMark/>
          </w:tcPr>
          <w:p w14:paraId="75D02B41"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4E185D31" w14:textId="77777777" w:rsidR="00000000" w:rsidRDefault="0053651E">
            <w:pPr>
              <w:jc w:val="right"/>
              <w:rPr>
                <w:rFonts w:eastAsia="Times New Roman"/>
                <w:sz w:val="16"/>
                <w:szCs w:val="16"/>
              </w:rPr>
            </w:pPr>
            <w:r>
              <w:rPr>
                <w:rFonts w:eastAsia="Times New Roman"/>
                <w:sz w:val="16"/>
                <w:szCs w:val="16"/>
              </w:rPr>
              <w:t>2,966,018</w:t>
            </w:r>
          </w:p>
        </w:tc>
        <w:tc>
          <w:tcPr>
            <w:tcW w:w="550" w:type="pct"/>
            <w:shd w:val="clear" w:color="auto" w:fill="FFFFFF"/>
            <w:vAlign w:val="bottom"/>
            <w:hideMark/>
          </w:tcPr>
          <w:p w14:paraId="17BBEEF4" w14:textId="77777777" w:rsidR="00000000" w:rsidRDefault="0053651E">
            <w:pPr>
              <w:jc w:val="right"/>
              <w:rPr>
                <w:rFonts w:eastAsia="Times New Roman"/>
                <w:sz w:val="16"/>
                <w:szCs w:val="16"/>
              </w:rPr>
            </w:pPr>
            <w:r>
              <w:rPr>
                <w:rFonts w:eastAsia="Times New Roman"/>
                <w:sz w:val="16"/>
                <w:szCs w:val="16"/>
              </w:rPr>
              <w:t>6,920,710</w:t>
            </w:r>
          </w:p>
        </w:tc>
        <w:tc>
          <w:tcPr>
            <w:tcW w:w="350" w:type="pct"/>
            <w:shd w:val="clear" w:color="auto" w:fill="FFFFFF"/>
            <w:vAlign w:val="bottom"/>
            <w:hideMark/>
          </w:tcPr>
          <w:p w14:paraId="1FCACB6D" w14:textId="77777777" w:rsidR="00000000" w:rsidRDefault="0053651E">
            <w:pPr>
              <w:jc w:val="right"/>
              <w:rPr>
                <w:rFonts w:eastAsia="Times New Roman"/>
                <w:sz w:val="16"/>
                <w:szCs w:val="16"/>
              </w:rPr>
            </w:pPr>
            <w:r>
              <w:rPr>
                <w:rFonts w:eastAsia="Times New Roman"/>
                <w:sz w:val="16"/>
                <w:szCs w:val="16"/>
              </w:rPr>
              <w:t>16,282,569</w:t>
            </w:r>
          </w:p>
        </w:tc>
        <w:tc>
          <w:tcPr>
            <w:tcW w:w="300" w:type="pct"/>
            <w:shd w:val="clear" w:color="auto" w:fill="FFFFFF"/>
            <w:vAlign w:val="bottom"/>
            <w:hideMark/>
          </w:tcPr>
          <w:p w14:paraId="41EAE4B2" w14:textId="77777777" w:rsidR="00000000" w:rsidRDefault="0053651E">
            <w:pPr>
              <w:jc w:val="right"/>
              <w:rPr>
                <w:rFonts w:eastAsia="Times New Roman"/>
                <w:sz w:val="16"/>
                <w:szCs w:val="16"/>
              </w:rPr>
            </w:pPr>
            <w:r>
              <w:rPr>
                <w:rFonts w:eastAsia="Times New Roman"/>
                <w:sz w:val="16"/>
                <w:szCs w:val="16"/>
              </w:rPr>
              <w:t>6,279,753</w:t>
            </w:r>
          </w:p>
        </w:tc>
        <w:tc>
          <w:tcPr>
            <w:tcW w:w="450" w:type="pct"/>
            <w:shd w:val="clear" w:color="auto" w:fill="FFFFFF"/>
            <w:vAlign w:val="bottom"/>
            <w:hideMark/>
          </w:tcPr>
          <w:p w14:paraId="6B54612B" w14:textId="77777777" w:rsidR="00000000" w:rsidRDefault="0053651E">
            <w:pPr>
              <w:jc w:val="right"/>
              <w:rPr>
                <w:rFonts w:eastAsia="Times New Roman"/>
                <w:sz w:val="16"/>
                <w:szCs w:val="16"/>
              </w:rPr>
            </w:pPr>
            <w:r>
              <w:rPr>
                <w:rFonts w:eastAsia="Times New Roman"/>
                <w:sz w:val="16"/>
                <w:szCs w:val="16"/>
              </w:rPr>
              <w:t>19,889,544</w:t>
            </w:r>
          </w:p>
        </w:tc>
        <w:tc>
          <w:tcPr>
            <w:tcW w:w="350" w:type="pct"/>
            <w:shd w:val="clear" w:color="auto" w:fill="FFFFFF"/>
            <w:vAlign w:val="bottom"/>
            <w:hideMark/>
          </w:tcPr>
          <w:p w14:paraId="1F20AD07" w14:textId="77777777" w:rsidR="00000000" w:rsidRDefault="0053651E">
            <w:pPr>
              <w:jc w:val="right"/>
              <w:rPr>
                <w:rFonts w:eastAsia="Times New Roman"/>
                <w:sz w:val="16"/>
                <w:szCs w:val="16"/>
              </w:rPr>
            </w:pPr>
            <w:r>
              <w:rPr>
                <w:rFonts w:eastAsia="Times New Roman"/>
                <w:sz w:val="16"/>
                <w:szCs w:val="16"/>
              </w:rPr>
              <w:t>26,169,297</w:t>
            </w:r>
          </w:p>
        </w:tc>
        <w:tc>
          <w:tcPr>
            <w:tcW w:w="400" w:type="pct"/>
            <w:shd w:val="clear" w:color="auto" w:fill="FFFFFF"/>
            <w:vAlign w:val="bottom"/>
            <w:hideMark/>
          </w:tcPr>
          <w:p w14:paraId="439AA981" w14:textId="77777777" w:rsidR="00000000" w:rsidRDefault="0053651E">
            <w:pPr>
              <w:jc w:val="right"/>
              <w:rPr>
                <w:rFonts w:eastAsia="Times New Roman"/>
                <w:sz w:val="16"/>
                <w:szCs w:val="16"/>
              </w:rPr>
            </w:pPr>
            <w:r>
              <w:rPr>
                <w:rFonts w:eastAsia="Times New Roman"/>
                <w:sz w:val="16"/>
                <w:szCs w:val="16"/>
              </w:rPr>
              <w:t>4,441,853</w:t>
            </w:r>
          </w:p>
        </w:tc>
        <w:tc>
          <w:tcPr>
            <w:tcW w:w="50" w:type="pct"/>
            <w:shd w:val="clear" w:color="auto" w:fill="FFFFFF"/>
            <w:vAlign w:val="bottom"/>
            <w:hideMark/>
          </w:tcPr>
          <w:p w14:paraId="1F658A0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56D62C0" w14:textId="77777777" w:rsidR="00000000" w:rsidRDefault="0053651E">
            <w:pPr>
              <w:jc w:val="right"/>
              <w:rPr>
                <w:rFonts w:eastAsia="Times New Roman"/>
                <w:sz w:val="16"/>
                <w:szCs w:val="16"/>
              </w:rPr>
            </w:pPr>
            <w:r>
              <w:rPr>
                <w:rFonts w:eastAsia="Times New Roman"/>
                <w:sz w:val="16"/>
                <w:szCs w:val="16"/>
              </w:rPr>
              <w:t>21,727,444</w:t>
            </w:r>
          </w:p>
        </w:tc>
        <w:tc>
          <w:tcPr>
            <w:tcW w:w="50" w:type="pct"/>
            <w:shd w:val="clear" w:color="auto" w:fill="FFFFFF"/>
            <w:vAlign w:val="bottom"/>
            <w:hideMark/>
          </w:tcPr>
          <w:p w14:paraId="20720D4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27553F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A22CA0C"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013C5E56" w14:textId="77777777">
        <w:trPr>
          <w:tblCellSpacing w:w="0" w:type="dxa"/>
        </w:trPr>
        <w:tc>
          <w:tcPr>
            <w:tcW w:w="50" w:type="pct"/>
            <w:shd w:val="clear" w:color="auto" w:fill="CCEEFF"/>
            <w:vAlign w:val="bottom"/>
            <w:hideMark/>
          </w:tcPr>
          <w:p w14:paraId="6BCFE0F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0F693F7" w14:textId="77777777" w:rsidR="00000000" w:rsidRDefault="0053651E">
            <w:pPr>
              <w:pStyle w:val="a3"/>
              <w:spacing w:before="0" w:beforeAutospacing="0" w:after="0" w:afterAutospacing="0"/>
              <w:rPr>
                <w:sz w:val="16"/>
                <w:szCs w:val="16"/>
              </w:rPr>
            </w:pPr>
            <w:r>
              <w:rPr>
                <w:sz w:val="16"/>
                <w:szCs w:val="16"/>
              </w:rPr>
              <w:t>BLACK MOUNTAIN VILLAGE</w:t>
            </w:r>
          </w:p>
        </w:tc>
        <w:tc>
          <w:tcPr>
            <w:tcW w:w="150" w:type="pct"/>
            <w:shd w:val="clear" w:color="auto" w:fill="CCEEFF"/>
            <w:vAlign w:val="bottom"/>
            <w:hideMark/>
          </w:tcPr>
          <w:p w14:paraId="2E972699"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77B09A70" w14:textId="77777777" w:rsidR="00000000" w:rsidRDefault="0053651E">
            <w:pPr>
              <w:jc w:val="right"/>
              <w:rPr>
                <w:rFonts w:eastAsia="Times New Roman"/>
                <w:sz w:val="16"/>
                <w:szCs w:val="16"/>
              </w:rPr>
            </w:pPr>
            <w:r>
              <w:rPr>
                <w:rFonts w:eastAsia="Times New Roman"/>
                <w:sz w:val="16"/>
                <w:szCs w:val="16"/>
              </w:rPr>
              <w:t>4,678,015</w:t>
            </w:r>
          </w:p>
        </w:tc>
        <w:tc>
          <w:tcPr>
            <w:tcW w:w="550" w:type="pct"/>
            <w:shd w:val="clear" w:color="auto" w:fill="CCEEFF"/>
            <w:vAlign w:val="bottom"/>
            <w:hideMark/>
          </w:tcPr>
          <w:p w14:paraId="4D21B93E" w14:textId="77777777" w:rsidR="00000000" w:rsidRDefault="0053651E">
            <w:pPr>
              <w:jc w:val="right"/>
              <w:rPr>
                <w:rFonts w:eastAsia="Times New Roman"/>
                <w:sz w:val="16"/>
                <w:szCs w:val="16"/>
              </w:rPr>
            </w:pPr>
            <w:r>
              <w:rPr>
                <w:rFonts w:eastAsia="Times New Roman"/>
                <w:sz w:val="16"/>
                <w:szCs w:val="16"/>
              </w:rPr>
              <w:t>11,913,344</w:t>
            </w:r>
          </w:p>
        </w:tc>
        <w:tc>
          <w:tcPr>
            <w:tcW w:w="350" w:type="pct"/>
            <w:shd w:val="clear" w:color="auto" w:fill="CCEEFF"/>
            <w:vAlign w:val="bottom"/>
            <w:hideMark/>
          </w:tcPr>
          <w:p w14:paraId="21CC516C" w14:textId="77777777" w:rsidR="00000000" w:rsidRDefault="0053651E">
            <w:pPr>
              <w:jc w:val="right"/>
              <w:rPr>
                <w:rFonts w:eastAsia="Times New Roman"/>
                <w:sz w:val="16"/>
                <w:szCs w:val="16"/>
              </w:rPr>
            </w:pPr>
            <w:r>
              <w:rPr>
                <w:rFonts w:eastAsia="Times New Roman"/>
                <w:sz w:val="16"/>
                <w:szCs w:val="16"/>
              </w:rPr>
              <w:t>964,215</w:t>
            </w:r>
          </w:p>
        </w:tc>
        <w:tc>
          <w:tcPr>
            <w:tcW w:w="300" w:type="pct"/>
            <w:shd w:val="clear" w:color="auto" w:fill="CCEEFF"/>
            <w:vAlign w:val="bottom"/>
            <w:hideMark/>
          </w:tcPr>
          <w:p w14:paraId="365C642B" w14:textId="77777777" w:rsidR="00000000" w:rsidRDefault="0053651E">
            <w:pPr>
              <w:jc w:val="right"/>
              <w:rPr>
                <w:rFonts w:eastAsia="Times New Roman"/>
                <w:sz w:val="16"/>
                <w:szCs w:val="16"/>
              </w:rPr>
            </w:pPr>
            <w:r>
              <w:rPr>
                <w:rFonts w:eastAsia="Times New Roman"/>
                <w:sz w:val="16"/>
                <w:szCs w:val="16"/>
              </w:rPr>
              <w:t>4,678,015</w:t>
            </w:r>
          </w:p>
        </w:tc>
        <w:tc>
          <w:tcPr>
            <w:tcW w:w="450" w:type="pct"/>
            <w:shd w:val="clear" w:color="auto" w:fill="CCEEFF"/>
            <w:vAlign w:val="bottom"/>
            <w:hideMark/>
          </w:tcPr>
          <w:p w14:paraId="117B877C" w14:textId="77777777" w:rsidR="00000000" w:rsidRDefault="0053651E">
            <w:pPr>
              <w:jc w:val="right"/>
              <w:rPr>
                <w:rFonts w:eastAsia="Times New Roman"/>
                <w:sz w:val="16"/>
                <w:szCs w:val="16"/>
              </w:rPr>
            </w:pPr>
            <w:r>
              <w:rPr>
                <w:rFonts w:eastAsia="Times New Roman"/>
                <w:sz w:val="16"/>
                <w:szCs w:val="16"/>
              </w:rPr>
              <w:t>12,877,559</w:t>
            </w:r>
          </w:p>
        </w:tc>
        <w:tc>
          <w:tcPr>
            <w:tcW w:w="350" w:type="pct"/>
            <w:shd w:val="clear" w:color="auto" w:fill="CCEEFF"/>
            <w:vAlign w:val="bottom"/>
            <w:hideMark/>
          </w:tcPr>
          <w:p w14:paraId="4B096CEC" w14:textId="77777777" w:rsidR="00000000" w:rsidRDefault="0053651E">
            <w:pPr>
              <w:jc w:val="right"/>
              <w:rPr>
                <w:rFonts w:eastAsia="Times New Roman"/>
                <w:sz w:val="16"/>
                <w:szCs w:val="16"/>
              </w:rPr>
            </w:pPr>
            <w:r>
              <w:rPr>
                <w:rFonts w:eastAsia="Times New Roman"/>
                <w:sz w:val="16"/>
                <w:szCs w:val="16"/>
              </w:rPr>
              <w:t>17,555,574</w:t>
            </w:r>
          </w:p>
        </w:tc>
        <w:tc>
          <w:tcPr>
            <w:tcW w:w="400" w:type="pct"/>
            <w:shd w:val="clear" w:color="auto" w:fill="CCEEFF"/>
            <w:vAlign w:val="bottom"/>
            <w:hideMark/>
          </w:tcPr>
          <w:p w14:paraId="43A48183" w14:textId="77777777" w:rsidR="00000000" w:rsidRDefault="0053651E">
            <w:pPr>
              <w:jc w:val="right"/>
              <w:rPr>
                <w:rFonts w:eastAsia="Times New Roman"/>
                <w:sz w:val="16"/>
                <w:szCs w:val="16"/>
              </w:rPr>
            </w:pPr>
            <w:r>
              <w:rPr>
                <w:rFonts w:eastAsia="Times New Roman"/>
                <w:sz w:val="16"/>
                <w:szCs w:val="16"/>
              </w:rPr>
              <w:t>5,059,703</w:t>
            </w:r>
          </w:p>
        </w:tc>
        <w:tc>
          <w:tcPr>
            <w:tcW w:w="50" w:type="pct"/>
            <w:shd w:val="clear" w:color="auto" w:fill="CCEEFF"/>
            <w:vAlign w:val="bottom"/>
            <w:hideMark/>
          </w:tcPr>
          <w:p w14:paraId="1909480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41CC1F5" w14:textId="77777777" w:rsidR="00000000" w:rsidRDefault="0053651E">
            <w:pPr>
              <w:jc w:val="right"/>
              <w:rPr>
                <w:rFonts w:eastAsia="Times New Roman"/>
                <w:sz w:val="16"/>
                <w:szCs w:val="16"/>
              </w:rPr>
            </w:pPr>
            <w:r>
              <w:rPr>
                <w:rFonts w:eastAsia="Times New Roman"/>
                <w:sz w:val="16"/>
                <w:szCs w:val="16"/>
              </w:rPr>
              <w:t>12,495,871</w:t>
            </w:r>
          </w:p>
        </w:tc>
        <w:tc>
          <w:tcPr>
            <w:tcW w:w="50" w:type="pct"/>
            <w:shd w:val="clear" w:color="auto" w:fill="CCEEFF"/>
            <w:vAlign w:val="bottom"/>
            <w:hideMark/>
          </w:tcPr>
          <w:p w14:paraId="2E499B3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8D3495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CB184B1"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09A2C11E" w14:textId="77777777">
        <w:trPr>
          <w:tblCellSpacing w:w="0" w:type="dxa"/>
        </w:trPr>
        <w:tc>
          <w:tcPr>
            <w:tcW w:w="50" w:type="pct"/>
            <w:shd w:val="clear" w:color="auto" w:fill="FFFFFF"/>
            <w:vAlign w:val="bottom"/>
            <w:hideMark/>
          </w:tcPr>
          <w:p w14:paraId="03FBA92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8957245" w14:textId="77777777" w:rsidR="00000000" w:rsidRDefault="0053651E">
            <w:pPr>
              <w:pStyle w:val="a3"/>
              <w:spacing w:before="0" w:beforeAutospacing="0" w:after="0" w:afterAutospacing="0"/>
              <w:rPr>
                <w:sz w:val="16"/>
                <w:szCs w:val="16"/>
              </w:rPr>
            </w:pPr>
            <w:r>
              <w:rPr>
                <w:sz w:val="16"/>
                <w:szCs w:val="16"/>
              </w:rPr>
              <w:t>RANCHO PENASQUITOS TOWNE CTR I</w:t>
            </w:r>
          </w:p>
        </w:tc>
        <w:tc>
          <w:tcPr>
            <w:tcW w:w="150" w:type="pct"/>
            <w:shd w:val="clear" w:color="auto" w:fill="FFFFFF"/>
            <w:vAlign w:val="bottom"/>
            <w:hideMark/>
          </w:tcPr>
          <w:p w14:paraId="484DA760"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661AF473" w14:textId="77777777" w:rsidR="00000000" w:rsidRDefault="0053651E">
            <w:pPr>
              <w:jc w:val="right"/>
              <w:rPr>
                <w:rFonts w:eastAsia="Times New Roman"/>
                <w:sz w:val="16"/>
                <w:szCs w:val="16"/>
              </w:rPr>
            </w:pPr>
            <w:r>
              <w:rPr>
                <w:rFonts w:eastAsia="Times New Roman"/>
                <w:sz w:val="16"/>
                <w:szCs w:val="16"/>
              </w:rPr>
              <w:t>14,851,595</w:t>
            </w:r>
          </w:p>
        </w:tc>
        <w:tc>
          <w:tcPr>
            <w:tcW w:w="550" w:type="pct"/>
            <w:shd w:val="clear" w:color="auto" w:fill="FFFFFF"/>
            <w:vAlign w:val="bottom"/>
            <w:hideMark/>
          </w:tcPr>
          <w:p w14:paraId="3320D32B" w14:textId="77777777" w:rsidR="00000000" w:rsidRDefault="0053651E">
            <w:pPr>
              <w:jc w:val="right"/>
              <w:rPr>
                <w:rFonts w:eastAsia="Times New Roman"/>
                <w:sz w:val="16"/>
                <w:szCs w:val="16"/>
              </w:rPr>
            </w:pPr>
            <w:r>
              <w:rPr>
                <w:rFonts w:eastAsia="Times New Roman"/>
                <w:sz w:val="16"/>
                <w:szCs w:val="16"/>
              </w:rPr>
              <w:t>20,342,165</w:t>
            </w:r>
          </w:p>
        </w:tc>
        <w:tc>
          <w:tcPr>
            <w:tcW w:w="350" w:type="pct"/>
            <w:shd w:val="clear" w:color="auto" w:fill="FFFFFF"/>
            <w:vAlign w:val="bottom"/>
            <w:hideMark/>
          </w:tcPr>
          <w:p w14:paraId="0D51E7F9" w14:textId="77777777" w:rsidR="00000000" w:rsidRDefault="0053651E">
            <w:pPr>
              <w:jc w:val="right"/>
              <w:rPr>
                <w:rFonts w:eastAsia="Times New Roman"/>
                <w:sz w:val="16"/>
                <w:szCs w:val="16"/>
              </w:rPr>
            </w:pPr>
            <w:r>
              <w:rPr>
                <w:rFonts w:eastAsia="Times New Roman"/>
                <w:sz w:val="16"/>
                <w:szCs w:val="16"/>
              </w:rPr>
              <w:t>728,359</w:t>
            </w:r>
          </w:p>
        </w:tc>
        <w:tc>
          <w:tcPr>
            <w:tcW w:w="300" w:type="pct"/>
            <w:shd w:val="clear" w:color="auto" w:fill="FFFFFF"/>
            <w:vAlign w:val="bottom"/>
            <w:hideMark/>
          </w:tcPr>
          <w:p w14:paraId="1A3CFCA6" w14:textId="77777777" w:rsidR="00000000" w:rsidRDefault="0053651E">
            <w:pPr>
              <w:jc w:val="right"/>
              <w:rPr>
                <w:rFonts w:eastAsia="Times New Roman"/>
                <w:sz w:val="16"/>
                <w:szCs w:val="16"/>
              </w:rPr>
            </w:pPr>
            <w:r>
              <w:rPr>
                <w:rFonts w:eastAsia="Times New Roman"/>
                <w:sz w:val="16"/>
                <w:szCs w:val="16"/>
              </w:rPr>
              <w:t>14,851,595</w:t>
            </w:r>
          </w:p>
        </w:tc>
        <w:tc>
          <w:tcPr>
            <w:tcW w:w="450" w:type="pct"/>
            <w:shd w:val="clear" w:color="auto" w:fill="FFFFFF"/>
            <w:vAlign w:val="bottom"/>
            <w:hideMark/>
          </w:tcPr>
          <w:p w14:paraId="30B520D5" w14:textId="77777777" w:rsidR="00000000" w:rsidRDefault="0053651E">
            <w:pPr>
              <w:jc w:val="right"/>
              <w:rPr>
                <w:rFonts w:eastAsia="Times New Roman"/>
                <w:sz w:val="16"/>
                <w:szCs w:val="16"/>
              </w:rPr>
            </w:pPr>
            <w:r>
              <w:rPr>
                <w:rFonts w:eastAsia="Times New Roman"/>
                <w:sz w:val="16"/>
                <w:szCs w:val="16"/>
              </w:rPr>
              <w:t>21,070,524</w:t>
            </w:r>
          </w:p>
        </w:tc>
        <w:tc>
          <w:tcPr>
            <w:tcW w:w="350" w:type="pct"/>
            <w:shd w:val="clear" w:color="auto" w:fill="FFFFFF"/>
            <w:vAlign w:val="bottom"/>
            <w:hideMark/>
          </w:tcPr>
          <w:p w14:paraId="2FB94B85" w14:textId="77777777" w:rsidR="00000000" w:rsidRDefault="0053651E">
            <w:pPr>
              <w:jc w:val="right"/>
              <w:rPr>
                <w:rFonts w:eastAsia="Times New Roman"/>
                <w:sz w:val="16"/>
                <w:szCs w:val="16"/>
              </w:rPr>
            </w:pPr>
            <w:r>
              <w:rPr>
                <w:rFonts w:eastAsia="Times New Roman"/>
                <w:sz w:val="16"/>
                <w:szCs w:val="16"/>
              </w:rPr>
              <w:t>35,922,119</w:t>
            </w:r>
          </w:p>
        </w:tc>
        <w:tc>
          <w:tcPr>
            <w:tcW w:w="400" w:type="pct"/>
            <w:shd w:val="clear" w:color="auto" w:fill="FFFFFF"/>
            <w:vAlign w:val="bottom"/>
            <w:hideMark/>
          </w:tcPr>
          <w:p w14:paraId="7292F35F" w14:textId="77777777" w:rsidR="00000000" w:rsidRDefault="0053651E">
            <w:pPr>
              <w:jc w:val="right"/>
              <w:rPr>
                <w:rFonts w:eastAsia="Times New Roman"/>
                <w:sz w:val="16"/>
                <w:szCs w:val="16"/>
              </w:rPr>
            </w:pPr>
            <w:r>
              <w:rPr>
                <w:rFonts w:eastAsia="Times New Roman"/>
                <w:sz w:val="16"/>
                <w:szCs w:val="16"/>
              </w:rPr>
              <w:t>3,463,773</w:t>
            </w:r>
          </w:p>
        </w:tc>
        <w:tc>
          <w:tcPr>
            <w:tcW w:w="50" w:type="pct"/>
            <w:shd w:val="clear" w:color="auto" w:fill="FFFFFF"/>
            <w:vAlign w:val="bottom"/>
            <w:hideMark/>
          </w:tcPr>
          <w:p w14:paraId="0A8F7D5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DC8804C" w14:textId="77777777" w:rsidR="00000000" w:rsidRDefault="0053651E">
            <w:pPr>
              <w:jc w:val="right"/>
              <w:rPr>
                <w:rFonts w:eastAsia="Times New Roman"/>
                <w:sz w:val="16"/>
                <w:szCs w:val="16"/>
              </w:rPr>
            </w:pPr>
            <w:r>
              <w:rPr>
                <w:rFonts w:eastAsia="Times New Roman"/>
                <w:sz w:val="16"/>
                <w:szCs w:val="16"/>
              </w:rPr>
              <w:t>32,458,346</w:t>
            </w:r>
          </w:p>
        </w:tc>
        <w:tc>
          <w:tcPr>
            <w:tcW w:w="50" w:type="pct"/>
            <w:shd w:val="clear" w:color="auto" w:fill="FFFFFF"/>
            <w:vAlign w:val="bottom"/>
            <w:hideMark/>
          </w:tcPr>
          <w:p w14:paraId="4FEEA99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1ECF8B9" w14:textId="77777777" w:rsidR="00000000" w:rsidRDefault="0053651E">
            <w:pPr>
              <w:jc w:val="right"/>
              <w:rPr>
                <w:rFonts w:eastAsia="Times New Roman"/>
                <w:sz w:val="16"/>
                <w:szCs w:val="16"/>
              </w:rPr>
            </w:pPr>
            <w:r>
              <w:rPr>
                <w:rFonts w:eastAsia="Times New Roman"/>
                <w:sz w:val="16"/>
                <w:szCs w:val="16"/>
              </w:rPr>
              <w:t>12,842,710</w:t>
            </w:r>
          </w:p>
        </w:tc>
        <w:tc>
          <w:tcPr>
            <w:tcW w:w="500" w:type="pct"/>
            <w:shd w:val="clear" w:color="auto" w:fill="FFFFFF"/>
            <w:vAlign w:val="bottom"/>
            <w:hideMark/>
          </w:tcPr>
          <w:p w14:paraId="4B0E9624"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9BFDBAA" w14:textId="77777777">
        <w:trPr>
          <w:tblCellSpacing w:w="0" w:type="dxa"/>
        </w:trPr>
        <w:tc>
          <w:tcPr>
            <w:tcW w:w="50" w:type="pct"/>
            <w:shd w:val="clear" w:color="auto" w:fill="CCEEFF"/>
            <w:vAlign w:val="bottom"/>
            <w:hideMark/>
          </w:tcPr>
          <w:p w14:paraId="43D74DC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5D08A43" w14:textId="77777777" w:rsidR="00000000" w:rsidRDefault="0053651E">
            <w:pPr>
              <w:pStyle w:val="a3"/>
              <w:spacing w:before="0" w:beforeAutospacing="0" w:after="0" w:afterAutospacing="0"/>
              <w:rPr>
                <w:sz w:val="16"/>
                <w:szCs w:val="16"/>
              </w:rPr>
            </w:pPr>
            <w:r>
              <w:rPr>
                <w:sz w:val="16"/>
                <w:szCs w:val="16"/>
              </w:rPr>
              <w:t>RANCHO PENASQUITOS-VONS PROP.</w:t>
            </w:r>
          </w:p>
        </w:tc>
        <w:tc>
          <w:tcPr>
            <w:tcW w:w="150" w:type="pct"/>
            <w:shd w:val="clear" w:color="auto" w:fill="CCEEFF"/>
            <w:vAlign w:val="bottom"/>
            <w:hideMark/>
          </w:tcPr>
          <w:p w14:paraId="1C550F8C"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06423439" w14:textId="77777777" w:rsidR="00000000" w:rsidRDefault="0053651E">
            <w:pPr>
              <w:jc w:val="right"/>
              <w:rPr>
                <w:rFonts w:eastAsia="Times New Roman"/>
                <w:sz w:val="16"/>
                <w:szCs w:val="16"/>
              </w:rPr>
            </w:pPr>
            <w:r>
              <w:rPr>
                <w:rFonts w:eastAsia="Times New Roman"/>
                <w:sz w:val="16"/>
                <w:szCs w:val="16"/>
              </w:rPr>
              <w:t>2,917,963</w:t>
            </w:r>
          </w:p>
        </w:tc>
        <w:tc>
          <w:tcPr>
            <w:tcW w:w="550" w:type="pct"/>
            <w:shd w:val="clear" w:color="auto" w:fill="CCEEFF"/>
            <w:vAlign w:val="bottom"/>
            <w:hideMark/>
          </w:tcPr>
          <w:p w14:paraId="34DA1153" w14:textId="77777777" w:rsidR="00000000" w:rsidRDefault="0053651E">
            <w:pPr>
              <w:jc w:val="right"/>
              <w:rPr>
                <w:rFonts w:eastAsia="Times New Roman"/>
                <w:sz w:val="16"/>
                <w:szCs w:val="16"/>
              </w:rPr>
            </w:pPr>
            <w:r>
              <w:rPr>
                <w:rFonts w:eastAsia="Times New Roman"/>
                <w:sz w:val="16"/>
                <w:szCs w:val="16"/>
              </w:rPr>
              <w:t>9,145,905</w:t>
            </w:r>
          </w:p>
        </w:tc>
        <w:tc>
          <w:tcPr>
            <w:tcW w:w="350" w:type="pct"/>
            <w:shd w:val="clear" w:color="auto" w:fill="CCEEFF"/>
            <w:vAlign w:val="bottom"/>
            <w:hideMark/>
          </w:tcPr>
          <w:p w14:paraId="2CD773D9"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60840560" w14:textId="77777777" w:rsidR="00000000" w:rsidRDefault="0053651E">
            <w:pPr>
              <w:jc w:val="right"/>
              <w:rPr>
                <w:rFonts w:eastAsia="Times New Roman"/>
                <w:sz w:val="16"/>
                <w:szCs w:val="16"/>
              </w:rPr>
            </w:pPr>
            <w:r>
              <w:rPr>
                <w:rFonts w:eastAsia="Times New Roman"/>
                <w:sz w:val="16"/>
                <w:szCs w:val="16"/>
              </w:rPr>
              <w:t>2,917,963</w:t>
            </w:r>
          </w:p>
        </w:tc>
        <w:tc>
          <w:tcPr>
            <w:tcW w:w="450" w:type="pct"/>
            <w:shd w:val="clear" w:color="auto" w:fill="CCEEFF"/>
            <w:vAlign w:val="bottom"/>
            <w:hideMark/>
          </w:tcPr>
          <w:p w14:paraId="43CF20E5" w14:textId="77777777" w:rsidR="00000000" w:rsidRDefault="0053651E">
            <w:pPr>
              <w:jc w:val="right"/>
              <w:rPr>
                <w:rFonts w:eastAsia="Times New Roman"/>
                <w:sz w:val="16"/>
                <w:szCs w:val="16"/>
              </w:rPr>
            </w:pPr>
            <w:r>
              <w:rPr>
                <w:rFonts w:eastAsia="Times New Roman"/>
                <w:sz w:val="16"/>
                <w:szCs w:val="16"/>
              </w:rPr>
              <w:t>9,145,905</w:t>
            </w:r>
          </w:p>
        </w:tc>
        <w:tc>
          <w:tcPr>
            <w:tcW w:w="350" w:type="pct"/>
            <w:shd w:val="clear" w:color="auto" w:fill="CCEEFF"/>
            <w:vAlign w:val="bottom"/>
            <w:hideMark/>
          </w:tcPr>
          <w:p w14:paraId="7C2DD60B" w14:textId="77777777" w:rsidR="00000000" w:rsidRDefault="0053651E">
            <w:pPr>
              <w:jc w:val="right"/>
              <w:rPr>
                <w:rFonts w:eastAsia="Times New Roman"/>
                <w:sz w:val="16"/>
                <w:szCs w:val="16"/>
              </w:rPr>
            </w:pPr>
            <w:r>
              <w:rPr>
                <w:rFonts w:eastAsia="Times New Roman"/>
                <w:sz w:val="16"/>
                <w:szCs w:val="16"/>
              </w:rPr>
              <w:t>12,063,868</w:t>
            </w:r>
          </w:p>
        </w:tc>
        <w:tc>
          <w:tcPr>
            <w:tcW w:w="400" w:type="pct"/>
            <w:shd w:val="clear" w:color="auto" w:fill="CCEEFF"/>
            <w:vAlign w:val="bottom"/>
            <w:hideMark/>
          </w:tcPr>
          <w:p w14:paraId="05795092" w14:textId="77777777" w:rsidR="00000000" w:rsidRDefault="0053651E">
            <w:pPr>
              <w:jc w:val="right"/>
              <w:rPr>
                <w:rFonts w:eastAsia="Times New Roman"/>
                <w:sz w:val="16"/>
                <w:szCs w:val="16"/>
              </w:rPr>
            </w:pPr>
            <w:r>
              <w:rPr>
                <w:rFonts w:eastAsia="Times New Roman"/>
                <w:sz w:val="16"/>
                <w:szCs w:val="16"/>
              </w:rPr>
              <w:t>248,246</w:t>
            </w:r>
          </w:p>
        </w:tc>
        <w:tc>
          <w:tcPr>
            <w:tcW w:w="50" w:type="pct"/>
            <w:shd w:val="clear" w:color="auto" w:fill="CCEEFF"/>
            <w:vAlign w:val="bottom"/>
            <w:hideMark/>
          </w:tcPr>
          <w:p w14:paraId="1A14AC2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61D6070" w14:textId="77777777" w:rsidR="00000000" w:rsidRDefault="0053651E">
            <w:pPr>
              <w:jc w:val="right"/>
              <w:rPr>
                <w:rFonts w:eastAsia="Times New Roman"/>
                <w:sz w:val="16"/>
                <w:szCs w:val="16"/>
              </w:rPr>
            </w:pPr>
            <w:r>
              <w:rPr>
                <w:rFonts w:eastAsia="Times New Roman"/>
                <w:sz w:val="16"/>
                <w:szCs w:val="16"/>
              </w:rPr>
              <w:t>11,815,622</w:t>
            </w:r>
          </w:p>
        </w:tc>
        <w:tc>
          <w:tcPr>
            <w:tcW w:w="50" w:type="pct"/>
            <w:shd w:val="clear" w:color="auto" w:fill="CCEEFF"/>
            <w:vAlign w:val="bottom"/>
            <w:hideMark/>
          </w:tcPr>
          <w:p w14:paraId="50095D5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24F86D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FF58A1B" w14:textId="77777777" w:rsidR="00000000" w:rsidRDefault="0053651E">
            <w:pPr>
              <w:pStyle w:val="a3"/>
              <w:spacing w:before="0" w:beforeAutospacing="0" w:after="0" w:afterAutospacing="0"/>
              <w:jc w:val="center"/>
              <w:rPr>
                <w:sz w:val="16"/>
                <w:szCs w:val="16"/>
              </w:rPr>
            </w:pPr>
            <w:r>
              <w:rPr>
                <w:rStyle w:val="a6"/>
                <w:i w:val="0"/>
                <w:iCs w:val="0"/>
                <w:sz w:val="16"/>
                <w:szCs w:val="16"/>
              </w:rPr>
              <w:t>2019(A)</w:t>
            </w:r>
          </w:p>
        </w:tc>
      </w:tr>
      <w:tr w:rsidR="00000000" w14:paraId="309DDAB8" w14:textId="77777777">
        <w:trPr>
          <w:tblCellSpacing w:w="0" w:type="dxa"/>
        </w:trPr>
        <w:tc>
          <w:tcPr>
            <w:tcW w:w="50" w:type="pct"/>
            <w:shd w:val="clear" w:color="auto" w:fill="FFFFFF"/>
            <w:vAlign w:val="bottom"/>
            <w:hideMark/>
          </w:tcPr>
          <w:p w14:paraId="305AE8E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AA54E64" w14:textId="77777777" w:rsidR="00000000" w:rsidRDefault="0053651E">
            <w:pPr>
              <w:pStyle w:val="a3"/>
              <w:spacing w:before="0" w:beforeAutospacing="0" w:after="0" w:afterAutospacing="0"/>
              <w:rPr>
                <w:sz w:val="16"/>
                <w:szCs w:val="16"/>
              </w:rPr>
            </w:pPr>
            <w:r>
              <w:rPr>
                <w:sz w:val="16"/>
                <w:szCs w:val="16"/>
              </w:rPr>
              <w:t>RANCHO PENASQUITOS TWN CTR II</w:t>
            </w:r>
          </w:p>
        </w:tc>
        <w:tc>
          <w:tcPr>
            <w:tcW w:w="150" w:type="pct"/>
            <w:shd w:val="clear" w:color="auto" w:fill="FFFFFF"/>
            <w:vAlign w:val="bottom"/>
            <w:hideMark/>
          </w:tcPr>
          <w:p w14:paraId="22BD2AD2"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4E20819F" w14:textId="77777777" w:rsidR="00000000" w:rsidRDefault="0053651E">
            <w:pPr>
              <w:jc w:val="right"/>
              <w:rPr>
                <w:rFonts w:eastAsia="Times New Roman"/>
                <w:sz w:val="16"/>
                <w:szCs w:val="16"/>
              </w:rPr>
            </w:pPr>
            <w:r>
              <w:rPr>
                <w:rFonts w:eastAsia="Times New Roman"/>
                <w:sz w:val="16"/>
                <w:szCs w:val="16"/>
              </w:rPr>
              <w:t>12,944,972</w:t>
            </w:r>
          </w:p>
        </w:tc>
        <w:tc>
          <w:tcPr>
            <w:tcW w:w="550" w:type="pct"/>
            <w:shd w:val="clear" w:color="auto" w:fill="FFFFFF"/>
            <w:vAlign w:val="bottom"/>
            <w:hideMark/>
          </w:tcPr>
          <w:p w14:paraId="5019879A" w14:textId="77777777" w:rsidR="00000000" w:rsidRDefault="0053651E">
            <w:pPr>
              <w:jc w:val="right"/>
              <w:rPr>
                <w:rFonts w:eastAsia="Times New Roman"/>
                <w:sz w:val="16"/>
                <w:szCs w:val="16"/>
              </w:rPr>
            </w:pPr>
            <w:r>
              <w:rPr>
                <w:rFonts w:eastAsia="Times New Roman"/>
                <w:sz w:val="16"/>
                <w:szCs w:val="16"/>
              </w:rPr>
              <w:t>20,323,961</w:t>
            </w:r>
          </w:p>
        </w:tc>
        <w:tc>
          <w:tcPr>
            <w:tcW w:w="350" w:type="pct"/>
            <w:shd w:val="clear" w:color="auto" w:fill="FFFFFF"/>
            <w:vAlign w:val="bottom"/>
            <w:hideMark/>
          </w:tcPr>
          <w:p w14:paraId="7E740CC9" w14:textId="77777777" w:rsidR="00000000" w:rsidRDefault="0053651E">
            <w:pPr>
              <w:jc w:val="right"/>
              <w:rPr>
                <w:rFonts w:eastAsia="Times New Roman"/>
                <w:sz w:val="16"/>
                <w:szCs w:val="16"/>
              </w:rPr>
            </w:pPr>
            <w:r>
              <w:rPr>
                <w:rFonts w:eastAsia="Times New Roman"/>
                <w:sz w:val="16"/>
                <w:szCs w:val="16"/>
              </w:rPr>
              <w:t>728,718</w:t>
            </w:r>
          </w:p>
        </w:tc>
        <w:tc>
          <w:tcPr>
            <w:tcW w:w="300" w:type="pct"/>
            <w:shd w:val="clear" w:color="auto" w:fill="FFFFFF"/>
            <w:vAlign w:val="bottom"/>
            <w:hideMark/>
          </w:tcPr>
          <w:p w14:paraId="451B8629" w14:textId="77777777" w:rsidR="00000000" w:rsidRDefault="0053651E">
            <w:pPr>
              <w:jc w:val="right"/>
              <w:rPr>
                <w:rFonts w:eastAsia="Times New Roman"/>
                <w:sz w:val="16"/>
                <w:szCs w:val="16"/>
              </w:rPr>
            </w:pPr>
            <w:r>
              <w:rPr>
                <w:rFonts w:eastAsia="Times New Roman"/>
                <w:sz w:val="16"/>
                <w:szCs w:val="16"/>
              </w:rPr>
              <w:t>12,944,972</w:t>
            </w:r>
          </w:p>
        </w:tc>
        <w:tc>
          <w:tcPr>
            <w:tcW w:w="450" w:type="pct"/>
            <w:shd w:val="clear" w:color="auto" w:fill="FFFFFF"/>
            <w:vAlign w:val="bottom"/>
            <w:hideMark/>
          </w:tcPr>
          <w:p w14:paraId="4BF6B892" w14:textId="77777777" w:rsidR="00000000" w:rsidRDefault="0053651E">
            <w:pPr>
              <w:jc w:val="right"/>
              <w:rPr>
                <w:rFonts w:eastAsia="Times New Roman"/>
                <w:sz w:val="16"/>
                <w:szCs w:val="16"/>
              </w:rPr>
            </w:pPr>
            <w:r>
              <w:rPr>
                <w:rFonts w:eastAsia="Times New Roman"/>
                <w:sz w:val="16"/>
                <w:szCs w:val="16"/>
              </w:rPr>
              <w:t>21,052,679</w:t>
            </w:r>
          </w:p>
        </w:tc>
        <w:tc>
          <w:tcPr>
            <w:tcW w:w="350" w:type="pct"/>
            <w:shd w:val="clear" w:color="auto" w:fill="FFFFFF"/>
            <w:vAlign w:val="bottom"/>
            <w:hideMark/>
          </w:tcPr>
          <w:p w14:paraId="5313A589" w14:textId="77777777" w:rsidR="00000000" w:rsidRDefault="0053651E">
            <w:pPr>
              <w:jc w:val="right"/>
              <w:rPr>
                <w:rFonts w:eastAsia="Times New Roman"/>
                <w:sz w:val="16"/>
                <w:szCs w:val="16"/>
              </w:rPr>
            </w:pPr>
            <w:r>
              <w:rPr>
                <w:rFonts w:eastAsia="Times New Roman"/>
                <w:sz w:val="16"/>
                <w:szCs w:val="16"/>
              </w:rPr>
              <w:t>33,997,651</w:t>
            </w:r>
          </w:p>
        </w:tc>
        <w:tc>
          <w:tcPr>
            <w:tcW w:w="400" w:type="pct"/>
            <w:shd w:val="clear" w:color="auto" w:fill="FFFFFF"/>
            <w:vAlign w:val="bottom"/>
            <w:hideMark/>
          </w:tcPr>
          <w:p w14:paraId="33C25336" w14:textId="77777777" w:rsidR="00000000" w:rsidRDefault="0053651E">
            <w:pPr>
              <w:jc w:val="right"/>
              <w:rPr>
                <w:rFonts w:eastAsia="Times New Roman"/>
                <w:sz w:val="16"/>
                <w:szCs w:val="16"/>
              </w:rPr>
            </w:pPr>
            <w:r>
              <w:rPr>
                <w:rFonts w:eastAsia="Times New Roman"/>
                <w:sz w:val="16"/>
                <w:szCs w:val="16"/>
              </w:rPr>
              <w:t>3,472,979</w:t>
            </w:r>
          </w:p>
        </w:tc>
        <w:tc>
          <w:tcPr>
            <w:tcW w:w="50" w:type="pct"/>
            <w:shd w:val="clear" w:color="auto" w:fill="FFFFFF"/>
            <w:vAlign w:val="bottom"/>
            <w:hideMark/>
          </w:tcPr>
          <w:p w14:paraId="40FEFB4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0FBE47D" w14:textId="77777777" w:rsidR="00000000" w:rsidRDefault="0053651E">
            <w:pPr>
              <w:jc w:val="right"/>
              <w:rPr>
                <w:rFonts w:eastAsia="Times New Roman"/>
                <w:sz w:val="16"/>
                <w:szCs w:val="16"/>
              </w:rPr>
            </w:pPr>
            <w:r>
              <w:rPr>
                <w:rFonts w:eastAsia="Times New Roman"/>
                <w:sz w:val="16"/>
                <w:szCs w:val="16"/>
              </w:rPr>
              <w:t>30,524,672</w:t>
            </w:r>
          </w:p>
        </w:tc>
        <w:tc>
          <w:tcPr>
            <w:tcW w:w="50" w:type="pct"/>
            <w:shd w:val="clear" w:color="auto" w:fill="FFFFFF"/>
            <w:vAlign w:val="bottom"/>
            <w:hideMark/>
          </w:tcPr>
          <w:p w14:paraId="2A793A4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7BD3F03" w14:textId="77777777" w:rsidR="00000000" w:rsidRDefault="0053651E">
            <w:pPr>
              <w:jc w:val="right"/>
              <w:rPr>
                <w:rFonts w:eastAsia="Times New Roman"/>
                <w:sz w:val="16"/>
                <w:szCs w:val="16"/>
              </w:rPr>
            </w:pPr>
            <w:r>
              <w:rPr>
                <w:rFonts w:eastAsia="Times New Roman"/>
                <w:sz w:val="16"/>
                <w:szCs w:val="16"/>
              </w:rPr>
              <w:t>9,855,105</w:t>
            </w:r>
          </w:p>
        </w:tc>
        <w:tc>
          <w:tcPr>
            <w:tcW w:w="500" w:type="pct"/>
            <w:shd w:val="clear" w:color="auto" w:fill="FFFFFF"/>
            <w:vAlign w:val="bottom"/>
            <w:hideMark/>
          </w:tcPr>
          <w:p w14:paraId="022716AF"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161FFF25" w14:textId="77777777">
        <w:trPr>
          <w:tblCellSpacing w:w="0" w:type="dxa"/>
        </w:trPr>
        <w:tc>
          <w:tcPr>
            <w:tcW w:w="50" w:type="pct"/>
            <w:shd w:val="clear" w:color="auto" w:fill="CCEEFF"/>
            <w:vAlign w:val="bottom"/>
            <w:hideMark/>
          </w:tcPr>
          <w:p w14:paraId="32DC7F9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0179DEB" w14:textId="77777777" w:rsidR="00000000" w:rsidRDefault="0053651E">
            <w:pPr>
              <w:pStyle w:val="a3"/>
              <w:spacing w:before="0" w:beforeAutospacing="0" w:after="0" w:afterAutospacing="0"/>
              <w:rPr>
                <w:sz w:val="16"/>
                <w:szCs w:val="16"/>
              </w:rPr>
            </w:pPr>
            <w:r>
              <w:rPr>
                <w:sz w:val="16"/>
                <w:szCs w:val="16"/>
              </w:rPr>
              <w:t>CITY HEIGHTS</w:t>
            </w:r>
          </w:p>
        </w:tc>
        <w:tc>
          <w:tcPr>
            <w:tcW w:w="150" w:type="pct"/>
            <w:shd w:val="clear" w:color="auto" w:fill="CCEEFF"/>
            <w:vAlign w:val="bottom"/>
            <w:hideMark/>
          </w:tcPr>
          <w:p w14:paraId="351226F3"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146D054E" w14:textId="77777777" w:rsidR="00000000" w:rsidRDefault="0053651E">
            <w:pPr>
              <w:jc w:val="right"/>
              <w:rPr>
                <w:rFonts w:eastAsia="Times New Roman"/>
                <w:sz w:val="16"/>
                <w:szCs w:val="16"/>
              </w:rPr>
            </w:pPr>
            <w:r>
              <w:rPr>
                <w:rFonts w:eastAsia="Times New Roman"/>
                <w:sz w:val="16"/>
                <w:szCs w:val="16"/>
              </w:rPr>
              <w:t>10,687,472</w:t>
            </w:r>
          </w:p>
        </w:tc>
        <w:tc>
          <w:tcPr>
            <w:tcW w:w="550" w:type="pct"/>
            <w:shd w:val="clear" w:color="auto" w:fill="CCEEFF"/>
            <w:vAlign w:val="bottom"/>
            <w:hideMark/>
          </w:tcPr>
          <w:p w14:paraId="357150B0" w14:textId="77777777" w:rsidR="00000000" w:rsidRDefault="0053651E">
            <w:pPr>
              <w:jc w:val="right"/>
              <w:rPr>
                <w:rFonts w:eastAsia="Times New Roman"/>
                <w:sz w:val="16"/>
                <w:szCs w:val="16"/>
              </w:rPr>
            </w:pPr>
            <w:r>
              <w:rPr>
                <w:rFonts w:eastAsia="Times New Roman"/>
                <w:sz w:val="16"/>
                <w:szCs w:val="16"/>
              </w:rPr>
              <w:t>28,324,896</w:t>
            </w:r>
          </w:p>
        </w:tc>
        <w:tc>
          <w:tcPr>
            <w:tcW w:w="350" w:type="pct"/>
            <w:shd w:val="clear" w:color="auto" w:fill="CCEEFF"/>
            <w:vAlign w:val="bottom"/>
            <w:hideMark/>
          </w:tcPr>
          <w:p w14:paraId="57313120"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676,206)</w:t>
            </w:r>
          </w:p>
        </w:tc>
        <w:tc>
          <w:tcPr>
            <w:tcW w:w="300" w:type="pct"/>
            <w:shd w:val="clear" w:color="auto" w:fill="CCEEFF"/>
            <w:vAlign w:val="bottom"/>
            <w:hideMark/>
          </w:tcPr>
          <w:p w14:paraId="15367384" w14:textId="77777777" w:rsidR="00000000" w:rsidRDefault="0053651E">
            <w:pPr>
              <w:jc w:val="right"/>
              <w:rPr>
                <w:rFonts w:eastAsia="Times New Roman"/>
                <w:sz w:val="16"/>
                <w:szCs w:val="16"/>
              </w:rPr>
            </w:pPr>
            <w:r>
              <w:rPr>
                <w:rFonts w:eastAsia="Times New Roman"/>
                <w:sz w:val="16"/>
                <w:szCs w:val="16"/>
              </w:rPr>
              <w:t>13,908,563</w:t>
            </w:r>
          </w:p>
        </w:tc>
        <w:tc>
          <w:tcPr>
            <w:tcW w:w="450" w:type="pct"/>
            <w:shd w:val="clear" w:color="auto" w:fill="CCEEFF"/>
            <w:vAlign w:val="bottom"/>
            <w:hideMark/>
          </w:tcPr>
          <w:p w14:paraId="64FA4F17" w14:textId="77777777" w:rsidR="00000000" w:rsidRDefault="0053651E">
            <w:pPr>
              <w:jc w:val="right"/>
              <w:rPr>
                <w:rFonts w:eastAsia="Times New Roman"/>
                <w:sz w:val="16"/>
                <w:szCs w:val="16"/>
              </w:rPr>
            </w:pPr>
            <w:r>
              <w:rPr>
                <w:rFonts w:eastAsia="Times New Roman"/>
                <w:sz w:val="16"/>
                <w:szCs w:val="16"/>
              </w:rPr>
              <w:t>24,427,599</w:t>
            </w:r>
          </w:p>
        </w:tc>
        <w:tc>
          <w:tcPr>
            <w:tcW w:w="350" w:type="pct"/>
            <w:shd w:val="clear" w:color="auto" w:fill="CCEEFF"/>
            <w:vAlign w:val="bottom"/>
            <w:hideMark/>
          </w:tcPr>
          <w:p w14:paraId="71B911C6" w14:textId="77777777" w:rsidR="00000000" w:rsidRDefault="0053651E">
            <w:pPr>
              <w:jc w:val="right"/>
              <w:rPr>
                <w:rFonts w:eastAsia="Times New Roman"/>
                <w:sz w:val="16"/>
                <w:szCs w:val="16"/>
              </w:rPr>
            </w:pPr>
            <w:r>
              <w:rPr>
                <w:rFonts w:eastAsia="Times New Roman"/>
                <w:sz w:val="16"/>
                <w:szCs w:val="16"/>
              </w:rPr>
              <w:t>38,336,162</w:t>
            </w:r>
          </w:p>
        </w:tc>
        <w:tc>
          <w:tcPr>
            <w:tcW w:w="400" w:type="pct"/>
            <w:shd w:val="clear" w:color="auto" w:fill="CCEEFF"/>
            <w:vAlign w:val="bottom"/>
            <w:hideMark/>
          </w:tcPr>
          <w:p w14:paraId="63EBD2C3" w14:textId="77777777" w:rsidR="00000000" w:rsidRDefault="0053651E">
            <w:pPr>
              <w:jc w:val="right"/>
              <w:rPr>
                <w:rFonts w:eastAsia="Times New Roman"/>
                <w:sz w:val="16"/>
                <w:szCs w:val="16"/>
              </w:rPr>
            </w:pPr>
            <w:r>
              <w:rPr>
                <w:rFonts w:eastAsia="Times New Roman"/>
                <w:sz w:val="16"/>
                <w:szCs w:val="16"/>
              </w:rPr>
              <w:t>4,541,708</w:t>
            </w:r>
          </w:p>
        </w:tc>
        <w:tc>
          <w:tcPr>
            <w:tcW w:w="50" w:type="pct"/>
            <w:shd w:val="clear" w:color="auto" w:fill="CCEEFF"/>
            <w:vAlign w:val="bottom"/>
            <w:hideMark/>
          </w:tcPr>
          <w:p w14:paraId="69016A2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652B99A" w14:textId="77777777" w:rsidR="00000000" w:rsidRDefault="0053651E">
            <w:pPr>
              <w:jc w:val="right"/>
              <w:rPr>
                <w:rFonts w:eastAsia="Times New Roman"/>
                <w:sz w:val="16"/>
                <w:szCs w:val="16"/>
              </w:rPr>
            </w:pPr>
            <w:r>
              <w:rPr>
                <w:rFonts w:eastAsia="Times New Roman"/>
                <w:sz w:val="16"/>
                <w:szCs w:val="16"/>
              </w:rPr>
              <w:t>33,794,454</w:t>
            </w:r>
          </w:p>
        </w:tc>
        <w:tc>
          <w:tcPr>
            <w:tcW w:w="50" w:type="pct"/>
            <w:shd w:val="clear" w:color="auto" w:fill="CCEEFF"/>
            <w:vAlign w:val="bottom"/>
            <w:hideMark/>
          </w:tcPr>
          <w:p w14:paraId="5EA73BC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0AE5F9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C95490B"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7BE64495" w14:textId="77777777">
        <w:trPr>
          <w:tblCellSpacing w:w="0" w:type="dxa"/>
        </w:trPr>
        <w:tc>
          <w:tcPr>
            <w:tcW w:w="50" w:type="pct"/>
            <w:shd w:val="clear" w:color="auto" w:fill="FFFFFF"/>
            <w:vAlign w:val="bottom"/>
            <w:hideMark/>
          </w:tcPr>
          <w:p w14:paraId="648BE13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54CE734" w14:textId="77777777" w:rsidR="00000000" w:rsidRDefault="0053651E">
            <w:pPr>
              <w:pStyle w:val="a3"/>
              <w:spacing w:before="0" w:beforeAutospacing="0" w:after="0" w:afterAutospacing="0"/>
              <w:rPr>
                <w:sz w:val="16"/>
                <w:szCs w:val="16"/>
              </w:rPr>
            </w:pPr>
            <w:r>
              <w:rPr>
                <w:sz w:val="16"/>
                <w:szCs w:val="16"/>
              </w:rPr>
              <w:t>TRUCKEE CROSSROADS</w:t>
            </w:r>
          </w:p>
        </w:tc>
        <w:tc>
          <w:tcPr>
            <w:tcW w:w="150" w:type="pct"/>
            <w:shd w:val="clear" w:color="auto" w:fill="FFFFFF"/>
            <w:vAlign w:val="bottom"/>
            <w:hideMark/>
          </w:tcPr>
          <w:p w14:paraId="524EB45E"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306A6B5E" w14:textId="77777777" w:rsidR="00000000" w:rsidRDefault="0053651E">
            <w:pPr>
              <w:jc w:val="right"/>
              <w:rPr>
                <w:rFonts w:eastAsia="Times New Roman"/>
                <w:sz w:val="16"/>
                <w:szCs w:val="16"/>
              </w:rPr>
            </w:pPr>
            <w:r>
              <w:rPr>
                <w:rFonts w:eastAsia="Times New Roman"/>
                <w:sz w:val="16"/>
                <w:szCs w:val="16"/>
              </w:rPr>
              <w:t>2,140,000</w:t>
            </w:r>
          </w:p>
        </w:tc>
        <w:tc>
          <w:tcPr>
            <w:tcW w:w="550" w:type="pct"/>
            <w:shd w:val="clear" w:color="auto" w:fill="FFFFFF"/>
            <w:vAlign w:val="bottom"/>
            <w:hideMark/>
          </w:tcPr>
          <w:p w14:paraId="7DA5BA3B" w14:textId="77777777" w:rsidR="00000000" w:rsidRDefault="0053651E">
            <w:pPr>
              <w:jc w:val="right"/>
              <w:rPr>
                <w:rFonts w:eastAsia="Times New Roman"/>
                <w:sz w:val="16"/>
                <w:szCs w:val="16"/>
              </w:rPr>
            </w:pPr>
            <w:r>
              <w:rPr>
                <w:rFonts w:eastAsia="Times New Roman"/>
                <w:sz w:val="16"/>
                <w:szCs w:val="16"/>
              </w:rPr>
              <w:t>28,324,896</w:t>
            </w:r>
          </w:p>
        </w:tc>
        <w:tc>
          <w:tcPr>
            <w:tcW w:w="350" w:type="pct"/>
            <w:shd w:val="clear" w:color="auto" w:fill="FFFFFF"/>
            <w:vAlign w:val="bottom"/>
            <w:hideMark/>
          </w:tcPr>
          <w:p w14:paraId="59E65567" w14:textId="77777777" w:rsidR="00000000" w:rsidRDefault="0053651E">
            <w:pPr>
              <w:jc w:val="right"/>
              <w:rPr>
                <w:rFonts w:eastAsia="Times New Roman"/>
                <w:sz w:val="16"/>
                <w:szCs w:val="16"/>
              </w:rPr>
            </w:pPr>
            <w:r>
              <w:rPr>
                <w:rFonts w:eastAsia="Times New Roman"/>
                <w:sz w:val="16"/>
                <w:szCs w:val="16"/>
              </w:rPr>
              <w:t>(18,556,146)</w:t>
            </w:r>
          </w:p>
        </w:tc>
        <w:tc>
          <w:tcPr>
            <w:tcW w:w="300" w:type="pct"/>
            <w:shd w:val="clear" w:color="auto" w:fill="FFFFFF"/>
            <w:vAlign w:val="bottom"/>
            <w:hideMark/>
          </w:tcPr>
          <w:p w14:paraId="746746E0" w14:textId="77777777" w:rsidR="00000000" w:rsidRDefault="0053651E">
            <w:pPr>
              <w:jc w:val="right"/>
              <w:rPr>
                <w:rFonts w:eastAsia="Times New Roman"/>
                <w:sz w:val="16"/>
                <w:szCs w:val="16"/>
              </w:rPr>
            </w:pPr>
            <w:r>
              <w:rPr>
                <w:rFonts w:eastAsia="Times New Roman"/>
                <w:sz w:val="16"/>
                <w:szCs w:val="16"/>
              </w:rPr>
              <w:t>2,140,000</w:t>
            </w:r>
          </w:p>
        </w:tc>
        <w:tc>
          <w:tcPr>
            <w:tcW w:w="450" w:type="pct"/>
            <w:shd w:val="clear" w:color="auto" w:fill="FFFFFF"/>
            <w:vAlign w:val="bottom"/>
            <w:hideMark/>
          </w:tcPr>
          <w:p w14:paraId="3917063F" w14:textId="77777777" w:rsidR="00000000" w:rsidRDefault="0053651E">
            <w:pPr>
              <w:jc w:val="right"/>
              <w:rPr>
                <w:rFonts w:eastAsia="Times New Roman"/>
                <w:sz w:val="16"/>
                <w:szCs w:val="16"/>
              </w:rPr>
            </w:pPr>
            <w:r>
              <w:rPr>
                <w:rFonts w:eastAsia="Times New Roman"/>
                <w:sz w:val="16"/>
                <w:szCs w:val="16"/>
              </w:rPr>
              <w:t>9,768,750</w:t>
            </w:r>
          </w:p>
        </w:tc>
        <w:tc>
          <w:tcPr>
            <w:tcW w:w="350" w:type="pct"/>
            <w:shd w:val="clear" w:color="auto" w:fill="FFFFFF"/>
            <w:vAlign w:val="bottom"/>
            <w:hideMark/>
          </w:tcPr>
          <w:p w14:paraId="435776ED" w14:textId="77777777" w:rsidR="00000000" w:rsidRDefault="0053651E">
            <w:pPr>
              <w:jc w:val="right"/>
              <w:rPr>
                <w:rFonts w:eastAsia="Times New Roman"/>
                <w:sz w:val="16"/>
                <w:szCs w:val="16"/>
              </w:rPr>
            </w:pPr>
            <w:r>
              <w:rPr>
                <w:rFonts w:eastAsia="Times New Roman"/>
                <w:sz w:val="16"/>
                <w:szCs w:val="16"/>
              </w:rPr>
              <w:t>11,908,750</w:t>
            </w:r>
          </w:p>
        </w:tc>
        <w:tc>
          <w:tcPr>
            <w:tcW w:w="400" w:type="pct"/>
            <w:shd w:val="clear" w:color="auto" w:fill="FFFFFF"/>
            <w:vAlign w:val="bottom"/>
            <w:hideMark/>
          </w:tcPr>
          <w:p w14:paraId="0D7A4C59" w14:textId="77777777" w:rsidR="00000000" w:rsidRDefault="0053651E">
            <w:pPr>
              <w:jc w:val="right"/>
              <w:rPr>
                <w:rFonts w:eastAsia="Times New Roman"/>
                <w:sz w:val="16"/>
                <w:szCs w:val="16"/>
              </w:rPr>
            </w:pPr>
            <w:r>
              <w:rPr>
                <w:rFonts w:eastAsia="Times New Roman"/>
                <w:sz w:val="16"/>
                <w:szCs w:val="16"/>
              </w:rPr>
              <w:t>5,931,012</w:t>
            </w:r>
          </w:p>
        </w:tc>
        <w:tc>
          <w:tcPr>
            <w:tcW w:w="50" w:type="pct"/>
            <w:shd w:val="clear" w:color="auto" w:fill="FFFFFF"/>
            <w:vAlign w:val="bottom"/>
            <w:hideMark/>
          </w:tcPr>
          <w:p w14:paraId="27CFBB8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75A625D" w14:textId="77777777" w:rsidR="00000000" w:rsidRDefault="0053651E">
            <w:pPr>
              <w:jc w:val="right"/>
              <w:rPr>
                <w:rFonts w:eastAsia="Times New Roman"/>
                <w:sz w:val="16"/>
                <w:szCs w:val="16"/>
              </w:rPr>
            </w:pPr>
            <w:r>
              <w:rPr>
                <w:rFonts w:eastAsia="Times New Roman"/>
                <w:sz w:val="16"/>
                <w:szCs w:val="16"/>
              </w:rPr>
              <w:t>5,977,738</w:t>
            </w:r>
          </w:p>
        </w:tc>
        <w:tc>
          <w:tcPr>
            <w:tcW w:w="50" w:type="pct"/>
            <w:shd w:val="clear" w:color="auto" w:fill="FFFFFF"/>
            <w:vAlign w:val="bottom"/>
            <w:hideMark/>
          </w:tcPr>
          <w:p w14:paraId="117C83B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0D50B71" w14:textId="77777777" w:rsidR="00000000" w:rsidRDefault="0053651E">
            <w:pPr>
              <w:jc w:val="right"/>
              <w:rPr>
                <w:rFonts w:eastAsia="Times New Roman"/>
                <w:sz w:val="16"/>
                <w:szCs w:val="16"/>
              </w:rPr>
            </w:pPr>
            <w:r>
              <w:rPr>
                <w:rFonts w:eastAsia="Times New Roman"/>
                <w:sz w:val="16"/>
                <w:szCs w:val="16"/>
              </w:rPr>
              <w:t>1,492,324</w:t>
            </w:r>
          </w:p>
        </w:tc>
        <w:tc>
          <w:tcPr>
            <w:tcW w:w="500" w:type="pct"/>
            <w:shd w:val="clear" w:color="auto" w:fill="FFFFFF"/>
            <w:vAlign w:val="bottom"/>
            <w:hideMark/>
          </w:tcPr>
          <w:p w14:paraId="3824EEB4"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31A53B79" w14:textId="77777777">
        <w:trPr>
          <w:tblCellSpacing w:w="0" w:type="dxa"/>
        </w:trPr>
        <w:tc>
          <w:tcPr>
            <w:tcW w:w="50" w:type="pct"/>
            <w:shd w:val="clear" w:color="auto" w:fill="CCEEFF"/>
            <w:vAlign w:val="bottom"/>
            <w:hideMark/>
          </w:tcPr>
          <w:p w14:paraId="4BE1F62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6ABF5FA" w14:textId="77777777" w:rsidR="00000000" w:rsidRDefault="0053651E">
            <w:pPr>
              <w:pStyle w:val="a3"/>
              <w:spacing w:before="0" w:beforeAutospacing="0" w:after="0" w:afterAutospacing="0"/>
              <w:rPr>
                <w:sz w:val="16"/>
                <w:szCs w:val="16"/>
              </w:rPr>
            </w:pPr>
            <w:r>
              <w:rPr>
                <w:sz w:val="16"/>
                <w:szCs w:val="16"/>
              </w:rPr>
              <w:t>GATEWAY AT DONNER PASS</w:t>
            </w:r>
          </w:p>
        </w:tc>
        <w:tc>
          <w:tcPr>
            <w:tcW w:w="150" w:type="pct"/>
            <w:shd w:val="clear" w:color="auto" w:fill="CCEEFF"/>
            <w:vAlign w:val="bottom"/>
            <w:hideMark/>
          </w:tcPr>
          <w:p w14:paraId="7E08552D"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20B8ABFE" w14:textId="77777777" w:rsidR="00000000" w:rsidRDefault="0053651E">
            <w:pPr>
              <w:jc w:val="right"/>
              <w:rPr>
                <w:rFonts w:eastAsia="Times New Roman"/>
                <w:sz w:val="16"/>
                <w:szCs w:val="16"/>
              </w:rPr>
            </w:pPr>
            <w:r>
              <w:rPr>
                <w:rFonts w:eastAsia="Times New Roman"/>
                <w:sz w:val="16"/>
                <w:szCs w:val="16"/>
              </w:rPr>
              <w:t>4,515,688</w:t>
            </w:r>
          </w:p>
        </w:tc>
        <w:tc>
          <w:tcPr>
            <w:tcW w:w="550" w:type="pct"/>
            <w:shd w:val="clear" w:color="auto" w:fill="CCEEFF"/>
            <w:vAlign w:val="bottom"/>
            <w:hideMark/>
          </w:tcPr>
          <w:p w14:paraId="67AAE080" w14:textId="77777777" w:rsidR="00000000" w:rsidRDefault="0053651E">
            <w:pPr>
              <w:jc w:val="right"/>
              <w:rPr>
                <w:rFonts w:eastAsia="Times New Roman"/>
                <w:sz w:val="16"/>
                <w:szCs w:val="16"/>
              </w:rPr>
            </w:pPr>
            <w:r>
              <w:rPr>
                <w:rFonts w:eastAsia="Times New Roman"/>
                <w:sz w:val="16"/>
                <w:szCs w:val="16"/>
              </w:rPr>
              <w:t>8,318,667</w:t>
            </w:r>
          </w:p>
        </w:tc>
        <w:tc>
          <w:tcPr>
            <w:tcW w:w="350" w:type="pct"/>
            <w:shd w:val="clear" w:color="auto" w:fill="CCEEFF"/>
            <w:vAlign w:val="bottom"/>
            <w:hideMark/>
          </w:tcPr>
          <w:p w14:paraId="2173754E" w14:textId="77777777" w:rsidR="00000000" w:rsidRDefault="0053651E">
            <w:pPr>
              <w:jc w:val="right"/>
              <w:rPr>
                <w:rFonts w:eastAsia="Times New Roman"/>
                <w:sz w:val="16"/>
                <w:szCs w:val="16"/>
              </w:rPr>
            </w:pPr>
            <w:r>
              <w:rPr>
                <w:rFonts w:eastAsia="Times New Roman"/>
                <w:sz w:val="16"/>
                <w:szCs w:val="16"/>
              </w:rPr>
              <w:t>14,132,153</w:t>
            </w:r>
          </w:p>
        </w:tc>
        <w:tc>
          <w:tcPr>
            <w:tcW w:w="300" w:type="pct"/>
            <w:shd w:val="clear" w:color="auto" w:fill="CCEEFF"/>
            <w:vAlign w:val="bottom"/>
            <w:hideMark/>
          </w:tcPr>
          <w:p w14:paraId="6567ECE7" w14:textId="77777777" w:rsidR="00000000" w:rsidRDefault="0053651E">
            <w:pPr>
              <w:jc w:val="right"/>
              <w:rPr>
                <w:rFonts w:eastAsia="Times New Roman"/>
                <w:sz w:val="16"/>
                <w:szCs w:val="16"/>
              </w:rPr>
            </w:pPr>
            <w:r>
              <w:rPr>
                <w:rFonts w:eastAsia="Times New Roman"/>
                <w:sz w:val="16"/>
                <w:szCs w:val="16"/>
              </w:rPr>
              <w:t>8,759,279</w:t>
            </w:r>
          </w:p>
        </w:tc>
        <w:tc>
          <w:tcPr>
            <w:tcW w:w="450" w:type="pct"/>
            <w:shd w:val="clear" w:color="auto" w:fill="CCEEFF"/>
            <w:vAlign w:val="bottom"/>
            <w:hideMark/>
          </w:tcPr>
          <w:p w14:paraId="5EF84344" w14:textId="77777777" w:rsidR="00000000" w:rsidRDefault="0053651E">
            <w:pPr>
              <w:jc w:val="right"/>
              <w:rPr>
                <w:rFonts w:eastAsia="Times New Roman"/>
                <w:sz w:val="16"/>
                <w:szCs w:val="16"/>
              </w:rPr>
            </w:pPr>
            <w:r>
              <w:rPr>
                <w:rFonts w:eastAsia="Times New Roman"/>
                <w:sz w:val="16"/>
                <w:szCs w:val="16"/>
              </w:rPr>
              <w:t>18,207,229</w:t>
            </w:r>
          </w:p>
        </w:tc>
        <w:tc>
          <w:tcPr>
            <w:tcW w:w="350" w:type="pct"/>
            <w:shd w:val="clear" w:color="auto" w:fill="CCEEFF"/>
            <w:vAlign w:val="bottom"/>
            <w:hideMark/>
          </w:tcPr>
          <w:p w14:paraId="75397060" w14:textId="77777777" w:rsidR="00000000" w:rsidRDefault="0053651E">
            <w:pPr>
              <w:jc w:val="right"/>
              <w:rPr>
                <w:rFonts w:eastAsia="Times New Roman"/>
                <w:sz w:val="16"/>
                <w:szCs w:val="16"/>
              </w:rPr>
            </w:pPr>
            <w:r>
              <w:rPr>
                <w:rFonts w:eastAsia="Times New Roman"/>
                <w:sz w:val="16"/>
                <w:szCs w:val="16"/>
              </w:rPr>
              <w:t>26,966,508</w:t>
            </w:r>
          </w:p>
        </w:tc>
        <w:tc>
          <w:tcPr>
            <w:tcW w:w="400" w:type="pct"/>
            <w:shd w:val="clear" w:color="auto" w:fill="CCEEFF"/>
            <w:vAlign w:val="bottom"/>
            <w:hideMark/>
          </w:tcPr>
          <w:p w14:paraId="37990990" w14:textId="77777777" w:rsidR="00000000" w:rsidRDefault="0053651E">
            <w:pPr>
              <w:jc w:val="right"/>
              <w:rPr>
                <w:rFonts w:eastAsia="Times New Roman"/>
                <w:sz w:val="16"/>
                <w:szCs w:val="16"/>
              </w:rPr>
            </w:pPr>
            <w:r>
              <w:rPr>
                <w:rFonts w:eastAsia="Times New Roman"/>
                <w:sz w:val="16"/>
                <w:szCs w:val="16"/>
              </w:rPr>
              <w:t>1,926,037</w:t>
            </w:r>
          </w:p>
        </w:tc>
        <w:tc>
          <w:tcPr>
            <w:tcW w:w="50" w:type="pct"/>
            <w:shd w:val="clear" w:color="auto" w:fill="CCEEFF"/>
            <w:vAlign w:val="bottom"/>
            <w:hideMark/>
          </w:tcPr>
          <w:p w14:paraId="0510A85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B17C376" w14:textId="77777777" w:rsidR="00000000" w:rsidRDefault="0053651E">
            <w:pPr>
              <w:jc w:val="right"/>
              <w:rPr>
                <w:rFonts w:eastAsia="Times New Roman"/>
                <w:sz w:val="16"/>
                <w:szCs w:val="16"/>
              </w:rPr>
            </w:pPr>
            <w:r>
              <w:rPr>
                <w:rFonts w:eastAsia="Times New Roman"/>
                <w:sz w:val="16"/>
                <w:szCs w:val="16"/>
              </w:rPr>
              <w:t>25,040,471</w:t>
            </w:r>
          </w:p>
        </w:tc>
        <w:tc>
          <w:tcPr>
            <w:tcW w:w="50" w:type="pct"/>
            <w:shd w:val="clear" w:color="auto" w:fill="CCEEFF"/>
            <w:vAlign w:val="bottom"/>
            <w:hideMark/>
          </w:tcPr>
          <w:p w14:paraId="09B2713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DAF163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0F4FD45"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30DA26F" w14:textId="77777777">
        <w:trPr>
          <w:tblCellSpacing w:w="0" w:type="dxa"/>
        </w:trPr>
        <w:tc>
          <w:tcPr>
            <w:tcW w:w="50" w:type="pct"/>
            <w:shd w:val="clear" w:color="auto" w:fill="FFFFFF"/>
            <w:vAlign w:val="bottom"/>
            <w:hideMark/>
          </w:tcPr>
          <w:p w14:paraId="2AE7710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BE77B0D" w14:textId="77777777" w:rsidR="00000000" w:rsidRDefault="0053651E">
            <w:pPr>
              <w:pStyle w:val="a3"/>
              <w:spacing w:before="0" w:beforeAutospacing="0" w:after="0" w:afterAutospacing="0"/>
              <w:rPr>
                <w:sz w:val="16"/>
                <w:szCs w:val="16"/>
              </w:rPr>
            </w:pPr>
            <w:r>
              <w:rPr>
                <w:sz w:val="16"/>
                <w:szCs w:val="16"/>
              </w:rPr>
              <w:t>WESTLAKE SHOPPING CENTER</w:t>
            </w:r>
          </w:p>
        </w:tc>
        <w:tc>
          <w:tcPr>
            <w:tcW w:w="150" w:type="pct"/>
            <w:shd w:val="clear" w:color="auto" w:fill="FFFFFF"/>
            <w:vAlign w:val="bottom"/>
            <w:hideMark/>
          </w:tcPr>
          <w:p w14:paraId="4A6857F8"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2003B26B" w14:textId="77777777" w:rsidR="00000000" w:rsidRDefault="0053651E">
            <w:pPr>
              <w:jc w:val="right"/>
              <w:rPr>
                <w:rFonts w:eastAsia="Times New Roman"/>
                <w:sz w:val="16"/>
                <w:szCs w:val="16"/>
              </w:rPr>
            </w:pPr>
            <w:r>
              <w:rPr>
                <w:rFonts w:eastAsia="Times New Roman"/>
                <w:sz w:val="16"/>
                <w:szCs w:val="16"/>
              </w:rPr>
              <w:t>16,174,307</w:t>
            </w:r>
          </w:p>
        </w:tc>
        <w:tc>
          <w:tcPr>
            <w:tcW w:w="550" w:type="pct"/>
            <w:shd w:val="clear" w:color="auto" w:fill="FFFFFF"/>
            <w:vAlign w:val="bottom"/>
            <w:hideMark/>
          </w:tcPr>
          <w:p w14:paraId="48E066DF" w14:textId="77777777" w:rsidR="00000000" w:rsidRDefault="0053651E">
            <w:pPr>
              <w:jc w:val="right"/>
              <w:rPr>
                <w:rFonts w:eastAsia="Times New Roman"/>
                <w:sz w:val="16"/>
                <w:szCs w:val="16"/>
              </w:rPr>
            </w:pPr>
            <w:r>
              <w:rPr>
                <w:rFonts w:eastAsia="Times New Roman"/>
                <w:sz w:val="16"/>
                <w:szCs w:val="16"/>
              </w:rPr>
              <w:t>64,818,562</w:t>
            </w:r>
          </w:p>
        </w:tc>
        <w:tc>
          <w:tcPr>
            <w:tcW w:w="350" w:type="pct"/>
            <w:shd w:val="clear" w:color="auto" w:fill="FFFFFF"/>
            <w:vAlign w:val="bottom"/>
            <w:hideMark/>
          </w:tcPr>
          <w:p w14:paraId="63D75519" w14:textId="77777777" w:rsidR="00000000" w:rsidRDefault="0053651E">
            <w:pPr>
              <w:jc w:val="right"/>
              <w:rPr>
                <w:rFonts w:eastAsia="Times New Roman"/>
                <w:sz w:val="16"/>
                <w:szCs w:val="16"/>
              </w:rPr>
            </w:pPr>
            <w:r>
              <w:rPr>
                <w:rFonts w:eastAsia="Times New Roman"/>
                <w:sz w:val="16"/>
                <w:szCs w:val="16"/>
              </w:rPr>
              <w:t>103,332,384</w:t>
            </w:r>
          </w:p>
        </w:tc>
        <w:tc>
          <w:tcPr>
            <w:tcW w:w="300" w:type="pct"/>
            <w:shd w:val="clear" w:color="auto" w:fill="FFFFFF"/>
            <w:vAlign w:val="bottom"/>
            <w:hideMark/>
          </w:tcPr>
          <w:p w14:paraId="56E882FC" w14:textId="77777777" w:rsidR="00000000" w:rsidRDefault="0053651E">
            <w:pPr>
              <w:jc w:val="right"/>
              <w:rPr>
                <w:rFonts w:eastAsia="Times New Roman"/>
                <w:sz w:val="16"/>
                <w:szCs w:val="16"/>
              </w:rPr>
            </w:pPr>
            <w:r>
              <w:rPr>
                <w:rFonts w:eastAsia="Times New Roman"/>
                <w:sz w:val="16"/>
                <w:szCs w:val="16"/>
              </w:rPr>
              <w:t>16,174,307</w:t>
            </w:r>
          </w:p>
        </w:tc>
        <w:tc>
          <w:tcPr>
            <w:tcW w:w="450" w:type="pct"/>
            <w:shd w:val="clear" w:color="auto" w:fill="FFFFFF"/>
            <w:vAlign w:val="bottom"/>
            <w:hideMark/>
          </w:tcPr>
          <w:p w14:paraId="30F5F4C2" w14:textId="77777777" w:rsidR="00000000" w:rsidRDefault="0053651E">
            <w:pPr>
              <w:jc w:val="right"/>
              <w:rPr>
                <w:rFonts w:eastAsia="Times New Roman"/>
                <w:sz w:val="16"/>
                <w:szCs w:val="16"/>
              </w:rPr>
            </w:pPr>
            <w:r>
              <w:rPr>
                <w:rFonts w:eastAsia="Times New Roman"/>
                <w:sz w:val="16"/>
                <w:szCs w:val="16"/>
              </w:rPr>
              <w:t>168,150,946</w:t>
            </w:r>
          </w:p>
        </w:tc>
        <w:tc>
          <w:tcPr>
            <w:tcW w:w="350" w:type="pct"/>
            <w:shd w:val="clear" w:color="auto" w:fill="FFFFFF"/>
            <w:vAlign w:val="bottom"/>
            <w:hideMark/>
          </w:tcPr>
          <w:p w14:paraId="66BB8FF0" w14:textId="77777777" w:rsidR="00000000" w:rsidRDefault="0053651E">
            <w:pPr>
              <w:jc w:val="right"/>
              <w:rPr>
                <w:rFonts w:eastAsia="Times New Roman"/>
                <w:sz w:val="16"/>
                <w:szCs w:val="16"/>
              </w:rPr>
            </w:pPr>
            <w:r>
              <w:rPr>
                <w:rFonts w:eastAsia="Times New Roman"/>
                <w:sz w:val="16"/>
                <w:szCs w:val="16"/>
              </w:rPr>
              <w:t>184,325,253</w:t>
            </w:r>
          </w:p>
        </w:tc>
        <w:tc>
          <w:tcPr>
            <w:tcW w:w="400" w:type="pct"/>
            <w:shd w:val="clear" w:color="auto" w:fill="FFFFFF"/>
            <w:vAlign w:val="bottom"/>
            <w:hideMark/>
          </w:tcPr>
          <w:p w14:paraId="448DE5BF" w14:textId="77777777" w:rsidR="00000000" w:rsidRDefault="0053651E">
            <w:pPr>
              <w:jc w:val="right"/>
              <w:rPr>
                <w:rFonts w:eastAsia="Times New Roman"/>
                <w:sz w:val="16"/>
                <w:szCs w:val="16"/>
              </w:rPr>
            </w:pPr>
            <w:r>
              <w:rPr>
                <w:rFonts w:eastAsia="Times New Roman"/>
                <w:sz w:val="16"/>
                <w:szCs w:val="16"/>
              </w:rPr>
              <w:t>61,003,852</w:t>
            </w:r>
          </w:p>
        </w:tc>
        <w:tc>
          <w:tcPr>
            <w:tcW w:w="50" w:type="pct"/>
            <w:shd w:val="clear" w:color="auto" w:fill="FFFFFF"/>
            <w:vAlign w:val="bottom"/>
            <w:hideMark/>
          </w:tcPr>
          <w:p w14:paraId="12B3980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EDBC42C" w14:textId="77777777" w:rsidR="00000000" w:rsidRDefault="0053651E">
            <w:pPr>
              <w:jc w:val="right"/>
              <w:rPr>
                <w:rFonts w:eastAsia="Times New Roman"/>
                <w:sz w:val="16"/>
                <w:szCs w:val="16"/>
              </w:rPr>
            </w:pPr>
            <w:r>
              <w:rPr>
                <w:rFonts w:eastAsia="Times New Roman"/>
                <w:sz w:val="16"/>
                <w:szCs w:val="16"/>
              </w:rPr>
              <w:t>123,321,401</w:t>
            </w:r>
          </w:p>
        </w:tc>
        <w:tc>
          <w:tcPr>
            <w:tcW w:w="50" w:type="pct"/>
            <w:shd w:val="clear" w:color="auto" w:fill="FFFFFF"/>
            <w:vAlign w:val="bottom"/>
            <w:hideMark/>
          </w:tcPr>
          <w:p w14:paraId="200182F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50ABD7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8132F62" w14:textId="77777777" w:rsidR="00000000" w:rsidRDefault="0053651E">
            <w:pPr>
              <w:pStyle w:val="a3"/>
              <w:spacing w:before="0" w:beforeAutospacing="0" w:after="0" w:afterAutospacing="0"/>
              <w:jc w:val="center"/>
              <w:rPr>
                <w:sz w:val="16"/>
                <w:szCs w:val="16"/>
              </w:rPr>
            </w:pPr>
            <w:r>
              <w:rPr>
                <w:rStyle w:val="a6"/>
                <w:i w:val="0"/>
                <w:iCs w:val="0"/>
                <w:sz w:val="16"/>
                <w:szCs w:val="16"/>
              </w:rPr>
              <w:t>2002(A)</w:t>
            </w:r>
          </w:p>
        </w:tc>
      </w:tr>
      <w:tr w:rsidR="00000000" w14:paraId="610C986B" w14:textId="77777777">
        <w:trPr>
          <w:tblCellSpacing w:w="0" w:type="dxa"/>
        </w:trPr>
        <w:tc>
          <w:tcPr>
            <w:tcW w:w="50" w:type="pct"/>
            <w:shd w:val="clear" w:color="auto" w:fill="CCEEFF"/>
            <w:vAlign w:val="bottom"/>
            <w:hideMark/>
          </w:tcPr>
          <w:p w14:paraId="4D1D626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B53E5D9" w14:textId="77777777" w:rsidR="00000000" w:rsidRDefault="0053651E">
            <w:pPr>
              <w:pStyle w:val="a3"/>
              <w:spacing w:before="0" w:beforeAutospacing="0" w:after="0" w:afterAutospacing="0"/>
              <w:rPr>
                <w:sz w:val="16"/>
                <w:szCs w:val="16"/>
              </w:rPr>
            </w:pPr>
            <w:r>
              <w:rPr>
                <w:sz w:val="16"/>
                <w:szCs w:val="16"/>
              </w:rPr>
              <w:t>LAKEWOOD VILLAGE</w:t>
            </w:r>
          </w:p>
        </w:tc>
        <w:tc>
          <w:tcPr>
            <w:tcW w:w="150" w:type="pct"/>
            <w:shd w:val="clear" w:color="auto" w:fill="CCEEFF"/>
            <w:vAlign w:val="bottom"/>
            <w:hideMark/>
          </w:tcPr>
          <w:p w14:paraId="5CA5A207"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CCEEFF"/>
            <w:vAlign w:val="bottom"/>
            <w:hideMark/>
          </w:tcPr>
          <w:p w14:paraId="5945CB78" w14:textId="77777777" w:rsidR="00000000" w:rsidRDefault="0053651E">
            <w:pPr>
              <w:jc w:val="right"/>
              <w:rPr>
                <w:rFonts w:eastAsia="Times New Roman"/>
                <w:sz w:val="16"/>
                <w:szCs w:val="16"/>
              </w:rPr>
            </w:pPr>
            <w:r>
              <w:rPr>
                <w:rFonts w:eastAsia="Times New Roman"/>
                <w:sz w:val="16"/>
                <w:szCs w:val="16"/>
              </w:rPr>
              <w:t>8,597,100</w:t>
            </w:r>
          </w:p>
        </w:tc>
        <w:tc>
          <w:tcPr>
            <w:tcW w:w="550" w:type="pct"/>
            <w:shd w:val="clear" w:color="auto" w:fill="CCEEFF"/>
            <w:vAlign w:val="bottom"/>
            <w:hideMark/>
          </w:tcPr>
          <w:p w14:paraId="659BAE22" w14:textId="77777777" w:rsidR="00000000" w:rsidRDefault="0053651E">
            <w:pPr>
              <w:jc w:val="right"/>
              <w:rPr>
                <w:rFonts w:eastAsia="Times New Roman"/>
                <w:sz w:val="16"/>
                <w:szCs w:val="16"/>
              </w:rPr>
            </w:pPr>
            <w:r>
              <w:rPr>
                <w:rFonts w:eastAsia="Times New Roman"/>
                <w:sz w:val="16"/>
                <w:szCs w:val="16"/>
              </w:rPr>
              <w:t>24,374,615</w:t>
            </w:r>
          </w:p>
        </w:tc>
        <w:tc>
          <w:tcPr>
            <w:tcW w:w="350" w:type="pct"/>
            <w:shd w:val="clear" w:color="auto" w:fill="CCEEFF"/>
            <w:vAlign w:val="bottom"/>
            <w:hideMark/>
          </w:tcPr>
          <w:p w14:paraId="20742BA4" w14:textId="77777777" w:rsidR="00000000" w:rsidRDefault="0053651E">
            <w:pPr>
              <w:jc w:val="right"/>
              <w:rPr>
                <w:rFonts w:eastAsia="Times New Roman"/>
                <w:sz w:val="16"/>
                <w:szCs w:val="16"/>
              </w:rPr>
            </w:pPr>
            <w:r>
              <w:rPr>
                <w:rFonts w:eastAsia="Times New Roman"/>
                <w:sz w:val="16"/>
                <w:szCs w:val="16"/>
              </w:rPr>
              <w:t>(870,415)</w:t>
            </w:r>
          </w:p>
        </w:tc>
        <w:tc>
          <w:tcPr>
            <w:tcW w:w="300" w:type="pct"/>
            <w:shd w:val="clear" w:color="auto" w:fill="CCEEFF"/>
            <w:vAlign w:val="bottom"/>
            <w:hideMark/>
          </w:tcPr>
          <w:p w14:paraId="23BAEB87" w14:textId="77777777" w:rsidR="00000000" w:rsidRDefault="0053651E">
            <w:pPr>
              <w:jc w:val="right"/>
              <w:rPr>
                <w:rFonts w:eastAsia="Times New Roman"/>
                <w:sz w:val="16"/>
                <w:szCs w:val="16"/>
              </w:rPr>
            </w:pPr>
            <w:r>
              <w:rPr>
                <w:rFonts w:eastAsia="Times New Roman"/>
                <w:sz w:val="16"/>
                <w:szCs w:val="16"/>
              </w:rPr>
              <w:t>11,683,364</w:t>
            </w:r>
          </w:p>
        </w:tc>
        <w:tc>
          <w:tcPr>
            <w:tcW w:w="450" w:type="pct"/>
            <w:shd w:val="clear" w:color="auto" w:fill="CCEEFF"/>
            <w:vAlign w:val="bottom"/>
            <w:hideMark/>
          </w:tcPr>
          <w:p w14:paraId="54EA4F51" w14:textId="77777777" w:rsidR="00000000" w:rsidRDefault="0053651E">
            <w:pPr>
              <w:jc w:val="right"/>
              <w:rPr>
                <w:rFonts w:eastAsia="Times New Roman"/>
                <w:sz w:val="16"/>
                <w:szCs w:val="16"/>
              </w:rPr>
            </w:pPr>
            <w:r>
              <w:rPr>
                <w:rFonts w:eastAsia="Times New Roman"/>
                <w:sz w:val="16"/>
                <w:szCs w:val="16"/>
              </w:rPr>
              <w:t>20,417,936</w:t>
            </w:r>
          </w:p>
        </w:tc>
        <w:tc>
          <w:tcPr>
            <w:tcW w:w="350" w:type="pct"/>
            <w:shd w:val="clear" w:color="auto" w:fill="CCEEFF"/>
            <w:vAlign w:val="bottom"/>
            <w:hideMark/>
          </w:tcPr>
          <w:p w14:paraId="3BF1B5E3" w14:textId="77777777" w:rsidR="00000000" w:rsidRDefault="0053651E">
            <w:pPr>
              <w:jc w:val="right"/>
              <w:rPr>
                <w:rFonts w:eastAsia="Times New Roman"/>
                <w:sz w:val="16"/>
                <w:szCs w:val="16"/>
              </w:rPr>
            </w:pPr>
            <w:r>
              <w:rPr>
                <w:rFonts w:eastAsia="Times New Roman"/>
                <w:sz w:val="16"/>
                <w:szCs w:val="16"/>
              </w:rPr>
              <w:t>32,101,300</w:t>
            </w:r>
          </w:p>
        </w:tc>
        <w:tc>
          <w:tcPr>
            <w:tcW w:w="400" w:type="pct"/>
            <w:shd w:val="clear" w:color="auto" w:fill="CCEEFF"/>
            <w:vAlign w:val="bottom"/>
            <w:hideMark/>
          </w:tcPr>
          <w:p w14:paraId="42DB88AD" w14:textId="77777777" w:rsidR="00000000" w:rsidRDefault="0053651E">
            <w:pPr>
              <w:jc w:val="right"/>
              <w:rPr>
                <w:rFonts w:eastAsia="Times New Roman"/>
                <w:sz w:val="16"/>
                <w:szCs w:val="16"/>
              </w:rPr>
            </w:pPr>
            <w:r>
              <w:rPr>
                <w:rFonts w:eastAsia="Times New Roman"/>
                <w:sz w:val="16"/>
                <w:szCs w:val="16"/>
              </w:rPr>
              <w:t>4,854,875</w:t>
            </w:r>
          </w:p>
        </w:tc>
        <w:tc>
          <w:tcPr>
            <w:tcW w:w="50" w:type="pct"/>
            <w:shd w:val="clear" w:color="auto" w:fill="CCEEFF"/>
            <w:vAlign w:val="bottom"/>
            <w:hideMark/>
          </w:tcPr>
          <w:p w14:paraId="7B172C1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3024C23" w14:textId="77777777" w:rsidR="00000000" w:rsidRDefault="0053651E">
            <w:pPr>
              <w:jc w:val="right"/>
              <w:rPr>
                <w:rFonts w:eastAsia="Times New Roman"/>
                <w:sz w:val="16"/>
                <w:szCs w:val="16"/>
              </w:rPr>
            </w:pPr>
            <w:r>
              <w:rPr>
                <w:rFonts w:eastAsia="Times New Roman"/>
                <w:sz w:val="16"/>
                <w:szCs w:val="16"/>
              </w:rPr>
              <w:t>27,246,425</w:t>
            </w:r>
          </w:p>
        </w:tc>
        <w:tc>
          <w:tcPr>
            <w:tcW w:w="50" w:type="pct"/>
            <w:shd w:val="clear" w:color="auto" w:fill="CCEEFF"/>
            <w:vAlign w:val="bottom"/>
            <w:hideMark/>
          </w:tcPr>
          <w:p w14:paraId="4A2FAAF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1BE8DD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653345D"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44B85B0" w14:textId="77777777">
        <w:trPr>
          <w:tblCellSpacing w:w="0" w:type="dxa"/>
        </w:trPr>
        <w:tc>
          <w:tcPr>
            <w:tcW w:w="50" w:type="pct"/>
            <w:shd w:val="clear" w:color="auto" w:fill="FFFFFF"/>
            <w:vAlign w:val="bottom"/>
            <w:hideMark/>
          </w:tcPr>
          <w:p w14:paraId="3B40296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780F071" w14:textId="77777777" w:rsidR="00000000" w:rsidRDefault="0053651E">
            <w:pPr>
              <w:pStyle w:val="a3"/>
              <w:spacing w:before="0" w:beforeAutospacing="0" w:after="0" w:afterAutospacing="0"/>
              <w:rPr>
                <w:sz w:val="16"/>
                <w:szCs w:val="16"/>
              </w:rPr>
            </w:pPr>
            <w:r>
              <w:rPr>
                <w:sz w:val="16"/>
                <w:szCs w:val="16"/>
              </w:rPr>
              <w:t>WHITTWOOD TOWN CENTER</w:t>
            </w:r>
          </w:p>
        </w:tc>
        <w:tc>
          <w:tcPr>
            <w:tcW w:w="150" w:type="pct"/>
            <w:shd w:val="clear" w:color="auto" w:fill="FFFFFF"/>
            <w:vAlign w:val="bottom"/>
            <w:hideMark/>
          </w:tcPr>
          <w:p w14:paraId="1894F658" w14:textId="77777777" w:rsidR="00000000" w:rsidRDefault="0053651E">
            <w:pPr>
              <w:pStyle w:val="a3"/>
              <w:spacing w:before="0" w:beforeAutospacing="0" w:after="0" w:afterAutospacing="0"/>
              <w:rPr>
                <w:sz w:val="16"/>
                <w:szCs w:val="16"/>
              </w:rPr>
            </w:pPr>
            <w:r>
              <w:rPr>
                <w:rStyle w:val="a6"/>
                <w:i w:val="0"/>
                <w:iCs w:val="0"/>
                <w:sz w:val="16"/>
                <w:szCs w:val="16"/>
              </w:rPr>
              <w:t>CA</w:t>
            </w:r>
          </w:p>
        </w:tc>
        <w:tc>
          <w:tcPr>
            <w:tcW w:w="300" w:type="pct"/>
            <w:shd w:val="clear" w:color="auto" w:fill="FFFFFF"/>
            <w:vAlign w:val="bottom"/>
            <w:hideMark/>
          </w:tcPr>
          <w:p w14:paraId="25BB58E6" w14:textId="77777777" w:rsidR="00000000" w:rsidRDefault="0053651E">
            <w:pPr>
              <w:jc w:val="right"/>
              <w:rPr>
                <w:rFonts w:eastAsia="Times New Roman"/>
                <w:sz w:val="16"/>
                <w:szCs w:val="16"/>
              </w:rPr>
            </w:pPr>
            <w:r>
              <w:rPr>
                <w:rFonts w:eastAsia="Times New Roman"/>
                <w:sz w:val="16"/>
                <w:szCs w:val="16"/>
              </w:rPr>
              <w:t>57,135,695</w:t>
            </w:r>
          </w:p>
        </w:tc>
        <w:tc>
          <w:tcPr>
            <w:tcW w:w="550" w:type="pct"/>
            <w:shd w:val="clear" w:color="auto" w:fill="FFFFFF"/>
            <w:vAlign w:val="bottom"/>
            <w:hideMark/>
          </w:tcPr>
          <w:p w14:paraId="1F4E3B9C" w14:textId="77777777" w:rsidR="00000000" w:rsidRDefault="0053651E">
            <w:pPr>
              <w:jc w:val="right"/>
              <w:rPr>
                <w:rFonts w:eastAsia="Times New Roman"/>
                <w:sz w:val="16"/>
                <w:szCs w:val="16"/>
              </w:rPr>
            </w:pPr>
            <w:r>
              <w:rPr>
                <w:rFonts w:eastAsia="Times New Roman"/>
                <w:sz w:val="16"/>
                <w:szCs w:val="16"/>
              </w:rPr>
              <w:t>105,814,560</w:t>
            </w:r>
          </w:p>
        </w:tc>
        <w:tc>
          <w:tcPr>
            <w:tcW w:w="350" w:type="pct"/>
            <w:shd w:val="clear" w:color="auto" w:fill="FFFFFF"/>
            <w:vAlign w:val="bottom"/>
            <w:hideMark/>
          </w:tcPr>
          <w:p w14:paraId="17519129" w14:textId="77777777" w:rsidR="00000000" w:rsidRDefault="0053651E">
            <w:pPr>
              <w:jc w:val="right"/>
              <w:rPr>
                <w:rFonts w:eastAsia="Times New Roman"/>
                <w:sz w:val="16"/>
                <w:szCs w:val="16"/>
              </w:rPr>
            </w:pPr>
            <w:r>
              <w:rPr>
                <w:rFonts w:eastAsia="Times New Roman"/>
                <w:sz w:val="16"/>
                <w:szCs w:val="16"/>
              </w:rPr>
              <w:t>2,249,451</w:t>
            </w:r>
          </w:p>
        </w:tc>
        <w:tc>
          <w:tcPr>
            <w:tcW w:w="300" w:type="pct"/>
            <w:shd w:val="clear" w:color="auto" w:fill="FFFFFF"/>
            <w:vAlign w:val="bottom"/>
            <w:hideMark/>
          </w:tcPr>
          <w:p w14:paraId="2F3AA24B" w14:textId="77777777" w:rsidR="00000000" w:rsidRDefault="0053651E">
            <w:pPr>
              <w:jc w:val="right"/>
              <w:rPr>
                <w:rFonts w:eastAsia="Times New Roman"/>
                <w:sz w:val="16"/>
                <w:szCs w:val="16"/>
              </w:rPr>
            </w:pPr>
            <w:r>
              <w:rPr>
                <w:rFonts w:eastAsia="Times New Roman"/>
                <w:sz w:val="16"/>
                <w:szCs w:val="16"/>
              </w:rPr>
              <w:t>57,138,906</w:t>
            </w:r>
          </w:p>
        </w:tc>
        <w:tc>
          <w:tcPr>
            <w:tcW w:w="450" w:type="pct"/>
            <w:shd w:val="clear" w:color="auto" w:fill="FFFFFF"/>
            <w:vAlign w:val="bottom"/>
            <w:hideMark/>
          </w:tcPr>
          <w:p w14:paraId="7770ED43" w14:textId="77777777" w:rsidR="00000000" w:rsidRDefault="0053651E">
            <w:pPr>
              <w:jc w:val="right"/>
              <w:rPr>
                <w:rFonts w:eastAsia="Times New Roman"/>
                <w:sz w:val="16"/>
                <w:szCs w:val="16"/>
              </w:rPr>
            </w:pPr>
            <w:r>
              <w:rPr>
                <w:rFonts w:eastAsia="Times New Roman"/>
                <w:sz w:val="16"/>
                <w:szCs w:val="16"/>
              </w:rPr>
              <w:t>108,060,800</w:t>
            </w:r>
          </w:p>
        </w:tc>
        <w:tc>
          <w:tcPr>
            <w:tcW w:w="350" w:type="pct"/>
            <w:shd w:val="clear" w:color="auto" w:fill="FFFFFF"/>
            <w:vAlign w:val="bottom"/>
            <w:hideMark/>
          </w:tcPr>
          <w:p w14:paraId="424B1143" w14:textId="77777777" w:rsidR="00000000" w:rsidRDefault="0053651E">
            <w:pPr>
              <w:jc w:val="right"/>
              <w:rPr>
                <w:rFonts w:eastAsia="Times New Roman"/>
                <w:sz w:val="16"/>
                <w:szCs w:val="16"/>
              </w:rPr>
            </w:pPr>
            <w:r>
              <w:rPr>
                <w:rFonts w:eastAsia="Times New Roman"/>
                <w:sz w:val="16"/>
                <w:szCs w:val="16"/>
              </w:rPr>
              <w:t>165,199,706</w:t>
            </w:r>
          </w:p>
        </w:tc>
        <w:tc>
          <w:tcPr>
            <w:tcW w:w="400" w:type="pct"/>
            <w:shd w:val="clear" w:color="auto" w:fill="FFFFFF"/>
            <w:vAlign w:val="bottom"/>
            <w:hideMark/>
          </w:tcPr>
          <w:p w14:paraId="54E1FCCC" w14:textId="77777777" w:rsidR="00000000" w:rsidRDefault="0053651E">
            <w:pPr>
              <w:jc w:val="right"/>
              <w:rPr>
                <w:rFonts w:eastAsia="Times New Roman"/>
                <w:sz w:val="16"/>
                <w:szCs w:val="16"/>
              </w:rPr>
            </w:pPr>
            <w:r>
              <w:rPr>
                <w:rFonts w:eastAsia="Times New Roman"/>
                <w:sz w:val="16"/>
                <w:szCs w:val="16"/>
              </w:rPr>
              <w:t>12,185,715</w:t>
            </w:r>
          </w:p>
        </w:tc>
        <w:tc>
          <w:tcPr>
            <w:tcW w:w="50" w:type="pct"/>
            <w:shd w:val="clear" w:color="auto" w:fill="FFFFFF"/>
            <w:vAlign w:val="bottom"/>
            <w:hideMark/>
          </w:tcPr>
          <w:p w14:paraId="7CAC068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E847DBA" w14:textId="77777777" w:rsidR="00000000" w:rsidRDefault="0053651E">
            <w:pPr>
              <w:jc w:val="right"/>
              <w:rPr>
                <w:rFonts w:eastAsia="Times New Roman"/>
                <w:sz w:val="16"/>
                <w:szCs w:val="16"/>
              </w:rPr>
            </w:pPr>
            <w:r>
              <w:rPr>
                <w:rFonts w:eastAsia="Times New Roman"/>
                <w:sz w:val="16"/>
                <w:szCs w:val="16"/>
              </w:rPr>
              <w:t>153,013,991</w:t>
            </w:r>
          </w:p>
        </w:tc>
        <w:tc>
          <w:tcPr>
            <w:tcW w:w="50" w:type="pct"/>
            <w:shd w:val="clear" w:color="auto" w:fill="FFFFFF"/>
            <w:vAlign w:val="bottom"/>
            <w:hideMark/>
          </w:tcPr>
          <w:p w14:paraId="6BD84A6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3ABE2D4" w14:textId="77777777" w:rsidR="00000000" w:rsidRDefault="0053651E">
            <w:pPr>
              <w:jc w:val="right"/>
              <w:rPr>
                <w:rFonts w:eastAsia="Times New Roman"/>
                <w:sz w:val="16"/>
                <w:szCs w:val="16"/>
              </w:rPr>
            </w:pPr>
            <w:r>
              <w:rPr>
                <w:rFonts w:eastAsia="Times New Roman"/>
                <w:sz w:val="16"/>
                <w:szCs w:val="16"/>
              </w:rPr>
              <w:t>43,665,459</w:t>
            </w:r>
          </w:p>
        </w:tc>
        <w:tc>
          <w:tcPr>
            <w:tcW w:w="500" w:type="pct"/>
            <w:shd w:val="clear" w:color="auto" w:fill="FFFFFF"/>
            <w:vAlign w:val="bottom"/>
            <w:hideMark/>
          </w:tcPr>
          <w:p w14:paraId="5429D7E0"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4A2ED9EA" w14:textId="77777777">
        <w:trPr>
          <w:tblCellSpacing w:w="0" w:type="dxa"/>
        </w:trPr>
        <w:tc>
          <w:tcPr>
            <w:tcW w:w="50" w:type="pct"/>
            <w:shd w:val="clear" w:color="auto" w:fill="CCEEFF"/>
            <w:vAlign w:val="bottom"/>
            <w:hideMark/>
          </w:tcPr>
          <w:p w14:paraId="40549E8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953A3D4" w14:textId="77777777" w:rsidR="00000000" w:rsidRDefault="0053651E">
            <w:pPr>
              <w:pStyle w:val="a3"/>
              <w:spacing w:before="0" w:beforeAutospacing="0" w:after="0" w:afterAutospacing="0"/>
              <w:rPr>
                <w:sz w:val="16"/>
                <w:szCs w:val="16"/>
              </w:rPr>
            </w:pPr>
            <w:r>
              <w:rPr>
                <w:sz w:val="16"/>
                <w:szCs w:val="16"/>
              </w:rPr>
              <w:t>VILLAGE ON THE PARK</w:t>
            </w:r>
          </w:p>
        </w:tc>
        <w:tc>
          <w:tcPr>
            <w:tcW w:w="150" w:type="pct"/>
            <w:shd w:val="clear" w:color="auto" w:fill="CCEEFF"/>
            <w:vAlign w:val="bottom"/>
            <w:hideMark/>
          </w:tcPr>
          <w:p w14:paraId="68C0A141"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40F71F04" w14:textId="77777777" w:rsidR="00000000" w:rsidRDefault="0053651E">
            <w:pPr>
              <w:jc w:val="right"/>
              <w:rPr>
                <w:rFonts w:eastAsia="Times New Roman"/>
                <w:sz w:val="16"/>
                <w:szCs w:val="16"/>
              </w:rPr>
            </w:pPr>
            <w:r>
              <w:rPr>
                <w:rFonts w:eastAsia="Times New Roman"/>
                <w:sz w:val="16"/>
                <w:szCs w:val="16"/>
              </w:rPr>
              <w:t>2,194,463</w:t>
            </w:r>
          </w:p>
        </w:tc>
        <w:tc>
          <w:tcPr>
            <w:tcW w:w="550" w:type="pct"/>
            <w:shd w:val="clear" w:color="auto" w:fill="CCEEFF"/>
            <w:vAlign w:val="bottom"/>
            <w:hideMark/>
          </w:tcPr>
          <w:p w14:paraId="636DC593" w14:textId="77777777" w:rsidR="00000000" w:rsidRDefault="0053651E">
            <w:pPr>
              <w:jc w:val="right"/>
              <w:rPr>
                <w:rFonts w:eastAsia="Times New Roman"/>
                <w:sz w:val="16"/>
                <w:szCs w:val="16"/>
              </w:rPr>
            </w:pPr>
            <w:r>
              <w:rPr>
                <w:rFonts w:eastAsia="Times New Roman"/>
                <w:sz w:val="16"/>
                <w:szCs w:val="16"/>
              </w:rPr>
              <w:t>8,885,987</w:t>
            </w:r>
          </w:p>
        </w:tc>
        <w:tc>
          <w:tcPr>
            <w:tcW w:w="350" w:type="pct"/>
            <w:shd w:val="clear" w:color="auto" w:fill="CCEEFF"/>
            <w:vAlign w:val="bottom"/>
            <w:hideMark/>
          </w:tcPr>
          <w:p w14:paraId="0541928A" w14:textId="77777777" w:rsidR="00000000" w:rsidRDefault="0053651E">
            <w:pPr>
              <w:jc w:val="right"/>
              <w:rPr>
                <w:rFonts w:eastAsia="Times New Roman"/>
                <w:sz w:val="16"/>
                <w:szCs w:val="16"/>
              </w:rPr>
            </w:pPr>
            <w:r>
              <w:rPr>
                <w:rFonts w:eastAsia="Times New Roman"/>
                <w:sz w:val="16"/>
                <w:szCs w:val="16"/>
              </w:rPr>
              <w:t>16,704,873</w:t>
            </w:r>
          </w:p>
        </w:tc>
        <w:tc>
          <w:tcPr>
            <w:tcW w:w="300" w:type="pct"/>
            <w:shd w:val="clear" w:color="auto" w:fill="CCEEFF"/>
            <w:vAlign w:val="bottom"/>
            <w:hideMark/>
          </w:tcPr>
          <w:p w14:paraId="3F9F6E75" w14:textId="77777777" w:rsidR="00000000" w:rsidRDefault="0053651E">
            <w:pPr>
              <w:jc w:val="right"/>
              <w:rPr>
                <w:rFonts w:eastAsia="Times New Roman"/>
                <w:sz w:val="16"/>
                <w:szCs w:val="16"/>
              </w:rPr>
            </w:pPr>
            <w:r>
              <w:rPr>
                <w:rFonts w:eastAsia="Times New Roman"/>
                <w:sz w:val="16"/>
                <w:szCs w:val="16"/>
              </w:rPr>
              <w:t>3,018,391</w:t>
            </w:r>
          </w:p>
        </w:tc>
        <w:tc>
          <w:tcPr>
            <w:tcW w:w="450" w:type="pct"/>
            <w:shd w:val="clear" w:color="auto" w:fill="CCEEFF"/>
            <w:vAlign w:val="bottom"/>
            <w:hideMark/>
          </w:tcPr>
          <w:p w14:paraId="625D4C6D" w14:textId="77777777" w:rsidR="00000000" w:rsidRDefault="0053651E">
            <w:pPr>
              <w:jc w:val="right"/>
              <w:rPr>
                <w:rFonts w:eastAsia="Times New Roman"/>
                <w:sz w:val="16"/>
                <w:szCs w:val="16"/>
              </w:rPr>
            </w:pPr>
            <w:r>
              <w:rPr>
                <w:rFonts w:eastAsia="Times New Roman"/>
                <w:sz w:val="16"/>
                <w:szCs w:val="16"/>
              </w:rPr>
              <w:t>24,766,932</w:t>
            </w:r>
          </w:p>
        </w:tc>
        <w:tc>
          <w:tcPr>
            <w:tcW w:w="350" w:type="pct"/>
            <w:shd w:val="clear" w:color="auto" w:fill="CCEEFF"/>
            <w:vAlign w:val="bottom"/>
            <w:hideMark/>
          </w:tcPr>
          <w:p w14:paraId="3049EE34" w14:textId="77777777" w:rsidR="00000000" w:rsidRDefault="0053651E">
            <w:pPr>
              <w:jc w:val="right"/>
              <w:rPr>
                <w:rFonts w:eastAsia="Times New Roman"/>
                <w:sz w:val="16"/>
                <w:szCs w:val="16"/>
              </w:rPr>
            </w:pPr>
            <w:r>
              <w:rPr>
                <w:rFonts w:eastAsia="Times New Roman"/>
                <w:sz w:val="16"/>
                <w:szCs w:val="16"/>
              </w:rPr>
              <w:t>27,785,323</w:t>
            </w:r>
          </w:p>
        </w:tc>
        <w:tc>
          <w:tcPr>
            <w:tcW w:w="400" w:type="pct"/>
            <w:shd w:val="clear" w:color="auto" w:fill="CCEEFF"/>
            <w:vAlign w:val="bottom"/>
            <w:hideMark/>
          </w:tcPr>
          <w:p w14:paraId="1F441D5B" w14:textId="77777777" w:rsidR="00000000" w:rsidRDefault="0053651E">
            <w:pPr>
              <w:jc w:val="right"/>
              <w:rPr>
                <w:rFonts w:eastAsia="Times New Roman"/>
                <w:sz w:val="16"/>
                <w:szCs w:val="16"/>
              </w:rPr>
            </w:pPr>
            <w:r>
              <w:rPr>
                <w:rFonts w:eastAsia="Times New Roman"/>
                <w:sz w:val="16"/>
                <w:szCs w:val="16"/>
              </w:rPr>
              <w:t>6,314,280</w:t>
            </w:r>
          </w:p>
        </w:tc>
        <w:tc>
          <w:tcPr>
            <w:tcW w:w="50" w:type="pct"/>
            <w:shd w:val="clear" w:color="auto" w:fill="CCEEFF"/>
            <w:vAlign w:val="bottom"/>
            <w:hideMark/>
          </w:tcPr>
          <w:p w14:paraId="1326E51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62F12DF" w14:textId="77777777" w:rsidR="00000000" w:rsidRDefault="0053651E">
            <w:pPr>
              <w:jc w:val="right"/>
              <w:rPr>
                <w:rFonts w:eastAsia="Times New Roman"/>
                <w:sz w:val="16"/>
                <w:szCs w:val="16"/>
              </w:rPr>
            </w:pPr>
            <w:r>
              <w:rPr>
                <w:rFonts w:eastAsia="Times New Roman"/>
                <w:sz w:val="16"/>
                <w:szCs w:val="16"/>
              </w:rPr>
              <w:t>21,471,043</w:t>
            </w:r>
          </w:p>
        </w:tc>
        <w:tc>
          <w:tcPr>
            <w:tcW w:w="50" w:type="pct"/>
            <w:shd w:val="clear" w:color="auto" w:fill="CCEEFF"/>
            <w:vAlign w:val="bottom"/>
            <w:hideMark/>
          </w:tcPr>
          <w:p w14:paraId="66F3D05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28CD04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F1F2DD9"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4C2A465D" w14:textId="77777777">
        <w:trPr>
          <w:tblCellSpacing w:w="0" w:type="dxa"/>
        </w:trPr>
        <w:tc>
          <w:tcPr>
            <w:tcW w:w="50" w:type="pct"/>
            <w:shd w:val="clear" w:color="auto" w:fill="FFFFFF"/>
            <w:vAlign w:val="bottom"/>
            <w:hideMark/>
          </w:tcPr>
          <w:p w14:paraId="026AB80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323C6F4" w14:textId="77777777" w:rsidR="00000000" w:rsidRDefault="0053651E">
            <w:pPr>
              <w:pStyle w:val="a3"/>
              <w:spacing w:before="0" w:beforeAutospacing="0" w:after="0" w:afterAutospacing="0"/>
              <w:rPr>
                <w:sz w:val="16"/>
                <w:szCs w:val="16"/>
              </w:rPr>
            </w:pPr>
            <w:r>
              <w:rPr>
                <w:sz w:val="16"/>
                <w:szCs w:val="16"/>
              </w:rPr>
              <w:t>QUINCY PLACE S.C.</w:t>
            </w:r>
          </w:p>
        </w:tc>
        <w:tc>
          <w:tcPr>
            <w:tcW w:w="150" w:type="pct"/>
            <w:shd w:val="clear" w:color="auto" w:fill="FFFFFF"/>
            <w:vAlign w:val="bottom"/>
            <w:hideMark/>
          </w:tcPr>
          <w:p w14:paraId="1E945EA1"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3CFF04C1" w14:textId="77777777" w:rsidR="00000000" w:rsidRDefault="0053651E">
            <w:pPr>
              <w:jc w:val="right"/>
              <w:rPr>
                <w:rFonts w:eastAsia="Times New Roman"/>
                <w:sz w:val="16"/>
                <w:szCs w:val="16"/>
              </w:rPr>
            </w:pPr>
            <w:r>
              <w:rPr>
                <w:rFonts w:eastAsia="Times New Roman"/>
                <w:sz w:val="16"/>
                <w:szCs w:val="16"/>
              </w:rPr>
              <w:t>1,148,317</w:t>
            </w:r>
          </w:p>
        </w:tc>
        <w:tc>
          <w:tcPr>
            <w:tcW w:w="550" w:type="pct"/>
            <w:shd w:val="clear" w:color="auto" w:fill="FFFFFF"/>
            <w:vAlign w:val="bottom"/>
            <w:hideMark/>
          </w:tcPr>
          <w:p w14:paraId="1E6637C8" w14:textId="77777777" w:rsidR="00000000" w:rsidRDefault="0053651E">
            <w:pPr>
              <w:jc w:val="right"/>
              <w:rPr>
                <w:rFonts w:eastAsia="Times New Roman"/>
                <w:sz w:val="16"/>
                <w:szCs w:val="16"/>
              </w:rPr>
            </w:pPr>
            <w:r>
              <w:rPr>
                <w:rFonts w:eastAsia="Times New Roman"/>
                <w:sz w:val="16"/>
                <w:szCs w:val="16"/>
              </w:rPr>
              <w:t>4,608,249</w:t>
            </w:r>
          </w:p>
        </w:tc>
        <w:tc>
          <w:tcPr>
            <w:tcW w:w="350" w:type="pct"/>
            <w:shd w:val="clear" w:color="auto" w:fill="FFFFFF"/>
            <w:vAlign w:val="bottom"/>
            <w:hideMark/>
          </w:tcPr>
          <w:p w14:paraId="5276BB10" w14:textId="77777777" w:rsidR="00000000" w:rsidRDefault="0053651E">
            <w:pPr>
              <w:jc w:val="right"/>
              <w:rPr>
                <w:rFonts w:eastAsia="Times New Roman"/>
                <w:sz w:val="16"/>
                <w:szCs w:val="16"/>
              </w:rPr>
            </w:pPr>
            <w:r>
              <w:rPr>
                <w:rFonts w:eastAsia="Times New Roman"/>
                <w:sz w:val="16"/>
                <w:szCs w:val="16"/>
              </w:rPr>
              <w:t>2,568,067</w:t>
            </w:r>
          </w:p>
        </w:tc>
        <w:tc>
          <w:tcPr>
            <w:tcW w:w="300" w:type="pct"/>
            <w:shd w:val="clear" w:color="auto" w:fill="FFFFFF"/>
            <w:vAlign w:val="bottom"/>
            <w:hideMark/>
          </w:tcPr>
          <w:p w14:paraId="2FF332A0" w14:textId="77777777" w:rsidR="00000000" w:rsidRDefault="0053651E">
            <w:pPr>
              <w:jc w:val="right"/>
              <w:rPr>
                <w:rFonts w:eastAsia="Times New Roman"/>
                <w:sz w:val="16"/>
                <w:szCs w:val="16"/>
              </w:rPr>
            </w:pPr>
            <w:r>
              <w:rPr>
                <w:rFonts w:eastAsia="Times New Roman"/>
                <w:sz w:val="16"/>
                <w:szCs w:val="16"/>
              </w:rPr>
              <w:t>1,148,317</w:t>
            </w:r>
          </w:p>
        </w:tc>
        <w:tc>
          <w:tcPr>
            <w:tcW w:w="450" w:type="pct"/>
            <w:shd w:val="clear" w:color="auto" w:fill="FFFFFF"/>
            <w:vAlign w:val="bottom"/>
            <w:hideMark/>
          </w:tcPr>
          <w:p w14:paraId="1FE9E77D" w14:textId="77777777" w:rsidR="00000000" w:rsidRDefault="0053651E">
            <w:pPr>
              <w:jc w:val="right"/>
              <w:rPr>
                <w:rFonts w:eastAsia="Times New Roman"/>
                <w:sz w:val="16"/>
                <w:szCs w:val="16"/>
              </w:rPr>
            </w:pPr>
            <w:r>
              <w:rPr>
                <w:rFonts w:eastAsia="Times New Roman"/>
                <w:sz w:val="16"/>
                <w:szCs w:val="16"/>
              </w:rPr>
              <w:t>7,176,316</w:t>
            </w:r>
          </w:p>
        </w:tc>
        <w:tc>
          <w:tcPr>
            <w:tcW w:w="350" w:type="pct"/>
            <w:shd w:val="clear" w:color="auto" w:fill="FFFFFF"/>
            <w:vAlign w:val="bottom"/>
            <w:hideMark/>
          </w:tcPr>
          <w:p w14:paraId="6B626533" w14:textId="77777777" w:rsidR="00000000" w:rsidRDefault="0053651E">
            <w:pPr>
              <w:jc w:val="right"/>
              <w:rPr>
                <w:rFonts w:eastAsia="Times New Roman"/>
                <w:sz w:val="16"/>
                <w:szCs w:val="16"/>
              </w:rPr>
            </w:pPr>
            <w:r>
              <w:rPr>
                <w:rFonts w:eastAsia="Times New Roman"/>
                <w:sz w:val="16"/>
                <w:szCs w:val="16"/>
              </w:rPr>
              <w:t>8,324,633</w:t>
            </w:r>
          </w:p>
        </w:tc>
        <w:tc>
          <w:tcPr>
            <w:tcW w:w="400" w:type="pct"/>
            <w:shd w:val="clear" w:color="auto" w:fill="FFFFFF"/>
            <w:vAlign w:val="bottom"/>
            <w:hideMark/>
          </w:tcPr>
          <w:p w14:paraId="38D1379C" w14:textId="77777777" w:rsidR="00000000" w:rsidRDefault="0053651E">
            <w:pPr>
              <w:jc w:val="right"/>
              <w:rPr>
                <w:rFonts w:eastAsia="Times New Roman"/>
                <w:sz w:val="16"/>
                <w:szCs w:val="16"/>
              </w:rPr>
            </w:pPr>
            <w:r>
              <w:rPr>
                <w:rFonts w:eastAsia="Times New Roman"/>
                <w:sz w:val="16"/>
                <w:szCs w:val="16"/>
              </w:rPr>
              <w:t>3,734,528</w:t>
            </w:r>
          </w:p>
        </w:tc>
        <w:tc>
          <w:tcPr>
            <w:tcW w:w="50" w:type="pct"/>
            <w:shd w:val="clear" w:color="auto" w:fill="FFFFFF"/>
            <w:vAlign w:val="bottom"/>
            <w:hideMark/>
          </w:tcPr>
          <w:p w14:paraId="4D4F2CA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1718385" w14:textId="77777777" w:rsidR="00000000" w:rsidRDefault="0053651E">
            <w:pPr>
              <w:jc w:val="right"/>
              <w:rPr>
                <w:rFonts w:eastAsia="Times New Roman"/>
                <w:sz w:val="16"/>
                <w:szCs w:val="16"/>
              </w:rPr>
            </w:pPr>
            <w:r>
              <w:rPr>
                <w:rFonts w:eastAsia="Times New Roman"/>
                <w:sz w:val="16"/>
                <w:szCs w:val="16"/>
              </w:rPr>
              <w:t>4,590,105</w:t>
            </w:r>
          </w:p>
        </w:tc>
        <w:tc>
          <w:tcPr>
            <w:tcW w:w="50" w:type="pct"/>
            <w:shd w:val="clear" w:color="auto" w:fill="FFFFFF"/>
            <w:vAlign w:val="bottom"/>
            <w:hideMark/>
          </w:tcPr>
          <w:p w14:paraId="2ACF78A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453A74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8464DFA"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36C900CA" w14:textId="77777777">
        <w:trPr>
          <w:tblCellSpacing w:w="0" w:type="dxa"/>
        </w:trPr>
        <w:tc>
          <w:tcPr>
            <w:tcW w:w="50" w:type="pct"/>
            <w:shd w:val="clear" w:color="auto" w:fill="CCEEFF"/>
            <w:vAlign w:val="bottom"/>
            <w:hideMark/>
          </w:tcPr>
          <w:p w14:paraId="0CDA2FC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966F461" w14:textId="77777777" w:rsidR="00000000" w:rsidRDefault="0053651E">
            <w:pPr>
              <w:pStyle w:val="a3"/>
              <w:spacing w:before="0" w:beforeAutospacing="0" w:after="0" w:afterAutospacing="0"/>
              <w:rPr>
                <w:sz w:val="16"/>
                <w:szCs w:val="16"/>
              </w:rPr>
            </w:pPr>
            <w:r>
              <w:rPr>
                <w:sz w:val="16"/>
                <w:szCs w:val="16"/>
              </w:rPr>
              <w:t>EAST BANK S.C.</w:t>
            </w:r>
          </w:p>
        </w:tc>
        <w:tc>
          <w:tcPr>
            <w:tcW w:w="150" w:type="pct"/>
            <w:shd w:val="clear" w:color="auto" w:fill="CCEEFF"/>
            <w:vAlign w:val="bottom"/>
            <w:hideMark/>
          </w:tcPr>
          <w:p w14:paraId="6DB9EAFA"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10786C70" w14:textId="77777777" w:rsidR="00000000" w:rsidRDefault="0053651E">
            <w:pPr>
              <w:jc w:val="right"/>
              <w:rPr>
                <w:rFonts w:eastAsia="Times New Roman"/>
                <w:sz w:val="16"/>
                <w:szCs w:val="16"/>
              </w:rPr>
            </w:pPr>
            <w:r>
              <w:rPr>
                <w:rFonts w:eastAsia="Times New Roman"/>
                <w:sz w:val="16"/>
                <w:szCs w:val="16"/>
              </w:rPr>
              <w:t>1,500,568</w:t>
            </w:r>
          </w:p>
        </w:tc>
        <w:tc>
          <w:tcPr>
            <w:tcW w:w="550" w:type="pct"/>
            <w:shd w:val="clear" w:color="auto" w:fill="CCEEFF"/>
            <w:vAlign w:val="bottom"/>
            <w:hideMark/>
          </w:tcPr>
          <w:p w14:paraId="76E4C2A6" w14:textId="77777777" w:rsidR="00000000" w:rsidRDefault="0053651E">
            <w:pPr>
              <w:jc w:val="right"/>
              <w:rPr>
                <w:rFonts w:eastAsia="Times New Roman"/>
                <w:sz w:val="16"/>
                <w:szCs w:val="16"/>
              </w:rPr>
            </w:pPr>
            <w:r>
              <w:rPr>
                <w:rFonts w:eastAsia="Times New Roman"/>
                <w:sz w:val="16"/>
                <w:szCs w:val="16"/>
              </w:rPr>
              <w:t>6,180,103</w:t>
            </w:r>
          </w:p>
        </w:tc>
        <w:tc>
          <w:tcPr>
            <w:tcW w:w="350" w:type="pct"/>
            <w:shd w:val="clear" w:color="auto" w:fill="CCEEFF"/>
            <w:vAlign w:val="bottom"/>
            <w:hideMark/>
          </w:tcPr>
          <w:p w14:paraId="410C62D3" w14:textId="77777777" w:rsidR="00000000" w:rsidRDefault="0053651E">
            <w:pPr>
              <w:jc w:val="right"/>
              <w:rPr>
                <w:rFonts w:eastAsia="Times New Roman"/>
                <w:sz w:val="16"/>
                <w:szCs w:val="16"/>
              </w:rPr>
            </w:pPr>
            <w:r>
              <w:rPr>
                <w:rFonts w:eastAsia="Times New Roman"/>
                <w:sz w:val="16"/>
                <w:szCs w:val="16"/>
              </w:rPr>
              <w:t>4,613,710</w:t>
            </w:r>
          </w:p>
        </w:tc>
        <w:tc>
          <w:tcPr>
            <w:tcW w:w="300" w:type="pct"/>
            <w:shd w:val="clear" w:color="auto" w:fill="CCEEFF"/>
            <w:vAlign w:val="bottom"/>
            <w:hideMark/>
          </w:tcPr>
          <w:p w14:paraId="133810B2" w14:textId="77777777" w:rsidR="00000000" w:rsidRDefault="0053651E">
            <w:pPr>
              <w:jc w:val="right"/>
              <w:rPr>
                <w:rFonts w:eastAsia="Times New Roman"/>
                <w:sz w:val="16"/>
                <w:szCs w:val="16"/>
              </w:rPr>
            </w:pPr>
            <w:r>
              <w:rPr>
                <w:rFonts w:eastAsia="Times New Roman"/>
                <w:sz w:val="16"/>
                <w:szCs w:val="16"/>
              </w:rPr>
              <w:t>1,500,568</w:t>
            </w:r>
          </w:p>
        </w:tc>
        <w:tc>
          <w:tcPr>
            <w:tcW w:w="450" w:type="pct"/>
            <w:shd w:val="clear" w:color="auto" w:fill="CCEEFF"/>
            <w:vAlign w:val="bottom"/>
            <w:hideMark/>
          </w:tcPr>
          <w:p w14:paraId="68E5408C" w14:textId="77777777" w:rsidR="00000000" w:rsidRDefault="0053651E">
            <w:pPr>
              <w:jc w:val="right"/>
              <w:rPr>
                <w:rFonts w:eastAsia="Times New Roman"/>
                <w:sz w:val="16"/>
                <w:szCs w:val="16"/>
              </w:rPr>
            </w:pPr>
            <w:r>
              <w:rPr>
                <w:rFonts w:eastAsia="Times New Roman"/>
                <w:sz w:val="16"/>
                <w:szCs w:val="16"/>
              </w:rPr>
              <w:t>10,793,813</w:t>
            </w:r>
          </w:p>
        </w:tc>
        <w:tc>
          <w:tcPr>
            <w:tcW w:w="350" w:type="pct"/>
            <w:shd w:val="clear" w:color="auto" w:fill="CCEEFF"/>
            <w:vAlign w:val="bottom"/>
            <w:hideMark/>
          </w:tcPr>
          <w:p w14:paraId="3DEA2A6E" w14:textId="77777777" w:rsidR="00000000" w:rsidRDefault="0053651E">
            <w:pPr>
              <w:jc w:val="right"/>
              <w:rPr>
                <w:rFonts w:eastAsia="Times New Roman"/>
                <w:sz w:val="16"/>
                <w:szCs w:val="16"/>
              </w:rPr>
            </w:pPr>
            <w:r>
              <w:rPr>
                <w:rFonts w:eastAsia="Times New Roman"/>
                <w:sz w:val="16"/>
                <w:szCs w:val="16"/>
              </w:rPr>
              <w:t>12,294,381</w:t>
            </w:r>
          </w:p>
        </w:tc>
        <w:tc>
          <w:tcPr>
            <w:tcW w:w="400" w:type="pct"/>
            <w:shd w:val="clear" w:color="auto" w:fill="CCEEFF"/>
            <w:vAlign w:val="bottom"/>
            <w:hideMark/>
          </w:tcPr>
          <w:p w14:paraId="5B6A8331" w14:textId="77777777" w:rsidR="00000000" w:rsidRDefault="0053651E">
            <w:pPr>
              <w:jc w:val="right"/>
              <w:rPr>
                <w:rFonts w:eastAsia="Times New Roman"/>
                <w:sz w:val="16"/>
                <w:szCs w:val="16"/>
              </w:rPr>
            </w:pPr>
            <w:r>
              <w:rPr>
                <w:rFonts w:eastAsia="Times New Roman"/>
                <w:sz w:val="16"/>
                <w:szCs w:val="16"/>
              </w:rPr>
              <w:t>4,180,188</w:t>
            </w:r>
          </w:p>
        </w:tc>
        <w:tc>
          <w:tcPr>
            <w:tcW w:w="50" w:type="pct"/>
            <w:shd w:val="clear" w:color="auto" w:fill="CCEEFF"/>
            <w:vAlign w:val="bottom"/>
            <w:hideMark/>
          </w:tcPr>
          <w:p w14:paraId="2037E8B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BE755E7" w14:textId="77777777" w:rsidR="00000000" w:rsidRDefault="0053651E">
            <w:pPr>
              <w:jc w:val="right"/>
              <w:rPr>
                <w:rFonts w:eastAsia="Times New Roman"/>
                <w:sz w:val="16"/>
                <w:szCs w:val="16"/>
              </w:rPr>
            </w:pPr>
            <w:r>
              <w:rPr>
                <w:rFonts w:eastAsia="Times New Roman"/>
                <w:sz w:val="16"/>
                <w:szCs w:val="16"/>
              </w:rPr>
              <w:t>8,114,193</w:t>
            </w:r>
          </w:p>
        </w:tc>
        <w:tc>
          <w:tcPr>
            <w:tcW w:w="50" w:type="pct"/>
            <w:shd w:val="clear" w:color="auto" w:fill="CCEEFF"/>
            <w:vAlign w:val="bottom"/>
            <w:hideMark/>
          </w:tcPr>
          <w:p w14:paraId="14D732D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EC65D9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B012A85"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2DB34C9C" w14:textId="77777777">
        <w:trPr>
          <w:tblCellSpacing w:w="0" w:type="dxa"/>
        </w:trPr>
        <w:tc>
          <w:tcPr>
            <w:tcW w:w="50" w:type="pct"/>
            <w:shd w:val="clear" w:color="auto" w:fill="FFFFFF"/>
            <w:vAlign w:val="bottom"/>
            <w:hideMark/>
          </w:tcPr>
          <w:p w14:paraId="5830225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9A359F2" w14:textId="77777777" w:rsidR="00000000" w:rsidRDefault="0053651E">
            <w:pPr>
              <w:pStyle w:val="a3"/>
              <w:spacing w:before="0" w:beforeAutospacing="0" w:after="0" w:afterAutospacing="0"/>
              <w:rPr>
                <w:sz w:val="16"/>
                <w:szCs w:val="16"/>
              </w:rPr>
            </w:pPr>
            <w:r>
              <w:rPr>
                <w:sz w:val="16"/>
                <w:szCs w:val="16"/>
              </w:rPr>
              <w:t>NORTHRIDGE SHOPPING CENTER</w:t>
            </w:r>
          </w:p>
        </w:tc>
        <w:tc>
          <w:tcPr>
            <w:tcW w:w="150" w:type="pct"/>
            <w:shd w:val="clear" w:color="auto" w:fill="FFFFFF"/>
            <w:vAlign w:val="bottom"/>
            <w:hideMark/>
          </w:tcPr>
          <w:p w14:paraId="1ABE850A"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1A02883B" w14:textId="77777777" w:rsidR="00000000" w:rsidRDefault="0053651E">
            <w:pPr>
              <w:jc w:val="right"/>
              <w:rPr>
                <w:rFonts w:eastAsia="Times New Roman"/>
                <w:sz w:val="16"/>
                <w:szCs w:val="16"/>
              </w:rPr>
            </w:pPr>
            <w:r>
              <w:rPr>
                <w:rFonts w:eastAsia="Times New Roman"/>
                <w:sz w:val="16"/>
                <w:szCs w:val="16"/>
              </w:rPr>
              <w:t>4,932,690</w:t>
            </w:r>
          </w:p>
        </w:tc>
        <w:tc>
          <w:tcPr>
            <w:tcW w:w="550" w:type="pct"/>
            <w:shd w:val="clear" w:color="auto" w:fill="FFFFFF"/>
            <w:vAlign w:val="bottom"/>
            <w:hideMark/>
          </w:tcPr>
          <w:p w14:paraId="6E3110BA" w14:textId="77777777" w:rsidR="00000000" w:rsidRDefault="0053651E">
            <w:pPr>
              <w:jc w:val="right"/>
              <w:rPr>
                <w:rFonts w:eastAsia="Times New Roman"/>
                <w:sz w:val="16"/>
                <w:szCs w:val="16"/>
              </w:rPr>
            </w:pPr>
            <w:r>
              <w:rPr>
                <w:rFonts w:eastAsia="Times New Roman"/>
                <w:sz w:val="16"/>
                <w:szCs w:val="16"/>
              </w:rPr>
              <w:t>16,496,175</w:t>
            </w:r>
          </w:p>
        </w:tc>
        <w:tc>
          <w:tcPr>
            <w:tcW w:w="350" w:type="pct"/>
            <w:shd w:val="clear" w:color="auto" w:fill="FFFFFF"/>
            <w:vAlign w:val="bottom"/>
            <w:hideMark/>
          </w:tcPr>
          <w:p w14:paraId="6B5BB2D8" w14:textId="77777777" w:rsidR="00000000" w:rsidRDefault="0053651E">
            <w:pPr>
              <w:jc w:val="right"/>
              <w:rPr>
                <w:rFonts w:eastAsia="Times New Roman"/>
                <w:sz w:val="16"/>
                <w:szCs w:val="16"/>
              </w:rPr>
            </w:pPr>
            <w:r>
              <w:rPr>
                <w:rFonts w:eastAsia="Times New Roman"/>
                <w:sz w:val="16"/>
                <w:szCs w:val="16"/>
              </w:rPr>
              <w:t>2,107,365</w:t>
            </w:r>
          </w:p>
        </w:tc>
        <w:tc>
          <w:tcPr>
            <w:tcW w:w="300" w:type="pct"/>
            <w:shd w:val="clear" w:color="auto" w:fill="FFFFFF"/>
            <w:vAlign w:val="bottom"/>
            <w:hideMark/>
          </w:tcPr>
          <w:p w14:paraId="37E8EB4D" w14:textId="77777777" w:rsidR="00000000" w:rsidRDefault="0053651E">
            <w:pPr>
              <w:jc w:val="right"/>
              <w:rPr>
                <w:rFonts w:eastAsia="Times New Roman"/>
                <w:sz w:val="16"/>
                <w:szCs w:val="16"/>
              </w:rPr>
            </w:pPr>
            <w:r>
              <w:rPr>
                <w:rFonts w:eastAsia="Times New Roman"/>
                <w:sz w:val="16"/>
                <w:szCs w:val="16"/>
              </w:rPr>
              <w:t>8,934,385</w:t>
            </w:r>
          </w:p>
        </w:tc>
        <w:tc>
          <w:tcPr>
            <w:tcW w:w="450" w:type="pct"/>
            <w:shd w:val="clear" w:color="auto" w:fill="FFFFFF"/>
            <w:vAlign w:val="bottom"/>
            <w:hideMark/>
          </w:tcPr>
          <w:p w14:paraId="7D97B2EC" w14:textId="77777777" w:rsidR="00000000" w:rsidRDefault="0053651E">
            <w:pPr>
              <w:jc w:val="right"/>
              <w:rPr>
                <w:rFonts w:eastAsia="Times New Roman"/>
                <w:sz w:val="16"/>
                <w:szCs w:val="16"/>
              </w:rPr>
            </w:pPr>
            <w:r>
              <w:rPr>
                <w:rFonts w:eastAsia="Times New Roman"/>
                <w:sz w:val="16"/>
                <w:szCs w:val="16"/>
              </w:rPr>
              <w:t>14,601,845</w:t>
            </w:r>
          </w:p>
        </w:tc>
        <w:tc>
          <w:tcPr>
            <w:tcW w:w="350" w:type="pct"/>
            <w:shd w:val="clear" w:color="auto" w:fill="FFFFFF"/>
            <w:vAlign w:val="bottom"/>
            <w:hideMark/>
          </w:tcPr>
          <w:p w14:paraId="3FB812A7" w14:textId="77777777" w:rsidR="00000000" w:rsidRDefault="0053651E">
            <w:pPr>
              <w:jc w:val="right"/>
              <w:rPr>
                <w:rFonts w:eastAsia="Times New Roman"/>
                <w:sz w:val="16"/>
                <w:szCs w:val="16"/>
              </w:rPr>
            </w:pPr>
            <w:r>
              <w:rPr>
                <w:rFonts w:eastAsia="Times New Roman"/>
                <w:sz w:val="16"/>
                <w:szCs w:val="16"/>
              </w:rPr>
              <w:t>23,536,230</w:t>
            </w:r>
          </w:p>
        </w:tc>
        <w:tc>
          <w:tcPr>
            <w:tcW w:w="400" w:type="pct"/>
            <w:shd w:val="clear" w:color="auto" w:fill="FFFFFF"/>
            <w:vAlign w:val="bottom"/>
            <w:hideMark/>
          </w:tcPr>
          <w:p w14:paraId="13B06185" w14:textId="77777777" w:rsidR="00000000" w:rsidRDefault="0053651E">
            <w:pPr>
              <w:jc w:val="right"/>
              <w:rPr>
                <w:rFonts w:eastAsia="Times New Roman"/>
                <w:sz w:val="16"/>
                <w:szCs w:val="16"/>
              </w:rPr>
            </w:pPr>
            <w:r>
              <w:rPr>
                <w:rFonts w:eastAsia="Times New Roman"/>
                <w:sz w:val="16"/>
                <w:szCs w:val="16"/>
              </w:rPr>
              <w:t>2,950,869</w:t>
            </w:r>
          </w:p>
        </w:tc>
        <w:tc>
          <w:tcPr>
            <w:tcW w:w="50" w:type="pct"/>
            <w:shd w:val="clear" w:color="auto" w:fill="FFFFFF"/>
            <w:vAlign w:val="bottom"/>
            <w:hideMark/>
          </w:tcPr>
          <w:p w14:paraId="7099DE6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9F68410" w14:textId="77777777" w:rsidR="00000000" w:rsidRDefault="0053651E">
            <w:pPr>
              <w:jc w:val="right"/>
              <w:rPr>
                <w:rFonts w:eastAsia="Times New Roman"/>
                <w:sz w:val="16"/>
                <w:szCs w:val="16"/>
              </w:rPr>
            </w:pPr>
            <w:r>
              <w:rPr>
                <w:rFonts w:eastAsia="Times New Roman"/>
                <w:sz w:val="16"/>
                <w:szCs w:val="16"/>
              </w:rPr>
              <w:t>20,585,361</w:t>
            </w:r>
          </w:p>
        </w:tc>
        <w:tc>
          <w:tcPr>
            <w:tcW w:w="50" w:type="pct"/>
            <w:shd w:val="clear" w:color="auto" w:fill="FFFFFF"/>
            <w:vAlign w:val="bottom"/>
            <w:hideMark/>
          </w:tcPr>
          <w:p w14:paraId="613547E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137C6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A99147A"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411B6CF4" w14:textId="77777777">
        <w:trPr>
          <w:tblCellSpacing w:w="0" w:type="dxa"/>
        </w:trPr>
        <w:tc>
          <w:tcPr>
            <w:tcW w:w="50" w:type="pct"/>
            <w:shd w:val="clear" w:color="auto" w:fill="CCEEFF"/>
            <w:vAlign w:val="bottom"/>
            <w:hideMark/>
          </w:tcPr>
          <w:p w14:paraId="528ED0A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BE7FB59" w14:textId="77777777" w:rsidR="00000000" w:rsidRDefault="0053651E">
            <w:pPr>
              <w:pStyle w:val="a3"/>
              <w:spacing w:before="0" w:beforeAutospacing="0" w:after="0" w:afterAutospacing="0"/>
              <w:rPr>
                <w:sz w:val="16"/>
                <w:szCs w:val="16"/>
              </w:rPr>
            </w:pPr>
            <w:r>
              <w:rPr>
                <w:sz w:val="16"/>
                <w:szCs w:val="16"/>
              </w:rPr>
              <w:t>DENVER WEST 38TH STREET</w:t>
            </w:r>
          </w:p>
        </w:tc>
        <w:tc>
          <w:tcPr>
            <w:tcW w:w="150" w:type="pct"/>
            <w:shd w:val="clear" w:color="auto" w:fill="CCEEFF"/>
            <w:vAlign w:val="bottom"/>
            <w:hideMark/>
          </w:tcPr>
          <w:p w14:paraId="1DA26D43"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7B465457" w14:textId="77777777" w:rsidR="00000000" w:rsidRDefault="0053651E">
            <w:pPr>
              <w:jc w:val="right"/>
              <w:rPr>
                <w:rFonts w:eastAsia="Times New Roman"/>
                <w:sz w:val="16"/>
                <w:szCs w:val="16"/>
              </w:rPr>
            </w:pPr>
            <w:r>
              <w:rPr>
                <w:rFonts w:eastAsia="Times New Roman"/>
                <w:sz w:val="16"/>
                <w:szCs w:val="16"/>
              </w:rPr>
              <w:t>161,167</w:t>
            </w:r>
          </w:p>
        </w:tc>
        <w:tc>
          <w:tcPr>
            <w:tcW w:w="550" w:type="pct"/>
            <w:shd w:val="clear" w:color="auto" w:fill="CCEEFF"/>
            <w:vAlign w:val="bottom"/>
            <w:hideMark/>
          </w:tcPr>
          <w:p w14:paraId="541E85DD" w14:textId="77777777" w:rsidR="00000000" w:rsidRDefault="0053651E">
            <w:pPr>
              <w:jc w:val="right"/>
              <w:rPr>
                <w:rFonts w:eastAsia="Times New Roman"/>
                <w:sz w:val="16"/>
                <w:szCs w:val="16"/>
              </w:rPr>
            </w:pPr>
            <w:r>
              <w:rPr>
                <w:rFonts w:eastAsia="Times New Roman"/>
                <w:sz w:val="16"/>
                <w:szCs w:val="16"/>
              </w:rPr>
              <w:t>646,983</w:t>
            </w:r>
          </w:p>
        </w:tc>
        <w:tc>
          <w:tcPr>
            <w:tcW w:w="350" w:type="pct"/>
            <w:shd w:val="clear" w:color="auto" w:fill="CCEEFF"/>
            <w:vAlign w:val="bottom"/>
            <w:hideMark/>
          </w:tcPr>
          <w:p w14:paraId="32025DA8" w14:textId="77777777" w:rsidR="00000000" w:rsidRDefault="0053651E">
            <w:pPr>
              <w:jc w:val="right"/>
              <w:rPr>
                <w:rFonts w:eastAsia="Times New Roman"/>
                <w:sz w:val="16"/>
                <w:szCs w:val="16"/>
              </w:rPr>
            </w:pPr>
            <w:r>
              <w:rPr>
                <w:rFonts w:eastAsia="Times New Roman"/>
                <w:sz w:val="16"/>
                <w:szCs w:val="16"/>
              </w:rPr>
              <w:t>412,472</w:t>
            </w:r>
          </w:p>
        </w:tc>
        <w:tc>
          <w:tcPr>
            <w:tcW w:w="300" w:type="pct"/>
            <w:shd w:val="clear" w:color="auto" w:fill="CCEEFF"/>
            <w:vAlign w:val="bottom"/>
            <w:hideMark/>
          </w:tcPr>
          <w:p w14:paraId="1FCFBEDD" w14:textId="77777777" w:rsidR="00000000" w:rsidRDefault="0053651E">
            <w:pPr>
              <w:jc w:val="right"/>
              <w:rPr>
                <w:rFonts w:eastAsia="Times New Roman"/>
                <w:sz w:val="16"/>
                <w:szCs w:val="16"/>
              </w:rPr>
            </w:pPr>
            <w:r>
              <w:rPr>
                <w:rFonts w:eastAsia="Times New Roman"/>
                <w:sz w:val="16"/>
                <w:szCs w:val="16"/>
              </w:rPr>
              <w:t>161,167</w:t>
            </w:r>
          </w:p>
        </w:tc>
        <w:tc>
          <w:tcPr>
            <w:tcW w:w="450" w:type="pct"/>
            <w:shd w:val="clear" w:color="auto" w:fill="CCEEFF"/>
            <w:vAlign w:val="bottom"/>
            <w:hideMark/>
          </w:tcPr>
          <w:p w14:paraId="7FD9ED09" w14:textId="77777777" w:rsidR="00000000" w:rsidRDefault="0053651E">
            <w:pPr>
              <w:jc w:val="right"/>
              <w:rPr>
                <w:rFonts w:eastAsia="Times New Roman"/>
                <w:sz w:val="16"/>
                <w:szCs w:val="16"/>
              </w:rPr>
            </w:pPr>
            <w:r>
              <w:rPr>
                <w:rFonts w:eastAsia="Times New Roman"/>
                <w:sz w:val="16"/>
                <w:szCs w:val="16"/>
              </w:rPr>
              <w:t>1,059,455</w:t>
            </w:r>
          </w:p>
        </w:tc>
        <w:tc>
          <w:tcPr>
            <w:tcW w:w="350" w:type="pct"/>
            <w:shd w:val="clear" w:color="auto" w:fill="CCEEFF"/>
            <w:vAlign w:val="bottom"/>
            <w:hideMark/>
          </w:tcPr>
          <w:p w14:paraId="666780C8" w14:textId="77777777" w:rsidR="00000000" w:rsidRDefault="0053651E">
            <w:pPr>
              <w:jc w:val="right"/>
              <w:rPr>
                <w:rFonts w:eastAsia="Times New Roman"/>
                <w:sz w:val="16"/>
                <w:szCs w:val="16"/>
              </w:rPr>
            </w:pPr>
            <w:r>
              <w:rPr>
                <w:rFonts w:eastAsia="Times New Roman"/>
                <w:sz w:val="16"/>
                <w:szCs w:val="16"/>
              </w:rPr>
              <w:t>1,220,622</w:t>
            </w:r>
          </w:p>
        </w:tc>
        <w:tc>
          <w:tcPr>
            <w:tcW w:w="400" w:type="pct"/>
            <w:shd w:val="clear" w:color="auto" w:fill="CCEEFF"/>
            <w:vAlign w:val="bottom"/>
            <w:hideMark/>
          </w:tcPr>
          <w:p w14:paraId="2BC46514" w14:textId="77777777" w:rsidR="00000000" w:rsidRDefault="0053651E">
            <w:pPr>
              <w:jc w:val="right"/>
              <w:rPr>
                <w:rFonts w:eastAsia="Times New Roman"/>
                <w:sz w:val="16"/>
                <w:szCs w:val="16"/>
              </w:rPr>
            </w:pPr>
            <w:r>
              <w:rPr>
                <w:rFonts w:eastAsia="Times New Roman"/>
                <w:sz w:val="16"/>
                <w:szCs w:val="16"/>
              </w:rPr>
              <w:t>363,563</w:t>
            </w:r>
          </w:p>
        </w:tc>
        <w:tc>
          <w:tcPr>
            <w:tcW w:w="50" w:type="pct"/>
            <w:shd w:val="clear" w:color="auto" w:fill="CCEEFF"/>
            <w:vAlign w:val="bottom"/>
            <w:hideMark/>
          </w:tcPr>
          <w:p w14:paraId="286683B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FD8AA78" w14:textId="77777777" w:rsidR="00000000" w:rsidRDefault="0053651E">
            <w:pPr>
              <w:jc w:val="right"/>
              <w:rPr>
                <w:rFonts w:eastAsia="Times New Roman"/>
                <w:sz w:val="16"/>
                <w:szCs w:val="16"/>
              </w:rPr>
            </w:pPr>
            <w:r>
              <w:rPr>
                <w:rFonts w:eastAsia="Times New Roman"/>
                <w:sz w:val="16"/>
                <w:szCs w:val="16"/>
              </w:rPr>
              <w:t>857,059</w:t>
            </w:r>
          </w:p>
        </w:tc>
        <w:tc>
          <w:tcPr>
            <w:tcW w:w="50" w:type="pct"/>
            <w:shd w:val="clear" w:color="auto" w:fill="CCEEFF"/>
            <w:vAlign w:val="bottom"/>
            <w:hideMark/>
          </w:tcPr>
          <w:p w14:paraId="3610C25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BFD64E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3146961"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48BD64E3" w14:textId="77777777">
        <w:trPr>
          <w:tblCellSpacing w:w="0" w:type="dxa"/>
        </w:trPr>
        <w:tc>
          <w:tcPr>
            <w:tcW w:w="50" w:type="pct"/>
            <w:shd w:val="clear" w:color="auto" w:fill="FFFFFF"/>
            <w:vAlign w:val="bottom"/>
            <w:hideMark/>
          </w:tcPr>
          <w:p w14:paraId="542FA7C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3438329" w14:textId="77777777" w:rsidR="00000000" w:rsidRDefault="0053651E">
            <w:pPr>
              <w:pStyle w:val="a3"/>
              <w:spacing w:before="0" w:beforeAutospacing="0" w:after="0" w:afterAutospacing="0"/>
              <w:rPr>
                <w:sz w:val="16"/>
                <w:szCs w:val="16"/>
              </w:rPr>
            </w:pPr>
            <w:r>
              <w:rPr>
                <w:sz w:val="16"/>
                <w:szCs w:val="16"/>
              </w:rPr>
              <w:t>ENGLEWOOD PLAZA</w:t>
            </w:r>
          </w:p>
        </w:tc>
        <w:tc>
          <w:tcPr>
            <w:tcW w:w="150" w:type="pct"/>
            <w:shd w:val="clear" w:color="auto" w:fill="FFFFFF"/>
            <w:vAlign w:val="bottom"/>
            <w:hideMark/>
          </w:tcPr>
          <w:p w14:paraId="100B92E4"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270EE3E3" w14:textId="77777777" w:rsidR="00000000" w:rsidRDefault="0053651E">
            <w:pPr>
              <w:jc w:val="right"/>
              <w:rPr>
                <w:rFonts w:eastAsia="Times New Roman"/>
                <w:sz w:val="16"/>
                <w:szCs w:val="16"/>
              </w:rPr>
            </w:pPr>
            <w:r>
              <w:rPr>
                <w:rFonts w:eastAsia="Times New Roman"/>
                <w:sz w:val="16"/>
                <w:szCs w:val="16"/>
              </w:rPr>
              <w:t>805,837</w:t>
            </w:r>
          </w:p>
        </w:tc>
        <w:tc>
          <w:tcPr>
            <w:tcW w:w="550" w:type="pct"/>
            <w:shd w:val="clear" w:color="auto" w:fill="FFFFFF"/>
            <w:vAlign w:val="bottom"/>
            <w:hideMark/>
          </w:tcPr>
          <w:p w14:paraId="014931A4" w14:textId="77777777" w:rsidR="00000000" w:rsidRDefault="0053651E">
            <w:pPr>
              <w:jc w:val="right"/>
              <w:rPr>
                <w:rFonts w:eastAsia="Times New Roman"/>
                <w:sz w:val="16"/>
                <w:szCs w:val="16"/>
              </w:rPr>
            </w:pPr>
            <w:r>
              <w:rPr>
                <w:rFonts w:eastAsia="Times New Roman"/>
                <w:sz w:val="16"/>
                <w:szCs w:val="16"/>
              </w:rPr>
              <w:t>3,232,650</w:t>
            </w:r>
          </w:p>
        </w:tc>
        <w:tc>
          <w:tcPr>
            <w:tcW w:w="350" w:type="pct"/>
            <w:shd w:val="clear" w:color="auto" w:fill="FFFFFF"/>
            <w:vAlign w:val="bottom"/>
            <w:hideMark/>
          </w:tcPr>
          <w:p w14:paraId="70022090" w14:textId="77777777" w:rsidR="00000000" w:rsidRDefault="0053651E">
            <w:pPr>
              <w:jc w:val="right"/>
              <w:rPr>
                <w:rFonts w:eastAsia="Times New Roman"/>
                <w:sz w:val="16"/>
                <w:szCs w:val="16"/>
              </w:rPr>
            </w:pPr>
            <w:r>
              <w:rPr>
                <w:rFonts w:eastAsia="Times New Roman"/>
                <w:sz w:val="16"/>
                <w:szCs w:val="16"/>
              </w:rPr>
              <w:t>897,656</w:t>
            </w:r>
          </w:p>
        </w:tc>
        <w:tc>
          <w:tcPr>
            <w:tcW w:w="300" w:type="pct"/>
            <w:shd w:val="clear" w:color="auto" w:fill="FFFFFF"/>
            <w:vAlign w:val="bottom"/>
            <w:hideMark/>
          </w:tcPr>
          <w:p w14:paraId="1CA8392A" w14:textId="77777777" w:rsidR="00000000" w:rsidRDefault="0053651E">
            <w:pPr>
              <w:jc w:val="right"/>
              <w:rPr>
                <w:rFonts w:eastAsia="Times New Roman"/>
                <w:sz w:val="16"/>
                <w:szCs w:val="16"/>
              </w:rPr>
            </w:pPr>
            <w:r>
              <w:rPr>
                <w:rFonts w:eastAsia="Times New Roman"/>
                <w:sz w:val="16"/>
                <w:szCs w:val="16"/>
              </w:rPr>
              <w:t>805,837</w:t>
            </w:r>
          </w:p>
        </w:tc>
        <w:tc>
          <w:tcPr>
            <w:tcW w:w="450" w:type="pct"/>
            <w:shd w:val="clear" w:color="auto" w:fill="FFFFFF"/>
            <w:vAlign w:val="bottom"/>
            <w:hideMark/>
          </w:tcPr>
          <w:p w14:paraId="7CA5C138" w14:textId="77777777" w:rsidR="00000000" w:rsidRDefault="0053651E">
            <w:pPr>
              <w:jc w:val="right"/>
              <w:rPr>
                <w:rFonts w:eastAsia="Times New Roman"/>
                <w:sz w:val="16"/>
                <w:szCs w:val="16"/>
              </w:rPr>
            </w:pPr>
            <w:r>
              <w:rPr>
                <w:rFonts w:eastAsia="Times New Roman"/>
                <w:sz w:val="16"/>
                <w:szCs w:val="16"/>
              </w:rPr>
              <w:t>4,130,306</w:t>
            </w:r>
          </w:p>
        </w:tc>
        <w:tc>
          <w:tcPr>
            <w:tcW w:w="350" w:type="pct"/>
            <w:shd w:val="clear" w:color="auto" w:fill="FFFFFF"/>
            <w:vAlign w:val="bottom"/>
            <w:hideMark/>
          </w:tcPr>
          <w:p w14:paraId="7DF26DB0" w14:textId="77777777" w:rsidR="00000000" w:rsidRDefault="0053651E">
            <w:pPr>
              <w:jc w:val="right"/>
              <w:rPr>
                <w:rFonts w:eastAsia="Times New Roman"/>
                <w:sz w:val="16"/>
                <w:szCs w:val="16"/>
              </w:rPr>
            </w:pPr>
            <w:r>
              <w:rPr>
                <w:rFonts w:eastAsia="Times New Roman"/>
                <w:sz w:val="16"/>
                <w:szCs w:val="16"/>
              </w:rPr>
              <w:t>4,936,143</w:t>
            </w:r>
          </w:p>
        </w:tc>
        <w:tc>
          <w:tcPr>
            <w:tcW w:w="400" w:type="pct"/>
            <w:shd w:val="clear" w:color="auto" w:fill="FFFFFF"/>
            <w:vAlign w:val="bottom"/>
            <w:hideMark/>
          </w:tcPr>
          <w:p w14:paraId="5866EBF4" w14:textId="77777777" w:rsidR="00000000" w:rsidRDefault="0053651E">
            <w:pPr>
              <w:jc w:val="right"/>
              <w:rPr>
                <w:rFonts w:eastAsia="Times New Roman"/>
                <w:sz w:val="16"/>
                <w:szCs w:val="16"/>
              </w:rPr>
            </w:pPr>
            <w:r>
              <w:rPr>
                <w:rFonts w:eastAsia="Times New Roman"/>
                <w:sz w:val="16"/>
                <w:szCs w:val="16"/>
              </w:rPr>
              <w:t>2,219,070</w:t>
            </w:r>
          </w:p>
        </w:tc>
        <w:tc>
          <w:tcPr>
            <w:tcW w:w="50" w:type="pct"/>
            <w:shd w:val="clear" w:color="auto" w:fill="FFFFFF"/>
            <w:vAlign w:val="bottom"/>
            <w:hideMark/>
          </w:tcPr>
          <w:p w14:paraId="7F76C29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A13D142" w14:textId="77777777" w:rsidR="00000000" w:rsidRDefault="0053651E">
            <w:pPr>
              <w:jc w:val="right"/>
              <w:rPr>
                <w:rFonts w:eastAsia="Times New Roman"/>
                <w:sz w:val="16"/>
                <w:szCs w:val="16"/>
              </w:rPr>
            </w:pPr>
            <w:r>
              <w:rPr>
                <w:rFonts w:eastAsia="Times New Roman"/>
                <w:sz w:val="16"/>
                <w:szCs w:val="16"/>
              </w:rPr>
              <w:t>2,717,073</w:t>
            </w:r>
          </w:p>
        </w:tc>
        <w:tc>
          <w:tcPr>
            <w:tcW w:w="50" w:type="pct"/>
            <w:shd w:val="clear" w:color="auto" w:fill="FFFFFF"/>
            <w:vAlign w:val="bottom"/>
            <w:hideMark/>
          </w:tcPr>
          <w:p w14:paraId="354F7FA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5E1301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AFEB6F2"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42D09AE8" w14:textId="77777777">
        <w:trPr>
          <w:tblCellSpacing w:w="0" w:type="dxa"/>
        </w:trPr>
        <w:tc>
          <w:tcPr>
            <w:tcW w:w="50" w:type="pct"/>
            <w:shd w:val="clear" w:color="auto" w:fill="CCEEFF"/>
            <w:vAlign w:val="bottom"/>
            <w:hideMark/>
          </w:tcPr>
          <w:p w14:paraId="24D445C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E860A61" w14:textId="77777777" w:rsidR="00000000" w:rsidRDefault="0053651E">
            <w:pPr>
              <w:pStyle w:val="a3"/>
              <w:spacing w:before="0" w:beforeAutospacing="0" w:after="0" w:afterAutospacing="0"/>
              <w:rPr>
                <w:sz w:val="16"/>
                <w:szCs w:val="16"/>
              </w:rPr>
            </w:pPr>
            <w:r>
              <w:rPr>
                <w:sz w:val="16"/>
                <w:szCs w:val="16"/>
              </w:rPr>
              <w:t>GREELEY COMMONS</w:t>
            </w:r>
          </w:p>
        </w:tc>
        <w:tc>
          <w:tcPr>
            <w:tcW w:w="150" w:type="pct"/>
            <w:shd w:val="clear" w:color="auto" w:fill="CCEEFF"/>
            <w:vAlign w:val="bottom"/>
            <w:hideMark/>
          </w:tcPr>
          <w:p w14:paraId="77492DAF"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4D6A9BEB" w14:textId="77777777" w:rsidR="00000000" w:rsidRDefault="0053651E">
            <w:pPr>
              <w:jc w:val="right"/>
              <w:rPr>
                <w:rFonts w:eastAsia="Times New Roman"/>
                <w:sz w:val="16"/>
                <w:szCs w:val="16"/>
              </w:rPr>
            </w:pPr>
            <w:r>
              <w:rPr>
                <w:rFonts w:eastAsia="Times New Roman"/>
                <w:sz w:val="16"/>
                <w:szCs w:val="16"/>
              </w:rPr>
              <w:t>3,313,095</w:t>
            </w:r>
          </w:p>
        </w:tc>
        <w:tc>
          <w:tcPr>
            <w:tcW w:w="550" w:type="pct"/>
            <w:shd w:val="clear" w:color="auto" w:fill="CCEEFF"/>
            <w:vAlign w:val="bottom"/>
            <w:hideMark/>
          </w:tcPr>
          <w:p w14:paraId="0DEC5E44" w14:textId="77777777" w:rsidR="00000000" w:rsidRDefault="0053651E">
            <w:pPr>
              <w:jc w:val="right"/>
              <w:rPr>
                <w:rFonts w:eastAsia="Times New Roman"/>
                <w:sz w:val="16"/>
                <w:szCs w:val="16"/>
              </w:rPr>
            </w:pPr>
            <w:r>
              <w:rPr>
                <w:rFonts w:eastAsia="Times New Roman"/>
                <w:sz w:val="16"/>
                <w:szCs w:val="16"/>
              </w:rPr>
              <w:t>20,069,559</w:t>
            </w:r>
          </w:p>
        </w:tc>
        <w:tc>
          <w:tcPr>
            <w:tcW w:w="350" w:type="pct"/>
            <w:shd w:val="clear" w:color="auto" w:fill="CCEEFF"/>
            <w:vAlign w:val="bottom"/>
            <w:hideMark/>
          </w:tcPr>
          <w:p w14:paraId="3FE90CA7" w14:textId="77777777" w:rsidR="00000000" w:rsidRDefault="0053651E">
            <w:pPr>
              <w:jc w:val="right"/>
              <w:rPr>
                <w:rFonts w:eastAsia="Times New Roman"/>
                <w:sz w:val="16"/>
                <w:szCs w:val="16"/>
              </w:rPr>
            </w:pPr>
            <w:r>
              <w:rPr>
                <w:rFonts w:eastAsia="Times New Roman"/>
                <w:sz w:val="16"/>
                <w:szCs w:val="16"/>
              </w:rPr>
              <w:t>1,525,944</w:t>
            </w:r>
          </w:p>
        </w:tc>
        <w:tc>
          <w:tcPr>
            <w:tcW w:w="300" w:type="pct"/>
            <w:shd w:val="clear" w:color="auto" w:fill="CCEEFF"/>
            <w:vAlign w:val="bottom"/>
            <w:hideMark/>
          </w:tcPr>
          <w:p w14:paraId="6A97341D" w14:textId="77777777" w:rsidR="00000000" w:rsidRDefault="0053651E">
            <w:pPr>
              <w:jc w:val="right"/>
              <w:rPr>
                <w:rFonts w:eastAsia="Times New Roman"/>
                <w:sz w:val="16"/>
                <w:szCs w:val="16"/>
              </w:rPr>
            </w:pPr>
            <w:r>
              <w:rPr>
                <w:rFonts w:eastAsia="Times New Roman"/>
                <w:sz w:val="16"/>
                <w:szCs w:val="16"/>
              </w:rPr>
              <w:t>3,313,095</w:t>
            </w:r>
          </w:p>
        </w:tc>
        <w:tc>
          <w:tcPr>
            <w:tcW w:w="450" w:type="pct"/>
            <w:shd w:val="clear" w:color="auto" w:fill="CCEEFF"/>
            <w:vAlign w:val="bottom"/>
            <w:hideMark/>
          </w:tcPr>
          <w:p w14:paraId="45B72762" w14:textId="77777777" w:rsidR="00000000" w:rsidRDefault="0053651E">
            <w:pPr>
              <w:jc w:val="right"/>
              <w:rPr>
                <w:rFonts w:eastAsia="Times New Roman"/>
                <w:sz w:val="16"/>
                <w:szCs w:val="16"/>
              </w:rPr>
            </w:pPr>
            <w:r>
              <w:rPr>
                <w:rFonts w:eastAsia="Times New Roman"/>
                <w:sz w:val="16"/>
                <w:szCs w:val="16"/>
              </w:rPr>
              <w:t>21,595,503</w:t>
            </w:r>
          </w:p>
        </w:tc>
        <w:tc>
          <w:tcPr>
            <w:tcW w:w="350" w:type="pct"/>
            <w:shd w:val="clear" w:color="auto" w:fill="CCEEFF"/>
            <w:vAlign w:val="bottom"/>
            <w:hideMark/>
          </w:tcPr>
          <w:p w14:paraId="1E6EB531" w14:textId="77777777" w:rsidR="00000000" w:rsidRDefault="0053651E">
            <w:pPr>
              <w:jc w:val="right"/>
              <w:rPr>
                <w:rFonts w:eastAsia="Times New Roman"/>
                <w:sz w:val="16"/>
                <w:szCs w:val="16"/>
              </w:rPr>
            </w:pPr>
            <w:r>
              <w:rPr>
                <w:rFonts w:eastAsia="Times New Roman"/>
                <w:sz w:val="16"/>
                <w:szCs w:val="16"/>
              </w:rPr>
              <w:t>24,908,598</w:t>
            </w:r>
          </w:p>
        </w:tc>
        <w:tc>
          <w:tcPr>
            <w:tcW w:w="400" w:type="pct"/>
            <w:shd w:val="clear" w:color="auto" w:fill="CCEEFF"/>
            <w:vAlign w:val="bottom"/>
            <w:hideMark/>
          </w:tcPr>
          <w:p w14:paraId="1829E36F" w14:textId="77777777" w:rsidR="00000000" w:rsidRDefault="0053651E">
            <w:pPr>
              <w:jc w:val="right"/>
              <w:rPr>
                <w:rFonts w:eastAsia="Times New Roman"/>
                <w:sz w:val="16"/>
                <w:szCs w:val="16"/>
              </w:rPr>
            </w:pPr>
            <w:r>
              <w:rPr>
                <w:rFonts w:eastAsia="Times New Roman"/>
                <w:sz w:val="16"/>
                <w:szCs w:val="16"/>
              </w:rPr>
              <w:t>4,986,795</w:t>
            </w:r>
          </w:p>
        </w:tc>
        <w:tc>
          <w:tcPr>
            <w:tcW w:w="50" w:type="pct"/>
            <w:shd w:val="clear" w:color="auto" w:fill="CCEEFF"/>
            <w:vAlign w:val="bottom"/>
            <w:hideMark/>
          </w:tcPr>
          <w:p w14:paraId="1A06C98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16D2BD7" w14:textId="77777777" w:rsidR="00000000" w:rsidRDefault="0053651E">
            <w:pPr>
              <w:jc w:val="right"/>
              <w:rPr>
                <w:rFonts w:eastAsia="Times New Roman"/>
                <w:sz w:val="16"/>
                <w:szCs w:val="16"/>
              </w:rPr>
            </w:pPr>
            <w:r>
              <w:rPr>
                <w:rFonts w:eastAsia="Times New Roman"/>
                <w:sz w:val="16"/>
                <w:szCs w:val="16"/>
              </w:rPr>
              <w:t>19,921,803</w:t>
            </w:r>
          </w:p>
        </w:tc>
        <w:tc>
          <w:tcPr>
            <w:tcW w:w="50" w:type="pct"/>
            <w:shd w:val="clear" w:color="auto" w:fill="CCEEFF"/>
            <w:vAlign w:val="bottom"/>
            <w:hideMark/>
          </w:tcPr>
          <w:p w14:paraId="24377FA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0289AB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0C2F8D4"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49623617" w14:textId="77777777">
        <w:trPr>
          <w:tblCellSpacing w:w="0" w:type="dxa"/>
        </w:trPr>
        <w:tc>
          <w:tcPr>
            <w:tcW w:w="50" w:type="pct"/>
            <w:shd w:val="clear" w:color="auto" w:fill="FFFFFF"/>
            <w:vAlign w:val="bottom"/>
            <w:hideMark/>
          </w:tcPr>
          <w:p w14:paraId="57D39FD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CA86BC6" w14:textId="77777777" w:rsidR="00000000" w:rsidRDefault="0053651E">
            <w:pPr>
              <w:pStyle w:val="a3"/>
              <w:spacing w:before="0" w:beforeAutospacing="0" w:after="0" w:afterAutospacing="0"/>
              <w:rPr>
                <w:sz w:val="16"/>
                <w:szCs w:val="16"/>
              </w:rPr>
            </w:pPr>
            <w:r>
              <w:rPr>
                <w:sz w:val="16"/>
                <w:szCs w:val="16"/>
              </w:rPr>
              <w:t>HIGHLANDS RANCH VILLAGE S.C.</w:t>
            </w:r>
          </w:p>
        </w:tc>
        <w:tc>
          <w:tcPr>
            <w:tcW w:w="150" w:type="pct"/>
            <w:shd w:val="clear" w:color="auto" w:fill="FFFFFF"/>
            <w:vAlign w:val="bottom"/>
            <w:hideMark/>
          </w:tcPr>
          <w:p w14:paraId="143B7542"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480E0EDC" w14:textId="77777777" w:rsidR="00000000" w:rsidRDefault="0053651E">
            <w:pPr>
              <w:jc w:val="right"/>
              <w:rPr>
                <w:rFonts w:eastAsia="Times New Roman"/>
                <w:sz w:val="16"/>
                <w:szCs w:val="16"/>
              </w:rPr>
            </w:pPr>
            <w:r>
              <w:rPr>
                <w:rFonts w:eastAsia="Times New Roman"/>
                <w:sz w:val="16"/>
                <w:szCs w:val="16"/>
              </w:rPr>
              <w:t>8,135,427</w:t>
            </w:r>
          </w:p>
        </w:tc>
        <w:tc>
          <w:tcPr>
            <w:tcW w:w="550" w:type="pct"/>
            <w:shd w:val="clear" w:color="auto" w:fill="FFFFFF"/>
            <w:vAlign w:val="bottom"/>
            <w:hideMark/>
          </w:tcPr>
          <w:p w14:paraId="5E5CFC5D" w14:textId="77777777" w:rsidR="00000000" w:rsidRDefault="0053651E">
            <w:pPr>
              <w:jc w:val="right"/>
              <w:rPr>
                <w:rFonts w:eastAsia="Times New Roman"/>
                <w:sz w:val="16"/>
                <w:szCs w:val="16"/>
              </w:rPr>
            </w:pPr>
            <w:r>
              <w:rPr>
                <w:rFonts w:eastAsia="Times New Roman"/>
                <w:sz w:val="16"/>
                <w:szCs w:val="16"/>
              </w:rPr>
              <w:t>21,579,936</w:t>
            </w:r>
          </w:p>
        </w:tc>
        <w:tc>
          <w:tcPr>
            <w:tcW w:w="350" w:type="pct"/>
            <w:shd w:val="clear" w:color="auto" w:fill="FFFFFF"/>
            <w:vAlign w:val="bottom"/>
            <w:hideMark/>
          </w:tcPr>
          <w:p w14:paraId="304A71F3" w14:textId="77777777" w:rsidR="00000000" w:rsidRDefault="0053651E">
            <w:pPr>
              <w:jc w:val="right"/>
              <w:rPr>
                <w:rFonts w:eastAsia="Times New Roman"/>
                <w:sz w:val="16"/>
                <w:szCs w:val="16"/>
              </w:rPr>
            </w:pPr>
            <w:r>
              <w:rPr>
                <w:rFonts w:eastAsia="Times New Roman"/>
                <w:sz w:val="16"/>
                <w:szCs w:val="16"/>
              </w:rPr>
              <w:t>457,168</w:t>
            </w:r>
          </w:p>
        </w:tc>
        <w:tc>
          <w:tcPr>
            <w:tcW w:w="300" w:type="pct"/>
            <w:shd w:val="clear" w:color="auto" w:fill="FFFFFF"/>
            <w:vAlign w:val="bottom"/>
            <w:hideMark/>
          </w:tcPr>
          <w:p w14:paraId="33023BEA" w14:textId="77777777" w:rsidR="00000000" w:rsidRDefault="0053651E">
            <w:pPr>
              <w:jc w:val="right"/>
              <w:rPr>
                <w:rFonts w:eastAsia="Times New Roman"/>
                <w:sz w:val="16"/>
                <w:szCs w:val="16"/>
              </w:rPr>
            </w:pPr>
            <w:r>
              <w:rPr>
                <w:rFonts w:eastAsia="Times New Roman"/>
                <w:sz w:val="16"/>
                <w:szCs w:val="16"/>
              </w:rPr>
              <w:t>5,337,081</w:t>
            </w:r>
          </w:p>
        </w:tc>
        <w:tc>
          <w:tcPr>
            <w:tcW w:w="450" w:type="pct"/>
            <w:shd w:val="clear" w:color="auto" w:fill="FFFFFF"/>
            <w:vAlign w:val="bottom"/>
            <w:hideMark/>
          </w:tcPr>
          <w:p w14:paraId="77C1422B" w14:textId="77777777" w:rsidR="00000000" w:rsidRDefault="0053651E">
            <w:pPr>
              <w:jc w:val="right"/>
              <w:rPr>
                <w:rFonts w:eastAsia="Times New Roman"/>
                <w:sz w:val="16"/>
                <w:szCs w:val="16"/>
              </w:rPr>
            </w:pPr>
            <w:r>
              <w:rPr>
                <w:rFonts w:eastAsia="Times New Roman"/>
                <w:sz w:val="16"/>
                <w:szCs w:val="16"/>
              </w:rPr>
              <w:t>24,835,450</w:t>
            </w:r>
          </w:p>
        </w:tc>
        <w:tc>
          <w:tcPr>
            <w:tcW w:w="350" w:type="pct"/>
            <w:shd w:val="clear" w:color="auto" w:fill="FFFFFF"/>
            <w:vAlign w:val="bottom"/>
            <w:hideMark/>
          </w:tcPr>
          <w:p w14:paraId="4C14545F" w14:textId="77777777" w:rsidR="00000000" w:rsidRDefault="0053651E">
            <w:pPr>
              <w:jc w:val="right"/>
              <w:rPr>
                <w:rFonts w:eastAsia="Times New Roman"/>
                <w:sz w:val="16"/>
                <w:szCs w:val="16"/>
              </w:rPr>
            </w:pPr>
            <w:r>
              <w:rPr>
                <w:rFonts w:eastAsia="Times New Roman"/>
                <w:sz w:val="16"/>
                <w:szCs w:val="16"/>
              </w:rPr>
              <w:t>30,172,531</w:t>
            </w:r>
          </w:p>
        </w:tc>
        <w:tc>
          <w:tcPr>
            <w:tcW w:w="400" w:type="pct"/>
            <w:shd w:val="clear" w:color="auto" w:fill="FFFFFF"/>
            <w:vAlign w:val="bottom"/>
            <w:hideMark/>
          </w:tcPr>
          <w:p w14:paraId="42F597F4" w14:textId="77777777" w:rsidR="00000000" w:rsidRDefault="0053651E">
            <w:pPr>
              <w:jc w:val="right"/>
              <w:rPr>
                <w:rFonts w:eastAsia="Times New Roman"/>
                <w:sz w:val="16"/>
                <w:szCs w:val="16"/>
              </w:rPr>
            </w:pPr>
            <w:r>
              <w:rPr>
                <w:rFonts w:eastAsia="Times New Roman"/>
                <w:sz w:val="16"/>
                <w:szCs w:val="16"/>
              </w:rPr>
              <w:t>5,073,713</w:t>
            </w:r>
          </w:p>
        </w:tc>
        <w:tc>
          <w:tcPr>
            <w:tcW w:w="50" w:type="pct"/>
            <w:shd w:val="clear" w:color="auto" w:fill="FFFFFF"/>
            <w:vAlign w:val="bottom"/>
            <w:hideMark/>
          </w:tcPr>
          <w:p w14:paraId="62D3448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DF7F309" w14:textId="77777777" w:rsidR="00000000" w:rsidRDefault="0053651E">
            <w:pPr>
              <w:jc w:val="right"/>
              <w:rPr>
                <w:rFonts w:eastAsia="Times New Roman"/>
                <w:sz w:val="16"/>
                <w:szCs w:val="16"/>
              </w:rPr>
            </w:pPr>
            <w:r>
              <w:rPr>
                <w:rFonts w:eastAsia="Times New Roman"/>
                <w:sz w:val="16"/>
                <w:szCs w:val="16"/>
              </w:rPr>
              <w:t>25,098,818</w:t>
            </w:r>
          </w:p>
        </w:tc>
        <w:tc>
          <w:tcPr>
            <w:tcW w:w="50" w:type="pct"/>
            <w:shd w:val="clear" w:color="auto" w:fill="FFFFFF"/>
            <w:vAlign w:val="bottom"/>
            <w:hideMark/>
          </w:tcPr>
          <w:p w14:paraId="0C3388D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0169C5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E799551"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7CEDB462" w14:textId="77777777">
        <w:trPr>
          <w:tblCellSpacing w:w="0" w:type="dxa"/>
        </w:trPr>
        <w:tc>
          <w:tcPr>
            <w:tcW w:w="50" w:type="pct"/>
            <w:shd w:val="clear" w:color="auto" w:fill="CCEEFF"/>
            <w:vAlign w:val="bottom"/>
            <w:hideMark/>
          </w:tcPr>
          <w:p w14:paraId="57C1FF5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86CED5E" w14:textId="77777777" w:rsidR="00000000" w:rsidRDefault="0053651E">
            <w:pPr>
              <w:pStyle w:val="a3"/>
              <w:spacing w:before="0" w:beforeAutospacing="0" w:after="0" w:afterAutospacing="0"/>
              <w:rPr>
                <w:sz w:val="16"/>
                <w:szCs w:val="16"/>
              </w:rPr>
            </w:pPr>
            <w:r>
              <w:rPr>
                <w:sz w:val="16"/>
                <w:szCs w:val="16"/>
              </w:rPr>
              <w:t>VILLAGE CENTER WEST</w:t>
            </w:r>
          </w:p>
        </w:tc>
        <w:tc>
          <w:tcPr>
            <w:tcW w:w="150" w:type="pct"/>
            <w:shd w:val="clear" w:color="auto" w:fill="CCEEFF"/>
            <w:vAlign w:val="bottom"/>
            <w:hideMark/>
          </w:tcPr>
          <w:p w14:paraId="15DAFD4D"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0D3437C3" w14:textId="77777777" w:rsidR="00000000" w:rsidRDefault="0053651E">
            <w:pPr>
              <w:jc w:val="right"/>
              <w:rPr>
                <w:rFonts w:eastAsia="Times New Roman"/>
                <w:sz w:val="16"/>
                <w:szCs w:val="16"/>
              </w:rPr>
            </w:pPr>
            <w:r>
              <w:rPr>
                <w:rFonts w:eastAsia="Times New Roman"/>
                <w:sz w:val="16"/>
                <w:szCs w:val="16"/>
              </w:rPr>
              <w:t>2,010,519</w:t>
            </w:r>
          </w:p>
        </w:tc>
        <w:tc>
          <w:tcPr>
            <w:tcW w:w="550" w:type="pct"/>
            <w:shd w:val="clear" w:color="auto" w:fill="CCEEFF"/>
            <w:vAlign w:val="bottom"/>
            <w:hideMark/>
          </w:tcPr>
          <w:p w14:paraId="274BDD94" w14:textId="77777777" w:rsidR="00000000" w:rsidRDefault="0053651E">
            <w:pPr>
              <w:jc w:val="right"/>
              <w:rPr>
                <w:rFonts w:eastAsia="Times New Roman"/>
                <w:sz w:val="16"/>
                <w:szCs w:val="16"/>
              </w:rPr>
            </w:pPr>
            <w:r>
              <w:rPr>
                <w:rFonts w:eastAsia="Times New Roman"/>
                <w:sz w:val="16"/>
                <w:szCs w:val="16"/>
              </w:rPr>
              <w:t>8,361,084</w:t>
            </w:r>
          </w:p>
        </w:tc>
        <w:tc>
          <w:tcPr>
            <w:tcW w:w="350" w:type="pct"/>
            <w:shd w:val="clear" w:color="auto" w:fill="CCEEFF"/>
            <w:vAlign w:val="bottom"/>
            <w:hideMark/>
          </w:tcPr>
          <w:p w14:paraId="248030E9" w14:textId="77777777" w:rsidR="00000000" w:rsidRDefault="0053651E">
            <w:pPr>
              <w:jc w:val="right"/>
              <w:rPr>
                <w:rFonts w:eastAsia="Times New Roman"/>
                <w:sz w:val="16"/>
                <w:szCs w:val="16"/>
              </w:rPr>
            </w:pPr>
            <w:r>
              <w:rPr>
                <w:rFonts w:eastAsia="Times New Roman"/>
                <w:sz w:val="16"/>
                <w:szCs w:val="16"/>
              </w:rPr>
              <w:t>729,196</w:t>
            </w:r>
          </w:p>
        </w:tc>
        <w:tc>
          <w:tcPr>
            <w:tcW w:w="300" w:type="pct"/>
            <w:shd w:val="clear" w:color="auto" w:fill="CCEEFF"/>
            <w:vAlign w:val="bottom"/>
            <w:hideMark/>
          </w:tcPr>
          <w:p w14:paraId="64E132AF" w14:textId="77777777" w:rsidR="00000000" w:rsidRDefault="0053651E">
            <w:pPr>
              <w:jc w:val="right"/>
              <w:rPr>
                <w:rFonts w:eastAsia="Times New Roman"/>
                <w:sz w:val="16"/>
                <w:szCs w:val="16"/>
              </w:rPr>
            </w:pPr>
            <w:r>
              <w:rPr>
                <w:rFonts w:eastAsia="Times New Roman"/>
                <w:sz w:val="16"/>
                <w:szCs w:val="16"/>
              </w:rPr>
              <w:t>2,010,519</w:t>
            </w:r>
          </w:p>
        </w:tc>
        <w:tc>
          <w:tcPr>
            <w:tcW w:w="450" w:type="pct"/>
            <w:shd w:val="clear" w:color="auto" w:fill="CCEEFF"/>
            <w:vAlign w:val="bottom"/>
            <w:hideMark/>
          </w:tcPr>
          <w:p w14:paraId="2E624DD3" w14:textId="77777777" w:rsidR="00000000" w:rsidRDefault="0053651E">
            <w:pPr>
              <w:jc w:val="right"/>
              <w:rPr>
                <w:rFonts w:eastAsia="Times New Roman"/>
                <w:sz w:val="16"/>
                <w:szCs w:val="16"/>
              </w:rPr>
            </w:pPr>
            <w:r>
              <w:rPr>
                <w:rFonts w:eastAsia="Times New Roman"/>
                <w:sz w:val="16"/>
                <w:szCs w:val="16"/>
              </w:rPr>
              <w:t>9,090,280</w:t>
            </w:r>
          </w:p>
        </w:tc>
        <w:tc>
          <w:tcPr>
            <w:tcW w:w="350" w:type="pct"/>
            <w:shd w:val="clear" w:color="auto" w:fill="CCEEFF"/>
            <w:vAlign w:val="bottom"/>
            <w:hideMark/>
          </w:tcPr>
          <w:p w14:paraId="0C5060DC" w14:textId="77777777" w:rsidR="00000000" w:rsidRDefault="0053651E">
            <w:pPr>
              <w:jc w:val="right"/>
              <w:rPr>
                <w:rFonts w:eastAsia="Times New Roman"/>
                <w:sz w:val="16"/>
                <w:szCs w:val="16"/>
              </w:rPr>
            </w:pPr>
            <w:r>
              <w:rPr>
                <w:rFonts w:eastAsia="Times New Roman"/>
                <w:sz w:val="16"/>
                <w:szCs w:val="16"/>
              </w:rPr>
              <w:t>11,100,799</w:t>
            </w:r>
          </w:p>
        </w:tc>
        <w:tc>
          <w:tcPr>
            <w:tcW w:w="400" w:type="pct"/>
            <w:shd w:val="clear" w:color="auto" w:fill="CCEEFF"/>
            <w:vAlign w:val="bottom"/>
            <w:hideMark/>
          </w:tcPr>
          <w:p w14:paraId="02A09D29" w14:textId="77777777" w:rsidR="00000000" w:rsidRDefault="0053651E">
            <w:pPr>
              <w:jc w:val="right"/>
              <w:rPr>
                <w:rFonts w:eastAsia="Times New Roman"/>
                <w:sz w:val="16"/>
                <w:szCs w:val="16"/>
              </w:rPr>
            </w:pPr>
            <w:r>
              <w:rPr>
                <w:rFonts w:eastAsia="Times New Roman"/>
                <w:sz w:val="16"/>
                <w:szCs w:val="16"/>
              </w:rPr>
              <w:t>1,826,199</w:t>
            </w:r>
          </w:p>
        </w:tc>
        <w:tc>
          <w:tcPr>
            <w:tcW w:w="50" w:type="pct"/>
            <w:shd w:val="clear" w:color="auto" w:fill="CCEEFF"/>
            <w:vAlign w:val="bottom"/>
            <w:hideMark/>
          </w:tcPr>
          <w:p w14:paraId="66B9DB1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316560E" w14:textId="77777777" w:rsidR="00000000" w:rsidRDefault="0053651E">
            <w:pPr>
              <w:jc w:val="right"/>
              <w:rPr>
                <w:rFonts w:eastAsia="Times New Roman"/>
                <w:sz w:val="16"/>
                <w:szCs w:val="16"/>
              </w:rPr>
            </w:pPr>
            <w:r>
              <w:rPr>
                <w:rFonts w:eastAsia="Times New Roman"/>
                <w:sz w:val="16"/>
                <w:szCs w:val="16"/>
              </w:rPr>
              <w:t>9,274,600</w:t>
            </w:r>
          </w:p>
        </w:tc>
        <w:tc>
          <w:tcPr>
            <w:tcW w:w="50" w:type="pct"/>
            <w:shd w:val="clear" w:color="auto" w:fill="CCEEFF"/>
            <w:vAlign w:val="bottom"/>
            <w:hideMark/>
          </w:tcPr>
          <w:p w14:paraId="0AEFFBA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39601B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CCCEEB1"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7264E048" w14:textId="77777777">
        <w:trPr>
          <w:tblCellSpacing w:w="0" w:type="dxa"/>
        </w:trPr>
        <w:tc>
          <w:tcPr>
            <w:tcW w:w="50" w:type="pct"/>
            <w:shd w:val="clear" w:color="auto" w:fill="FFFFFF"/>
            <w:vAlign w:val="bottom"/>
            <w:hideMark/>
          </w:tcPr>
          <w:p w14:paraId="462DFF0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D9CEB6E" w14:textId="77777777" w:rsidR="00000000" w:rsidRDefault="0053651E">
            <w:pPr>
              <w:pStyle w:val="a3"/>
              <w:spacing w:before="0" w:beforeAutospacing="0" w:after="0" w:afterAutospacing="0"/>
              <w:rPr>
                <w:sz w:val="16"/>
                <w:szCs w:val="16"/>
              </w:rPr>
            </w:pPr>
            <w:r>
              <w:rPr>
                <w:sz w:val="16"/>
                <w:szCs w:val="16"/>
              </w:rPr>
              <w:t>HIGHLANDS RANCH II</w:t>
            </w:r>
          </w:p>
        </w:tc>
        <w:tc>
          <w:tcPr>
            <w:tcW w:w="150" w:type="pct"/>
            <w:shd w:val="clear" w:color="auto" w:fill="FFFFFF"/>
            <w:vAlign w:val="bottom"/>
            <w:hideMark/>
          </w:tcPr>
          <w:p w14:paraId="3800D6E5"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1340D374" w14:textId="77777777" w:rsidR="00000000" w:rsidRDefault="0053651E">
            <w:pPr>
              <w:jc w:val="right"/>
              <w:rPr>
                <w:rFonts w:eastAsia="Times New Roman"/>
                <w:sz w:val="16"/>
                <w:szCs w:val="16"/>
              </w:rPr>
            </w:pPr>
            <w:r>
              <w:rPr>
                <w:rFonts w:eastAsia="Times New Roman"/>
                <w:sz w:val="16"/>
                <w:szCs w:val="16"/>
              </w:rPr>
              <w:t>3,514,837</w:t>
            </w:r>
          </w:p>
        </w:tc>
        <w:tc>
          <w:tcPr>
            <w:tcW w:w="550" w:type="pct"/>
            <w:shd w:val="clear" w:color="auto" w:fill="FFFFFF"/>
            <w:vAlign w:val="bottom"/>
            <w:hideMark/>
          </w:tcPr>
          <w:p w14:paraId="38FCCED3" w14:textId="77777777" w:rsidR="00000000" w:rsidRDefault="0053651E">
            <w:pPr>
              <w:jc w:val="right"/>
              <w:rPr>
                <w:rFonts w:eastAsia="Times New Roman"/>
                <w:sz w:val="16"/>
                <w:szCs w:val="16"/>
              </w:rPr>
            </w:pPr>
            <w:r>
              <w:rPr>
                <w:rFonts w:eastAsia="Times New Roman"/>
                <w:sz w:val="16"/>
                <w:szCs w:val="16"/>
              </w:rPr>
              <w:t>11,755,916</w:t>
            </w:r>
          </w:p>
        </w:tc>
        <w:tc>
          <w:tcPr>
            <w:tcW w:w="350" w:type="pct"/>
            <w:shd w:val="clear" w:color="auto" w:fill="FFFFFF"/>
            <w:vAlign w:val="bottom"/>
            <w:hideMark/>
          </w:tcPr>
          <w:p w14:paraId="55974BA5" w14:textId="77777777" w:rsidR="00000000" w:rsidRDefault="0053651E">
            <w:pPr>
              <w:jc w:val="right"/>
              <w:rPr>
                <w:rFonts w:eastAsia="Times New Roman"/>
                <w:sz w:val="16"/>
                <w:szCs w:val="16"/>
              </w:rPr>
            </w:pPr>
            <w:r>
              <w:rPr>
                <w:rFonts w:eastAsia="Times New Roman"/>
                <w:sz w:val="16"/>
                <w:szCs w:val="16"/>
              </w:rPr>
              <w:t>822,188</w:t>
            </w:r>
          </w:p>
        </w:tc>
        <w:tc>
          <w:tcPr>
            <w:tcW w:w="300" w:type="pct"/>
            <w:shd w:val="clear" w:color="auto" w:fill="FFFFFF"/>
            <w:vAlign w:val="bottom"/>
            <w:hideMark/>
          </w:tcPr>
          <w:p w14:paraId="283DCE5D" w14:textId="77777777" w:rsidR="00000000" w:rsidRDefault="0053651E">
            <w:pPr>
              <w:jc w:val="right"/>
              <w:rPr>
                <w:rFonts w:eastAsia="Times New Roman"/>
                <w:sz w:val="16"/>
                <w:szCs w:val="16"/>
              </w:rPr>
            </w:pPr>
            <w:r>
              <w:rPr>
                <w:rFonts w:eastAsia="Times New Roman"/>
                <w:sz w:val="16"/>
                <w:szCs w:val="16"/>
              </w:rPr>
              <w:t>3,514,837</w:t>
            </w:r>
          </w:p>
        </w:tc>
        <w:tc>
          <w:tcPr>
            <w:tcW w:w="450" w:type="pct"/>
            <w:shd w:val="clear" w:color="auto" w:fill="FFFFFF"/>
            <w:vAlign w:val="bottom"/>
            <w:hideMark/>
          </w:tcPr>
          <w:p w14:paraId="66227BF5" w14:textId="77777777" w:rsidR="00000000" w:rsidRDefault="0053651E">
            <w:pPr>
              <w:jc w:val="right"/>
              <w:rPr>
                <w:rFonts w:eastAsia="Times New Roman"/>
                <w:sz w:val="16"/>
                <w:szCs w:val="16"/>
              </w:rPr>
            </w:pPr>
            <w:r>
              <w:rPr>
                <w:rFonts w:eastAsia="Times New Roman"/>
                <w:sz w:val="16"/>
                <w:szCs w:val="16"/>
              </w:rPr>
              <w:t>12,578,104</w:t>
            </w:r>
          </w:p>
        </w:tc>
        <w:tc>
          <w:tcPr>
            <w:tcW w:w="350" w:type="pct"/>
            <w:shd w:val="clear" w:color="auto" w:fill="FFFFFF"/>
            <w:vAlign w:val="bottom"/>
            <w:hideMark/>
          </w:tcPr>
          <w:p w14:paraId="53FA4C5B" w14:textId="77777777" w:rsidR="00000000" w:rsidRDefault="0053651E">
            <w:pPr>
              <w:jc w:val="right"/>
              <w:rPr>
                <w:rFonts w:eastAsia="Times New Roman"/>
                <w:sz w:val="16"/>
                <w:szCs w:val="16"/>
              </w:rPr>
            </w:pPr>
            <w:r>
              <w:rPr>
                <w:rFonts w:eastAsia="Times New Roman"/>
                <w:sz w:val="16"/>
                <w:szCs w:val="16"/>
              </w:rPr>
              <w:t>16,092,941</w:t>
            </w:r>
          </w:p>
        </w:tc>
        <w:tc>
          <w:tcPr>
            <w:tcW w:w="400" w:type="pct"/>
            <w:shd w:val="clear" w:color="auto" w:fill="FFFFFF"/>
            <w:vAlign w:val="bottom"/>
            <w:hideMark/>
          </w:tcPr>
          <w:p w14:paraId="44501D8B" w14:textId="77777777" w:rsidR="00000000" w:rsidRDefault="0053651E">
            <w:pPr>
              <w:jc w:val="right"/>
              <w:rPr>
                <w:rFonts w:eastAsia="Times New Roman"/>
                <w:sz w:val="16"/>
                <w:szCs w:val="16"/>
              </w:rPr>
            </w:pPr>
            <w:r>
              <w:rPr>
                <w:rFonts w:eastAsia="Times New Roman"/>
                <w:sz w:val="16"/>
                <w:szCs w:val="16"/>
              </w:rPr>
              <w:t>3,304,340</w:t>
            </w:r>
          </w:p>
        </w:tc>
        <w:tc>
          <w:tcPr>
            <w:tcW w:w="50" w:type="pct"/>
            <w:shd w:val="clear" w:color="auto" w:fill="FFFFFF"/>
            <w:vAlign w:val="bottom"/>
            <w:hideMark/>
          </w:tcPr>
          <w:p w14:paraId="508A393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1C18CAE" w14:textId="77777777" w:rsidR="00000000" w:rsidRDefault="0053651E">
            <w:pPr>
              <w:jc w:val="right"/>
              <w:rPr>
                <w:rFonts w:eastAsia="Times New Roman"/>
                <w:sz w:val="16"/>
                <w:szCs w:val="16"/>
              </w:rPr>
            </w:pPr>
            <w:r>
              <w:rPr>
                <w:rFonts w:eastAsia="Times New Roman"/>
                <w:sz w:val="16"/>
                <w:szCs w:val="16"/>
              </w:rPr>
              <w:t>12,788,601</w:t>
            </w:r>
          </w:p>
        </w:tc>
        <w:tc>
          <w:tcPr>
            <w:tcW w:w="50" w:type="pct"/>
            <w:shd w:val="clear" w:color="auto" w:fill="FFFFFF"/>
            <w:vAlign w:val="bottom"/>
            <w:hideMark/>
          </w:tcPr>
          <w:p w14:paraId="593ED4A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A71555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8E41E22"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4D0B7280" w14:textId="77777777">
        <w:trPr>
          <w:tblCellSpacing w:w="0" w:type="dxa"/>
        </w:trPr>
        <w:tc>
          <w:tcPr>
            <w:tcW w:w="50" w:type="pct"/>
            <w:shd w:val="clear" w:color="auto" w:fill="CCEEFF"/>
            <w:vAlign w:val="bottom"/>
            <w:hideMark/>
          </w:tcPr>
          <w:p w14:paraId="22FD138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1E224B0" w14:textId="77777777" w:rsidR="00000000" w:rsidRDefault="0053651E">
            <w:pPr>
              <w:pStyle w:val="a3"/>
              <w:spacing w:before="0" w:beforeAutospacing="0" w:after="0" w:afterAutospacing="0"/>
              <w:rPr>
                <w:sz w:val="16"/>
                <w:szCs w:val="16"/>
              </w:rPr>
            </w:pPr>
            <w:r>
              <w:rPr>
                <w:sz w:val="16"/>
                <w:szCs w:val="16"/>
              </w:rPr>
              <w:t>VILLAGE CENTER - HIGHLAND RANCH</w:t>
            </w:r>
          </w:p>
        </w:tc>
        <w:tc>
          <w:tcPr>
            <w:tcW w:w="150" w:type="pct"/>
            <w:shd w:val="clear" w:color="auto" w:fill="CCEEFF"/>
            <w:vAlign w:val="bottom"/>
            <w:hideMark/>
          </w:tcPr>
          <w:p w14:paraId="3BA65233"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76AC3555" w14:textId="77777777" w:rsidR="00000000" w:rsidRDefault="0053651E">
            <w:pPr>
              <w:jc w:val="right"/>
              <w:rPr>
                <w:rFonts w:eastAsia="Times New Roman"/>
                <w:sz w:val="16"/>
                <w:szCs w:val="16"/>
              </w:rPr>
            </w:pPr>
            <w:r>
              <w:rPr>
                <w:rFonts w:eastAsia="Times New Roman"/>
                <w:sz w:val="16"/>
                <w:szCs w:val="16"/>
              </w:rPr>
              <w:t>1,140,000</w:t>
            </w:r>
          </w:p>
        </w:tc>
        <w:tc>
          <w:tcPr>
            <w:tcW w:w="550" w:type="pct"/>
            <w:shd w:val="clear" w:color="auto" w:fill="CCEEFF"/>
            <w:vAlign w:val="bottom"/>
            <w:hideMark/>
          </w:tcPr>
          <w:p w14:paraId="4786F0AB" w14:textId="77777777" w:rsidR="00000000" w:rsidRDefault="0053651E">
            <w:pPr>
              <w:jc w:val="right"/>
              <w:rPr>
                <w:rFonts w:eastAsia="Times New Roman"/>
                <w:sz w:val="16"/>
                <w:szCs w:val="16"/>
              </w:rPr>
            </w:pPr>
            <w:r>
              <w:rPr>
                <w:rFonts w:eastAsia="Times New Roman"/>
                <w:sz w:val="16"/>
                <w:szCs w:val="16"/>
              </w:rPr>
              <w:t>2,660,000</w:t>
            </w:r>
          </w:p>
        </w:tc>
        <w:tc>
          <w:tcPr>
            <w:tcW w:w="350" w:type="pct"/>
            <w:shd w:val="clear" w:color="auto" w:fill="CCEEFF"/>
            <w:vAlign w:val="bottom"/>
            <w:hideMark/>
          </w:tcPr>
          <w:p w14:paraId="1ECBB474" w14:textId="77777777" w:rsidR="00000000" w:rsidRDefault="0053651E">
            <w:pPr>
              <w:jc w:val="right"/>
              <w:rPr>
                <w:rFonts w:eastAsia="Times New Roman"/>
                <w:sz w:val="16"/>
                <w:szCs w:val="16"/>
              </w:rPr>
            </w:pPr>
            <w:r>
              <w:rPr>
                <w:rFonts w:eastAsia="Times New Roman"/>
                <w:sz w:val="16"/>
                <w:szCs w:val="16"/>
              </w:rPr>
              <w:t>283,724</w:t>
            </w:r>
          </w:p>
        </w:tc>
        <w:tc>
          <w:tcPr>
            <w:tcW w:w="300" w:type="pct"/>
            <w:shd w:val="clear" w:color="auto" w:fill="CCEEFF"/>
            <w:vAlign w:val="bottom"/>
            <w:hideMark/>
          </w:tcPr>
          <w:p w14:paraId="07D681F0" w14:textId="77777777" w:rsidR="00000000" w:rsidRDefault="0053651E">
            <w:pPr>
              <w:jc w:val="right"/>
              <w:rPr>
                <w:rFonts w:eastAsia="Times New Roman"/>
                <w:sz w:val="16"/>
                <w:szCs w:val="16"/>
              </w:rPr>
            </w:pPr>
            <w:r>
              <w:rPr>
                <w:rFonts w:eastAsia="Times New Roman"/>
                <w:sz w:val="16"/>
                <w:szCs w:val="16"/>
              </w:rPr>
              <w:t>1,140,000</w:t>
            </w:r>
          </w:p>
        </w:tc>
        <w:tc>
          <w:tcPr>
            <w:tcW w:w="450" w:type="pct"/>
            <w:shd w:val="clear" w:color="auto" w:fill="CCEEFF"/>
            <w:vAlign w:val="bottom"/>
            <w:hideMark/>
          </w:tcPr>
          <w:p w14:paraId="4B4385B7" w14:textId="77777777" w:rsidR="00000000" w:rsidRDefault="0053651E">
            <w:pPr>
              <w:jc w:val="right"/>
              <w:rPr>
                <w:rFonts w:eastAsia="Times New Roman"/>
                <w:sz w:val="16"/>
                <w:szCs w:val="16"/>
              </w:rPr>
            </w:pPr>
            <w:r>
              <w:rPr>
                <w:rFonts w:eastAsia="Times New Roman"/>
                <w:sz w:val="16"/>
                <w:szCs w:val="16"/>
              </w:rPr>
              <w:t>2,943,724</w:t>
            </w:r>
          </w:p>
        </w:tc>
        <w:tc>
          <w:tcPr>
            <w:tcW w:w="350" w:type="pct"/>
            <w:shd w:val="clear" w:color="auto" w:fill="CCEEFF"/>
            <w:vAlign w:val="bottom"/>
            <w:hideMark/>
          </w:tcPr>
          <w:p w14:paraId="786D99CA" w14:textId="77777777" w:rsidR="00000000" w:rsidRDefault="0053651E">
            <w:pPr>
              <w:jc w:val="right"/>
              <w:rPr>
                <w:rFonts w:eastAsia="Times New Roman"/>
                <w:sz w:val="16"/>
                <w:szCs w:val="16"/>
              </w:rPr>
            </w:pPr>
            <w:r>
              <w:rPr>
                <w:rFonts w:eastAsia="Times New Roman"/>
                <w:sz w:val="16"/>
                <w:szCs w:val="16"/>
              </w:rPr>
              <w:t>4,083,724</w:t>
            </w:r>
          </w:p>
        </w:tc>
        <w:tc>
          <w:tcPr>
            <w:tcW w:w="400" w:type="pct"/>
            <w:shd w:val="clear" w:color="auto" w:fill="CCEEFF"/>
            <w:vAlign w:val="bottom"/>
            <w:hideMark/>
          </w:tcPr>
          <w:p w14:paraId="1FB1D232" w14:textId="77777777" w:rsidR="00000000" w:rsidRDefault="0053651E">
            <w:pPr>
              <w:jc w:val="right"/>
              <w:rPr>
                <w:rFonts w:eastAsia="Times New Roman"/>
                <w:sz w:val="16"/>
                <w:szCs w:val="16"/>
              </w:rPr>
            </w:pPr>
            <w:r>
              <w:rPr>
                <w:rFonts w:eastAsia="Times New Roman"/>
                <w:sz w:val="16"/>
                <w:szCs w:val="16"/>
              </w:rPr>
              <w:t>396,713</w:t>
            </w:r>
          </w:p>
        </w:tc>
        <w:tc>
          <w:tcPr>
            <w:tcW w:w="50" w:type="pct"/>
            <w:shd w:val="clear" w:color="auto" w:fill="CCEEFF"/>
            <w:vAlign w:val="bottom"/>
            <w:hideMark/>
          </w:tcPr>
          <w:p w14:paraId="03D98CB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BF876C3" w14:textId="77777777" w:rsidR="00000000" w:rsidRDefault="0053651E">
            <w:pPr>
              <w:jc w:val="right"/>
              <w:rPr>
                <w:rFonts w:eastAsia="Times New Roman"/>
                <w:sz w:val="16"/>
                <w:szCs w:val="16"/>
              </w:rPr>
            </w:pPr>
            <w:r>
              <w:rPr>
                <w:rFonts w:eastAsia="Times New Roman"/>
                <w:sz w:val="16"/>
                <w:szCs w:val="16"/>
              </w:rPr>
              <w:t>3,687,011</w:t>
            </w:r>
          </w:p>
        </w:tc>
        <w:tc>
          <w:tcPr>
            <w:tcW w:w="50" w:type="pct"/>
            <w:shd w:val="clear" w:color="auto" w:fill="CCEEFF"/>
            <w:vAlign w:val="bottom"/>
            <w:hideMark/>
          </w:tcPr>
          <w:p w14:paraId="15F103B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A28340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3610BB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CFAE07E" w14:textId="77777777">
        <w:trPr>
          <w:tblCellSpacing w:w="0" w:type="dxa"/>
        </w:trPr>
        <w:tc>
          <w:tcPr>
            <w:tcW w:w="50" w:type="pct"/>
            <w:shd w:val="clear" w:color="auto" w:fill="FFFFFF"/>
            <w:vAlign w:val="bottom"/>
            <w:hideMark/>
          </w:tcPr>
          <w:p w14:paraId="4B347E7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7E4F054" w14:textId="77777777" w:rsidR="00000000" w:rsidRDefault="0053651E">
            <w:pPr>
              <w:pStyle w:val="a3"/>
              <w:spacing w:before="0" w:beforeAutospacing="0" w:after="0" w:afterAutospacing="0"/>
              <w:rPr>
                <w:sz w:val="16"/>
                <w:szCs w:val="16"/>
              </w:rPr>
            </w:pPr>
            <w:r>
              <w:rPr>
                <w:sz w:val="16"/>
                <w:szCs w:val="16"/>
              </w:rPr>
              <w:t>HERITAGE WEST S.C.</w:t>
            </w:r>
          </w:p>
        </w:tc>
        <w:tc>
          <w:tcPr>
            <w:tcW w:w="150" w:type="pct"/>
            <w:shd w:val="clear" w:color="auto" w:fill="FFFFFF"/>
            <w:vAlign w:val="bottom"/>
            <w:hideMark/>
          </w:tcPr>
          <w:p w14:paraId="64E49078"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FFFFFF"/>
            <w:vAlign w:val="bottom"/>
            <w:hideMark/>
          </w:tcPr>
          <w:p w14:paraId="2F873026" w14:textId="77777777" w:rsidR="00000000" w:rsidRDefault="0053651E">
            <w:pPr>
              <w:jc w:val="right"/>
              <w:rPr>
                <w:rFonts w:eastAsia="Times New Roman"/>
                <w:sz w:val="16"/>
                <w:szCs w:val="16"/>
              </w:rPr>
            </w:pPr>
            <w:r>
              <w:rPr>
                <w:rFonts w:eastAsia="Times New Roman"/>
                <w:sz w:val="16"/>
                <w:szCs w:val="16"/>
              </w:rPr>
              <w:t>1,526,576</w:t>
            </w:r>
          </w:p>
        </w:tc>
        <w:tc>
          <w:tcPr>
            <w:tcW w:w="550" w:type="pct"/>
            <w:shd w:val="clear" w:color="auto" w:fill="FFFFFF"/>
            <w:vAlign w:val="bottom"/>
            <w:hideMark/>
          </w:tcPr>
          <w:p w14:paraId="704EF280" w14:textId="77777777" w:rsidR="00000000" w:rsidRDefault="0053651E">
            <w:pPr>
              <w:jc w:val="right"/>
              <w:rPr>
                <w:rFonts w:eastAsia="Times New Roman"/>
                <w:sz w:val="16"/>
                <w:szCs w:val="16"/>
              </w:rPr>
            </w:pPr>
            <w:r>
              <w:rPr>
                <w:rFonts w:eastAsia="Times New Roman"/>
                <w:sz w:val="16"/>
                <w:szCs w:val="16"/>
              </w:rPr>
              <w:t>6,124,074</w:t>
            </w:r>
          </w:p>
        </w:tc>
        <w:tc>
          <w:tcPr>
            <w:tcW w:w="350" w:type="pct"/>
            <w:shd w:val="clear" w:color="auto" w:fill="FFFFFF"/>
            <w:vAlign w:val="bottom"/>
            <w:hideMark/>
          </w:tcPr>
          <w:p w14:paraId="1FBA0A65" w14:textId="77777777" w:rsidR="00000000" w:rsidRDefault="0053651E">
            <w:pPr>
              <w:jc w:val="right"/>
              <w:rPr>
                <w:rFonts w:eastAsia="Times New Roman"/>
                <w:sz w:val="16"/>
                <w:szCs w:val="16"/>
              </w:rPr>
            </w:pPr>
            <w:r>
              <w:rPr>
                <w:rFonts w:eastAsia="Times New Roman"/>
                <w:sz w:val="16"/>
                <w:szCs w:val="16"/>
              </w:rPr>
              <w:t>2,309,547</w:t>
            </w:r>
          </w:p>
        </w:tc>
        <w:tc>
          <w:tcPr>
            <w:tcW w:w="300" w:type="pct"/>
            <w:shd w:val="clear" w:color="auto" w:fill="FFFFFF"/>
            <w:vAlign w:val="bottom"/>
            <w:hideMark/>
          </w:tcPr>
          <w:p w14:paraId="3F2D7BC4" w14:textId="77777777" w:rsidR="00000000" w:rsidRDefault="0053651E">
            <w:pPr>
              <w:jc w:val="right"/>
              <w:rPr>
                <w:rFonts w:eastAsia="Times New Roman"/>
                <w:sz w:val="16"/>
                <w:szCs w:val="16"/>
              </w:rPr>
            </w:pPr>
            <w:r>
              <w:rPr>
                <w:rFonts w:eastAsia="Times New Roman"/>
                <w:sz w:val="16"/>
                <w:szCs w:val="16"/>
              </w:rPr>
              <w:t>1,526,576</w:t>
            </w:r>
          </w:p>
        </w:tc>
        <w:tc>
          <w:tcPr>
            <w:tcW w:w="450" w:type="pct"/>
            <w:shd w:val="clear" w:color="auto" w:fill="FFFFFF"/>
            <w:vAlign w:val="bottom"/>
            <w:hideMark/>
          </w:tcPr>
          <w:p w14:paraId="4EF1D516" w14:textId="77777777" w:rsidR="00000000" w:rsidRDefault="0053651E">
            <w:pPr>
              <w:jc w:val="right"/>
              <w:rPr>
                <w:rFonts w:eastAsia="Times New Roman"/>
                <w:sz w:val="16"/>
                <w:szCs w:val="16"/>
              </w:rPr>
            </w:pPr>
            <w:r>
              <w:rPr>
                <w:rFonts w:eastAsia="Times New Roman"/>
                <w:sz w:val="16"/>
                <w:szCs w:val="16"/>
              </w:rPr>
              <w:t>8,433,621</w:t>
            </w:r>
          </w:p>
        </w:tc>
        <w:tc>
          <w:tcPr>
            <w:tcW w:w="350" w:type="pct"/>
            <w:shd w:val="clear" w:color="auto" w:fill="FFFFFF"/>
            <w:vAlign w:val="bottom"/>
            <w:hideMark/>
          </w:tcPr>
          <w:p w14:paraId="2E888064" w14:textId="77777777" w:rsidR="00000000" w:rsidRDefault="0053651E">
            <w:pPr>
              <w:jc w:val="right"/>
              <w:rPr>
                <w:rFonts w:eastAsia="Times New Roman"/>
                <w:sz w:val="16"/>
                <w:szCs w:val="16"/>
              </w:rPr>
            </w:pPr>
            <w:r>
              <w:rPr>
                <w:rFonts w:eastAsia="Times New Roman"/>
                <w:sz w:val="16"/>
                <w:szCs w:val="16"/>
              </w:rPr>
              <w:t>9,960,197</w:t>
            </w:r>
          </w:p>
        </w:tc>
        <w:tc>
          <w:tcPr>
            <w:tcW w:w="400" w:type="pct"/>
            <w:shd w:val="clear" w:color="auto" w:fill="FFFFFF"/>
            <w:vAlign w:val="bottom"/>
            <w:hideMark/>
          </w:tcPr>
          <w:p w14:paraId="45B2362C" w14:textId="77777777" w:rsidR="00000000" w:rsidRDefault="0053651E">
            <w:pPr>
              <w:jc w:val="right"/>
              <w:rPr>
                <w:rFonts w:eastAsia="Times New Roman"/>
                <w:sz w:val="16"/>
                <w:szCs w:val="16"/>
              </w:rPr>
            </w:pPr>
            <w:r>
              <w:rPr>
                <w:rFonts w:eastAsia="Times New Roman"/>
                <w:sz w:val="16"/>
                <w:szCs w:val="16"/>
              </w:rPr>
              <w:t>4,093,180</w:t>
            </w:r>
          </w:p>
        </w:tc>
        <w:tc>
          <w:tcPr>
            <w:tcW w:w="50" w:type="pct"/>
            <w:shd w:val="clear" w:color="auto" w:fill="FFFFFF"/>
            <w:vAlign w:val="bottom"/>
            <w:hideMark/>
          </w:tcPr>
          <w:p w14:paraId="60D5188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A1A5452" w14:textId="77777777" w:rsidR="00000000" w:rsidRDefault="0053651E">
            <w:pPr>
              <w:jc w:val="right"/>
              <w:rPr>
                <w:rFonts w:eastAsia="Times New Roman"/>
                <w:sz w:val="16"/>
                <w:szCs w:val="16"/>
              </w:rPr>
            </w:pPr>
            <w:r>
              <w:rPr>
                <w:rFonts w:eastAsia="Times New Roman"/>
                <w:sz w:val="16"/>
                <w:szCs w:val="16"/>
              </w:rPr>
              <w:t>5,867,017</w:t>
            </w:r>
          </w:p>
        </w:tc>
        <w:tc>
          <w:tcPr>
            <w:tcW w:w="50" w:type="pct"/>
            <w:shd w:val="clear" w:color="auto" w:fill="FFFFFF"/>
            <w:vAlign w:val="bottom"/>
            <w:hideMark/>
          </w:tcPr>
          <w:p w14:paraId="0F21BBD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C30BA3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465B5C4"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047003DF" w14:textId="77777777">
        <w:trPr>
          <w:tblCellSpacing w:w="0" w:type="dxa"/>
        </w:trPr>
        <w:tc>
          <w:tcPr>
            <w:tcW w:w="50" w:type="pct"/>
            <w:shd w:val="clear" w:color="auto" w:fill="CCEEFF"/>
            <w:vAlign w:val="bottom"/>
            <w:hideMark/>
          </w:tcPr>
          <w:p w14:paraId="5F8315C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2E6F1CB" w14:textId="77777777" w:rsidR="00000000" w:rsidRDefault="0053651E">
            <w:pPr>
              <w:pStyle w:val="a3"/>
              <w:spacing w:before="0" w:beforeAutospacing="0" w:after="0" w:afterAutospacing="0"/>
              <w:rPr>
                <w:sz w:val="16"/>
                <w:szCs w:val="16"/>
              </w:rPr>
            </w:pPr>
            <w:r>
              <w:rPr>
                <w:sz w:val="16"/>
                <w:szCs w:val="16"/>
              </w:rPr>
              <w:t>MARKET AT SOUTHPARK</w:t>
            </w:r>
          </w:p>
        </w:tc>
        <w:tc>
          <w:tcPr>
            <w:tcW w:w="150" w:type="pct"/>
            <w:shd w:val="clear" w:color="auto" w:fill="CCEEFF"/>
            <w:vAlign w:val="bottom"/>
            <w:hideMark/>
          </w:tcPr>
          <w:p w14:paraId="30D6E0AC" w14:textId="77777777" w:rsidR="00000000" w:rsidRDefault="0053651E">
            <w:pPr>
              <w:pStyle w:val="a3"/>
              <w:spacing w:before="0" w:beforeAutospacing="0" w:after="0" w:afterAutospacing="0"/>
              <w:rPr>
                <w:sz w:val="16"/>
                <w:szCs w:val="16"/>
              </w:rPr>
            </w:pPr>
            <w:r>
              <w:rPr>
                <w:rStyle w:val="a6"/>
                <w:i w:val="0"/>
                <w:iCs w:val="0"/>
                <w:sz w:val="16"/>
                <w:szCs w:val="16"/>
              </w:rPr>
              <w:t>CO</w:t>
            </w:r>
          </w:p>
        </w:tc>
        <w:tc>
          <w:tcPr>
            <w:tcW w:w="300" w:type="pct"/>
            <w:shd w:val="clear" w:color="auto" w:fill="CCEEFF"/>
            <w:vAlign w:val="bottom"/>
            <w:hideMark/>
          </w:tcPr>
          <w:p w14:paraId="3E75FDDA" w14:textId="77777777" w:rsidR="00000000" w:rsidRDefault="0053651E">
            <w:pPr>
              <w:jc w:val="right"/>
              <w:rPr>
                <w:rFonts w:eastAsia="Times New Roman"/>
                <w:sz w:val="16"/>
                <w:szCs w:val="16"/>
              </w:rPr>
            </w:pPr>
            <w:r>
              <w:rPr>
                <w:rFonts w:eastAsia="Times New Roman"/>
                <w:sz w:val="16"/>
                <w:szCs w:val="16"/>
              </w:rPr>
              <w:t>9,782,769</w:t>
            </w:r>
          </w:p>
        </w:tc>
        <w:tc>
          <w:tcPr>
            <w:tcW w:w="550" w:type="pct"/>
            <w:shd w:val="clear" w:color="auto" w:fill="CCEEFF"/>
            <w:vAlign w:val="bottom"/>
            <w:hideMark/>
          </w:tcPr>
          <w:p w14:paraId="4F986617" w14:textId="77777777" w:rsidR="00000000" w:rsidRDefault="0053651E">
            <w:pPr>
              <w:jc w:val="right"/>
              <w:rPr>
                <w:rFonts w:eastAsia="Times New Roman"/>
                <w:sz w:val="16"/>
                <w:szCs w:val="16"/>
              </w:rPr>
            </w:pPr>
            <w:r>
              <w:rPr>
                <w:rFonts w:eastAsia="Times New Roman"/>
                <w:sz w:val="16"/>
                <w:szCs w:val="16"/>
              </w:rPr>
              <w:t>20,779,522</w:t>
            </w:r>
          </w:p>
        </w:tc>
        <w:tc>
          <w:tcPr>
            <w:tcW w:w="350" w:type="pct"/>
            <w:shd w:val="clear" w:color="auto" w:fill="CCEEFF"/>
            <w:vAlign w:val="bottom"/>
            <w:hideMark/>
          </w:tcPr>
          <w:p w14:paraId="24916EA7" w14:textId="77777777" w:rsidR="00000000" w:rsidRDefault="0053651E">
            <w:pPr>
              <w:jc w:val="right"/>
              <w:rPr>
                <w:rFonts w:eastAsia="Times New Roman"/>
                <w:sz w:val="16"/>
                <w:szCs w:val="16"/>
              </w:rPr>
            </w:pPr>
            <w:r>
              <w:rPr>
                <w:rFonts w:eastAsia="Times New Roman"/>
                <w:sz w:val="16"/>
                <w:szCs w:val="16"/>
              </w:rPr>
              <w:t>3,115,099</w:t>
            </w:r>
          </w:p>
        </w:tc>
        <w:tc>
          <w:tcPr>
            <w:tcW w:w="300" w:type="pct"/>
            <w:shd w:val="clear" w:color="auto" w:fill="CCEEFF"/>
            <w:vAlign w:val="bottom"/>
            <w:hideMark/>
          </w:tcPr>
          <w:p w14:paraId="7A4EBE87" w14:textId="77777777" w:rsidR="00000000" w:rsidRDefault="0053651E">
            <w:pPr>
              <w:jc w:val="right"/>
              <w:rPr>
                <w:rFonts w:eastAsia="Times New Roman"/>
                <w:sz w:val="16"/>
                <w:szCs w:val="16"/>
              </w:rPr>
            </w:pPr>
            <w:r>
              <w:rPr>
                <w:rFonts w:eastAsia="Times New Roman"/>
                <w:sz w:val="16"/>
                <w:szCs w:val="16"/>
              </w:rPr>
              <w:t>9,782,769</w:t>
            </w:r>
          </w:p>
        </w:tc>
        <w:tc>
          <w:tcPr>
            <w:tcW w:w="450" w:type="pct"/>
            <w:shd w:val="clear" w:color="auto" w:fill="CCEEFF"/>
            <w:vAlign w:val="bottom"/>
            <w:hideMark/>
          </w:tcPr>
          <w:p w14:paraId="39F03449" w14:textId="77777777" w:rsidR="00000000" w:rsidRDefault="0053651E">
            <w:pPr>
              <w:jc w:val="right"/>
              <w:rPr>
                <w:rFonts w:eastAsia="Times New Roman"/>
                <w:sz w:val="16"/>
                <w:szCs w:val="16"/>
              </w:rPr>
            </w:pPr>
            <w:r>
              <w:rPr>
                <w:rFonts w:eastAsia="Times New Roman"/>
                <w:sz w:val="16"/>
                <w:szCs w:val="16"/>
              </w:rPr>
              <w:t>23,894,621</w:t>
            </w:r>
          </w:p>
        </w:tc>
        <w:tc>
          <w:tcPr>
            <w:tcW w:w="350" w:type="pct"/>
            <w:shd w:val="clear" w:color="auto" w:fill="CCEEFF"/>
            <w:vAlign w:val="bottom"/>
            <w:hideMark/>
          </w:tcPr>
          <w:p w14:paraId="4F129615" w14:textId="77777777" w:rsidR="00000000" w:rsidRDefault="0053651E">
            <w:pPr>
              <w:jc w:val="right"/>
              <w:rPr>
                <w:rFonts w:eastAsia="Times New Roman"/>
                <w:sz w:val="16"/>
                <w:szCs w:val="16"/>
              </w:rPr>
            </w:pPr>
            <w:r>
              <w:rPr>
                <w:rFonts w:eastAsia="Times New Roman"/>
                <w:sz w:val="16"/>
                <w:szCs w:val="16"/>
              </w:rPr>
              <w:t>33,677,390</w:t>
            </w:r>
          </w:p>
        </w:tc>
        <w:tc>
          <w:tcPr>
            <w:tcW w:w="400" w:type="pct"/>
            <w:shd w:val="clear" w:color="auto" w:fill="CCEEFF"/>
            <w:vAlign w:val="bottom"/>
            <w:hideMark/>
          </w:tcPr>
          <w:p w14:paraId="17147B00" w14:textId="77777777" w:rsidR="00000000" w:rsidRDefault="0053651E">
            <w:pPr>
              <w:jc w:val="right"/>
              <w:rPr>
                <w:rFonts w:eastAsia="Times New Roman"/>
                <w:sz w:val="16"/>
                <w:szCs w:val="16"/>
              </w:rPr>
            </w:pPr>
            <w:r>
              <w:rPr>
                <w:rFonts w:eastAsia="Times New Roman"/>
                <w:sz w:val="16"/>
                <w:szCs w:val="16"/>
              </w:rPr>
              <w:t>5,308,497</w:t>
            </w:r>
          </w:p>
        </w:tc>
        <w:tc>
          <w:tcPr>
            <w:tcW w:w="50" w:type="pct"/>
            <w:shd w:val="clear" w:color="auto" w:fill="CCEEFF"/>
            <w:vAlign w:val="bottom"/>
            <w:hideMark/>
          </w:tcPr>
          <w:p w14:paraId="07BF5A8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30101B3" w14:textId="77777777" w:rsidR="00000000" w:rsidRDefault="0053651E">
            <w:pPr>
              <w:jc w:val="right"/>
              <w:rPr>
                <w:rFonts w:eastAsia="Times New Roman"/>
                <w:sz w:val="16"/>
                <w:szCs w:val="16"/>
              </w:rPr>
            </w:pPr>
            <w:r>
              <w:rPr>
                <w:rFonts w:eastAsia="Times New Roman"/>
                <w:sz w:val="16"/>
                <w:szCs w:val="16"/>
              </w:rPr>
              <w:t>28,368,893</w:t>
            </w:r>
          </w:p>
        </w:tc>
        <w:tc>
          <w:tcPr>
            <w:tcW w:w="50" w:type="pct"/>
            <w:shd w:val="clear" w:color="auto" w:fill="CCEEFF"/>
            <w:vAlign w:val="bottom"/>
            <w:hideMark/>
          </w:tcPr>
          <w:p w14:paraId="68AB184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6CE427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1D99D30"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23338E79" w14:textId="77777777">
        <w:trPr>
          <w:tblCellSpacing w:w="0" w:type="dxa"/>
        </w:trPr>
        <w:tc>
          <w:tcPr>
            <w:tcW w:w="50" w:type="pct"/>
            <w:shd w:val="clear" w:color="auto" w:fill="FFFFFF"/>
            <w:vAlign w:val="bottom"/>
            <w:hideMark/>
          </w:tcPr>
          <w:p w14:paraId="585135C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E894D91" w14:textId="77777777" w:rsidR="00000000" w:rsidRDefault="0053651E">
            <w:pPr>
              <w:pStyle w:val="a3"/>
              <w:spacing w:before="0" w:beforeAutospacing="0" w:after="0" w:afterAutospacing="0"/>
              <w:rPr>
                <w:sz w:val="16"/>
                <w:szCs w:val="16"/>
              </w:rPr>
            </w:pPr>
            <w:r>
              <w:rPr>
                <w:sz w:val="16"/>
                <w:szCs w:val="16"/>
              </w:rPr>
              <w:t>NEWTOWN S.C.</w:t>
            </w:r>
          </w:p>
        </w:tc>
        <w:tc>
          <w:tcPr>
            <w:tcW w:w="150" w:type="pct"/>
            <w:shd w:val="clear" w:color="auto" w:fill="FFFFFF"/>
            <w:vAlign w:val="bottom"/>
            <w:hideMark/>
          </w:tcPr>
          <w:p w14:paraId="34717C95"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FFFFFF"/>
            <w:vAlign w:val="bottom"/>
            <w:hideMark/>
          </w:tcPr>
          <w:p w14:paraId="00C52FDB"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27C9A23A" w14:textId="77777777" w:rsidR="00000000" w:rsidRDefault="0053651E">
            <w:pPr>
              <w:jc w:val="right"/>
              <w:rPr>
                <w:rFonts w:eastAsia="Times New Roman"/>
                <w:sz w:val="16"/>
                <w:szCs w:val="16"/>
              </w:rPr>
            </w:pPr>
            <w:r>
              <w:rPr>
                <w:rFonts w:eastAsia="Times New Roman"/>
                <w:sz w:val="16"/>
                <w:szCs w:val="16"/>
              </w:rPr>
              <w:t>15,635,442</w:t>
            </w:r>
          </w:p>
        </w:tc>
        <w:tc>
          <w:tcPr>
            <w:tcW w:w="350" w:type="pct"/>
            <w:shd w:val="clear" w:color="auto" w:fill="FFFFFF"/>
            <w:vAlign w:val="bottom"/>
            <w:hideMark/>
          </w:tcPr>
          <w:p w14:paraId="7D61515A" w14:textId="77777777" w:rsidR="00000000" w:rsidRDefault="0053651E">
            <w:pPr>
              <w:jc w:val="right"/>
              <w:rPr>
                <w:rFonts w:eastAsia="Times New Roman"/>
                <w:sz w:val="16"/>
                <w:szCs w:val="16"/>
              </w:rPr>
            </w:pPr>
            <w:r>
              <w:rPr>
                <w:rFonts w:eastAsia="Times New Roman"/>
                <w:sz w:val="16"/>
                <w:szCs w:val="16"/>
              </w:rPr>
              <w:t>419,521</w:t>
            </w:r>
          </w:p>
        </w:tc>
        <w:tc>
          <w:tcPr>
            <w:tcW w:w="300" w:type="pct"/>
            <w:shd w:val="clear" w:color="auto" w:fill="FFFFFF"/>
            <w:vAlign w:val="bottom"/>
            <w:hideMark/>
          </w:tcPr>
          <w:p w14:paraId="197ADD93"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1993139E" w14:textId="77777777" w:rsidR="00000000" w:rsidRDefault="0053651E">
            <w:pPr>
              <w:jc w:val="right"/>
              <w:rPr>
                <w:rFonts w:eastAsia="Times New Roman"/>
                <w:sz w:val="16"/>
                <w:szCs w:val="16"/>
              </w:rPr>
            </w:pPr>
            <w:r>
              <w:rPr>
                <w:rFonts w:eastAsia="Times New Roman"/>
                <w:sz w:val="16"/>
                <w:szCs w:val="16"/>
              </w:rPr>
              <w:t>16,054,963</w:t>
            </w:r>
          </w:p>
        </w:tc>
        <w:tc>
          <w:tcPr>
            <w:tcW w:w="350" w:type="pct"/>
            <w:shd w:val="clear" w:color="auto" w:fill="FFFFFF"/>
            <w:vAlign w:val="bottom"/>
            <w:hideMark/>
          </w:tcPr>
          <w:p w14:paraId="3A644541" w14:textId="77777777" w:rsidR="00000000" w:rsidRDefault="0053651E">
            <w:pPr>
              <w:jc w:val="right"/>
              <w:rPr>
                <w:rFonts w:eastAsia="Times New Roman"/>
                <w:sz w:val="16"/>
                <w:szCs w:val="16"/>
              </w:rPr>
            </w:pPr>
            <w:r>
              <w:rPr>
                <w:rFonts w:eastAsia="Times New Roman"/>
                <w:sz w:val="16"/>
                <w:szCs w:val="16"/>
              </w:rPr>
              <w:t>16,054,963</w:t>
            </w:r>
          </w:p>
        </w:tc>
        <w:tc>
          <w:tcPr>
            <w:tcW w:w="400" w:type="pct"/>
            <w:shd w:val="clear" w:color="auto" w:fill="FFFFFF"/>
            <w:vAlign w:val="bottom"/>
            <w:hideMark/>
          </w:tcPr>
          <w:p w14:paraId="33C19293" w14:textId="77777777" w:rsidR="00000000" w:rsidRDefault="0053651E">
            <w:pPr>
              <w:jc w:val="right"/>
              <w:rPr>
                <w:rFonts w:eastAsia="Times New Roman"/>
                <w:sz w:val="16"/>
                <w:szCs w:val="16"/>
              </w:rPr>
            </w:pPr>
            <w:r>
              <w:rPr>
                <w:rFonts w:eastAsia="Times New Roman"/>
                <w:sz w:val="16"/>
                <w:szCs w:val="16"/>
              </w:rPr>
              <w:t>2,516,815</w:t>
            </w:r>
          </w:p>
        </w:tc>
        <w:tc>
          <w:tcPr>
            <w:tcW w:w="50" w:type="pct"/>
            <w:shd w:val="clear" w:color="auto" w:fill="FFFFFF"/>
            <w:vAlign w:val="bottom"/>
            <w:hideMark/>
          </w:tcPr>
          <w:p w14:paraId="2420E19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C7AABE1" w14:textId="77777777" w:rsidR="00000000" w:rsidRDefault="0053651E">
            <w:pPr>
              <w:jc w:val="right"/>
              <w:rPr>
                <w:rFonts w:eastAsia="Times New Roman"/>
                <w:sz w:val="16"/>
                <w:szCs w:val="16"/>
              </w:rPr>
            </w:pPr>
            <w:r>
              <w:rPr>
                <w:rFonts w:eastAsia="Times New Roman"/>
                <w:sz w:val="16"/>
                <w:szCs w:val="16"/>
              </w:rPr>
              <w:t>13,538,148</w:t>
            </w:r>
          </w:p>
        </w:tc>
        <w:tc>
          <w:tcPr>
            <w:tcW w:w="50" w:type="pct"/>
            <w:shd w:val="clear" w:color="auto" w:fill="FFFFFF"/>
            <w:vAlign w:val="bottom"/>
            <w:hideMark/>
          </w:tcPr>
          <w:p w14:paraId="2920AAA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53FD9A7" w14:textId="77777777" w:rsidR="00000000" w:rsidRDefault="0053651E">
            <w:pPr>
              <w:jc w:val="right"/>
              <w:rPr>
                <w:rFonts w:eastAsia="Times New Roman"/>
                <w:sz w:val="16"/>
                <w:szCs w:val="16"/>
              </w:rPr>
            </w:pPr>
            <w:r>
              <w:rPr>
                <w:rFonts w:eastAsia="Times New Roman"/>
                <w:sz w:val="16"/>
                <w:szCs w:val="16"/>
              </w:rPr>
              <w:t>7,366,380</w:t>
            </w:r>
          </w:p>
        </w:tc>
        <w:tc>
          <w:tcPr>
            <w:tcW w:w="500" w:type="pct"/>
            <w:shd w:val="clear" w:color="auto" w:fill="FFFFFF"/>
            <w:vAlign w:val="bottom"/>
            <w:hideMark/>
          </w:tcPr>
          <w:p w14:paraId="5D8DC7B7"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AD986CA" w14:textId="77777777">
        <w:trPr>
          <w:tblCellSpacing w:w="0" w:type="dxa"/>
        </w:trPr>
        <w:tc>
          <w:tcPr>
            <w:tcW w:w="50" w:type="pct"/>
            <w:shd w:val="clear" w:color="auto" w:fill="CCEEFF"/>
            <w:vAlign w:val="bottom"/>
            <w:hideMark/>
          </w:tcPr>
          <w:p w14:paraId="0BED8D6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355786A" w14:textId="77777777" w:rsidR="00000000" w:rsidRDefault="0053651E">
            <w:pPr>
              <w:pStyle w:val="a3"/>
              <w:spacing w:before="0" w:beforeAutospacing="0" w:after="0" w:afterAutospacing="0"/>
              <w:rPr>
                <w:sz w:val="16"/>
                <w:szCs w:val="16"/>
              </w:rPr>
            </w:pPr>
            <w:r>
              <w:rPr>
                <w:sz w:val="16"/>
                <w:szCs w:val="16"/>
              </w:rPr>
              <w:t>WEST FARM SHOPPING CENTER</w:t>
            </w:r>
          </w:p>
        </w:tc>
        <w:tc>
          <w:tcPr>
            <w:tcW w:w="150" w:type="pct"/>
            <w:shd w:val="clear" w:color="auto" w:fill="CCEEFF"/>
            <w:vAlign w:val="bottom"/>
            <w:hideMark/>
          </w:tcPr>
          <w:p w14:paraId="70F93A7E"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CCEEFF"/>
            <w:vAlign w:val="bottom"/>
            <w:hideMark/>
          </w:tcPr>
          <w:p w14:paraId="2445F8A0" w14:textId="77777777" w:rsidR="00000000" w:rsidRDefault="0053651E">
            <w:pPr>
              <w:jc w:val="right"/>
              <w:rPr>
                <w:rFonts w:eastAsia="Times New Roman"/>
                <w:sz w:val="16"/>
                <w:szCs w:val="16"/>
              </w:rPr>
            </w:pPr>
            <w:r>
              <w:rPr>
                <w:rFonts w:eastAsia="Times New Roman"/>
                <w:sz w:val="16"/>
                <w:szCs w:val="16"/>
              </w:rPr>
              <w:t>5,805,969</w:t>
            </w:r>
          </w:p>
        </w:tc>
        <w:tc>
          <w:tcPr>
            <w:tcW w:w="550" w:type="pct"/>
            <w:shd w:val="clear" w:color="auto" w:fill="CCEEFF"/>
            <w:vAlign w:val="bottom"/>
            <w:hideMark/>
          </w:tcPr>
          <w:p w14:paraId="2B5FC78D" w14:textId="77777777" w:rsidR="00000000" w:rsidRDefault="0053651E">
            <w:pPr>
              <w:jc w:val="right"/>
              <w:rPr>
                <w:rFonts w:eastAsia="Times New Roman"/>
                <w:sz w:val="16"/>
                <w:szCs w:val="16"/>
              </w:rPr>
            </w:pPr>
            <w:r>
              <w:rPr>
                <w:rFonts w:eastAsia="Times New Roman"/>
                <w:sz w:val="16"/>
                <w:szCs w:val="16"/>
              </w:rPr>
              <w:t>23,348,024</w:t>
            </w:r>
          </w:p>
        </w:tc>
        <w:tc>
          <w:tcPr>
            <w:tcW w:w="350" w:type="pct"/>
            <w:shd w:val="clear" w:color="auto" w:fill="CCEEFF"/>
            <w:vAlign w:val="bottom"/>
            <w:hideMark/>
          </w:tcPr>
          <w:p w14:paraId="14773342" w14:textId="77777777" w:rsidR="00000000" w:rsidRDefault="0053651E">
            <w:pPr>
              <w:jc w:val="right"/>
              <w:rPr>
                <w:rFonts w:eastAsia="Times New Roman"/>
                <w:sz w:val="16"/>
                <w:szCs w:val="16"/>
              </w:rPr>
            </w:pPr>
            <w:r>
              <w:rPr>
                <w:rFonts w:eastAsia="Times New Roman"/>
                <w:sz w:val="16"/>
                <w:szCs w:val="16"/>
              </w:rPr>
              <w:t>18,702,013</w:t>
            </w:r>
          </w:p>
        </w:tc>
        <w:tc>
          <w:tcPr>
            <w:tcW w:w="300" w:type="pct"/>
            <w:shd w:val="clear" w:color="auto" w:fill="CCEEFF"/>
            <w:vAlign w:val="bottom"/>
            <w:hideMark/>
          </w:tcPr>
          <w:p w14:paraId="3BF625F2" w14:textId="77777777" w:rsidR="00000000" w:rsidRDefault="0053651E">
            <w:pPr>
              <w:jc w:val="right"/>
              <w:rPr>
                <w:rFonts w:eastAsia="Times New Roman"/>
                <w:sz w:val="16"/>
                <w:szCs w:val="16"/>
              </w:rPr>
            </w:pPr>
            <w:r>
              <w:rPr>
                <w:rFonts w:eastAsia="Times New Roman"/>
                <w:sz w:val="16"/>
                <w:szCs w:val="16"/>
              </w:rPr>
              <w:t>7,585,116</w:t>
            </w:r>
          </w:p>
        </w:tc>
        <w:tc>
          <w:tcPr>
            <w:tcW w:w="450" w:type="pct"/>
            <w:shd w:val="clear" w:color="auto" w:fill="CCEEFF"/>
            <w:vAlign w:val="bottom"/>
            <w:hideMark/>
          </w:tcPr>
          <w:p w14:paraId="6D1A8CE1" w14:textId="77777777" w:rsidR="00000000" w:rsidRDefault="0053651E">
            <w:pPr>
              <w:jc w:val="right"/>
              <w:rPr>
                <w:rFonts w:eastAsia="Times New Roman"/>
                <w:sz w:val="16"/>
                <w:szCs w:val="16"/>
              </w:rPr>
            </w:pPr>
            <w:r>
              <w:rPr>
                <w:rFonts w:eastAsia="Times New Roman"/>
                <w:sz w:val="16"/>
                <w:szCs w:val="16"/>
              </w:rPr>
              <w:t>40,270,890</w:t>
            </w:r>
          </w:p>
        </w:tc>
        <w:tc>
          <w:tcPr>
            <w:tcW w:w="350" w:type="pct"/>
            <w:shd w:val="clear" w:color="auto" w:fill="CCEEFF"/>
            <w:vAlign w:val="bottom"/>
            <w:hideMark/>
          </w:tcPr>
          <w:p w14:paraId="2E9B7705" w14:textId="77777777" w:rsidR="00000000" w:rsidRDefault="0053651E">
            <w:pPr>
              <w:jc w:val="right"/>
              <w:rPr>
                <w:rFonts w:eastAsia="Times New Roman"/>
                <w:sz w:val="16"/>
                <w:szCs w:val="16"/>
              </w:rPr>
            </w:pPr>
            <w:r>
              <w:rPr>
                <w:rFonts w:eastAsia="Times New Roman"/>
                <w:sz w:val="16"/>
                <w:szCs w:val="16"/>
              </w:rPr>
              <w:t>47,856,006</w:t>
            </w:r>
          </w:p>
        </w:tc>
        <w:tc>
          <w:tcPr>
            <w:tcW w:w="400" w:type="pct"/>
            <w:shd w:val="clear" w:color="auto" w:fill="CCEEFF"/>
            <w:vAlign w:val="bottom"/>
            <w:hideMark/>
          </w:tcPr>
          <w:p w14:paraId="1D31C838" w14:textId="77777777" w:rsidR="00000000" w:rsidRDefault="0053651E">
            <w:pPr>
              <w:jc w:val="right"/>
              <w:rPr>
                <w:rFonts w:eastAsia="Times New Roman"/>
                <w:sz w:val="16"/>
                <w:szCs w:val="16"/>
              </w:rPr>
            </w:pPr>
            <w:r>
              <w:rPr>
                <w:rFonts w:eastAsia="Times New Roman"/>
                <w:sz w:val="16"/>
                <w:szCs w:val="16"/>
              </w:rPr>
              <w:t>17,447,864</w:t>
            </w:r>
          </w:p>
        </w:tc>
        <w:tc>
          <w:tcPr>
            <w:tcW w:w="50" w:type="pct"/>
            <w:shd w:val="clear" w:color="auto" w:fill="CCEEFF"/>
            <w:vAlign w:val="bottom"/>
            <w:hideMark/>
          </w:tcPr>
          <w:p w14:paraId="19DAD82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BA3E2ED" w14:textId="77777777" w:rsidR="00000000" w:rsidRDefault="0053651E">
            <w:pPr>
              <w:jc w:val="right"/>
              <w:rPr>
                <w:rFonts w:eastAsia="Times New Roman"/>
                <w:sz w:val="16"/>
                <w:szCs w:val="16"/>
              </w:rPr>
            </w:pPr>
            <w:r>
              <w:rPr>
                <w:rFonts w:eastAsia="Times New Roman"/>
                <w:sz w:val="16"/>
                <w:szCs w:val="16"/>
              </w:rPr>
              <w:t>30,408,142</w:t>
            </w:r>
          </w:p>
        </w:tc>
        <w:tc>
          <w:tcPr>
            <w:tcW w:w="50" w:type="pct"/>
            <w:shd w:val="clear" w:color="auto" w:fill="CCEEFF"/>
            <w:vAlign w:val="bottom"/>
            <w:hideMark/>
          </w:tcPr>
          <w:p w14:paraId="5945A13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F46DCC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C8F91CF"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655EA23D" w14:textId="77777777">
        <w:trPr>
          <w:tblCellSpacing w:w="0" w:type="dxa"/>
        </w:trPr>
        <w:tc>
          <w:tcPr>
            <w:tcW w:w="50" w:type="pct"/>
            <w:shd w:val="clear" w:color="auto" w:fill="FFFFFF"/>
            <w:vAlign w:val="bottom"/>
            <w:hideMark/>
          </w:tcPr>
          <w:p w14:paraId="3614F65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D3BEE61" w14:textId="77777777" w:rsidR="00000000" w:rsidRDefault="0053651E">
            <w:pPr>
              <w:pStyle w:val="a3"/>
              <w:spacing w:before="0" w:beforeAutospacing="0" w:after="0" w:afterAutospacing="0"/>
              <w:rPr>
                <w:sz w:val="16"/>
                <w:szCs w:val="16"/>
              </w:rPr>
            </w:pPr>
            <w:r>
              <w:rPr>
                <w:sz w:val="16"/>
                <w:szCs w:val="16"/>
              </w:rPr>
              <w:t>HAMDEN MART</w:t>
            </w:r>
          </w:p>
        </w:tc>
        <w:tc>
          <w:tcPr>
            <w:tcW w:w="150" w:type="pct"/>
            <w:shd w:val="clear" w:color="auto" w:fill="FFFFFF"/>
            <w:vAlign w:val="bottom"/>
            <w:hideMark/>
          </w:tcPr>
          <w:p w14:paraId="5F34D99A"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FFFFFF"/>
            <w:vAlign w:val="bottom"/>
            <w:hideMark/>
          </w:tcPr>
          <w:p w14:paraId="098CC509" w14:textId="77777777" w:rsidR="00000000" w:rsidRDefault="0053651E">
            <w:pPr>
              <w:jc w:val="right"/>
              <w:rPr>
                <w:rFonts w:eastAsia="Times New Roman"/>
                <w:sz w:val="16"/>
                <w:szCs w:val="16"/>
              </w:rPr>
            </w:pPr>
            <w:r>
              <w:rPr>
                <w:rFonts w:eastAsia="Times New Roman"/>
                <w:sz w:val="16"/>
                <w:szCs w:val="16"/>
              </w:rPr>
              <w:t>13,668,167</w:t>
            </w:r>
          </w:p>
        </w:tc>
        <w:tc>
          <w:tcPr>
            <w:tcW w:w="550" w:type="pct"/>
            <w:shd w:val="clear" w:color="auto" w:fill="FFFFFF"/>
            <w:vAlign w:val="bottom"/>
            <w:hideMark/>
          </w:tcPr>
          <w:p w14:paraId="786FA6CF" w14:textId="77777777" w:rsidR="00000000" w:rsidRDefault="0053651E">
            <w:pPr>
              <w:jc w:val="right"/>
              <w:rPr>
                <w:rFonts w:eastAsia="Times New Roman"/>
                <w:sz w:val="16"/>
                <w:szCs w:val="16"/>
              </w:rPr>
            </w:pPr>
            <w:r>
              <w:rPr>
                <w:rFonts w:eastAsia="Times New Roman"/>
                <w:sz w:val="16"/>
                <w:szCs w:val="16"/>
              </w:rPr>
              <w:t>40,890,166</w:t>
            </w:r>
          </w:p>
        </w:tc>
        <w:tc>
          <w:tcPr>
            <w:tcW w:w="350" w:type="pct"/>
            <w:shd w:val="clear" w:color="auto" w:fill="FFFFFF"/>
            <w:vAlign w:val="bottom"/>
            <w:hideMark/>
          </w:tcPr>
          <w:p w14:paraId="6E5F4A68" w14:textId="77777777" w:rsidR="00000000" w:rsidRDefault="0053651E">
            <w:pPr>
              <w:jc w:val="right"/>
              <w:rPr>
                <w:rFonts w:eastAsia="Times New Roman"/>
                <w:sz w:val="16"/>
                <w:szCs w:val="16"/>
              </w:rPr>
            </w:pPr>
            <w:r>
              <w:rPr>
                <w:rFonts w:eastAsia="Times New Roman"/>
                <w:sz w:val="16"/>
                <w:szCs w:val="16"/>
              </w:rPr>
              <w:t>5,769,128</w:t>
            </w:r>
          </w:p>
        </w:tc>
        <w:tc>
          <w:tcPr>
            <w:tcW w:w="300" w:type="pct"/>
            <w:shd w:val="clear" w:color="auto" w:fill="FFFFFF"/>
            <w:vAlign w:val="bottom"/>
            <w:hideMark/>
          </w:tcPr>
          <w:p w14:paraId="58B677AF" w14:textId="77777777" w:rsidR="00000000" w:rsidRDefault="0053651E">
            <w:pPr>
              <w:jc w:val="right"/>
              <w:rPr>
                <w:rFonts w:eastAsia="Times New Roman"/>
                <w:sz w:val="16"/>
                <w:szCs w:val="16"/>
              </w:rPr>
            </w:pPr>
            <w:r>
              <w:rPr>
                <w:rFonts w:eastAsia="Times New Roman"/>
                <w:sz w:val="16"/>
                <w:szCs w:val="16"/>
              </w:rPr>
              <w:t>14,225,573</w:t>
            </w:r>
          </w:p>
        </w:tc>
        <w:tc>
          <w:tcPr>
            <w:tcW w:w="450" w:type="pct"/>
            <w:shd w:val="clear" w:color="auto" w:fill="FFFFFF"/>
            <w:vAlign w:val="bottom"/>
            <w:hideMark/>
          </w:tcPr>
          <w:p w14:paraId="6B1A50CF" w14:textId="77777777" w:rsidR="00000000" w:rsidRDefault="0053651E">
            <w:pPr>
              <w:jc w:val="right"/>
              <w:rPr>
                <w:rFonts w:eastAsia="Times New Roman"/>
                <w:sz w:val="16"/>
                <w:szCs w:val="16"/>
              </w:rPr>
            </w:pPr>
            <w:r>
              <w:rPr>
                <w:rFonts w:eastAsia="Times New Roman"/>
                <w:sz w:val="16"/>
                <w:szCs w:val="16"/>
              </w:rPr>
              <w:t>46,101,888</w:t>
            </w:r>
          </w:p>
        </w:tc>
        <w:tc>
          <w:tcPr>
            <w:tcW w:w="350" w:type="pct"/>
            <w:shd w:val="clear" w:color="auto" w:fill="FFFFFF"/>
            <w:vAlign w:val="bottom"/>
            <w:hideMark/>
          </w:tcPr>
          <w:p w14:paraId="6B9B060A" w14:textId="77777777" w:rsidR="00000000" w:rsidRDefault="0053651E">
            <w:pPr>
              <w:jc w:val="right"/>
              <w:rPr>
                <w:rFonts w:eastAsia="Times New Roman"/>
                <w:sz w:val="16"/>
                <w:szCs w:val="16"/>
              </w:rPr>
            </w:pPr>
            <w:r>
              <w:rPr>
                <w:rFonts w:eastAsia="Times New Roman"/>
                <w:sz w:val="16"/>
                <w:szCs w:val="16"/>
              </w:rPr>
              <w:t>60,327,461</w:t>
            </w:r>
          </w:p>
        </w:tc>
        <w:tc>
          <w:tcPr>
            <w:tcW w:w="400" w:type="pct"/>
            <w:shd w:val="clear" w:color="auto" w:fill="FFFFFF"/>
            <w:vAlign w:val="bottom"/>
            <w:hideMark/>
          </w:tcPr>
          <w:p w14:paraId="35439CC1" w14:textId="77777777" w:rsidR="00000000" w:rsidRDefault="0053651E">
            <w:pPr>
              <w:jc w:val="right"/>
              <w:rPr>
                <w:rFonts w:eastAsia="Times New Roman"/>
                <w:sz w:val="16"/>
                <w:szCs w:val="16"/>
              </w:rPr>
            </w:pPr>
            <w:r>
              <w:rPr>
                <w:rFonts w:eastAsia="Times New Roman"/>
                <w:sz w:val="16"/>
                <w:szCs w:val="16"/>
              </w:rPr>
              <w:t>7,544,067</w:t>
            </w:r>
          </w:p>
        </w:tc>
        <w:tc>
          <w:tcPr>
            <w:tcW w:w="50" w:type="pct"/>
            <w:shd w:val="clear" w:color="auto" w:fill="FFFFFF"/>
            <w:vAlign w:val="bottom"/>
            <w:hideMark/>
          </w:tcPr>
          <w:p w14:paraId="7DE159F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94598B2" w14:textId="77777777" w:rsidR="00000000" w:rsidRDefault="0053651E">
            <w:pPr>
              <w:jc w:val="right"/>
              <w:rPr>
                <w:rFonts w:eastAsia="Times New Roman"/>
                <w:sz w:val="16"/>
                <w:szCs w:val="16"/>
              </w:rPr>
            </w:pPr>
            <w:r>
              <w:rPr>
                <w:rFonts w:eastAsia="Times New Roman"/>
                <w:sz w:val="16"/>
                <w:szCs w:val="16"/>
              </w:rPr>
              <w:t>52,783,394</w:t>
            </w:r>
          </w:p>
        </w:tc>
        <w:tc>
          <w:tcPr>
            <w:tcW w:w="50" w:type="pct"/>
            <w:shd w:val="clear" w:color="auto" w:fill="FFFFFF"/>
            <w:vAlign w:val="bottom"/>
            <w:hideMark/>
          </w:tcPr>
          <w:p w14:paraId="0DFFCC9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9589439" w14:textId="77777777" w:rsidR="00000000" w:rsidRDefault="0053651E">
            <w:pPr>
              <w:jc w:val="right"/>
              <w:rPr>
                <w:rFonts w:eastAsia="Times New Roman"/>
                <w:sz w:val="16"/>
                <w:szCs w:val="16"/>
              </w:rPr>
            </w:pPr>
            <w:r>
              <w:rPr>
                <w:rFonts w:eastAsia="Times New Roman"/>
                <w:sz w:val="16"/>
                <w:szCs w:val="16"/>
              </w:rPr>
              <w:t>19,666,094</w:t>
            </w:r>
          </w:p>
        </w:tc>
        <w:tc>
          <w:tcPr>
            <w:tcW w:w="500" w:type="pct"/>
            <w:shd w:val="clear" w:color="auto" w:fill="FFFFFF"/>
            <w:vAlign w:val="bottom"/>
            <w:hideMark/>
          </w:tcPr>
          <w:p w14:paraId="463B209B"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1B656878" w14:textId="77777777">
        <w:trPr>
          <w:tblCellSpacing w:w="0" w:type="dxa"/>
        </w:trPr>
        <w:tc>
          <w:tcPr>
            <w:tcW w:w="50" w:type="pct"/>
            <w:shd w:val="clear" w:color="auto" w:fill="CCEEFF"/>
            <w:vAlign w:val="bottom"/>
            <w:hideMark/>
          </w:tcPr>
          <w:p w14:paraId="7A82E66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ACD30D8" w14:textId="77777777" w:rsidR="00000000" w:rsidRDefault="0053651E">
            <w:pPr>
              <w:pStyle w:val="a3"/>
              <w:spacing w:before="0" w:beforeAutospacing="0" w:after="0" w:afterAutospacing="0"/>
              <w:rPr>
                <w:sz w:val="16"/>
                <w:szCs w:val="16"/>
              </w:rPr>
            </w:pPr>
            <w:r>
              <w:rPr>
                <w:sz w:val="16"/>
                <w:szCs w:val="16"/>
              </w:rPr>
              <w:t>HOME DEPOT PLAZA</w:t>
            </w:r>
          </w:p>
        </w:tc>
        <w:tc>
          <w:tcPr>
            <w:tcW w:w="150" w:type="pct"/>
            <w:shd w:val="clear" w:color="auto" w:fill="CCEEFF"/>
            <w:vAlign w:val="bottom"/>
            <w:hideMark/>
          </w:tcPr>
          <w:p w14:paraId="7CD79007"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CCEEFF"/>
            <w:vAlign w:val="bottom"/>
            <w:hideMark/>
          </w:tcPr>
          <w:p w14:paraId="74BD5A45" w14:textId="77777777" w:rsidR="00000000" w:rsidRDefault="0053651E">
            <w:pPr>
              <w:jc w:val="right"/>
              <w:rPr>
                <w:rFonts w:eastAsia="Times New Roman"/>
                <w:sz w:val="16"/>
                <w:szCs w:val="16"/>
              </w:rPr>
            </w:pPr>
            <w:r>
              <w:rPr>
                <w:rFonts w:eastAsia="Times New Roman"/>
                <w:sz w:val="16"/>
                <w:szCs w:val="16"/>
              </w:rPr>
              <w:t>7,704,968</w:t>
            </w:r>
          </w:p>
        </w:tc>
        <w:tc>
          <w:tcPr>
            <w:tcW w:w="550" w:type="pct"/>
            <w:shd w:val="clear" w:color="auto" w:fill="CCEEFF"/>
            <w:vAlign w:val="bottom"/>
            <w:hideMark/>
          </w:tcPr>
          <w:p w14:paraId="1F3D017A" w14:textId="77777777" w:rsidR="00000000" w:rsidRDefault="0053651E">
            <w:pPr>
              <w:jc w:val="right"/>
              <w:rPr>
                <w:rFonts w:eastAsia="Times New Roman"/>
                <w:sz w:val="16"/>
                <w:szCs w:val="16"/>
              </w:rPr>
            </w:pPr>
            <w:r>
              <w:rPr>
                <w:rFonts w:eastAsia="Times New Roman"/>
                <w:sz w:val="16"/>
                <w:szCs w:val="16"/>
              </w:rPr>
              <w:t>30,797,640</w:t>
            </w:r>
          </w:p>
        </w:tc>
        <w:tc>
          <w:tcPr>
            <w:tcW w:w="350" w:type="pct"/>
            <w:shd w:val="clear" w:color="auto" w:fill="CCEEFF"/>
            <w:vAlign w:val="bottom"/>
            <w:hideMark/>
          </w:tcPr>
          <w:p w14:paraId="026E7B44" w14:textId="77777777" w:rsidR="00000000" w:rsidRDefault="0053651E">
            <w:pPr>
              <w:jc w:val="right"/>
              <w:rPr>
                <w:rFonts w:eastAsia="Times New Roman"/>
                <w:sz w:val="16"/>
                <w:szCs w:val="16"/>
              </w:rPr>
            </w:pPr>
            <w:r>
              <w:rPr>
                <w:rFonts w:eastAsia="Times New Roman"/>
                <w:sz w:val="16"/>
                <w:szCs w:val="16"/>
              </w:rPr>
              <w:t>3,627,240</w:t>
            </w:r>
          </w:p>
        </w:tc>
        <w:tc>
          <w:tcPr>
            <w:tcW w:w="300" w:type="pct"/>
            <w:shd w:val="clear" w:color="auto" w:fill="CCEEFF"/>
            <w:vAlign w:val="bottom"/>
            <w:hideMark/>
          </w:tcPr>
          <w:p w14:paraId="637BA04A" w14:textId="77777777" w:rsidR="00000000" w:rsidRDefault="0053651E">
            <w:pPr>
              <w:jc w:val="right"/>
              <w:rPr>
                <w:rFonts w:eastAsia="Times New Roman"/>
                <w:sz w:val="16"/>
                <w:szCs w:val="16"/>
              </w:rPr>
            </w:pPr>
            <w:r>
              <w:rPr>
                <w:rFonts w:eastAsia="Times New Roman"/>
                <w:sz w:val="16"/>
                <w:szCs w:val="16"/>
              </w:rPr>
              <w:t>7,704,968</w:t>
            </w:r>
          </w:p>
        </w:tc>
        <w:tc>
          <w:tcPr>
            <w:tcW w:w="450" w:type="pct"/>
            <w:shd w:val="clear" w:color="auto" w:fill="CCEEFF"/>
            <w:vAlign w:val="bottom"/>
            <w:hideMark/>
          </w:tcPr>
          <w:p w14:paraId="18C126C1" w14:textId="77777777" w:rsidR="00000000" w:rsidRDefault="0053651E">
            <w:pPr>
              <w:jc w:val="right"/>
              <w:rPr>
                <w:rFonts w:eastAsia="Times New Roman"/>
                <w:sz w:val="16"/>
                <w:szCs w:val="16"/>
              </w:rPr>
            </w:pPr>
            <w:r>
              <w:rPr>
                <w:rFonts w:eastAsia="Times New Roman"/>
                <w:sz w:val="16"/>
                <w:szCs w:val="16"/>
              </w:rPr>
              <w:t>34,424,880</w:t>
            </w:r>
          </w:p>
        </w:tc>
        <w:tc>
          <w:tcPr>
            <w:tcW w:w="350" w:type="pct"/>
            <w:shd w:val="clear" w:color="auto" w:fill="CCEEFF"/>
            <w:vAlign w:val="bottom"/>
            <w:hideMark/>
          </w:tcPr>
          <w:p w14:paraId="44F88BDC" w14:textId="77777777" w:rsidR="00000000" w:rsidRDefault="0053651E">
            <w:pPr>
              <w:jc w:val="right"/>
              <w:rPr>
                <w:rFonts w:eastAsia="Times New Roman"/>
                <w:sz w:val="16"/>
                <w:szCs w:val="16"/>
              </w:rPr>
            </w:pPr>
            <w:r>
              <w:rPr>
                <w:rFonts w:eastAsia="Times New Roman"/>
                <w:sz w:val="16"/>
                <w:szCs w:val="16"/>
              </w:rPr>
              <w:t>42,129,848</w:t>
            </w:r>
          </w:p>
        </w:tc>
        <w:tc>
          <w:tcPr>
            <w:tcW w:w="400" w:type="pct"/>
            <w:shd w:val="clear" w:color="auto" w:fill="CCEEFF"/>
            <w:vAlign w:val="bottom"/>
            <w:hideMark/>
          </w:tcPr>
          <w:p w14:paraId="0E1A5748" w14:textId="77777777" w:rsidR="00000000" w:rsidRDefault="0053651E">
            <w:pPr>
              <w:jc w:val="right"/>
              <w:rPr>
                <w:rFonts w:eastAsia="Times New Roman"/>
                <w:sz w:val="16"/>
                <w:szCs w:val="16"/>
              </w:rPr>
            </w:pPr>
            <w:r>
              <w:rPr>
                <w:rFonts w:eastAsia="Times New Roman"/>
                <w:sz w:val="16"/>
                <w:szCs w:val="16"/>
              </w:rPr>
              <w:t>17,116,263</w:t>
            </w:r>
          </w:p>
        </w:tc>
        <w:tc>
          <w:tcPr>
            <w:tcW w:w="50" w:type="pct"/>
            <w:shd w:val="clear" w:color="auto" w:fill="CCEEFF"/>
            <w:vAlign w:val="bottom"/>
            <w:hideMark/>
          </w:tcPr>
          <w:p w14:paraId="23932F4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088E977" w14:textId="77777777" w:rsidR="00000000" w:rsidRDefault="0053651E">
            <w:pPr>
              <w:jc w:val="right"/>
              <w:rPr>
                <w:rFonts w:eastAsia="Times New Roman"/>
                <w:sz w:val="16"/>
                <w:szCs w:val="16"/>
              </w:rPr>
            </w:pPr>
            <w:r>
              <w:rPr>
                <w:rFonts w:eastAsia="Times New Roman"/>
                <w:sz w:val="16"/>
                <w:szCs w:val="16"/>
              </w:rPr>
              <w:t>25,013,585</w:t>
            </w:r>
          </w:p>
        </w:tc>
        <w:tc>
          <w:tcPr>
            <w:tcW w:w="50" w:type="pct"/>
            <w:shd w:val="clear" w:color="auto" w:fill="CCEEFF"/>
            <w:vAlign w:val="bottom"/>
            <w:hideMark/>
          </w:tcPr>
          <w:p w14:paraId="7F71690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CD7E40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152AA8B"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33B5C492" w14:textId="77777777">
        <w:trPr>
          <w:tblCellSpacing w:w="0" w:type="dxa"/>
        </w:trPr>
        <w:tc>
          <w:tcPr>
            <w:tcW w:w="50" w:type="pct"/>
            <w:shd w:val="clear" w:color="auto" w:fill="FFFFFF"/>
            <w:vAlign w:val="bottom"/>
            <w:hideMark/>
          </w:tcPr>
          <w:p w14:paraId="1C65927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FB1CFE0" w14:textId="77777777" w:rsidR="00000000" w:rsidRDefault="0053651E">
            <w:pPr>
              <w:pStyle w:val="a3"/>
              <w:spacing w:before="0" w:beforeAutospacing="0" w:after="0" w:afterAutospacing="0"/>
              <w:rPr>
                <w:sz w:val="16"/>
                <w:szCs w:val="16"/>
              </w:rPr>
            </w:pPr>
            <w:r>
              <w:rPr>
                <w:sz w:val="16"/>
                <w:szCs w:val="16"/>
              </w:rPr>
              <w:t>WILTON RIVER PARK SHOPPING CTR</w:t>
            </w:r>
          </w:p>
        </w:tc>
        <w:tc>
          <w:tcPr>
            <w:tcW w:w="150" w:type="pct"/>
            <w:shd w:val="clear" w:color="auto" w:fill="FFFFFF"/>
            <w:vAlign w:val="bottom"/>
            <w:hideMark/>
          </w:tcPr>
          <w:p w14:paraId="6380B7FD"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FFFFFF"/>
            <w:vAlign w:val="bottom"/>
            <w:hideMark/>
          </w:tcPr>
          <w:p w14:paraId="5C1F493D" w14:textId="77777777" w:rsidR="00000000" w:rsidRDefault="0053651E">
            <w:pPr>
              <w:jc w:val="right"/>
              <w:rPr>
                <w:rFonts w:eastAsia="Times New Roman"/>
                <w:sz w:val="16"/>
                <w:szCs w:val="16"/>
              </w:rPr>
            </w:pPr>
            <w:r>
              <w:rPr>
                <w:rFonts w:eastAsia="Times New Roman"/>
                <w:sz w:val="16"/>
                <w:szCs w:val="16"/>
              </w:rPr>
              <w:t>7,154,585</w:t>
            </w:r>
          </w:p>
        </w:tc>
        <w:tc>
          <w:tcPr>
            <w:tcW w:w="550" w:type="pct"/>
            <w:shd w:val="clear" w:color="auto" w:fill="FFFFFF"/>
            <w:vAlign w:val="bottom"/>
            <w:hideMark/>
          </w:tcPr>
          <w:p w14:paraId="37498B51" w14:textId="77777777" w:rsidR="00000000" w:rsidRDefault="0053651E">
            <w:pPr>
              <w:jc w:val="right"/>
              <w:rPr>
                <w:rFonts w:eastAsia="Times New Roman"/>
                <w:sz w:val="16"/>
                <w:szCs w:val="16"/>
              </w:rPr>
            </w:pPr>
            <w:r>
              <w:rPr>
                <w:rFonts w:eastAsia="Times New Roman"/>
                <w:sz w:val="16"/>
                <w:szCs w:val="16"/>
              </w:rPr>
              <w:t>27,509,279</w:t>
            </w:r>
          </w:p>
        </w:tc>
        <w:tc>
          <w:tcPr>
            <w:tcW w:w="350" w:type="pct"/>
            <w:shd w:val="clear" w:color="auto" w:fill="FFFFFF"/>
            <w:vAlign w:val="bottom"/>
            <w:hideMark/>
          </w:tcPr>
          <w:p w14:paraId="1B727A52" w14:textId="77777777" w:rsidR="00000000" w:rsidRDefault="0053651E">
            <w:pPr>
              <w:jc w:val="right"/>
              <w:rPr>
                <w:rFonts w:eastAsia="Times New Roman"/>
                <w:sz w:val="16"/>
                <w:szCs w:val="16"/>
              </w:rPr>
            </w:pPr>
            <w:r>
              <w:rPr>
                <w:rFonts w:eastAsia="Times New Roman"/>
                <w:sz w:val="16"/>
                <w:szCs w:val="16"/>
              </w:rPr>
              <w:t>236,837</w:t>
            </w:r>
          </w:p>
        </w:tc>
        <w:tc>
          <w:tcPr>
            <w:tcW w:w="300" w:type="pct"/>
            <w:shd w:val="clear" w:color="auto" w:fill="FFFFFF"/>
            <w:vAlign w:val="bottom"/>
            <w:hideMark/>
          </w:tcPr>
          <w:p w14:paraId="11CB51BE" w14:textId="77777777" w:rsidR="00000000" w:rsidRDefault="0053651E">
            <w:pPr>
              <w:jc w:val="right"/>
              <w:rPr>
                <w:rFonts w:eastAsia="Times New Roman"/>
                <w:sz w:val="16"/>
                <w:szCs w:val="16"/>
              </w:rPr>
            </w:pPr>
            <w:r>
              <w:rPr>
                <w:rFonts w:eastAsia="Times New Roman"/>
                <w:sz w:val="16"/>
                <w:szCs w:val="16"/>
              </w:rPr>
              <w:t>7,154,584</w:t>
            </w:r>
          </w:p>
        </w:tc>
        <w:tc>
          <w:tcPr>
            <w:tcW w:w="450" w:type="pct"/>
            <w:shd w:val="clear" w:color="auto" w:fill="FFFFFF"/>
            <w:vAlign w:val="bottom"/>
            <w:hideMark/>
          </w:tcPr>
          <w:p w14:paraId="400B911C" w14:textId="77777777" w:rsidR="00000000" w:rsidRDefault="0053651E">
            <w:pPr>
              <w:jc w:val="right"/>
              <w:rPr>
                <w:rFonts w:eastAsia="Times New Roman"/>
                <w:sz w:val="16"/>
                <w:szCs w:val="16"/>
              </w:rPr>
            </w:pPr>
            <w:r>
              <w:rPr>
                <w:rFonts w:eastAsia="Times New Roman"/>
                <w:sz w:val="16"/>
                <w:szCs w:val="16"/>
              </w:rPr>
              <w:t>27,746,117</w:t>
            </w:r>
          </w:p>
        </w:tc>
        <w:tc>
          <w:tcPr>
            <w:tcW w:w="350" w:type="pct"/>
            <w:shd w:val="clear" w:color="auto" w:fill="FFFFFF"/>
            <w:vAlign w:val="bottom"/>
            <w:hideMark/>
          </w:tcPr>
          <w:p w14:paraId="16CAA3A9" w14:textId="77777777" w:rsidR="00000000" w:rsidRDefault="0053651E">
            <w:pPr>
              <w:jc w:val="right"/>
              <w:rPr>
                <w:rFonts w:eastAsia="Times New Roman"/>
                <w:sz w:val="16"/>
                <w:szCs w:val="16"/>
              </w:rPr>
            </w:pPr>
            <w:r>
              <w:rPr>
                <w:rFonts w:eastAsia="Times New Roman"/>
                <w:sz w:val="16"/>
                <w:szCs w:val="16"/>
              </w:rPr>
              <w:t>34,900,701</w:t>
            </w:r>
          </w:p>
        </w:tc>
        <w:tc>
          <w:tcPr>
            <w:tcW w:w="400" w:type="pct"/>
            <w:shd w:val="clear" w:color="auto" w:fill="FFFFFF"/>
            <w:vAlign w:val="bottom"/>
            <w:hideMark/>
          </w:tcPr>
          <w:p w14:paraId="76F53E9E" w14:textId="77777777" w:rsidR="00000000" w:rsidRDefault="0053651E">
            <w:pPr>
              <w:jc w:val="right"/>
              <w:rPr>
                <w:rFonts w:eastAsia="Times New Roman"/>
                <w:sz w:val="16"/>
                <w:szCs w:val="16"/>
              </w:rPr>
            </w:pPr>
            <w:r>
              <w:rPr>
                <w:rFonts w:eastAsia="Times New Roman"/>
                <w:sz w:val="16"/>
                <w:szCs w:val="16"/>
              </w:rPr>
              <w:t>5,598,301</w:t>
            </w:r>
          </w:p>
        </w:tc>
        <w:tc>
          <w:tcPr>
            <w:tcW w:w="50" w:type="pct"/>
            <w:shd w:val="clear" w:color="auto" w:fill="FFFFFF"/>
            <w:vAlign w:val="bottom"/>
            <w:hideMark/>
          </w:tcPr>
          <w:p w14:paraId="3970246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E30E6DF" w14:textId="77777777" w:rsidR="00000000" w:rsidRDefault="0053651E">
            <w:pPr>
              <w:jc w:val="right"/>
              <w:rPr>
                <w:rFonts w:eastAsia="Times New Roman"/>
                <w:sz w:val="16"/>
                <w:szCs w:val="16"/>
              </w:rPr>
            </w:pPr>
            <w:r>
              <w:rPr>
                <w:rFonts w:eastAsia="Times New Roman"/>
                <w:sz w:val="16"/>
                <w:szCs w:val="16"/>
              </w:rPr>
              <w:t>29,302,400</w:t>
            </w:r>
          </w:p>
        </w:tc>
        <w:tc>
          <w:tcPr>
            <w:tcW w:w="50" w:type="pct"/>
            <w:shd w:val="clear" w:color="auto" w:fill="FFFFFF"/>
            <w:vAlign w:val="bottom"/>
            <w:hideMark/>
          </w:tcPr>
          <w:p w14:paraId="5515CAF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018F47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8669D85"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65A7A092" w14:textId="77777777">
        <w:trPr>
          <w:tblCellSpacing w:w="0" w:type="dxa"/>
        </w:trPr>
        <w:tc>
          <w:tcPr>
            <w:tcW w:w="50" w:type="pct"/>
            <w:shd w:val="clear" w:color="auto" w:fill="CCEEFF"/>
            <w:vAlign w:val="bottom"/>
            <w:hideMark/>
          </w:tcPr>
          <w:p w14:paraId="5F42D2E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1A2CFA7" w14:textId="77777777" w:rsidR="00000000" w:rsidRDefault="0053651E">
            <w:pPr>
              <w:pStyle w:val="a3"/>
              <w:spacing w:before="0" w:beforeAutospacing="0" w:after="0" w:afterAutospacing="0"/>
              <w:rPr>
                <w:sz w:val="16"/>
                <w:szCs w:val="16"/>
              </w:rPr>
            </w:pPr>
            <w:r>
              <w:rPr>
                <w:sz w:val="16"/>
                <w:szCs w:val="16"/>
              </w:rPr>
              <w:t>BRIGHT HORIZONS</w:t>
            </w:r>
          </w:p>
        </w:tc>
        <w:tc>
          <w:tcPr>
            <w:tcW w:w="150" w:type="pct"/>
            <w:shd w:val="clear" w:color="auto" w:fill="CCEEFF"/>
            <w:vAlign w:val="bottom"/>
            <w:hideMark/>
          </w:tcPr>
          <w:p w14:paraId="7E04EF50"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CCEEFF"/>
            <w:vAlign w:val="bottom"/>
            <w:hideMark/>
          </w:tcPr>
          <w:p w14:paraId="1E5DD25D" w14:textId="77777777" w:rsidR="00000000" w:rsidRDefault="0053651E">
            <w:pPr>
              <w:jc w:val="right"/>
              <w:rPr>
                <w:rFonts w:eastAsia="Times New Roman"/>
                <w:sz w:val="16"/>
                <w:szCs w:val="16"/>
              </w:rPr>
            </w:pPr>
            <w:r>
              <w:rPr>
                <w:rFonts w:eastAsia="Times New Roman"/>
                <w:sz w:val="16"/>
                <w:szCs w:val="16"/>
              </w:rPr>
              <w:t>1,211,748</w:t>
            </w:r>
          </w:p>
        </w:tc>
        <w:tc>
          <w:tcPr>
            <w:tcW w:w="550" w:type="pct"/>
            <w:shd w:val="clear" w:color="auto" w:fill="CCEEFF"/>
            <w:vAlign w:val="bottom"/>
            <w:hideMark/>
          </w:tcPr>
          <w:p w14:paraId="105C0ED5" w14:textId="77777777" w:rsidR="00000000" w:rsidRDefault="0053651E">
            <w:pPr>
              <w:jc w:val="right"/>
              <w:rPr>
                <w:rFonts w:eastAsia="Times New Roman"/>
                <w:sz w:val="16"/>
                <w:szCs w:val="16"/>
              </w:rPr>
            </w:pPr>
            <w:r>
              <w:rPr>
                <w:rFonts w:eastAsia="Times New Roman"/>
                <w:sz w:val="16"/>
                <w:szCs w:val="16"/>
              </w:rPr>
              <w:t>4,610,610</w:t>
            </w:r>
          </w:p>
        </w:tc>
        <w:tc>
          <w:tcPr>
            <w:tcW w:w="350" w:type="pct"/>
            <w:shd w:val="clear" w:color="auto" w:fill="CCEEFF"/>
            <w:vAlign w:val="bottom"/>
            <w:hideMark/>
          </w:tcPr>
          <w:p w14:paraId="36B1BB13" w14:textId="77777777" w:rsidR="00000000" w:rsidRDefault="0053651E">
            <w:pPr>
              <w:jc w:val="right"/>
              <w:rPr>
                <w:rFonts w:eastAsia="Times New Roman"/>
                <w:sz w:val="16"/>
                <w:szCs w:val="16"/>
              </w:rPr>
            </w:pPr>
            <w:r>
              <w:rPr>
                <w:rFonts w:eastAsia="Times New Roman"/>
                <w:sz w:val="16"/>
                <w:szCs w:val="16"/>
              </w:rPr>
              <w:t>82,937</w:t>
            </w:r>
          </w:p>
        </w:tc>
        <w:tc>
          <w:tcPr>
            <w:tcW w:w="300" w:type="pct"/>
            <w:shd w:val="clear" w:color="auto" w:fill="CCEEFF"/>
            <w:vAlign w:val="bottom"/>
            <w:hideMark/>
          </w:tcPr>
          <w:p w14:paraId="5B629C7F" w14:textId="77777777" w:rsidR="00000000" w:rsidRDefault="0053651E">
            <w:pPr>
              <w:jc w:val="right"/>
              <w:rPr>
                <w:rFonts w:eastAsia="Times New Roman"/>
                <w:sz w:val="16"/>
                <w:szCs w:val="16"/>
              </w:rPr>
            </w:pPr>
            <w:r>
              <w:rPr>
                <w:rFonts w:eastAsia="Times New Roman"/>
                <w:sz w:val="16"/>
                <w:szCs w:val="16"/>
              </w:rPr>
              <w:t>1,211,748</w:t>
            </w:r>
          </w:p>
        </w:tc>
        <w:tc>
          <w:tcPr>
            <w:tcW w:w="450" w:type="pct"/>
            <w:shd w:val="clear" w:color="auto" w:fill="CCEEFF"/>
            <w:vAlign w:val="bottom"/>
            <w:hideMark/>
          </w:tcPr>
          <w:p w14:paraId="711A90BF" w14:textId="77777777" w:rsidR="00000000" w:rsidRDefault="0053651E">
            <w:pPr>
              <w:jc w:val="right"/>
              <w:rPr>
                <w:rFonts w:eastAsia="Times New Roman"/>
                <w:sz w:val="16"/>
                <w:szCs w:val="16"/>
              </w:rPr>
            </w:pPr>
            <w:r>
              <w:rPr>
                <w:rFonts w:eastAsia="Times New Roman"/>
                <w:sz w:val="16"/>
                <w:szCs w:val="16"/>
              </w:rPr>
              <w:t>4,693,547</w:t>
            </w:r>
          </w:p>
        </w:tc>
        <w:tc>
          <w:tcPr>
            <w:tcW w:w="350" w:type="pct"/>
            <w:shd w:val="clear" w:color="auto" w:fill="CCEEFF"/>
            <w:vAlign w:val="bottom"/>
            <w:hideMark/>
          </w:tcPr>
          <w:p w14:paraId="232FDCB6" w14:textId="77777777" w:rsidR="00000000" w:rsidRDefault="0053651E">
            <w:pPr>
              <w:jc w:val="right"/>
              <w:rPr>
                <w:rFonts w:eastAsia="Times New Roman"/>
                <w:sz w:val="16"/>
                <w:szCs w:val="16"/>
              </w:rPr>
            </w:pPr>
            <w:r>
              <w:rPr>
                <w:rFonts w:eastAsia="Times New Roman"/>
                <w:sz w:val="16"/>
                <w:szCs w:val="16"/>
              </w:rPr>
              <w:t>5,905,295</w:t>
            </w:r>
          </w:p>
        </w:tc>
        <w:tc>
          <w:tcPr>
            <w:tcW w:w="400" w:type="pct"/>
            <w:shd w:val="clear" w:color="auto" w:fill="CCEEFF"/>
            <w:vAlign w:val="bottom"/>
            <w:hideMark/>
          </w:tcPr>
          <w:p w14:paraId="7E32E630" w14:textId="77777777" w:rsidR="00000000" w:rsidRDefault="0053651E">
            <w:pPr>
              <w:jc w:val="right"/>
              <w:rPr>
                <w:rFonts w:eastAsia="Times New Roman"/>
                <w:sz w:val="16"/>
                <w:szCs w:val="16"/>
              </w:rPr>
            </w:pPr>
            <w:r>
              <w:rPr>
                <w:rFonts w:eastAsia="Times New Roman"/>
                <w:sz w:val="16"/>
                <w:szCs w:val="16"/>
              </w:rPr>
              <w:t>1,154,633</w:t>
            </w:r>
          </w:p>
        </w:tc>
        <w:tc>
          <w:tcPr>
            <w:tcW w:w="50" w:type="pct"/>
            <w:shd w:val="clear" w:color="auto" w:fill="CCEEFF"/>
            <w:vAlign w:val="bottom"/>
            <w:hideMark/>
          </w:tcPr>
          <w:p w14:paraId="01B5C8D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5E7587E" w14:textId="77777777" w:rsidR="00000000" w:rsidRDefault="0053651E">
            <w:pPr>
              <w:jc w:val="right"/>
              <w:rPr>
                <w:rFonts w:eastAsia="Times New Roman"/>
                <w:sz w:val="16"/>
                <w:szCs w:val="16"/>
              </w:rPr>
            </w:pPr>
            <w:r>
              <w:rPr>
                <w:rFonts w:eastAsia="Times New Roman"/>
                <w:sz w:val="16"/>
                <w:szCs w:val="16"/>
              </w:rPr>
              <w:t>4,750,662</w:t>
            </w:r>
          </w:p>
        </w:tc>
        <w:tc>
          <w:tcPr>
            <w:tcW w:w="50" w:type="pct"/>
            <w:shd w:val="clear" w:color="auto" w:fill="CCEEFF"/>
            <w:vAlign w:val="bottom"/>
            <w:hideMark/>
          </w:tcPr>
          <w:p w14:paraId="073AB8F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2D58D8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5A352AE"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23BBFE13" w14:textId="77777777">
        <w:trPr>
          <w:tblCellSpacing w:w="0" w:type="dxa"/>
        </w:trPr>
        <w:tc>
          <w:tcPr>
            <w:tcW w:w="50" w:type="pct"/>
            <w:shd w:val="clear" w:color="auto" w:fill="FFFFFF"/>
            <w:vAlign w:val="bottom"/>
            <w:hideMark/>
          </w:tcPr>
          <w:p w14:paraId="6AC7E63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1D6C7E3" w14:textId="77777777" w:rsidR="00000000" w:rsidRDefault="0053651E">
            <w:pPr>
              <w:pStyle w:val="a3"/>
              <w:spacing w:before="0" w:beforeAutospacing="0" w:after="0" w:afterAutospacing="0"/>
              <w:rPr>
                <w:sz w:val="16"/>
                <w:szCs w:val="16"/>
              </w:rPr>
            </w:pPr>
            <w:r>
              <w:rPr>
                <w:sz w:val="16"/>
                <w:szCs w:val="16"/>
              </w:rPr>
              <w:t>WILTON CAMPUS</w:t>
            </w:r>
          </w:p>
        </w:tc>
        <w:tc>
          <w:tcPr>
            <w:tcW w:w="150" w:type="pct"/>
            <w:shd w:val="clear" w:color="auto" w:fill="FFFFFF"/>
            <w:vAlign w:val="bottom"/>
            <w:hideMark/>
          </w:tcPr>
          <w:p w14:paraId="77BEFA19" w14:textId="77777777" w:rsidR="00000000" w:rsidRDefault="0053651E">
            <w:pPr>
              <w:pStyle w:val="a3"/>
              <w:spacing w:before="0" w:beforeAutospacing="0" w:after="0" w:afterAutospacing="0"/>
              <w:rPr>
                <w:sz w:val="16"/>
                <w:szCs w:val="16"/>
              </w:rPr>
            </w:pPr>
            <w:r>
              <w:rPr>
                <w:rStyle w:val="a6"/>
                <w:i w:val="0"/>
                <w:iCs w:val="0"/>
                <w:sz w:val="16"/>
                <w:szCs w:val="16"/>
              </w:rPr>
              <w:t>CT</w:t>
            </w:r>
          </w:p>
        </w:tc>
        <w:tc>
          <w:tcPr>
            <w:tcW w:w="300" w:type="pct"/>
            <w:shd w:val="clear" w:color="auto" w:fill="FFFFFF"/>
            <w:vAlign w:val="bottom"/>
            <w:hideMark/>
          </w:tcPr>
          <w:p w14:paraId="748D787B" w14:textId="77777777" w:rsidR="00000000" w:rsidRDefault="0053651E">
            <w:pPr>
              <w:jc w:val="right"/>
              <w:rPr>
                <w:rFonts w:eastAsia="Times New Roman"/>
                <w:sz w:val="16"/>
                <w:szCs w:val="16"/>
              </w:rPr>
            </w:pPr>
            <w:r>
              <w:rPr>
                <w:rFonts w:eastAsia="Times New Roman"/>
                <w:sz w:val="16"/>
                <w:szCs w:val="16"/>
              </w:rPr>
              <w:t>10,168,872</w:t>
            </w:r>
          </w:p>
        </w:tc>
        <w:tc>
          <w:tcPr>
            <w:tcW w:w="550" w:type="pct"/>
            <w:shd w:val="clear" w:color="auto" w:fill="FFFFFF"/>
            <w:vAlign w:val="bottom"/>
            <w:hideMark/>
          </w:tcPr>
          <w:p w14:paraId="7253F9FF" w14:textId="77777777" w:rsidR="00000000" w:rsidRDefault="0053651E">
            <w:pPr>
              <w:jc w:val="right"/>
              <w:rPr>
                <w:rFonts w:eastAsia="Times New Roman"/>
                <w:sz w:val="16"/>
                <w:szCs w:val="16"/>
              </w:rPr>
            </w:pPr>
            <w:r>
              <w:rPr>
                <w:rFonts w:eastAsia="Times New Roman"/>
                <w:sz w:val="16"/>
                <w:szCs w:val="16"/>
              </w:rPr>
              <w:t>31,893,016</w:t>
            </w:r>
          </w:p>
        </w:tc>
        <w:tc>
          <w:tcPr>
            <w:tcW w:w="350" w:type="pct"/>
            <w:shd w:val="clear" w:color="auto" w:fill="FFFFFF"/>
            <w:vAlign w:val="bottom"/>
            <w:hideMark/>
          </w:tcPr>
          <w:p w14:paraId="1AAA9A75" w14:textId="77777777" w:rsidR="00000000" w:rsidRDefault="0053651E">
            <w:pPr>
              <w:jc w:val="right"/>
              <w:rPr>
                <w:rFonts w:eastAsia="Times New Roman"/>
                <w:sz w:val="16"/>
                <w:szCs w:val="16"/>
              </w:rPr>
            </w:pPr>
            <w:r>
              <w:rPr>
                <w:rFonts w:eastAsia="Times New Roman"/>
                <w:sz w:val="16"/>
                <w:szCs w:val="16"/>
              </w:rPr>
              <w:t>2,642,528</w:t>
            </w:r>
          </w:p>
        </w:tc>
        <w:tc>
          <w:tcPr>
            <w:tcW w:w="300" w:type="pct"/>
            <w:shd w:val="clear" w:color="auto" w:fill="FFFFFF"/>
            <w:vAlign w:val="bottom"/>
            <w:hideMark/>
          </w:tcPr>
          <w:p w14:paraId="1DF446DC" w14:textId="77777777" w:rsidR="00000000" w:rsidRDefault="0053651E">
            <w:pPr>
              <w:jc w:val="right"/>
              <w:rPr>
                <w:rFonts w:eastAsia="Times New Roman"/>
                <w:sz w:val="16"/>
                <w:szCs w:val="16"/>
              </w:rPr>
            </w:pPr>
            <w:r>
              <w:rPr>
                <w:rFonts w:eastAsia="Times New Roman"/>
                <w:sz w:val="16"/>
                <w:szCs w:val="16"/>
              </w:rPr>
              <w:t>10,168,872</w:t>
            </w:r>
          </w:p>
        </w:tc>
        <w:tc>
          <w:tcPr>
            <w:tcW w:w="450" w:type="pct"/>
            <w:shd w:val="clear" w:color="auto" w:fill="FFFFFF"/>
            <w:vAlign w:val="bottom"/>
            <w:hideMark/>
          </w:tcPr>
          <w:p w14:paraId="3F4F1CEB" w14:textId="77777777" w:rsidR="00000000" w:rsidRDefault="0053651E">
            <w:pPr>
              <w:jc w:val="right"/>
              <w:rPr>
                <w:rFonts w:eastAsia="Times New Roman"/>
                <w:sz w:val="16"/>
                <w:szCs w:val="16"/>
              </w:rPr>
            </w:pPr>
            <w:r>
              <w:rPr>
                <w:rFonts w:eastAsia="Times New Roman"/>
                <w:sz w:val="16"/>
                <w:szCs w:val="16"/>
              </w:rPr>
              <w:t>34,535,544</w:t>
            </w:r>
          </w:p>
        </w:tc>
        <w:tc>
          <w:tcPr>
            <w:tcW w:w="350" w:type="pct"/>
            <w:shd w:val="clear" w:color="auto" w:fill="FFFFFF"/>
            <w:vAlign w:val="bottom"/>
            <w:hideMark/>
          </w:tcPr>
          <w:p w14:paraId="591549A6" w14:textId="77777777" w:rsidR="00000000" w:rsidRDefault="0053651E">
            <w:pPr>
              <w:jc w:val="right"/>
              <w:rPr>
                <w:rFonts w:eastAsia="Times New Roman"/>
                <w:sz w:val="16"/>
                <w:szCs w:val="16"/>
              </w:rPr>
            </w:pPr>
            <w:r>
              <w:rPr>
                <w:rFonts w:eastAsia="Times New Roman"/>
                <w:sz w:val="16"/>
                <w:szCs w:val="16"/>
              </w:rPr>
              <w:t>44,704,416</w:t>
            </w:r>
          </w:p>
        </w:tc>
        <w:tc>
          <w:tcPr>
            <w:tcW w:w="400" w:type="pct"/>
            <w:shd w:val="clear" w:color="auto" w:fill="FFFFFF"/>
            <w:vAlign w:val="bottom"/>
            <w:hideMark/>
          </w:tcPr>
          <w:p w14:paraId="20B73CD3" w14:textId="77777777" w:rsidR="00000000" w:rsidRDefault="0053651E">
            <w:pPr>
              <w:jc w:val="right"/>
              <w:rPr>
                <w:rFonts w:eastAsia="Times New Roman"/>
                <w:sz w:val="16"/>
                <w:szCs w:val="16"/>
              </w:rPr>
            </w:pPr>
            <w:r>
              <w:rPr>
                <w:rFonts w:eastAsia="Times New Roman"/>
                <w:sz w:val="16"/>
                <w:szCs w:val="16"/>
              </w:rPr>
              <w:t>9,258,360</w:t>
            </w:r>
          </w:p>
        </w:tc>
        <w:tc>
          <w:tcPr>
            <w:tcW w:w="50" w:type="pct"/>
            <w:shd w:val="clear" w:color="auto" w:fill="FFFFFF"/>
            <w:vAlign w:val="bottom"/>
            <w:hideMark/>
          </w:tcPr>
          <w:p w14:paraId="30A5242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A679F50" w14:textId="77777777" w:rsidR="00000000" w:rsidRDefault="0053651E">
            <w:pPr>
              <w:jc w:val="right"/>
              <w:rPr>
                <w:rFonts w:eastAsia="Times New Roman"/>
                <w:sz w:val="16"/>
                <w:szCs w:val="16"/>
              </w:rPr>
            </w:pPr>
            <w:r>
              <w:rPr>
                <w:rFonts w:eastAsia="Times New Roman"/>
                <w:sz w:val="16"/>
                <w:szCs w:val="16"/>
              </w:rPr>
              <w:t>35,446,056</w:t>
            </w:r>
          </w:p>
        </w:tc>
        <w:tc>
          <w:tcPr>
            <w:tcW w:w="50" w:type="pct"/>
            <w:shd w:val="clear" w:color="auto" w:fill="FFFFFF"/>
            <w:vAlign w:val="bottom"/>
            <w:hideMark/>
          </w:tcPr>
          <w:p w14:paraId="0457A90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1FCAA7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5247C29"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6C91D5B9" w14:textId="77777777">
        <w:trPr>
          <w:tblCellSpacing w:w="0" w:type="dxa"/>
        </w:trPr>
        <w:tc>
          <w:tcPr>
            <w:tcW w:w="50" w:type="pct"/>
            <w:shd w:val="clear" w:color="auto" w:fill="CCEEFF"/>
            <w:vAlign w:val="bottom"/>
            <w:hideMark/>
          </w:tcPr>
          <w:p w14:paraId="7E0ED5D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A2DDEF7" w14:textId="77777777" w:rsidR="00000000" w:rsidRDefault="0053651E">
            <w:pPr>
              <w:pStyle w:val="a3"/>
              <w:spacing w:before="0" w:beforeAutospacing="0" w:after="0" w:afterAutospacing="0"/>
              <w:rPr>
                <w:sz w:val="16"/>
                <w:szCs w:val="16"/>
              </w:rPr>
            </w:pPr>
            <w:r>
              <w:rPr>
                <w:sz w:val="16"/>
                <w:szCs w:val="16"/>
              </w:rPr>
              <w:t>CAMDEN SQUARE</w:t>
            </w:r>
          </w:p>
        </w:tc>
        <w:tc>
          <w:tcPr>
            <w:tcW w:w="150" w:type="pct"/>
            <w:shd w:val="clear" w:color="auto" w:fill="CCEEFF"/>
            <w:vAlign w:val="bottom"/>
            <w:hideMark/>
          </w:tcPr>
          <w:p w14:paraId="6CCF5F01" w14:textId="77777777" w:rsidR="00000000" w:rsidRDefault="0053651E">
            <w:pPr>
              <w:pStyle w:val="a3"/>
              <w:spacing w:before="0" w:beforeAutospacing="0" w:after="0" w:afterAutospacing="0"/>
              <w:rPr>
                <w:sz w:val="16"/>
                <w:szCs w:val="16"/>
              </w:rPr>
            </w:pPr>
            <w:r>
              <w:rPr>
                <w:rStyle w:val="a6"/>
                <w:i w:val="0"/>
                <w:iCs w:val="0"/>
                <w:sz w:val="16"/>
                <w:szCs w:val="16"/>
              </w:rPr>
              <w:t>DE</w:t>
            </w:r>
          </w:p>
        </w:tc>
        <w:tc>
          <w:tcPr>
            <w:tcW w:w="300" w:type="pct"/>
            <w:shd w:val="clear" w:color="auto" w:fill="CCEEFF"/>
            <w:vAlign w:val="bottom"/>
            <w:hideMark/>
          </w:tcPr>
          <w:p w14:paraId="6A7C88D2" w14:textId="77777777" w:rsidR="00000000" w:rsidRDefault="0053651E">
            <w:pPr>
              <w:jc w:val="right"/>
              <w:rPr>
                <w:rFonts w:eastAsia="Times New Roman"/>
                <w:sz w:val="16"/>
                <w:szCs w:val="16"/>
              </w:rPr>
            </w:pPr>
            <w:r>
              <w:rPr>
                <w:rFonts w:eastAsia="Times New Roman"/>
                <w:sz w:val="16"/>
                <w:szCs w:val="16"/>
              </w:rPr>
              <w:t>122,741</w:t>
            </w:r>
          </w:p>
        </w:tc>
        <w:tc>
          <w:tcPr>
            <w:tcW w:w="550" w:type="pct"/>
            <w:shd w:val="clear" w:color="auto" w:fill="CCEEFF"/>
            <w:vAlign w:val="bottom"/>
            <w:hideMark/>
          </w:tcPr>
          <w:p w14:paraId="4699CA03" w14:textId="77777777" w:rsidR="00000000" w:rsidRDefault="0053651E">
            <w:pPr>
              <w:jc w:val="right"/>
              <w:rPr>
                <w:rFonts w:eastAsia="Times New Roman"/>
                <w:sz w:val="16"/>
                <w:szCs w:val="16"/>
              </w:rPr>
            </w:pPr>
            <w:r>
              <w:rPr>
                <w:rFonts w:eastAsia="Times New Roman"/>
                <w:sz w:val="16"/>
                <w:szCs w:val="16"/>
              </w:rPr>
              <w:t>66,738</w:t>
            </w:r>
          </w:p>
        </w:tc>
        <w:tc>
          <w:tcPr>
            <w:tcW w:w="350" w:type="pct"/>
            <w:shd w:val="clear" w:color="auto" w:fill="CCEEFF"/>
            <w:vAlign w:val="bottom"/>
            <w:hideMark/>
          </w:tcPr>
          <w:p w14:paraId="14E7BA3F" w14:textId="77777777" w:rsidR="00000000" w:rsidRDefault="0053651E">
            <w:pPr>
              <w:jc w:val="right"/>
              <w:rPr>
                <w:rFonts w:eastAsia="Times New Roman"/>
                <w:sz w:val="16"/>
                <w:szCs w:val="16"/>
              </w:rPr>
            </w:pPr>
            <w:r>
              <w:rPr>
                <w:rFonts w:eastAsia="Times New Roman"/>
                <w:sz w:val="16"/>
                <w:szCs w:val="16"/>
              </w:rPr>
              <w:t>4,680,370</w:t>
            </w:r>
          </w:p>
        </w:tc>
        <w:tc>
          <w:tcPr>
            <w:tcW w:w="300" w:type="pct"/>
            <w:shd w:val="clear" w:color="auto" w:fill="CCEEFF"/>
            <w:vAlign w:val="bottom"/>
            <w:hideMark/>
          </w:tcPr>
          <w:p w14:paraId="18E0BE9B" w14:textId="77777777" w:rsidR="00000000" w:rsidRDefault="0053651E">
            <w:pPr>
              <w:jc w:val="right"/>
              <w:rPr>
                <w:rFonts w:eastAsia="Times New Roman"/>
                <w:sz w:val="16"/>
                <w:szCs w:val="16"/>
              </w:rPr>
            </w:pPr>
            <w:r>
              <w:rPr>
                <w:rFonts w:eastAsia="Times New Roman"/>
                <w:sz w:val="16"/>
                <w:szCs w:val="16"/>
              </w:rPr>
              <w:t>3,024,375</w:t>
            </w:r>
          </w:p>
        </w:tc>
        <w:tc>
          <w:tcPr>
            <w:tcW w:w="450" w:type="pct"/>
            <w:shd w:val="clear" w:color="auto" w:fill="CCEEFF"/>
            <w:vAlign w:val="bottom"/>
            <w:hideMark/>
          </w:tcPr>
          <w:p w14:paraId="00FD113C" w14:textId="77777777" w:rsidR="00000000" w:rsidRDefault="0053651E">
            <w:pPr>
              <w:jc w:val="right"/>
              <w:rPr>
                <w:rFonts w:eastAsia="Times New Roman"/>
                <w:sz w:val="16"/>
                <w:szCs w:val="16"/>
              </w:rPr>
            </w:pPr>
            <w:r>
              <w:rPr>
                <w:rFonts w:eastAsia="Times New Roman"/>
                <w:sz w:val="16"/>
                <w:szCs w:val="16"/>
              </w:rPr>
              <w:t>1,845,474</w:t>
            </w:r>
          </w:p>
        </w:tc>
        <w:tc>
          <w:tcPr>
            <w:tcW w:w="350" w:type="pct"/>
            <w:shd w:val="clear" w:color="auto" w:fill="CCEEFF"/>
            <w:vAlign w:val="bottom"/>
            <w:hideMark/>
          </w:tcPr>
          <w:p w14:paraId="078AE4DF" w14:textId="77777777" w:rsidR="00000000" w:rsidRDefault="0053651E">
            <w:pPr>
              <w:jc w:val="right"/>
              <w:rPr>
                <w:rFonts w:eastAsia="Times New Roman"/>
                <w:sz w:val="16"/>
                <w:szCs w:val="16"/>
              </w:rPr>
            </w:pPr>
            <w:r>
              <w:rPr>
                <w:rFonts w:eastAsia="Times New Roman"/>
                <w:sz w:val="16"/>
                <w:szCs w:val="16"/>
              </w:rPr>
              <w:t>4,869,849</w:t>
            </w:r>
          </w:p>
        </w:tc>
        <w:tc>
          <w:tcPr>
            <w:tcW w:w="400" w:type="pct"/>
            <w:shd w:val="clear" w:color="auto" w:fill="CCEEFF"/>
            <w:vAlign w:val="bottom"/>
            <w:hideMark/>
          </w:tcPr>
          <w:p w14:paraId="767AE9B8" w14:textId="77777777" w:rsidR="00000000" w:rsidRDefault="0053651E">
            <w:pPr>
              <w:jc w:val="right"/>
              <w:rPr>
                <w:rFonts w:eastAsia="Times New Roman"/>
                <w:sz w:val="16"/>
                <w:szCs w:val="16"/>
              </w:rPr>
            </w:pPr>
            <w:r>
              <w:rPr>
                <w:rFonts w:eastAsia="Times New Roman"/>
                <w:sz w:val="16"/>
                <w:szCs w:val="16"/>
              </w:rPr>
              <w:t>232,710</w:t>
            </w:r>
          </w:p>
        </w:tc>
        <w:tc>
          <w:tcPr>
            <w:tcW w:w="50" w:type="pct"/>
            <w:shd w:val="clear" w:color="auto" w:fill="CCEEFF"/>
            <w:vAlign w:val="bottom"/>
            <w:hideMark/>
          </w:tcPr>
          <w:p w14:paraId="646531B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9311113" w14:textId="77777777" w:rsidR="00000000" w:rsidRDefault="0053651E">
            <w:pPr>
              <w:jc w:val="right"/>
              <w:rPr>
                <w:rFonts w:eastAsia="Times New Roman"/>
                <w:sz w:val="16"/>
                <w:szCs w:val="16"/>
              </w:rPr>
            </w:pPr>
            <w:r>
              <w:rPr>
                <w:rFonts w:eastAsia="Times New Roman"/>
                <w:sz w:val="16"/>
                <w:szCs w:val="16"/>
              </w:rPr>
              <w:t>4,637,139</w:t>
            </w:r>
          </w:p>
        </w:tc>
        <w:tc>
          <w:tcPr>
            <w:tcW w:w="50" w:type="pct"/>
            <w:shd w:val="clear" w:color="auto" w:fill="CCEEFF"/>
            <w:vAlign w:val="bottom"/>
            <w:hideMark/>
          </w:tcPr>
          <w:p w14:paraId="0A68C65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08DD98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CDF461F"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7FAEB7A3" w14:textId="77777777">
        <w:trPr>
          <w:tblCellSpacing w:w="0" w:type="dxa"/>
        </w:trPr>
        <w:tc>
          <w:tcPr>
            <w:tcW w:w="50" w:type="pct"/>
            <w:shd w:val="clear" w:color="auto" w:fill="FFFFFF"/>
            <w:vAlign w:val="bottom"/>
            <w:hideMark/>
          </w:tcPr>
          <w:p w14:paraId="31C0F87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308DA8D" w14:textId="77777777" w:rsidR="00000000" w:rsidRDefault="0053651E">
            <w:pPr>
              <w:pStyle w:val="a3"/>
              <w:spacing w:before="0" w:beforeAutospacing="0" w:after="0" w:afterAutospacing="0"/>
              <w:rPr>
                <w:sz w:val="16"/>
                <w:szCs w:val="16"/>
              </w:rPr>
            </w:pPr>
            <w:r>
              <w:rPr>
                <w:sz w:val="16"/>
                <w:szCs w:val="16"/>
              </w:rPr>
              <w:t>PROMENADE AT CHRISTIANA</w:t>
            </w:r>
          </w:p>
        </w:tc>
        <w:tc>
          <w:tcPr>
            <w:tcW w:w="150" w:type="pct"/>
            <w:shd w:val="clear" w:color="auto" w:fill="FFFFFF"/>
            <w:vAlign w:val="bottom"/>
            <w:hideMark/>
          </w:tcPr>
          <w:p w14:paraId="15B52D97" w14:textId="77777777" w:rsidR="00000000" w:rsidRDefault="0053651E">
            <w:pPr>
              <w:pStyle w:val="a3"/>
              <w:spacing w:before="0" w:beforeAutospacing="0" w:after="0" w:afterAutospacing="0"/>
              <w:rPr>
                <w:sz w:val="16"/>
                <w:szCs w:val="16"/>
              </w:rPr>
            </w:pPr>
            <w:r>
              <w:rPr>
                <w:rStyle w:val="a6"/>
                <w:i w:val="0"/>
                <w:iCs w:val="0"/>
                <w:sz w:val="16"/>
                <w:szCs w:val="16"/>
              </w:rPr>
              <w:t>DE</w:t>
            </w:r>
          </w:p>
        </w:tc>
        <w:tc>
          <w:tcPr>
            <w:tcW w:w="300" w:type="pct"/>
            <w:shd w:val="clear" w:color="auto" w:fill="FFFFFF"/>
            <w:vAlign w:val="bottom"/>
            <w:hideMark/>
          </w:tcPr>
          <w:p w14:paraId="62A2AF94" w14:textId="77777777" w:rsidR="00000000" w:rsidRDefault="0053651E">
            <w:pPr>
              <w:jc w:val="right"/>
              <w:rPr>
                <w:rFonts w:eastAsia="Times New Roman"/>
                <w:sz w:val="16"/>
                <w:szCs w:val="16"/>
              </w:rPr>
            </w:pPr>
            <w:r>
              <w:rPr>
                <w:rFonts w:eastAsia="Times New Roman"/>
                <w:sz w:val="16"/>
                <w:szCs w:val="16"/>
              </w:rPr>
              <w:t>14,371,686</w:t>
            </w:r>
          </w:p>
        </w:tc>
        <w:tc>
          <w:tcPr>
            <w:tcW w:w="550" w:type="pct"/>
            <w:shd w:val="clear" w:color="auto" w:fill="FFFFFF"/>
            <w:vAlign w:val="bottom"/>
            <w:hideMark/>
          </w:tcPr>
          <w:p w14:paraId="1636A3AD"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4931CE55" w14:textId="77777777" w:rsidR="00000000" w:rsidRDefault="0053651E">
            <w:pPr>
              <w:jc w:val="right"/>
              <w:rPr>
                <w:rFonts w:eastAsia="Times New Roman"/>
                <w:sz w:val="16"/>
                <w:szCs w:val="16"/>
              </w:rPr>
            </w:pPr>
            <w:r>
              <w:rPr>
                <w:rFonts w:eastAsia="Times New Roman"/>
                <w:sz w:val="16"/>
                <w:szCs w:val="16"/>
              </w:rPr>
              <w:t>8,497,354</w:t>
            </w:r>
          </w:p>
        </w:tc>
        <w:tc>
          <w:tcPr>
            <w:tcW w:w="300" w:type="pct"/>
            <w:shd w:val="clear" w:color="auto" w:fill="FFFFFF"/>
            <w:vAlign w:val="bottom"/>
            <w:hideMark/>
          </w:tcPr>
          <w:p w14:paraId="16C56C59" w14:textId="77777777" w:rsidR="00000000" w:rsidRDefault="0053651E">
            <w:pPr>
              <w:jc w:val="right"/>
              <w:rPr>
                <w:rFonts w:eastAsia="Times New Roman"/>
                <w:sz w:val="16"/>
                <w:szCs w:val="16"/>
              </w:rPr>
            </w:pPr>
            <w:r>
              <w:rPr>
                <w:rFonts w:eastAsia="Times New Roman"/>
                <w:sz w:val="16"/>
                <w:szCs w:val="16"/>
              </w:rPr>
              <w:t>9,600,000</w:t>
            </w:r>
          </w:p>
        </w:tc>
        <w:tc>
          <w:tcPr>
            <w:tcW w:w="450" w:type="pct"/>
            <w:shd w:val="clear" w:color="auto" w:fill="FFFFFF"/>
            <w:vAlign w:val="bottom"/>
            <w:hideMark/>
          </w:tcPr>
          <w:p w14:paraId="2EDA412A" w14:textId="77777777" w:rsidR="00000000" w:rsidRDefault="0053651E">
            <w:pPr>
              <w:jc w:val="right"/>
              <w:rPr>
                <w:rFonts w:eastAsia="Times New Roman"/>
                <w:sz w:val="16"/>
                <w:szCs w:val="16"/>
              </w:rPr>
            </w:pPr>
            <w:r>
              <w:rPr>
                <w:rFonts w:eastAsia="Times New Roman"/>
                <w:sz w:val="16"/>
                <w:szCs w:val="16"/>
              </w:rPr>
              <w:t>13,269,040</w:t>
            </w:r>
          </w:p>
        </w:tc>
        <w:tc>
          <w:tcPr>
            <w:tcW w:w="350" w:type="pct"/>
            <w:shd w:val="clear" w:color="auto" w:fill="FFFFFF"/>
            <w:vAlign w:val="bottom"/>
            <w:hideMark/>
          </w:tcPr>
          <w:p w14:paraId="0602AFE5" w14:textId="77777777" w:rsidR="00000000" w:rsidRDefault="0053651E">
            <w:pPr>
              <w:jc w:val="right"/>
              <w:rPr>
                <w:rFonts w:eastAsia="Times New Roman"/>
                <w:sz w:val="16"/>
                <w:szCs w:val="16"/>
              </w:rPr>
            </w:pPr>
            <w:r>
              <w:rPr>
                <w:rFonts w:eastAsia="Times New Roman"/>
                <w:sz w:val="16"/>
                <w:szCs w:val="16"/>
              </w:rPr>
              <w:t>22,869,040</w:t>
            </w:r>
          </w:p>
        </w:tc>
        <w:tc>
          <w:tcPr>
            <w:tcW w:w="400" w:type="pct"/>
            <w:shd w:val="clear" w:color="auto" w:fill="FFFFFF"/>
            <w:vAlign w:val="bottom"/>
            <w:hideMark/>
          </w:tcPr>
          <w:p w14:paraId="30228A2E" w14:textId="77777777" w:rsidR="00000000" w:rsidRDefault="0053651E">
            <w:pPr>
              <w:jc w:val="right"/>
              <w:rPr>
                <w:rFonts w:eastAsia="Times New Roman"/>
                <w:sz w:val="16"/>
                <w:szCs w:val="16"/>
              </w:rPr>
            </w:pPr>
            <w:r>
              <w:rPr>
                <w:rFonts w:eastAsia="Times New Roman"/>
                <w:sz w:val="16"/>
                <w:szCs w:val="16"/>
              </w:rPr>
              <w:t>91,925</w:t>
            </w:r>
          </w:p>
        </w:tc>
        <w:tc>
          <w:tcPr>
            <w:tcW w:w="50" w:type="pct"/>
            <w:shd w:val="clear" w:color="auto" w:fill="FFFFFF"/>
            <w:vAlign w:val="bottom"/>
            <w:hideMark/>
          </w:tcPr>
          <w:p w14:paraId="381BE41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1096CD2" w14:textId="77777777" w:rsidR="00000000" w:rsidRDefault="0053651E">
            <w:pPr>
              <w:jc w:val="right"/>
              <w:rPr>
                <w:rFonts w:eastAsia="Times New Roman"/>
                <w:sz w:val="16"/>
                <w:szCs w:val="16"/>
              </w:rPr>
            </w:pPr>
            <w:r>
              <w:rPr>
                <w:rFonts w:eastAsia="Times New Roman"/>
                <w:sz w:val="16"/>
                <w:szCs w:val="16"/>
              </w:rPr>
              <w:t>22,777,115</w:t>
            </w:r>
          </w:p>
        </w:tc>
        <w:tc>
          <w:tcPr>
            <w:tcW w:w="50" w:type="pct"/>
            <w:shd w:val="clear" w:color="auto" w:fill="FFFFFF"/>
            <w:vAlign w:val="bottom"/>
            <w:hideMark/>
          </w:tcPr>
          <w:p w14:paraId="01A0657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1607FE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E16E727" w14:textId="77777777" w:rsidR="00000000" w:rsidRDefault="0053651E">
            <w:pPr>
              <w:pStyle w:val="a3"/>
              <w:spacing w:before="0" w:beforeAutospacing="0" w:after="0" w:afterAutospacing="0"/>
              <w:jc w:val="center"/>
              <w:rPr>
                <w:sz w:val="16"/>
                <w:szCs w:val="16"/>
              </w:rPr>
            </w:pPr>
            <w:r>
              <w:rPr>
                <w:rStyle w:val="a6"/>
                <w:i w:val="0"/>
                <w:iCs w:val="0"/>
                <w:sz w:val="16"/>
                <w:szCs w:val="16"/>
              </w:rPr>
              <w:t>2014(C)</w:t>
            </w:r>
          </w:p>
        </w:tc>
      </w:tr>
      <w:tr w:rsidR="00000000" w14:paraId="58658BCE" w14:textId="77777777">
        <w:trPr>
          <w:tblCellSpacing w:w="0" w:type="dxa"/>
        </w:trPr>
        <w:tc>
          <w:tcPr>
            <w:tcW w:w="50" w:type="pct"/>
            <w:shd w:val="clear" w:color="auto" w:fill="CCEEFF"/>
            <w:vAlign w:val="bottom"/>
            <w:hideMark/>
          </w:tcPr>
          <w:p w14:paraId="6CC7F27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DAD514A" w14:textId="77777777" w:rsidR="00000000" w:rsidRDefault="0053651E">
            <w:pPr>
              <w:pStyle w:val="a3"/>
              <w:spacing w:before="0" w:beforeAutospacing="0" w:after="0" w:afterAutospacing="0"/>
              <w:rPr>
                <w:sz w:val="16"/>
                <w:szCs w:val="16"/>
              </w:rPr>
            </w:pPr>
            <w:r>
              <w:rPr>
                <w:sz w:val="16"/>
                <w:szCs w:val="16"/>
              </w:rPr>
              <w:t>BRANDYWINE COMMONS</w:t>
            </w:r>
          </w:p>
        </w:tc>
        <w:tc>
          <w:tcPr>
            <w:tcW w:w="150" w:type="pct"/>
            <w:shd w:val="clear" w:color="auto" w:fill="CCEEFF"/>
            <w:vAlign w:val="bottom"/>
            <w:hideMark/>
          </w:tcPr>
          <w:p w14:paraId="0D14552F" w14:textId="77777777" w:rsidR="00000000" w:rsidRDefault="0053651E">
            <w:pPr>
              <w:pStyle w:val="a3"/>
              <w:spacing w:before="0" w:beforeAutospacing="0" w:after="0" w:afterAutospacing="0"/>
              <w:rPr>
                <w:sz w:val="16"/>
                <w:szCs w:val="16"/>
              </w:rPr>
            </w:pPr>
            <w:r>
              <w:rPr>
                <w:rStyle w:val="a6"/>
                <w:i w:val="0"/>
                <w:iCs w:val="0"/>
                <w:sz w:val="16"/>
                <w:szCs w:val="16"/>
              </w:rPr>
              <w:t>DE</w:t>
            </w:r>
          </w:p>
        </w:tc>
        <w:tc>
          <w:tcPr>
            <w:tcW w:w="300" w:type="pct"/>
            <w:shd w:val="clear" w:color="auto" w:fill="CCEEFF"/>
            <w:vAlign w:val="bottom"/>
            <w:hideMark/>
          </w:tcPr>
          <w:p w14:paraId="6014A29F"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CCEEFF"/>
            <w:vAlign w:val="bottom"/>
            <w:hideMark/>
          </w:tcPr>
          <w:p w14:paraId="12AF9098" w14:textId="77777777" w:rsidR="00000000" w:rsidRDefault="0053651E">
            <w:pPr>
              <w:jc w:val="right"/>
              <w:rPr>
                <w:rFonts w:eastAsia="Times New Roman"/>
                <w:sz w:val="16"/>
                <w:szCs w:val="16"/>
              </w:rPr>
            </w:pPr>
            <w:r>
              <w:rPr>
                <w:rFonts w:eastAsia="Times New Roman"/>
                <w:sz w:val="16"/>
                <w:szCs w:val="16"/>
              </w:rPr>
              <w:t>36,057,487</w:t>
            </w:r>
          </w:p>
        </w:tc>
        <w:tc>
          <w:tcPr>
            <w:tcW w:w="350" w:type="pct"/>
            <w:shd w:val="clear" w:color="auto" w:fill="CCEEFF"/>
            <w:vAlign w:val="bottom"/>
            <w:hideMark/>
          </w:tcPr>
          <w:p w14:paraId="744AE118" w14:textId="77777777" w:rsidR="00000000" w:rsidRDefault="0053651E">
            <w:pPr>
              <w:jc w:val="right"/>
              <w:rPr>
                <w:rFonts w:eastAsia="Times New Roman"/>
                <w:sz w:val="16"/>
                <w:szCs w:val="16"/>
              </w:rPr>
            </w:pPr>
            <w:r>
              <w:rPr>
                <w:rFonts w:eastAsia="Times New Roman"/>
                <w:sz w:val="16"/>
                <w:szCs w:val="16"/>
              </w:rPr>
              <w:t>(936,597)</w:t>
            </w:r>
          </w:p>
        </w:tc>
        <w:tc>
          <w:tcPr>
            <w:tcW w:w="300" w:type="pct"/>
            <w:shd w:val="clear" w:color="auto" w:fill="CCEEFF"/>
            <w:vAlign w:val="bottom"/>
            <w:hideMark/>
          </w:tcPr>
          <w:p w14:paraId="77AA59AA"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CCEEFF"/>
            <w:vAlign w:val="bottom"/>
            <w:hideMark/>
          </w:tcPr>
          <w:p w14:paraId="5D3ECA03" w14:textId="77777777" w:rsidR="00000000" w:rsidRDefault="0053651E">
            <w:pPr>
              <w:jc w:val="right"/>
              <w:rPr>
                <w:rFonts w:eastAsia="Times New Roman"/>
                <w:sz w:val="16"/>
                <w:szCs w:val="16"/>
              </w:rPr>
            </w:pPr>
            <w:r>
              <w:rPr>
                <w:rFonts w:eastAsia="Times New Roman"/>
                <w:sz w:val="16"/>
                <w:szCs w:val="16"/>
              </w:rPr>
              <w:t>35,120,890</w:t>
            </w:r>
          </w:p>
        </w:tc>
        <w:tc>
          <w:tcPr>
            <w:tcW w:w="350" w:type="pct"/>
            <w:shd w:val="clear" w:color="auto" w:fill="CCEEFF"/>
            <w:vAlign w:val="bottom"/>
            <w:hideMark/>
          </w:tcPr>
          <w:p w14:paraId="4CD8CDA6" w14:textId="77777777" w:rsidR="00000000" w:rsidRDefault="0053651E">
            <w:pPr>
              <w:jc w:val="right"/>
              <w:rPr>
                <w:rFonts w:eastAsia="Times New Roman"/>
                <w:sz w:val="16"/>
                <w:szCs w:val="16"/>
              </w:rPr>
            </w:pPr>
            <w:r>
              <w:rPr>
                <w:rFonts w:eastAsia="Times New Roman"/>
                <w:sz w:val="16"/>
                <w:szCs w:val="16"/>
              </w:rPr>
              <w:t>35,120,890</w:t>
            </w:r>
          </w:p>
        </w:tc>
        <w:tc>
          <w:tcPr>
            <w:tcW w:w="400" w:type="pct"/>
            <w:shd w:val="clear" w:color="auto" w:fill="CCEEFF"/>
            <w:vAlign w:val="bottom"/>
            <w:hideMark/>
          </w:tcPr>
          <w:p w14:paraId="34563D1C" w14:textId="77777777" w:rsidR="00000000" w:rsidRDefault="0053651E">
            <w:pPr>
              <w:jc w:val="right"/>
              <w:rPr>
                <w:rFonts w:eastAsia="Times New Roman"/>
                <w:sz w:val="16"/>
                <w:szCs w:val="16"/>
              </w:rPr>
            </w:pPr>
            <w:r>
              <w:rPr>
                <w:rFonts w:eastAsia="Times New Roman"/>
                <w:sz w:val="16"/>
                <w:szCs w:val="16"/>
              </w:rPr>
              <w:t>6,318,402</w:t>
            </w:r>
          </w:p>
        </w:tc>
        <w:tc>
          <w:tcPr>
            <w:tcW w:w="50" w:type="pct"/>
            <w:shd w:val="clear" w:color="auto" w:fill="CCEEFF"/>
            <w:vAlign w:val="bottom"/>
            <w:hideMark/>
          </w:tcPr>
          <w:p w14:paraId="6B7332E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D750962" w14:textId="77777777" w:rsidR="00000000" w:rsidRDefault="0053651E">
            <w:pPr>
              <w:jc w:val="right"/>
              <w:rPr>
                <w:rFonts w:eastAsia="Times New Roman"/>
                <w:sz w:val="16"/>
                <w:szCs w:val="16"/>
              </w:rPr>
            </w:pPr>
            <w:r>
              <w:rPr>
                <w:rFonts w:eastAsia="Times New Roman"/>
                <w:sz w:val="16"/>
                <w:szCs w:val="16"/>
              </w:rPr>
              <w:t>28,802,488</w:t>
            </w:r>
          </w:p>
        </w:tc>
        <w:tc>
          <w:tcPr>
            <w:tcW w:w="50" w:type="pct"/>
            <w:shd w:val="clear" w:color="auto" w:fill="CCEEFF"/>
            <w:vAlign w:val="bottom"/>
            <w:hideMark/>
          </w:tcPr>
          <w:p w14:paraId="4DF5CE7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9FD96B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08C1099"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979A3C4" w14:textId="77777777">
        <w:trPr>
          <w:tblCellSpacing w:w="0" w:type="dxa"/>
        </w:trPr>
        <w:tc>
          <w:tcPr>
            <w:tcW w:w="50" w:type="pct"/>
            <w:shd w:val="clear" w:color="auto" w:fill="FFFFFF"/>
            <w:vAlign w:val="bottom"/>
            <w:hideMark/>
          </w:tcPr>
          <w:p w14:paraId="4AB14FF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F550F9F" w14:textId="77777777" w:rsidR="00000000" w:rsidRDefault="0053651E">
            <w:pPr>
              <w:pStyle w:val="a3"/>
              <w:spacing w:before="0" w:beforeAutospacing="0" w:after="0" w:afterAutospacing="0"/>
              <w:rPr>
                <w:sz w:val="16"/>
                <w:szCs w:val="16"/>
              </w:rPr>
            </w:pPr>
            <w:r>
              <w:rPr>
                <w:sz w:val="16"/>
                <w:szCs w:val="16"/>
              </w:rPr>
              <w:t>CAMINO SQUARE</w:t>
            </w:r>
          </w:p>
        </w:tc>
        <w:tc>
          <w:tcPr>
            <w:tcW w:w="150" w:type="pct"/>
            <w:shd w:val="clear" w:color="auto" w:fill="FFFFFF"/>
            <w:vAlign w:val="bottom"/>
            <w:hideMark/>
          </w:tcPr>
          <w:p w14:paraId="4D450148"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6B4EFBAC" w14:textId="77777777" w:rsidR="00000000" w:rsidRDefault="0053651E">
            <w:pPr>
              <w:jc w:val="right"/>
              <w:rPr>
                <w:rFonts w:eastAsia="Times New Roman"/>
                <w:sz w:val="16"/>
                <w:szCs w:val="16"/>
              </w:rPr>
            </w:pPr>
            <w:r>
              <w:rPr>
                <w:rFonts w:eastAsia="Times New Roman"/>
                <w:sz w:val="16"/>
                <w:szCs w:val="16"/>
              </w:rPr>
              <w:t>573,875</w:t>
            </w:r>
          </w:p>
        </w:tc>
        <w:tc>
          <w:tcPr>
            <w:tcW w:w="550" w:type="pct"/>
            <w:shd w:val="clear" w:color="auto" w:fill="FFFFFF"/>
            <w:vAlign w:val="bottom"/>
            <w:hideMark/>
          </w:tcPr>
          <w:p w14:paraId="5019F17D" w14:textId="77777777" w:rsidR="00000000" w:rsidRDefault="0053651E">
            <w:pPr>
              <w:jc w:val="right"/>
              <w:rPr>
                <w:rFonts w:eastAsia="Times New Roman"/>
                <w:sz w:val="16"/>
                <w:szCs w:val="16"/>
              </w:rPr>
            </w:pPr>
            <w:r>
              <w:rPr>
                <w:rFonts w:eastAsia="Times New Roman"/>
                <w:sz w:val="16"/>
                <w:szCs w:val="16"/>
              </w:rPr>
              <w:t>2,295,501</w:t>
            </w:r>
          </w:p>
        </w:tc>
        <w:tc>
          <w:tcPr>
            <w:tcW w:w="350" w:type="pct"/>
            <w:shd w:val="clear" w:color="auto" w:fill="FFFFFF"/>
            <w:vAlign w:val="bottom"/>
            <w:hideMark/>
          </w:tcPr>
          <w:p w14:paraId="0E5239EE" w14:textId="77777777" w:rsidR="00000000" w:rsidRDefault="0053651E">
            <w:pPr>
              <w:jc w:val="right"/>
              <w:rPr>
                <w:rFonts w:eastAsia="Times New Roman"/>
                <w:sz w:val="16"/>
                <w:szCs w:val="16"/>
              </w:rPr>
            </w:pPr>
            <w:r>
              <w:rPr>
                <w:rFonts w:eastAsia="Times New Roman"/>
                <w:sz w:val="16"/>
                <w:szCs w:val="16"/>
              </w:rPr>
              <w:t>3,654,326</w:t>
            </w:r>
          </w:p>
        </w:tc>
        <w:tc>
          <w:tcPr>
            <w:tcW w:w="300" w:type="pct"/>
            <w:shd w:val="clear" w:color="auto" w:fill="FFFFFF"/>
            <w:vAlign w:val="bottom"/>
            <w:hideMark/>
          </w:tcPr>
          <w:p w14:paraId="03851A0F" w14:textId="77777777" w:rsidR="00000000" w:rsidRDefault="0053651E">
            <w:pPr>
              <w:jc w:val="right"/>
              <w:rPr>
                <w:rFonts w:eastAsia="Times New Roman"/>
                <w:sz w:val="16"/>
                <w:szCs w:val="16"/>
              </w:rPr>
            </w:pPr>
            <w:r>
              <w:rPr>
                <w:rFonts w:eastAsia="Times New Roman"/>
                <w:sz w:val="16"/>
                <w:szCs w:val="16"/>
              </w:rPr>
              <w:t>733,875</w:t>
            </w:r>
          </w:p>
        </w:tc>
        <w:tc>
          <w:tcPr>
            <w:tcW w:w="450" w:type="pct"/>
            <w:shd w:val="clear" w:color="auto" w:fill="FFFFFF"/>
            <w:vAlign w:val="bottom"/>
            <w:hideMark/>
          </w:tcPr>
          <w:p w14:paraId="24456693" w14:textId="77777777" w:rsidR="00000000" w:rsidRDefault="0053651E">
            <w:pPr>
              <w:jc w:val="right"/>
              <w:rPr>
                <w:rFonts w:eastAsia="Times New Roman"/>
                <w:sz w:val="16"/>
                <w:szCs w:val="16"/>
              </w:rPr>
            </w:pPr>
            <w:r>
              <w:rPr>
                <w:rFonts w:eastAsia="Times New Roman"/>
                <w:sz w:val="16"/>
                <w:szCs w:val="16"/>
              </w:rPr>
              <w:t>5,789,827</w:t>
            </w:r>
          </w:p>
        </w:tc>
        <w:tc>
          <w:tcPr>
            <w:tcW w:w="350" w:type="pct"/>
            <w:shd w:val="clear" w:color="auto" w:fill="FFFFFF"/>
            <w:vAlign w:val="bottom"/>
            <w:hideMark/>
          </w:tcPr>
          <w:p w14:paraId="157CE6ED" w14:textId="77777777" w:rsidR="00000000" w:rsidRDefault="0053651E">
            <w:pPr>
              <w:jc w:val="right"/>
              <w:rPr>
                <w:rFonts w:eastAsia="Times New Roman"/>
                <w:sz w:val="16"/>
                <w:szCs w:val="16"/>
              </w:rPr>
            </w:pPr>
            <w:r>
              <w:rPr>
                <w:rFonts w:eastAsia="Times New Roman"/>
                <w:sz w:val="16"/>
                <w:szCs w:val="16"/>
              </w:rPr>
              <w:t>6,523,702</w:t>
            </w:r>
          </w:p>
        </w:tc>
        <w:tc>
          <w:tcPr>
            <w:tcW w:w="400" w:type="pct"/>
            <w:shd w:val="clear" w:color="auto" w:fill="FFFFFF"/>
            <w:vAlign w:val="bottom"/>
            <w:hideMark/>
          </w:tcPr>
          <w:p w14:paraId="73B3DD8C" w14:textId="77777777" w:rsidR="00000000" w:rsidRDefault="0053651E">
            <w:pPr>
              <w:jc w:val="right"/>
              <w:rPr>
                <w:rFonts w:eastAsia="Times New Roman"/>
                <w:sz w:val="16"/>
                <w:szCs w:val="16"/>
              </w:rPr>
            </w:pPr>
            <w:r>
              <w:rPr>
                <w:rFonts w:eastAsia="Times New Roman"/>
                <w:sz w:val="16"/>
                <w:szCs w:val="16"/>
              </w:rPr>
              <w:t>3,872,616</w:t>
            </w:r>
          </w:p>
        </w:tc>
        <w:tc>
          <w:tcPr>
            <w:tcW w:w="50" w:type="pct"/>
            <w:shd w:val="clear" w:color="auto" w:fill="FFFFFF"/>
            <w:vAlign w:val="bottom"/>
            <w:hideMark/>
          </w:tcPr>
          <w:p w14:paraId="564740B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6899175" w14:textId="77777777" w:rsidR="00000000" w:rsidRDefault="0053651E">
            <w:pPr>
              <w:jc w:val="right"/>
              <w:rPr>
                <w:rFonts w:eastAsia="Times New Roman"/>
                <w:sz w:val="16"/>
                <w:szCs w:val="16"/>
              </w:rPr>
            </w:pPr>
            <w:r>
              <w:rPr>
                <w:rFonts w:eastAsia="Times New Roman"/>
                <w:sz w:val="16"/>
                <w:szCs w:val="16"/>
              </w:rPr>
              <w:t>2,651,086</w:t>
            </w:r>
          </w:p>
        </w:tc>
        <w:tc>
          <w:tcPr>
            <w:tcW w:w="50" w:type="pct"/>
            <w:shd w:val="clear" w:color="auto" w:fill="FFFFFF"/>
            <w:vAlign w:val="bottom"/>
            <w:hideMark/>
          </w:tcPr>
          <w:p w14:paraId="669DF01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10CA9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3381490" w14:textId="77777777" w:rsidR="00000000" w:rsidRDefault="0053651E">
            <w:pPr>
              <w:pStyle w:val="a3"/>
              <w:spacing w:before="0" w:beforeAutospacing="0" w:after="0" w:afterAutospacing="0"/>
              <w:jc w:val="center"/>
              <w:rPr>
                <w:sz w:val="16"/>
                <w:szCs w:val="16"/>
              </w:rPr>
            </w:pPr>
            <w:r>
              <w:rPr>
                <w:rStyle w:val="a6"/>
                <w:i w:val="0"/>
                <w:iCs w:val="0"/>
                <w:sz w:val="16"/>
                <w:szCs w:val="16"/>
              </w:rPr>
              <w:t>1992(A)</w:t>
            </w:r>
          </w:p>
        </w:tc>
      </w:tr>
      <w:tr w:rsidR="00000000" w14:paraId="34E1CF1C" w14:textId="77777777">
        <w:trPr>
          <w:tblCellSpacing w:w="0" w:type="dxa"/>
        </w:trPr>
        <w:tc>
          <w:tcPr>
            <w:tcW w:w="50" w:type="pct"/>
            <w:shd w:val="clear" w:color="auto" w:fill="CCEEFF"/>
            <w:vAlign w:val="bottom"/>
            <w:hideMark/>
          </w:tcPr>
          <w:p w14:paraId="0A8C6CA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831CD7D" w14:textId="77777777" w:rsidR="00000000" w:rsidRDefault="0053651E">
            <w:pPr>
              <w:pStyle w:val="a3"/>
              <w:spacing w:before="0" w:beforeAutospacing="0" w:after="0" w:afterAutospacing="0"/>
              <w:rPr>
                <w:sz w:val="16"/>
                <w:szCs w:val="16"/>
              </w:rPr>
            </w:pPr>
            <w:r>
              <w:rPr>
                <w:sz w:val="16"/>
                <w:szCs w:val="16"/>
              </w:rPr>
              <w:t>CORAL SQUARE PROMENADE</w:t>
            </w:r>
          </w:p>
        </w:tc>
        <w:tc>
          <w:tcPr>
            <w:tcW w:w="150" w:type="pct"/>
            <w:shd w:val="clear" w:color="auto" w:fill="CCEEFF"/>
            <w:vAlign w:val="bottom"/>
            <w:hideMark/>
          </w:tcPr>
          <w:p w14:paraId="39A5076E"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B1AEAB2" w14:textId="77777777" w:rsidR="00000000" w:rsidRDefault="0053651E">
            <w:pPr>
              <w:jc w:val="right"/>
              <w:rPr>
                <w:rFonts w:eastAsia="Times New Roman"/>
                <w:sz w:val="16"/>
                <w:szCs w:val="16"/>
              </w:rPr>
            </w:pPr>
            <w:r>
              <w:rPr>
                <w:rFonts w:eastAsia="Times New Roman"/>
                <w:sz w:val="16"/>
                <w:szCs w:val="16"/>
              </w:rPr>
              <w:t>710,000</w:t>
            </w:r>
          </w:p>
        </w:tc>
        <w:tc>
          <w:tcPr>
            <w:tcW w:w="550" w:type="pct"/>
            <w:shd w:val="clear" w:color="auto" w:fill="CCEEFF"/>
            <w:vAlign w:val="bottom"/>
            <w:hideMark/>
          </w:tcPr>
          <w:p w14:paraId="22AA5913" w14:textId="77777777" w:rsidR="00000000" w:rsidRDefault="0053651E">
            <w:pPr>
              <w:jc w:val="right"/>
              <w:rPr>
                <w:rFonts w:eastAsia="Times New Roman"/>
                <w:sz w:val="16"/>
                <w:szCs w:val="16"/>
              </w:rPr>
            </w:pPr>
            <w:r>
              <w:rPr>
                <w:rFonts w:eastAsia="Times New Roman"/>
                <w:sz w:val="16"/>
                <w:szCs w:val="16"/>
              </w:rPr>
              <w:t>2,842,907</w:t>
            </w:r>
          </w:p>
        </w:tc>
        <w:tc>
          <w:tcPr>
            <w:tcW w:w="350" w:type="pct"/>
            <w:shd w:val="clear" w:color="auto" w:fill="CCEEFF"/>
            <w:vAlign w:val="bottom"/>
            <w:hideMark/>
          </w:tcPr>
          <w:p w14:paraId="7C280065" w14:textId="77777777" w:rsidR="00000000" w:rsidRDefault="0053651E">
            <w:pPr>
              <w:jc w:val="right"/>
              <w:rPr>
                <w:rFonts w:eastAsia="Times New Roman"/>
                <w:sz w:val="16"/>
                <w:szCs w:val="16"/>
              </w:rPr>
            </w:pPr>
            <w:r>
              <w:rPr>
                <w:rFonts w:eastAsia="Times New Roman"/>
                <w:sz w:val="16"/>
                <w:szCs w:val="16"/>
              </w:rPr>
              <w:t>4,125,500</w:t>
            </w:r>
          </w:p>
        </w:tc>
        <w:tc>
          <w:tcPr>
            <w:tcW w:w="300" w:type="pct"/>
            <w:shd w:val="clear" w:color="auto" w:fill="CCEEFF"/>
            <w:vAlign w:val="bottom"/>
            <w:hideMark/>
          </w:tcPr>
          <w:p w14:paraId="25A4225F" w14:textId="77777777" w:rsidR="00000000" w:rsidRDefault="0053651E">
            <w:pPr>
              <w:jc w:val="right"/>
              <w:rPr>
                <w:rFonts w:eastAsia="Times New Roman"/>
                <w:sz w:val="16"/>
                <w:szCs w:val="16"/>
              </w:rPr>
            </w:pPr>
            <w:r>
              <w:rPr>
                <w:rFonts w:eastAsia="Times New Roman"/>
                <w:sz w:val="16"/>
                <w:szCs w:val="16"/>
              </w:rPr>
              <w:t>710,000</w:t>
            </w:r>
          </w:p>
        </w:tc>
        <w:tc>
          <w:tcPr>
            <w:tcW w:w="450" w:type="pct"/>
            <w:shd w:val="clear" w:color="auto" w:fill="CCEEFF"/>
            <w:vAlign w:val="bottom"/>
            <w:hideMark/>
          </w:tcPr>
          <w:p w14:paraId="24C75DC5" w14:textId="77777777" w:rsidR="00000000" w:rsidRDefault="0053651E">
            <w:pPr>
              <w:jc w:val="right"/>
              <w:rPr>
                <w:rFonts w:eastAsia="Times New Roman"/>
                <w:sz w:val="16"/>
                <w:szCs w:val="16"/>
              </w:rPr>
            </w:pPr>
            <w:r>
              <w:rPr>
                <w:rFonts w:eastAsia="Times New Roman"/>
                <w:sz w:val="16"/>
                <w:szCs w:val="16"/>
              </w:rPr>
              <w:t>6,968,407</w:t>
            </w:r>
          </w:p>
        </w:tc>
        <w:tc>
          <w:tcPr>
            <w:tcW w:w="350" w:type="pct"/>
            <w:shd w:val="clear" w:color="auto" w:fill="CCEEFF"/>
            <w:vAlign w:val="bottom"/>
            <w:hideMark/>
          </w:tcPr>
          <w:p w14:paraId="0F651E71" w14:textId="77777777" w:rsidR="00000000" w:rsidRDefault="0053651E">
            <w:pPr>
              <w:jc w:val="right"/>
              <w:rPr>
                <w:rFonts w:eastAsia="Times New Roman"/>
                <w:sz w:val="16"/>
                <w:szCs w:val="16"/>
              </w:rPr>
            </w:pPr>
            <w:r>
              <w:rPr>
                <w:rFonts w:eastAsia="Times New Roman"/>
                <w:sz w:val="16"/>
                <w:szCs w:val="16"/>
              </w:rPr>
              <w:t>7,678,407</w:t>
            </w:r>
          </w:p>
        </w:tc>
        <w:tc>
          <w:tcPr>
            <w:tcW w:w="400" w:type="pct"/>
            <w:shd w:val="clear" w:color="auto" w:fill="CCEEFF"/>
            <w:vAlign w:val="bottom"/>
            <w:hideMark/>
          </w:tcPr>
          <w:p w14:paraId="354DA0A8" w14:textId="77777777" w:rsidR="00000000" w:rsidRDefault="0053651E">
            <w:pPr>
              <w:jc w:val="right"/>
              <w:rPr>
                <w:rFonts w:eastAsia="Times New Roman"/>
                <w:sz w:val="16"/>
                <w:szCs w:val="16"/>
              </w:rPr>
            </w:pPr>
            <w:r>
              <w:rPr>
                <w:rFonts w:eastAsia="Times New Roman"/>
                <w:sz w:val="16"/>
                <w:szCs w:val="16"/>
              </w:rPr>
              <w:t>4,231,686</w:t>
            </w:r>
          </w:p>
        </w:tc>
        <w:tc>
          <w:tcPr>
            <w:tcW w:w="50" w:type="pct"/>
            <w:shd w:val="clear" w:color="auto" w:fill="CCEEFF"/>
            <w:vAlign w:val="bottom"/>
            <w:hideMark/>
          </w:tcPr>
          <w:p w14:paraId="7E190B1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1CA9AAA" w14:textId="77777777" w:rsidR="00000000" w:rsidRDefault="0053651E">
            <w:pPr>
              <w:jc w:val="right"/>
              <w:rPr>
                <w:rFonts w:eastAsia="Times New Roman"/>
                <w:sz w:val="16"/>
                <w:szCs w:val="16"/>
              </w:rPr>
            </w:pPr>
            <w:r>
              <w:rPr>
                <w:rFonts w:eastAsia="Times New Roman"/>
                <w:sz w:val="16"/>
                <w:szCs w:val="16"/>
              </w:rPr>
              <w:t>3,446,721</w:t>
            </w:r>
          </w:p>
        </w:tc>
        <w:tc>
          <w:tcPr>
            <w:tcW w:w="50" w:type="pct"/>
            <w:shd w:val="clear" w:color="auto" w:fill="CCEEFF"/>
            <w:vAlign w:val="bottom"/>
            <w:hideMark/>
          </w:tcPr>
          <w:p w14:paraId="749C3F9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940DA9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80F0FE6" w14:textId="77777777" w:rsidR="00000000" w:rsidRDefault="0053651E">
            <w:pPr>
              <w:pStyle w:val="a3"/>
              <w:spacing w:before="0" w:beforeAutospacing="0" w:after="0" w:afterAutospacing="0"/>
              <w:jc w:val="center"/>
              <w:rPr>
                <w:sz w:val="16"/>
                <w:szCs w:val="16"/>
              </w:rPr>
            </w:pPr>
            <w:r>
              <w:rPr>
                <w:rStyle w:val="a6"/>
                <w:i w:val="0"/>
                <w:iCs w:val="0"/>
                <w:sz w:val="16"/>
                <w:szCs w:val="16"/>
              </w:rPr>
              <w:t>1994(A)</w:t>
            </w:r>
          </w:p>
        </w:tc>
      </w:tr>
      <w:tr w:rsidR="00000000" w14:paraId="398CE876" w14:textId="77777777">
        <w:trPr>
          <w:tblCellSpacing w:w="0" w:type="dxa"/>
        </w:trPr>
        <w:tc>
          <w:tcPr>
            <w:tcW w:w="50" w:type="pct"/>
            <w:shd w:val="clear" w:color="auto" w:fill="FFFFFF"/>
            <w:vAlign w:val="bottom"/>
            <w:hideMark/>
          </w:tcPr>
          <w:p w14:paraId="55D335D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2C6778B" w14:textId="77777777" w:rsidR="00000000" w:rsidRDefault="0053651E">
            <w:pPr>
              <w:pStyle w:val="a3"/>
              <w:spacing w:before="0" w:beforeAutospacing="0" w:after="0" w:afterAutospacing="0"/>
              <w:rPr>
                <w:sz w:val="16"/>
                <w:szCs w:val="16"/>
              </w:rPr>
            </w:pPr>
            <w:r>
              <w:rPr>
                <w:sz w:val="16"/>
                <w:szCs w:val="16"/>
              </w:rPr>
              <w:t>MAPLEWOOD PLAZA</w:t>
            </w:r>
          </w:p>
        </w:tc>
        <w:tc>
          <w:tcPr>
            <w:tcW w:w="150" w:type="pct"/>
            <w:shd w:val="clear" w:color="auto" w:fill="FFFFFF"/>
            <w:vAlign w:val="bottom"/>
            <w:hideMark/>
          </w:tcPr>
          <w:p w14:paraId="32E4C692"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0DA295ED" w14:textId="77777777" w:rsidR="00000000" w:rsidRDefault="0053651E">
            <w:pPr>
              <w:jc w:val="right"/>
              <w:rPr>
                <w:rFonts w:eastAsia="Times New Roman"/>
                <w:sz w:val="16"/>
                <w:szCs w:val="16"/>
              </w:rPr>
            </w:pPr>
            <w:r>
              <w:rPr>
                <w:rFonts w:eastAsia="Times New Roman"/>
                <w:sz w:val="16"/>
                <w:szCs w:val="16"/>
              </w:rPr>
              <w:t>1,649,000</w:t>
            </w:r>
          </w:p>
        </w:tc>
        <w:tc>
          <w:tcPr>
            <w:tcW w:w="550" w:type="pct"/>
            <w:shd w:val="clear" w:color="auto" w:fill="FFFFFF"/>
            <w:vAlign w:val="bottom"/>
            <w:hideMark/>
          </w:tcPr>
          <w:p w14:paraId="315E5221" w14:textId="77777777" w:rsidR="00000000" w:rsidRDefault="0053651E">
            <w:pPr>
              <w:jc w:val="right"/>
              <w:rPr>
                <w:rFonts w:eastAsia="Times New Roman"/>
                <w:sz w:val="16"/>
                <w:szCs w:val="16"/>
              </w:rPr>
            </w:pPr>
            <w:r>
              <w:rPr>
                <w:rFonts w:eastAsia="Times New Roman"/>
                <w:sz w:val="16"/>
                <w:szCs w:val="16"/>
              </w:rPr>
              <w:t>6,626,301</w:t>
            </w:r>
          </w:p>
        </w:tc>
        <w:tc>
          <w:tcPr>
            <w:tcW w:w="350" w:type="pct"/>
            <w:shd w:val="clear" w:color="auto" w:fill="FFFFFF"/>
            <w:vAlign w:val="bottom"/>
            <w:hideMark/>
          </w:tcPr>
          <w:p w14:paraId="0A819C33" w14:textId="77777777" w:rsidR="00000000" w:rsidRDefault="0053651E">
            <w:pPr>
              <w:jc w:val="right"/>
              <w:rPr>
                <w:rFonts w:eastAsia="Times New Roman"/>
                <w:sz w:val="16"/>
                <w:szCs w:val="16"/>
              </w:rPr>
            </w:pPr>
            <w:r>
              <w:rPr>
                <w:rFonts w:eastAsia="Times New Roman"/>
                <w:sz w:val="16"/>
                <w:szCs w:val="16"/>
              </w:rPr>
              <w:t>1,668,185</w:t>
            </w:r>
          </w:p>
        </w:tc>
        <w:tc>
          <w:tcPr>
            <w:tcW w:w="300" w:type="pct"/>
            <w:shd w:val="clear" w:color="auto" w:fill="FFFFFF"/>
            <w:vAlign w:val="bottom"/>
            <w:hideMark/>
          </w:tcPr>
          <w:p w14:paraId="29520CB2" w14:textId="77777777" w:rsidR="00000000" w:rsidRDefault="0053651E">
            <w:pPr>
              <w:jc w:val="right"/>
              <w:rPr>
                <w:rFonts w:eastAsia="Times New Roman"/>
                <w:sz w:val="16"/>
                <w:szCs w:val="16"/>
              </w:rPr>
            </w:pPr>
            <w:r>
              <w:rPr>
                <w:rFonts w:eastAsia="Times New Roman"/>
                <w:sz w:val="16"/>
                <w:szCs w:val="16"/>
              </w:rPr>
              <w:t>1,649,000</w:t>
            </w:r>
          </w:p>
        </w:tc>
        <w:tc>
          <w:tcPr>
            <w:tcW w:w="450" w:type="pct"/>
            <w:shd w:val="clear" w:color="auto" w:fill="FFFFFF"/>
            <w:vAlign w:val="bottom"/>
            <w:hideMark/>
          </w:tcPr>
          <w:p w14:paraId="4BBDDD08" w14:textId="77777777" w:rsidR="00000000" w:rsidRDefault="0053651E">
            <w:pPr>
              <w:jc w:val="right"/>
              <w:rPr>
                <w:rFonts w:eastAsia="Times New Roman"/>
                <w:sz w:val="16"/>
                <w:szCs w:val="16"/>
              </w:rPr>
            </w:pPr>
            <w:r>
              <w:rPr>
                <w:rFonts w:eastAsia="Times New Roman"/>
                <w:sz w:val="16"/>
                <w:szCs w:val="16"/>
              </w:rPr>
              <w:t>8,294,486</w:t>
            </w:r>
          </w:p>
        </w:tc>
        <w:tc>
          <w:tcPr>
            <w:tcW w:w="350" w:type="pct"/>
            <w:shd w:val="clear" w:color="auto" w:fill="FFFFFF"/>
            <w:vAlign w:val="bottom"/>
            <w:hideMark/>
          </w:tcPr>
          <w:p w14:paraId="4DD569FA" w14:textId="77777777" w:rsidR="00000000" w:rsidRDefault="0053651E">
            <w:pPr>
              <w:jc w:val="right"/>
              <w:rPr>
                <w:rFonts w:eastAsia="Times New Roman"/>
                <w:sz w:val="16"/>
                <w:szCs w:val="16"/>
              </w:rPr>
            </w:pPr>
            <w:r>
              <w:rPr>
                <w:rFonts w:eastAsia="Times New Roman"/>
                <w:sz w:val="16"/>
                <w:szCs w:val="16"/>
              </w:rPr>
              <w:t>9,943,486</w:t>
            </w:r>
          </w:p>
        </w:tc>
        <w:tc>
          <w:tcPr>
            <w:tcW w:w="400" w:type="pct"/>
            <w:shd w:val="clear" w:color="auto" w:fill="FFFFFF"/>
            <w:vAlign w:val="bottom"/>
            <w:hideMark/>
          </w:tcPr>
          <w:p w14:paraId="0F4F6F25" w14:textId="77777777" w:rsidR="00000000" w:rsidRDefault="0053651E">
            <w:pPr>
              <w:jc w:val="right"/>
              <w:rPr>
                <w:rFonts w:eastAsia="Times New Roman"/>
                <w:sz w:val="16"/>
                <w:szCs w:val="16"/>
              </w:rPr>
            </w:pPr>
            <w:r>
              <w:rPr>
                <w:rFonts w:eastAsia="Times New Roman"/>
                <w:sz w:val="16"/>
                <w:szCs w:val="16"/>
              </w:rPr>
              <w:t>4,367,202</w:t>
            </w:r>
          </w:p>
        </w:tc>
        <w:tc>
          <w:tcPr>
            <w:tcW w:w="50" w:type="pct"/>
            <w:shd w:val="clear" w:color="auto" w:fill="FFFFFF"/>
            <w:vAlign w:val="bottom"/>
            <w:hideMark/>
          </w:tcPr>
          <w:p w14:paraId="7567915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13EB714" w14:textId="77777777" w:rsidR="00000000" w:rsidRDefault="0053651E">
            <w:pPr>
              <w:jc w:val="right"/>
              <w:rPr>
                <w:rFonts w:eastAsia="Times New Roman"/>
                <w:sz w:val="16"/>
                <w:szCs w:val="16"/>
              </w:rPr>
            </w:pPr>
            <w:r>
              <w:rPr>
                <w:rFonts w:eastAsia="Times New Roman"/>
                <w:sz w:val="16"/>
                <w:szCs w:val="16"/>
              </w:rPr>
              <w:t>5,576,284</w:t>
            </w:r>
          </w:p>
        </w:tc>
        <w:tc>
          <w:tcPr>
            <w:tcW w:w="50" w:type="pct"/>
            <w:shd w:val="clear" w:color="auto" w:fill="FFFFFF"/>
            <w:vAlign w:val="bottom"/>
            <w:hideMark/>
          </w:tcPr>
          <w:p w14:paraId="7E024E6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986EB4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7FE1589" w14:textId="77777777" w:rsidR="00000000" w:rsidRDefault="0053651E">
            <w:pPr>
              <w:pStyle w:val="a3"/>
              <w:spacing w:before="0" w:beforeAutospacing="0" w:after="0" w:afterAutospacing="0"/>
              <w:jc w:val="center"/>
              <w:rPr>
                <w:sz w:val="16"/>
                <w:szCs w:val="16"/>
              </w:rPr>
            </w:pPr>
            <w:r>
              <w:rPr>
                <w:rStyle w:val="a6"/>
                <w:i w:val="0"/>
                <w:iCs w:val="0"/>
                <w:sz w:val="16"/>
                <w:szCs w:val="16"/>
              </w:rPr>
              <w:t>1997(A)</w:t>
            </w:r>
          </w:p>
        </w:tc>
      </w:tr>
      <w:tr w:rsidR="00000000" w14:paraId="73FDCD99" w14:textId="77777777">
        <w:trPr>
          <w:tblCellSpacing w:w="0" w:type="dxa"/>
        </w:trPr>
        <w:tc>
          <w:tcPr>
            <w:tcW w:w="50" w:type="pct"/>
            <w:shd w:val="clear" w:color="auto" w:fill="CCEEFF"/>
            <w:vAlign w:val="bottom"/>
            <w:hideMark/>
          </w:tcPr>
          <w:p w14:paraId="6DBEB97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8DE6984" w14:textId="77777777" w:rsidR="00000000" w:rsidRDefault="0053651E">
            <w:pPr>
              <w:pStyle w:val="a3"/>
              <w:spacing w:before="0" w:beforeAutospacing="0" w:after="0" w:afterAutospacing="0"/>
              <w:rPr>
                <w:sz w:val="16"/>
                <w:szCs w:val="16"/>
              </w:rPr>
            </w:pPr>
            <w:r>
              <w:rPr>
                <w:sz w:val="16"/>
                <w:szCs w:val="16"/>
              </w:rPr>
              <w:t>CURLEW CROSSING SHOPPING CTR</w:t>
            </w:r>
          </w:p>
        </w:tc>
        <w:tc>
          <w:tcPr>
            <w:tcW w:w="150" w:type="pct"/>
            <w:shd w:val="clear" w:color="auto" w:fill="CCEEFF"/>
            <w:vAlign w:val="bottom"/>
            <w:hideMark/>
          </w:tcPr>
          <w:p w14:paraId="1782D1E2"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10BA9848" w14:textId="77777777" w:rsidR="00000000" w:rsidRDefault="0053651E">
            <w:pPr>
              <w:jc w:val="right"/>
              <w:rPr>
                <w:rFonts w:eastAsia="Times New Roman"/>
                <w:sz w:val="16"/>
                <w:szCs w:val="16"/>
              </w:rPr>
            </w:pPr>
            <w:r>
              <w:rPr>
                <w:rFonts w:eastAsia="Times New Roman"/>
                <w:sz w:val="16"/>
                <w:szCs w:val="16"/>
              </w:rPr>
              <w:t>5,315,955</w:t>
            </w:r>
          </w:p>
        </w:tc>
        <w:tc>
          <w:tcPr>
            <w:tcW w:w="550" w:type="pct"/>
            <w:shd w:val="clear" w:color="auto" w:fill="CCEEFF"/>
            <w:vAlign w:val="bottom"/>
            <w:hideMark/>
          </w:tcPr>
          <w:p w14:paraId="6170B914" w14:textId="77777777" w:rsidR="00000000" w:rsidRDefault="0053651E">
            <w:pPr>
              <w:jc w:val="right"/>
              <w:rPr>
                <w:rFonts w:eastAsia="Times New Roman"/>
                <w:sz w:val="16"/>
                <w:szCs w:val="16"/>
              </w:rPr>
            </w:pPr>
            <w:r>
              <w:rPr>
                <w:rFonts w:eastAsia="Times New Roman"/>
                <w:sz w:val="16"/>
                <w:szCs w:val="16"/>
              </w:rPr>
              <w:t>12,529,467</w:t>
            </w:r>
          </w:p>
        </w:tc>
        <w:tc>
          <w:tcPr>
            <w:tcW w:w="350" w:type="pct"/>
            <w:shd w:val="clear" w:color="auto" w:fill="CCEEFF"/>
            <w:vAlign w:val="bottom"/>
            <w:hideMark/>
          </w:tcPr>
          <w:p w14:paraId="3C791393" w14:textId="77777777" w:rsidR="00000000" w:rsidRDefault="0053651E">
            <w:pPr>
              <w:jc w:val="right"/>
              <w:rPr>
                <w:rFonts w:eastAsia="Times New Roman"/>
                <w:sz w:val="16"/>
                <w:szCs w:val="16"/>
              </w:rPr>
            </w:pPr>
            <w:r>
              <w:rPr>
                <w:rFonts w:eastAsia="Times New Roman"/>
                <w:sz w:val="16"/>
                <w:szCs w:val="16"/>
              </w:rPr>
              <w:t>2,745,007</w:t>
            </w:r>
          </w:p>
        </w:tc>
        <w:tc>
          <w:tcPr>
            <w:tcW w:w="300" w:type="pct"/>
            <w:shd w:val="clear" w:color="auto" w:fill="CCEEFF"/>
            <w:vAlign w:val="bottom"/>
            <w:hideMark/>
          </w:tcPr>
          <w:p w14:paraId="0BF0CA0B" w14:textId="77777777" w:rsidR="00000000" w:rsidRDefault="0053651E">
            <w:pPr>
              <w:jc w:val="right"/>
              <w:rPr>
                <w:rFonts w:eastAsia="Times New Roman"/>
                <w:sz w:val="16"/>
                <w:szCs w:val="16"/>
              </w:rPr>
            </w:pPr>
            <w:r>
              <w:rPr>
                <w:rFonts w:eastAsia="Times New Roman"/>
                <w:sz w:val="16"/>
                <w:szCs w:val="16"/>
              </w:rPr>
              <w:t>5,315,955</w:t>
            </w:r>
          </w:p>
        </w:tc>
        <w:tc>
          <w:tcPr>
            <w:tcW w:w="450" w:type="pct"/>
            <w:shd w:val="clear" w:color="auto" w:fill="CCEEFF"/>
            <w:vAlign w:val="bottom"/>
            <w:hideMark/>
          </w:tcPr>
          <w:p w14:paraId="2F83C118" w14:textId="77777777" w:rsidR="00000000" w:rsidRDefault="0053651E">
            <w:pPr>
              <w:jc w:val="right"/>
              <w:rPr>
                <w:rFonts w:eastAsia="Times New Roman"/>
                <w:sz w:val="16"/>
                <w:szCs w:val="16"/>
              </w:rPr>
            </w:pPr>
            <w:r>
              <w:rPr>
                <w:rFonts w:eastAsia="Times New Roman"/>
                <w:sz w:val="16"/>
                <w:szCs w:val="16"/>
              </w:rPr>
              <w:t>15,274,474</w:t>
            </w:r>
          </w:p>
        </w:tc>
        <w:tc>
          <w:tcPr>
            <w:tcW w:w="350" w:type="pct"/>
            <w:shd w:val="clear" w:color="auto" w:fill="CCEEFF"/>
            <w:vAlign w:val="bottom"/>
            <w:hideMark/>
          </w:tcPr>
          <w:p w14:paraId="6C9378ED" w14:textId="77777777" w:rsidR="00000000" w:rsidRDefault="0053651E">
            <w:pPr>
              <w:jc w:val="right"/>
              <w:rPr>
                <w:rFonts w:eastAsia="Times New Roman"/>
                <w:sz w:val="16"/>
                <w:szCs w:val="16"/>
              </w:rPr>
            </w:pPr>
            <w:r>
              <w:rPr>
                <w:rFonts w:eastAsia="Times New Roman"/>
                <w:sz w:val="16"/>
                <w:szCs w:val="16"/>
              </w:rPr>
              <w:t>20,590,429</w:t>
            </w:r>
          </w:p>
        </w:tc>
        <w:tc>
          <w:tcPr>
            <w:tcW w:w="400" w:type="pct"/>
            <w:shd w:val="clear" w:color="auto" w:fill="CCEEFF"/>
            <w:vAlign w:val="bottom"/>
            <w:hideMark/>
          </w:tcPr>
          <w:p w14:paraId="709319AD" w14:textId="77777777" w:rsidR="00000000" w:rsidRDefault="0053651E">
            <w:pPr>
              <w:jc w:val="right"/>
              <w:rPr>
                <w:rFonts w:eastAsia="Times New Roman"/>
                <w:sz w:val="16"/>
                <w:szCs w:val="16"/>
              </w:rPr>
            </w:pPr>
            <w:r>
              <w:rPr>
                <w:rFonts w:eastAsia="Times New Roman"/>
                <w:sz w:val="16"/>
                <w:szCs w:val="16"/>
              </w:rPr>
              <w:t>6,660,355</w:t>
            </w:r>
          </w:p>
        </w:tc>
        <w:tc>
          <w:tcPr>
            <w:tcW w:w="50" w:type="pct"/>
            <w:shd w:val="clear" w:color="auto" w:fill="CCEEFF"/>
            <w:vAlign w:val="bottom"/>
            <w:hideMark/>
          </w:tcPr>
          <w:p w14:paraId="564CEC2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00D243B" w14:textId="77777777" w:rsidR="00000000" w:rsidRDefault="0053651E">
            <w:pPr>
              <w:jc w:val="right"/>
              <w:rPr>
                <w:rFonts w:eastAsia="Times New Roman"/>
                <w:sz w:val="16"/>
                <w:szCs w:val="16"/>
              </w:rPr>
            </w:pPr>
            <w:r>
              <w:rPr>
                <w:rFonts w:eastAsia="Times New Roman"/>
                <w:sz w:val="16"/>
                <w:szCs w:val="16"/>
              </w:rPr>
              <w:t>13,930,074</w:t>
            </w:r>
          </w:p>
        </w:tc>
        <w:tc>
          <w:tcPr>
            <w:tcW w:w="50" w:type="pct"/>
            <w:shd w:val="clear" w:color="auto" w:fill="CCEEFF"/>
            <w:vAlign w:val="bottom"/>
            <w:hideMark/>
          </w:tcPr>
          <w:p w14:paraId="7333D9E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73A5C8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4FCDED9"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2F04CAF2" w14:textId="77777777">
        <w:trPr>
          <w:tblCellSpacing w:w="0" w:type="dxa"/>
        </w:trPr>
        <w:tc>
          <w:tcPr>
            <w:tcW w:w="50" w:type="pct"/>
            <w:shd w:val="clear" w:color="auto" w:fill="FFFFFF"/>
            <w:vAlign w:val="bottom"/>
            <w:hideMark/>
          </w:tcPr>
          <w:p w14:paraId="6AC54B3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DE32E5C" w14:textId="77777777" w:rsidR="00000000" w:rsidRDefault="0053651E">
            <w:pPr>
              <w:pStyle w:val="a3"/>
              <w:spacing w:before="0" w:beforeAutospacing="0" w:after="0" w:afterAutospacing="0"/>
              <w:rPr>
                <w:sz w:val="16"/>
                <w:szCs w:val="16"/>
              </w:rPr>
            </w:pPr>
            <w:r>
              <w:rPr>
                <w:sz w:val="16"/>
                <w:szCs w:val="16"/>
              </w:rPr>
              <w:t>SHOPS AT SANTA BARBARA PHASE 1</w:t>
            </w:r>
          </w:p>
        </w:tc>
        <w:tc>
          <w:tcPr>
            <w:tcW w:w="150" w:type="pct"/>
            <w:shd w:val="clear" w:color="auto" w:fill="FFFFFF"/>
            <w:vAlign w:val="bottom"/>
            <w:hideMark/>
          </w:tcPr>
          <w:p w14:paraId="7F764DDE"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789644AB" w14:textId="77777777" w:rsidR="00000000" w:rsidRDefault="0053651E">
            <w:pPr>
              <w:jc w:val="right"/>
              <w:rPr>
                <w:rFonts w:eastAsia="Times New Roman"/>
                <w:sz w:val="16"/>
                <w:szCs w:val="16"/>
              </w:rPr>
            </w:pPr>
            <w:r>
              <w:rPr>
                <w:rFonts w:eastAsia="Times New Roman"/>
                <w:sz w:val="16"/>
                <w:szCs w:val="16"/>
              </w:rPr>
              <w:t>743,463</w:t>
            </w:r>
          </w:p>
        </w:tc>
        <w:tc>
          <w:tcPr>
            <w:tcW w:w="550" w:type="pct"/>
            <w:shd w:val="clear" w:color="auto" w:fill="FFFFFF"/>
            <w:vAlign w:val="bottom"/>
            <w:hideMark/>
          </w:tcPr>
          <w:p w14:paraId="37D53A40" w14:textId="77777777" w:rsidR="00000000" w:rsidRDefault="0053651E">
            <w:pPr>
              <w:jc w:val="right"/>
              <w:rPr>
                <w:rFonts w:eastAsia="Times New Roman"/>
                <w:sz w:val="16"/>
                <w:szCs w:val="16"/>
              </w:rPr>
            </w:pPr>
            <w:r>
              <w:rPr>
                <w:rFonts w:eastAsia="Times New Roman"/>
                <w:sz w:val="16"/>
                <w:szCs w:val="16"/>
              </w:rPr>
              <w:t>5,373,994</w:t>
            </w:r>
          </w:p>
        </w:tc>
        <w:tc>
          <w:tcPr>
            <w:tcW w:w="350" w:type="pct"/>
            <w:shd w:val="clear" w:color="auto" w:fill="FFFFFF"/>
            <w:vAlign w:val="bottom"/>
            <w:hideMark/>
          </w:tcPr>
          <w:p w14:paraId="0A2872E8" w14:textId="77777777" w:rsidR="00000000" w:rsidRDefault="0053651E">
            <w:pPr>
              <w:jc w:val="right"/>
              <w:rPr>
                <w:rFonts w:eastAsia="Times New Roman"/>
                <w:sz w:val="16"/>
                <w:szCs w:val="16"/>
              </w:rPr>
            </w:pPr>
            <w:r>
              <w:rPr>
                <w:rFonts w:eastAsia="Times New Roman"/>
                <w:sz w:val="16"/>
                <w:szCs w:val="16"/>
              </w:rPr>
              <w:t>220,269</w:t>
            </w:r>
          </w:p>
        </w:tc>
        <w:tc>
          <w:tcPr>
            <w:tcW w:w="300" w:type="pct"/>
            <w:shd w:val="clear" w:color="auto" w:fill="FFFFFF"/>
            <w:vAlign w:val="bottom"/>
            <w:hideMark/>
          </w:tcPr>
          <w:p w14:paraId="4CCCF6F6" w14:textId="77777777" w:rsidR="00000000" w:rsidRDefault="0053651E">
            <w:pPr>
              <w:jc w:val="right"/>
              <w:rPr>
                <w:rFonts w:eastAsia="Times New Roman"/>
                <w:sz w:val="16"/>
                <w:szCs w:val="16"/>
              </w:rPr>
            </w:pPr>
            <w:r>
              <w:rPr>
                <w:rFonts w:eastAsia="Times New Roman"/>
                <w:sz w:val="16"/>
                <w:szCs w:val="16"/>
              </w:rPr>
              <w:t>743,463</w:t>
            </w:r>
          </w:p>
        </w:tc>
        <w:tc>
          <w:tcPr>
            <w:tcW w:w="450" w:type="pct"/>
            <w:shd w:val="clear" w:color="auto" w:fill="FFFFFF"/>
            <w:vAlign w:val="bottom"/>
            <w:hideMark/>
          </w:tcPr>
          <w:p w14:paraId="6E2B1C8C" w14:textId="77777777" w:rsidR="00000000" w:rsidRDefault="0053651E">
            <w:pPr>
              <w:jc w:val="right"/>
              <w:rPr>
                <w:rFonts w:eastAsia="Times New Roman"/>
                <w:sz w:val="16"/>
                <w:szCs w:val="16"/>
              </w:rPr>
            </w:pPr>
            <w:r>
              <w:rPr>
                <w:rFonts w:eastAsia="Times New Roman"/>
                <w:sz w:val="16"/>
                <w:szCs w:val="16"/>
              </w:rPr>
              <w:t>5,594,263</w:t>
            </w:r>
          </w:p>
        </w:tc>
        <w:tc>
          <w:tcPr>
            <w:tcW w:w="350" w:type="pct"/>
            <w:shd w:val="clear" w:color="auto" w:fill="FFFFFF"/>
            <w:vAlign w:val="bottom"/>
            <w:hideMark/>
          </w:tcPr>
          <w:p w14:paraId="06F31741" w14:textId="77777777" w:rsidR="00000000" w:rsidRDefault="0053651E">
            <w:pPr>
              <w:jc w:val="right"/>
              <w:rPr>
                <w:rFonts w:eastAsia="Times New Roman"/>
                <w:sz w:val="16"/>
                <w:szCs w:val="16"/>
              </w:rPr>
            </w:pPr>
            <w:r>
              <w:rPr>
                <w:rFonts w:eastAsia="Times New Roman"/>
                <w:sz w:val="16"/>
                <w:szCs w:val="16"/>
              </w:rPr>
              <w:t>6,337,726</w:t>
            </w:r>
          </w:p>
        </w:tc>
        <w:tc>
          <w:tcPr>
            <w:tcW w:w="400" w:type="pct"/>
            <w:shd w:val="clear" w:color="auto" w:fill="FFFFFF"/>
            <w:vAlign w:val="bottom"/>
            <w:hideMark/>
          </w:tcPr>
          <w:p w14:paraId="36CFDDC6" w14:textId="77777777" w:rsidR="00000000" w:rsidRDefault="0053651E">
            <w:pPr>
              <w:jc w:val="right"/>
              <w:rPr>
                <w:rFonts w:eastAsia="Times New Roman"/>
                <w:sz w:val="16"/>
                <w:szCs w:val="16"/>
              </w:rPr>
            </w:pPr>
            <w:r>
              <w:rPr>
                <w:rFonts w:eastAsia="Times New Roman"/>
                <w:sz w:val="16"/>
                <w:szCs w:val="16"/>
              </w:rPr>
              <w:t>927,828</w:t>
            </w:r>
          </w:p>
        </w:tc>
        <w:tc>
          <w:tcPr>
            <w:tcW w:w="50" w:type="pct"/>
            <w:shd w:val="clear" w:color="auto" w:fill="FFFFFF"/>
            <w:vAlign w:val="bottom"/>
            <w:hideMark/>
          </w:tcPr>
          <w:p w14:paraId="5F7BC18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9BB6421" w14:textId="77777777" w:rsidR="00000000" w:rsidRDefault="0053651E">
            <w:pPr>
              <w:jc w:val="right"/>
              <w:rPr>
                <w:rFonts w:eastAsia="Times New Roman"/>
                <w:sz w:val="16"/>
                <w:szCs w:val="16"/>
              </w:rPr>
            </w:pPr>
            <w:r>
              <w:rPr>
                <w:rFonts w:eastAsia="Times New Roman"/>
                <w:sz w:val="16"/>
                <w:szCs w:val="16"/>
              </w:rPr>
              <w:t>5,409,898</w:t>
            </w:r>
          </w:p>
        </w:tc>
        <w:tc>
          <w:tcPr>
            <w:tcW w:w="50" w:type="pct"/>
            <w:shd w:val="clear" w:color="auto" w:fill="FFFFFF"/>
            <w:vAlign w:val="bottom"/>
            <w:hideMark/>
          </w:tcPr>
          <w:p w14:paraId="14FD1FE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DBDB98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2847839"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1BDB114" w14:textId="77777777">
        <w:trPr>
          <w:tblCellSpacing w:w="0" w:type="dxa"/>
        </w:trPr>
        <w:tc>
          <w:tcPr>
            <w:tcW w:w="50" w:type="pct"/>
            <w:shd w:val="clear" w:color="auto" w:fill="CCEEFF"/>
            <w:vAlign w:val="bottom"/>
            <w:hideMark/>
          </w:tcPr>
          <w:p w14:paraId="65EA6E2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D90762D" w14:textId="77777777" w:rsidR="00000000" w:rsidRDefault="0053651E">
            <w:pPr>
              <w:pStyle w:val="a3"/>
              <w:spacing w:before="0" w:beforeAutospacing="0" w:after="0" w:afterAutospacing="0"/>
              <w:rPr>
                <w:sz w:val="16"/>
                <w:szCs w:val="16"/>
              </w:rPr>
            </w:pPr>
            <w:r>
              <w:rPr>
                <w:sz w:val="16"/>
                <w:szCs w:val="16"/>
              </w:rPr>
              <w:t>SHOPS AT SANTA BARBARA PHASE 2</w:t>
            </w:r>
          </w:p>
        </w:tc>
        <w:tc>
          <w:tcPr>
            <w:tcW w:w="150" w:type="pct"/>
            <w:shd w:val="clear" w:color="auto" w:fill="CCEEFF"/>
            <w:vAlign w:val="bottom"/>
            <w:hideMark/>
          </w:tcPr>
          <w:p w14:paraId="5A129C66"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1706DF3B" w14:textId="77777777" w:rsidR="00000000" w:rsidRDefault="0053651E">
            <w:pPr>
              <w:jc w:val="right"/>
              <w:rPr>
                <w:rFonts w:eastAsia="Times New Roman"/>
                <w:sz w:val="16"/>
                <w:szCs w:val="16"/>
              </w:rPr>
            </w:pPr>
            <w:r>
              <w:rPr>
                <w:rFonts w:eastAsia="Times New Roman"/>
                <w:sz w:val="16"/>
                <w:szCs w:val="16"/>
              </w:rPr>
              <w:t>331,692</w:t>
            </w:r>
          </w:p>
        </w:tc>
        <w:tc>
          <w:tcPr>
            <w:tcW w:w="550" w:type="pct"/>
            <w:shd w:val="clear" w:color="auto" w:fill="CCEEFF"/>
            <w:vAlign w:val="bottom"/>
            <w:hideMark/>
          </w:tcPr>
          <w:p w14:paraId="7DAE9CAB" w14:textId="77777777" w:rsidR="00000000" w:rsidRDefault="0053651E">
            <w:pPr>
              <w:jc w:val="right"/>
              <w:rPr>
                <w:rFonts w:eastAsia="Times New Roman"/>
                <w:sz w:val="16"/>
                <w:szCs w:val="16"/>
              </w:rPr>
            </w:pPr>
            <w:r>
              <w:rPr>
                <w:rFonts w:eastAsia="Times New Roman"/>
                <w:sz w:val="16"/>
                <w:szCs w:val="16"/>
              </w:rPr>
              <w:t>2,488,832</w:t>
            </w:r>
          </w:p>
        </w:tc>
        <w:tc>
          <w:tcPr>
            <w:tcW w:w="350" w:type="pct"/>
            <w:shd w:val="clear" w:color="auto" w:fill="CCEEFF"/>
            <w:vAlign w:val="bottom"/>
            <w:hideMark/>
          </w:tcPr>
          <w:p w14:paraId="2EBD3BD7"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2CAD7A5A" w14:textId="77777777" w:rsidR="00000000" w:rsidRDefault="0053651E">
            <w:pPr>
              <w:jc w:val="right"/>
              <w:rPr>
                <w:rFonts w:eastAsia="Times New Roman"/>
                <w:sz w:val="16"/>
                <w:szCs w:val="16"/>
              </w:rPr>
            </w:pPr>
            <w:r>
              <w:rPr>
                <w:rFonts w:eastAsia="Times New Roman"/>
                <w:sz w:val="16"/>
                <w:szCs w:val="16"/>
              </w:rPr>
              <w:t>331,692</w:t>
            </w:r>
          </w:p>
        </w:tc>
        <w:tc>
          <w:tcPr>
            <w:tcW w:w="450" w:type="pct"/>
            <w:shd w:val="clear" w:color="auto" w:fill="CCEEFF"/>
            <w:vAlign w:val="bottom"/>
            <w:hideMark/>
          </w:tcPr>
          <w:p w14:paraId="163BA0F8" w14:textId="77777777" w:rsidR="00000000" w:rsidRDefault="0053651E">
            <w:pPr>
              <w:jc w:val="right"/>
              <w:rPr>
                <w:rFonts w:eastAsia="Times New Roman"/>
                <w:sz w:val="16"/>
                <w:szCs w:val="16"/>
              </w:rPr>
            </w:pPr>
            <w:r>
              <w:rPr>
                <w:rFonts w:eastAsia="Times New Roman"/>
                <w:sz w:val="16"/>
                <w:szCs w:val="16"/>
              </w:rPr>
              <w:t>2,488,832</w:t>
            </w:r>
          </w:p>
        </w:tc>
        <w:tc>
          <w:tcPr>
            <w:tcW w:w="350" w:type="pct"/>
            <w:shd w:val="clear" w:color="auto" w:fill="CCEEFF"/>
            <w:vAlign w:val="bottom"/>
            <w:hideMark/>
          </w:tcPr>
          <w:p w14:paraId="089B0E82" w14:textId="77777777" w:rsidR="00000000" w:rsidRDefault="0053651E">
            <w:pPr>
              <w:jc w:val="right"/>
              <w:rPr>
                <w:rFonts w:eastAsia="Times New Roman"/>
                <w:sz w:val="16"/>
                <w:szCs w:val="16"/>
              </w:rPr>
            </w:pPr>
            <w:r>
              <w:rPr>
                <w:rFonts w:eastAsia="Times New Roman"/>
                <w:sz w:val="16"/>
                <w:szCs w:val="16"/>
              </w:rPr>
              <w:t>2,820,524</w:t>
            </w:r>
          </w:p>
        </w:tc>
        <w:tc>
          <w:tcPr>
            <w:tcW w:w="400" w:type="pct"/>
            <w:shd w:val="clear" w:color="auto" w:fill="CCEEFF"/>
            <w:vAlign w:val="bottom"/>
            <w:hideMark/>
          </w:tcPr>
          <w:p w14:paraId="3F883E7C" w14:textId="77777777" w:rsidR="00000000" w:rsidRDefault="0053651E">
            <w:pPr>
              <w:jc w:val="right"/>
              <w:rPr>
                <w:rFonts w:eastAsia="Times New Roman"/>
                <w:sz w:val="16"/>
                <w:szCs w:val="16"/>
              </w:rPr>
            </w:pPr>
            <w:r>
              <w:rPr>
                <w:rFonts w:eastAsia="Times New Roman"/>
                <w:sz w:val="16"/>
                <w:szCs w:val="16"/>
              </w:rPr>
              <w:t>476,559</w:t>
            </w:r>
          </w:p>
        </w:tc>
        <w:tc>
          <w:tcPr>
            <w:tcW w:w="50" w:type="pct"/>
            <w:shd w:val="clear" w:color="auto" w:fill="CCEEFF"/>
            <w:vAlign w:val="bottom"/>
            <w:hideMark/>
          </w:tcPr>
          <w:p w14:paraId="68D1E9C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8030D47" w14:textId="77777777" w:rsidR="00000000" w:rsidRDefault="0053651E">
            <w:pPr>
              <w:jc w:val="right"/>
              <w:rPr>
                <w:rFonts w:eastAsia="Times New Roman"/>
                <w:sz w:val="16"/>
                <w:szCs w:val="16"/>
              </w:rPr>
            </w:pPr>
            <w:r>
              <w:rPr>
                <w:rFonts w:eastAsia="Times New Roman"/>
                <w:sz w:val="16"/>
                <w:szCs w:val="16"/>
              </w:rPr>
              <w:t>2,343,965</w:t>
            </w:r>
          </w:p>
        </w:tc>
        <w:tc>
          <w:tcPr>
            <w:tcW w:w="50" w:type="pct"/>
            <w:shd w:val="clear" w:color="auto" w:fill="CCEEFF"/>
            <w:vAlign w:val="bottom"/>
            <w:hideMark/>
          </w:tcPr>
          <w:p w14:paraId="0821324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C92FE0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E280E69"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AE8206E" w14:textId="77777777">
        <w:trPr>
          <w:tblCellSpacing w:w="0" w:type="dxa"/>
        </w:trPr>
        <w:tc>
          <w:tcPr>
            <w:tcW w:w="50" w:type="pct"/>
            <w:shd w:val="clear" w:color="auto" w:fill="FFFFFF"/>
            <w:vAlign w:val="bottom"/>
            <w:hideMark/>
          </w:tcPr>
          <w:p w14:paraId="753F2B6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371C24D" w14:textId="77777777" w:rsidR="00000000" w:rsidRDefault="0053651E">
            <w:pPr>
              <w:pStyle w:val="a3"/>
              <w:spacing w:before="0" w:beforeAutospacing="0" w:after="0" w:afterAutospacing="0"/>
              <w:rPr>
                <w:sz w:val="16"/>
                <w:szCs w:val="16"/>
              </w:rPr>
            </w:pPr>
            <w:r>
              <w:rPr>
                <w:sz w:val="16"/>
                <w:szCs w:val="16"/>
              </w:rPr>
              <w:t>SHOPS AT SANTA BARBARA PHASE 3</w:t>
            </w:r>
          </w:p>
        </w:tc>
        <w:tc>
          <w:tcPr>
            <w:tcW w:w="150" w:type="pct"/>
            <w:shd w:val="clear" w:color="auto" w:fill="FFFFFF"/>
            <w:vAlign w:val="bottom"/>
            <w:hideMark/>
          </w:tcPr>
          <w:p w14:paraId="0E37C56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0C9C3066" w14:textId="77777777" w:rsidR="00000000" w:rsidRDefault="0053651E">
            <w:pPr>
              <w:jc w:val="right"/>
              <w:rPr>
                <w:rFonts w:eastAsia="Times New Roman"/>
                <w:sz w:val="16"/>
                <w:szCs w:val="16"/>
              </w:rPr>
            </w:pPr>
            <w:r>
              <w:rPr>
                <w:rFonts w:eastAsia="Times New Roman"/>
                <w:sz w:val="16"/>
                <w:szCs w:val="16"/>
              </w:rPr>
              <w:t>329,726</w:t>
            </w:r>
          </w:p>
        </w:tc>
        <w:tc>
          <w:tcPr>
            <w:tcW w:w="550" w:type="pct"/>
            <w:shd w:val="clear" w:color="auto" w:fill="FFFFFF"/>
            <w:vAlign w:val="bottom"/>
            <w:hideMark/>
          </w:tcPr>
          <w:p w14:paraId="5EF96CD4" w14:textId="77777777" w:rsidR="00000000" w:rsidRDefault="0053651E">
            <w:pPr>
              <w:jc w:val="right"/>
              <w:rPr>
                <w:rFonts w:eastAsia="Times New Roman"/>
                <w:sz w:val="16"/>
                <w:szCs w:val="16"/>
              </w:rPr>
            </w:pPr>
            <w:r>
              <w:rPr>
                <w:rFonts w:eastAsia="Times New Roman"/>
                <w:sz w:val="16"/>
                <w:szCs w:val="16"/>
              </w:rPr>
              <w:t>2,358,700</w:t>
            </w:r>
          </w:p>
        </w:tc>
        <w:tc>
          <w:tcPr>
            <w:tcW w:w="350" w:type="pct"/>
            <w:shd w:val="clear" w:color="auto" w:fill="FFFFFF"/>
            <w:vAlign w:val="bottom"/>
            <w:hideMark/>
          </w:tcPr>
          <w:p w14:paraId="21D0EE90" w14:textId="77777777" w:rsidR="00000000" w:rsidRDefault="0053651E">
            <w:pPr>
              <w:jc w:val="right"/>
              <w:rPr>
                <w:rFonts w:eastAsia="Times New Roman"/>
                <w:sz w:val="16"/>
                <w:szCs w:val="16"/>
              </w:rPr>
            </w:pPr>
            <w:r>
              <w:rPr>
                <w:rFonts w:eastAsia="Times New Roman"/>
                <w:sz w:val="16"/>
                <w:szCs w:val="16"/>
              </w:rPr>
              <w:t>61,618</w:t>
            </w:r>
          </w:p>
        </w:tc>
        <w:tc>
          <w:tcPr>
            <w:tcW w:w="300" w:type="pct"/>
            <w:shd w:val="clear" w:color="auto" w:fill="FFFFFF"/>
            <w:vAlign w:val="bottom"/>
            <w:hideMark/>
          </w:tcPr>
          <w:p w14:paraId="675CD337" w14:textId="77777777" w:rsidR="00000000" w:rsidRDefault="0053651E">
            <w:pPr>
              <w:jc w:val="right"/>
              <w:rPr>
                <w:rFonts w:eastAsia="Times New Roman"/>
                <w:sz w:val="16"/>
                <w:szCs w:val="16"/>
              </w:rPr>
            </w:pPr>
            <w:r>
              <w:rPr>
                <w:rFonts w:eastAsia="Times New Roman"/>
                <w:sz w:val="16"/>
                <w:szCs w:val="16"/>
              </w:rPr>
              <w:t>329,726</w:t>
            </w:r>
          </w:p>
        </w:tc>
        <w:tc>
          <w:tcPr>
            <w:tcW w:w="450" w:type="pct"/>
            <w:shd w:val="clear" w:color="auto" w:fill="FFFFFF"/>
            <w:vAlign w:val="bottom"/>
            <w:hideMark/>
          </w:tcPr>
          <w:p w14:paraId="6F1FDB11" w14:textId="77777777" w:rsidR="00000000" w:rsidRDefault="0053651E">
            <w:pPr>
              <w:jc w:val="right"/>
              <w:rPr>
                <w:rFonts w:eastAsia="Times New Roman"/>
                <w:sz w:val="16"/>
                <w:szCs w:val="16"/>
              </w:rPr>
            </w:pPr>
            <w:r>
              <w:rPr>
                <w:rFonts w:eastAsia="Times New Roman"/>
                <w:sz w:val="16"/>
                <w:szCs w:val="16"/>
              </w:rPr>
              <w:t>2,420,318</w:t>
            </w:r>
          </w:p>
        </w:tc>
        <w:tc>
          <w:tcPr>
            <w:tcW w:w="350" w:type="pct"/>
            <w:shd w:val="clear" w:color="auto" w:fill="FFFFFF"/>
            <w:vAlign w:val="bottom"/>
            <w:hideMark/>
          </w:tcPr>
          <w:p w14:paraId="3423FF35" w14:textId="77777777" w:rsidR="00000000" w:rsidRDefault="0053651E">
            <w:pPr>
              <w:jc w:val="right"/>
              <w:rPr>
                <w:rFonts w:eastAsia="Times New Roman"/>
                <w:sz w:val="16"/>
                <w:szCs w:val="16"/>
              </w:rPr>
            </w:pPr>
            <w:r>
              <w:rPr>
                <w:rFonts w:eastAsia="Times New Roman"/>
                <w:sz w:val="16"/>
                <w:szCs w:val="16"/>
              </w:rPr>
              <w:t>2,750,044</w:t>
            </w:r>
          </w:p>
        </w:tc>
        <w:tc>
          <w:tcPr>
            <w:tcW w:w="400" w:type="pct"/>
            <w:shd w:val="clear" w:color="auto" w:fill="FFFFFF"/>
            <w:vAlign w:val="bottom"/>
            <w:hideMark/>
          </w:tcPr>
          <w:p w14:paraId="64025A9C" w14:textId="77777777" w:rsidR="00000000" w:rsidRDefault="0053651E">
            <w:pPr>
              <w:jc w:val="right"/>
              <w:rPr>
                <w:rFonts w:eastAsia="Times New Roman"/>
                <w:sz w:val="16"/>
                <w:szCs w:val="16"/>
              </w:rPr>
            </w:pPr>
            <w:r>
              <w:rPr>
                <w:rFonts w:eastAsia="Times New Roman"/>
                <w:sz w:val="16"/>
                <w:szCs w:val="16"/>
              </w:rPr>
              <w:t>406,125</w:t>
            </w:r>
          </w:p>
        </w:tc>
        <w:tc>
          <w:tcPr>
            <w:tcW w:w="50" w:type="pct"/>
            <w:shd w:val="clear" w:color="auto" w:fill="FFFFFF"/>
            <w:vAlign w:val="bottom"/>
            <w:hideMark/>
          </w:tcPr>
          <w:p w14:paraId="495B020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3692A25" w14:textId="77777777" w:rsidR="00000000" w:rsidRDefault="0053651E">
            <w:pPr>
              <w:jc w:val="right"/>
              <w:rPr>
                <w:rFonts w:eastAsia="Times New Roman"/>
                <w:sz w:val="16"/>
                <w:szCs w:val="16"/>
              </w:rPr>
            </w:pPr>
            <w:r>
              <w:rPr>
                <w:rFonts w:eastAsia="Times New Roman"/>
                <w:sz w:val="16"/>
                <w:szCs w:val="16"/>
              </w:rPr>
              <w:t>2,343,919</w:t>
            </w:r>
          </w:p>
        </w:tc>
        <w:tc>
          <w:tcPr>
            <w:tcW w:w="50" w:type="pct"/>
            <w:shd w:val="clear" w:color="auto" w:fill="FFFFFF"/>
            <w:vAlign w:val="bottom"/>
            <w:hideMark/>
          </w:tcPr>
          <w:p w14:paraId="3482AD5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4411C5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0E98D8D"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70B21013" w14:textId="77777777">
        <w:trPr>
          <w:tblCellSpacing w:w="0" w:type="dxa"/>
        </w:trPr>
        <w:tc>
          <w:tcPr>
            <w:tcW w:w="50" w:type="pct"/>
            <w:shd w:val="clear" w:color="auto" w:fill="CCEEFF"/>
            <w:vAlign w:val="bottom"/>
            <w:hideMark/>
          </w:tcPr>
          <w:p w14:paraId="7630FD5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074DE15" w14:textId="77777777" w:rsidR="00000000" w:rsidRDefault="0053651E">
            <w:pPr>
              <w:pStyle w:val="a3"/>
              <w:spacing w:before="0" w:beforeAutospacing="0" w:after="0" w:afterAutospacing="0"/>
              <w:rPr>
                <w:sz w:val="16"/>
                <w:szCs w:val="16"/>
              </w:rPr>
            </w:pPr>
            <w:r>
              <w:rPr>
                <w:sz w:val="16"/>
                <w:szCs w:val="16"/>
              </w:rPr>
              <w:t>CORAL POINTE S.C.</w:t>
            </w:r>
          </w:p>
        </w:tc>
        <w:tc>
          <w:tcPr>
            <w:tcW w:w="150" w:type="pct"/>
            <w:shd w:val="clear" w:color="auto" w:fill="CCEEFF"/>
            <w:vAlign w:val="bottom"/>
            <w:hideMark/>
          </w:tcPr>
          <w:p w14:paraId="2E78AADD"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63FB4F4" w14:textId="77777777" w:rsidR="00000000" w:rsidRDefault="0053651E">
            <w:pPr>
              <w:jc w:val="right"/>
              <w:rPr>
                <w:rFonts w:eastAsia="Times New Roman"/>
                <w:sz w:val="16"/>
                <w:szCs w:val="16"/>
              </w:rPr>
            </w:pPr>
            <w:r>
              <w:rPr>
                <w:rFonts w:eastAsia="Times New Roman"/>
                <w:sz w:val="16"/>
                <w:szCs w:val="16"/>
              </w:rPr>
              <w:t>2,411,608</w:t>
            </w:r>
          </w:p>
        </w:tc>
        <w:tc>
          <w:tcPr>
            <w:tcW w:w="550" w:type="pct"/>
            <w:shd w:val="clear" w:color="auto" w:fill="CCEEFF"/>
            <w:vAlign w:val="bottom"/>
            <w:hideMark/>
          </w:tcPr>
          <w:p w14:paraId="350DD839" w14:textId="77777777" w:rsidR="00000000" w:rsidRDefault="0053651E">
            <w:pPr>
              <w:jc w:val="right"/>
              <w:rPr>
                <w:rFonts w:eastAsia="Times New Roman"/>
                <w:sz w:val="16"/>
                <w:szCs w:val="16"/>
              </w:rPr>
            </w:pPr>
            <w:r>
              <w:rPr>
                <w:rFonts w:eastAsia="Times New Roman"/>
                <w:sz w:val="16"/>
                <w:szCs w:val="16"/>
              </w:rPr>
              <w:t>20,507,735</w:t>
            </w:r>
          </w:p>
        </w:tc>
        <w:tc>
          <w:tcPr>
            <w:tcW w:w="350" w:type="pct"/>
            <w:shd w:val="clear" w:color="auto" w:fill="CCEEFF"/>
            <w:vAlign w:val="bottom"/>
            <w:hideMark/>
          </w:tcPr>
          <w:p w14:paraId="6F2CC58A" w14:textId="77777777" w:rsidR="00000000" w:rsidRDefault="0053651E">
            <w:pPr>
              <w:jc w:val="right"/>
              <w:rPr>
                <w:rFonts w:eastAsia="Times New Roman"/>
                <w:sz w:val="16"/>
                <w:szCs w:val="16"/>
              </w:rPr>
            </w:pPr>
            <w:r>
              <w:rPr>
                <w:rFonts w:eastAsia="Times New Roman"/>
                <w:sz w:val="16"/>
                <w:szCs w:val="16"/>
              </w:rPr>
              <w:t>609,267</w:t>
            </w:r>
          </w:p>
        </w:tc>
        <w:tc>
          <w:tcPr>
            <w:tcW w:w="300" w:type="pct"/>
            <w:shd w:val="clear" w:color="auto" w:fill="CCEEFF"/>
            <w:vAlign w:val="bottom"/>
            <w:hideMark/>
          </w:tcPr>
          <w:p w14:paraId="23A3403C" w14:textId="77777777" w:rsidR="00000000" w:rsidRDefault="0053651E">
            <w:pPr>
              <w:jc w:val="right"/>
              <w:rPr>
                <w:rFonts w:eastAsia="Times New Roman"/>
                <w:sz w:val="16"/>
                <w:szCs w:val="16"/>
              </w:rPr>
            </w:pPr>
            <w:r>
              <w:rPr>
                <w:rFonts w:eastAsia="Times New Roman"/>
                <w:sz w:val="16"/>
                <w:szCs w:val="16"/>
              </w:rPr>
              <w:t>2,411,608</w:t>
            </w:r>
          </w:p>
        </w:tc>
        <w:tc>
          <w:tcPr>
            <w:tcW w:w="450" w:type="pct"/>
            <w:shd w:val="clear" w:color="auto" w:fill="CCEEFF"/>
            <w:vAlign w:val="bottom"/>
            <w:hideMark/>
          </w:tcPr>
          <w:p w14:paraId="48E41670" w14:textId="77777777" w:rsidR="00000000" w:rsidRDefault="0053651E">
            <w:pPr>
              <w:jc w:val="right"/>
              <w:rPr>
                <w:rFonts w:eastAsia="Times New Roman"/>
                <w:sz w:val="16"/>
                <w:szCs w:val="16"/>
              </w:rPr>
            </w:pPr>
            <w:r>
              <w:rPr>
                <w:rFonts w:eastAsia="Times New Roman"/>
                <w:sz w:val="16"/>
                <w:szCs w:val="16"/>
              </w:rPr>
              <w:t>21,117,002</w:t>
            </w:r>
          </w:p>
        </w:tc>
        <w:tc>
          <w:tcPr>
            <w:tcW w:w="350" w:type="pct"/>
            <w:shd w:val="clear" w:color="auto" w:fill="CCEEFF"/>
            <w:vAlign w:val="bottom"/>
            <w:hideMark/>
          </w:tcPr>
          <w:p w14:paraId="713D9BF4" w14:textId="77777777" w:rsidR="00000000" w:rsidRDefault="0053651E">
            <w:pPr>
              <w:jc w:val="right"/>
              <w:rPr>
                <w:rFonts w:eastAsia="Times New Roman"/>
                <w:sz w:val="16"/>
                <w:szCs w:val="16"/>
              </w:rPr>
            </w:pPr>
            <w:r>
              <w:rPr>
                <w:rFonts w:eastAsia="Times New Roman"/>
                <w:sz w:val="16"/>
                <w:szCs w:val="16"/>
              </w:rPr>
              <w:t>23,528,610</w:t>
            </w:r>
          </w:p>
        </w:tc>
        <w:tc>
          <w:tcPr>
            <w:tcW w:w="400" w:type="pct"/>
            <w:shd w:val="clear" w:color="auto" w:fill="CCEEFF"/>
            <w:vAlign w:val="bottom"/>
            <w:hideMark/>
          </w:tcPr>
          <w:p w14:paraId="6394D49A" w14:textId="77777777" w:rsidR="00000000" w:rsidRDefault="0053651E">
            <w:pPr>
              <w:jc w:val="right"/>
              <w:rPr>
                <w:rFonts w:eastAsia="Times New Roman"/>
                <w:sz w:val="16"/>
                <w:szCs w:val="16"/>
              </w:rPr>
            </w:pPr>
            <w:r>
              <w:rPr>
                <w:rFonts w:eastAsia="Times New Roman"/>
                <w:sz w:val="16"/>
                <w:szCs w:val="16"/>
              </w:rPr>
              <w:t>3,507,027</w:t>
            </w:r>
          </w:p>
        </w:tc>
        <w:tc>
          <w:tcPr>
            <w:tcW w:w="50" w:type="pct"/>
            <w:shd w:val="clear" w:color="auto" w:fill="CCEEFF"/>
            <w:vAlign w:val="bottom"/>
            <w:hideMark/>
          </w:tcPr>
          <w:p w14:paraId="5FAD069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BE399BE" w14:textId="77777777" w:rsidR="00000000" w:rsidRDefault="0053651E">
            <w:pPr>
              <w:jc w:val="right"/>
              <w:rPr>
                <w:rFonts w:eastAsia="Times New Roman"/>
                <w:sz w:val="16"/>
                <w:szCs w:val="16"/>
              </w:rPr>
            </w:pPr>
            <w:r>
              <w:rPr>
                <w:rFonts w:eastAsia="Times New Roman"/>
                <w:sz w:val="16"/>
                <w:szCs w:val="16"/>
              </w:rPr>
              <w:t>20,021,583</w:t>
            </w:r>
          </w:p>
        </w:tc>
        <w:tc>
          <w:tcPr>
            <w:tcW w:w="50" w:type="pct"/>
            <w:shd w:val="clear" w:color="auto" w:fill="CCEEFF"/>
            <w:vAlign w:val="bottom"/>
            <w:hideMark/>
          </w:tcPr>
          <w:p w14:paraId="358DC64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AFD14E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A177360"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7D040C22" w14:textId="77777777">
        <w:trPr>
          <w:tblCellSpacing w:w="0" w:type="dxa"/>
        </w:trPr>
        <w:tc>
          <w:tcPr>
            <w:tcW w:w="50" w:type="pct"/>
            <w:shd w:val="clear" w:color="auto" w:fill="FFFFFF"/>
            <w:vAlign w:val="bottom"/>
            <w:hideMark/>
          </w:tcPr>
          <w:p w14:paraId="7A1F9FC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A42D298" w14:textId="77777777" w:rsidR="00000000" w:rsidRDefault="0053651E">
            <w:pPr>
              <w:pStyle w:val="a3"/>
              <w:spacing w:before="0" w:beforeAutospacing="0" w:after="0" w:afterAutospacing="0"/>
              <w:rPr>
                <w:sz w:val="16"/>
                <w:szCs w:val="16"/>
              </w:rPr>
            </w:pPr>
            <w:r>
              <w:rPr>
                <w:sz w:val="16"/>
                <w:szCs w:val="16"/>
              </w:rPr>
              <w:t>DANIA POINTE</w:t>
            </w:r>
          </w:p>
        </w:tc>
        <w:tc>
          <w:tcPr>
            <w:tcW w:w="150" w:type="pct"/>
            <w:shd w:val="clear" w:color="auto" w:fill="FFFFFF"/>
            <w:vAlign w:val="bottom"/>
            <w:hideMark/>
          </w:tcPr>
          <w:p w14:paraId="6095D79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6F7C11BE" w14:textId="77777777" w:rsidR="00000000" w:rsidRDefault="0053651E">
            <w:pPr>
              <w:jc w:val="right"/>
              <w:rPr>
                <w:rFonts w:eastAsia="Times New Roman"/>
                <w:sz w:val="16"/>
                <w:szCs w:val="16"/>
              </w:rPr>
            </w:pPr>
            <w:r>
              <w:rPr>
                <w:rFonts w:eastAsia="Times New Roman"/>
                <w:sz w:val="16"/>
                <w:szCs w:val="16"/>
              </w:rPr>
              <w:t>105,113,024</w:t>
            </w:r>
          </w:p>
        </w:tc>
        <w:tc>
          <w:tcPr>
            <w:tcW w:w="550" w:type="pct"/>
            <w:shd w:val="clear" w:color="auto" w:fill="FFFFFF"/>
            <w:vAlign w:val="bottom"/>
            <w:hideMark/>
          </w:tcPr>
          <w:p w14:paraId="05C1A315"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709A163F" w14:textId="77777777" w:rsidR="00000000" w:rsidRDefault="0053651E">
            <w:pPr>
              <w:jc w:val="right"/>
              <w:rPr>
                <w:rFonts w:eastAsia="Times New Roman"/>
                <w:sz w:val="16"/>
                <w:szCs w:val="16"/>
              </w:rPr>
            </w:pPr>
            <w:r>
              <w:rPr>
                <w:rFonts w:eastAsia="Times New Roman"/>
                <w:sz w:val="16"/>
                <w:szCs w:val="16"/>
              </w:rPr>
              <w:t>31,366,749</w:t>
            </w:r>
          </w:p>
        </w:tc>
        <w:tc>
          <w:tcPr>
            <w:tcW w:w="300" w:type="pct"/>
            <w:shd w:val="clear" w:color="auto" w:fill="FFFFFF"/>
            <w:vAlign w:val="bottom"/>
            <w:hideMark/>
          </w:tcPr>
          <w:p w14:paraId="625462E0" w14:textId="77777777" w:rsidR="00000000" w:rsidRDefault="0053651E">
            <w:pPr>
              <w:jc w:val="right"/>
              <w:rPr>
                <w:rFonts w:eastAsia="Times New Roman"/>
                <w:sz w:val="16"/>
                <w:szCs w:val="16"/>
              </w:rPr>
            </w:pPr>
            <w:r>
              <w:rPr>
                <w:rFonts w:eastAsia="Times New Roman"/>
                <w:sz w:val="16"/>
                <w:szCs w:val="16"/>
              </w:rPr>
              <w:t>26,093,655</w:t>
            </w:r>
          </w:p>
        </w:tc>
        <w:tc>
          <w:tcPr>
            <w:tcW w:w="450" w:type="pct"/>
            <w:shd w:val="clear" w:color="auto" w:fill="FFFFFF"/>
            <w:vAlign w:val="bottom"/>
            <w:hideMark/>
          </w:tcPr>
          <w:p w14:paraId="5A620C1B" w14:textId="77777777" w:rsidR="00000000" w:rsidRDefault="0053651E">
            <w:pPr>
              <w:jc w:val="right"/>
              <w:rPr>
                <w:rFonts w:eastAsia="Times New Roman"/>
                <w:sz w:val="16"/>
                <w:szCs w:val="16"/>
              </w:rPr>
            </w:pPr>
            <w:r>
              <w:rPr>
                <w:rFonts w:eastAsia="Times New Roman"/>
                <w:sz w:val="16"/>
                <w:szCs w:val="16"/>
              </w:rPr>
              <w:t>110,386,118</w:t>
            </w:r>
          </w:p>
        </w:tc>
        <w:tc>
          <w:tcPr>
            <w:tcW w:w="350" w:type="pct"/>
            <w:shd w:val="clear" w:color="auto" w:fill="FFFFFF"/>
            <w:vAlign w:val="bottom"/>
            <w:hideMark/>
          </w:tcPr>
          <w:p w14:paraId="7E7754C0" w14:textId="77777777" w:rsidR="00000000" w:rsidRDefault="0053651E">
            <w:pPr>
              <w:jc w:val="right"/>
              <w:rPr>
                <w:rFonts w:eastAsia="Times New Roman"/>
                <w:sz w:val="16"/>
                <w:szCs w:val="16"/>
              </w:rPr>
            </w:pPr>
            <w:r>
              <w:rPr>
                <w:rFonts w:eastAsia="Times New Roman"/>
                <w:sz w:val="16"/>
                <w:szCs w:val="16"/>
              </w:rPr>
              <w:t>136,479,773</w:t>
            </w:r>
          </w:p>
        </w:tc>
        <w:tc>
          <w:tcPr>
            <w:tcW w:w="400" w:type="pct"/>
            <w:shd w:val="clear" w:color="auto" w:fill="FFFFFF"/>
            <w:vAlign w:val="bottom"/>
            <w:hideMark/>
          </w:tcPr>
          <w:p w14:paraId="42FB4E00" w14:textId="77777777" w:rsidR="00000000" w:rsidRDefault="0053651E">
            <w:pPr>
              <w:jc w:val="right"/>
              <w:rPr>
                <w:rFonts w:eastAsia="Times New Roman"/>
                <w:sz w:val="16"/>
                <w:szCs w:val="16"/>
              </w:rPr>
            </w:pPr>
            <w:r>
              <w:rPr>
                <w:rFonts w:eastAsia="Times New Roman"/>
                <w:sz w:val="16"/>
                <w:szCs w:val="16"/>
              </w:rPr>
              <w:t>2,197,976</w:t>
            </w:r>
          </w:p>
        </w:tc>
        <w:tc>
          <w:tcPr>
            <w:tcW w:w="50" w:type="pct"/>
            <w:shd w:val="clear" w:color="auto" w:fill="FFFFFF"/>
            <w:vAlign w:val="bottom"/>
            <w:hideMark/>
          </w:tcPr>
          <w:p w14:paraId="3DEC206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6A3F76C" w14:textId="77777777" w:rsidR="00000000" w:rsidRDefault="0053651E">
            <w:pPr>
              <w:jc w:val="right"/>
              <w:rPr>
                <w:rFonts w:eastAsia="Times New Roman"/>
                <w:sz w:val="16"/>
                <w:szCs w:val="16"/>
              </w:rPr>
            </w:pPr>
            <w:r>
              <w:rPr>
                <w:rFonts w:eastAsia="Times New Roman"/>
                <w:sz w:val="16"/>
                <w:szCs w:val="16"/>
              </w:rPr>
              <w:t>134,281,797</w:t>
            </w:r>
          </w:p>
        </w:tc>
        <w:tc>
          <w:tcPr>
            <w:tcW w:w="50" w:type="pct"/>
            <w:shd w:val="clear" w:color="auto" w:fill="FFFFFF"/>
            <w:vAlign w:val="bottom"/>
            <w:hideMark/>
          </w:tcPr>
          <w:p w14:paraId="7B57A23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BF69907" w14:textId="77777777" w:rsidR="00000000" w:rsidRDefault="0053651E">
            <w:pPr>
              <w:jc w:val="right"/>
              <w:rPr>
                <w:rFonts w:eastAsia="Times New Roman"/>
                <w:sz w:val="16"/>
                <w:szCs w:val="16"/>
              </w:rPr>
            </w:pPr>
            <w:r>
              <w:rPr>
                <w:rFonts w:eastAsia="Times New Roman"/>
                <w:sz w:val="16"/>
                <w:szCs w:val="16"/>
              </w:rPr>
              <w:t>66,616,007</w:t>
            </w:r>
          </w:p>
        </w:tc>
        <w:tc>
          <w:tcPr>
            <w:tcW w:w="500" w:type="pct"/>
            <w:shd w:val="clear" w:color="auto" w:fill="FFFFFF"/>
            <w:vAlign w:val="bottom"/>
            <w:hideMark/>
          </w:tcPr>
          <w:p w14:paraId="6E59905C" w14:textId="77777777" w:rsidR="00000000" w:rsidRDefault="0053651E">
            <w:pPr>
              <w:pStyle w:val="a3"/>
              <w:spacing w:before="0" w:beforeAutospacing="0" w:after="0" w:afterAutospacing="0"/>
              <w:jc w:val="center"/>
              <w:rPr>
                <w:sz w:val="16"/>
                <w:szCs w:val="16"/>
              </w:rPr>
            </w:pPr>
            <w:r>
              <w:rPr>
                <w:rStyle w:val="a6"/>
                <w:i w:val="0"/>
                <w:iCs w:val="0"/>
                <w:sz w:val="16"/>
                <w:szCs w:val="16"/>
              </w:rPr>
              <w:t>2016(C)</w:t>
            </w:r>
          </w:p>
        </w:tc>
      </w:tr>
    </w:tbl>
    <w:p w14:paraId="1F527827"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2041"/>
        <w:gridCol w:w="232"/>
        <w:gridCol w:w="720"/>
        <w:gridCol w:w="800"/>
        <w:gridCol w:w="827"/>
        <w:gridCol w:w="800"/>
        <w:gridCol w:w="800"/>
        <w:gridCol w:w="800"/>
        <w:gridCol w:w="720"/>
        <w:gridCol w:w="40"/>
        <w:gridCol w:w="800"/>
        <w:gridCol w:w="40"/>
        <w:gridCol w:w="54"/>
        <w:gridCol w:w="543"/>
      </w:tblGrid>
      <w:tr w:rsidR="00000000" w14:paraId="329793B6" w14:textId="77777777">
        <w:trPr>
          <w:tblCellSpacing w:w="0" w:type="dxa"/>
        </w:trPr>
        <w:tc>
          <w:tcPr>
            <w:tcW w:w="50" w:type="pct"/>
            <w:shd w:val="clear" w:color="auto" w:fill="CCEEFF"/>
            <w:vAlign w:val="bottom"/>
            <w:hideMark/>
          </w:tcPr>
          <w:p w14:paraId="39D8372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6C7A0FD" w14:textId="77777777" w:rsidR="00000000" w:rsidRDefault="0053651E">
            <w:pPr>
              <w:pStyle w:val="a3"/>
              <w:spacing w:before="0" w:beforeAutospacing="0" w:after="0" w:afterAutospacing="0"/>
              <w:rPr>
                <w:sz w:val="16"/>
                <w:szCs w:val="16"/>
              </w:rPr>
            </w:pPr>
            <w:r>
              <w:rPr>
                <w:sz w:val="16"/>
                <w:szCs w:val="16"/>
              </w:rPr>
              <w:t>DANIA POINTE - PHASE II (3)</w:t>
            </w:r>
          </w:p>
        </w:tc>
        <w:tc>
          <w:tcPr>
            <w:tcW w:w="150" w:type="pct"/>
            <w:shd w:val="clear" w:color="auto" w:fill="CCEEFF"/>
            <w:vAlign w:val="bottom"/>
            <w:hideMark/>
          </w:tcPr>
          <w:p w14:paraId="2377E600"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49BF4A8B"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CCEEFF"/>
            <w:vAlign w:val="bottom"/>
            <w:hideMark/>
          </w:tcPr>
          <w:p w14:paraId="4A9B8758"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4BA4146F" w14:textId="77777777" w:rsidR="00000000" w:rsidRDefault="0053651E">
            <w:pPr>
              <w:jc w:val="right"/>
              <w:rPr>
                <w:rFonts w:eastAsia="Times New Roman"/>
                <w:sz w:val="16"/>
                <w:szCs w:val="16"/>
              </w:rPr>
            </w:pPr>
            <w:r>
              <w:rPr>
                <w:rFonts w:eastAsia="Times New Roman"/>
                <w:sz w:val="16"/>
                <w:szCs w:val="16"/>
              </w:rPr>
              <w:t>220,170,209</w:t>
            </w:r>
          </w:p>
        </w:tc>
        <w:tc>
          <w:tcPr>
            <w:tcW w:w="300" w:type="pct"/>
            <w:shd w:val="clear" w:color="auto" w:fill="CCEEFF"/>
            <w:vAlign w:val="bottom"/>
            <w:hideMark/>
          </w:tcPr>
          <w:p w14:paraId="70B0BB84" w14:textId="77777777" w:rsidR="00000000" w:rsidRDefault="0053651E">
            <w:pPr>
              <w:jc w:val="right"/>
              <w:rPr>
                <w:rFonts w:eastAsia="Times New Roman"/>
                <w:sz w:val="16"/>
                <w:szCs w:val="16"/>
              </w:rPr>
            </w:pPr>
            <w:r>
              <w:rPr>
                <w:rFonts w:eastAsia="Times New Roman"/>
                <w:sz w:val="16"/>
                <w:szCs w:val="16"/>
              </w:rPr>
              <w:t>220,170,209</w:t>
            </w:r>
          </w:p>
        </w:tc>
        <w:tc>
          <w:tcPr>
            <w:tcW w:w="450" w:type="pct"/>
            <w:shd w:val="clear" w:color="auto" w:fill="CCEEFF"/>
            <w:vAlign w:val="bottom"/>
            <w:hideMark/>
          </w:tcPr>
          <w:p w14:paraId="4716A4F3"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4AC2CAA1" w14:textId="77777777" w:rsidR="00000000" w:rsidRDefault="0053651E">
            <w:pPr>
              <w:jc w:val="right"/>
              <w:rPr>
                <w:rFonts w:eastAsia="Times New Roman"/>
                <w:sz w:val="16"/>
                <w:szCs w:val="16"/>
              </w:rPr>
            </w:pPr>
            <w:r>
              <w:rPr>
                <w:rFonts w:eastAsia="Times New Roman"/>
                <w:sz w:val="16"/>
                <w:szCs w:val="16"/>
              </w:rPr>
              <w:t>220,170,209</w:t>
            </w:r>
          </w:p>
        </w:tc>
        <w:tc>
          <w:tcPr>
            <w:tcW w:w="400" w:type="pct"/>
            <w:shd w:val="clear" w:color="auto" w:fill="CCEEFF"/>
            <w:vAlign w:val="bottom"/>
            <w:hideMark/>
          </w:tcPr>
          <w:p w14:paraId="2DE45FDA"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3DEE1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BE47FB0" w14:textId="77777777" w:rsidR="00000000" w:rsidRDefault="0053651E">
            <w:pPr>
              <w:jc w:val="right"/>
              <w:rPr>
                <w:rFonts w:eastAsia="Times New Roman"/>
                <w:sz w:val="16"/>
                <w:szCs w:val="16"/>
              </w:rPr>
            </w:pPr>
            <w:r>
              <w:rPr>
                <w:rFonts w:eastAsia="Times New Roman"/>
                <w:sz w:val="16"/>
                <w:szCs w:val="16"/>
              </w:rPr>
              <w:t>220,170,209</w:t>
            </w:r>
          </w:p>
        </w:tc>
        <w:tc>
          <w:tcPr>
            <w:tcW w:w="50" w:type="pct"/>
            <w:shd w:val="clear" w:color="auto" w:fill="CCEEFF"/>
            <w:vAlign w:val="bottom"/>
            <w:hideMark/>
          </w:tcPr>
          <w:p w14:paraId="480362C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4F1059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D71675F" w14:textId="77777777" w:rsidR="00000000" w:rsidRDefault="0053651E">
            <w:pPr>
              <w:pStyle w:val="a3"/>
              <w:spacing w:before="0" w:beforeAutospacing="0" w:after="0" w:afterAutospacing="0"/>
              <w:jc w:val="center"/>
              <w:rPr>
                <w:sz w:val="16"/>
                <w:szCs w:val="16"/>
              </w:rPr>
            </w:pPr>
            <w:r>
              <w:rPr>
                <w:rStyle w:val="a6"/>
                <w:i w:val="0"/>
                <w:iCs w:val="0"/>
                <w:sz w:val="16"/>
                <w:szCs w:val="16"/>
              </w:rPr>
              <w:t>2018(C)</w:t>
            </w:r>
          </w:p>
        </w:tc>
      </w:tr>
      <w:tr w:rsidR="00000000" w14:paraId="6128B35C" w14:textId="77777777">
        <w:trPr>
          <w:tblCellSpacing w:w="0" w:type="dxa"/>
        </w:trPr>
        <w:tc>
          <w:tcPr>
            <w:tcW w:w="50" w:type="pct"/>
            <w:shd w:val="clear" w:color="auto" w:fill="FFFFFF"/>
            <w:vAlign w:val="bottom"/>
            <w:hideMark/>
          </w:tcPr>
          <w:p w14:paraId="7C0A6BA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6D1E5C0" w14:textId="77777777" w:rsidR="00000000" w:rsidRDefault="0053651E">
            <w:pPr>
              <w:pStyle w:val="a3"/>
              <w:spacing w:before="0" w:beforeAutospacing="0" w:after="0" w:afterAutospacing="0"/>
              <w:rPr>
                <w:sz w:val="16"/>
                <w:szCs w:val="16"/>
              </w:rPr>
            </w:pPr>
            <w:r>
              <w:rPr>
                <w:sz w:val="16"/>
                <w:szCs w:val="16"/>
              </w:rPr>
              <w:t>FT.LAUDERDALE/CYPRESS CREEK</w:t>
            </w:r>
          </w:p>
        </w:tc>
        <w:tc>
          <w:tcPr>
            <w:tcW w:w="150" w:type="pct"/>
            <w:shd w:val="clear" w:color="auto" w:fill="FFFFFF"/>
            <w:vAlign w:val="bottom"/>
            <w:hideMark/>
          </w:tcPr>
          <w:p w14:paraId="2D67D430"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0343FC53" w14:textId="77777777" w:rsidR="00000000" w:rsidRDefault="0053651E">
            <w:pPr>
              <w:jc w:val="right"/>
              <w:rPr>
                <w:rFonts w:eastAsia="Times New Roman"/>
                <w:sz w:val="16"/>
                <w:szCs w:val="16"/>
              </w:rPr>
            </w:pPr>
            <w:r>
              <w:rPr>
                <w:rFonts w:eastAsia="Times New Roman"/>
                <w:sz w:val="16"/>
                <w:szCs w:val="16"/>
              </w:rPr>
              <w:t>14,258,760</w:t>
            </w:r>
          </w:p>
        </w:tc>
        <w:tc>
          <w:tcPr>
            <w:tcW w:w="550" w:type="pct"/>
            <w:shd w:val="clear" w:color="auto" w:fill="FFFFFF"/>
            <w:vAlign w:val="bottom"/>
            <w:hideMark/>
          </w:tcPr>
          <w:p w14:paraId="6233A92F" w14:textId="77777777" w:rsidR="00000000" w:rsidRDefault="0053651E">
            <w:pPr>
              <w:jc w:val="right"/>
              <w:rPr>
                <w:rFonts w:eastAsia="Times New Roman"/>
                <w:sz w:val="16"/>
                <w:szCs w:val="16"/>
              </w:rPr>
            </w:pPr>
            <w:r>
              <w:rPr>
                <w:rFonts w:eastAsia="Times New Roman"/>
                <w:sz w:val="16"/>
                <w:szCs w:val="16"/>
              </w:rPr>
              <w:t>28,042,390</w:t>
            </w:r>
          </w:p>
        </w:tc>
        <w:tc>
          <w:tcPr>
            <w:tcW w:w="350" w:type="pct"/>
            <w:shd w:val="clear" w:color="auto" w:fill="FFFFFF"/>
            <w:vAlign w:val="bottom"/>
            <w:hideMark/>
          </w:tcPr>
          <w:p w14:paraId="72EE5048" w14:textId="77777777" w:rsidR="00000000" w:rsidRDefault="0053651E">
            <w:pPr>
              <w:jc w:val="right"/>
              <w:rPr>
                <w:rFonts w:eastAsia="Times New Roman"/>
                <w:sz w:val="16"/>
                <w:szCs w:val="16"/>
              </w:rPr>
            </w:pPr>
            <w:r>
              <w:rPr>
                <w:rFonts w:eastAsia="Times New Roman"/>
                <w:sz w:val="16"/>
                <w:szCs w:val="16"/>
              </w:rPr>
              <w:t>3,348,067</w:t>
            </w:r>
          </w:p>
        </w:tc>
        <w:tc>
          <w:tcPr>
            <w:tcW w:w="300" w:type="pct"/>
            <w:shd w:val="clear" w:color="auto" w:fill="FFFFFF"/>
            <w:vAlign w:val="bottom"/>
            <w:hideMark/>
          </w:tcPr>
          <w:p w14:paraId="3B8AD3B1" w14:textId="77777777" w:rsidR="00000000" w:rsidRDefault="0053651E">
            <w:pPr>
              <w:jc w:val="right"/>
              <w:rPr>
                <w:rFonts w:eastAsia="Times New Roman"/>
                <w:sz w:val="16"/>
                <w:szCs w:val="16"/>
              </w:rPr>
            </w:pPr>
            <w:r>
              <w:rPr>
                <w:rFonts w:eastAsia="Times New Roman"/>
                <w:sz w:val="16"/>
                <w:szCs w:val="16"/>
              </w:rPr>
              <w:t>14,258,760</w:t>
            </w:r>
          </w:p>
        </w:tc>
        <w:tc>
          <w:tcPr>
            <w:tcW w:w="450" w:type="pct"/>
            <w:shd w:val="clear" w:color="auto" w:fill="FFFFFF"/>
            <w:vAlign w:val="bottom"/>
            <w:hideMark/>
          </w:tcPr>
          <w:p w14:paraId="57E7F8C1" w14:textId="77777777" w:rsidR="00000000" w:rsidRDefault="0053651E">
            <w:pPr>
              <w:jc w:val="right"/>
              <w:rPr>
                <w:rFonts w:eastAsia="Times New Roman"/>
                <w:sz w:val="16"/>
                <w:szCs w:val="16"/>
              </w:rPr>
            </w:pPr>
            <w:r>
              <w:rPr>
                <w:rFonts w:eastAsia="Times New Roman"/>
                <w:sz w:val="16"/>
                <w:szCs w:val="16"/>
              </w:rPr>
              <w:t>31,390,457</w:t>
            </w:r>
          </w:p>
        </w:tc>
        <w:tc>
          <w:tcPr>
            <w:tcW w:w="350" w:type="pct"/>
            <w:shd w:val="clear" w:color="auto" w:fill="FFFFFF"/>
            <w:vAlign w:val="bottom"/>
            <w:hideMark/>
          </w:tcPr>
          <w:p w14:paraId="793EDA94" w14:textId="77777777" w:rsidR="00000000" w:rsidRDefault="0053651E">
            <w:pPr>
              <w:jc w:val="right"/>
              <w:rPr>
                <w:rFonts w:eastAsia="Times New Roman"/>
                <w:sz w:val="16"/>
                <w:szCs w:val="16"/>
              </w:rPr>
            </w:pPr>
            <w:r>
              <w:rPr>
                <w:rFonts w:eastAsia="Times New Roman"/>
                <w:sz w:val="16"/>
                <w:szCs w:val="16"/>
              </w:rPr>
              <w:t>45,649,217</w:t>
            </w:r>
          </w:p>
        </w:tc>
        <w:tc>
          <w:tcPr>
            <w:tcW w:w="400" w:type="pct"/>
            <w:shd w:val="clear" w:color="auto" w:fill="FFFFFF"/>
            <w:vAlign w:val="bottom"/>
            <w:hideMark/>
          </w:tcPr>
          <w:p w14:paraId="7B545121" w14:textId="77777777" w:rsidR="00000000" w:rsidRDefault="0053651E">
            <w:pPr>
              <w:jc w:val="right"/>
              <w:rPr>
                <w:rFonts w:eastAsia="Times New Roman"/>
                <w:sz w:val="16"/>
                <w:szCs w:val="16"/>
              </w:rPr>
            </w:pPr>
            <w:r>
              <w:rPr>
                <w:rFonts w:eastAsia="Times New Roman"/>
                <w:sz w:val="16"/>
                <w:szCs w:val="16"/>
              </w:rPr>
              <w:t>10,756,266</w:t>
            </w:r>
          </w:p>
        </w:tc>
        <w:tc>
          <w:tcPr>
            <w:tcW w:w="50" w:type="pct"/>
            <w:shd w:val="clear" w:color="auto" w:fill="FFFFFF"/>
            <w:vAlign w:val="bottom"/>
            <w:hideMark/>
          </w:tcPr>
          <w:p w14:paraId="6CB9587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D82F830" w14:textId="77777777" w:rsidR="00000000" w:rsidRDefault="0053651E">
            <w:pPr>
              <w:jc w:val="right"/>
              <w:rPr>
                <w:rFonts w:eastAsia="Times New Roman"/>
                <w:sz w:val="16"/>
                <w:szCs w:val="16"/>
              </w:rPr>
            </w:pPr>
            <w:r>
              <w:rPr>
                <w:rFonts w:eastAsia="Times New Roman"/>
                <w:sz w:val="16"/>
                <w:szCs w:val="16"/>
              </w:rPr>
              <w:t>34,892,951</w:t>
            </w:r>
          </w:p>
        </w:tc>
        <w:tc>
          <w:tcPr>
            <w:tcW w:w="50" w:type="pct"/>
            <w:shd w:val="clear" w:color="auto" w:fill="FFFFFF"/>
            <w:vAlign w:val="bottom"/>
            <w:hideMark/>
          </w:tcPr>
          <w:p w14:paraId="44781D2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F02771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C9EBF96"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3AE63CC2" w14:textId="77777777">
        <w:trPr>
          <w:tblCellSpacing w:w="0" w:type="dxa"/>
        </w:trPr>
        <w:tc>
          <w:tcPr>
            <w:tcW w:w="50" w:type="pct"/>
            <w:shd w:val="clear" w:color="auto" w:fill="CCEEFF"/>
            <w:vAlign w:val="bottom"/>
            <w:hideMark/>
          </w:tcPr>
          <w:p w14:paraId="7175B06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AFD5368" w14:textId="77777777" w:rsidR="00000000" w:rsidRDefault="0053651E">
            <w:pPr>
              <w:pStyle w:val="a3"/>
              <w:spacing w:before="0" w:beforeAutospacing="0" w:after="0" w:afterAutospacing="0"/>
              <w:rPr>
                <w:sz w:val="16"/>
                <w:szCs w:val="16"/>
              </w:rPr>
            </w:pPr>
            <w:r>
              <w:rPr>
                <w:sz w:val="16"/>
                <w:szCs w:val="16"/>
              </w:rPr>
              <w:t>HOMESTEAD-WACHTEL LAND LEASE</w:t>
            </w:r>
          </w:p>
        </w:tc>
        <w:tc>
          <w:tcPr>
            <w:tcW w:w="150" w:type="pct"/>
            <w:shd w:val="clear" w:color="auto" w:fill="CCEEFF"/>
            <w:vAlign w:val="bottom"/>
            <w:hideMark/>
          </w:tcPr>
          <w:p w14:paraId="73759D8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228978A" w14:textId="77777777" w:rsidR="00000000" w:rsidRDefault="0053651E">
            <w:pPr>
              <w:jc w:val="right"/>
              <w:rPr>
                <w:rFonts w:eastAsia="Times New Roman"/>
                <w:sz w:val="16"/>
                <w:szCs w:val="16"/>
              </w:rPr>
            </w:pPr>
            <w:r>
              <w:rPr>
                <w:rFonts w:eastAsia="Times New Roman"/>
                <w:sz w:val="16"/>
                <w:szCs w:val="16"/>
              </w:rPr>
              <w:t>150,000</w:t>
            </w:r>
          </w:p>
        </w:tc>
        <w:tc>
          <w:tcPr>
            <w:tcW w:w="550" w:type="pct"/>
            <w:shd w:val="clear" w:color="auto" w:fill="CCEEFF"/>
            <w:vAlign w:val="bottom"/>
            <w:hideMark/>
          </w:tcPr>
          <w:p w14:paraId="6A4A40CD"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3DA4F71B"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7CA8903C" w14:textId="77777777" w:rsidR="00000000" w:rsidRDefault="0053651E">
            <w:pPr>
              <w:jc w:val="right"/>
              <w:rPr>
                <w:rFonts w:eastAsia="Times New Roman"/>
                <w:sz w:val="16"/>
                <w:szCs w:val="16"/>
              </w:rPr>
            </w:pPr>
            <w:r>
              <w:rPr>
                <w:rFonts w:eastAsia="Times New Roman"/>
                <w:sz w:val="16"/>
                <w:szCs w:val="16"/>
              </w:rPr>
              <w:t>150,000</w:t>
            </w:r>
          </w:p>
        </w:tc>
        <w:tc>
          <w:tcPr>
            <w:tcW w:w="450" w:type="pct"/>
            <w:shd w:val="clear" w:color="auto" w:fill="CCEEFF"/>
            <w:vAlign w:val="bottom"/>
            <w:hideMark/>
          </w:tcPr>
          <w:p w14:paraId="69B24E4C"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7872A73A" w14:textId="77777777" w:rsidR="00000000" w:rsidRDefault="0053651E">
            <w:pPr>
              <w:jc w:val="right"/>
              <w:rPr>
                <w:rFonts w:eastAsia="Times New Roman"/>
                <w:sz w:val="16"/>
                <w:szCs w:val="16"/>
              </w:rPr>
            </w:pPr>
            <w:r>
              <w:rPr>
                <w:rFonts w:eastAsia="Times New Roman"/>
                <w:sz w:val="16"/>
                <w:szCs w:val="16"/>
              </w:rPr>
              <w:t>150,000</w:t>
            </w:r>
          </w:p>
        </w:tc>
        <w:tc>
          <w:tcPr>
            <w:tcW w:w="400" w:type="pct"/>
            <w:shd w:val="clear" w:color="auto" w:fill="CCEEFF"/>
            <w:vAlign w:val="bottom"/>
            <w:hideMark/>
          </w:tcPr>
          <w:p w14:paraId="6186524E"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9106C7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61D6A1F" w14:textId="77777777" w:rsidR="00000000" w:rsidRDefault="0053651E">
            <w:pPr>
              <w:jc w:val="right"/>
              <w:rPr>
                <w:rFonts w:eastAsia="Times New Roman"/>
                <w:sz w:val="16"/>
                <w:szCs w:val="16"/>
              </w:rPr>
            </w:pPr>
            <w:r>
              <w:rPr>
                <w:rFonts w:eastAsia="Times New Roman"/>
                <w:sz w:val="16"/>
                <w:szCs w:val="16"/>
              </w:rPr>
              <w:t>150,000</w:t>
            </w:r>
          </w:p>
        </w:tc>
        <w:tc>
          <w:tcPr>
            <w:tcW w:w="50" w:type="pct"/>
            <w:shd w:val="clear" w:color="auto" w:fill="CCEEFF"/>
            <w:vAlign w:val="bottom"/>
            <w:hideMark/>
          </w:tcPr>
          <w:p w14:paraId="317CE1E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EF449E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CC489C6"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2C529E5D" w14:textId="77777777">
        <w:trPr>
          <w:tblCellSpacing w:w="0" w:type="dxa"/>
        </w:trPr>
        <w:tc>
          <w:tcPr>
            <w:tcW w:w="50" w:type="pct"/>
            <w:shd w:val="clear" w:color="auto" w:fill="FFFFFF"/>
            <w:vAlign w:val="bottom"/>
            <w:hideMark/>
          </w:tcPr>
          <w:p w14:paraId="2DB5B16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E6458FF" w14:textId="77777777" w:rsidR="00000000" w:rsidRDefault="0053651E">
            <w:pPr>
              <w:pStyle w:val="a3"/>
              <w:spacing w:before="0" w:beforeAutospacing="0" w:after="0" w:afterAutospacing="0"/>
              <w:rPr>
                <w:sz w:val="16"/>
                <w:szCs w:val="16"/>
              </w:rPr>
            </w:pPr>
            <w:r>
              <w:rPr>
                <w:sz w:val="16"/>
                <w:szCs w:val="16"/>
              </w:rPr>
              <w:t>OAKWOOD PLAZA NORTH</w:t>
            </w:r>
          </w:p>
        </w:tc>
        <w:tc>
          <w:tcPr>
            <w:tcW w:w="150" w:type="pct"/>
            <w:shd w:val="clear" w:color="auto" w:fill="FFFFFF"/>
            <w:vAlign w:val="bottom"/>
            <w:hideMark/>
          </w:tcPr>
          <w:p w14:paraId="5AB70387"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3A0F4A87" w14:textId="77777777" w:rsidR="00000000" w:rsidRDefault="0053651E">
            <w:pPr>
              <w:jc w:val="right"/>
              <w:rPr>
                <w:rFonts w:eastAsia="Times New Roman"/>
                <w:sz w:val="16"/>
                <w:szCs w:val="16"/>
              </w:rPr>
            </w:pPr>
            <w:r>
              <w:rPr>
                <w:rFonts w:eastAsia="Times New Roman"/>
                <w:sz w:val="16"/>
                <w:szCs w:val="16"/>
              </w:rPr>
              <w:t>35,300,961</w:t>
            </w:r>
          </w:p>
        </w:tc>
        <w:tc>
          <w:tcPr>
            <w:tcW w:w="550" w:type="pct"/>
            <w:shd w:val="clear" w:color="auto" w:fill="FFFFFF"/>
            <w:vAlign w:val="bottom"/>
            <w:hideMark/>
          </w:tcPr>
          <w:p w14:paraId="77AAF9E0" w14:textId="77777777" w:rsidR="00000000" w:rsidRDefault="0053651E">
            <w:pPr>
              <w:jc w:val="right"/>
              <w:rPr>
                <w:rFonts w:eastAsia="Times New Roman"/>
                <w:sz w:val="16"/>
                <w:szCs w:val="16"/>
              </w:rPr>
            </w:pPr>
            <w:r>
              <w:rPr>
                <w:rFonts w:eastAsia="Times New Roman"/>
                <w:sz w:val="16"/>
                <w:szCs w:val="16"/>
              </w:rPr>
              <w:t>141,731,019</w:t>
            </w:r>
          </w:p>
        </w:tc>
        <w:tc>
          <w:tcPr>
            <w:tcW w:w="350" w:type="pct"/>
            <w:shd w:val="clear" w:color="auto" w:fill="FFFFFF"/>
            <w:vAlign w:val="bottom"/>
            <w:hideMark/>
          </w:tcPr>
          <w:p w14:paraId="75410899" w14:textId="77777777" w:rsidR="00000000" w:rsidRDefault="0053651E">
            <w:pPr>
              <w:jc w:val="right"/>
              <w:rPr>
                <w:rFonts w:eastAsia="Times New Roman"/>
                <w:sz w:val="16"/>
                <w:szCs w:val="16"/>
              </w:rPr>
            </w:pPr>
            <w:r>
              <w:rPr>
                <w:rFonts w:eastAsia="Times New Roman"/>
                <w:sz w:val="16"/>
                <w:szCs w:val="16"/>
              </w:rPr>
              <w:t>(247,550)</w:t>
            </w:r>
          </w:p>
        </w:tc>
        <w:tc>
          <w:tcPr>
            <w:tcW w:w="300" w:type="pct"/>
            <w:shd w:val="clear" w:color="auto" w:fill="FFFFFF"/>
            <w:vAlign w:val="bottom"/>
            <w:hideMark/>
          </w:tcPr>
          <w:p w14:paraId="5AF3CA18" w14:textId="77777777" w:rsidR="00000000" w:rsidRDefault="0053651E">
            <w:pPr>
              <w:jc w:val="right"/>
              <w:rPr>
                <w:rFonts w:eastAsia="Times New Roman"/>
                <w:sz w:val="16"/>
                <w:szCs w:val="16"/>
              </w:rPr>
            </w:pPr>
            <w:r>
              <w:rPr>
                <w:rFonts w:eastAsia="Times New Roman"/>
                <w:sz w:val="16"/>
                <w:szCs w:val="16"/>
              </w:rPr>
              <w:t>35,300,961</w:t>
            </w:r>
          </w:p>
        </w:tc>
        <w:tc>
          <w:tcPr>
            <w:tcW w:w="450" w:type="pct"/>
            <w:shd w:val="clear" w:color="auto" w:fill="FFFFFF"/>
            <w:vAlign w:val="bottom"/>
            <w:hideMark/>
          </w:tcPr>
          <w:p w14:paraId="559CE5F1" w14:textId="77777777" w:rsidR="00000000" w:rsidRDefault="0053651E">
            <w:pPr>
              <w:jc w:val="right"/>
              <w:rPr>
                <w:rFonts w:eastAsia="Times New Roman"/>
                <w:sz w:val="16"/>
                <w:szCs w:val="16"/>
              </w:rPr>
            </w:pPr>
            <w:r>
              <w:rPr>
                <w:rFonts w:eastAsia="Times New Roman"/>
                <w:sz w:val="16"/>
                <w:szCs w:val="16"/>
              </w:rPr>
              <w:t>141,483,469</w:t>
            </w:r>
          </w:p>
        </w:tc>
        <w:tc>
          <w:tcPr>
            <w:tcW w:w="350" w:type="pct"/>
            <w:shd w:val="clear" w:color="auto" w:fill="FFFFFF"/>
            <w:vAlign w:val="bottom"/>
            <w:hideMark/>
          </w:tcPr>
          <w:p w14:paraId="7F2E259D" w14:textId="77777777" w:rsidR="00000000" w:rsidRDefault="0053651E">
            <w:pPr>
              <w:jc w:val="right"/>
              <w:rPr>
                <w:rFonts w:eastAsia="Times New Roman"/>
                <w:sz w:val="16"/>
                <w:szCs w:val="16"/>
              </w:rPr>
            </w:pPr>
            <w:r>
              <w:rPr>
                <w:rFonts w:eastAsia="Times New Roman"/>
                <w:sz w:val="16"/>
                <w:szCs w:val="16"/>
              </w:rPr>
              <w:t>176,784,430</w:t>
            </w:r>
          </w:p>
        </w:tc>
        <w:tc>
          <w:tcPr>
            <w:tcW w:w="400" w:type="pct"/>
            <w:shd w:val="clear" w:color="auto" w:fill="FFFFFF"/>
            <w:vAlign w:val="bottom"/>
            <w:hideMark/>
          </w:tcPr>
          <w:p w14:paraId="2865FAC9" w14:textId="77777777" w:rsidR="00000000" w:rsidRDefault="0053651E">
            <w:pPr>
              <w:jc w:val="right"/>
              <w:rPr>
                <w:rFonts w:eastAsia="Times New Roman"/>
                <w:sz w:val="16"/>
                <w:szCs w:val="16"/>
              </w:rPr>
            </w:pPr>
            <w:r>
              <w:rPr>
                <w:rFonts w:eastAsia="Times New Roman"/>
                <w:sz w:val="16"/>
                <w:szCs w:val="16"/>
              </w:rPr>
              <w:t>18,280,715</w:t>
            </w:r>
          </w:p>
        </w:tc>
        <w:tc>
          <w:tcPr>
            <w:tcW w:w="50" w:type="pct"/>
            <w:shd w:val="clear" w:color="auto" w:fill="FFFFFF"/>
            <w:vAlign w:val="bottom"/>
            <w:hideMark/>
          </w:tcPr>
          <w:p w14:paraId="6B52C98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2096DEB" w14:textId="77777777" w:rsidR="00000000" w:rsidRDefault="0053651E">
            <w:pPr>
              <w:jc w:val="right"/>
              <w:rPr>
                <w:rFonts w:eastAsia="Times New Roman"/>
                <w:sz w:val="16"/>
                <w:szCs w:val="16"/>
              </w:rPr>
            </w:pPr>
            <w:r>
              <w:rPr>
                <w:rFonts w:eastAsia="Times New Roman"/>
                <w:sz w:val="16"/>
                <w:szCs w:val="16"/>
              </w:rPr>
              <w:t>158,503,715</w:t>
            </w:r>
          </w:p>
        </w:tc>
        <w:tc>
          <w:tcPr>
            <w:tcW w:w="50" w:type="pct"/>
            <w:shd w:val="clear" w:color="auto" w:fill="FFFFFF"/>
            <w:vAlign w:val="bottom"/>
            <w:hideMark/>
          </w:tcPr>
          <w:p w14:paraId="1ECACD9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53D6E3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0BB4BAB"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64973FE4" w14:textId="77777777">
        <w:trPr>
          <w:tblCellSpacing w:w="0" w:type="dxa"/>
        </w:trPr>
        <w:tc>
          <w:tcPr>
            <w:tcW w:w="50" w:type="pct"/>
            <w:shd w:val="clear" w:color="auto" w:fill="CCEEFF"/>
            <w:vAlign w:val="bottom"/>
            <w:hideMark/>
          </w:tcPr>
          <w:p w14:paraId="789214F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73A9857" w14:textId="77777777" w:rsidR="00000000" w:rsidRDefault="0053651E">
            <w:pPr>
              <w:pStyle w:val="a3"/>
              <w:spacing w:before="0" w:beforeAutospacing="0" w:after="0" w:afterAutospacing="0"/>
              <w:rPr>
                <w:sz w:val="16"/>
                <w:szCs w:val="16"/>
              </w:rPr>
            </w:pPr>
            <w:r>
              <w:rPr>
                <w:sz w:val="16"/>
                <w:szCs w:val="16"/>
              </w:rPr>
              <w:t>OAKWOOD PLAZA SOUTH</w:t>
            </w:r>
          </w:p>
        </w:tc>
        <w:tc>
          <w:tcPr>
            <w:tcW w:w="150" w:type="pct"/>
            <w:shd w:val="clear" w:color="auto" w:fill="CCEEFF"/>
            <w:vAlign w:val="bottom"/>
            <w:hideMark/>
          </w:tcPr>
          <w:p w14:paraId="3DF30C9C"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30378FB2" w14:textId="77777777" w:rsidR="00000000" w:rsidRDefault="0053651E">
            <w:pPr>
              <w:jc w:val="right"/>
              <w:rPr>
                <w:rFonts w:eastAsia="Times New Roman"/>
                <w:sz w:val="16"/>
                <w:szCs w:val="16"/>
              </w:rPr>
            </w:pPr>
            <w:r>
              <w:rPr>
                <w:rFonts w:eastAsia="Times New Roman"/>
                <w:sz w:val="16"/>
                <w:szCs w:val="16"/>
              </w:rPr>
              <w:t>11,126,609</w:t>
            </w:r>
          </w:p>
        </w:tc>
        <w:tc>
          <w:tcPr>
            <w:tcW w:w="550" w:type="pct"/>
            <w:shd w:val="clear" w:color="auto" w:fill="CCEEFF"/>
            <w:vAlign w:val="bottom"/>
            <w:hideMark/>
          </w:tcPr>
          <w:p w14:paraId="5E905D07" w14:textId="77777777" w:rsidR="00000000" w:rsidRDefault="0053651E">
            <w:pPr>
              <w:jc w:val="right"/>
              <w:rPr>
                <w:rFonts w:eastAsia="Times New Roman"/>
                <w:sz w:val="16"/>
                <w:szCs w:val="16"/>
              </w:rPr>
            </w:pPr>
            <w:r>
              <w:rPr>
                <w:rFonts w:eastAsia="Times New Roman"/>
                <w:sz w:val="16"/>
                <w:szCs w:val="16"/>
              </w:rPr>
              <w:t>40,592,103</w:t>
            </w:r>
          </w:p>
        </w:tc>
        <w:tc>
          <w:tcPr>
            <w:tcW w:w="350" w:type="pct"/>
            <w:shd w:val="clear" w:color="auto" w:fill="CCEEFF"/>
            <w:vAlign w:val="bottom"/>
            <w:hideMark/>
          </w:tcPr>
          <w:p w14:paraId="634DCCAD" w14:textId="77777777" w:rsidR="00000000" w:rsidRDefault="0053651E">
            <w:pPr>
              <w:jc w:val="right"/>
              <w:rPr>
                <w:rFonts w:eastAsia="Times New Roman"/>
                <w:sz w:val="16"/>
                <w:szCs w:val="16"/>
              </w:rPr>
            </w:pPr>
            <w:r>
              <w:rPr>
                <w:rFonts w:eastAsia="Times New Roman"/>
                <w:sz w:val="16"/>
                <w:szCs w:val="16"/>
              </w:rPr>
              <w:t>(66,541)</w:t>
            </w:r>
          </w:p>
        </w:tc>
        <w:tc>
          <w:tcPr>
            <w:tcW w:w="300" w:type="pct"/>
            <w:shd w:val="clear" w:color="auto" w:fill="CCEEFF"/>
            <w:vAlign w:val="bottom"/>
            <w:hideMark/>
          </w:tcPr>
          <w:p w14:paraId="3AB201B5" w14:textId="77777777" w:rsidR="00000000" w:rsidRDefault="0053651E">
            <w:pPr>
              <w:jc w:val="right"/>
              <w:rPr>
                <w:rFonts w:eastAsia="Times New Roman"/>
                <w:sz w:val="16"/>
                <w:szCs w:val="16"/>
              </w:rPr>
            </w:pPr>
            <w:r>
              <w:rPr>
                <w:rFonts w:eastAsia="Times New Roman"/>
                <w:sz w:val="16"/>
                <w:szCs w:val="16"/>
              </w:rPr>
              <w:t>11,126,609</w:t>
            </w:r>
          </w:p>
        </w:tc>
        <w:tc>
          <w:tcPr>
            <w:tcW w:w="450" w:type="pct"/>
            <w:shd w:val="clear" w:color="auto" w:fill="CCEEFF"/>
            <w:vAlign w:val="bottom"/>
            <w:hideMark/>
          </w:tcPr>
          <w:p w14:paraId="59F85611" w14:textId="77777777" w:rsidR="00000000" w:rsidRDefault="0053651E">
            <w:pPr>
              <w:jc w:val="right"/>
              <w:rPr>
                <w:rFonts w:eastAsia="Times New Roman"/>
                <w:sz w:val="16"/>
                <w:szCs w:val="16"/>
              </w:rPr>
            </w:pPr>
            <w:r>
              <w:rPr>
                <w:rFonts w:eastAsia="Times New Roman"/>
                <w:sz w:val="16"/>
                <w:szCs w:val="16"/>
              </w:rPr>
              <w:t>40,525,562</w:t>
            </w:r>
          </w:p>
        </w:tc>
        <w:tc>
          <w:tcPr>
            <w:tcW w:w="350" w:type="pct"/>
            <w:shd w:val="clear" w:color="auto" w:fill="CCEEFF"/>
            <w:vAlign w:val="bottom"/>
            <w:hideMark/>
          </w:tcPr>
          <w:p w14:paraId="270AB7CC" w14:textId="77777777" w:rsidR="00000000" w:rsidRDefault="0053651E">
            <w:pPr>
              <w:jc w:val="right"/>
              <w:rPr>
                <w:rFonts w:eastAsia="Times New Roman"/>
                <w:sz w:val="16"/>
                <w:szCs w:val="16"/>
              </w:rPr>
            </w:pPr>
            <w:r>
              <w:rPr>
                <w:rFonts w:eastAsia="Times New Roman"/>
                <w:sz w:val="16"/>
                <w:szCs w:val="16"/>
              </w:rPr>
              <w:t>51,652,171</w:t>
            </w:r>
          </w:p>
        </w:tc>
        <w:tc>
          <w:tcPr>
            <w:tcW w:w="400" w:type="pct"/>
            <w:shd w:val="clear" w:color="auto" w:fill="CCEEFF"/>
            <w:vAlign w:val="bottom"/>
            <w:hideMark/>
          </w:tcPr>
          <w:p w14:paraId="6139DCFB" w14:textId="77777777" w:rsidR="00000000" w:rsidRDefault="0053651E">
            <w:pPr>
              <w:jc w:val="right"/>
              <w:rPr>
                <w:rFonts w:eastAsia="Times New Roman"/>
                <w:sz w:val="16"/>
                <w:szCs w:val="16"/>
              </w:rPr>
            </w:pPr>
            <w:r>
              <w:rPr>
                <w:rFonts w:eastAsia="Times New Roman"/>
                <w:sz w:val="16"/>
                <w:szCs w:val="16"/>
              </w:rPr>
              <w:t>5,587,292</w:t>
            </w:r>
          </w:p>
        </w:tc>
        <w:tc>
          <w:tcPr>
            <w:tcW w:w="50" w:type="pct"/>
            <w:shd w:val="clear" w:color="auto" w:fill="CCEEFF"/>
            <w:vAlign w:val="bottom"/>
            <w:hideMark/>
          </w:tcPr>
          <w:p w14:paraId="03DF7B2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F844536" w14:textId="77777777" w:rsidR="00000000" w:rsidRDefault="0053651E">
            <w:pPr>
              <w:jc w:val="right"/>
              <w:rPr>
                <w:rFonts w:eastAsia="Times New Roman"/>
                <w:sz w:val="16"/>
                <w:szCs w:val="16"/>
              </w:rPr>
            </w:pPr>
            <w:r>
              <w:rPr>
                <w:rFonts w:eastAsia="Times New Roman"/>
                <w:sz w:val="16"/>
                <w:szCs w:val="16"/>
              </w:rPr>
              <w:t>46,064,879</w:t>
            </w:r>
          </w:p>
        </w:tc>
        <w:tc>
          <w:tcPr>
            <w:tcW w:w="50" w:type="pct"/>
            <w:shd w:val="clear" w:color="auto" w:fill="CCEEFF"/>
            <w:vAlign w:val="bottom"/>
            <w:hideMark/>
          </w:tcPr>
          <w:p w14:paraId="005FEB6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AD5BC0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49A7569"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2805A89A" w14:textId="77777777">
        <w:trPr>
          <w:tblCellSpacing w:w="0" w:type="dxa"/>
        </w:trPr>
        <w:tc>
          <w:tcPr>
            <w:tcW w:w="50" w:type="pct"/>
            <w:shd w:val="clear" w:color="auto" w:fill="FFFFFF"/>
            <w:vAlign w:val="bottom"/>
            <w:hideMark/>
          </w:tcPr>
          <w:p w14:paraId="197B0CA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0A25CE8" w14:textId="77777777" w:rsidR="00000000" w:rsidRDefault="0053651E">
            <w:pPr>
              <w:pStyle w:val="a3"/>
              <w:spacing w:before="0" w:beforeAutospacing="0" w:after="0" w:afterAutospacing="0"/>
              <w:rPr>
                <w:sz w:val="16"/>
                <w:szCs w:val="16"/>
              </w:rPr>
            </w:pPr>
            <w:r>
              <w:rPr>
                <w:sz w:val="16"/>
                <w:szCs w:val="16"/>
              </w:rPr>
              <w:t>OAKWOOD BUSINESS CTR-BLDG 1</w:t>
            </w:r>
          </w:p>
        </w:tc>
        <w:tc>
          <w:tcPr>
            <w:tcW w:w="150" w:type="pct"/>
            <w:shd w:val="clear" w:color="auto" w:fill="FFFFFF"/>
            <w:vAlign w:val="bottom"/>
            <w:hideMark/>
          </w:tcPr>
          <w:p w14:paraId="0FD30720"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2DC51E1C" w14:textId="77777777" w:rsidR="00000000" w:rsidRDefault="0053651E">
            <w:pPr>
              <w:jc w:val="right"/>
              <w:rPr>
                <w:rFonts w:eastAsia="Times New Roman"/>
                <w:sz w:val="16"/>
                <w:szCs w:val="16"/>
              </w:rPr>
            </w:pPr>
            <w:r>
              <w:rPr>
                <w:rFonts w:eastAsia="Times New Roman"/>
                <w:sz w:val="16"/>
                <w:szCs w:val="16"/>
              </w:rPr>
              <w:t>6,792,500</w:t>
            </w:r>
          </w:p>
        </w:tc>
        <w:tc>
          <w:tcPr>
            <w:tcW w:w="550" w:type="pct"/>
            <w:shd w:val="clear" w:color="auto" w:fill="FFFFFF"/>
            <w:vAlign w:val="bottom"/>
            <w:hideMark/>
          </w:tcPr>
          <w:p w14:paraId="7E20D695" w14:textId="77777777" w:rsidR="00000000" w:rsidRDefault="0053651E">
            <w:pPr>
              <w:jc w:val="right"/>
              <w:rPr>
                <w:rFonts w:eastAsia="Times New Roman"/>
                <w:sz w:val="16"/>
                <w:szCs w:val="16"/>
              </w:rPr>
            </w:pPr>
            <w:r>
              <w:rPr>
                <w:rFonts w:eastAsia="Times New Roman"/>
                <w:sz w:val="16"/>
                <w:szCs w:val="16"/>
              </w:rPr>
              <w:t>18,662,565</w:t>
            </w:r>
          </w:p>
        </w:tc>
        <w:tc>
          <w:tcPr>
            <w:tcW w:w="350" w:type="pct"/>
            <w:shd w:val="clear" w:color="auto" w:fill="FFFFFF"/>
            <w:vAlign w:val="bottom"/>
            <w:hideMark/>
          </w:tcPr>
          <w:p w14:paraId="4CD51E18" w14:textId="77777777" w:rsidR="00000000" w:rsidRDefault="0053651E">
            <w:pPr>
              <w:jc w:val="right"/>
              <w:rPr>
                <w:rFonts w:eastAsia="Times New Roman"/>
                <w:sz w:val="16"/>
                <w:szCs w:val="16"/>
              </w:rPr>
            </w:pPr>
            <w:r>
              <w:rPr>
                <w:rFonts w:eastAsia="Times New Roman"/>
                <w:sz w:val="16"/>
                <w:szCs w:val="16"/>
              </w:rPr>
              <w:t>3,041,822</w:t>
            </w:r>
          </w:p>
        </w:tc>
        <w:tc>
          <w:tcPr>
            <w:tcW w:w="300" w:type="pct"/>
            <w:shd w:val="clear" w:color="auto" w:fill="FFFFFF"/>
            <w:vAlign w:val="bottom"/>
            <w:hideMark/>
          </w:tcPr>
          <w:p w14:paraId="26F06440" w14:textId="77777777" w:rsidR="00000000" w:rsidRDefault="0053651E">
            <w:pPr>
              <w:jc w:val="right"/>
              <w:rPr>
                <w:rFonts w:eastAsia="Times New Roman"/>
                <w:sz w:val="16"/>
                <w:szCs w:val="16"/>
              </w:rPr>
            </w:pPr>
            <w:r>
              <w:rPr>
                <w:rFonts w:eastAsia="Times New Roman"/>
                <w:sz w:val="16"/>
                <w:szCs w:val="16"/>
              </w:rPr>
              <w:t>6,792,500</w:t>
            </w:r>
          </w:p>
        </w:tc>
        <w:tc>
          <w:tcPr>
            <w:tcW w:w="450" w:type="pct"/>
            <w:shd w:val="clear" w:color="auto" w:fill="FFFFFF"/>
            <w:vAlign w:val="bottom"/>
            <w:hideMark/>
          </w:tcPr>
          <w:p w14:paraId="6F42A372" w14:textId="77777777" w:rsidR="00000000" w:rsidRDefault="0053651E">
            <w:pPr>
              <w:jc w:val="right"/>
              <w:rPr>
                <w:rFonts w:eastAsia="Times New Roman"/>
                <w:sz w:val="16"/>
                <w:szCs w:val="16"/>
              </w:rPr>
            </w:pPr>
            <w:r>
              <w:rPr>
                <w:rFonts w:eastAsia="Times New Roman"/>
                <w:sz w:val="16"/>
                <w:szCs w:val="16"/>
              </w:rPr>
              <w:t>21,704,387</w:t>
            </w:r>
          </w:p>
        </w:tc>
        <w:tc>
          <w:tcPr>
            <w:tcW w:w="350" w:type="pct"/>
            <w:shd w:val="clear" w:color="auto" w:fill="FFFFFF"/>
            <w:vAlign w:val="bottom"/>
            <w:hideMark/>
          </w:tcPr>
          <w:p w14:paraId="6A852F18" w14:textId="77777777" w:rsidR="00000000" w:rsidRDefault="0053651E">
            <w:pPr>
              <w:jc w:val="right"/>
              <w:rPr>
                <w:rFonts w:eastAsia="Times New Roman"/>
                <w:sz w:val="16"/>
                <w:szCs w:val="16"/>
              </w:rPr>
            </w:pPr>
            <w:r>
              <w:rPr>
                <w:rFonts w:eastAsia="Times New Roman"/>
                <w:sz w:val="16"/>
                <w:szCs w:val="16"/>
              </w:rPr>
              <w:t>28,496,887</w:t>
            </w:r>
          </w:p>
        </w:tc>
        <w:tc>
          <w:tcPr>
            <w:tcW w:w="400" w:type="pct"/>
            <w:shd w:val="clear" w:color="auto" w:fill="FFFFFF"/>
            <w:vAlign w:val="bottom"/>
            <w:hideMark/>
          </w:tcPr>
          <w:p w14:paraId="126C8E1A" w14:textId="77777777" w:rsidR="00000000" w:rsidRDefault="0053651E">
            <w:pPr>
              <w:jc w:val="right"/>
              <w:rPr>
                <w:rFonts w:eastAsia="Times New Roman"/>
                <w:sz w:val="16"/>
                <w:szCs w:val="16"/>
              </w:rPr>
            </w:pPr>
            <w:r>
              <w:rPr>
                <w:rFonts w:eastAsia="Times New Roman"/>
                <w:sz w:val="16"/>
                <w:szCs w:val="16"/>
              </w:rPr>
              <w:t>7,048,519</w:t>
            </w:r>
          </w:p>
        </w:tc>
        <w:tc>
          <w:tcPr>
            <w:tcW w:w="50" w:type="pct"/>
            <w:shd w:val="clear" w:color="auto" w:fill="FFFFFF"/>
            <w:vAlign w:val="bottom"/>
            <w:hideMark/>
          </w:tcPr>
          <w:p w14:paraId="699441E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7B024AF" w14:textId="77777777" w:rsidR="00000000" w:rsidRDefault="0053651E">
            <w:pPr>
              <w:jc w:val="right"/>
              <w:rPr>
                <w:rFonts w:eastAsia="Times New Roman"/>
                <w:sz w:val="16"/>
                <w:szCs w:val="16"/>
              </w:rPr>
            </w:pPr>
            <w:r>
              <w:rPr>
                <w:rFonts w:eastAsia="Times New Roman"/>
                <w:sz w:val="16"/>
                <w:szCs w:val="16"/>
              </w:rPr>
              <w:t>21,448,368</w:t>
            </w:r>
          </w:p>
        </w:tc>
        <w:tc>
          <w:tcPr>
            <w:tcW w:w="50" w:type="pct"/>
            <w:shd w:val="clear" w:color="auto" w:fill="FFFFFF"/>
            <w:vAlign w:val="bottom"/>
            <w:hideMark/>
          </w:tcPr>
          <w:p w14:paraId="3B7C468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9A9C9A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1AA2977"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01AB825C" w14:textId="77777777">
        <w:trPr>
          <w:tblCellSpacing w:w="0" w:type="dxa"/>
        </w:trPr>
        <w:tc>
          <w:tcPr>
            <w:tcW w:w="50" w:type="pct"/>
            <w:shd w:val="clear" w:color="auto" w:fill="CCEEFF"/>
            <w:vAlign w:val="bottom"/>
            <w:hideMark/>
          </w:tcPr>
          <w:p w14:paraId="7C21E4D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B554EEB" w14:textId="77777777" w:rsidR="00000000" w:rsidRDefault="0053651E">
            <w:pPr>
              <w:pStyle w:val="a3"/>
              <w:spacing w:before="0" w:beforeAutospacing="0" w:after="0" w:afterAutospacing="0"/>
              <w:rPr>
                <w:sz w:val="16"/>
                <w:szCs w:val="16"/>
              </w:rPr>
            </w:pPr>
            <w:r>
              <w:rPr>
                <w:sz w:val="16"/>
                <w:szCs w:val="16"/>
              </w:rPr>
              <w:t>KIMCO AVENUES WALK, LLC</w:t>
            </w:r>
          </w:p>
        </w:tc>
        <w:tc>
          <w:tcPr>
            <w:tcW w:w="150" w:type="pct"/>
            <w:shd w:val="clear" w:color="auto" w:fill="CCEEFF"/>
            <w:vAlign w:val="bottom"/>
            <w:hideMark/>
          </w:tcPr>
          <w:p w14:paraId="52C17166"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22842B3" w14:textId="77777777" w:rsidR="00000000" w:rsidRDefault="0053651E">
            <w:pPr>
              <w:jc w:val="right"/>
              <w:rPr>
                <w:rFonts w:eastAsia="Times New Roman"/>
                <w:sz w:val="16"/>
                <w:szCs w:val="16"/>
              </w:rPr>
            </w:pPr>
            <w:r>
              <w:rPr>
                <w:rFonts w:eastAsia="Times New Roman"/>
                <w:sz w:val="16"/>
                <w:szCs w:val="16"/>
              </w:rPr>
              <w:t>26,984,546</w:t>
            </w:r>
          </w:p>
        </w:tc>
        <w:tc>
          <w:tcPr>
            <w:tcW w:w="550" w:type="pct"/>
            <w:shd w:val="clear" w:color="auto" w:fill="CCEEFF"/>
            <w:vAlign w:val="bottom"/>
            <w:hideMark/>
          </w:tcPr>
          <w:p w14:paraId="3D93B567"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66A30B3B" w14:textId="77777777" w:rsidR="00000000" w:rsidRDefault="0053651E">
            <w:pPr>
              <w:jc w:val="right"/>
              <w:rPr>
                <w:rFonts w:eastAsia="Times New Roman"/>
                <w:sz w:val="16"/>
                <w:szCs w:val="16"/>
              </w:rPr>
            </w:pPr>
            <w:r>
              <w:rPr>
                <w:rFonts w:eastAsia="Times New Roman"/>
                <w:sz w:val="16"/>
                <w:szCs w:val="16"/>
              </w:rPr>
              <w:t>(16,224,546)</w:t>
            </w:r>
          </w:p>
        </w:tc>
        <w:tc>
          <w:tcPr>
            <w:tcW w:w="300" w:type="pct"/>
            <w:shd w:val="clear" w:color="auto" w:fill="CCEEFF"/>
            <w:vAlign w:val="bottom"/>
            <w:hideMark/>
          </w:tcPr>
          <w:p w14:paraId="17F2B5F8" w14:textId="77777777" w:rsidR="00000000" w:rsidRDefault="0053651E">
            <w:pPr>
              <w:jc w:val="right"/>
              <w:rPr>
                <w:rFonts w:eastAsia="Times New Roman"/>
                <w:sz w:val="16"/>
                <w:szCs w:val="16"/>
              </w:rPr>
            </w:pPr>
            <w:r>
              <w:rPr>
                <w:rFonts w:eastAsia="Times New Roman"/>
                <w:sz w:val="16"/>
                <w:szCs w:val="16"/>
              </w:rPr>
              <w:t>10,760,000</w:t>
            </w:r>
          </w:p>
        </w:tc>
        <w:tc>
          <w:tcPr>
            <w:tcW w:w="450" w:type="pct"/>
            <w:shd w:val="clear" w:color="auto" w:fill="CCEEFF"/>
            <w:vAlign w:val="bottom"/>
            <w:hideMark/>
          </w:tcPr>
          <w:p w14:paraId="553BB546"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6EA61186" w14:textId="77777777" w:rsidR="00000000" w:rsidRDefault="0053651E">
            <w:pPr>
              <w:jc w:val="right"/>
              <w:rPr>
                <w:rFonts w:eastAsia="Times New Roman"/>
                <w:sz w:val="16"/>
                <w:szCs w:val="16"/>
              </w:rPr>
            </w:pPr>
            <w:r>
              <w:rPr>
                <w:rFonts w:eastAsia="Times New Roman"/>
                <w:sz w:val="16"/>
                <w:szCs w:val="16"/>
              </w:rPr>
              <w:t>10,760,000</w:t>
            </w:r>
          </w:p>
        </w:tc>
        <w:tc>
          <w:tcPr>
            <w:tcW w:w="400" w:type="pct"/>
            <w:shd w:val="clear" w:color="auto" w:fill="CCEEFF"/>
            <w:vAlign w:val="bottom"/>
            <w:hideMark/>
          </w:tcPr>
          <w:p w14:paraId="73FB2C60"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E251E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66C6AC6" w14:textId="77777777" w:rsidR="00000000" w:rsidRDefault="0053651E">
            <w:pPr>
              <w:jc w:val="right"/>
              <w:rPr>
                <w:rFonts w:eastAsia="Times New Roman"/>
                <w:sz w:val="16"/>
                <w:szCs w:val="16"/>
              </w:rPr>
            </w:pPr>
            <w:r>
              <w:rPr>
                <w:rFonts w:eastAsia="Times New Roman"/>
                <w:sz w:val="16"/>
                <w:szCs w:val="16"/>
              </w:rPr>
              <w:t>10,760,000</w:t>
            </w:r>
          </w:p>
        </w:tc>
        <w:tc>
          <w:tcPr>
            <w:tcW w:w="50" w:type="pct"/>
            <w:shd w:val="clear" w:color="auto" w:fill="CCEEFF"/>
            <w:vAlign w:val="bottom"/>
            <w:hideMark/>
          </w:tcPr>
          <w:p w14:paraId="18490AB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52BFD3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39D3949" w14:textId="77777777" w:rsidR="00000000" w:rsidRDefault="0053651E">
            <w:pPr>
              <w:pStyle w:val="a3"/>
              <w:spacing w:before="0" w:beforeAutospacing="0" w:after="0" w:afterAutospacing="0"/>
              <w:jc w:val="center"/>
              <w:rPr>
                <w:sz w:val="16"/>
                <w:szCs w:val="16"/>
              </w:rPr>
            </w:pPr>
            <w:r>
              <w:rPr>
                <w:rStyle w:val="a6"/>
                <w:i w:val="0"/>
                <w:iCs w:val="0"/>
                <w:sz w:val="16"/>
                <w:szCs w:val="16"/>
              </w:rPr>
              <w:t>2005(C)</w:t>
            </w:r>
          </w:p>
        </w:tc>
      </w:tr>
      <w:tr w:rsidR="00000000" w14:paraId="207C3A62" w14:textId="77777777">
        <w:trPr>
          <w:tblCellSpacing w:w="0" w:type="dxa"/>
        </w:trPr>
        <w:tc>
          <w:tcPr>
            <w:tcW w:w="50" w:type="pct"/>
            <w:shd w:val="clear" w:color="auto" w:fill="FFFFFF"/>
            <w:vAlign w:val="bottom"/>
            <w:hideMark/>
          </w:tcPr>
          <w:p w14:paraId="2BB4B8E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F2703BD" w14:textId="77777777" w:rsidR="00000000" w:rsidRDefault="0053651E">
            <w:pPr>
              <w:pStyle w:val="a3"/>
              <w:spacing w:before="0" w:beforeAutospacing="0" w:after="0" w:afterAutospacing="0"/>
              <w:rPr>
                <w:sz w:val="16"/>
                <w:szCs w:val="16"/>
              </w:rPr>
            </w:pPr>
            <w:r>
              <w:rPr>
                <w:sz w:val="16"/>
                <w:szCs w:val="16"/>
              </w:rPr>
              <w:t>AVENUES WALK</w:t>
            </w:r>
          </w:p>
        </w:tc>
        <w:tc>
          <w:tcPr>
            <w:tcW w:w="150" w:type="pct"/>
            <w:shd w:val="clear" w:color="auto" w:fill="FFFFFF"/>
            <w:vAlign w:val="bottom"/>
            <w:hideMark/>
          </w:tcPr>
          <w:p w14:paraId="26C7378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43A96BDD" w14:textId="77777777" w:rsidR="00000000" w:rsidRDefault="0053651E">
            <w:pPr>
              <w:jc w:val="right"/>
              <w:rPr>
                <w:rFonts w:eastAsia="Times New Roman"/>
                <w:sz w:val="16"/>
                <w:szCs w:val="16"/>
              </w:rPr>
            </w:pPr>
            <w:r>
              <w:rPr>
                <w:rFonts w:eastAsia="Times New Roman"/>
                <w:sz w:val="16"/>
                <w:szCs w:val="16"/>
              </w:rPr>
              <w:t>8,169,933</w:t>
            </w:r>
          </w:p>
        </w:tc>
        <w:tc>
          <w:tcPr>
            <w:tcW w:w="550" w:type="pct"/>
            <w:shd w:val="clear" w:color="auto" w:fill="FFFFFF"/>
            <w:vAlign w:val="bottom"/>
            <w:hideMark/>
          </w:tcPr>
          <w:p w14:paraId="559BDDDE" w14:textId="77777777" w:rsidR="00000000" w:rsidRDefault="0053651E">
            <w:pPr>
              <w:jc w:val="right"/>
              <w:rPr>
                <w:rFonts w:eastAsia="Times New Roman"/>
                <w:sz w:val="16"/>
                <w:szCs w:val="16"/>
              </w:rPr>
            </w:pPr>
            <w:r>
              <w:rPr>
                <w:rFonts w:eastAsia="Times New Roman"/>
                <w:sz w:val="16"/>
                <w:szCs w:val="16"/>
              </w:rPr>
              <w:t>20,173,468</w:t>
            </w:r>
          </w:p>
        </w:tc>
        <w:tc>
          <w:tcPr>
            <w:tcW w:w="350" w:type="pct"/>
            <w:shd w:val="clear" w:color="auto" w:fill="FFFFFF"/>
            <w:vAlign w:val="bottom"/>
            <w:hideMark/>
          </w:tcPr>
          <w:p w14:paraId="579B6CA8" w14:textId="77777777" w:rsidR="00000000" w:rsidRDefault="0053651E">
            <w:pPr>
              <w:jc w:val="right"/>
              <w:rPr>
                <w:rFonts w:eastAsia="Times New Roman"/>
                <w:sz w:val="16"/>
                <w:szCs w:val="16"/>
              </w:rPr>
            </w:pPr>
            <w:r>
              <w:rPr>
                <w:rFonts w:eastAsia="Times New Roman"/>
                <w:sz w:val="16"/>
                <w:szCs w:val="16"/>
              </w:rPr>
              <w:t>(22,001,328)</w:t>
            </w:r>
          </w:p>
        </w:tc>
        <w:tc>
          <w:tcPr>
            <w:tcW w:w="300" w:type="pct"/>
            <w:shd w:val="clear" w:color="auto" w:fill="FFFFFF"/>
            <w:vAlign w:val="bottom"/>
            <w:hideMark/>
          </w:tcPr>
          <w:p w14:paraId="00A44F2A" w14:textId="77777777" w:rsidR="00000000" w:rsidRDefault="0053651E">
            <w:pPr>
              <w:jc w:val="right"/>
              <w:rPr>
                <w:rFonts w:eastAsia="Times New Roman"/>
                <w:sz w:val="16"/>
                <w:szCs w:val="16"/>
              </w:rPr>
            </w:pPr>
            <w:r>
              <w:rPr>
                <w:rFonts w:eastAsia="Times New Roman"/>
                <w:sz w:val="16"/>
                <w:szCs w:val="16"/>
              </w:rPr>
              <w:t>1,724,923</w:t>
            </w:r>
          </w:p>
        </w:tc>
        <w:tc>
          <w:tcPr>
            <w:tcW w:w="450" w:type="pct"/>
            <w:shd w:val="clear" w:color="auto" w:fill="FFFFFF"/>
            <w:vAlign w:val="bottom"/>
            <w:hideMark/>
          </w:tcPr>
          <w:p w14:paraId="3A7DA17A" w14:textId="77777777" w:rsidR="00000000" w:rsidRDefault="0053651E">
            <w:pPr>
              <w:jc w:val="right"/>
              <w:rPr>
                <w:rFonts w:eastAsia="Times New Roman"/>
                <w:sz w:val="16"/>
                <w:szCs w:val="16"/>
              </w:rPr>
            </w:pPr>
            <w:r>
              <w:rPr>
                <w:rFonts w:eastAsia="Times New Roman"/>
                <w:sz w:val="16"/>
                <w:szCs w:val="16"/>
              </w:rPr>
              <w:t>4,617,150</w:t>
            </w:r>
          </w:p>
        </w:tc>
        <w:tc>
          <w:tcPr>
            <w:tcW w:w="350" w:type="pct"/>
            <w:shd w:val="clear" w:color="auto" w:fill="FFFFFF"/>
            <w:vAlign w:val="bottom"/>
            <w:hideMark/>
          </w:tcPr>
          <w:p w14:paraId="00A8870A" w14:textId="77777777" w:rsidR="00000000" w:rsidRDefault="0053651E">
            <w:pPr>
              <w:jc w:val="right"/>
              <w:rPr>
                <w:rFonts w:eastAsia="Times New Roman"/>
                <w:sz w:val="16"/>
                <w:szCs w:val="16"/>
              </w:rPr>
            </w:pPr>
            <w:r>
              <w:rPr>
                <w:rFonts w:eastAsia="Times New Roman"/>
                <w:sz w:val="16"/>
                <w:szCs w:val="16"/>
              </w:rPr>
              <w:t>6,342,073</w:t>
            </w:r>
          </w:p>
        </w:tc>
        <w:tc>
          <w:tcPr>
            <w:tcW w:w="400" w:type="pct"/>
            <w:shd w:val="clear" w:color="auto" w:fill="FFFFFF"/>
            <w:vAlign w:val="bottom"/>
            <w:hideMark/>
          </w:tcPr>
          <w:p w14:paraId="5C512EAC" w14:textId="77777777" w:rsidR="00000000" w:rsidRDefault="0053651E">
            <w:pPr>
              <w:jc w:val="right"/>
              <w:rPr>
                <w:rFonts w:eastAsia="Times New Roman"/>
                <w:sz w:val="16"/>
                <w:szCs w:val="16"/>
              </w:rPr>
            </w:pPr>
            <w:r>
              <w:rPr>
                <w:rFonts w:eastAsia="Times New Roman"/>
                <w:sz w:val="16"/>
                <w:szCs w:val="16"/>
              </w:rPr>
              <w:t>695,547</w:t>
            </w:r>
          </w:p>
        </w:tc>
        <w:tc>
          <w:tcPr>
            <w:tcW w:w="50" w:type="pct"/>
            <w:shd w:val="clear" w:color="auto" w:fill="FFFFFF"/>
            <w:vAlign w:val="bottom"/>
            <w:hideMark/>
          </w:tcPr>
          <w:p w14:paraId="3178647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2B3D2D8" w14:textId="77777777" w:rsidR="00000000" w:rsidRDefault="0053651E">
            <w:pPr>
              <w:jc w:val="right"/>
              <w:rPr>
                <w:rFonts w:eastAsia="Times New Roman"/>
                <w:sz w:val="16"/>
                <w:szCs w:val="16"/>
              </w:rPr>
            </w:pPr>
            <w:r>
              <w:rPr>
                <w:rFonts w:eastAsia="Times New Roman"/>
                <w:sz w:val="16"/>
                <w:szCs w:val="16"/>
              </w:rPr>
              <w:t>5,646,526</w:t>
            </w:r>
          </w:p>
        </w:tc>
        <w:tc>
          <w:tcPr>
            <w:tcW w:w="50" w:type="pct"/>
            <w:shd w:val="clear" w:color="auto" w:fill="FFFFFF"/>
            <w:vAlign w:val="bottom"/>
            <w:hideMark/>
          </w:tcPr>
          <w:p w14:paraId="77AC949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2CD42E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78BFD2C"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00B335CE" w14:textId="77777777">
        <w:trPr>
          <w:tblCellSpacing w:w="0" w:type="dxa"/>
        </w:trPr>
        <w:tc>
          <w:tcPr>
            <w:tcW w:w="50" w:type="pct"/>
            <w:shd w:val="clear" w:color="auto" w:fill="CCEEFF"/>
            <w:vAlign w:val="bottom"/>
            <w:hideMark/>
          </w:tcPr>
          <w:p w14:paraId="58D87A5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3D988E3" w14:textId="77777777" w:rsidR="00000000" w:rsidRDefault="0053651E">
            <w:pPr>
              <w:pStyle w:val="a3"/>
              <w:spacing w:before="0" w:beforeAutospacing="0" w:after="0" w:afterAutospacing="0"/>
              <w:rPr>
                <w:sz w:val="16"/>
                <w:szCs w:val="16"/>
              </w:rPr>
            </w:pPr>
            <w:r>
              <w:rPr>
                <w:sz w:val="16"/>
                <w:szCs w:val="16"/>
              </w:rPr>
              <w:t>RIVERPLACE SHOPPING CTR.</w:t>
            </w:r>
          </w:p>
        </w:tc>
        <w:tc>
          <w:tcPr>
            <w:tcW w:w="150" w:type="pct"/>
            <w:shd w:val="clear" w:color="auto" w:fill="CCEEFF"/>
            <w:vAlign w:val="bottom"/>
            <w:hideMark/>
          </w:tcPr>
          <w:p w14:paraId="4B6531EC"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4391330" w14:textId="77777777" w:rsidR="00000000" w:rsidRDefault="0053651E">
            <w:pPr>
              <w:jc w:val="right"/>
              <w:rPr>
                <w:rFonts w:eastAsia="Times New Roman"/>
                <w:sz w:val="16"/>
                <w:szCs w:val="16"/>
              </w:rPr>
            </w:pPr>
            <w:r>
              <w:rPr>
                <w:rFonts w:eastAsia="Times New Roman"/>
                <w:sz w:val="16"/>
                <w:szCs w:val="16"/>
              </w:rPr>
              <w:t>7,503,282</w:t>
            </w:r>
          </w:p>
        </w:tc>
        <w:tc>
          <w:tcPr>
            <w:tcW w:w="550" w:type="pct"/>
            <w:shd w:val="clear" w:color="auto" w:fill="CCEEFF"/>
            <w:vAlign w:val="bottom"/>
            <w:hideMark/>
          </w:tcPr>
          <w:p w14:paraId="1CA1D3DC" w14:textId="77777777" w:rsidR="00000000" w:rsidRDefault="0053651E">
            <w:pPr>
              <w:jc w:val="right"/>
              <w:rPr>
                <w:rFonts w:eastAsia="Times New Roman"/>
                <w:sz w:val="16"/>
                <w:szCs w:val="16"/>
              </w:rPr>
            </w:pPr>
            <w:r>
              <w:rPr>
                <w:rFonts w:eastAsia="Times New Roman"/>
                <w:sz w:val="16"/>
                <w:szCs w:val="16"/>
              </w:rPr>
              <w:t>31,011,027</w:t>
            </w:r>
          </w:p>
        </w:tc>
        <w:tc>
          <w:tcPr>
            <w:tcW w:w="350" w:type="pct"/>
            <w:shd w:val="clear" w:color="auto" w:fill="CCEEFF"/>
            <w:vAlign w:val="bottom"/>
            <w:hideMark/>
          </w:tcPr>
          <w:p w14:paraId="074953FA" w14:textId="77777777" w:rsidR="00000000" w:rsidRDefault="0053651E">
            <w:pPr>
              <w:jc w:val="right"/>
              <w:rPr>
                <w:rFonts w:eastAsia="Times New Roman"/>
                <w:sz w:val="16"/>
                <w:szCs w:val="16"/>
              </w:rPr>
            </w:pPr>
            <w:r>
              <w:rPr>
                <w:rFonts w:eastAsia="Times New Roman"/>
                <w:sz w:val="16"/>
                <w:szCs w:val="16"/>
              </w:rPr>
              <w:t>1,749,978</w:t>
            </w:r>
          </w:p>
        </w:tc>
        <w:tc>
          <w:tcPr>
            <w:tcW w:w="300" w:type="pct"/>
            <w:shd w:val="clear" w:color="auto" w:fill="CCEEFF"/>
            <w:vAlign w:val="bottom"/>
            <w:hideMark/>
          </w:tcPr>
          <w:p w14:paraId="23274203" w14:textId="77777777" w:rsidR="00000000" w:rsidRDefault="0053651E">
            <w:pPr>
              <w:jc w:val="right"/>
              <w:rPr>
                <w:rFonts w:eastAsia="Times New Roman"/>
                <w:sz w:val="16"/>
                <w:szCs w:val="16"/>
              </w:rPr>
            </w:pPr>
            <w:r>
              <w:rPr>
                <w:rFonts w:eastAsia="Times New Roman"/>
                <w:sz w:val="16"/>
                <w:szCs w:val="16"/>
              </w:rPr>
              <w:t>7,200,050</w:t>
            </w:r>
          </w:p>
        </w:tc>
        <w:tc>
          <w:tcPr>
            <w:tcW w:w="450" w:type="pct"/>
            <w:shd w:val="clear" w:color="auto" w:fill="CCEEFF"/>
            <w:vAlign w:val="bottom"/>
            <w:hideMark/>
          </w:tcPr>
          <w:p w14:paraId="341C3CAA" w14:textId="77777777" w:rsidR="00000000" w:rsidRDefault="0053651E">
            <w:pPr>
              <w:jc w:val="right"/>
              <w:rPr>
                <w:rFonts w:eastAsia="Times New Roman"/>
                <w:sz w:val="16"/>
                <w:szCs w:val="16"/>
              </w:rPr>
            </w:pPr>
            <w:r>
              <w:rPr>
                <w:rFonts w:eastAsia="Times New Roman"/>
                <w:sz w:val="16"/>
                <w:szCs w:val="16"/>
              </w:rPr>
              <w:t>33,064,237</w:t>
            </w:r>
          </w:p>
        </w:tc>
        <w:tc>
          <w:tcPr>
            <w:tcW w:w="350" w:type="pct"/>
            <w:shd w:val="clear" w:color="auto" w:fill="CCEEFF"/>
            <w:vAlign w:val="bottom"/>
            <w:hideMark/>
          </w:tcPr>
          <w:p w14:paraId="3A501BDA" w14:textId="77777777" w:rsidR="00000000" w:rsidRDefault="0053651E">
            <w:pPr>
              <w:jc w:val="right"/>
              <w:rPr>
                <w:rFonts w:eastAsia="Times New Roman"/>
                <w:sz w:val="16"/>
                <w:szCs w:val="16"/>
              </w:rPr>
            </w:pPr>
            <w:r>
              <w:rPr>
                <w:rFonts w:eastAsia="Times New Roman"/>
                <w:sz w:val="16"/>
                <w:szCs w:val="16"/>
              </w:rPr>
              <w:t>40,264,287</w:t>
            </w:r>
          </w:p>
        </w:tc>
        <w:tc>
          <w:tcPr>
            <w:tcW w:w="400" w:type="pct"/>
            <w:shd w:val="clear" w:color="auto" w:fill="CCEEFF"/>
            <w:vAlign w:val="bottom"/>
            <w:hideMark/>
          </w:tcPr>
          <w:p w14:paraId="2E4948B9" w14:textId="77777777" w:rsidR="00000000" w:rsidRDefault="0053651E">
            <w:pPr>
              <w:jc w:val="right"/>
              <w:rPr>
                <w:rFonts w:eastAsia="Times New Roman"/>
                <w:sz w:val="16"/>
                <w:szCs w:val="16"/>
              </w:rPr>
            </w:pPr>
            <w:r>
              <w:rPr>
                <w:rFonts w:eastAsia="Times New Roman"/>
                <w:sz w:val="16"/>
                <w:szCs w:val="16"/>
              </w:rPr>
              <w:t>10,699,610</w:t>
            </w:r>
          </w:p>
        </w:tc>
        <w:tc>
          <w:tcPr>
            <w:tcW w:w="50" w:type="pct"/>
            <w:shd w:val="clear" w:color="auto" w:fill="CCEEFF"/>
            <w:vAlign w:val="bottom"/>
            <w:hideMark/>
          </w:tcPr>
          <w:p w14:paraId="4C77A27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4A0B774" w14:textId="77777777" w:rsidR="00000000" w:rsidRDefault="0053651E">
            <w:pPr>
              <w:jc w:val="right"/>
              <w:rPr>
                <w:rFonts w:eastAsia="Times New Roman"/>
                <w:sz w:val="16"/>
                <w:szCs w:val="16"/>
              </w:rPr>
            </w:pPr>
            <w:r>
              <w:rPr>
                <w:rFonts w:eastAsia="Times New Roman"/>
                <w:sz w:val="16"/>
                <w:szCs w:val="16"/>
              </w:rPr>
              <w:t>29,564,677</w:t>
            </w:r>
          </w:p>
        </w:tc>
        <w:tc>
          <w:tcPr>
            <w:tcW w:w="50" w:type="pct"/>
            <w:shd w:val="clear" w:color="auto" w:fill="CCEEFF"/>
            <w:vAlign w:val="bottom"/>
            <w:hideMark/>
          </w:tcPr>
          <w:p w14:paraId="44AA992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FC2805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3C1E677" w14:textId="77777777" w:rsidR="00000000" w:rsidRDefault="0053651E">
            <w:pPr>
              <w:pStyle w:val="a3"/>
              <w:spacing w:before="0" w:beforeAutospacing="0" w:after="0" w:afterAutospacing="0"/>
              <w:jc w:val="center"/>
              <w:rPr>
                <w:sz w:val="16"/>
                <w:szCs w:val="16"/>
              </w:rPr>
            </w:pPr>
            <w:r>
              <w:rPr>
                <w:rStyle w:val="a6"/>
                <w:i w:val="0"/>
                <w:iCs w:val="0"/>
                <w:sz w:val="16"/>
                <w:szCs w:val="16"/>
              </w:rPr>
              <w:t>2010(A)</w:t>
            </w:r>
          </w:p>
        </w:tc>
      </w:tr>
      <w:tr w:rsidR="00000000" w14:paraId="72670C65" w14:textId="77777777">
        <w:trPr>
          <w:tblCellSpacing w:w="0" w:type="dxa"/>
        </w:trPr>
        <w:tc>
          <w:tcPr>
            <w:tcW w:w="50" w:type="pct"/>
            <w:shd w:val="clear" w:color="auto" w:fill="FFFFFF"/>
            <w:vAlign w:val="bottom"/>
            <w:hideMark/>
          </w:tcPr>
          <w:p w14:paraId="7623D9C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865AA9D" w14:textId="77777777" w:rsidR="00000000" w:rsidRDefault="0053651E">
            <w:pPr>
              <w:pStyle w:val="a3"/>
              <w:spacing w:before="0" w:beforeAutospacing="0" w:after="0" w:afterAutospacing="0"/>
              <w:rPr>
                <w:sz w:val="16"/>
                <w:szCs w:val="16"/>
              </w:rPr>
            </w:pPr>
            <w:r>
              <w:rPr>
                <w:sz w:val="16"/>
                <w:szCs w:val="16"/>
              </w:rPr>
              <w:t>MERCHANTS WALK</w:t>
            </w:r>
          </w:p>
        </w:tc>
        <w:tc>
          <w:tcPr>
            <w:tcW w:w="150" w:type="pct"/>
            <w:shd w:val="clear" w:color="auto" w:fill="FFFFFF"/>
            <w:vAlign w:val="bottom"/>
            <w:hideMark/>
          </w:tcPr>
          <w:p w14:paraId="4F4F24D2"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2A4479B0" w14:textId="77777777" w:rsidR="00000000" w:rsidRDefault="0053651E">
            <w:pPr>
              <w:jc w:val="right"/>
              <w:rPr>
                <w:rFonts w:eastAsia="Times New Roman"/>
                <w:sz w:val="16"/>
                <w:szCs w:val="16"/>
              </w:rPr>
            </w:pPr>
            <w:r>
              <w:rPr>
                <w:rFonts w:eastAsia="Times New Roman"/>
                <w:sz w:val="16"/>
                <w:szCs w:val="16"/>
              </w:rPr>
              <w:t>2,580,816</w:t>
            </w:r>
          </w:p>
        </w:tc>
        <w:tc>
          <w:tcPr>
            <w:tcW w:w="550" w:type="pct"/>
            <w:shd w:val="clear" w:color="auto" w:fill="FFFFFF"/>
            <w:vAlign w:val="bottom"/>
            <w:hideMark/>
          </w:tcPr>
          <w:p w14:paraId="1FFD0FE9" w14:textId="77777777" w:rsidR="00000000" w:rsidRDefault="0053651E">
            <w:pPr>
              <w:jc w:val="right"/>
              <w:rPr>
                <w:rFonts w:eastAsia="Times New Roman"/>
                <w:sz w:val="16"/>
                <w:szCs w:val="16"/>
              </w:rPr>
            </w:pPr>
            <w:r>
              <w:rPr>
                <w:rFonts w:eastAsia="Times New Roman"/>
                <w:sz w:val="16"/>
                <w:szCs w:val="16"/>
              </w:rPr>
              <w:t>10,366,090</w:t>
            </w:r>
          </w:p>
        </w:tc>
        <w:tc>
          <w:tcPr>
            <w:tcW w:w="350" w:type="pct"/>
            <w:shd w:val="clear" w:color="auto" w:fill="FFFFFF"/>
            <w:vAlign w:val="bottom"/>
            <w:hideMark/>
          </w:tcPr>
          <w:p w14:paraId="4A580F3F" w14:textId="77777777" w:rsidR="00000000" w:rsidRDefault="0053651E">
            <w:pPr>
              <w:jc w:val="right"/>
              <w:rPr>
                <w:rFonts w:eastAsia="Times New Roman"/>
                <w:sz w:val="16"/>
                <w:szCs w:val="16"/>
              </w:rPr>
            </w:pPr>
            <w:r>
              <w:rPr>
                <w:rFonts w:eastAsia="Times New Roman"/>
                <w:sz w:val="16"/>
                <w:szCs w:val="16"/>
              </w:rPr>
              <w:t>7,229,782</w:t>
            </w:r>
          </w:p>
        </w:tc>
        <w:tc>
          <w:tcPr>
            <w:tcW w:w="300" w:type="pct"/>
            <w:shd w:val="clear" w:color="auto" w:fill="FFFFFF"/>
            <w:vAlign w:val="bottom"/>
            <w:hideMark/>
          </w:tcPr>
          <w:p w14:paraId="2F4DC72B" w14:textId="77777777" w:rsidR="00000000" w:rsidRDefault="0053651E">
            <w:pPr>
              <w:jc w:val="right"/>
              <w:rPr>
                <w:rFonts w:eastAsia="Times New Roman"/>
                <w:sz w:val="16"/>
                <w:szCs w:val="16"/>
              </w:rPr>
            </w:pPr>
            <w:r>
              <w:rPr>
                <w:rFonts w:eastAsia="Times New Roman"/>
                <w:sz w:val="16"/>
                <w:szCs w:val="16"/>
              </w:rPr>
              <w:t>2,580,816</w:t>
            </w:r>
          </w:p>
        </w:tc>
        <w:tc>
          <w:tcPr>
            <w:tcW w:w="450" w:type="pct"/>
            <w:shd w:val="clear" w:color="auto" w:fill="FFFFFF"/>
            <w:vAlign w:val="bottom"/>
            <w:hideMark/>
          </w:tcPr>
          <w:p w14:paraId="55DE89F2" w14:textId="77777777" w:rsidR="00000000" w:rsidRDefault="0053651E">
            <w:pPr>
              <w:jc w:val="right"/>
              <w:rPr>
                <w:rFonts w:eastAsia="Times New Roman"/>
                <w:sz w:val="16"/>
                <w:szCs w:val="16"/>
              </w:rPr>
            </w:pPr>
            <w:r>
              <w:rPr>
                <w:rFonts w:eastAsia="Times New Roman"/>
                <w:sz w:val="16"/>
                <w:szCs w:val="16"/>
              </w:rPr>
              <w:t>17,595,872</w:t>
            </w:r>
          </w:p>
        </w:tc>
        <w:tc>
          <w:tcPr>
            <w:tcW w:w="350" w:type="pct"/>
            <w:shd w:val="clear" w:color="auto" w:fill="FFFFFF"/>
            <w:vAlign w:val="bottom"/>
            <w:hideMark/>
          </w:tcPr>
          <w:p w14:paraId="555EF423" w14:textId="77777777" w:rsidR="00000000" w:rsidRDefault="0053651E">
            <w:pPr>
              <w:jc w:val="right"/>
              <w:rPr>
                <w:rFonts w:eastAsia="Times New Roman"/>
                <w:sz w:val="16"/>
                <w:szCs w:val="16"/>
              </w:rPr>
            </w:pPr>
            <w:r>
              <w:rPr>
                <w:rFonts w:eastAsia="Times New Roman"/>
                <w:sz w:val="16"/>
                <w:szCs w:val="16"/>
              </w:rPr>
              <w:t>20,176,688</w:t>
            </w:r>
          </w:p>
        </w:tc>
        <w:tc>
          <w:tcPr>
            <w:tcW w:w="400" w:type="pct"/>
            <w:shd w:val="clear" w:color="auto" w:fill="FFFFFF"/>
            <w:vAlign w:val="bottom"/>
            <w:hideMark/>
          </w:tcPr>
          <w:p w14:paraId="36C8B9C8" w14:textId="77777777" w:rsidR="00000000" w:rsidRDefault="0053651E">
            <w:pPr>
              <w:jc w:val="right"/>
              <w:rPr>
                <w:rFonts w:eastAsia="Times New Roman"/>
                <w:sz w:val="16"/>
                <w:szCs w:val="16"/>
              </w:rPr>
            </w:pPr>
            <w:r>
              <w:rPr>
                <w:rFonts w:eastAsia="Times New Roman"/>
                <w:sz w:val="16"/>
                <w:szCs w:val="16"/>
              </w:rPr>
              <w:t>9,916,015</w:t>
            </w:r>
          </w:p>
        </w:tc>
        <w:tc>
          <w:tcPr>
            <w:tcW w:w="50" w:type="pct"/>
            <w:shd w:val="clear" w:color="auto" w:fill="FFFFFF"/>
            <w:vAlign w:val="bottom"/>
            <w:hideMark/>
          </w:tcPr>
          <w:p w14:paraId="4D8C0A0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06A206A" w14:textId="77777777" w:rsidR="00000000" w:rsidRDefault="0053651E">
            <w:pPr>
              <w:jc w:val="right"/>
              <w:rPr>
                <w:rFonts w:eastAsia="Times New Roman"/>
                <w:sz w:val="16"/>
                <w:szCs w:val="16"/>
              </w:rPr>
            </w:pPr>
            <w:r>
              <w:rPr>
                <w:rFonts w:eastAsia="Times New Roman"/>
                <w:sz w:val="16"/>
                <w:szCs w:val="16"/>
              </w:rPr>
              <w:t>10,260,673</w:t>
            </w:r>
          </w:p>
        </w:tc>
        <w:tc>
          <w:tcPr>
            <w:tcW w:w="50" w:type="pct"/>
            <w:shd w:val="clear" w:color="auto" w:fill="FFFFFF"/>
            <w:vAlign w:val="bottom"/>
            <w:hideMark/>
          </w:tcPr>
          <w:p w14:paraId="526A42D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1943FF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F6720ED" w14:textId="77777777" w:rsidR="00000000" w:rsidRDefault="0053651E">
            <w:pPr>
              <w:pStyle w:val="a3"/>
              <w:spacing w:before="0" w:beforeAutospacing="0" w:after="0" w:afterAutospacing="0"/>
              <w:jc w:val="center"/>
              <w:rPr>
                <w:sz w:val="16"/>
                <w:szCs w:val="16"/>
              </w:rPr>
            </w:pPr>
            <w:r>
              <w:rPr>
                <w:rStyle w:val="a6"/>
                <w:i w:val="0"/>
                <w:iCs w:val="0"/>
                <w:sz w:val="16"/>
                <w:szCs w:val="16"/>
              </w:rPr>
              <w:t>2001(A)</w:t>
            </w:r>
          </w:p>
        </w:tc>
      </w:tr>
      <w:tr w:rsidR="00000000" w14:paraId="703CB0A7" w14:textId="77777777">
        <w:trPr>
          <w:tblCellSpacing w:w="0" w:type="dxa"/>
        </w:trPr>
        <w:tc>
          <w:tcPr>
            <w:tcW w:w="50" w:type="pct"/>
            <w:shd w:val="clear" w:color="auto" w:fill="CCEEFF"/>
            <w:vAlign w:val="bottom"/>
            <w:hideMark/>
          </w:tcPr>
          <w:p w14:paraId="765378E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B51F348" w14:textId="77777777" w:rsidR="00000000" w:rsidRDefault="0053651E">
            <w:pPr>
              <w:pStyle w:val="a3"/>
              <w:spacing w:before="0" w:beforeAutospacing="0" w:after="0" w:afterAutospacing="0"/>
              <w:rPr>
                <w:sz w:val="16"/>
                <w:szCs w:val="16"/>
              </w:rPr>
            </w:pPr>
            <w:r>
              <w:rPr>
                <w:sz w:val="16"/>
                <w:szCs w:val="16"/>
              </w:rPr>
              <w:t>CENTER AT MISSOURI AVENUE</w:t>
            </w:r>
          </w:p>
        </w:tc>
        <w:tc>
          <w:tcPr>
            <w:tcW w:w="150" w:type="pct"/>
            <w:shd w:val="clear" w:color="auto" w:fill="CCEEFF"/>
            <w:vAlign w:val="bottom"/>
            <w:hideMark/>
          </w:tcPr>
          <w:p w14:paraId="11EF085F"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1A20D7B1" w14:textId="77777777" w:rsidR="00000000" w:rsidRDefault="0053651E">
            <w:pPr>
              <w:jc w:val="right"/>
              <w:rPr>
                <w:rFonts w:eastAsia="Times New Roman"/>
                <w:sz w:val="16"/>
                <w:szCs w:val="16"/>
              </w:rPr>
            </w:pPr>
            <w:r>
              <w:rPr>
                <w:rFonts w:eastAsia="Times New Roman"/>
                <w:sz w:val="16"/>
                <w:szCs w:val="16"/>
              </w:rPr>
              <w:t>293,686</w:t>
            </w:r>
          </w:p>
        </w:tc>
        <w:tc>
          <w:tcPr>
            <w:tcW w:w="550" w:type="pct"/>
            <w:shd w:val="clear" w:color="auto" w:fill="CCEEFF"/>
            <w:vAlign w:val="bottom"/>
            <w:hideMark/>
          </w:tcPr>
          <w:p w14:paraId="78FF5719" w14:textId="77777777" w:rsidR="00000000" w:rsidRDefault="0053651E">
            <w:pPr>
              <w:jc w:val="right"/>
              <w:rPr>
                <w:rFonts w:eastAsia="Times New Roman"/>
                <w:sz w:val="16"/>
                <w:szCs w:val="16"/>
              </w:rPr>
            </w:pPr>
            <w:r>
              <w:rPr>
                <w:rFonts w:eastAsia="Times New Roman"/>
                <w:sz w:val="16"/>
                <w:szCs w:val="16"/>
              </w:rPr>
              <w:t>792,119</w:t>
            </w:r>
          </w:p>
        </w:tc>
        <w:tc>
          <w:tcPr>
            <w:tcW w:w="350" w:type="pct"/>
            <w:shd w:val="clear" w:color="auto" w:fill="CCEEFF"/>
            <w:vAlign w:val="bottom"/>
            <w:hideMark/>
          </w:tcPr>
          <w:p w14:paraId="76BD43F4" w14:textId="77777777" w:rsidR="00000000" w:rsidRDefault="0053651E">
            <w:pPr>
              <w:jc w:val="right"/>
              <w:rPr>
                <w:rFonts w:eastAsia="Times New Roman"/>
                <w:sz w:val="16"/>
                <w:szCs w:val="16"/>
              </w:rPr>
            </w:pPr>
            <w:r>
              <w:rPr>
                <w:rFonts w:eastAsia="Times New Roman"/>
                <w:sz w:val="16"/>
                <w:szCs w:val="16"/>
              </w:rPr>
              <w:t>7,099,628</w:t>
            </w:r>
          </w:p>
        </w:tc>
        <w:tc>
          <w:tcPr>
            <w:tcW w:w="300" w:type="pct"/>
            <w:shd w:val="clear" w:color="auto" w:fill="CCEEFF"/>
            <w:vAlign w:val="bottom"/>
            <w:hideMark/>
          </w:tcPr>
          <w:p w14:paraId="55E4DACE" w14:textId="77777777" w:rsidR="00000000" w:rsidRDefault="0053651E">
            <w:pPr>
              <w:jc w:val="right"/>
              <w:rPr>
                <w:rFonts w:eastAsia="Times New Roman"/>
                <w:sz w:val="16"/>
                <w:szCs w:val="16"/>
              </w:rPr>
            </w:pPr>
            <w:r>
              <w:rPr>
                <w:rFonts w:eastAsia="Times New Roman"/>
                <w:sz w:val="16"/>
                <w:szCs w:val="16"/>
              </w:rPr>
              <w:t>293,686</w:t>
            </w:r>
          </w:p>
        </w:tc>
        <w:tc>
          <w:tcPr>
            <w:tcW w:w="450" w:type="pct"/>
            <w:shd w:val="clear" w:color="auto" w:fill="CCEEFF"/>
            <w:vAlign w:val="bottom"/>
            <w:hideMark/>
          </w:tcPr>
          <w:p w14:paraId="47AAF1B8" w14:textId="77777777" w:rsidR="00000000" w:rsidRDefault="0053651E">
            <w:pPr>
              <w:jc w:val="right"/>
              <w:rPr>
                <w:rFonts w:eastAsia="Times New Roman"/>
                <w:sz w:val="16"/>
                <w:szCs w:val="16"/>
              </w:rPr>
            </w:pPr>
            <w:r>
              <w:rPr>
                <w:rFonts w:eastAsia="Times New Roman"/>
                <w:sz w:val="16"/>
                <w:szCs w:val="16"/>
              </w:rPr>
              <w:t>7,891,747</w:t>
            </w:r>
          </w:p>
        </w:tc>
        <w:tc>
          <w:tcPr>
            <w:tcW w:w="350" w:type="pct"/>
            <w:shd w:val="clear" w:color="auto" w:fill="CCEEFF"/>
            <w:vAlign w:val="bottom"/>
            <w:hideMark/>
          </w:tcPr>
          <w:p w14:paraId="0407F45E" w14:textId="77777777" w:rsidR="00000000" w:rsidRDefault="0053651E">
            <w:pPr>
              <w:jc w:val="right"/>
              <w:rPr>
                <w:rFonts w:eastAsia="Times New Roman"/>
                <w:sz w:val="16"/>
                <w:szCs w:val="16"/>
              </w:rPr>
            </w:pPr>
            <w:r>
              <w:rPr>
                <w:rFonts w:eastAsia="Times New Roman"/>
                <w:sz w:val="16"/>
                <w:szCs w:val="16"/>
              </w:rPr>
              <w:t>8,185,433</w:t>
            </w:r>
          </w:p>
        </w:tc>
        <w:tc>
          <w:tcPr>
            <w:tcW w:w="400" w:type="pct"/>
            <w:shd w:val="clear" w:color="auto" w:fill="CCEEFF"/>
            <w:vAlign w:val="bottom"/>
            <w:hideMark/>
          </w:tcPr>
          <w:p w14:paraId="4036696E" w14:textId="77777777" w:rsidR="00000000" w:rsidRDefault="0053651E">
            <w:pPr>
              <w:jc w:val="right"/>
              <w:rPr>
                <w:rFonts w:eastAsia="Times New Roman"/>
                <w:sz w:val="16"/>
                <w:szCs w:val="16"/>
              </w:rPr>
            </w:pPr>
            <w:r>
              <w:rPr>
                <w:rFonts w:eastAsia="Times New Roman"/>
                <w:sz w:val="16"/>
                <w:szCs w:val="16"/>
              </w:rPr>
              <w:t>2,071,410</w:t>
            </w:r>
          </w:p>
        </w:tc>
        <w:tc>
          <w:tcPr>
            <w:tcW w:w="50" w:type="pct"/>
            <w:shd w:val="clear" w:color="auto" w:fill="CCEEFF"/>
            <w:vAlign w:val="bottom"/>
            <w:hideMark/>
          </w:tcPr>
          <w:p w14:paraId="02776C0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A78959F" w14:textId="77777777" w:rsidR="00000000" w:rsidRDefault="0053651E">
            <w:pPr>
              <w:jc w:val="right"/>
              <w:rPr>
                <w:rFonts w:eastAsia="Times New Roman"/>
                <w:sz w:val="16"/>
                <w:szCs w:val="16"/>
              </w:rPr>
            </w:pPr>
            <w:r>
              <w:rPr>
                <w:rFonts w:eastAsia="Times New Roman"/>
                <w:sz w:val="16"/>
                <w:szCs w:val="16"/>
              </w:rPr>
              <w:t>6,114,023</w:t>
            </w:r>
          </w:p>
        </w:tc>
        <w:tc>
          <w:tcPr>
            <w:tcW w:w="50" w:type="pct"/>
            <w:shd w:val="clear" w:color="auto" w:fill="CCEEFF"/>
            <w:vAlign w:val="bottom"/>
            <w:hideMark/>
          </w:tcPr>
          <w:p w14:paraId="3F10D45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3B028A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814C7AB" w14:textId="77777777" w:rsidR="00000000" w:rsidRDefault="0053651E">
            <w:pPr>
              <w:pStyle w:val="a3"/>
              <w:spacing w:before="0" w:beforeAutospacing="0" w:after="0" w:afterAutospacing="0"/>
              <w:jc w:val="center"/>
              <w:rPr>
                <w:sz w:val="16"/>
                <w:szCs w:val="16"/>
              </w:rPr>
            </w:pPr>
            <w:r>
              <w:rPr>
                <w:rStyle w:val="a6"/>
                <w:i w:val="0"/>
                <w:iCs w:val="0"/>
                <w:sz w:val="16"/>
                <w:szCs w:val="16"/>
              </w:rPr>
              <w:t>1968(C)</w:t>
            </w:r>
          </w:p>
        </w:tc>
      </w:tr>
      <w:tr w:rsidR="00000000" w14:paraId="6F92A996" w14:textId="77777777">
        <w:trPr>
          <w:tblCellSpacing w:w="0" w:type="dxa"/>
        </w:trPr>
        <w:tc>
          <w:tcPr>
            <w:tcW w:w="50" w:type="pct"/>
            <w:shd w:val="clear" w:color="auto" w:fill="FFFFFF"/>
            <w:vAlign w:val="bottom"/>
            <w:hideMark/>
          </w:tcPr>
          <w:p w14:paraId="6351E61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7F4B7BA" w14:textId="77777777" w:rsidR="00000000" w:rsidRDefault="0053651E">
            <w:pPr>
              <w:pStyle w:val="a3"/>
              <w:spacing w:before="0" w:beforeAutospacing="0" w:after="0" w:afterAutospacing="0"/>
              <w:rPr>
                <w:sz w:val="16"/>
                <w:szCs w:val="16"/>
              </w:rPr>
            </w:pPr>
            <w:r>
              <w:rPr>
                <w:sz w:val="16"/>
                <w:szCs w:val="16"/>
              </w:rPr>
              <w:t>TRI-CITY PLAZA</w:t>
            </w:r>
          </w:p>
        </w:tc>
        <w:tc>
          <w:tcPr>
            <w:tcW w:w="150" w:type="pct"/>
            <w:shd w:val="clear" w:color="auto" w:fill="FFFFFF"/>
            <w:vAlign w:val="bottom"/>
            <w:hideMark/>
          </w:tcPr>
          <w:p w14:paraId="62393D5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48F2826D" w14:textId="77777777" w:rsidR="00000000" w:rsidRDefault="0053651E">
            <w:pPr>
              <w:jc w:val="right"/>
              <w:rPr>
                <w:rFonts w:eastAsia="Times New Roman"/>
                <w:sz w:val="16"/>
                <w:szCs w:val="16"/>
              </w:rPr>
            </w:pPr>
            <w:r>
              <w:rPr>
                <w:rFonts w:eastAsia="Times New Roman"/>
                <w:sz w:val="16"/>
                <w:szCs w:val="16"/>
              </w:rPr>
              <w:t>2,832,296</w:t>
            </w:r>
          </w:p>
        </w:tc>
        <w:tc>
          <w:tcPr>
            <w:tcW w:w="550" w:type="pct"/>
            <w:shd w:val="clear" w:color="auto" w:fill="FFFFFF"/>
            <w:vAlign w:val="bottom"/>
            <w:hideMark/>
          </w:tcPr>
          <w:p w14:paraId="1A82714F" w14:textId="77777777" w:rsidR="00000000" w:rsidRDefault="0053651E">
            <w:pPr>
              <w:jc w:val="right"/>
              <w:rPr>
                <w:rFonts w:eastAsia="Times New Roman"/>
                <w:sz w:val="16"/>
                <w:szCs w:val="16"/>
              </w:rPr>
            </w:pPr>
            <w:r>
              <w:rPr>
                <w:rFonts w:eastAsia="Times New Roman"/>
                <w:sz w:val="16"/>
                <w:szCs w:val="16"/>
              </w:rPr>
              <w:t>11,329,185</w:t>
            </w:r>
          </w:p>
        </w:tc>
        <w:tc>
          <w:tcPr>
            <w:tcW w:w="350" w:type="pct"/>
            <w:shd w:val="clear" w:color="auto" w:fill="FFFFFF"/>
            <w:vAlign w:val="bottom"/>
            <w:hideMark/>
          </w:tcPr>
          <w:p w14:paraId="194191C8" w14:textId="77777777" w:rsidR="00000000" w:rsidRDefault="0053651E">
            <w:pPr>
              <w:jc w:val="right"/>
              <w:rPr>
                <w:rFonts w:eastAsia="Times New Roman"/>
                <w:sz w:val="16"/>
                <w:szCs w:val="16"/>
              </w:rPr>
            </w:pPr>
            <w:r>
              <w:rPr>
                <w:rFonts w:eastAsia="Times New Roman"/>
                <w:sz w:val="16"/>
                <w:szCs w:val="16"/>
              </w:rPr>
              <w:t>21,442,891</w:t>
            </w:r>
          </w:p>
        </w:tc>
        <w:tc>
          <w:tcPr>
            <w:tcW w:w="300" w:type="pct"/>
            <w:shd w:val="clear" w:color="auto" w:fill="FFFFFF"/>
            <w:vAlign w:val="bottom"/>
            <w:hideMark/>
          </w:tcPr>
          <w:p w14:paraId="03827456" w14:textId="77777777" w:rsidR="00000000" w:rsidRDefault="0053651E">
            <w:pPr>
              <w:jc w:val="right"/>
              <w:rPr>
                <w:rFonts w:eastAsia="Times New Roman"/>
                <w:sz w:val="16"/>
                <w:szCs w:val="16"/>
              </w:rPr>
            </w:pPr>
            <w:r>
              <w:rPr>
                <w:rFonts w:eastAsia="Times New Roman"/>
                <w:sz w:val="16"/>
                <w:szCs w:val="16"/>
              </w:rPr>
              <w:t>2,832,296</w:t>
            </w:r>
          </w:p>
        </w:tc>
        <w:tc>
          <w:tcPr>
            <w:tcW w:w="450" w:type="pct"/>
            <w:shd w:val="clear" w:color="auto" w:fill="FFFFFF"/>
            <w:vAlign w:val="bottom"/>
            <w:hideMark/>
          </w:tcPr>
          <w:p w14:paraId="3EB5B014" w14:textId="77777777" w:rsidR="00000000" w:rsidRDefault="0053651E">
            <w:pPr>
              <w:jc w:val="right"/>
              <w:rPr>
                <w:rFonts w:eastAsia="Times New Roman"/>
                <w:sz w:val="16"/>
                <w:szCs w:val="16"/>
              </w:rPr>
            </w:pPr>
            <w:r>
              <w:rPr>
                <w:rFonts w:eastAsia="Times New Roman"/>
                <w:sz w:val="16"/>
                <w:szCs w:val="16"/>
              </w:rPr>
              <w:t>32,772,076</w:t>
            </w:r>
          </w:p>
        </w:tc>
        <w:tc>
          <w:tcPr>
            <w:tcW w:w="350" w:type="pct"/>
            <w:shd w:val="clear" w:color="auto" w:fill="FFFFFF"/>
            <w:vAlign w:val="bottom"/>
            <w:hideMark/>
          </w:tcPr>
          <w:p w14:paraId="5B30C8E1" w14:textId="77777777" w:rsidR="00000000" w:rsidRDefault="0053651E">
            <w:pPr>
              <w:jc w:val="right"/>
              <w:rPr>
                <w:rFonts w:eastAsia="Times New Roman"/>
                <w:sz w:val="16"/>
                <w:szCs w:val="16"/>
              </w:rPr>
            </w:pPr>
            <w:r>
              <w:rPr>
                <w:rFonts w:eastAsia="Times New Roman"/>
                <w:sz w:val="16"/>
                <w:szCs w:val="16"/>
              </w:rPr>
              <w:t>35,604,372</w:t>
            </w:r>
          </w:p>
        </w:tc>
        <w:tc>
          <w:tcPr>
            <w:tcW w:w="400" w:type="pct"/>
            <w:shd w:val="clear" w:color="auto" w:fill="FFFFFF"/>
            <w:vAlign w:val="bottom"/>
            <w:hideMark/>
          </w:tcPr>
          <w:p w14:paraId="799742DD" w14:textId="77777777" w:rsidR="00000000" w:rsidRDefault="0053651E">
            <w:pPr>
              <w:jc w:val="right"/>
              <w:rPr>
                <w:rFonts w:eastAsia="Times New Roman"/>
                <w:sz w:val="16"/>
                <w:szCs w:val="16"/>
              </w:rPr>
            </w:pPr>
            <w:r>
              <w:rPr>
                <w:rFonts w:eastAsia="Times New Roman"/>
                <w:sz w:val="16"/>
                <w:szCs w:val="16"/>
              </w:rPr>
              <w:t>5,532,131</w:t>
            </w:r>
          </w:p>
        </w:tc>
        <w:tc>
          <w:tcPr>
            <w:tcW w:w="50" w:type="pct"/>
            <w:shd w:val="clear" w:color="auto" w:fill="FFFFFF"/>
            <w:vAlign w:val="bottom"/>
            <w:hideMark/>
          </w:tcPr>
          <w:p w14:paraId="3AED246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69A50AC" w14:textId="77777777" w:rsidR="00000000" w:rsidRDefault="0053651E">
            <w:pPr>
              <w:jc w:val="right"/>
              <w:rPr>
                <w:rFonts w:eastAsia="Times New Roman"/>
                <w:sz w:val="16"/>
                <w:szCs w:val="16"/>
              </w:rPr>
            </w:pPr>
            <w:r>
              <w:rPr>
                <w:rFonts w:eastAsia="Times New Roman"/>
                <w:sz w:val="16"/>
                <w:szCs w:val="16"/>
              </w:rPr>
              <w:t>30,072,241</w:t>
            </w:r>
          </w:p>
        </w:tc>
        <w:tc>
          <w:tcPr>
            <w:tcW w:w="50" w:type="pct"/>
            <w:shd w:val="clear" w:color="auto" w:fill="FFFFFF"/>
            <w:vAlign w:val="bottom"/>
            <w:hideMark/>
          </w:tcPr>
          <w:p w14:paraId="5915946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BEA021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B5DFBD3" w14:textId="77777777" w:rsidR="00000000" w:rsidRDefault="0053651E">
            <w:pPr>
              <w:pStyle w:val="a3"/>
              <w:spacing w:before="0" w:beforeAutospacing="0" w:after="0" w:afterAutospacing="0"/>
              <w:jc w:val="center"/>
              <w:rPr>
                <w:sz w:val="16"/>
                <w:szCs w:val="16"/>
              </w:rPr>
            </w:pPr>
            <w:r>
              <w:rPr>
                <w:rStyle w:val="a6"/>
                <w:i w:val="0"/>
                <w:iCs w:val="0"/>
                <w:sz w:val="16"/>
                <w:szCs w:val="16"/>
              </w:rPr>
              <w:t>1992(A)</w:t>
            </w:r>
          </w:p>
        </w:tc>
      </w:tr>
      <w:tr w:rsidR="00000000" w14:paraId="71001970" w14:textId="77777777">
        <w:trPr>
          <w:tblCellSpacing w:w="0" w:type="dxa"/>
        </w:trPr>
        <w:tc>
          <w:tcPr>
            <w:tcW w:w="50" w:type="pct"/>
            <w:shd w:val="clear" w:color="auto" w:fill="CCEEFF"/>
            <w:vAlign w:val="bottom"/>
            <w:hideMark/>
          </w:tcPr>
          <w:p w14:paraId="6880DAD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257A9E5" w14:textId="77777777" w:rsidR="00000000" w:rsidRDefault="0053651E">
            <w:pPr>
              <w:pStyle w:val="a3"/>
              <w:spacing w:before="0" w:beforeAutospacing="0" w:after="0" w:afterAutospacing="0"/>
              <w:rPr>
                <w:sz w:val="16"/>
                <w:szCs w:val="16"/>
              </w:rPr>
            </w:pPr>
            <w:r>
              <w:rPr>
                <w:sz w:val="16"/>
                <w:szCs w:val="16"/>
              </w:rPr>
              <w:t>FT LAUDERDALE #1, FL</w:t>
            </w:r>
          </w:p>
        </w:tc>
        <w:tc>
          <w:tcPr>
            <w:tcW w:w="150" w:type="pct"/>
            <w:shd w:val="clear" w:color="auto" w:fill="CCEEFF"/>
            <w:vAlign w:val="bottom"/>
            <w:hideMark/>
          </w:tcPr>
          <w:p w14:paraId="681D767A"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4D5720AD" w14:textId="77777777" w:rsidR="00000000" w:rsidRDefault="0053651E">
            <w:pPr>
              <w:jc w:val="right"/>
              <w:rPr>
                <w:rFonts w:eastAsia="Times New Roman"/>
                <w:sz w:val="16"/>
                <w:szCs w:val="16"/>
              </w:rPr>
            </w:pPr>
            <w:r>
              <w:rPr>
                <w:rFonts w:eastAsia="Times New Roman"/>
                <w:sz w:val="16"/>
                <w:szCs w:val="16"/>
              </w:rPr>
              <w:t>1,002,733</w:t>
            </w:r>
          </w:p>
        </w:tc>
        <w:tc>
          <w:tcPr>
            <w:tcW w:w="550" w:type="pct"/>
            <w:shd w:val="clear" w:color="auto" w:fill="CCEEFF"/>
            <w:vAlign w:val="bottom"/>
            <w:hideMark/>
          </w:tcPr>
          <w:p w14:paraId="228D7E71" w14:textId="77777777" w:rsidR="00000000" w:rsidRDefault="0053651E">
            <w:pPr>
              <w:jc w:val="right"/>
              <w:rPr>
                <w:rFonts w:eastAsia="Times New Roman"/>
                <w:sz w:val="16"/>
                <w:szCs w:val="16"/>
              </w:rPr>
            </w:pPr>
            <w:r>
              <w:rPr>
                <w:rFonts w:eastAsia="Times New Roman"/>
                <w:sz w:val="16"/>
                <w:szCs w:val="16"/>
              </w:rPr>
              <w:t>2,602,415</w:t>
            </w:r>
          </w:p>
        </w:tc>
        <w:tc>
          <w:tcPr>
            <w:tcW w:w="350" w:type="pct"/>
            <w:shd w:val="clear" w:color="auto" w:fill="CCEEFF"/>
            <w:vAlign w:val="bottom"/>
            <w:hideMark/>
          </w:tcPr>
          <w:p w14:paraId="2938769D" w14:textId="77777777" w:rsidR="00000000" w:rsidRDefault="0053651E">
            <w:pPr>
              <w:jc w:val="right"/>
              <w:rPr>
                <w:rFonts w:eastAsia="Times New Roman"/>
                <w:sz w:val="16"/>
                <w:szCs w:val="16"/>
              </w:rPr>
            </w:pPr>
            <w:r>
              <w:rPr>
                <w:rFonts w:eastAsia="Times New Roman"/>
                <w:sz w:val="16"/>
                <w:szCs w:val="16"/>
              </w:rPr>
              <w:t>15,896,939</w:t>
            </w:r>
          </w:p>
        </w:tc>
        <w:tc>
          <w:tcPr>
            <w:tcW w:w="300" w:type="pct"/>
            <w:shd w:val="clear" w:color="auto" w:fill="CCEEFF"/>
            <w:vAlign w:val="bottom"/>
            <w:hideMark/>
          </w:tcPr>
          <w:p w14:paraId="762B3C66" w14:textId="77777777" w:rsidR="00000000" w:rsidRDefault="0053651E">
            <w:pPr>
              <w:jc w:val="right"/>
              <w:rPr>
                <w:rFonts w:eastAsia="Times New Roman"/>
                <w:sz w:val="16"/>
                <w:szCs w:val="16"/>
              </w:rPr>
            </w:pPr>
            <w:r>
              <w:rPr>
                <w:rFonts w:eastAsia="Times New Roman"/>
                <w:sz w:val="16"/>
                <w:szCs w:val="16"/>
              </w:rPr>
              <w:t>1,774,443</w:t>
            </w:r>
          </w:p>
        </w:tc>
        <w:tc>
          <w:tcPr>
            <w:tcW w:w="450" w:type="pct"/>
            <w:shd w:val="clear" w:color="auto" w:fill="CCEEFF"/>
            <w:vAlign w:val="bottom"/>
            <w:hideMark/>
          </w:tcPr>
          <w:p w14:paraId="73B90D50" w14:textId="77777777" w:rsidR="00000000" w:rsidRDefault="0053651E">
            <w:pPr>
              <w:jc w:val="right"/>
              <w:rPr>
                <w:rFonts w:eastAsia="Times New Roman"/>
                <w:sz w:val="16"/>
                <w:szCs w:val="16"/>
              </w:rPr>
            </w:pPr>
            <w:r>
              <w:rPr>
                <w:rFonts w:eastAsia="Times New Roman"/>
                <w:sz w:val="16"/>
                <w:szCs w:val="16"/>
              </w:rPr>
              <w:t>17,727,644</w:t>
            </w:r>
          </w:p>
        </w:tc>
        <w:tc>
          <w:tcPr>
            <w:tcW w:w="350" w:type="pct"/>
            <w:shd w:val="clear" w:color="auto" w:fill="CCEEFF"/>
            <w:vAlign w:val="bottom"/>
            <w:hideMark/>
          </w:tcPr>
          <w:p w14:paraId="1D40A46F" w14:textId="77777777" w:rsidR="00000000" w:rsidRDefault="0053651E">
            <w:pPr>
              <w:jc w:val="right"/>
              <w:rPr>
                <w:rFonts w:eastAsia="Times New Roman"/>
                <w:sz w:val="16"/>
                <w:szCs w:val="16"/>
              </w:rPr>
            </w:pPr>
            <w:r>
              <w:rPr>
                <w:rFonts w:eastAsia="Times New Roman"/>
                <w:sz w:val="16"/>
                <w:szCs w:val="16"/>
              </w:rPr>
              <w:t>19,502,087</w:t>
            </w:r>
          </w:p>
        </w:tc>
        <w:tc>
          <w:tcPr>
            <w:tcW w:w="400" w:type="pct"/>
            <w:shd w:val="clear" w:color="auto" w:fill="CCEEFF"/>
            <w:vAlign w:val="bottom"/>
            <w:hideMark/>
          </w:tcPr>
          <w:p w14:paraId="53F0FF3B" w14:textId="77777777" w:rsidR="00000000" w:rsidRDefault="0053651E">
            <w:pPr>
              <w:jc w:val="right"/>
              <w:rPr>
                <w:rFonts w:eastAsia="Times New Roman"/>
                <w:sz w:val="16"/>
                <w:szCs w:val="16"/>
              </w:rPr>
            </w:pPr>
            <w:r>
              <w:rPr>
                <w:rFonts w:eastAsia="Times New Roman"/>
                <w:sz w:val="16"/>
                <w:szCs w:val="16"/>
              </w:rPr>
              <w:t>10,597,404</w:t>
            </w:r>
          </w:p>
        </w:tc>
        <w:tc>
          <w:tcPr>
            <w:tcW w:w="50" w:type="pct"/>
            <w:shd w:val="clear" w:color="auto" w:fill="CCEEFF"/>
            <w:vAlign w:val="bottom"/>
            <w:hideMark/>
          </w:tcPr>
          <w:p w14:paraId="5F7C4A2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E35C490" w14:textId="77777777" w:rsidR="00000000" w:rsidRDefault="0053651E">
            <w:pPr>
              <w:jc w:val="right"/>
              <w:rPr>
                <w:rFonts w:eastAsia="Times New Roman"/>
                <w:sz w:val="16"/>
                <w:szCs w:val="16"/>
              </w:rPr>
            </w:pPr>
            <w:r>
              <w:rPr>
                <w:rFonts w:eastAsia="Times New Roman"/>
                <w:sz w:val="16"/>
                <w:szCs w:val="16"/>
              </w:rPr>
              <w:t>8,904,683</w:t>
            </w:r>
          </w:p>
        </w:tc>
        <w:tc>
          <w:tcPr>
            <w:tcW w:w="50" w:type="pct"/>
            <w:shd w:val="clear" w:color="auto" w:fill="CCEEFF"/>
            <w:vAlign w:val="bottom"/>
            <w:hideMark/>
          </w:tcPr>
          <w:p w14:paraId="2FC28E9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5E5459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7ABB308" w14:textId="77777777" w:rsidR="00000000" w:rsidRDefault="0053651E">
            <w:pPr>
              <w:pStyle w:val="a3"/>
              <w:spacing w:before="0" w:beforeAutospacing="0" w:after="0" w:afterAutospacing="0"/>
              <w:jc w:val="center"/>
              <w:rPr>
                <w:sz w:val="16"/>
                <w:szCs w:val="16"/>
              </w:rPr>
            </w:pPr>
            <w:r>
              <w:rPr>
                <w:rStyle w:val="a6"/>
                <w:i w:val="0"/>
                <w:iCs w:val="0"/>
                <w:sz w:val="16"/>
                <w:szCs w:val="16"/>
              </w:rPr>
              <w:t>1974(C)</w:t>
            </w:r>
          </w:p>
        </w:tc>
      </w:tr>
      <w:tr w:rsidR="00000000" w14:paraId="4406850F" w14:textId="77777777">
        <w:trPr>
          <w:tblCellSpacing w:w="0" w:type="dxa"/>
        </w:trPr>
        <w:tc>
          <w:tcPr>
            <w:tcW w:w="50" w:type="pct"/>
            <w:shd w:val="clear" w:color="auto" w:fill="FFFFFF"/>
            <w:vAlign w:val="bottom"/>
            <w:hideMark/>
          </w:tcPr>
          <w:p w14:paraId="2BDCCE3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0E080AE" w14:textId="77777777" w:rsidR="00000000" w:rsidRDefault="0053651E">
            <w:pPr>
              <w:pStyle w:val="a3"/>
              <w:spacing w:before="0" w:beforeAutospacing="0" w:after="0" w:afterAutospacing="0"/>
              <w:rPr>
                <w:sz w:val="16"/>
                <w:szCs w:val="16"/>
              </w:rPr>
            </w:pPr>
            <w:r>
              <w:rPr>
                <w:sz w:val="16"/>
                <w:szCs w:val="16"/>
              </w:rPr>
              <w:t>NASA PLAZA</w:t>
            </w:r>
          </w:p>
        </w:tc>
        <w:tc>
          <w:tcPr>
            <w:tcW w:w="150" w:type="pct"/>
            <w:shd w:val="clear" w:color="auto" w:fill="FFFFFF"/>
            <w:vAlign w:val="bottom"/>
            <w:hideMark/>
          </w:tcPr>
          <w:p w14:paraId="4FB5657B"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7D030A74"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78B4FE1F" w14:textId="77777777" w:rsidR="00000000" w:rsidRDefault="0053651E">
            <w:pPr>
              <w:jc w:val="right"/>
              <w:rPr>
                <w:rFonts w:eastAsia="Times New Roman"/>
                <w:sz w:val="16"/>
                <w:szCs w:val="16"/>
              </w:rPr>
            </w:pPr>
            <w:r>
              <w:rPr>
                <w:rFonts w:eastAsia="Times New Roman"/>
                <w:sz w:val="16"/>
                <w:szCs w:val="16"/>
              </w:rPr>
              <w:t>1,754,000</w:t>
            </w:r>
          </w:p>
        </w:tc>
        <w:tc>
          <w:tcPr>
            <w:tcW w:w="350" w:type="pct"/>
            <w:shd w:val="clear" w:color="auto" w:fill="FFFFFF"/>
            <w:vAlign w:val="bottom"/>
            <w:hideMark/>
          </w:tcPr>
          <w:p w14:paraId="5285E060" w14:textId="77777777" w:rsidR="00000000" w:rsidRDefault="0053651E">
            <w:pPr>
              <w:jc w:val="right"/>
              <w:rPr>
                <w:rFonts w:eastAsia="Times New Roman"/>
                <w:sz w:val="16"/>
                <w:szCs w:val="16"/>
              </w:rPr>
            </w:pPr>
            <w:r>
              <w:rPr>
                <w:rFonts w:eastAsia="Times New Roman"/>
                <w:sz w:val="16"/>
                <w:szCs w:val="16"/>
              </w:rPr>
              <w:t>3,628,604</w:t>
            </w:r>
          </w:p>
        </w:tc>
        <w:tc>
          <w:tcPr>
            <w:tcW w:w="300" w:type="pct"/>
            <w:shd w:val="clear" w:color="auto" w:fill="FFFFFF"/>
            <w:vAlign w:val="bottom"/>
            <w:hideMark/>
          </w:tcPr>
          <w:p w14:paraId="74FD991D"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3FE7F05C" w14:textId="77777777" w:rsidR="00000000" w:rsidRDefault="0053651E">
            <w:pPr>
              <w:jc w:val="right"/>
              <w:rPr>
                <w:rFonts w:eastAsia="Times New Roman"/>
                <w:sz w:val="16"/>
                <w:szCs w:val="16"/>
              </w:rPr>
            </w:pPr>
            <w:r>
              <w:rPr>
                <w:rFonts w:eastAsia="Times New Roman"/>
                <w:sz w:val="16"/>
                <w:szCs w:val="16"/>
              </w:rPr>
              <w:t>5,382,604</w:t>
            </w:r>
          </w:p>
        </w:tc>
        <w:tc>
          <w:tcPr>
            <w:tcW w:w="350" w:type="pct"/>
            <w:shd w:val="clear" w:color="auto" w:fill="FFFFFF"/>
            <w:vAlign w:val="bottom"/>
            <w:hideMark/>
          </w:tcPr>
          <w:p w14:paraId="3FFCD8F5" w14:textId="77777777" w:rsidR="00000000" w:rsidRDefault="0053651E">
            <w:pPr>
              <w:jc w:val="right"/>
              <w:rPr>
                <w:rFonts w:eastAsia="Times New Roman"/>
                <w:sz w:val="16"/>
                <w:szCs w:val="16"/>
              </w:rPr>
            </w:pPr>
            <w:r>
              <w:rPr>
                <w:rFonts w:eastAsia="Times New Roman"/>
                <w:sz w:val="16"/>
                <w:szCs w:val="16"/>
              </w:rPr>
              <w:t>5,382,604</w:t>
            </w:r>
          </w:p>
        </w:tc>
        <w:tc>
          <w:tcPr>
            <w:tcW w:w="400" w:type="pct"/>
            <w:shd w:val="clear" w:color="auto" w:fill="FFFFFF"/>
            <w:vAlign w:val="bottom"/>
            <w:hideMark/>
          </w:tcPr>
          <w:p w14:paraId="621BF92E" w14:textId="77777777" w:rsidR="00000000" w:rsidRDefault="0053651E">
            <w:pPr>
              <w:jc w:val="right"/>
              <w:rPr>
                <w:rFonts w:eastAsia="Times New Roman"/>
                <w:sz w:val="16"/>
                <w:szCs w:val="16"/>
              </w:rPr>
            </w:pPr>
            <w:r>
              <w:rPr>
                <w:rFonts w:eastAsia="Times New Roman"/>
                <w:sz w:val="16"/>
                <w:szCs w:val="16"/>
              </w:rPr>
              <w:t>4,033,444</w:t>
            </w:r>
          </w:p>
        </w:tc>
        <w:tc>
          <w:tcPr>
            <w:tcW w:w="50" w:type="pct"/>
            <w:shd w:val="clear" w:color="auto" w:fill="FFFFFF"/>
            <w:vAlign w:val="bottom"/>
            <w:hideMark/>
          </w:tcPr>
          <w:p w14:paraId="6633532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A0A8351" w14:textId="77777777" w:rsidR="00000000" w:rsidRDefault="0053651E">
            <w:pPr>
              <w:jc w:val="right"/>
              <w:rPr>
                <w:rFonts w:eastAsia="Times New Roman"/>
                <w:sz w:val="16"/>
                <w:szCs w:val="16"/>
              </w:rPr>
            </w:pPr>
            <w:r>
              <w:rPr>
                <w:rFonts w:eastAsia="Times New Roman"/>
                <w:sz w:val="16"/>
                <w:szCs w:val="16"/>
              </w:rPr>
              <w:t>1,349,160</w:t>
            </w:r>
          </w:p>
        </w:tc>
        <w:tc>
          <w:tcPr>
            <w:tcW w:w="50" w:type="pct"/>
            <w:shd w:val="clear" w:color="auto" w:fill="FFFFFF"/>
            <w:vAlign w:val="bottom"/>
            <w:hideMark/>
          </w:tcPr>
          <w:p w14:paraId="605CAD7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E769AE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7222588" w14:textId="77777777" w:rsidR="00000000" w:rsidRDefault="0053651E">
            <w:pPr>
              <w:pStyle w:val="a3"/>
              <w:spacing w:before="0" w:beforeAutospacing="0" w:after="0" w:afterAutospacing="0"/>
              <w:jc w:val="center"/>
              <w:rPr>
                <w:sz w:val="16"/>
                <w:szCs w:val="16"/>
              </w:rPr>
            </w:pPr>
            <w:r>
              <w:rPr>
                <w:rStyle w:val="a6"/>
                <w:i w:val="0"/>
                <w:iCs w:val="0"/>
                <w:sz w:val="16"/>
                <w:szCs w:val="16"/>
              </w:rPr>
              <w:t>1968(C)</w:t>
            </w:r>
          </w:p>
        </w:tc>
      </w:tr>
      <w:tr w:rsidR="00000000" w14:paraId="6D855E63" w14:textId="77777777">
        <w:trPr>
          <w:tblCellSpacing w:w="0" w:type="dxa"/>
        </w:trPr>
        <w:tc>
          <w:tcPr>
            <w:tcW w:w="50" w:type="pct"/>
            <w:shd w:val="clear" w:color="auto" w:fill="CCEEFF"/>
            <w:vAlign w:val="bottom"/>
            <w:hideMark/>
          </w:tcPr>
          <w:p w14:paraId="492B623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062F886" w14:textId="77777777" w:rsidR="00000000" w:rsidRDefault="0053651E">
            <w:pPr>
              <w:pStyle w:val="a3"/>
              <w:spacing w:before="0" w:beforeAutospacing="0" w:after="0" w:afterAutospacing="0"/>
              <w:rPr>
                <w:sz w:val="16"/>
                <w:szCs w:val="16"/>
              </w:rPr>
            </w:pPr>
            <w:r>
              <w:rPr>
                <w:sz w:val="16"/>
                <w:szCs w:val="16"/>
              </w:rPr>
              <w:t>GROVE GATE S.C.</w:t>
            </w:r>
          </w:p>
        </w:tc>
        <w:tc>
          <w:tcPr>
            <w:tcW w:w="150" w:type="pct"/>
            <w:shd w:val="clear" w:color="auto" w:fill="CCEEFF"/>
            <w:vAlign w:val="bottom"/>
            <w:hideMark/>
          </w:tcPr>
          <w:p w14:paraId="0FE4F6C9"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5DDC4925" w14:textId="77777777" w:rsidR="00000000" w:rsidRDefault="0053651E">
            <w:pPr>
              <w:jc w:val="right"/>
              <w:rPr>
                <w:rFonts w:eastAsia="Times New Roman"/>
                <w:sz w:val="16"/>
                <w:szCs w:val="16"/>
              </w:rPr>
            </w:pPr>
            <w:r>
              <w:rPr>
                <w:rFonts w:eastAsia="Times New Roman"/>
                <w:sz w:val="16"/>
                <w:szCs w:val="16"/>
              </w:rPr>
              <w:t>365,893</w:t>
            </w:r>
          </w:p>
        </w:tc>
        <w:tc>
          <w:tcPr>
            <w:tcW w:w="550" w:type="pct"/>
            <w:shd w:val="clear" w:color="auto" w:fill="CCEEFF"/>
            <w:vAlign w:val="bottom"/>
            <w:hideMark/>
          </w:tcPr>
          <w:p w14:paraId="66EEFF42" w14:textId="77777777" w:rsidR="00000000" w:rsidRDefault="0053651E">
            <w:pPr>
              <w:jc w:val="right"/>
              <w:rPr>
                <w:rFonts w:eastAsia="Times New Roman"/>
                <w:sz w:val="16"/>
                <w:szCs w:val="16"/>
              </w:rPr>
            </w:pPr>
            <w:r>
              <w:rPr>
                <w:rFonts w:eastAsia="Times New Roman"/>
                <w:sz w:val="16"/>
                <w:szCs w:val="16"/>
              </w:rPr>
              <w:t>1,049,172</w:t>
            </w:r>
          </w:p>
        </w:tc>
        <w:tc>
          <w:tcPr>
            <w:tcW w:w="350" w:type="pct"/>
            <w:shd w:val="clear" w:color="auto" w:fill="CCEEFF"/>
            <w:vAlign w:val="bottom"/>
            <w:hideMark/>
          </w:tcPr>
          <w:p w14:paraId="79C3799D" w14:textId="77777777" w:rsidR="00000000" w:rsidRDefault="0053651E">
            <w:pPr>
              <w:jc w:val="right"/>
              <w:rPr>
                <w:rFonts w:eastAsia="Times New Roman"/>
                <w:sz w:val="16"/>
                <w:szCs w:val="16"/>
              </w:rPr>
            </w:pPr>
            <w:r>
              <w:rPr>
                <w:rFonts w:eastAsia="Times New Roman"/>
                <w:sz w:val="16"/>
                <w:szCs w:val="16"/>
              </w:rPr>
              <w:t>792,700</w:t>
            </w:r>
          </w:p>
        </w:tc>
        <w:tc>
          <w:tcPr>
            <w:tcW w:w="300" w:type="pct"/>
            <w:shd w:val="clear" w:color="auto" w:fill="CCEEFF"/>
            <w:vAlign w:val="bottom"/>
            <w:hideMark/>
          </w:tcPr>
          <w:p w14:paraId="5B1D78CA" w14:textId="77777777" w:rsidR="00000000" w:rsidRDefault="0053651E">
            <w:pPr>
              <w:jc w:val="right"/>
              <w:rPr>
                <w:rFonts w:eastAsia="Times New Roman"/>
                <w:sz w:val="16"/>
                <w:szCs w:val="16"/>
              </w:rPr>
            </w:pPr>
            <w:r>
              <w:rPr>
                <w:rFonts w:eastAsia="Times New Roman"/>
                <w:sz w:val="16"/>
                <w:szCs w:val="16"/>
              </w:rPr>
              <w:t>365,893</w:t>
            </w:r>
          </w:p>
        </w:tc>
        <w:tc>
          <w:tcPr>
            <w:tcW w:w="450" w:type="pct"/>
            <w:shd w:val="clear" w:color="auto" w:fill="CCEEFF"/>
            <w:vAlign w:val="bottom"/>
            <w:hideMark/>
          </w:tcPr>
          <w:p w14:paraId="14AFC7DC" w14:textId="77777777" w:rsidR="00000000" w:rsidRDefault="0053651E">
            <w:pPr>
              <w:jc w:val="right"/>
              <w:rPr>
                <w:rFonts w:eastAsia="Times New Roman"/>
                <w:sz w:val="16"/>
                <w:szCs w:val="16"/>
              </w:rPr>
            </w:pPr>
            <w:r>
              <w:rPr>
                <w:rFonts w:eastAsia="Times New Roman"/>
                <w:sz w:val="16"/>
                <w:szCs w:val="16"/>
              </w:rPr>
              <w:t>1,841,872</w:t>
            </w:r>
          </w:p>
        </w:tc>
        <w:tc>
          <w:tcPr>
            <w:tcW w:w="350" w:type="pct"/>
            <w:shd w:val="clear" w:color="auto" w:fill="CCEEFF"/>
            <w:vAlign w:val="bottom"/>
            <w:hideMark/>
          </w:tcPr>
          <w:p w14:paraId="3692FAAB" w14:textId="77777777" w:rsidR="00000000" w:rsidRDefault="0053651E">
            <w:pPr>
              <w:jc w:val="right"/>
              <w:rPr>
                <w:rFonts w:eastAsia="Times New Roman"/>
                <w:sz w:val="16"/>
                <w:szCs w:val="16"/>
              </w:rPr>
            </w:pPr>
            <w:r>
              <w:rPr>
                <w:rFonts w:eastAsia="Times New Roman"/>
                <w:sz w:val="16"/>
                <w:szCs w:val="16"/>
              </w:rPr>
              <w:t>2,207,765</w:t>
            </w:r>
          </w:p>
        </w:tc>
        <w:tc>
          <w:tcPr>
            <w:tcW w:w="400" w:type="pct"/>
            <w:shd w:val="clear" w:color="auto" w:fill="CCEEFF"/>
            <w:vAlign w:val="bottom"/>
            <w:hideMark/>
          </w:tcPr>
          <w:p w14:paraId="3FA7515B" w14:textId="77777777" w:rsidR="00000000" w:rsidRDefault="0053651E">
            <w:pPr>
              <w:jc w:val="right"/>
              <w:rPr>
                <w:rFonts w:eastAsia="Times New Roman"/>
                <w:sz w:val="16"/>
                <w:szCs w:val="16"/>
              </w:rPr>
            </w:pPr>
            <w:r>
              <w:rPr>
                <w:rFonts w:eastAsia="Times New Roman"/>
                <w:sz w:val="16"/>
                <w:szCs w:val="16"/>
              </w:rPr>
              <w:t>1,612,685</w:t>
            </w:r>
          </w:p>
        </w:tc>
        <w:tc>
          <w:tcPr>
            <w:tcW w:w="50" w:type="pct"/>
            <w:shd w:val="clear" w:color="auto" w:fill="CCEEFF"/>
            <w:vAlign w:val="bottom"/>
            <w:hideMark/>
          </w:tcPr>
          <w:p w14:paraId="10E8E4B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19B9726" w14:textId="77777777" w:rsidR="00000000" w:rsidRDefault="0053651E">
            <w:pPr>
              <w:jc w:val="right"/>
              <w:rPr>
                <w:rFonts w:eastAsia="Times New Roman"/>
                <w:sz w:val="16"/>
                <w:szCs w:val="16"/>
              </w:rPr>
            </w:pPr>
            <w:r>
              <w:rPr>
                <w:rFonts w:eastAsia="Times New Roman"/>
                <w:sz w:val="16"/>
                <w:szCs w:val="16"/>
              </w:rPr>
              <w:t>595,080</w:t>
            </w:r>
          </w:p>
        </w:tc>
        <w:tc>
          <w:tcPr>
            <w:tcW w:w="50" w:type="pct"/>
            <w:shd w:val="clear" w:color="auto" w:fill="CCEEFF"/>
            <w:vAlign w:val="bottom"/>
            <w:hideMark/>
          </w:tcPr>
          <w:p w14:paraId="5902760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E75DF1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AFCC103" w14:textId="77777777" w:rsidR="00000000" w:rsidRDefault="0053651E">
            <w:pPr>
              <w:pStyle w:val="a3"/>
              <w:spacing w:before="0" w:beforeAutospacing="0" w:after="0" w:afterAutospacing="0"/>
              <w:jc w:val="center"/>
              <w:rPr>
                <w:sz w:val="16"/>
                <w:szCs w:val="16"/>
              </w:rPr>
            </w:pPr>
            <w:r>
              <w:rPr>
                <w:rStyle w:val="a6"/>
                <w:i w:val="0"/>
                <w:iCs w:val="0"/>
                <w:sz w:val="16"/>
                <w:szCs w:val="16"/>
              </w:rPr>
              <w:t>1968(C)</w:t>
            </w:r>
          </w:p>
        </w:tc>
      </w:tr>
      <w:tr w:rsidR="00000000" w14:paraId="3273DAC9" w14:textId="77777777">
        <w:trPr>
          <w:tblCellSpacing w:w="0" w:type="dxa"/>
        </w:trPr>
        <w:tc>
          <w:tcPr>
            <w:tcW w:w="50" w:type="pct"/>
            <w:shd w:val="clear" w:color="auto" w:fill="FFFFFF"/>
            <w:vAlign w:val="bottom"/>
            <w:hideMark/>
          </w:tcPr>
          <w:p w14:paraId="3082F50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AFFBB95" w14:textId="77777777" w:rsidR="00000000" w:rsidRDefault="0053651E">
            <w:pPr>
              <w:pStyle w:val="a3"/>
              <w:spacing w:before="0" w:beforeAutospacing="0" w:after="0" w:afterAutospacing="0"/>
              <w:rPr>
                <w:sz w:val="16"/>
                <w:szCs w:val="16"/>
              </w:rPr>
            </w:pPr>
            <w:r>
              <w:rPr>
                <w:sz w:val="16"/>
                <w:szCs w:val="16"/>
              </w:rPr>
              <w:t>CHEVRON OUTPARCEL</w:t>
            </w:r>
          </w:p>
        </w:tc>
        <w:tc>
          <w:tcPr>
            <w:tcW w:w="150" w:type="pct"/>
            <w:shd w:val="clear" w:color="auto" w:fill="FFFFFF"/>
            <w:vAlign w:val="bottom"/>
            <w:hideMark/>
          </w:tcPr>
          <w:p w14:paraId="2FCBFE06"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3FDCFD2D" w14:textId="77777777" w:rsidR="00000000" w:rsidRDefault="0053651E">
            <w:pPr>
              <w:jc w:val="right"/>
              <w:rPr>
                <w:rFonts w:eastAsia="Times New Roman"/>
                <w:sz w:val="16"/>
                <w:szCs w:val="16"/>
              </w:rPr>
            </w:pPr>
            <w:r>
              <w:rPr>
                <w:rFonts w:eastAsia="Times New Roman"/>
                <w:sz w:val="16"/>
                <w:szCs w:val="16"/>
              </w:rPr>
              <w:t>530,570</w:t>
            </w:r>
          </w:p>
        </w:tc>
        <w:tc>
          <w:tcPr>
            <w:tcW w:w="550" w:type="pct"/>
            <w:shd w:val="clear" w:color="auto" w:fill="FFFFFF"/>
            <w:vAlign w:val="bottom"/>
            <w:hideMark/>
          </w:tcPr>
          <w:p w14:paraId="1BE98EC0" w14:textId="77777777" w:rsidR="00000000" w:rsidRDefault="0053651E">
            <w:pPr>
              <w:jc w:val="right"/>
              <w:rPr>
                <w:rFonts w:eastAsia="Times New Roman"/>
                <w:sz w:val="16"/>
                <w:szCs w:val="16"/>
              </w:rPr>
            </w:pPr>
            <w:r>
              <w:rPr>
                <w:rFonts w:eastAsia="Times New Roman"/>
                <w:sz w:val="16"/>
                <w:szCs w:val="16"/>
              </w:rPr>
              <w:t>1,253,410</w:t>
            </w:r>
          </w:p>
        </w:tc>
        <w:tc>
          <w:tcPr>
            <w:tcW w:w="350" w:type="pct"/>
            <w:shd w:val="clear" w:color="auto" w:fill="FFFFFF"/>
            <w:vAlign w:val="bottom"/>
            <w:hideMark/>
          </w:tcPr>
          <w:p w14:paraId="6A1628B3"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6F2449C5" w14:textId="77777777" w:rsidR="00000000" w:rsidRDefault="0053651E">
            <w:pPr>
              <w:jc w:val="right"/>
              <w:rPr>
                <w:rFonts w:eastAsia="Times New Roman"/>
                <w:sz w:val="16"/>
                <w:szCs w:val="16"/>
              </w:rPr>
            </w:pPr>
            <w:r>
              <w:rPr>
                <w:rFonts w:eastAsia="Times New Roman"/>
                <w:sz w:val="16"/>
                <w:szCs w:val="16"/>
              </w:rPr>
              <w:t>530,570</w:t>
            </w:r>
          </w:p>
        </w:tc>
        <w:tc>
          <w:tcPr>
            <w:tcW w:w="450" w:type="pct"/>
            <w:shd w:val="clear" w:color="auto" w:fill="FFFFFF"/>
            <w:vAlign w:val="bottom"/>
            <w:hideMark/>
          </w:tcPr>
          <w:p w14:paraId="5E2EF63D" w14:textId="77777777" w:rsidR="00000000" w:rsidRDefault="0053651E">
            <w:pPr>
              <w:jc w:val="right"/>
              <w:rPr>
                <w:rFonts w:eastAsia="Times New Roman"/>
                <w:sz w:val="16"/>
                <w:szCs w:val="16"/>
              </w:rPr>
            </w:pPr>
            <w:r>
              <w:rPr>
                <w:rFonts w:eastAsia="Times New Roman"/>
                <w:sz w:val="16"/>
                <w:szCs w:val="16"/>
              </w:rPr>
              <w:t>1,253,410</w:t>
            </w:r>
          </w:p>
        </w:tc>
        <w:tc>
          <w:tcPr>
            <w:tcW w:w="350" w:type="pct"/>
            <w:shd w:val="clear" w:color="auto" w:fill="FFFFFF"/>
            <w:vAlign w:val="bottom"/>
            <w:hideMark/>
          </w:tcPr>
          <w:p w14:paraId="4AA95CC0" w14:textId="77777777" w:rsidR="00000000" w:rsidRDefault="0053651E">
            <w:pPr>
              <w:jc w:val="right"/>
              <w:rPr>
                <w:rFonts w:eastAsia="Times New Roman"/>
                <w:sz w:val="16"/>
                <w:szCs w:val="16"/>
              </w:rPr>
            </w:pPr>
            <w:r>
              <w:rPr>
                <w:rFonts w:eastAsia="Times New Roman"/>
                <w:sz w:val="16"/>
                <w:szCs w:val="16"/>
              </w:rPr>
              <w:t>1,783,980</w:t>
            </w:r>
          </w:p>
        </w:tc>
        <w:tc>
          <w:tcPr>
            <w:tcW w:w="400" w:type="pct"/>
            <w:shd w:val="clear" w:color="auto" w:fill="FFFFFF"/>
            <w:vAlign w:val="bottom"/>
            <w:hideMark/>
          </w:tcPr>
          <w:p w14:paraId="5E57FC61" w14:textId="77777777" w:rsidR="00000000" w:rsidRDefault="0053651E">
            <w:pPr>
              <w:jc w:val="right"/>
              <w:rPr>
                <w:rFonts w:eastAsia="Times New Roman"/>
                <w:sz w:val="16"/>
                <w:szCs w:val="16"/>
              </w:rPr>
            </w:pPr>
            <w:r>
              <w:rPr>
                <w:rFonts w:eastAsia="Times New Roman"/>
                <w:sz w:val="16"/>
                <w:szCs w:val="16"/>
              </w:rPr>
              <w:t>399,973</w:t>
            </w:r>
          </w:p>
        </w:tc>
        <w:tc>
          <w:tcPr>
            <w:tcW w:w="50" w:type="pct"/>
            <w:shd w:val="clear" w:color="auto" w:fill="FFFFFF"/>
            <w:vAlign w:val="bottom"/>
            <w:hideMark/>
          </w:tcPr>
          <w:p w14:paraId="7079EBC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05729A2" w14:textId="77777777" w:rsidR="00000000" w:rsidRDefault="0053651E">
            <w:pPr>
              <w:jc w:val="right"/>
              <w:rPr>
                <w:rFonts w:eastAsia="Times New Roman"/>
                <w:sz w:val="16"/>
                <w:szCs w:val="16"/>
              </w:rPr>
            </w:pPr>
            <w:r>
              <w:rPr>
                <w:rFonts w:eastAsia="Times New Roman"/>
                <w:sz w:val="16"/>
                <w:szCs w:val="16"/>
              </w:rPr>
              <w:t>1,384,007</w:t>
            </w:r>
          </w:p>
        </w:tc>
        <w:tc>
          <w:tcPr>
            <w:tcW w:w="50" w:type="pct"/>
            <w:shd w:val="clear" w:color="auto" w:fill="FFFFFF"/>
            <w:vAlign w:val="bottom"/>
            <w:hideMark/>
          </w:tcPr>
          <w:p w14:paraId="7AE4D48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7BA7DD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87959BA" w14:textId="77777777" w:rsidR="00000000" w:rsidRDefault="0053651E">
            <w:pPr>
              <w:pStyle w:val="a3"/>
              <w:spacing w:before="0" w:beforeAutospacing="0" w:after="0" w:afterAutospacing="0"/>
              <w:jc w:val="center"/>
              <w:rPr>
                <w:sz w:val="16"/>
                <w:szCs w:val="16"/>
              </w:rPr>
            </w:pPr>
            <w:r>
              <w:rPr>
                <w:rStyle w:val="a6"/>
                <w:i w:val="0"/>
                <w:iCs w:val="0"/>
                <w:sz w:val="16"/>
                <w:szCs w:val="16"/>
              </w:rPr>
              <w:t>2010(A)</w:t>
            </w:r>
          </w:p>
        </w:tc>
      </w:tr>
      <w:tr w:rsidR="00000000" w14:paraId="18EA6DA9" w14:textId="77777777">
        <w:trPr>
          <w:tblCellSpacing w:w="0" w:type="dxa"/>
        </w:trPr>
        <w:tc>
          <w:tcPr>
            <w:tcW w:w="50" w:type="pct"/>
            <w:shd w:val="clear" w:color="auto" w:fill="CCEEFF"/>
            <w:vAlign w:val="bottom"/>
            <w:hideMark/>
          </w:tcPr>
          <w:p w14:paraId="219D1CE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36B63A7" w14:textId="77777777" w:rsidR="00000000" w:rsidRDefault="0053651E">
            <w:pPr>
              <w:pStyle w:val="a3"/>
              <w:spacing w:before="0" w:beforeAutospacing="0" w:after="0" w:afterAutospacing="0"/>
              <w:rPr>
                <w:sz w:val="16"/>
                <w:szCs w:val="16"/>
              </w:rPr>
            </w:pPr>
            <w:r>
              <w:rPr>
                <w:sz w:val="16"/>
                <w:szCs w:val="16"/>
              </w:rPr>
              <w:t>IVES DAIRY CROSSING</w:t>
            </w:r>
          </w:p>
        </w:tc>
        <w:tc>
          <w:tcPr>
            <w:tcW w:w="150" w:type="pct"/>
            <w:shd w:val="clear" w:color="auto" w:fill="CCEEFF"/>
            <w:vAlign w:val="bottom"/>
            <w:hideMark/>
          </w:tcPr>
          <w:p w14:paraId="69DAAFF1"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59CAC30" w14:textId="77777777" w:rsidR="00000000" w:rsidRDefault="0053651E">
            <w:pPr>
              <w:jc w:val="right"/>
              <w:rPr>
                <w:rFonts w:eastAsia="Times New Roman"/>
                <w:sz w:val="16"/>
                <w:szCs w:val="16"/>
              </w:rPr>
            </w:pPr>
            <w:r>
              <w:rPr>
                <w:rFonts w:eastAsia="Times New Roman"/>
                <w:sz w:val="16"/>
                <w:szCs w:val="16"/>
              </w:rPr>
              <w:t>732,914</w:t>
            </w:r>
          </w:p>
        </w:tc>
        <w:tc>
          <w:tcPr>
            <w:tcW w:w="550" w:type="pct"/>
            <w:shd w:val="clear" w:color="auto" w:fill="CCEEFF"/>
            <w:vAlign w:val="bottom"/>
            <w:hideMark/>
          </w:tcPr>
          <w:p w14:paraId="668655AC" w14:textId="77777777" w:rsidR="00000000" w:rsidRDefault="0053651E">
            <w:pPr>
              <w:jc w:val="right"/>
              <w:rPr>
                <w:rFonts w:eastAsia="Times New Roman"/>
                <w:sz w:val="16"/>
                <w:szCs w:val="16"/>
              </w:rPr>
            </w:pPr>
            <w:r>
              <w:rPr>
                <w:rFonts w:eastAsia="Times New Roman"/>
                <w:sz w:val="16"/>
                <w:szCs w:val="16"/>
              </w:rPr>
              <w:t>4,080,460</w:t>
            </w:r>
          </w:p>
        </w:tc>
        <w:tc>
          <w:tcPr>
            <w:tcW w:w="350" w:type="pct"/>
            <w:shd w:val="clear" w:color="auto" w:fill="CCEEFF"/>
            <w:vAlign w:val="bottom"/>
            <w:hideMark/>
          </w:tcPr>
          <w:p w14:paraId="4A919614" w14:textId="77777777" w:rsidR="00000000" w:rsidRDefault="0053651E">
            <w:pPr>
              <w:jc w:val="right"/>
              <w:rPr>
                <w:rFonts w:eastAsia="Times New Roman"/>
                <w:sz w:val="16"/>
                <w:szCs w:val="16"/>
              </w:rPr>
            </w:pPr>
            <w:r>
              <w:rPr>
                <w:rFonts w:eastAsia="Times New Roman"/>
                <w:sz w:val="16"/>
                <w:szCs w:val="16"/>
              </w:rPr>
              <w:t>11,481,385</w:t>
            </w:r>
          </w:p>
        </w:tc>
        <w:tc>
          <w:tcPr>
            <w:tcW w:w="300" w:type="pct"/>
            <w:shd w:val="clear" w:color="auto" w:fill="CCEEFF"/>
            <w:vAlign w:val="bottom"/>
            <w:hideMark/>
          </w:tcPr>
          <w:p w14:paraId="4E375B00" w14:textId="77777777" w:rsidR="00000000" w:rsidRDefault="0053651E">
            <w:pPr>
              <w:jc w:val="right"/>
              <w:rPr>
                <w:rFonts w:eastAsia="Times New Roman"/>
                <w:sz w:val="16"/>
                <w:szCs w:val="16"/>
              </w:rPr>
            </w:pPr>
            <w:r>
              <w:rPr>
                <w:rFonts w:eastAsia="Times New Roman"/>
                <w:sz w:val="16"/>
                <w:szCs w:val="16"/>
              </w:rPr>
              <w:t>720,852</w:t>
            </w:r>
          </w:p>
        </w:tc>
        <w:tc>
          <w:tcPr>
            <w:tcW w:w="450" w:type="pct"/>
            <w:shd w:val="clear" w:color="auto" w:fill="CCEEFF"/>
            <w:vAlign w:val="bottom"/>
            <w:hideMark/>
          </w:tcPr>
          <w:p w14:paraId="3CAAF1C2" w14:textId="77777777" w:rsidR="00000000" w:rsidRDefault="0053651E">
            <w:pPr>
              <w:jc w:val="right"/>
              <w:rPr>
                <w:rFonts w:eastAsia="Times New Roman"/>
                <w:sz w:val="16"/>
                <w:szCs w:val="16"/>
              </w:rPr>
            </w:pPr>
            <w:r>
              <w:rPr>
                <w:rFonts w:eastAsia="Times New Roman"/>
                <w:sz w:val="16"/>
                <w:szCs w:val="16"/>
              </w:rPr>
              <w:t>15,573,907</w:t>
            </w:r>
          </w:p>
        </w:tc>
        <w:tc>
          <w:tcPr>
            <w:tcW w:w="350" w:type="pct"/>
            <w:shd w:val="clear" w:color="auto" w:fill="CCEEFF"/>
            <w:vAlign w:val="bottom"/>
            <w:hideMark/>
          </w:tcPr>
          <w:p w14:paraId="05096264" w14:textId="77777777" w:rsidR="00000000" w:rsidRDefault="0053651E">
            <w:pPr>
              <w:jc w:val="right"/>
              <w:rPr>
                <w:rFonts w:eastAsia="Times New Roman"/>
                <w:sz w:val="16"/>
                <w:szCs w:val="16"/>
              </w:rPr>
            </w:pPr>
            <w:r>
              <w:rPr>
                <w:rFonts w:eastAsia="Times New Roman"/>
                <w:sz w:val="16"/>
                <w:szCs w:val="16"/>
              </w:rPr>
              <w:t>16,294,759</w:t>
            </w:r>
          </w:p>
        </w:tc>
        <w:tc>
          <w:tcPr>
            <w:tcW w:w="400" w:type="pct"/>
            <w:shd w:val="clear" w:color="auto" w:fill="CCEEFF"/>
            <w:vAlign w:val="bottom"/>
            <w:hideMark/>
          </w:tcPr>
          <w:p w14:paraId="541051AC" w14:textId="77777777" w:rsidR="00000000" w:rsidRDefault="0053651E">
            <w:pPr>
              <w:jc w:val="right"/>
              <w:rPr>
                <w:rFonts w:eastAsia="Times New Roman"/>
                <w:sz w:val="16"/>
                <w:szCs w:val="16"/>
              </w:rPr>
            </w:pPr>
            <w:r>
              <w:rPr>
                <w:rFonts w:eastAsia="Times New Roman"/>
                <w:sz w:val="16"/>
                <w:szCs w:val="16"/>
              </w:rPr>
              <w:t>10,101,875</w:t>
            </w:r>
          </w:p>
        </w:tc>
        <w:tc>
          <w:tcPr>
            <w:tcW w:w="50" w:type="pct"/>
            <w:shd w:val="clear" w:color="auto" w:fill="CCEEFF"/>
            <w:vAlign w:val="bottom"/>
            <w:hideMark/>
          </w:tcPr>
          <w:p w14:paraId="111A07E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EAF0423" w14:textId="77777777" w:rsidR="00000000" w:rsidRDefault="0053651E">
            <w:pPr>
              <w:jc w:val="right"/>
              <w:rPr>
                <w:rFonts w:eastAsia="Times New Roman"/>
                <w:sz w:val="16"/>
                <w:szCs w:val="16"/>
              </w:rPr>
            </w:pPr>
            <w:r>
              <w:rPr>
                <w:rFonts w:eastAsia="Times New Roman"/>
                <w:sz w:val="16"/>
                <w:szCs w:val="16"/>
              </w:rPr>
              <w:t>6,192,884</w:t>
            </w:r>
          </w:p>
        </w:tc>
        <w:tc>
          <w:tcPr>
            <w:tcW w:w="50" w:type="pct"/>
            <w:shd w:val="clear" w:color="auto" w:fill="CCEEFF"/>
            <w:vAlign w:val="bottom"/>
            <w:hideMark/>
          </w:tcPr>
          <w:p w14:paraId="0B3E81E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80AC79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09901E4" w14:textId="77777777" w:rsidR="00000000" w:rsidRDefault="0053651E">
            <w:pPr>
              <w:pStyle w:val="a3"/>
              <w:spacing w:before="0" w:beforeAutospacing="0" w:after="0" w:afterAutospacing="0"/>
              <w:jc w:val="center"/>
              <w:rPr>
                <w:sz w:val="16"/>
                <w:szCs w:val="16"/>
              </w:rPr>
            </w:pPr>
            <w:r>
              <w:rPr>
                <w:rStyle w:val="a6"/>
                <w:i w:val="0"/>
                <w:iCs w:val="0"/>
                <w:sz w:val="16"/>
                <w:szCs w:val="16"/>
              </w:rPr>
              <w:t>1985(A)</w:t>
            </w:r>
          </w:p>
        </w:tc>
      </w:tr>
      <w:tr w:rsidR="00000000" w14:paraId="3BBE0899" w14:textId="77777777">
        <w:trPr>
          <w:tblCellSpacing w:w="0" w:type="dxa"/>
        </w:trPr>
        <w:tc>
          <w:tcPr>
            <w:tcW w:w="50" w:type="pct"/>
            <w:shd w:val="clear" w:color="auto" w:fill="FFFFFF"/>
            <w:vAlign w:val="bottom"/>
            <w:hideMark/>
          </w:tcPr>
          <w:p w14:paraId="747D9A1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18DA9A5" w14:textId="77777777" w:rsidR="00000000" w:rsidRDefault="0053651E">
            <w:pPr>
              <w:pStyle w:val="a3"/>
              <w:spacing w:before="0" w:beforeAutospacing="0" w:after="0" w:afterAutospacing="0"/>
              <w:rPr>
                <w:sz w:val="16"/>
                <w:szCs w:val="16"/>
              </w:rPr>
            </w:pPr>
            <w:r>
              <w:rPr>
                <w:sz w:val="16"/>
                <w:szCs w:val="16"/>
              </w:rPr>
              <w:t>MILLER ROAD S.C.</w:t>
            </w:r>
          </w:p>
        </w:tc>
        <w:tc>
          <w:tcPr>
            <w:tcW w:w="150" w:type="pct"/>
            <w:shd w:val="clear" w:color="auto" w:fill="FFFFFF"/>
            <w:vAlign w:val="bottom"/>
            <w:hideMark/>
          </w:tcPr>
          <w:p w14:paraId="02B1DC76"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7C635336" w14:textId="77777777" w:rsidR="00000000" w:rsidRDefault="0053651E">
            <w:pPr>
              <w:jc w:val="right"/>
              <w:rPr>
                <w:rFonts w:eastAsia="Times New Roman"/>
                <w:sz w:val="16"/>
                <w:szCs w:val="16"/>
              </w:rPr>
            </w:pPr>
            <w:r>
              <w:rPr>
                <w:rFonts w:eastAsia="Times New Roman"/>
                <w:sz w:val="16"/>
                <w:szCs w:val="16"/>
              </w:rPr>
              <w:t>1,138,082</w:t>
            </w:r>
          </w:p>
        </w:tc>
        <w:tc>
          <w:tcPr>
            <w:tcW w:w="550" w:type="pct"/>
            <w:shd w:val="clear" w:color="auto" w:fill="FFFFFF"/>
            <w:vAlign w:val="bottom"/>
            <w:hideMark/>
          </w:tcPr>
          <w:p w14:paraId="097C2F3E" w14:textId="77777777" w:rsidR="00000000" w:rsidRDefault="0053651E">
            <w:pPr>
              <w:jc w:val="right"/>
              <w:rPr>
                <w:rFonts w:eastAsia="Times New Roman"/>
                <w:sz w:val="16"/>
                <w:szCs w:val="16"/>
              </w:rPr>
            </w:pPr>
            <w:r>
              <w:rPr>
                <w:rFonts w:eastAsia="Times New Roman"/>
                <w:sz w:val="16"/>
                <w:szCs w:val="16"/>
              </w:rPr>
              <w:t>4,552,327</w:t>
            </w:r>
          </w:p>
        </w:tc>
        <w:tc>
          <w:tcPr>
            <w:tcW w:w="350" w:type="pct"/>
            <w:shd w:val="clear" w:color="auto" w:fill="FFFFFF"/>
            <w:vAlign w:val="bottom"/>
            <w:hideMark/>
          </w:tcPr>
          <w:p w14:paraId="7C2D01DC" w14:textId="77777777" w:rsidR="00000000" w:rsidRDefault="0053651E">
            <w:pPr>
              <w:jc w:val="right"/>
              <w:rPr>
                <w:rFonts w:eastAsia="Times New Roman"/>
                <w:sz w:val="16"/>
                <w:szCs w:val="16"/>
              </w:rPr>
            </w:pPr>
            <w:r>
              <w:rPr>
                <w:rFonts w:eastAsia="Times New Roman"/>
                <w:sz w:val="16"/>
                <w:szCs w:val="16"/>
              </w:rPr>
              <w:t>4,653,437</w:t>
            </w:r>
          </w:p>
        </w:tc>
        <w:tc>
          <w:tcPr>
            <w:tcW w:w="300" w:type="pct"/>
            <w:shd w:val="clear" w:color="auto" w:fill="FFFFFF"/>
            <w:vAlign w:val="bottom"/>
            <w:hideMark/>
          </w:tcPr>
          <w:p w14:paraId="65AD58CB" w14:textId="77777777" w:rsidR="00000000" w:rsidRDefault="0053651E">
            <w:pPr>
              <w:jc w:val="right"/>
              <w:rPr>
                <w:rFonts w:eastAsia="Times New Roman"/>
                <w:sz w:val="16"/>
                <w:szCs w:val="16"/>
              </w:rPr>
            </w:pPr>
            <w:r>
              <w:rPr>
                <w:rFonts w:eastAsia="Times New Roman"/>
                <w:sz w:val="16"/>
                <w:szCs w:val="16"/>
              </w:rPr>
              <w:t>1,138,082</w:t>
            </w:r>
          </w:p>
        </w:tc>
        <w:tc>
          <w:tcPr>
            <w:tcW w:w="450" w:type="pct"/>
            <w:shd w:val="clear" w:color="auto" w:fill="FFFFFF"/>
            <w:vAlign w:val="bottom"/>
            <w:hideMark/>
          </w:tcPr>
          <w:p w14:paraId="463457F6" w14:textId="77777777" w:rsidR="00000000" w:rsidRDefault="0053651E">
            <w:pPr>
              <w:jc w:val="right"/>
              <w:rPr>
                <w:rFonts w:eastAsia="Times New Roman"/>
                <w:sz w:val="16"/>
                <w:szCs w:val="16"/>
              </w:rPr>
            </w:pPr>
            <w:r>
              <w:rPr>
                <w:rFonts w:eastAsia="Times New Roman"/>
                <w:sz w:val="16"/>
                <w:szCs w:val="16"/>
              </w:rPr>
              <w:t>9,205,764</w:t>
            </w:r>
          </w:p>
        </w:tc>
        <w:tc>
          <w:tcPr>
            <w:tcW w:w="350" w:type="pct"/>
            <w:shd w:val="clear" w:color="auto" w:fill="FFFFFF"/>
            <w:vAlign w:val="bottom"/>
            <w:hideMark/>
          </w:tcPr>
          <w:p w14:paraId="611F47A4" w14:textId="77777777" w:rsidR="00000000" w:rsidRDefault="0053651E">
            <w:pPr>
              <w:jc w:val="right"/>
              <w:rPr>
                <w:rFonts w:eastAsia="Times New Roman"/>
                <w:sz w:val="16"/>
                <w:szCs w:val="16"/>
              </w:rPr>
            </w:pPr>
            <w:r>
              <w:rPr>
                <w:rFonts w:eastAsia="Times New Roman"/>
                <w:sz w:val="16"/>
                <w:szCs w:val="16"/>
              </w:rPr>
              <w:t>10,343,846</w:t>
            </w:r>
          </w:p>
        </w:tc>
        <w:tc>
          <w:tcPr>
            <w:tcW w:w="400" w:type="pct"/>
            <w:shd w:val="clear" w:color="auto" w:fill="FFFFFF"/>
            <w:vAlign w:val="bottom"/>
            <w:hideMark/>
          </w:tcPr>
          <w:p w14:paraId="080C3F2A" w14:textId="77777777" w:rsidR="00000000" w:rsidRDefault="0053651E">
            <w:pPr>
              <w:jc w:val="right"/>
              <w:rPr>
                <w:rFonts w:eastAsia="Times New Roman"/>
                <w:sz w:val="16"/>
                <w:szCs w:val="16"/>
              </w:rPr>
            </w:pPr>
            <w:r>
              <w:rPr>
                <w:rFonts w:eastAsia="Times New Roman"/>
                <w:sz w:val="16"/>
                <w:szCs w:val="16"/>
              </w:rPr>
              <w:t>6,117,126</w:t>
            </w:r>
          </w:p>
        </w:tc>
        <w:tc>
          <w:tcPr>
            <w:tcW w:w="50" w:type="pct"/>
            <w:shd w:val="clear" w:color="auto" w:fill="FFFFFF"/>
            <w:vAlign w:val="bottom"/>
            <w:hideMark/>
          </w:tcPr>
          <w:p w14:paraId="58DFE6E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0AA120C" w14:textId="77777777" w:rsidR="00000000" w:rsidRDefault="0053651E">
            <w:pPr>
              <w:jc w:val="right"/>
              <w:rPr>
                <w:rFonts w:eastAsia="Times New Roman"/>
                <w:sz w:val="16"/>
                <w:szCs w:val="16"/>
              </w:rPr>
            </w:pPr>
            <w:r>
              <w:rPr>
                <w:rFonts w:eastAsia="Times New Roman"/>
                <w:sz w:val="16"/>
                <w:szCs w:val="16"/>
              </w:rPr>
              <w:t>4,226,720</w:t>
            </w:r>
          </w:p>
        </w:tc>
        <w:tc>
          <w:tcPr>
            <w:tcW w:w="50" w:type="pct"/>
            <w:shd w:val="clear" w:color="auto" w:fill="FFFFFF"/>
            <w:vAlign w:val="bottom"/>
            <w:hideMark/>
          </w:tcPr>
          <w:p w14:paraId="37831FF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C6D224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1C849A5" w14:textId="77777777" w:rsidR="00000000" w:rsidRDefault="0053651E">
            <w:pPr>
              <w:pStyle w:val="a3"/>
              <w:spacing w:before="0" w:beforeAutospacing="0" w:after="0" w:afterAutospacing="0"/>
              <w:jc w:val="center"/>
              <w:rPr>
                <w:sz w:val="16"/>
                <w:szCs w:val="16"/>
              </w:rPr>
            </w:pPr>
            <w:r>
              <w:rPr>
                <w:rStyle w:val="a6"/>
                <w:i w:val="0"/>
                <w:iCs w:val="0"/>
                <w:sz w:val="16"/>
                <w:szCs w:val="16"/>
              </w:rPr>
              <w:t>1986(A)</w:t>
            </w:r>
          </w:p>
        </w:tc>
      </w:tr>
      <w:tr w:rsidR="00000000" w14:paraId="501F9E60" w14:textId="77777777">
        <w:trPr>
          <w:tblCellSpacing w:w="0" w:type="dxa"/>
        </w:trPr>
        <w:tc>
          <w:tcPr>
            <w:tcW w:w="50" w:type="pct"/>
            <w:shd w:val="clear" w:color="auto" w:fill="CCEEFF"/>
            <w:vAlign w:val="bottom"/>
            <w:hideMark/>
          </w:tcPr>
          <w:p w14:paraId="045C9E4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0305185" w14:textId="77777777" w:rsidR="00000000" w:rsidRDefault="0053651E">
            <w:pPr>
              <w:pStyle w:val="a3"/>
              <w:spacing w:before="0" w:beforeAutospacing="0" w:after="0" w:afterAutospacing="0"/>
              <w:rPr>
                <w:sz w:val="16"/>
                <w:szCs w:val="16"/>
              </w:rPr>
            </w:pPr>
            <w:r>
              <w:rPr>
                <w:sz w:val="16"/>
                <w:szCs w:val="16"/>
              </w:rPr>
              <w:t>KENDALE LAKES PLAZA</w:t>
            </w:r>
          </w:p>
        </w:tc>
        <w:tc>
          <w:tcPr>
            <w:tcW w:w="150" w:type="pct"/>
            <w:shd w:val="clear" w:color="auto" w:fill="CCEEFF"/>
            <w:vAlign w:val="bottom"/>
            <w:hideMark/>
          </w:tcPr>
          <w:p w14:paraId="08B44BB6"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7C94A48" w14:textId="77777777" w:rsidR="00000000" w:rsidRDefault="0053651E">
            <w:pPr>
              <w:jc w:val="right"/>
              <w:rPr>
                <w:rFonts w:eastAsia="Times New Roman"/>
                <w:sz w:val="16"/>
                <w:szCs w:val="16"/>
              </w:rPr>
            </w:pPr>
            <w:r>
              <w:rPr>
                <w:rFonts w:eastAsia="Times New Roman"/>
                <w:sz w:val="16"/>
                <w:szCs w:val="16"/>
              </w:rPr>
              <w:t>18,491,461</w:t>
            </w:r>
          </w:p>
        </w:tc>
        <w:tc>
          <w:tcPr>
            <w:tcW w:w="550" w:type="pct"/>
            <w:shd w:val="clear" w:color="auto" w:fill="CCEEFF"/>
            <w:vAlign w:val="bottom"/>
            <w:hideMark/>
          </w:tcPr>
          <w:p w14:paraId="5033525E" w14:textId="77777777" w:rsidR="00000000" w:rsidRDefault="0053651E">
            <w:pPr>
              <w:jc w:val="right"/>
              <w:rPr>
                <w:rFonts w:eastAsia="Times New Roman"/>
                <w:sz w:val="16"/>
                <w:szCs w:val="16"/>
              </w:rPr>
            </w:pPr>
            <w:r>
              <w:rPr>
                <w:rFonts w:eastAsia="Times New Roman"/>
                <w:sz w:val="16"/>
                <w:szCs w:val="16"/>
              </w:rPr>
              <w:t>28,496,001</w:t>
            </w:r>
          </w:p>
        </w:tc>
        <w:tc>
          <w:tcPr>
            <w:tcW w:w="350" w:type="pct"/>
            <w:shd w:val="clear" w:color="auto" w:fill="CCEEFF"/>
            <w:vAlign w:val="bottom"/>
            <w:hideMark/>
          </w:tcPr>
          <w:p w14:paraId="5BEBD26A" w14:textId="77777777" w:rsidR="00000000" w:rsidRDefault="0053651E">
            <w:pPr>
              <w:jc w:val="right"/>
              <w:rPr>
                <w:rFonts w:eastAsia="Times New Roman"/>
                <w:sz w:val="16"/>
                <w:szCs w:val="16"/>
              </w:rPr>
            </w:pPr>
            <w:r>
              <w:rPr>
                <w:rFonts w:eastAsia="Times New Roman"/>
                <w:sz w:val="16"/>
                <w:szCs w:val="16"/>
              </w:rPr>
              <w:t>(1,055,271)</w:t>
            </w:r>
          </w:p>
        </w:tc>
        <w:tc>
          <w:tcPr>
            <w:tcW w:w="300" w:type="pct"/>
            <w:shd w:val="clear" w:color="auto" w:fill="CCEEFF"/>
            <w:vAlign w:val="bottom"/>
            <w:hideMark/>
          </w:tcPr>
          <w:p w14:paraId="00F4066D" w14:textId="77777777" w:rsidR="00000000" w:rsidRDefault="0053651E">
            <w:pPr>
              <w:jc w:val="right"/>
              <w:rPr>
                <w:rFonts w:eastAsia="Times New Roman"/>
                <w:sz w:val="16"/>
                <w:szCs w:val="16"/>
              </w:rPr>
            </w:pPr>
            <w:r>
              <w:rPr>
                <w:rFonts w:eastAsia="Times New Roman"/>
                <w:sz w:val="16"/>
                <w:szCs w:val="16"/>
              </w:rPr>
              <w:t>15,362,227</w:t>
            </w:r>
          </w:p>
        </w:tc>
        <w:tc>
          <w:tcPr>
            <w:tcW w:w="450" w:type="pct"/>
            <w:shd w:val="clear" w:color="auto" w:fill="CCEEFF"/>
            <w:vAlign w:val="bottom"/>
            <w:hideMark/>
          </w:tcPr>
          <w:p w14:paraId="2CA735E0" w14:textId="77777777" w:rsidR="00000000" w:rsidRDefault="0053651E">
            <w:pPr>
              <w:jc w:val="right"/>
              <w:rPr>
                <w:rFonts w:eastAsia="Times New Roman"/>
                <w:sz w:val="16"/>
                <w:szCs w:val="16"/>
              </w:rPr>
            </w:pPr>
            <w:r>
              <w:rPr>
                <w:rFonts w:eastAsia="Times New Roman"/>
                <w:sz w:val="16"/>
                <w:szCs w:val="16"/>
              </w:rPr>
              <w:t>30,569,964</w:t>
            </w:r>
          </w:p>
        </w:tc>
        <w:tc>
          <w:tcPr>
            <w:tcW w:w="350" w:type="pct"/>
            <w:shd w:val="clear" w:color="auto" w:fill="CCEEFF"/>
            <w:vAlign w:val="bottom"/>
            <w:hideMark/>
          </w:tcPr>
          <w:p w14:paraId="25CAA7A6" w14:textId="77777777" w:rsidR="00000000" w:rsidRDefault="0053651E">
            <w:pPr>
              <w:jc w:val="right"/>
              <w:rPr>
                <w:rFonts w:eastAsia="Times New Roman"/>
                <w:sz w:val="16"/>
                <w:szCs w:val="16"/>
              </w:rPr>
            </w:pPr>
            <w:r>
              <w:rPr>
                <w:rFonts w:eastAsia="Times New Roman"/>
                <w:sz w:val="16"/>
                <w:szCs w:val="16"/>
              </w:rPr>
              <w:t>45,932,191</w:t>
            </w:r>
          </w:p>
        </w:tc>
        <w:tc>
          <w:tcPr>
            <w:tcW w:w="400" w:type="pct"/>
            <w:shd w:val="clear" w:color="auto" w:fill="CCEEFF"/>
            <w:vAlign w:val="bottom"/>
            <w:hideMark/>
          </w:tcPr>
          <w:p w14:paraId="6A8E3F0A" w14:textId="77777777" w:rsidR="00000000" w:rsidRDefault="0053651E">
            <w:pPr>
              <w:jc w:val="right"/>
              <w:rPr>
                <w:rFonts w:eastAsia="Times New Roman"/>
                <w:sz w:val="16"/>
                <w:szCs w:val="16"/>
              </w:rPr>
            </w:pPr>
            <w:r>
              <w:rPr>
                <w:rFonts w:eastAsia="Times New Roman"/>
                <w:sz w:val="16"/>
                <w:szCs w:val="16"/>
              </w:rPr>
              <w:t>8,641,957</w:t>
            </w:r>
          </w:p>
        </w:tc>
        <w:tc>
          <w:tcPr>
            <w:tcW w:w="50" w:type="pct"/>
            <w:shd w:val="clear" w:color="auto" w:fill="CCEEFF"/>
            <w:vAlign w:val="bottom"/>
            <w:hideMark/>
          </w:tcPr>
          <w:p w14:paraId="6E155FD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50BF27C" w14:textId="77777777" w:rsidR="00000000" w:rsidRDefault="0053651E">
            <w:pPr>
              <w:jc w:val="right"/>
              <w:rPr>
                <w:rFonts w:eastAsia="Times New Roman"/>
                <w:sz w:val="16"/>
                <w:szCs w:val="16"/>
              </w:rPr>
            </w:pPr>
            <w:r>
              <w:rPr>
                <w:rFonts w:eastAsia="Times New Roman"/>
                <w:sz w:val="16"/>
                <w:szCs w:val="16"/>
              </w:rPr>
              <w:t>37,290,234</w:t>
            </w:r>
          </w:p>
        </w:tc>
        <w:tc>
          <w:tcPr>
            <w:tcW w:w="50" w:type="pct"/>
            <w:shd w:val="clear" w:color="auto" w:fill="CCEEFF"/>
            <w:vAlign w:val="bottom"/>
            <w:hideMark/>
          </w:tcPr>
          <w:p w14:paraId="76625E4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6C7C4D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8D6B662"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61057AF7" w14:textId="77777777">
        <w:trPr>
          <w:tblCellSpacing w:w="0" w:type="dxa"/>
        </w:trPr>
        <w:tc>
          <w:tcPr>
            <w:tcW w:w="50" w:type="pct"/>
            <w:shd w:val="clear" w:color="auto" w:fill="FFFFFF"/>
            <w:vAlign w:val="bottom"/>
            <w:hideMark/>
          </w:tcPr>
          <w:p w14:paraId="680B9B5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05464D4" w14:textId="77777777" w:rsidR="00000000" w:rsidRDefault="0053651E">
            <w:pPr>
              <w:pStyle w:val="a3"/>
              <w:spacing w:before="0" w:beforeAutospacing="0" w:after="0" w:afterAutospacing="0"/>
              <w:rPr>
                <w:sz w:val="16"/>
                <w:szCs w:val="16"/>
              </w:rPr>
            </w:pPr>
            <w:r>
              <w:rPr>
                <w:sz w:val="16"/>
                <w:szCs w:val="16"/>
              </w:rPr>
              <w:t>MILLER WEST PLAZA</w:t>
            </w:r>
          </w:p>
        </w:tc>
        <w:tc>
          <w:tcPr>
            <w:tcW w:w="150" w:type="pct"/>
            <w:shd w:val="clear" w:color="auto" w:fill="FFFFFF"/>
            <w:vAlign w:val="bottom"/>
            <w:hideMark/>
          </w:tcPr>
          <w:p w14:paraId="60ACE045"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6324AD4D" w14:textId="77777777" w:rsidR="00000000" w:rsidRDefault="0053651E">
            <w:pPr>
              <w:jc w:val="right"/>
              <w:rPr>
                <w:rFonts w:eastAsia="Times New Roman"/>
                <w:sz w:val="16"/>
                <w:szCs w:val="16"/>
              </w:rPr>
            </w:pPr>
            <w:r>
              <w:rPr>
                <w:rFonts w:eastAsia="Times New Roman"/>
                <w:sz w:val="16"/>
                <w:szCs w:val="16"/>
              </w:rPr>
              <w:t>6,725,660</w:t>
            </w:r>
          </w:p>
        </w:tc>
        <w:tc>
          <w:tcPr>
            <w:tcW w:w="550" w:type="pct"/>
            <w:shd w:val="clear" w:color="auto" w:fill="FFFFFF"/>
            <w:vAlign w:val="bottom"/>
            <w:hideMark/>
          </w:tcPr>
          <w:p w14:paraId="111954F1" w14:textId="77777777" w:rsidR="00000000" w:rsidRDefault="0053651E">
            <w:pPr>
              <w:jc w:val="right"/>
              <w:rPr>
                <w:rFonts w:eastAsia="Times New Roman"/>
                <w:sz w:val="16"/>
                <w:szCs w:val="16"/>
              </w:rPr>
            </w:pPr>
            <w:r>
              <w:rPr>
                <w:rFonts w:eastAsia="Times New Roman"/>
                <w:sz w:val="16"/>
                <w:szCs w:val="16"/>
              </w:rPr>
              <w:t>10,661,419</w:t>
            </w:r>
          </w:p>
        </w:tc>
        <w:tc>
          <w:tcPr>
            <w:tcW w:w="350" w:type="pct"/>
            <w:shd w:val="clear" w:color="auto" w:fill="FFFFFF"/>
            <w:vAlign w:val="bottom"/>
            <w:hideMark/>
          </w:tcPr>
          <w:p w14:paraId="13DC5F98" w14:textId="77777777" w:rsidR="00000000" w:rsidRDefault="0053651E">
            <w:pPr>
              <w:jc w:val="right"/>
              <w:rPr>
                <w:rFonts w:eastAsia="Times New Roman"/>
                <w:sz w:val="16"/>
                <w:szCs w:val="16"/>
              </w:rPr>
            </w:pPr>
            <w:r>
              <w:rPr>
                <w:rFonts w:eastAsia="Times New Roman"/>
                <w:sz w:val="16"/>
                <w:szCs w:val="16"/>
              </w:rPr>
              <w:t>262,552</w:t>
            </w:r>
          </w:p>
        </w:tc>
        <w:tc>
          <w:tcPr>
            <w:tcW w:w="300" w:type="pct"/>
            <w:shd w:val="clear" w:color="auto" w:fill="FFFFFF"/>
            <w:vAlign w:val="bottom"/>
            <w:hideMark/>
          </w:tcPr>
          <w:p w14:paraId="084C0CFC" w14:textId="77777777" w:rsidR="00000000" w:rsidRDefault="0053651E">
            <w:pPr>
              <w:jc w:val="right"/>
              <w:rPr>
                <w:rFonts w:eastAsia="Times New Roman"/>
                <w:sz w:val="16"/>
                <w:szCs w:val="16"/>
              </w:rPr>
            </w:pPr>
            <w:r>
              <w:rPr>
                <w:rFonts w:eastAsia="Times New Roman"/>
                <w:sz w:val="16"/>
                <w:szCs w:val="16"/>
              </w:rPr>
              <w:t>6,725,660</w:t>
            </w:r>
          </w:p>
        </w:tc>
        <w:tc>
          <w:tcPr>
            <w:tcW w:w="450" w:type="pct"/>
            <w:shd w:val="clear" w:color="auto" w:fill="FFFFFF"/>
            <w:vAlign w:val="bottom"/>
            <w:hideMark/>
          </w:tcPr>
          <w:p w14:paraId="689ACCF4" w14:textId="77777777" w:rsidR="00000000" w:rsidRDefault="0053651E">
            <w:pPr>
              <w:jc w:val="right"/>
              <w:rPr>
                <w:rFonts w:eastAsia="Times New Roman"/>
                <w:sz w:val="16"/>
                <w:szCs w:val="16"/>
              </w:rPr>
            </w:pPr>
            <w:r>
              <w:rPr>
                <w:rFonts w:eastAsia="Times New Roman"/>
                <w:sz w:val="16"/>
                <w:szCs w:val="16"/>
              </w:rPr>
              <w:t>10,923,971</w:t>
            </w:r>
          </w:p>
        </w:tc>
        <w:tc>
          <w:tcPr>
            <w:tcW w:w="350" w:type="pct"/>
            <w:shd w:val="clear" w:color="auto" w:fill="FFFFFF"/>
            <w:vAlign w:val="bottom"/>
            <w:hideMark/>
          </w:tcPr>
          <w:p w14:paraId="15B58954" w14:textId="77777777" w:rsidR="00000000" w:rsidRDefault="0053651E">
            <w:pPr>
              <w:jc w:val="right"/>
              <w:rPr>
                <w:rFonts w:eastAsia="Times New Roman"/>
                <w:sz w:val="16"/>
                <w:szCs w:val="16"/>
              </w:rPr>
            </w:pPr>
            <w:r>
              <w:rPr>
                <w:rFonts w:eastAsia="Times New Roman"/>
                <w:sz w:val="16"/>
                <w:szCs w:val="16"/>
              </w:rPr>
              <w:t>17,649,631</w:t>
            </w:r>
          </w:p>
        </w:tc>
        <w:tc>
          <w:tcPr>
            <w:tcW w:w="400" w:type="pct"/>
            <w:shd w:val="clear" w:color="auto" w:fill="FFFFFF"/>
            <w:vAlign w:val="bottom"/>
            <w:hideMark/>
          </w:tcPr>
          <w:p w14:paraId="70622970" w14:textId="77777777" w:rsidR="00000000" w:rsidRDefault="0053651E">
            <w:pPr>
              <w:jc w:val="right"/>
              <w:rPr>
                <w:rFonts w:eastAsia="Times New Roman"/>
                <w:sz w:val="16"/>
                <w:szCs w:val="16"/>
              </w:rPr>
            </w:pPr>
            <w:r>
              <w:rPr>
                <w:rFonts w:eastAsia="Times New Roman"/>
                <w:sz w:val="16"/>
                <w:szCs w:val="16"/>
              </w:rPr>
              <w:t>1,881,268</w:t>
            </w:r>
          </w:p>
        </w:tc>
        <w:tc>
          <w:tcPr>
            <w:tcW w:w="50" w:type="pct"/>
            <w:shd w:val="clear" w:color="auto" w:fill="FFFFFF"/>
            <w:vAlign w:val="bottom"/>
            <w:hideMark/>
          </w:tcPr>
          <w:p w14:paraId="00DCAA4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C7DDBC9" w14:textId="77777777" w:rsidR="00000000" w:rsidRDefault="0053651E">
            <w:pPr>
              <w:jc w:val="right"/>
              <w:rPr>
                <w:rFonts w:eastAsia="Times New Roman"/>
                <w:sz w:val="16"/>
                <w:szCs w:val="16"/>
              </w:rPr>
            </w:pPr>
            <w:r>
              <w:rPr>
                <w:rFonts w:eastAsia="Times New Roman"/>
                <w:sz w:val="16"/>
                <w:szCs w:val="16"/>
              </w:rPr>
              <w:t>15,768,363</w:t>
            </w:r>
          </w:p>
        </w:tc>
        <w:tc>
          <w:tcPr>
            <w:tcW w:w="50" w:type="pct"/>
            <w:shd w:val="clear" w:color="auto" w:fill="FFFFFF"/>
            <w:vAlign w:val="bottom"/>
            <w:hideMark/>
          </w:tcPr>
          <w:p w14:paraId="73656E0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53A2CB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3D22C96"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E3711C4" w14:textId="77777777">
        <w:trPr>
          <w:tblCellSpacing w:w="0" w:type="dxa"/>
        </w:trPr>
        <w:tc>
          <w:tcPr>
            <w:tcW w:w="50" w:type="pct"/>
            <w:shd w:val="clear" w:color="auto" w:fill="CCEEFF"/>
            <w:vAlign w:val="bottom"/>
            <w:hideMark/>
          </w:tcPr>
          <w:p w14:paraId="2A4B34F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23BBC67" w14:textId="77777777" w:rsidR="00000000" w:rsidRDefault="0053651E">
            <w:pPr>
              <w:pStyle w:val="a3"/>
              <w:spacing w:before="0" w:beforeAutospacing="0" w:after="0" w:afterAutospacing="0"/>
              <w:rPr>
                <w:sz w:val="16"/>
                <w:szCs w:val="16"/>
              </w:rPr>
            </w:pPr>
            <w:r>
              <w:rPr>
                <w:sz w:val="16"/>
                <w:szCs w:val="16"/>
              </w:rPr>
              <w:t>CORSICA SQUARE S.C.</w:t>
            </w:r>
          </w:p>
        </w:tc>
        <w:tc>
          <w:tcPr>
            <w:tcW w:w="150" w:type="pct"/>
            <w:shd w:val="clear" w:color="auto" w:fill="CCEEFF"/>
            <w:vAlign w:val="bottom"/>
            <w:hideMark/>
          </w:tcPr>
          <w:p w14:paraId="68B778A2"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19BC80D" w14:textId="77777777" w:rsidR="00000000" w:rsidRDefault="0053651E">
            <w:pPr>
              <w:jc w:val="right"/>
              <w:rPr>
                <w:rFonts w:eastAsia="Times New Roman"/>
                <w:sz w:val="16"/>
                <w:szCs w:val="16"/>
              </w:rPr>
            </w:pPr>
            <w:r>
              <w:rPr>
                <w:rFonts w:eastAsia="Times New Roman"/>
                <w:sz w:val="16"/>
                <w:szCs w:val="16"/>
              </w:rPr>
              <w:t>7,225,100</w:t>
            </w:r>
          </w:p>
        </w:tc>
        <w:tc>
          <w:tcPr>
            <w:tcW w:w="550" w:type="pct"/>
            <w:shd w:val="clear" w:color="auto" w:fill="CCEEFF"/>
            <w:vAlign w:val="bottom"/>
            <w:hideMark/>
          </w:tcPr>
          <w:p w14:paraId="30567576" w14:textId="77777777" w:rsidR="00000000" w:rsidRDefault="0053651E">
            <w:pPr>
              <w:jc w:val="right"/>
              <w:rPr>
                <w:rFonts w:eastAsia="Times New Roman"/>
                <w:sz w:val="16"/>
                <w:szCs w:val="16"/>
              </w:rPr>
            </w:pPr>
            <w:r>
              <w:rPr>
                <w:rFonts w:eastAsia="Times New Roman"/>
                <w:sz w:val="16"/>
                <w:szCs w:val="16"/>
              </w:rPr>
              <w:t>10,757,386</w:t>
            </w:r>
          </w:p>
        </w:tc>
        <w:tc>
          <w:tcPr>
            <w:tcW w:w="350" w:type="pct"/>
            <w:shd w:val="clear" w:color="auto" w:fill="CCEEFF"/>
            <w:vAlign w:val="bottom"/>
            <w:hideMark/>
          </w:tcPr>
          <w:p w14:paraId="7FE5086E" w14:textId="77777777" w:rsidR="00000000" w:rsidRDefault="0053651E">
            <w:pPr>
              <w:jc w:val="right"/>
              <w:rPr>
                <w:rFonts w:eastAsia="Times New Roman"/>
                <w:sz w:val="16"/>
                <w:szCs w:val="16"/>
              </w:rPr>
            </w:pPr>
            <w:r>
              <w:rPr>
                <w:rFonts w:eastAsia="Times New Roman"/>
                <w:sz w:val="16"/>
                <w:szCs w:val="16"/>
              </w:rPr>
              <w:t>229,242</w:t>
            </w:r>
          </w:p>
        </w:tc>
        <w:tc>
          <w:tcPr>
            <w:tcW w:w="300" w:type="pct"/>
            <w:shd w:val="clear" w:color="auto" w:fill="CCEEFF"/>
            <w:vAlign w:val="bottom"/>
            <w:hideMark/>
          </w:tcPr>
          <w:p w14:paraId="108158A1" w14:textId="77777777" w:rsidR="00000000" w:rsidRDefault="0053651E">
            <w:pPr>
              <w:jc w:val="right"/>
              <w:rPr>
                <w:rFonts w:eastAsia="Times New Roman"/>
                <w:sz w:val="16"/>
                <w:szCs w:val="16"/>
              </w:rPr>
            </w:pPr>
            <w:r>
              <w:rPr>
                <w:rFonts w:eastAsia="Times New Roman"/>
                <w:sz w:val="16"/>
                <w:szCs w:val="16"/>
              </w:rPr>
              <w:t>7,225,100</w:t>
            </w:r>
          </w:p>
        </w:tc>
        <w:tc>
          <w:tcPr>
            <w:tcW w:w="450" w:type="pct"/>
            <w:shd w:val="clear" w:color="auto" w:fill="CCEEFF"/>
            <w:vAlign w:val="bottom"/>
            <w:hideMark/>
          </w:tcPr>
          <w:p w14:paraId="4D31C4EC" w14:textId="77777777" w:rsidR="00000000" w:rsidRDefault="0053651E">
            <w:pPr>
              <w:jc w:val="right"/>
              <w:rPr>
                <w:rFonts w:eastAsia="Times New Roman"/>
                <w:sz w:val="16"/>
                <w:szCs w:val="16"/>
              </w:rPr>
            </w:pPr>
            <w:r>
              <w:rPr>
                <w:rFonts w:eastAsia="Times New Roman"/>
                <w:sz w:val="16"/>
                <w:szCs w:val="16"/>
              </w:rPr>
              <w:t>10,986,628</w:t>
            </w:r>
          </w:p>
        </w:tc>
        <w:tc>
          <w:tcPr>
            <w:tcW w:w="350" w:type="pct"/>
            <w:shd w:val="clear" w:color="auto" w:fill="CCEEFF"/>
            <w:vAlign w:val="bottom"/>
            <w:hideMark/>
          </w:tcPr>
          <w:p w14:paraId="095C6090" w14:textId="77777777" w:rsidR="00000000" w:rsidRDefault="0053651E">
            <w:pPr>
              <w:jc w:val="right"/>
              <w:rPr>
                <w:rFonts w:eastAsia="Times New Roman"/>
                <w:sz w:val="16"/>
                <w:szCs w:val="16"/>
              </w:rPr>
            </w:pPr>
            <w:r>
              <w:rPr>
                <w:rFonts w:eastAsia="Times New Roman"/>
                <w:sz w:val="16"/>
                <w:szCs w:val="16"/>
              </w:rPr>
              <w:t>18,211,728</w:t>
            </w:r>
          </w:p>
        </w:tc>
        <w:tc>
          <w:tcPr>
            <w:tcW w:w="400" w:type="pct"/>
            <w:shd w:val="clear" w:color="auto" w:fill="CCEEFF"/>
            <w:vAlign w:val="bottom"/>
            <w:hideMark/>
          </w:tcPr>
          <w:p w14:paraId="37F12B16" w14:textId="77777777" w:rsidR="00000000" w:rsidRDefault="0053651E">
            <w:pPr>
              <w:jc w:val="right"/>
              <w:rPr>
                <w:rFonts w:eastAsia="Times New Roman"/>
                <w:sz w:val="16"/>
                <w:szCs w:val="16"/>
              </w:rPr>
            </w:pPr>
            <w:r>
              <w:rPr>
                <w:rFonts w:eastAsia="Times New Roman"/>
                <w:sz w:val="16"/>
                <w:szCs w:val="16"/>
              </w:rPr>
              <w:t>1,918,131</w:t>
            </w:r>
          </w:p>
        </w:tc>
        <w:tc>
          <w:tcPr>
            <w:tcW w:w="50" w:type="pct"/>
            <w:shd w:val="clear" w:color="auto" w:fill="CCEEFF"/>
            <w:vAlign w:val="bottom"/>
            <w:hideMark/>
          </w:tcPr>
          <w:p w14:paraId="3A0EBC5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25D1FAA" w14:textId="77777777" w:rsidR="00000000" w:rsidRDefault="0053651E">
            <w:pPr>
              <w:jc w:val="right"/>
              <w:rPr>
                <w:rFonts w:eastAsia="Times New Roman"/>
                <w:sz w:val="16"/>
                <w:szCs w:val="16"/>
              </w:rPr>
            </w:pPr>
            <w:r>
              <w:rPr>
                <w:rFonts w:eastAsia="Times New Roman"/>
                <w:sz w:val="16"/>
                <w:szCs w:val="16"/>
              </w:rPr>
              <w:t>16,293,597</w:t>
            </w:r>
          </w:p>
        </w:tc>
        <w:tc>
          <w:tcPr>
            <w:tcW w:w="50" w:type="pct"/>
            <w:shd w:val="clear" w:color="auto" w:fill="CCEEFF"/>
            <w:vAlign w:val="bottom"/>
            <w:hideMark/>
          </w:tcPr>
          <w:p w14:paraId="29949B7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51D14D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7B5A2E6"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129F23F" w14:textId="77777777">
        <w:trPr>
          <w:tblCellSpacing w:w="0" w:type="dxa"/>
        </w:trPr>
        <w:tc>
          <w:tcPr>
            <w:tcW w:w="50" w:type="pct"/>
            <w:shd w:val="clear" w:color="auto" w:fill="FFFFFF"/>
            <w:vAlign w:val="bottom"/>
            <w:hideMark/>
          </w:tcPr>
          <w:p w14:paraId="01B17F9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178B992" w14:textId="77777777" w:rsidR="00000000" w:rsidRDefault="0053651E">
            <w:pPr>
              <w:pStyle w:val="a3"/>
              <w:spacing w:before="0" w:beforeAutospacing="0" w:after="0" w:afterAutospacing="0"/>
              <w:rPr>
                <w:sz w:val="16"/>
                <w:szCs w:val="16"/>
              </w:rPr>
            </w:pPr>
            <w:r>
              <w:rPr>
                <w:sz w:val="16"/>
                <w:szCs w:val="16"/>
              </w:rPr>
              <w:t>FLAGLER PARK</w:t>
            </w:r>
          </w:p>
        </w:tc>
        <w:tc>
          <w:tcPr>
            <w:tcW w:w="150" w:type="pct"/>
            <w:shd w:val="clear" w:color="auto" w:fill="FFFFFF"/>
            <w:vAlign w:val="bottom"/>
            <w:hideMark/>
          </w:tcPr>
          <w:p w14:paraId="5F73D73A"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7A14BDF5" w14:textId="77777777" w:rsidR="00000000" w:rsidRDefault="0053651E">
            <w:pPr>
              <w:jc w:val="right"/>
              <w:rPr>
                <w:rFonts w:eastAsia="Times New Roman"/>
                <w:sz w:val="16"/>
                <w:szCs w:val="16"/>
              </w:rPr>
            </w:pPr>
            <w:r>
              <w:rPr>
                <w:rFonts w:eastAsia="Times New Roman"/>
                <w:sz w:val="16"/>
                <w:szCs w:val="16"/>
              </w:rPr>
              <w:t>26,162,980</w:t>
            </w:r>
          </w:p>
        </w:tc>
        <w:tc>
          <w:tcPr>
            <w:tcW w:w="550" w:type="pct"/>
            <w:shd w:val="clear" w:color="auto" w:fill="FFFFFF"/>
            <w:vAlign w:val="bottom"/>
            <w:hideMark/>
          </w:tcPr>
          <w:p w14:paraId="08C863CE" w14:textId="77777777" w:rsidR="00000000" w:rsidRDefault="0053651E">
            <w:pPr>
              <w:jc w:val="right"/>
              <w:rPr>
                <w:rFonts w:eastAsia="Times New Roman"/>
                <w:sz w:val="16"/>
                <w:szCs w:val="16"/>
              </w:rPr>
            </w:pPr>
            <w:r>
              <w:rPr>
                <w:rFonts w:eastAsia="Times New Roman"/>
                <w:sz w:val="16"/>
                <w:szCs w:val="16"/>
              </w:rPr>
              <w:t>80,737,041</w:t>
            </w:r>
          </w:p>
        </w:tc>
        <w:tc>
          <w:tcPr>
            <w:tcW w:w="350" w:type="pct"/>
            <w:shd w:val="clear" w:color="auto" w:fill="FFFFFF"/>
            <w:vAlign w:val="bottom"/>
            <w:hideMark/>
          </w:tcPr>
          <w:p w14:paraId="0AA99CCC" w14:textId="77777777" w:rsidR="00000000" w:rsidRDefault="0053651E">
            <w:pPr>
              <w:jc w:val="right"/>
              <w:rPr>
                <w:rFonts w:eastAsia="Times New Roman"/>
                <w:sz w:val="16"/>
                <w:szCs w:val="16"/>
              </w:rPr>
            </w:pPr>
            <w:r>
              <w:rPr>
                <w:rFonts w:eastAsia="Times New Roman"/>
                <w:sz w:val="16"/>
                <w:szCs w:val="16"/>
              </w:rPr>
              <w:t>5,890,698</w:t>
            </w:r>
          </w:p>
        </w:tc>
        <w:tc>
          <w:tcPr>
            <w:tcW w:w="300" w:type="pct"/>
            <w:shd w:val="clear" w:color="auto" w:fill="FFFFFF"/>
            <w:vAlign w:val="bottom"/>
            <w:hideMark/>
          </w:tcPr>
          <w:p w14:paraId="27F0F21D" w14:textId="77777777" w:rsidR="00000000" w:rsidRDefault="0053651E">
            <w:pPr>
              <w:jc w:val="right"/>
              <w:rPr>
                <w:rFonts w:eastAsia="Times New Roman"/>
                <w:sz w:val="16"/>
                <w:szCs w:val="16"/>
              </w:rPr>
            </w:pPr>
            <w:r>
              <w:rPr>
                <w:rFonts w:eastAsia="Times New Roman"/>
                <w:sz w:val="16"/>
                <w:szCs w:val="16"/>
              </w:rPr>
              <w:t>26,725,480</w:t>
            </w:r>
          </w:p>
        </w:tc>
        <w:tc>
          <w:tcPr>
            <w:tcW w:w="450" w:type="pct"/>
            <w:shd w:val="clear" w:color="auto" w:fill="FFFFFF"/>
            <w:vAlign w:val="bottom"/>
            <w:hideMark/>
          </w:tcPr>
          <w:p w14:paraId="6184F842" w14:textId="77777777" w:rsidR="00000000" w:rsidRDefault="0053651E">
            <w:pPr>
              <w:jc w:val="right"/>
              <w:rPr>
                <w:rFonts w:eastAsia="Times New Roman"/>
                <w:sz w:val="16"/>
                <w:szCs w:val="16"/>
              </w:rPr>
            </w:pPr>
            <w:r>
              <w:rPr>
                <w:rFonts w:eastAsia="Times New Roman"/>
                <w:sz w:val="16"/>
                <w:szCs w:val="16"/>
              </w:rPr>
              <w:t>86,065,239</w:t>
            </w:r>
          </w:p>
        </w:tc>
        <w:tc>
          <w:tcPr>
            <w:tcW w:w="350" w:type="pct"/>
            <w:shd w:val="clear" w:color="auto" w:fill="FFFFFF"/>
            <w:vAlign w:val="bottom"/>
            <w:hideMark/>
          </w:tcPr>
          <w:p w14:paraId="4534DEE2" w14:textId="77777777" w:rsidR="00000000" w:rsidRDefault="0053651E">
            <w:pPr>
              <w:jc w:val="right"/>
              <w:rPr>
                <w:rFonts w:eastAsia="Times New Roman"/>
                <w:sz w:val="16"/>
                <w:szCs w:val="16"/>
              </w:rPr>
            </w:pPr>
            <w:r>
              <w:rPr>
                <w:rFonts w:eastAsia="Times New Roman"/>
                <w:sz w:val="16"/>
                <w:szCs w:val="16"/>
              </w:rPr>
              <w:t>112,790,719</w:t>
            </w:r>
          </w:p>
        </w:tc>
        <w:tc>
          <w:tcPr>
            <w:tcW w:w="400" w:type="pct"/>
            <w:shd w:val="clear" w:color="auto" w:fill="FFFFFF"/>
            <w:vAlign w:val="bottom"/>
            <w:hideMark/>
          </w:tcPr>
          <w:p w14:paraId="185754F4" w14:textId="77777777" w:rsidR="00000000" w:rsidRDefault="0053651E">
            <w:pPr>
              <w:jc w:val="right"/>
              <w:rPr>
                <w:rFonts w:eastAsia="Times New Roman"/>
                <w:sz w:val="16"/>
                <w:szCs w:val="16"/>
              </w:rPr>
            </w:pPr>
            <w:r>
              <w:rPr>
                <w:rFonts w:eastAsia="Times New Roman"/>
                <w:sz w:val="16"/>
                <w:szCs w:val="16"/>
              </w:rPr>
              <w:t>26,385,431</w:t>
            </w:r>
          </w:p>
        </w:tc>
        <w:tc>
          <w:tcPr>
            <w:tcW w:w="50" w:type="pct"/>
            <w:shd w:val="clear" w:color="auto" w:fill="FFFFFF"/>
            <w:vAlign w:val="bottom"/>
            <w:hideMark/>
          </w:tcPr>
          <w:p w14:paraId="6962C7B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D959938" w14:textId="77777777" w:rsidR="00000000" w:rsidRDefault="0053651E">
            <w:pPr>
              <w:jc w:val="right"/>
              <w:rPr>
                <w:rFonts w:eastAsia="Times New Roman"/>
                <w:sz w:val="16"/>
                <w:szCs w:val="16"/>
              </w:rPr>
            </w:pPr>
            <w:r>
              <w:rPr>
                <w:rFonts w:eastAsia="Times New Roman"/>
                <w:sz w:val="16"/>
                <w:szCs w:val="16"/>
              </w:rPr>
              <w:t>86,405,288</w:t>
            </w:r>
          </w:p>
        </w:tc>
        <w:tc>
          <w:tcPr>
            <w:tcW w:w="50" w:type="pct"/>
            <w:shd w:val="clear" w:color="auto" w:fill="FFFFFF"/>
            <w:vAlign w:val="bottom"/>
            <w:hideMark/>
          </w:tcPr>
          <w:p w14:paraId="3F23C0F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9AF032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A198C59"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4DCE91FA" w14:textId="77777777">
        <w:trPr>
          <w:tblCellSpacing w:w="0" w:type="dxa"/>
        </w:trPr>
        <w:tc>
          <w:tcPr>
            <w:tcW w:w="50" w:type="pct"/>
            <w:shd w:val="clear" w:color="auto" w:fill="CCEEFF"/>
            <w:vAlign w:val="bottom"/>
            <w:hideMark/>
          </w:tcPr>
          <w:p w14:paraId="313F326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07D7940" w14:textId="77777777" w:rsidR="00000000" w:rsidRDefault="0053651E">
            <w:pPr>
              <w:pStyle w:val="a3"/>
              <w:spacing w:before="0" w:beforeAutospacing="0" w:after="0" w:afterAutospacing="0"/>
              <w:rPr>
                <w:sz w:val="16"/>
                <w:szCs w:val="16"/>
              </w:rPr>
            </w:pPr>
            <w:r>
              <w:rPr>
                <w:sz w:val="16"/>
                <w:szCs w:val="16"/>
              </w:rPr>
              <w:t>PARK HILL PLAZA</w:t>
            </w:r>
          </w:p>
        </w:tc>
        <w:tc>
          <w:tcPr>
            <w:tcW w:w="150" w:type="pct"/>
            <w:shd w:val="clear" w:color="auto" w:fill="CCEEFF"/>
            <w:vAlign w:val="bottom"/>
            <w:hideMark/>
          </w:tcPr>
          <w:p w14:paraId="48A1724D"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74AADCF2" w14:textId="77777777" w:rsidR="00000000" w:rsidRDefault="0053651E">
            <w:pPr>
              <w:jc w:val="right"/>
              <w:rPr>
                <w:rFonts w:eastAsia="Times New Roman"/>
                <w:sz w:val="16"/>
                <w:szCs w:val="16"/>
              </w:rPr>
            </w:pPr>
            <w:r>
              <w:rPr>
                <w:rFonts w:eastAsia="Times New Roman"/>
                <w:sz w:val="16"/>
                <w:szCs w:val="16"/>
              </w:rPr>
              <w:t>10,763,612</w:t>
            </w:r>
          </w:p>
        </w:tc>
        <w:tc>
          <w:tcPr>
            <w:tcW w:w="550" w:type="pct"/>
            <w:shd w:val="clear" w:color="auto" w:fill="CCEEFF"/>
            <w:vAlign w:val="bottom"/>
            <w:hideMark/>
          </w:tcPr>
          <w:p w14:paraId="59EB1C1C" w14:textId="77777777" w:rsidR="00000000" w:rsidRDefault="0053651E">
            <w:pPr>
              <w:jc w:val="right"/>
              <w:rPr>
                <w:rFonts w:eastAsia="Times New Roman"/>
                <w:sz w:val="16"/>
                <w:szCs w:val="16"/>
              </w:rPr>
            </w:pPr>
            <w:r>
              <w:rPr>
                <w:rFonts w:eastAsia="Times New Roman"/>
                <w:sz w:val="16"/>
                <w:szCs w:val="16"/>
              </w:rPr>
              <w:t>19,264,248</w:t>
            </w:r>
          </w:p>
        </w:tc>
        <w:tc>
          <w:tcPr>
            <w:tcW w:w="350" w:type="pct"/>
            <w:shd w:val="clear" w:color="auto" w:fill="CCEEFF"/>
            <w:vAlign w:val="bottom"/>
            <w:hideMark/>
          </w:tcPr>
          <w:p w14:paraId="2BA2431A" w14:textId="77777777" w:rsidR="00000000" w:rsidRDefault="0053651E">
            <w:pPr>
              <w:jc w:val="right"/>
              <w:rPr>
                <w:rFonts w:eastAsia="Times New Roman"/>
                <w:sz w:val="16"/>
                <w:szCs w:val="16"/>
              </w:rPr>
            </w:pPr>
            <w:r>
              <w:rPr>
                <w:rFonts w:eastAsia="Times New Roman"/>
                <w:sz w:val="16"/>
                <w:szCs w:val="16"/>
              </w:rPr>
              <w:t>575,278</w:t>
            </w:r>
          </w:p>
        </w:tc>
        <w:tc>
          <w:tcPr>
            <w:tcW w:w="300" w:type="pct"/>
            <w:shd w:val="clear" w:color="auto" w:fill="CCEEFF"/>
            <w:vAlign w:val="bottom"/>
            <w:hideMark/>
          </w:tcPr>
          <w:p w14:paraId="0AF509A0" w14:textId="77777777" w:rsidR="00000000" w:rsidRDefault="0053651E">
            <w:pPr>
              <w:jc w:val="right"/>
              <w:rPr>
                <w:rFonts w:eastAsia="Times New Roman"/>
                <w:sz w:val="16"/>
                <w:szCs w:val="16"/>
              </w:rPr>
            </w:pPr>
            <w:r>
              <w:rPr>
                <w:rFonts w:eastAsia="Times New Roman"/>
                <w:sz w:val="16"/>
                <w:szCs w:val="16"/>
              </w:rPr>
              <w:t>10,763,612</w:t>
            </w:r>
          </w:p>
        </w:tc>
        <w:tc>
          <w:tcPr>
            <w:tcW w:w="450" w:type="pct"/>
            <w:shd w:val="clear" w:color="auto" w:fill="CCEEFF"/>
            <w:vAlign w:val="bottom"/>
            <w:hideMark/>
          </w:tcPr>
          <w:p w14:paraId="757EF60B" w14:textId="77777777" w:rsidR="00000000" w:rsidRDefault="0053651E">
            <w:pPr>
              <w:jc w:val="right"/>
              <w:rPr>
                <w:rFonts w:eastAsia="Times New Roman"/>
                <w:sz w:val="16"/>
                <w:szCs w:val="16"/>
              </w:rPr>
            </w:pPr>
            <w:r>
              <w:rPr>
                <w:rFonts w:eastAsia="Times New Roman"/>
                <w:sz w:val="16"/>
                <w:szCs w:val="16"/>
              </w:rPr>
              <w:t>19,839,526</w:t>
            </w:r>
          </w:p>
        </w:tc>
        <w:tc>
          <w:tcPr>
            <w:tcW w:w="350" w:type="pct"/>
            <w:shd w:val="clear" w:color="auto" w:fill="CCEEFF"/>
            <w:vAlign w:val="bottom"/>
            <w:hideMark/>
          </w:tcPr>
          <w:p w14:paraId="22B209AC" w14:textId="77777777" w:rsidR="00000000" w:rsidRDefault="0053651E">
            <w:pPr>
              <w:jc w:val="right"/>
              <w:rPr>
                <w:rFonts w:eastAsia="Times New Roman"/>
                <w:sz w:val="16"/>
                <w:szCs w:val="16"/>
              </w:rPr>
            </w:pPr>
            <w:r>
              <w:rPr>
                <w:rFonts w:eastAsia="Times New Roman"/>
                <w:sz w:val="16"/>
                <w:szCs w:val="16"/>
              </w:rPr>
              <w:t>30,603,138</w:t>
            </w:r>
          </w:p>
        </w:tc>
        <w:tc>
          <w:tcPr>
            <w:tcW w:w="400" w:type="pct"/>
            <w:shd w:val="clear" w:color="auto" w:fill="CCEEFF"/>
            <w:vAlign w:val="bottom"/>
            <w:hideMark/>
          </w:tcPr>
          <w:p w14:paraId="2329C0C3" w14:textId="77777777" w:rsidR="00000000" w:rsidRDefault="0053651E">
            <w:pPr>
              <w:jc w:val="right"/>
              <w:rPr>
                <w:rFonts w:eastAsia="Times New Roman"/>
                <w:sz w:val="16"/>
                <w:szCs w:val="16"/>
              </w:rPr>
            </w:pPr>
            <w:r>
              <w:rPr>
                <w:rFonts w:eastAsia="Times New Roman"/>
                <w:sz w:val="16"/>
                <w:szCs w:val="16"/>
              </w:rPr>
              <w:t>5,078,780</w:t>
            </w:r>
          </w:p>
        </w:tc>
        <w:tc>
          <w:tcPr>
            <w:tcW w:w="50" w:type="pct"/>
            <w:shd w:val="clear" w:color="auto" w:fill="CCEEFF"/>
            <w:vAlign w:val="bottom"/>
            <w:hideMark/>
          </w:tcPr>
          <w:p w14:paraId="13D4B1F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1BB0765" w14:textId="77777777" w:rsidR="00000000" w:rsidRDefault="0053651E">
            <w:pPr>
              <w:jc w:val="right"/>
              <w:rPr>
                <w:rFonts w:eastAsia="Times New Roman"/>
                <w:sz w:val="16"/>
                <w:szCs w:val="16"/>
              </w:rPr>
            </w:pPr>
            <w:r>
              <w:rPr>
                <w:rFonts w:eastAsia="Times New Roman"/>
                <w:sz w:val="16"/>
                <w:szCs w:val="16"/>
              </w:rPr>
              <w:t>25,524,358</w:t>
            </w:r>
          </w:p>
        </w:tc>
        <w:tc>
          <w:tcPr>
            <w:tcW w:w="50" w:type="pct"/>
            <w:shd w:val="clear" w:color="auto" w:fill="CCEEFF"/>
            <w:vAlign w:val="bottom"/>
            <w:hideMark/>
          </w:tcPr>
          <w:p w14:paraId="5F17AB4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A12606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E08AC81"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1011B28B" w14:textId="77777777">
        <w:trPr>
          <w:tblCellSpacing w:w="0" w:type="dxa"/>
        </w:trPr>
        <w:tc>
          <w:tcPr>
            <w:tcW w:w="50" w:type="pct"/>
            <w:shd w:val="clear" w:color="auto" w:fill="FFFFFF"/>
            <w:vAlign w:val="bottom"/>
            <w:hideMark/>
          </w:tcPr>
          <w:p w14:paraId="08C2F7B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AA6F849" w14:textId="77777777" w:rsidR="00000000" w:rsidRDefault="0053651E">
            <w:pPr>
              <w:pStyle w:val="a3"/>
              <w:spacing w:before="0" w:beforeAutospacing="0" w:after="0" w:afterAutospacing="0"/>
              <w:rPr>
                <w:sz w:val="16"/>
                <w:szCs w:val="16"/>
              </w:rPr>
            </w:pPr>
            <w:r>
              <w:rPr>
                <w:sz w:val="16"/>
                <w:szCs w:val="16"/>
              </w:rPr>
              <w:t>WINN DIXIE-MIAMI</w:t>
            </w:r>
          </w:p>
        </w:tc>
        <w:tc>
          <w:tcPr>
            <w:tcW w:w="150" w:type="pct"/>
            <w:shd w:val="clear" w:color="auto" w:fill="FFFFFF"/>
            <w:vAlign w:val="bottom"/>
            <w:hideMark/>
          </w:tcPr>
          <w:p w14:paraId="328FCE34"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51E677E2" w14:textId="77777777" w:rsidR="00000000" w:rsidRDefault="0053651E">
            <w:pPr>
              <w:jc w:val="right"/>
              <w:rPr>
                <w:rFonts w:eastAsia="Times New Roman"/>
                <w:sz w:val="16"/>
                <w:szCs w:val="16"/>
              </w:rPr>
            </w:pPr>
            <w:r>
              <w:rPr>
                <w:rFonts w:eastAsia="Times New Roman"/>
                <w:sz w:val="16"/>
                <w:szCs w:val="16"/>
              </w:rPr>
              <w:t>2,989,640</w:t>
            </w:r>
          </w:p>
        </w:tc>
        <w:tc>
          <w:tcPr>
            <w:tcW w:w="550" w:type="pct"/>
            <w:shd w:val="clear" w:color="auto" w:fill="FFFFFF"/>
            <w:vAlign w:val="bottom"/>
            <w:hideMark/>
          </w:tcPr>
          <w:p w14:paraId="1191EE86" w14:textId="77777777" w:rsidR="00000000" w:rsidRDefault="0053651E">
            <w:pPr>
              <w:jc w:val="right"/>
              <w:rPr>
                <w:rFonts w:eastAsia="Times New Roman"/>
                <w:sz w:val="16"/>
                <w:szCs w:val="16"/>
              </w:rPr>
            </w:pPr>
            <w:r>
              <w:rPr>
                <w:rFonts w:eastAsia="Times New Roman"/>
                <w:sz w:val="16"/>
                <w:szCs w:val="16"/>
              </w:rPr>
              <w:t>9,410,360</w:t>
            </w:r>
          </w:p>
        </w:tc>
        <w:tc>
          <w:tcPr>
            <w:tcW w:w="350" w:type="pct"/>
            <w:shd w:val="clear" w:color="auto" w:fill="FFFFFF"/>
            <w:vAlign w:val="bottom"/>
            <w:hideMark/>
          </w:tcPr>
          <w:p w14:paraId="267840DB" w14:textId="77777777" w:rsidR="00000000" w:rsidRDefault="0053651E">
            <w:pPr>
              <w:jc w:val="right"/>
              <w:rPr>
                <w:rFonts w:eastAsia="Times New Roman"/>
                <w:sz w:val="16"/>
                <w:szCs w:val="16"/>
              </w:rPr>
            </w:pPr>
            <w:r>
              <w:rPr>
                <w:rFonts w:eastAsia="Times New Roman"/>
                <w:sz w:val="16"/>
                <w:szCs w:val="16"/>
              </w:rPr>
              <w:t>(49,372)</w:t>
            </w:r>
          </w:p>
        </w:tc>
        <w:tc>
          <w:tcPr>
            <w:tcW w:w="300" w:type="pct"/>
            <w:shd w:val="clear" w:color="auto" w:fill="FFFFFF"/>
            <w:vAlign w:val="bottom"/>
            <w:hideMark/>
          </w:tcPr>
          <w:p w14:paraId="6E5CD18B" w14:textId="77777777" w:rsidR="00000000" w:rsidRDefault="0053651E">
            <w:pPr>
              <w:jc w:val="right"/>
              <w:rPr>
                <w:rFonts w:eastAsia="Times New Roman"/>
                <w:sz w:val="16"/>
                <w:szCs w:val="16"/>
              </w:rPr>
            </w:pPr>
            <w:r>
              <w:rPr>
                <w:rFonts w:eastAsia="Times New Roman"/>
                <w:sz w:val="16"/>
                <w:szCs w:val="16"/>
              </w:rPr>
              <w:t>3,544,297</w:t>
            </w:r>
          </w:p>
        </w:tc>
        <w:tc>
          <w:tcPr>
            <w:tcW w:w="450" w:type="pct"/>
            <w:shd w:val="clear" w:color="auto" w:fill="FFFFFF"/>
            <w:vAlign w:val="bottom"/>
            <w:hideMark/>
          </w:tcPr>
          <w:p w14:paraId="79DFC657" w14:textId="77777777" w:rsidR="00000000" w:rsidRDefault="0053651E">
            <w:pPr>
              <w:jc w:val="right"/>
              <w:rPr>
                <w:rFonts w:eastAsia="Times New Roman"/>
                <w:sz w:val="16"/>
                <w:szCs w:val="16"/>
              </w:rPr>
            </w:pPr>
            <w:r>
              <w:rPr>
                <w:rFonts w:eastAsia="Times New Roman"/>
                <w:sz w:val="16"/>
                <w:szCs w:val="16"/>
              </w:rPr>
              <w:t>8,806,331</w:t>
            </w:r>
          </w:p>
        </w:tc>
        <w:tc>
          <w:tcPr>
            <w:tcW w:w="350" w:type="pct"/>
            <w:shd w:val="clear" w:color="auto" w:fill="FFFFFF"/>
            <w:vAlign w:val="bottom"/>
            <w:hideMark/>
          </w:tcPr>
          <w:p w14:paraId="18C8F9C2" w14:textId="77777777" w:rsidR="00000000" w:rsidRDefault="0053651E">
            <w:pPr>
              <w:jc w:val="right"/>
              <w:rPr>
                <w:rFonts w:eastAsia="Times New Roman"/>
                <w:sz w:val="16"/>
                <w:szCs w:val="16"/>
              </w:rPr>
            </w:pPr>
            <w:r>
              <w:rPr>
                <w:rFonts w:eastAsia="Times New Roman"/>
                <w:sz w:val="16"/>
                <w:szCs w:val="16"/>
              </w:rPr>
              <w:t>12,350,628</w:t>
            </w:r>
          </w:p>
        </w:tc>
        <w:tc>
          <w:tcPr>
            <w:tcW w:w="400" w:type="pct"/>
            <w:shd w:val="clear" w:color="auto" w:fill="FFFFFF"/>
            <w:vAlign w:val="bottom"/>
            <w:hideMark/>
          </w:tcPr>
          <w:p w14:paraId="71224E95" w14:textId="77777777" w:rsidR="00000000" w:rsidRDefault="0053651E">
            <w:pPr>
              <w:jc w:val="right"/>
              <w:rPr>
                <w:rFonts w:eastAsia="Times New Roman"/>
                <w:sz w:val="16"/>
                <w:szCs w:val="16"/>
              </w:rPr>
            </w:pPr>
            <w:r>
              <w:rPr>
                <w:rFonts w:eastAsia="Times New Roman"/>
                <w:sz w:val="16"/>
                <w:szCs w:val="16"/>
              </w:rPr>
              <w:t>1,336,013</w:t>
            </w:r>
          </w:p>
        </w:tc>
        <w:tc>
          <w:tcPr>
            <w:tcW w:w="50" w:type="pct"/>
            <w:shd w:val="clear" w:color="auto" w:fill="FFFFFF"/>
            <w:vAlign w:val="bottom"/>
            <w:hideMark/>
          </w:tcPr>
          <w:p w14:paraId="4C2D926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B5759CF" w14:textId="77777777" w:rsidR="00000000" w:rsidRDefault="0053651E">
            <w:pPr>
              <w:jc w:val="right"/>
              <w:rPr>
                <w:rFonts w:eastAsia="Times New Roman"/>
                <w:sz w:val="16"/>
                <w:szCs w:val="16"/>
              </w:rPr>
            </w:pPr>
            <w:r>
              <w:rPr>
                <w:rFonts w:eastAsia="Times New Roman"/>
                <w:sz w:val="16"/>
                <w:szCs w:val="16"/>
              </w:rPr>
              <w:t>11,014,615</w:t>
            </w:r>
          </w:p>
        </w:tc>
        <w:tc>
          <w:tcPr>
            <w:tcW w:w="50" w:type="pct"/>
            <w:shd w:val="clear" w:color="auto" w:fill="FFFFFF"/>
            <w:vAlign w:val="bottom"/>
            <w:hideMark/>
          </w:tcPr>
          <w:p w14:paraId="311D177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41B069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BD83262"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2206BD50" w14:textId="77777777">
        <w:trPr>
          <w:tblCellSpacing w:w="0" w:type="dxa"/>
        </w:trPr>
        <w:tc>
          <w:tcPr>
            <w:tcW w:w="50" w:type="pct"/>
            <w:shd w:val="clear" w:color="auto" w:fill="CCEEFF"/>
            <w:vAlign w:val="bottom"/>
            <w:hideMark/>
          </w:tcPr>
          <w:p w14:paraId="11FB494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036E6E8" w14:textId="77777777" w:rsidR="00000000" w:rsidRDefault="0053651E">
            <w:pPr>
              <w:pStyle w:val="a3"/>
              <w:spacing w:before="0" w:beforeAutospacing="0" w:after="0" w:afterAutospacing="0"/>
              <w:rPr>
                <w:sz w:val="16"/>
                <w:szCs w:val="16"/>
              </w:rPr>
            </w:pPr>
            <w:r>
              <w:rPr>
                <w:sz w:val="16"/>
                <w:szCs w:val="16"/>
              </w:rPr>
              <w:t>MARATHON SHOPPING CENTER</w:t>
            </w:r>
          </w:p>
        </w:tc>
        <w:tc>
          <w:tcPr>
            <w:tcW w:w="150" w:type="pct"/>
            <w:shd w:val="clear" w:color="auto" w:fill="CCEEFF"/>
            <w:vAlign w:val="bottom"/>
            <w:hideMark/>
          </w:tcPr>
          <w:p w14:paraId="05454261"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4D102C86" w14:textId="77777777" w:rsidR="00000000" w:rsidRDefault="0053651E">
            <w:pPr>
              <w:jc w:val="right"/>
              <w:rPr>
                <w:rFonts w:eastAsia="Times New Roman"/>
                <w:sz w:val="16"/>
                <w:szCs w:val="16"/>
              </w:rPr>
            </w:pPr>
            <w:r>
              <w:rPr>
                <w:rFonts w:eastAsia="Times New Roman"/>
                <w:sz w:val="16"/>
                <w:szCs w:val="16"/>
              </w:rPr>
              <w:t>2,412,929</w:t>
            </w:r>
          </w:p>
        </w:tc>
        <w:tc>
          <w:tcPr>
            <w:tcW w:w="550" w:type="pct"/>
            <w:shd w:val="clear" w:color="auto" w:fill="CCEEFF"/>
            <w:vAlign w:val="bottom"/>
            <w:hideMark/>
          </w:tcPr>
          <w:p w14:paraId="0088EDBF" w14:textId="77777777" w:rsidR="00000000" w:rsidRDefault="0053651E">
            <w:pPr>
              <w:jc w:val="right"/>
              <w:rPr>
                <w:rFonts w:eastAsia="Times New Roman"/>
                <w:sz w:val="16"/>
                <w:szCs w:val="16"/>
              </w:rPr>
            </w:pPr>
            <w:r>
              <w:rPr>
                <w:rFonts w:eastAsia="Times New Roman"/>
                <w:sz w:val="16"/>
                <w:szCs w:val="16"/>
              </w:rPr>
              <w:t>8,069,450</w:t>
            </w:r>
          </w:p>
        </w:tc>
        <w:tc>
          <w:tcPr>
            <w:tcW w:w="350" w:type="pct"/>
            <w:shd w:val="clear" w:color="auto" w:fill="CCEEFF"/>
            <w:vAlign w:val="bottom"/>
            <w:hideMark/>
          </w:tcPr>
          <w:p w14:paraId="20155C6E" w14:textId="77777777" w:rsidR="00000000" w:rsidRDefault="0053651E">
            <w:pPr>
              <w:jc w:val="right"/>
              <w:rPr>
                <w:rFonts w:eastAsia="Times New Roman"/>
                <w:sz w:val="16"/>
                <w:szCs w:val="16"/>
              </w:rPr>
            </w:pPr>
            <w:r>
              <w:rPr>
                <w:rFonts w:eastAsia="Times New Roman"/>
                <w:sz w:val="16"/>
                <w:szCs w:val="16"/>
              </w:rPr>
              <w:t>1,668,751</w:t>
            </w:r>
          </w:p>
        </w:tc>
        <w:tc>
          <w:tcPr>
            <w:tcW w:w="300" w:type="pct"/>
            <w:shd w:val="clear" w:color="auto" w:fill="CCEEFF"/>
            <w:vAlign w:val="bottom"/>
            <w:hideMark/>
          </w:tcPr>
          <w:p w14:paraId="6E87A999" w14:textId="77777777" w:rsidR="00000000" w:rsidRDefault="0053651E">
            <w:pPr>
              <w:jc w:val="right"/>
              <w:rPr>
                <w:rFonts w:eastAsia="Times New Roman"/>
                <w:sz w:val="16"/>
                <w:szCs w:val="16"/>
              </w:rPr>
            </w:pPr>
            <w:r>
              <w:rPr>
                <w:rFonts w:eastAsia="Times New Roman"/>
                <w:sz w:val="16"/>
                <w:szCs w:val="16"/>
              </w:rPr>
              <w:t>1,514,731</w:t>
            </w:r>
          </w:p>
        </w:tc>
        <w:tc>
          <w:tcPr>
            <w:tcW w:w="450" w:type="pct"/>
            <w:shd w:val="clear" w:color="auto" w:fill="CCEEFF"/>
            <w:vAlign w:val="bottom"/>
            <w:hideMark/>
          </w:tcPr>
          <w:p w14:paraId="65823C6B" w14:textId="77777777" w:rsidR="00000000" w:rsidRDefault="0053651E">
            <w:pPr>
              <w:jc w:val="right"/>
              <w:rPr>
                <w:rFonts w:eastAsia="Times New Roman"/>
                <w:sz w:val="16"/>
                <w:szCs w:val="16"/>
              </w:rPr>
            </w:pPr>
            <w:r>
              <w:rPr>
                <w:rFonts w:eastAsia="Times New Roman"/>
                <w:sz w:val="16"/>
                <w:szCs w:val="16"/>
              </w:rPr>
              <w:t>10,636,399</w:t>
            </w:r>
          </w:p>
        </w:tc>
        <w:tc>
          <w:tcPr>
            <w:tcW w:w="350" w:type="pct"/>
            <w:shd w:val="clear" w:color="auto" w:fill="CCEEFF"/>
            <w:vAlign w:val="bottom"/>
            <w:hideMark/>
          </w:tcPr>
          <w:p w14:paraId="5054B168" w14:textId="77777777" w:rsidR="00000000" w:rsidRDefault="0053651E">
            <w:pPr>
              <w:jc w:val="right"/>
              <w:rPr>
                <w:rFonts w:eastAsia="Times New Roman"/>
                <w:sz w:val="16"/>
                <w:szCs w:val="16"/>
              </w:rPr>
            </w:pPr>
            <w:r>
              <w:rPr>
                <w:rFonts w:eastAsia="Times New Roman"/>
                <w:sz w:val="16"/>
                <w:szCs w:val="16"/>
              </w:rPr>
              <w:t>12,151,130</w:t>
            </w:r>
          </w:p>
        </w:tc>
        <w:tc>
          <w:tcPr>
            <w:tcW w:w="400" w:type="pct"/>
            <w:shd w:val="clear" w:color="auto" w:fill="CCEEFF"/>
            <w:vAlign w:val="bottom"/>
            <w:hideMark/>
          </w:tcPr>
          <w:p w14:paraId="5C26C922" w14:textId="77777777" w:rsidR="00000000" w:rsidRDefault="0053651E">
            <w:pPr>
              <w:jc w:val="right"/>
              <w:rPr>
                <w:rFonts w:eastAsia="Times New Roman"/>
                <w:sz w:val="16"/>
                <w:szCs w:val="16"/>
              </w:rPr>
            </w:pPr>
            <w:r>
              <w:rPr>
                <w:rFonts w:eastAsia="Times New Roman"/>
                <w:sz w:val="16"/>
                <w:szCs w:val="16"/>
              </w:rPr>
              <w:t>2,077,857</w:t>
            </w:r>
          </w:p>
        </w:tc>
        <w:tc>
          <w:tcPr>
            <w:tcW w:w="50" w:type="pct"/>
            <w:shd w:val="clear" w:color="auto" w:fill="CCEEFF"/>
            <w:vAlign w:val="bottom"/>
            <w:hideMark/>
          </w:tcPr>
          <w:p w14:paraId="56FEFBD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F101C75" w14:textId="77777777" w:rsidR="00000000" w:rsidRDefault="0053651E">
            <w:pPr>
              <w:jc w:val="right"/>
              <w:rPr>
                <w:rFonts w:eastAsia="Times New Roman"/>
                <w:sz w:val="16"/>
                <w:szCs w:val="16"/>
              </w:rPr>
            </w:pPr>
            <w:r>
              <w:rPr>
                <w:rFonts w:eastAsia="Times New Roman"/>
                <w:sz w:val="16"/>
                <w:szCs w:val="16"/>
              </w:rPr>
              <w:t>10,073,273</w:t>
            </w:r>
          </w:p>
        </w:tc>
        <w:tc>
          <w:tcPr>
            <w:tcW w:w="50" w:type="pct"/>
            <w:shd w:val="clear" w:color="auto" w:fill="CCEEFF"/>
            <w:vAlign w:val="bottom"/>
            <w:hideMark/>
          </w:tcPr>
          <w:p w14:paraId="7820749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024C42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D84FDBA"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458B7055" w14:textId="77777777">
        <w:trPr>
          <w:tblCellSpacing w:w="0" w:type="dxa"/>
        </w:trPr>
        <w:tc>
          <w:tcPr>
            <w:tcW w:w="50" w:type="pct"/>
            <w:shd w:val="clear" w:color="auto" w:fill="FFFFFF"/>
            <w:vAlign w:val="bottom"/>
            <w:hideMark/>
          </w:tcPr>
          <w:p w14:paraId="7799598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10CD4CE" w14:textId="77777777" w:rsidR="00000000" w:rsidRDefault="0053651E">
            <w:pPr>
              <w:pStyle w:val="a3"/>
              <w:spacing w:before="0" w:beforeAutospacing="0" w:after="0" w:afterAutospacing="0"/>
              <w:rPr>
                <w:sz w:val="16"/>
                <w:szCs w:val="16"/>
              </w:rPr>
            </w:pPr>
            <w:r>
              <w:rPr>
                <w:sz w:val="16"/>
                <w:szCs w:val="16"/>
              </w:rPr>
              <w:t>SODO S.C.</w:t>
            </w:r>
          </w:p>
        </w:tc>
        <w:tc>
          <w:tcPr>
            <w:tcW w:w="150" w:type="pct"/>
            <w:shd w:val="clear" w:color="auto" w:fill="FFFFFF"/>
            <w:vAlign w:val="bottom"/>
            <w:hideMark/>
          </w:tcPr>
          <w:p w14:paraId="744CBC5F"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3EE38B0A"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3A59C24B" w14:textId="77777777" w:rsidR="00000000" w:rsidRDefault="0053651E">
            <w:pPr>
              <w:jc w:val="right"/>
              <w:rPr>
                <w:rFonts w:eastAsia="Times New Roman"/>
                <w:sz w:val="16"/>
                <w:szCs w:val="16"/>
              </w:rPr>
            </w:pPr>
            <w:r>
              <w:rPr>
                <w:rFonts w:eastAsia="Times New Roman"/>
                <w:sz w:val="16"/>
                <w:szCs w:val="16"/>
              </w:rPr>
              <w:t>68,139,271</w:t>
            </w:r>
          </w:p>
        </w:tc>
        <w:tc>
          <w:tcPr>
            <w:tcW w:w="350" w:type="pct"/>
            <w:shd w:val="clear" w:color="auto" w:fill="FFFFFF"/>
            <w:vAlign w:val="bottom"/>
            <w:hideMark/>
          </w:tcPr>
          <w:p w14:paraId="207F91E9" w14:textId="77777777" w:rsidR="00000000" w:rsidRDefault="0053651E">
            <w:pPr>
              <w:jc w:val="right"/>
              <w:rPr>
                <w:rFonts w:eastAsia="Times New Roman"/>
                <w:sz w:val="16"/>
                <w:szCs w:val="16"/>
              </w:rPr>
            </w:pPr>
            <w:r>
              <w:rPr>
                <w:rFonts w:eastAsia="Times New Roman"/>
                <w:sz w:val="16"/>
                <w:szCs w:val="16"/>
              </w:rPr>
              <w:t>8,716,773</w:t>
            </w:r>
          </w:p>
        </w:tc>
        <w:tc>
          <w:tcPr>
            <w:tcW w:w="300" w:type="pct"/>
            <w:shd w:val="clear" w:color="auto" w:fill="FFFFFF"/>
            <w:vAlign w:val="bottom"/>
            <w:hideMark/>
          </w:tcPr>
          <w:p w14:paraId="590D693E" w14:textId="77777777" w:rsidR="00000000" w:rsidRDefault="0053651E">
            <w:pPr>
              <w:jc w:val="right"/>
              <w:rPr>
                <w:rFonts w:eastAsia="Times New Roman"/>
                <w:sz w:val="16"/>
                <w:szCs w:val="16"/>
              </w:rPr>
            </w:pPr>
            <w:r>
              <w:rPr>
                <w:rFonts w:eastAsia="Times New Roman"/>
                <w:sz w:val="16"/>
                <w:szCs w:val="16"/>
              </w:rPr>
              <w:t>142,195</w:t>
            </w:r>
          </w:p>
        </w:tc>
        <w:tc>
          <w:tcPr>
            <w:tcW w:w="450" w:type="pct"/>
            <w:shd w:val="clear" w:color="auto" w:fill="FFFFFF"/>
            <w:vAlign w:val="bottom"/>
            <w:hideMark/>
          </w:tcPr>
          <w:p w14:paraId="728B41F1" w14:textId="77777777" w:rsidR="00000000" w:rsidRDefault="0053651E">
            <w:pPr>
              <w:jc w:val="right"/>
              <w:rPr>
                <w:rFonts w:eastAsia="Times New Roman"/>
                <w:sz w:val="16"/>
                <w:szCs w:val="16"/>
              </w:rPr>
            </w:pPr>
            <w:r>
              <w:rPr>
                <w:rFonts w:eastAsia="Times New Roman"/>
                <w:sz w:val="16"/>
                <w:szCs w:val="16"/>
              </w:rPr>
              <w:t>76,713,849</w:t>
            </w:r>
          </w:p>
        </w:tc>
        <w:tc>
          <w:tcPr>
            <w:tcW w:w="350" w:type="pct"/>
            <w:shd w:val="clear" w:color="auto" w:fill="FFFFFF"/>
            <w:vAlign w:val="bottom"/>
            <w:hideMark/>
          </w:tcPr>
          <w:p w14:paraId="636DB342" w14:textId="77777777" w:rsidR="00000000" w:rsidRDefault="0053651E">
            <w:pPr>
              <w:jc w:val="right"/>
              <w:rPr>
                <w:rFonts w:eastAsia="Times New Roman"/>
                <w:sz w:val="16"/>
                <w:szCs w:val="16"/>
              </w:rPr>
            </w:pPr>
            <w:r>
              <w:rPr>
                <w:rFonts w:eastAsia="Times New Roman"/>
                <w:sz w:val="16"/>
                <w:szCs w:val="16"/>
              </w:rPr>
              <w:t>76,856,044</w:t>
            </w:r>
          </w:p>
        </w:tc>
        <w:tc>
          <w:tcPr>
            <w:tcW w:w="400" w:type="pct"/>
            <w:shd w:val="clear" w:color="auto" w:fill="FFFFFF"/>
            <w:vAlign w:val="bottom"/>
            <w:hideMark/>
          </w:tcPr>
          <w:p w14:paraId="0282DCCC" w14:textId="77777777" w:rsidR="00000000" w:rsidRDefault="0053651E">
            <w:pPr>
              <w:jc w:val="right"/>
              <w:rPr>
                <w:rFonts w:eastAsia="Times New Roman"/>
                <w:sz w:val="16"/>
                <w:szCs w:val="16"/>
              </w:rPr>
            </w:pPr>
            <w:r>
              <w:rPr>
                <w:rFonts w:eastAsia="Times New Roman"/>
                <w:sz w:val="16"/>
                <w:szCs w:val="16"/>
              </w:rPr>
              <w:t>23,323,001</w:t>
            </w:r>
          </w:p>
        </w:tc>
        <w:tc>
          <w:tcPr>
            <w:tcW w:w="50" w:type="pct"/>
            <w:shd w:val="clear" w:color="auto" w:fill="FFFFFF"/>
            <w:vAlign w:val="bottom"/>
            <w:hideMark/>
          </w:tcPr>
          <w:p w14:paraId="715D2E3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EC2BEFD" w14:textId="77777777" w:rsidR="00000000" w:rsidRDefault="0053651E">
            <w:pPr>
              <w:jc w:val="right"/>
              <w:rPr>
                <w:rFonts w:eastAsia="Times New Roman"/>
                <w:sz w:val="16"/>
                <w:szCs w:val="16"/>
              </w:rPr>
            </w:pPr>
            <w:r>
              <w:rPr>
                <w:rFonts w:eastAsia="Times New Roman"/>
                <w:sz w:val="16"/>
                <w:szCs w:val="16"/>
              </w:rPr>
              <w:t>53,533,043</w:t>
            </w:r>
          </w:p>
        </w:tc>
        <w:tc>
          <w:tcPr>
            <w:tcW w:w="50" w:type="pct"/>
            <w:shd w:val="clear" w:color="auto" w:fill="FFFFFF"/>
            <w:vAlign w:val="bottom"/>
            <w:hideMark/>
          </w:tcPr>
          <w:p w14:paraId="3025B39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166C2B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E4844FD"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3936D338" w14:textId="77777777">
        <w:trPr>
          <w:tblCellSpacing w:w="0" w:type="dxa"/>
        </w:trPr>
        <w:tc>
          <w:tcPr>
            <w:tcW w:w="50" w:type="pct"/>
            <w:shd w:val="clear" w:color="auto" w:fill="CCEEFF"/>
            <w:vAlign w:val="bottom"/>
            <w:hideMark/>
          </w:tcPr>
          <w:p w14:paraId="11613F3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AC35F72" w14:textId="77777777" w:rsidR="00000000" w:rsidRDefault="0053651E">
            <w:pPr>
              <w:pStyle w:val="a3"/>
              <w:spacing w:before="0" w:beforeAutospacing="0" w:after="0" w:afterAutospacing="0"/>
              <w:rPr>
                <w:sz w:val="16"/>
                <w:szCs w:val="16"/>
              </w:rPr>
            </w:pPr>
            <w:r>
              <w:rPr>
                <w:sz w:val="16"/>
                <w:szCs w:val="16"/>
              </w:rPr>
              <w:t>RENAISSANCE CENTER</w:t>
            </w:r>
          </w:p>
        </w:tc>
        <w:tc>
          <w:tcPr>
            <w:tcW w:w="150" w:type="pct"/>
            <w:shd w:val="clear" w:color="auto" w:fill="CCEEFF"/>
            <w:vAlign w:val="bottom"/>
            <w:hideMark/>
          </w:tcPr>
          <w:p w14:paraId="14318E47"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4C2C08EB" w14:textId="77777777" w:rsidR="00000000" w:rsidRDefault="0053651E">
            <w:pPr>
              <w:jc w:val="right"/>
              <w:rPr>
                <w:rFonts w:eastAsia="Times New Roman"/>
                <w:sz w:val="16"/>
                <w:szCs w:val="16"/>
              </w:rPr>
            </w:pPr>
            <w:r>
              <w:rPr>
                <w:rFonts w:eastAsia="Times New Roman"/>
                <w:sz w:val="16"/>
                <w:szCs w:val="16"/>
              </w:rPr>
              <w:t>9,104,379</w:t>
            </w:r>
          </w:p>
        </w:tc>
        <w:tc>
          <w:tcPr>
            <w:tcW w:w="550" w:type="pct"/>
            <w:shd w:val="clear" w:color="auto" w:fill="CCEEFF"/>
            <w:vAlign w:val="bottom"/>
            <w:hideMark/>
          </w:tcPr>
          <w:p w14:paraId="505EF204" w14:textId="77777777" w:rsidR="00000000" w:rsidRDefault="0053651E">
            <w:pPr>
              <w:jc w:val="right"/>
              <w:rPr>
                <w:rFonts w:eastAsia="Times New Roman"/>
                <w:sz w:val="16"/>
                <w:szCs w:val="16"/>
              </w:rPr>
            </w:pPr>
            <w:r>
              <w:rPr>
                <w:rFonts w:eastAsia="Times New Roman"/>
                <w:sz w:val="16"/>
                <w:szCs w:val="16"/>
              </w:rPr>
              <w:t>36,540,873</w:t>
            </w:r>
          </w:p>
        </w:tc>
        <w:tc>
          <w:tcPr>
            <w:tcW w:w="350" w:type="pct"/>
            <w:shd w:val="clear" w:color="auto" w:fill="CCEEFF"/>
            <w:vAlign w:val="bottom"/>
            <w:hideMark/>
          </w:tcPr>
          <w:p w14:paraId="65776AB4" w14:textId="77777777" w:rsidR="00000000" w:rsidRDefault="0053651E">
            <w:pPr>
              <w:jc w:val="right"/>
              <w:rPr>
                <w:rFonts w:eastAsia="Times New Roman"/>
                <w:sz w:val="16"/>
                <w:szCs w:val="16"/>
              </w:rPr>
            </w:pPr>
            <w:r>
              <w:rPr>
                <w:rFonts w:eastAsia="Times New Roman"/>
                <w:sz w:val="16"/>
                <w:szCs w:val="16"/>
              </w:rPr>
              <w:t>16,566,544</w:t>
            </w:r>
          </w:p>
        </w:tc>
        <w:tc>
          <w:tcPr>
            <w:tcW w:w="300" w:type="pct"/>
            <w:shd w:val="clear" w:color="auto" w:fill="CCEEFF"/>
            <w:vAlign w:val="bottom"/>
            <w:hideMark/>
          </w:tcPr>
          <w:p w14:paraId="314560C5" w14:textId="77777777" w:rsidR="00000000" w:rsidRDefault="0053651E">
            <w:pPr>
              <w:jc w:val="right"/>
              <w:rPr>
                <w:rFonts w:eastAsia="Times New Roman"/>
                <w:sz w:val="16"/>
                <w:szCs w:val="16"/>
              </w:rPr>
            </w:pPr>
            <w:r>
              <w:rPr>
                <w:rFonts w:eastAsia="Times New Roman"/>
                <w:sz w:val="16"/>
                <w:szCs w:val="16"/>
              </w:rPr>
              <w:t>9,122,758</w:t>
            </w:r>
          </w:p>
        </w:tc>
        <w:tc>
          <w:tcPr>
            <w:tcW w:w="450" w:type="pct"/>
            <w:shd w:val="clear" w:color="auto" w:fill="CCEEFF"/>
            <w:vAlign w:val="bottom"/>
            <w:hideMark/>
          </w:tcPr>
          <w:p w14:paraId="4D9E3630" w14:textId="77777777" w:rsidR="00000000" w:rsidRDefault="0053651E">
            <w:pPr>
              <w:jc w:val="right"/>
              <w:rPr>
                <w:rFonts w:eastAsia="Times New Roman"/>
                <w:sz w:val="16"/>
                <w:szCs w:val="16"/>
              </w:rPr>
            </w:pPr>
            <w:r>
              <w:rPr>
                <w:rFonts w:eastAsia="Times New Roman"/>
                <w:sz w:val="16"/>
                <w:szCs w:val="16"/>
              </w:rPr>
              <w:t>53,089,038</w:t>
            </w:r>
          </w:p>
        </w:tc>
        <w:tc>
          <w:tcPr>
            <w:tcW w:w="350" w:type="pct"/>
            <w:shd w:val="clear" w:color="auto" w:fill="CCEEFF"/>
            <w:vAlign w:val="bottom"/>
            <w:hideMark/>
          </w:tcPr>
          <w:p w14:paraId="4991BA5C" w14:textId="77777777" w:rsidR="00000000" w:rsidRDefault="0053651E">
            <w:pPr>
              <w:jc w:val="right"/>
              <w:rPr>
                <w:rFonts w:eastAsia="Times New Roman"/>
                <w:sz w:val="16"/>
                <w:szCs w:val="16"/>
              </w:rPr>
            </w:pPr>
            <w:r>
              <w:rPr>
                <w:rFonts w:eastAsia="Times New Roman"/>
                <w:sz w:val="16"/>
                <w:szCs w:val="16"/>
              </w:rPr>
              <w:t>62,211,796</w:t>
            </w:r>
          </w:p>
        </w:tc>
        <w:tc>
          <w:tcPr>
            <w:tcW w:w="400" w:type="pct"/>
            <w:shd w:val="clear" w:color="auto" w:fill="CCEEFF"/>
            <w:vAlign w:val="bottom"/>
            <w:hideMark/>
          </w:tcPr>
          <w:p w14:paraId="76A73CFA" w14:textId="77777777" w:rsidR="00000000" w:rsidRDefault="0053651E">
            <w:pPr>
              <w:jc w:val="right"/>
              <w:rPr>
                <w:rFonts w:eastAsia="Times New Roman"/>
                <w:sz w:val="16"/>
                <w:szCs w:val="16"/>
              </w:rPr>
            </w:pPr>
            <w:r>
              <w:rPr>
                <w:rFonts w:eastAsia="Times New Roman"/>
                <w:sz w:val="16"/>
                <w:szCs w:val="16"/>
              </w:rPr>
              <w:t>22,188,576</w:t>
            </w:r>
          </w:p>
        </w:tc>
        <w:tc>
          <w:tcPr>
            <w:tcW w:w="50" w:type="pct"/>
            <w:shd w:val="clear" w:color="auto" w:fill="CCEEFF"/>
            <w:vAlign w:val="bottom"/>
            <w:hideMark/>
          </w:tcPr>
          <w:p w14:paraId="08DB2FB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BC1704B" w14:textId="77777777" w:rsidR="00000000" w:rsidRDefault="0053651E">
            <w:pPr>
              <w:jc w:val="right"/>
              <w:rPr>
                <w:rFonts w:eastAsia="Times New Roman"/>
                <w:sz w:val="16"/>
                <w:szCs w:val="16"/>
              </w:rPr>
            </w:pPr>
            <w:r>
              <w:rPr>
                <w:rFonts w:eastAsia="Times New Roman"/>
                <w:sz w:val="16"/>
                <w:szCs w:val="16"/>
              </w:rPr>
              <w:t>40,023,220</w:t>
            </w:r>
          </w:p>
        </w:tc>
        <w:tc>
          <w:tcPr>
            <w:tcW w:w="50" w:type="pct"/>
            <w:shd w:val="clear" w:color="auto" w:fill="CCEEFF"/>
            <w:vAlign w:val="bottom"/>
            <w:hideMark/>
          </w:tcPr>
          <w:p w14:paraId="26FDC2A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021D04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C40B399"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3AC444FE" w14:textId="77777777">
        <w:trPr>
          <w:tblCellSpacing w:w="0" w:type="dxa"/>
        </w:trPr>
        <w:tc>
          <w:tcPr>
            <w:tcW w:w="50" w:type="pct"/>
            <w:shd w:val="clear" w:color="auto" w:fill="FFFFFF"/>
            <w:vAlign w:val="bottom"/>
            <w:hideMark/>
          </w:tcPr>
          <w:p w14:paraId="0751CEA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870D4AC" w14:textId="77777777" w:rsidR="00000000" w:rsidRDefault="0053651E">
            <w:pPr>
              <w:pStyle w:val="a3"/>
              <w:spacing w:before="0" w:beforeAutospacing="0" w:after="0" w:afterAutospacing="0"/>
              <w:rPr>
                <w:sz w:val="16"/>
                <w:szCs w:val="16"/>
              </w:rPr>
            </w:pPr>
            <w:r>
              <w:rPr>
                <w:sz w:val="16"/>
                <w:szCs w:val="16"/>
              </w:rPr>
              <w:t>MILLENIA PLAZA PHASE II</w:t>
            </w:r>
          </w:p>
        </w:tc>
        <w:tc>
          <w:tcPr>
            <w:tcW w:w="150" w:type="pct"/>
            <w:shd w:val="clear" w:color="auto" w:fill="FFFFFF"/>
            <w:vAlign w:val="bottom"/>
            <w:hideMark/>
          </w:tcPr>
          <w:p w14:paraId="4B9BB0B0"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2ED6207D" w14:textId="77777777" w:rsidR="00000000" w:rsidRDefault="0053651E">
            <w:pPr>
              <w:jc w:val="right"/>
              <w:rPr>
                <w:rFonts w:eastAsia="Times New Roman"/>
                <w:sz w:val="16"/>
                <w:szCs w:val="16"/>
              </w:rPr>
            </w:pPr>
            <w:r>
              <w:rPr>
                <w:rFonts w:eastAsia="Times New Roman"/>
                <w:sz w:val="16"/>
                <w:szCs w:val="16"/>
              </w:rPr>
              <w:t>7,711,000</w:t>
            </w:r>
          </w:p>
        </w:tc>
        <w:tc>
          <w:tcPr>
            <w:tcW w:w="550" w:type="pct"/>
            <w:shd w:val="clear" w:color="auto" w:fill="FFFFFF"/>
            <w:vAlign w:val="bottom"/>
            <w:hideMark/>
          </w:tcPr>
          <w:p w14:paraId="67A91900" w14:textId="77777777" w:rsidR="00000000" w:rsidRDefault="0053651E">
            <w:pPr>
              <w:jc w:val="right"/>
              <w:rPr>
                <w:rFonts w:eastAsia="Times New Roman"/>
                <w:sz w:val="16"/>
                <w:szCs w:val="16"/>
              </w:rPr>
            </w:pPr>
            <w:r>
              <w:rPr>
                <w:rFonts w:eastAsia="Times New Roman"/>
                <w:sz w:val="16"/>
                <w:szCs w:val="16"/>
              </w:rPr>
              <w:t>20,702,992</w:t>
            </w:r>
          </w:p>
        </w:tc>
        <w:tc>
          <w:tcPr>
            <w:tcW w:w="350" w:type="pct"/>
            <w:shd w:val="clear" w:color="auto" w:fill="FFFFFF"/>
            <w:vAlign w:val="bottom"/>
            <w:hideMark/>
          </w:tcPr>
          <w:p w14:paraId="5D30FAAD" w14:textId="77777777" w:rsidR="00000000" w:rsidRDefault="0053651E">
            <w:pPr>
              <w:jc w:val="right"/>
              <w:rPr>
                <w:rFonts w:eastAsia="Times New Roman"/>
                <w:sz w:val="16"/>
                <w:szCs w:val="16"/>
              </w:rPr>
            </w:pPr>
            <w:r>
              <w:rPr>
                <w:rFonts w:eastAsia="Times New Roman"/>
                <w:sz w:val="16"/>
                <w:szCs w:val="16"/>
              </w:rPr>
              <w:t>3,978,678</w:t>
            </w:r>
          </w:p>
        </w:tc>
        <w:tc>
          <w:tcPr>
            <w:tcW w:w="300" w:type="pct"/>
            <w:shd w:val="clear" w:color="auto" w:fill="FFFFFF"/>
            <w:vAlign w:val="bottom"/>
            <w:hideMark/>
          </w:tcPr>
          <w:p w14:paraId="3B0DAB58" w14:textId="77777777" w:rsidR="00000000" w:rsidRDefault="0053651E">
            <w:pPr>
              <w:jc w:val="right"/>
              <w:rPr>
                <w:rFonts w:eastAsia="Times New Roman"/>
                <w:sz w:val="16"/>
                <w:szCs w:val="16"/>
              </w:rPr>
            </w:pPr>
            <w:r>
              <w:rPr>
                <w:rFonts w:eastAsia="Times New Roman"/>
                <w:sz w:val="16"/>
                <w:szCs w:val="16"/>
              </w:rPr>
              <w:t>7,698,200</w:t>
            </w:r>
          </w:p>
        </w:tc>
        <w:tc>
          <w:tcPr>
            <w:tcW w:w="450" w:type="pct"/>
            <w:shd w:val="clear" w:color="auto" w:fill="FFFFFF"/>
            <w:vAlign w:val="bottom"/>
            <w:hideMark/>
          </w:tcPr>
          <w:p w14:paraId="16732969" w14:textId="77777777" w:rsidR="00000000" w:rsidRDefault="0053651E">
            <w:pPr>
              <w:jc w:val="right"/>
              <w:rPr>
                <w:rFonts w:eastAsia="Times New Roman"/>
                <w:sz w:val="16"/>
                <w:szCs w:val="16"/>
              </w:rPr>
            </w:pPr>
            <w:r>
              <w:rPr>
                <w:rFonts w:eastAsia="Times New Roman"/>
                <w:sz w:val="16"/>
                <w:szCs w:val="16"/>
              </w:rPr>
              <w:t>24,694,470</w:t>
            </w:r>
          </w:p>
        </w:tc>
        <w:tc>
          <w:tcPr>
            <w:tcW w:w="350" w:type="pct"/>
            <w:shd w:val="clear" w:color="auto" w:fill="FFFFFF"/>
            <w:vAlign w:val="bottom"/>
            <w:hideMark/>
          </w:tcPr>
          <w:p w14:paraId="5B085DD6" w14:textId="77777777" w:rsidR="00000000" w:rsidRDefault="0053651E">
            <w:pPr>
              <w:jc w:val="right"/>
              <w:rPr>
                <w:rFonts w:eastAsia="Times New Roman"/>
                <w:sz w:val="16"/>
                <w:szCs w:val="16"/>
              </w:rPr>
            </w:pPr>
            <w:r>
              <w:rPr>
                <w:rFonts w:eastAsia="Times New Roman"/>
                <w:sz w:val="16"/>
                <w:szCs w:val="16"/>
              </w:rPr>
              <w:t>32,392,670</w:t>
            </w:r>
          </w:p>
        </w:tc>
        <w:tc>
          <w:tcPr>
            <w:tcW w:w="400" w:type="pct"/>
            <w:shd w:val="clear" w:color="auto" w:fill="FFFFFF"/>
            <w:vAlign w:val="bottom"/>
            <w:hideMark/>
          </w:tcPr>
          <w:p w14:paraId="6B04B986" w14:textId="77777777" w:rsidR="00000000" w:rsidRDefault="0053651E">
            <w:pPr>
              <w:jc w:val="right"/>
              <w:rPr>
                <w:rFonts w:eastAsia="Times New Roman"/>
                <w:sz w:val="16"/>
                <w:szCs w:val="16"/>
              </w:rPr>
            </w:pPr>
            <w:r>
              <w:rPr>
                <w:rFonts w:eastAsia="Times New Roman"/>
                <w:sz w:val="16"/>
                <w:szCs w:val="16"/>
              </w:rPr>
              <w:t>9,237,336</w:t>
            </w:r>
          </w:p>
        </w:tc>
        <w:tc>
          <w:tcPr>
            <w:tcW w:w="50" w:type="pct"/>
            <w:shd w:val="clear" w:color="auto" w:fill="FFFFFF"/>
            <w:vAlign w:val="bottom"/>
            <w:hideMark/>
          </w:tcPr>
          <w:p w14:paraId="2F4E414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82AA3A5" w14:textId="77777777" w:rsidR="00000000" w:rsidRDefault="0053651E">
            <w:pPr>
              <w:jc w:val="right"/>
              <w:rPr>
                <w:rFonts w:eastAsia="Times New Roman"/>
                <w:sz w:val="16"/>
                <w:szCs w:val="16"/>
              </w:rPr>
            </w:pPr>
            <w:r>
              <w:rPr>
                <w:rFonts w:eastAsia="Times New Roman"/>
                <w:sz w:val="16"/>
                <w:szCs w:val="16"/>
              </w:rPr>
              <w:t>23,155,334</w:t>
            </w:r>
          </w:p>
        </w:tc>
        <w:tc>
          <w:tcPr>
            <w:tcW w:w="50" w:type="pct"/>
            <w:shd w:val="clear" w:color="auto" w:fill="FFFFFF"/>
            <w:vAlign w:val="bottom"/>
            <w:hideMark/>
          </w:tcPr>
          <w:p w14:paraId="46D4D7E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E6B35B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1F7CEC6"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1261B997" w14:textId="77777777">
        <w:trPr>
          <w:tblCellSpacing w:w="0" w:type="dxa"/>
        </w:trPr>
        <w:tc>
          <w:tcPr>
            <w:tcW w:w="50" w:type="pct"/>
            <w:shd w:val="clear" w:color="auto" w:fill="CCEEFF"/>
            <w:vAlign w:val="bottom"/>
            <w:hideMark/>
          </w:tcPr>
          <w:p w14:paraId="16978D8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F1E4CCA" w14:textId="77777777" w:rsidR="00000000" w:rsidRDefault="0053651E">
            <w:pPr>
              <w:pStyle w:val="a3"/>
              <w:spacing w:before="0" w:beforeAutospacing="0" w:after="0" w:afterAutospacing="0"/>
              <w:rPr>
                <w:sz w:val="16"/>
                <w:szCs w:val="16"/>
              </w:rPr>
            </w:pPr>
            <w:r>
              <w:rPr>
                <w:sz w:val="16"/>
                <w:szCs w:val="16"/>
              </w:rPr>
              <w:t>RIVERSIDE LANDINGS S.C.</w:t>
            </w:r>
          </w:p>
        </w:tc>
        <w:tc>
          <w:tcPr>
            <w:tcW w:w="150" w:type="pct"/>
            <w:shd w:val="clear" w:color="auto" w:fill="CCEEFF"/>
            <w:vAlign w:val="bottom"/>
            <w:hideMark/>
          </w:tcPr>
          <w:p w14:paraId="5874B0CE"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0FAFBD5C" w14:textId="77777777" w:rsidR="00000000" w:rsidRDefault="0053651E">
            <w:pPr>
              <w:jc w:val="right"/>
              <w:rPr>
                <w:rFonts w:eastAsia="Times New Roman"/>
                <w:sz w:val="16"/>
                <w:szCs w:val="16"/>
              </w:rPr>
            </w:pPr>
            <w:r>
              <w:rPr>
                <w:rFonts w:eastAsia="Times New Roman"/>
                <w:sz w:val="16"/>
                <w:szCs w:val="16"/>
              </w:rPr>
              <w:t>3,512,202</w:t>
            </w:r>
          </w:p>
        </w:tc>
        <w:tc>
          <w:tcPr>
            <w:tcW w:w="550" w:type="pct"/>
            <w:shd w:val="clear" w:color="auto" w:fill="CCEEFF"/>
            <w:vAlign w:val="bottom"/>
            <w:hideMark/>
          </w:tcPr>
          <w:p w14:paraId="640022D3" w14:textId="77777777" w:rsidR="00000000" w:rsidRDefault="0053651E">
            <w:pPr>
              <w:jc w:val="right"/>
              <w:rPr>
                <w:rFonts w:eastAsia="Times New Roman"/>
                <w:sz w:val="16"/>
                <w:szCs w:val="16"/>
              </w:rPr>
            </w:pPr>
            <w:r>
              <w:rPr>
                <w:rFonts w:eastAsia="Times New Roman"/>
                <w:sz w:val="16"/>
                <w:szCs w:val="16"/>
              </w:rPr>
              <w:t>14,439,668</w:t>
            </w:r>
          </w:p>
        </w:tc>
        <w:tc>
          <w:tcPr>
            <w:tcW w:w="350" w:type="pct"/>
            <w:shd w:val="clear" w:color="auto" w:fill="CCEEFF"/>
            <w:vAlign w:val="bottom"/>
            <w:hideMark/>
          </w:tcPr>
          <w:p w14:paraId="7444DF87" w14:textId="77777777" w:rsidR="00000000" w:rsidRDefault="0053651E">
            <w:pPr>
              <w:jc w:val="right"/>
              <w:rPr>
                <w:rFonts w:eastAsia="Times New Roman"/>
                <w:sz w:val="16"/>
                <w:szCs w:val="16"/>
              </w:rPr>
            </w:pPr>
            <w:r>
              <w:rPr>
                <w:rFonts w:eastAsia="Times New Roman"/>
                <w:sz w:val="16"/>
                <w:szCs w:val="16"/>
              </w:rPr>
              <w:t>261,172</w:t>
            </w:r>
          </w:p>
        </w:tc>
        <w:tc>
          <w:tcPr>
            <w:tcW w:w="300" w:type="pct"/>
            <w:shd w:val="clear" w:color="auto" w:fill="CCEEFF"/>
            <w:vAlign w:val="bottom"/>
            <w:hideMark/>
          </w:tcPr>
          <w:p w14:paraId="114026F2" w14:textId="77777777" w:rsidR="00000000" w:rsidRDefault="0053651E">
            <w:pPr>
              <w:jc w:val="right"/>
              <w:rPr>
                <w:rFonts w:eastAsia="Times New Roman"/>
                <w:sz w:val="16"/>
                <w:szCs w:val="16"/>
              </w:rPr>
            </w:pPr>
            <w:r>
              <w:rPr>
                <w:rFonts w:eastAsia="Times New Roman"/>
                <w:sz w:val="16"/>
                <w:szCs w:val="16"/>
              </w:rPr>
              <w:t>3,512,202</w:t>
            </w:r>
          </w:p>
        </w:tc>
        <w:tc>
          <w:tcPr>
            <w:tcW w:w="450" w:type="pct"/>
            <w:shd w:val="clear" w:color="auto" w:fill="CCEEFF"/>
            <w:vAlign w:val="bottom"/>
            <w:hideMark/>
          </w:tcPr>
          <w:p w14:paraId="6522D0C7" w14:textId="77777777" w:rsidR="00000000" w:rsidRDefault="0053651E">
            <w:pPr>
              <w:jc w:val="right"/>
              <w:rPr>
                <w:rFonts w:eastAsia="Times New Roman"/>
                <w:sz w:val="16"/>
                <w:szCs w:val="16"/>
              </w:rPr>
            </w:pPr>
            <w:r>
              <w:rPr>
                <w:rFonts w:eastAsia="Times New Roman"/>
                <w:sz w:val="16"/>
                <w:szCs w:val="16"/>
              </w:rPr>
              <w:t>14,700,840</w:t>
            </w:r>
          </w:p>
        </w:tc>
        <w:tc>
          <w:tcPr>
            <w:tcW w:w="350" w:type="pct"/>
            <w:shd w:val="clear" w:color="auto" w:fill="CCEEFF"/>
            <w:vAlign w:val="bottom"/>
            <w:hideMark/>
          </w:tcPr>
          <w:p w14:paraId="03B04B59" w14:textId="77777777" w:rsidR="00000000" w:rsidRDefault="0053651E">
            <w:pPr>
              <w:jc w:val="right"/>
              <w:rPr>
                <w:rFonts w:eastAsia="Times New Roman"/>
                <w:sz w:val="16"/>
                <w:szCs w:val="16"/>
              </w:rPr>
            </w:pPr>
            <w:r>
              <w:rPr>
                <w:rFonts w:eastAsia="Times New Roman"/>
                <w:sz w:val="16"/>
                <w:szCs w:val="16"/>
              </w:rPr>
              <w:t>18,213,042</w:t>
            </w:r>
          </w:p>
        </w:tc>
        <w:tc>
          <w:tcPr>
            <w:tcW w:w="400" w:type="pct"/>
            <w:shd w:val="clear" w:color="auto" w:fill="CCEEFF"/>
            <w:vAlign w:val="bottom"/>
            <w:hideMark/>
          </w:tcPr>
          <w:p w14:paraId="1D473BC6" w14:textId="77777777" w:rsidR="00000000" w:rsidRDefault="0053651E">
            <w:pPr>
              <w:jc w:val="right"/>
              <w:rPr>
                <w:rFonts w:eastAsia="Times New Roman"/>
                <w:sz w:val="16"/>
                <w:szCs w:val="16"/>
              </w:rPr>
            </w:pPr>
            <w:r>
              <w:rPr>
                <w:rFonts w:eastAsia="Times New Roman"/>
                <w:sz w:val="16"/>
                <w:szCs w:val="16"/>
              </w:rPr>
              <w:t>2,466,991</w:t>
            </w:r>
          </w:p>
        </w:tc>
        <w:tc>
          <w:tcPr>
            <w:tcW w:w="50" w:type="pct"/>
            <w:shd w:val="clear" w:color="auto" w:fill="CCEEFF"/>
            <w:vAlign w:val="bottom"/>
            <w:hideMark/>
          </w:tcPr>
          <w:p w14:paraId="50CCD56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D22916D" w14:textId="77777777" w:rsidR="00000000" w:rsidRDefault="0053651E">
            <w:pPr>
              <w:jc w:val="right"/>
              <w:rPr>
                <w:rFonts w:eastAsia="Times New Roman"/>
                <w:sz w:val="16"/>
                <w:szCs w:val="16"/>
              </w:rPr>
            </w:pPr>
            <w:r>
              <w:rPr>
                <w:rFonts w:eastAsia="Times New Roman"/>
                <w:sz w:val="16"/>
                <w:szCs w:val="16"/>
              </w:rPr>
              <w:t>15,746,051</w:t>
            </w:r>
          </w:p>
        </w:tc>
        <w:tc>
          <w:tcPr>
            <w:tcW w:w="50" w:type="pct"/>
            <w:shd w:val="clear" w:color="auto" w:fill="CCEEFF"/>
            <w:vAlign w:val="bottom"/>
            <w:hideMark/>
          </w:tcPr>
          <w:p w14:paraId="1231DC5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DDFA67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802E6EC"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37ECC7F" w14:textId="77777777">
        <w:trPr>
          <w:tblCellSpacing w:w="0" w:type="dxa"/>
        </w:trPr>
        <w:tc>
          <w:tcPr>
            <w:tcW w:w="50" w:type="pct"/>
            <w:shd w:val="clear" w:color="auto" w:fill="FFFFFF"/>
            <w:vAlign w:val="bottom"/>
            <w:hideMark/>
          </w:tcPr>
          <w:p w14:paraId="4A197EC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F2105C9" w14:textId="77777777" w:rsidR="00000000" w:rsidRDefault="0053651E">
            <w:pPr>
              <w:pStyle w:val="a3"/>
              <w:spacing w:before="0" w:beforeAutospacing="0" w:after="0" w:afterAutospacing="0"/>
              <w:rPr>
                <w:sz w:val="16"/>
                <w:szCs w:val="16"/>
              </w:rPr>
            </w:pPr>
            <w:r>
              <w:rPr>
                <w:sz w:val="16"/>
                <w:szCs w:val="16"/>
              </w:rPr>
              <w:t>GRAND OAKS VILLAGE</w:t>
            </w:r>
          </w:p>
        </w:tc>
        <w:tc>
          <w:tcPr>
            <w:tcW w:w="150" w:type="pct"/>
            <w:shd w:val="clear" w:color="auto" w:fill="FFFFFF"/>
            <w:vAlign w:val="bottom"/>
            <w:hideMark/>
          </w:tcPr>
          <w:p w14:paraId="40E7CF07"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17FE25AC" w14:textId="77777777" w:rsidR="00000000" w:rsidRDefault="0053651E">
            <w:pPr>
              <w:jc w:val="right"/>
              <w:rPr>
                <w:rFonts w:eastAsia="Times New Roman"/>
                <w:sz w:val="16"/>
                <w:szCs w:val="16"/>
              </w:rPr>
            </w:pPr>
            <w:r>
              <w:rPr>
                <w:rFonts w:eastAsia="Times New Roman"/>
                <w:sz w:val="16"/>
                <w:szCs w:val="16"/>
              </w:rPr>
              <w:t>7,409,319</w:t>
            </w:r>
          </w:p>
        </w:tc>
        <w:tc>
          <w:tcPr>
            <w:tcW w:w="550" w:type="pct"/>
            <w:shd w:val="clear" w:color="auto" w:fill="FFFFFF"/>
            <w:vAlign w:val="bottom"/>
            <w:hideMark/>
          </w:tcPr>
          <w:p w14:paraId="0BF80111" w14:textId="77777777" w:rsidR="00000000" w:rsidRDefault="0053651E">
            <w:pPr>
              <w:jc w:val="right"/>
              <w:rPr>
                <w:rFonts w:eastAsia="Times New Roman"/>
                <w:sz w:val="16"/>
                <w:szCs w:val="16"/>
              </w:rPr>
            </w:pPr>
            <w:r>
              <w:rPr>
                <w:rFonts w:eastAsia="Times New Roman"/>
                <w:sz w:val="16"/>
                <w:szCs w:val="16"/>
              </w:rPr>
              <w:t>19,653,869</w:t>
            </w:r>
          </w:p>
        </w:tc>
        <w:tc>
          <w:tcPr>
            <w:tcW w:w="350" w:type="pct"/>
            <w:shd w:val="clear" w:color="auto" w:fill="FFFFFF"/>
            <w:vAlign w:val="bottom"/>
            <w:hideMark/>
          </w:tcPr>
          <w:p w14:paraId="444DAAE3" w14:textId="77777777" w:rsidR="00000000" w:rsidRDefault="0053651E">
            <w:pPr>
              <w:jc w:val="right"/>
              <w:rPr>
                <w:rFonts w:eastAsia="Times New Roman"/>
                <w:sz w:val="16"/>
                <w:szCs w:val="16"/>
              </w:rPr>
            </w:pPr>
            <w:r>
              <w:rPr>
                <w:rFonts w:eastAsia="Times New Roman"/>
                <w:sz w:val="16"/>
                <w:szCs w:val="16"/>
              </w:rPr>
              <w:t>(524,484)</w:t>
            </w:r>
          </w:p>
        </w:tc>
        <w:tc>
          <w:tcPr>
            <w:tcW w:w="300" w:type="pct"/>
            <w:shd w:val="clear" w:color="auto" w:fill="FFFFFF"/>
            <w:vAlign w:val="bottom"/>
            <w:hideMark/>
          </w:tcPr>
          <w:p w14:paraId="72A1ABC4" w14:textId="77777777" w:rsidR="00000000" w:rsidRDefault="0053651E">
            <w:pPr>
              <w:jc w:val="right"/>
              <w:rPr>
                <w:rFonts w:eastAsia="Times New Roman"/>
                <w:sz w:val="16"/>
                <w:szCs w:val="16"/>
              </w:rPr>
            </w:pPr>
            <w:r>
              <w:rPr>
                <w:rFonts w:eastAsia="Times New Roman"/>
                <w:sz w:val="16"/>
                <w:szCs w:val="16"/>
              </w:rPr>
              <w:t>5,846,339</w:t>
            </w:r>
          </w:p>
        </w:tc>
        <w:tc>
          <w:tcPr>
            <w:tcW w:w="450" w:type="pct"/>
            <w:shd w:val="clear" w:color="auto" w:fill="FFFFFF"/>
            <w:vAlign w:val="bottom"/>
            <w:hideMark/>
          </w:tcPr>
          <w:p w14:paraId="3F476E39" w14:textId="77777777" w:rsidR="00000000" w:rsidRDefault="0053651E">
            <w:pPr>
              <w:jc w:val="right"/>
              <w:rPr>
                <w:rFonts w:eastAsia="Times New Roman"/>
                <w:sz w:val="16"/>
                <w:szCs w:val="16"/>
              </w:rPr>
            </w:pPr>
            <w:r>
              <w:rPr>
                <w:rFonts w:eastAsia="Times New Roman"/>
                <w:sz w:val="16"/>
                <w:szCs w:val="16"/>
              </w:rPr>
              <w:t>20,692,365</w:t>
            </w:r>
          </w:p>
        </w:tc>
        <w:tc>
          <w:tcPr>
            <w:tcW w:w="350" w:type="pct"/>
            <w:shd w:val="clear" w:color="auto" w:fill="FFFFFF"/>
            <w:vAlign w:val="bottom"/>
            <w:hideMark/>
          </w:tcPr>
          <w:p w14:paraId="325C4977" w14:textId="77777777" w:rsidR="00000000" w:rsidRDefault="0053651E">
            <w:pPr>
              <w:jc w:val="right"/>
              <w:rPr>
                <w:rFonts w:eastAsia="Times New Roman"/>
                <w:sz w:val="16"/>
                <w:szCs w:val="16"/>
              </w:rPr>
            </w:pPr>
            <w:r>
              <w:rPr>
                <w:rFonts w:eastAsia="Times New Roman"/>
                <w:sz w:val="16"/>
                <w:szCs w:val="16"/>
              </w:rPr>
              <w:t>26,538,704</w:t>
            </w:r>
          </w:p>
        </w:tc>
        <w:tc>
          <w:tcPr>
            <w:tcW w:w="400" w:type="pct"/>
            <w:shd w:val="clear" w:color="auto" w:fill="FFFFFF"/>
            <w:vAlign w:val="bottom"/>
            <w:hideMark/>
          </w:tcPr>
          <w:p w14:paraId="197B1C05" w14:textId="77777777" w:rsidR="00000000" w:rsidRDefault="0053651E">
            <w:pPr>
              <w:jc w:val="right"/>
              <w:rPr>
                <w:rFonts w:eastAsia="Times New Roman"/>
                <w:sz w:val="16"/>
                <w:szCs w:val="16"/>
              </w:rPr>
            </w:pPr>
            <w:r>
              <w:rPr>
                <w:rFonts w:eastAsia="Times New Roman"/>
                <w:sz w:val="16"/>
                <w:szCs w:val="16"/>
              </w:rPr>
              <w:t>4,787,099</w:t>
            </w:r>
          </w:p>
        </w:tc>
        <w:tc>
          <w:tcPr>
            <w:tcW w:w="50" w:type="pct"/>
            <w:shd w:val="clear" w:color="auto" w:fill="FFFFFF"/>
            <w:vAlign w:val="bottom"/>
            <w:hideMark/>
          </w:tcPr>
          <w:p w14:paraId="22EEB1B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A24F21B" w14:textId="77777777" w:rsidR="00000000" w:rsidRDefault="0053651E">
            <w:pPr>
              <w:jc w:val="right"/>
              <w:rPr>
                <w:rFonts w:eastAsia="Times New Roman"/>
                <w:sz w:val="16"/>
                <w:szCs w:val="16"/>
              </w:rPr>
            </w:pPr>
            <w:r>
              <w:rPr>
                <w:rFonts w:eastAsia="Times New Roman"/>
                <w:sz w:val="16"/>
                <w:szCs w:val="16"/>
              </w:rPr>
              <w:t>21,751,605</w:t>
            </w:r>
          </w:p>
        </w:tc>
        <w:tc>
          <w:tcPr>
            <w:tcW w:w="50" w:type="pct"/>
            <w:shd w:val="clear" w:color="auto" w:fill="FFFFFF"/>
            <w:vAlign w:val="bottom"/>
            <w:hideMark/>
          </w:tcPr>
          <w:p w14:paraId="3668BED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B6F01F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CAA7CB4"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0252B423" w14:textId="77777777">
        <w:trPr>
          <w:tblCellSpacing w:w="0" w:type="dxa"/>
        </w:trPr>
        <w:tc>
          <w:tcPr>
            <w:tcW w:w="50" w:type="pct"/>
            <w:shd w:val="clear" w:color="auto" w:fill="CCEEFF"/>
            <w:vAlign w:val="bottom"/>
            <w:hideMark/>
          </w:tcPr>
          <w:p w14:paraId="42780C7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281F889" w14:textId="77777777" w:rsidR="00000000" w:rsidRDefault="0053651E">
            <w:pPr>
              <w:pStyle w:val="a3"/>
              <w:spacing w:before="0" w:beforeAutospacing="0" w:after="0" w:afterAutospacing="0"/>
              <w:rPr>
                <w:sz w:val="16"/>
                <w:szCs w:val="16"/>
              </w:rPr>
            </w:pPr>
            <w:r>
              <w:rPr>
                <w:sz w:val="16"/>
                <w:szCs w:val="16"/>
              </w:rPr>
              <w:t>PLANTATION CROSSING</w:t>
            </w:r>
          </w:p>
        </w:tc>
        <w:tc>
          <w:tcPr>
            <w:tcW w:w="150" w:type="pct"/>
            <w:shd w:val="clear" w:color="auto" w:fill="CCEEFF"/>
            <w:vAlign w:val="bottom"/>
            <w:hideMark/>
          </w:tcPr>
          <w:p w14:paraId="1F285D10"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A86F89D" w14:textId="77777777" w:rsidR="00000000" w:rsidRDefault="0053651E">
            <w:pPr>
              <w:jc w:val="right"/>
              <w:rPr>
                <w:rFonts w:eastAsia="Times New Roman"/>
                <w:sz w:val="16"/>
                <w:szCs w:val="16"/>
              </w:rPr>
            </w:pPr>
            <w:r>
              <w:rPr>
                <w:rFonts w:eastAsia="Times New Roman"/>
                <w:sz w:val="16"/>
                <w:szCs w:val="16"/>
              </w:rPr>
              <w:t>2,782,030</w:t>
            </w:r>
          </w:p>
        </w:tc>
        <w:tc>
          <w:tcPr>
            <w:tcW w:w="550" w:type="pct"/>
            <w:shd w:val="clear" w:color="auto" w:fill="CCEEFF"/>
            <w:vAlign w:val="bottom"/>
            <w:hideMark/>
          </w:tcPr>
          <w:p w14:paraId="56FC9C04" w14:textId="77777777" w:rsidR="00000000" w:rsidRDefault="0053651E">
            <w:pPr>
              <w:jc w:val="right"/>
              <w:rPr>
                <w:rFonts w:eastAsia="Times New Roman"/>
                <w:sz w:val="16"/>
                <w:szCs w:val="16"/>
              </w:rPr>
            </w:pPr>
            <w:r>
              <w:rPr>
                <w:rFonts w:eastAsia="Times New Roman"/>
                <w:sz w:val="16"/>
                <w:szCs w:val="16"/>
              </w:rPr>
              <w:t>8,077,260</w:t>
            </w:r>
          </w:p>
        </w:tc>
        <w:tc>
          <w:tcPr>
            <w:tcW w:w="350" w:type="pct"/>
            <w:shd w:val="clear" w:color="auto" w:fill="CCEEFF"/>
            <w:vAlign w:val="bottom"/>
            <w:hideMark/>
          </w:tcPr>
          <w:p w14:paraId="33FA1E65" w14:textId="77777777" w:rsidR="00000000" w:rsidRDefault="0053651E">
            <w:pPr>
              <w:jc w:val="right"/>
              <w:rPr>
                <w:rFonts w:eastAsia="Times New Roman"/>
                <w:sz w:val="16"/>
                <w:szCs w:val="16"/>
              </w:rPr>
            </w:pPr>
            <w:r>
              <w:rPr>
                <w:rFonts w:eastAsia="Times New Roman"/>
                <w:sz w:val="16"/>
                <w:szCs w:val="16"/>
              </w:rPr>
              <w:t>3,880,495</w:t>
            </w:r>
          </w:p>
        </w:tc>
        <w:tc>
          <w:tcPr>
            <w:tcW w:w="300" w:type="pct"/>
            <w:shd w:val="clear" w:color="auto" w:fill="CCEEFF"/>
            <w:vAlign w:val="bottom"/>
            <w:hideMark/>
          </w:tcPr>
          <w:p w14:paraId="1D6CD379" w14:textId="77777777" w:rsidR="00000000" w:rsidRDefault="0053651E">
            <w:pPr>
              <w:jc w:val="right"/>
              <w:rPr>
                <w:rFonts w:eastAsia="Times New Roman"/>
                <w:sz w:val="16"/>
                <w:szCs w:val="16"/>
              </w:rPr>
            </w:pPr>
            <w:r>
              <w:rPr>
                <w:rFonts w:eastAsia="Times New Roman"/>
                <w:sz w:val="16"/>
                <w:szCs w:val="16"/>
              </w:rPr>
              <w:t>2,782,030</w:t>
            </w:r>
          </w:p>
        </w:tc>
        <w:tc>
          <w:tcPr>
            <w:tcW w:w="450" w:type="pct"/>
            <w:shd w:val="clear" w:color="auto" w:fill="CCEEFF"/>
            <w:vAlign w:val="bottom"/>
            <w:hideMark/>
          </w:tcPr>
          <w:p w14:paraId="72F98712" w14:textId="77777777" w:rsidR="00000000" w:rsidRDefault="0053651E">
            <w:pPr>
              <w:jc w:val="right"/>
              <w:rPr>
                <w:rFonts w:eastAsia="Times New Roman"/>
                <w:sz w:val="16"/>
                <w:szCs w:val="16"/>
              </w:rPr>
            </w:pPr>
            <w:r>
              <w:rPr>
                <w:rFonts w:eastAsia="Times New Roman"/>
                <w:sz w:val="16"/>
                <w:szCs w:val="16"/>
              </w:rPr>
              <w:t>11,957,755</w:t>
            </w:r>
          </w:p>
        </w:tc>
        <w:tc>
          <w:tcPr>
            <w:tcW w:w="350" w:type="pct"/>
            <w:shd w:val="clear" w:color="auto" w:fill="CCEEFF"/>
            <w:vAlign w:val="bottom"/>
            <w:hideMark/>
          </w:tcPr>
          <w:p w14:paraId="69BFADA1" w14:textId="77777777" w:rsidR="00000000" w:rsidRDefault="0053651E">
            <w:pPr>
              <w:jc w:val="right"/>
              <w:rPr>
                <w:rFonts w:eastAsia="Times New Roman"/>
                <w:sz w:val="16"/>
                <w:szCs w:val="16"/>
              </w:rPr>
            </w:pPr>
            <w:r>
              <w:rPr>
                <w:rFonts w:eastAsia="Times New Roman"/>
                <w:sz w:val="16"/>
                <w:szCs w:val="16"/>
              </w:rPr>
              <w:t>14,739,785</w:t>
            </w:r>
          </w:p>
        </w:tc>
        <w:tc>
          <w:tcPr>
            <w:tcW w:w="400" w:type="pct"/>
            <w:shd w:val="clear" w:color="auto" w:fill="CCEEFF"/>
            <w:vAlign w:val="bottom"/>
            <w:hideMark/>
          </w:tcPr>
          <w:p w14:paraId="7974EF7F" w14:textId="77777777" w:rsidR="00000000" w:rsidRDefault="0053651E">
            <w:pPr>
              <w:jc w:val="right"/>
              <w:rPr>
                <w:rFonts w:eastAsia="Times New Roman"/>
                <w:sz w:val="16"/>
                <w:szCs w:val="16"/>
              </w:rPr>
            </w:pPr>
            <w:r>
              <w:rPr>
                <w:rFonts w:eastAsia="Times New Roman"/>
                <w:sz w:val="16"/>
                <w:szCs w:val="16"/>
              </w:rPr>
              <w:t>1,169,770</w:t>
            </w:r>
          </w:p>
        </w:tc>
        <w:tc>
          <w:tcPr>
            <w:tcW w:w="50" w:type="pct"/>
            <w:shd w:val="clear" w:color="auto" w:fill="CCEEFF"/>
            <w:vAlign w:val="bottom"/>
            <w:hideMark/>
          </w:tcPr>
          <w:p w14:paraId="1614DE9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9AB04DE" w14:textId="77777777" w:rsidR="00000000" w:rsidRDefault="0053651E">
            <w:pPr>
              <w:jc w:val="right"/>
              <w:rPr>
                <w:rFonts w:eastAsia="Times New Roman"/>
                <w:sz w:val="16"/>
                <w:szCs w:val="16"/>
              </w:rPr>
            </w:pPr>
            <w:r>
              <w:rPr>
                <w:rFonts w:eastAsia="Times New Roman"/>
                <w:sz w:val="16"/>
                <w:szCs w:val="16"/>
              </w:rPr>
              <w:t>13,570,015</w:t>
            </w:r>
          </w:p>
        </w:tc>
        <w:tc>
          <w:tcPr>
            <w:tcW w:w="50" w:type="pct"/>
            <w:shd w:val="clear" w:color="auto" w:fill="CCEEFF"/>
            <w:vAlign w:val="bottom"/>
            <w:hideMark/>
          </w:tcPr>
          <w:p w14:paraId="70E6883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704C8C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D982F12"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1A535F0C" w14:textId="77777777">
        <w:trPr>
          <w:tblCellSpacing w:w="0" w:type="dxa"/>
        </w:trPr>
        <w:tc>
          <w:tcPr>
            <w:tcW w:w="50" w:type="pct"/>
            <w:shd w:val="clear" w:color="auto" w:fill="FFFFFF"/>
            <w:vAlign w:val="bottom"/>
            <w:hideMark/>
          </w:tcPr>
          <w:p w14:paraId="39D55A1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8EDE0C0" w14:textId="77777777" w:rsidR="00000000" w:rsidRDefault="0053651E">
            <w:pPr>
              <w:pStyle w:val="a3"/>
              <w:spacing w:before="0" w:beforeAutospacing="0" w:after="0" w:afterAutospacing="0"/>
              <w:rPr>
                <w:sz w:val="16"/>
                <w:szCs w:val="16"/>
              </w:rPr>
            </w:pPr>
            <w:r>
              <w:rPr>
                <w:sz w:val="16"/>
                <w:szCs w:val="16"/>
              </w:rPr>
              <w:t>POMPANO POINTE S.C.</w:t>
            </w:r>
          </w:p>
        </w:tc>
        <w:tc>
          <w:tcPr>
            <w:tcW w:w="150" w:type="pct"/>
            <w:shd w:val="clear" w:color="auto" w:fill="FFFFFF"/>
            <w:vAlign w:val="bottom"/>
            <w:hideMark/>
          </w:tcPr>
          <w:p w14:paraId="68D3FFA9"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2803F566" w14:textId="77777777" w:rsidR="00000000" w:rsidRDefault="0053651E">
            <w:pPr>
              <w:jc w:val="right"/>
              <w:rPr>
                <w:rFonts w:eastAsia="Times New Roman"/>
                <w:sz w:val="16"/>
                <w:szCs w:val="16"/>
              </w:rPr>
            </w:pPr>
            <w:r>
              <w:rPr>
                <w:rFonts w:eastAsia="Times New Roman"/>
                <w:sz w:val="16"/>
                <w:szCs w:val="16"/>
              </w:rPr>
              <w:t>10,516,500</w:t>
            </w:r>
          </w:p>
        </w:tc>
        <w:tc>
          <w:tcPr>
            <w:tcW w:w="550" w:type="pct"/>
            <w:shd w:val="clear" w:color="auto" w:fill="FFFFFF"/>
            <w:vAlign w:val="bottom"/>
            <w:hideMark/>
          </w:tcPr>
          <w:p w14:paraId="3AEA1F53" w14:textId="77777777" w:rsidR="00000000" w:rsidRDefault="0053651E">
            <w:pPr>
              <w:jc w:val="right"/>
              <w:rPr>
                <w:rFonts w:eastAsia="Times New Roman"/>
                <w:sz w:val="16"/>
                <w:szCs w:val="16"/>
              </w:rPr>
            </w:pPr>
            <w:r>
              <w:rPr>
                <w:rFonts w:eastAsia="Times New Roman"/>
                <w:sz w:val="16"/>
                <w:szCs w:val="16"/>
              </w:rPr>
              <w:t>14,355,836</w:t>
            </w:r>
          </w:p>
        </w:tc>
        <w:tc>
          <w:tcPr>
            <w:tcW w:w="350" w:type="pct"/>
            <w:shd w:val="clear" w:color="auto" w:fill="FFFFFF"/>
            <w:vAlign w:val="bottom"/>
            <w:hideMark/>
          </w:tcPr>
          <w:p w14:paraId="42C081C1" w14:textId="77777777" w:rsidR="00000000" w:rsidRDefault="0053651E">
            <w:pPr>
              <w:jc w:val="right"/>
              <w:rPr>
                <w:rFonts w:eastAsia="Times New Roman"/>
                <w:sz w:val="16"/>
                <w:szCs w:val="16"/>
              </w:rPr>
            </w:pPr>
            <w:r>
              <w:rPr>
                <w:rFonts w:eastAsia="Times New Roman"/>
                <w:sz w:val="16"/>
                <w:szCs w:val="16"/>
              </w:rPr>
              <w:t>530,900</w:t>
            </w:r>
          </w:p>
        </w:tc>
        <w:tc>
          <w:tcPr>
            <w:tcW w:w="300" w:type="pct"/>
            <w:shd w:val="clear" w:color="auto" w:fill="FFFFFF"/>
            <w:vAlign w:val="bottom"/>
            <w:hideMark/>
          </w:tcPr>
          <w:p w14:paraId="6E3E9157" w14:textId="77777777" w:rsidR="00000000" w:rsidRDefault="0053651E">
            <w:pPr>
              <w:jc w:val="right"/>
              <w:rPr>
                <w:rFonts w:eastAsia="Times New Roman"/>
                <w:sz w:val="16"/>
                <w:szCs w:val="16"/>
              </w:rPr>
            </w:pPr>
            <w:r>
              <w:rPr>
                <w:rFonts w:eastAsia="Times New Roman"/>
                <w:sz w:val="16"/>
                <w:szCs w:val="16"/>
              </w:rPr>
              <w:t>10,516,500</w:t>
            </w:r>
          </w:p>
        </w:tc>
        <w:tc>
          <w:tcPr>
            <w:tcW w:w="450" w:type="pct"/>
            <w:shd w:val="clear" w:color="auto" w:fill="FFFFFF"/>
            <w:vAlign w:val="bottom"/>
            <w:hideMark/>
          </w:tcPr>
          <w:p w14:paraId="715ABAB4" w14:textId="77777777" w:rsidR="00000000" w:rsidRDefault="0053651E">
            <w:pPr>
              <w:jc w:val="right"/>
              <w:rPr>
                <w:rFonts w:eastAsia="Times New Roman"/>
                <w:sz w:val="16"/>
                <w:szCs w:val="16"/>
              </w:rPr>
            </w:pPr>
            <w:r>
              <w:rPr>
                <w:rFonts w:eastAsia="Times New Roman"/>
                <w:sz w:val="16"/>
                <w:szCs w:val="16"/>
              </w:rPr>
              <w:t>14,886,736</w:t>
            </w:r>
          </w:p>
        </w:tc>
        <w:tc>
          <w:tcPr>
            <w:tcW w:w="350" w:type="pct"/>
            <w:shd w:val="clear" w:color="auto" w:fill="FFFFFF"/>
            <w:vAlign w:val="bottom"/>
            <w:hideMark/>
          </w:tcPr>
          <w:p w14:paraId="40B96E39" w14:textId="77777777" w:rsidR="00000000" w:rsidRDefault="0053651E">
            <w:pPr>
              <w:jc w:val="right"/>
              <w:rPr>
                <w:rFonts w:eastAsia="Times New Roman"/>
                <w:sz w:val="16"/>
                <w:szCs w:val="16"/>
              </w:rPr>
            </w:pPr>
            <w:r>
              <w:rPr>
                <w:rFonts w:eastAsia="Times New Roman"/>
                <w:sz w:val="16"/>
                <w:szCs w:val="16"/>
              </w:rPr>
              <w:t>25,403,236</w:t>
            </w:r>
          </w:p>
        </w:tc>
        <w:tc>
          <w:tcPr>
            <w:tcW w:w="400" w:type="pct"/>
            <w:shd w:val="clear" w:color="auto" w:fill="FFFFFF"/>
            <w:vAlign w:val="bottom"/>
            <w:hideMark/>
          </w:tcPr>
          <w:p w14:paraId="24C64AAA" w14:textId="77777777" w:rsidR="00000000" w:rsidRDefault="0053651E">
            <w:pPr>
              <w:jc w:val="right"/>
              <w:rPr>
                <w:rFonts w:eastAsia="Times New Roman"/>
                <w:sz w:val="16"/>
                <w:szCs w:val="16"/>
              </w:rPr>
            </w:pPr>
            <w:r>
              <w:rPr>
                <w:rFonts w:eastAsia="Times New Roman"/>
                <w:sz w:val="16"/>
                <w:szCs w:val="16"/>
              </w:rPr>
              <w:t>1,555,793</w:t>
            </w:r>
          </w:p>
        </w:tc>
        <w:tc>
          <w:tcPr>
            <w:tcW w:w="50" w:type="pct"/>
            <w:shd w:val="clear" w:color="auto" w:fill="FFFFFF"/>
            <w:vAlign w:val="bottom"/>
            <w:hideMark/>
          </w:tcPr>
          <w:p w14:paraId="662B19F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E8F4FFA" w14:textId="77777777" w:rsidR="00000000" w:rsidRDefault="0053651E">
            <w:pPr>
              <w:jc w:val="right"/>
              <w:rPr>
                <w:rFonts w:eastAsia="Times New Roman"/>
                <w:sz w:val="16"/>
                <w:szCs w:val="16"/>
              </w:rPr>
            </w:pPr>
            <w:r>
              <w:rPr>
                <w:rFonts w:eastAsia="Times New Roman"/>
                <w:sz w:val="16"/>
                <w:szCs w:val="16"/>
              </w:rPr>
              <w:t>23,847,443</w:t>
            </w:r>
          </w:p>
        </w:tc>
        <w:tc>
          <w:tcPr>
            <w:tcW w:w="50" w:type="pct"/>
            <w:shd w:val="clear" w:color="auto" w:fill="FFFFFF"/>
            <w:vAlign w:val="bottom"/>
            <w:hideMark/>
          </w:tcPr>
          <w:p w14:paraId="7AFBF55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F0034C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5F53086"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11D535EF" w14:textId="77777777">
        <w:trPr>
          <w:tblCellSpacing w:w="0" w:type="dxa"/>
        </w:trPr>
        <w:tc>
          <w:tcPr>
            <w:tcW w:w="50" w:type="pct"/>
            <w:shd w:val="clear" w:color="auto" w:fill="CCEEFF"/>
            <w:vAlign w:val="bottom"/>
            <w:hideMark/>
          </w:tcPr>
          <w:p w14:paraId="0B72051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039D989" w14:textId="77777777" w:rsidR="00000000" w:rsidRDefault="0053651E">
            <w:pPr>
              <w:pStyle w:val="a3"/>
              <w:spacing w:before="0" w:beforeAutospacing="0" w:after="0" w:afterAutospacing="0"/>
              <w:rPr>
                <w:sz w:val="16"/>
                <w:szCs w:val="16"/>
              </w:rPr>
            </w:pPr>
            <w:r>
              <w:rPr>
                <w:sz w:val="16"/>
                <w:szCs w:val="16"/>
              </w:rPr>
              <w:t>UNIVERSITY TOWN CENTER</w:t>
            </w:r>
          </w:p>
        </w:tc>
        <w:tc>
          <w:tcPr>
            <w:tcW w:w="150" w:type="pct"/>
            <w:shd w:val="clear" w:color="auto" w:fill="CCEEFF"/>
            <w:vAlign w:val="bottom"/>
            <w:hideMark/>
          </w:tcPr>
          <w:p w14:paraId="365B2D9E"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2F1DFDC" w14:textId="77777777" w:rsidR="00000000" w:rsidRDefault="0053651E">
            <w:pPr>
              <w:jc w:val="right"/>
              <w:rPr>
                <w:rFonts w:eastAsia="Times New Roman"/>
                <w:sz w:val="16"/>
                <w:szCs w:val="16"/>
              </w:rPr>
            </w:pPr>
            <w:r>
              <w:rPr>
                <w:rFonts w:eastAsia="Times New Roman"/>
                <w:sz w:val="16"/>
                <w:szCs w:val="16"/>
              </w:rPr>
              <w:t>5,515,265</w:t>
            </w:r>
          </w:p>
        </w:tc>
        <w:tc>
          <w:tcPr>
            <w:tcW w:w="550" w:type="pct"/>
            <w:shd w:val="clear" w:color="auto" w:fill="CCEEFF"/>
            <w:vAlign w:val="bottom"/>
            <w:hideMark/>
          </w:tcPr>
          <w:p w14:paraId="7425F67A" w14:textId="77777777" w:rsidR="00000000" w:rsidRDefault="0053651E">
            <w:pPr>
              <w:jc w:val="right"/>
              <w:rPr>
                <w:rFonts w:eastAsia="Times New Roman"/>
                <w:sz w:val="16"/>
                <w:szCs w:val="16"/>
              </w:rPr>
            </w:pPr>
            <w:r>
              <w:rPr>
                <w:rFonts w:eastAsia="Times New Roman"/>
                <w:sz w:val="16"/>
                <w:szCs w:val="16"/>
              </w:rPr>
              <w:t>13,041,400</w:t>
            </w:r>
          </w:p>
        </w:tc>
        <w:tc>
          <w:tcPr>
            <w:tcW w:w="350" w:type="pct"/>
            <w:shd w:val="clear" w:color="auto" w:fill="CCEEFF"/>
            <w:vAlign w:val="bottom"/>
            <w:hideMark/>
          </w:tcPr>
          <w:p w14:paraId="6F6D9450" w14:textId="77777777" w:rsidR="00000000" w:rsidRDefault="0053651E">
            <w:pPr>
              <w:jc w:val="right"/>
              <w:rPr>
                <w:rFonts w:eastAsia="Times New Roman"/>
                <w:sz w:val="16"/>
                <w:szCs w:val="16"/>
              </w:rPr>
            </w:pPr>
            <w:r>
              <w:rPr>
                <w:rFonts w:eastAsia="Times New Roman"/>
                <w:sz w:val="16"/>
                <w:szCs w:val="16"/>
              </w:rPr>
              <w:t>536,347</w:t>
            </w:r>
          </w:p>
        </w:tc>
        <w:tc>
          <w:tcPr>
            <w:tcW w:w="300" w:type="pct"/>
            <w:shd w:val="clear" w:color="auto" w:fill="CCEEFF"/>
            <w:vAlign w:val="bottom"/>
            <w:hideMark/>
          </w:tcPr>
          <w:p w14:paraId="59DFB3C7" w14:textId="77777777" w:rsidR="00000000" w:rsidRDefault="0053651E">
            <w:pPr>
              <w:jc w:val="right"/>
              <w:rPr>
                <w:rFonts w:eastAsia="Times New Roman"/>
                <w:sz w:val="16"/>
                <w:szCs w:val="16"/>
              </w:rPr>
            </w:pPr>
            <w:r>
              <w:rPr>
                <w:rFonts w:eastAsia="Times New Roman"/>
                <w:sz w:val="16"/>
                <w:szCs w:val="16"/>
              </w:rPr>
              <w:t>5,515,265</w:t>
            </w:r>
          </w:p>
        </w:tc>
        <w:tc>
          <w:tcPr>
            <w:tcW w:w="450" w:type="pct"/>
            <w:shd w:val="clear" w:color="auto" w:fill="CCEEFF"/>
            <w:vAlign w:val="bottom"/>
            <w:hideMark/>
          </w:tcPr>
          <w:p w14:paraId="7600B6BA" w14:textId="77777777" w:rsidR="00000000" w:rsidRDefault="0053651E">
            <w:pPr>
              <w:jc w:val="right"/>
              <w:rPr>
                <w:rFonts w:eastAsia="Times New Roman"/>
                <w:sz w:val="16"/>
                <w:szCs w:val="16"/>
              </w:rPr>
            </w:pPr>
            <w:r>
              <w:rPr>
                <w:rFonts w:eastAsia="Times New Roman"/>
                <w:sz w:val="16"/>
                <w:szCs w:val="16"/>
              </w:rPr>
              <w:t>13,577,747</w:t>
            </w:r>
          </w:p>
        </w:tc>
        <w:tc>
          <w:tcPr>
            <w:tcW w:w="350" w:type="pct"/>
            <w:shd w:val="clear" w:color="auto" w:fill="CCEEFF"/>
            <w:vAlign w:val="bottom"/>
            <w:hideMark/>
          </w:tcPr>
          <w:p w14:paraId="146EEAD2" w14:textId="77777777" w:rsidR="00000000" w:rsidRDefault="0053651E">
            <w:pPr>
              <w:jc w:val="right"/>
              <w:rPr>
                <w:rFonts w:eastAsia="Times New Roman"/>
                <w:sz w:val="16"/>
                <w:szCs w:val="16"/>
              </w:rPr>
            </w:pPr>
            <w:r>
              <w:rPr>
                <w:rFonts w:eastAsia="Times New Roman"/>
                <w:sz w:val="16"/>
                <w:szCs w:val="16"/>
              </w:rPr>
              <w:t>19,093,012</w:t>
            </w:r>
          </w:p>
        </w:tc>
        <w:tc>
          <w:tcPr>
            <w:tcW w:w="400" w:type="pct"/>
            <w:shd w:val="clear" w:color="auto" w:fill="CCEEFF"/>
            <w:vAlign w:val="bottom"/>
            <w:hideMark/>
          </w:tcPr>
          <w:p w14:paraId="7E332778" w14:textId="77777777" w:rsidR="00000000" w:rsidRDefault="0053651E">
            <w:pPr>
              <w:jc w:val="right"/>
              <w:rPr>
                <w:rFonts w:eastAsia="Times New Roman"/>
                <w:sz w:val="16"/>
                <w:szCs w:val="16"/>
              </w:rPr>
            </w:pPr>
            <w:r>
              <w:rPr>
                <w:rFonts w:eastAsia="Times New Roman"/>
                <w:sz w:val="16"/>
                <w:szCs w:val="16"/>
              </w:rPr>
              <w:t>3,651,349</w:t>
            </w:r>
          </w:p>
        </w:tc>
        <w:tc>
          <w:tcPr>
            <w:tcW w:w="50" w:type="pct"/>
            <w:shd w:val="clear" w:color="auto" w:fill="CCEEFF"/>
            <w:vAlign w:val="bottom"/>
            <w:hideMark/>
          </w:tcPr>
          <w:p w14:paraId="0B7E14B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EEE7118" w14:textId="77777777" w:rsidR="00000000" w:rsidRDefault="0053651E">
            <w:pPr>
              <w:jc w:val="right"/>
              <w:rPr>
                <w:rFonts w:eastAsia="Times New Roman"/>
                <w:sz w:val="16"/>
                <w:szCs w:val="16"/>
              </w:rPr>
            </w:pPr>
            <w:r>
              <w:rPr>
                <w:rFonts w:eastAsia="Times New Roman"/>
                <w:sz w:val="16"/>
                <w:szCs w:val="16"/>
              </w:rPr>
              <w:t>15,441,663</w:t>
            </w:r>
          </w:p>
        </w:tc>
        <w:tc>
          <w:tcPr>
            <w:tcW w:w="50" w:type="pct"/>
            <w:shd w:val="clear" w:color="auto" w:fill="CCEEFF"/>
            <w:vAlign w:val="bottom"/>
            <w:hideMark/>
          </w:tcPr>
          <w:p w14:paraId="1C75AF2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9CCB0A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CA1AF76"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4B53C10D" w14:textId="77777777">
        <w:trPr>
          <w:tblCellSpacing w:w="0" w:type="dxa"/>
        </w:trPr>
        <w:tc>
          <w:tcPr>
            <w:tcW w:w="50" w:type="pct"/>
            <w:shd w:val="clear" w:color="auto" w:fill="FFFFFF"/>
            <w:vAlign w:val="bottom"/>
            <w:hideMark/>
          </w:tcPr>
          <w:p w14:paraId="3B82D33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4EE9498" w14:textId="77777777" w:rsidR="00000000" w:rsidRDefault="0053651E">
            <w:pPr>
              <w:pStyle w:val="a3"/>
              <w:spacing w:before="0" w:beforeAutospacing="0" w:after="0" w:afterAutospacing="0"/>
              <w:rPr>
                <w:sz w:val="16"/>
                <w:szCs w:val="16"/>
              </w:rPr>
            </w:pPr>
            <w:r>
              <w:rPr>
                <w:sz w:val="16"/>
                <w:szCs w:val="16"/>
              </w:rPr>
              <w:t>OAK TREE PLAZA</w:t>
            </w:r>
          </w:p>
        </w:tc>
        <w:tc>
          <w:tcPr>
            <w:tcW w:w="150" w:type="pct"/>
            <w:shd w:val="clear" w:color="auto" w:fill="FFFFFF"/>
            <w:vAlign w:val="bottom"/>
            <w:hideMark/>
          </w:tcPr>
          <w:p w14:paraId="6FC73EFE"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49C883D1"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2C75D858" w14:textId="77777777" w:rsidR="00000000" w:rsidRDefault="0053651E">
            <w:pPr>
              <w:jc w:val="right"/>
              <w:rPr>
                <w:rFonts w:eastAsia="Times New Roman"/>
                <w:sz w:val="16"/>
                <w:szCs w:val="16"/>
              </w:rPr>
            </w:pPr>
            <w:r>
              <w:rPr>
                <w:rFonts w:eastAsia="Times New Roman"/>
                <w:sz w:val="16"/>
                <w:szCs w:val="16"/>
              </w:rPr>
              <w:t>917,360</w:t>
            </w:r>
          </w:p>
        </w:tc>
        <w:tc>
          <w:tcPr>
            <w:tcW w:w="350" w:type="pct"/>
            <w:shd w:val="clear" w:color="auto" w:fill="FFFFFF"/>
            <w:vAlign w:val="bottom"/>
            <w:hideMark/>
          </w:tcPr>
          <w:p w14:paraId="3FF985A1" w14:textId="77777777" w:rsidR="00000000" w:rsidRDefault="0053651E">
            <w:pPr>
              <w:jc w:val="right"/>
              <w:rPr>
                <w:rFonts w:eastAsia="Times New Roman"/>
                <w:sz w:val="16"/>
                <w:szCs w:val="16"/>
              </w:rPr>
            </w:pPr>
            <w:r>
              <w:rPr>
                <w:rFonts w:eastAsia="Times New Roman"/>
                <w:sz w:val="16"/>
                <w:szCs w:val="16"/>
              </w:rPr>
              <w:t>2,363,288</w:t>
            </w:r>
          </w:p>
        </w:tc>
        <w:tc>
          <w:tcPr>
            <w:tcW w:w="300" w:type="pct"/>
            <w:shd w:val="clear" w:color="auto" w:fill="FFFFFF"/>
            <w:vAlign w:val="bottom"/>
            <w:hideMark/>
          </w:tcPr>
          <w:p w14:paraId="62884D46"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220963D4" w14:textId="77777777" w:rsidR="00000000" w:rsidRDefault="0053651E">
            <w:pPr>
              <w:jc w:val="right"/>
              <w:rPr>
                <w:rFonts w:eastAsia="Times New Roman"/>
                <w:sz w:val="16"/>
                <w:szCs w:val="16"/>
              </w:rPr>
            </w:pPr>
            <w:r>
              <w:rPr>
                <w:rFonts w:eastAsia="Times New Roman"/>
                <w:sz w:val="16"/>
                <w:szCs w:val="16"/>
              </w:rPr>
              <w:t>3,280,648</w:t>
            </w:r>
          </w:p>
        </w:tc>
        <w:tc>
          <w:tcPr>
            <w:tcW w:w="350" w:type="pct"/>
            <w:shd w:val="clear" w:color="auto" w:fill="FFFFFF"/>
            <w:vAlign w:val="bottom"/>
            <w:hideMark/>
          </w:tcPr>
          <w:p w14:paraId="5D4776FC" w14:textId="77777777" w:rsidR="00000000" w:rsidRDefault="0053651E">
            <w:pPr>
              <w:jc w:val="right"/>
              <w:rPr>
                <w:rFonts w:eastAsia="Times New Roman"/>
                <w:sz w:val="16"/>
                <w:szCs w:val="16"/>
              </w:rPr>
            </w:pPr>
            <w:r>
              <w:rPr>
                <w:rFonts w:eastAsia="Times New Roman"/>
                <w:sz w:val="16"/>
                <w:szCs w:val="16"/>
              </w:rPr>
              <w:t>3,280,648</w:t>
            </w:r>
          </w:p>
        </w:tc>
        <w:tc>
          <w:tcPr>
            <w:tcW w:w="400" w:type="pct"/>
            <w:shd w:val="clear" w:color="auto" w:fill="FFFFFF"/>
            <w:vAlign w:val="bottom"/>
            <w:hideMark/>
          </w:tcPr>
          <w:p w14:paraId="19AC7984" w14:textId="77777777" w:rsidR="00000000" w:rsidRDefault="0053651E">
            <w:pPr>
              <w:jc w:val="right"/>
              <w:rPr>
                <w:rFonts w:eastAsia="Times New Roman"/>
                <w:sz w:val="16"/>
                <w:szCs w:val="16"/>
              </w:rPr>
            </w:pPr>
            <w:r>
              <w:rPr>
                <w:rFonts w:eastAsia="Times New Roman"/>
                <w:sz w:val="16"/>
                <w:szCs w:val="16"/>
              </w:rPr>
              <w:t>2,466,662</w:t>
            </w:r>
          </w:p>
        </w:tc>
        <w:tc>
          <w:tcPr>
            <w:tcW w:w="50" w:type="pct"/>
            <w:shd w:val="clear" w:color="auto" w:fill="FFFFFF"/>
            <w:vAlign w:val="bottom"/>
            <w:hideMark/>
          </w:tcPr>
          <w:p w14:paraId="08BE79E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E562D57" w14:textId="77777777" w:rsidR="00000000" w:rsidRDefault="0053651E">
            <w:pPr>
              <w:jc w:val="right"/>
              <w:rPr>
                <w:rFonts w:eastAsia="Times New Roman"/>
                <w:sz w:val="16"/>
                <w:szCs w:val="16"/>
              </w:rPr>
            </w:pPr>
            <w:r>
              <w:rPr>
                <w:rFonts w:eastAsia="Times New Roman"/>
                <w:sz w:val="16"/>
                <w:szCs w:val="16"/>
              </w:rPr>
              <w:t>813,986</w:t>
            </w:r>
          </w:p>
        </w:tc>
        <w:tc>
          <w:tcPr>
            <w:tcW w:w="50" w:type="pct"/>
            <w:shd w:val="clear" w:color="auto" w:fill="FFFFFF"/>
            <w:vAlign w:val="bottom"/>
            <w:hideMark/>
          </w:tcPr>
          <w:p w14:paraId="1B16277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BF4D74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AF45AFF" w14:textId="77777777" w:rsidR="00000000" w:rsidRDefault="0053651E">
            <w:pPr>
              <w:pStyle w:val="a3"/>
              <w:spacing w:before="0" w:beforeAutospacing="0" w:after="0" w:afterAutospacing="0"/>
              <w:jc w:val="center"/>
              <w:rPr>
                <w:sz w:val="16"/>
                <w:szCs w:val="16"/>
              </w:rPr>
            </w:pPr>
            <w:r>
              <w:rPr>
                <w:rStyle w:val="a6"/>
                <w:i w:val="0"/>
                <w:iCs w:val="0"/>
                <w:sz w:val="16"/>
                <w:szCs w:val="16"/>
              </w:rPr>
              <w:t>1968(C)</w:t>
            </w:r>
          </w:p>
        </w:tc>
      </w:tr>
      <w:tr w:rsidR="00000000" w14:paraId="08606A99" w14:textId="77777777">
        <w:trPr>
          <w:tblCellSpacing w:w="0" w:type="dxa"/>
        </w:trPr>
        <w:tc>
          <w:tcPr>
            <w:tcW w:w="50" w:type="pct"/>
            <w:shd w:val="clear" w:color="auto" w:fill="CCEEFF"/>
            <w:vAlign w:val="bottom"/>
            <w:hideMark/>
          </w:tcPr>
          <w:p w14:paraId="6721F67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CF874BE" w14:textId="77777777" w:rsidR="00000000" w:rsidRDefault="0053651E">
            <w:pPr>
              <w:pStyle w:val="a3"/>
              <w:spacing w:before="0" w:beforeAutospacing="0" w:after="0" w:afterAutospacing="0"/>
              <w:rPr>
                <w:sz w:val="16"/>
                <w:szCs w:val="16"/>
              </w:rPr>
            </w:pPr>
            <w:r>
              <w:rPr>
                <w:sz w:val="16"/>
                <w:szCs w:val="16"/>
              </w:rPr>
              <w:t>TUTTLEBEE PLAZA</w:t>
            </w:r>
          </w:p>
        </w:tc>
        <w:tc>
          <w:tcPr>
            <w:tcW w:w="150" w:type="pct"/>
            <w:shd w:val="clear" w:color="auto" w:fill="CCEEFF"/>
            <w:vAlign w:val="bottom"/>
            <w:hideMark/>
          </w:tcPr>
          <w:p w14:paraId="02A36422"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51452E4A" w14:textId="77777777" w:rsidR="00000000" w:rsidRDefault="0053651E">
            <w:pPr>
              <w:jc w:val="right"/>
              <w:rPr>
                <w:rFonts w:eastAsia="Times New Roman"/>
                <w:sz w:val="16"/>
                <w:szCs w:val="16"/>
              </w:rPr>
            </w:pPr>
            <w:r>
              <w:rPr>
                <w:rFonts w:eastAsia="Times New Roman"/>
                <w:sz w:val="16"/>
                <w:szCs w:val="16"/>
              </w:rPr>
              <w:t>254,961</w:t>
            </w:r>
          </w:p>
        </w:tc>
        <w:tc>
          <w:tcPr>
            <w:tcW w:w="550" w:type="pct"/>
            <w:shd w:val="clear" w:color="auto" w:fill="CCEEFF"/>
            <w:vAlign w:val="bottom"/>
            <w:hideMark/>
          </w:tcPr>
          <w:p w14:paraId="660DA0BA" w14:textId="77777777" w:rsidR="00000000" w:rsidRDefault="0053651E">
            <w:pPr>
              <w:jc w:val="right"/>
              <w:rPr>
                <w:rFonts w:eastAsia="Times New Roman"/>
                <w:sz w:val="16"/>
                <w:szCs w:val="16"/>
              </w:rPr>
            </w:pPr>
            <w:r>
              <w:rPr>
                <w:rFonts w:eastAsia="Times New Roman"/>
                <w:sz w:val="16"/>
                <w:szCs w:val="16"/>
              </w:rPr>
              <w:t>828,465</w:t>
            </w:r>
          </w:p>
        </w:tc>
        <w:tc>
          <w:tcPr>
            <w:tcW w:w="350" w:type="pct"/>
            <w:shd w:val="clear" w:color="auto" w:fill="CCEEFF"/>
            <w:vAlign w:val="bottom"/>
            <w:hideMark/>
          </w:tcPr>
          <w:p w14:paraId="33DBFA3B" w14:textId="77777777" w:rsidR="00000000" w:rsidRDefault="0053651E">
            <w:pPr>
              <w:jc w:val="right"/>
              <w:rPr>
                <w:rFonts w:eastAsia="Times New Roman"/>
                <w:sz w:val="16"/>
                <w:szCs w:val="16"/>
              </w:rPr>
            </w:pPr>
            <w:r>
              <w:rPr>
                <w:rFonts w:eastAsia="Times New Roman"/>
                <w:sz w:val="16"/>
                <w:szCs w:val="16"/>
              </w:rPr>
              <w:t>1,894,395</w:t>
            </w:r>
          </w:p>
        </w:tc>
        <w:tc>
          <w:tcPr>
            <w:tcW w:w="300" w:type="pct"/>
            <w:shd w:val="clear" w:color="auto" w:fill="CCEEFF"/>
            <w:vAlign w:val="bottom"/>
            <w:hideMark/>
          </w:tcPr>
          <w:p w14:paraId="191B6A2D" w14:textId="77777777" w:rsidR="00000000" w:rsidRDefault="0053651E">
            <w:pPr>
              <w:jc w:val="right"/>
              <w:rPr>
                <w:rFonts w:eastAsia="Times New Roman"/>
                <w:sz w:val="16"/>
                <w:szCs w:val="16"/>
              </w:rPr>
            </w:pPr>
            <w:r>
              <w:rPr>
                <w:rFonts w:eastAsia="Times New Roman"/>
                <w:sz w:val="16"/>
                <w:szCs w:val="16"/>
              </w:rPr>
              <w:t>254,961</w:t>
            </w:r>
          </w:p>
        </w:tc>
        <w:tc>
          <w:tcPr>
            <w:tcW w:w="450" w:type="pct"/>
            <w:shd w:val="clear" w:color="auto" w:fill="CCEEFF"/>
            <w:vAlign w:val="bottom"/>
            <w:hideMark/>
          </w:tcPr>
          <w:p w14:paraId="4BC4F16D" w14:textId="77777777" w:rsidR="00000000" w:rsidRDefault="0053651E">
            <w:pPr>
              <w:jc w:val="right"/>
              <w:rPr>
                <w:rFonts w:eastAsia="Times New Roman"/>
                <w:sz w:val="16"/>
                <w:szCs w:val="16"/>
              </w:rPr>
            </w:pPr>
            <w:r>
              <w:rPr>
                <w:rFonts w:eastAsia="Times New Roman"/>
                <w:sz w:val="16"/>
                <w:szCs w:val="16"/>
              </w:rPr>
              <w:t>2,722,860</w:t>
            </w:r>
          </w:p>
        </w:tc>
        <w:tc>
          <w:tcPr>
            <w:tcW w:w="350" w:type="pct"/>
            <w:shd w:val="clear" w:color="auto" w:fill="CCEEFF"/>
            <w:vAlign w:val="bottom"/>
            <w:hideMark/>
          </w:tcPr>
          <w:p w14:paraId="5D6EBB76" w14:textId="77777777" w:rsidR="00000000" w:rsidRDefault="0053651E">
            <w:pPr>
              <w:jc w:val="right"/>
              <w:rPr>
                <w:rFonts w:eastAsia="Times New Roman"/>
                <w:sz w:val="16"/>
                <w:szCs w:val="16"/>
              </w:rPr>
            </w:pPr>
            <w:r>
              <w:rPr>
                <w:rFonts w:eastAsia="Times New Roman"/>
                <w:sz w:val="16"/>
                <w:szCs w:val="16"/>
              </w:rPr>
              <w:t>2,977,821</w:t>
            </w:r>
          </w:p>
        </w:tc>
        <w:tc>
          <w:tcPr>
            <w:tcW w:w="400" w:type="pct"/>
            <w:shd w:val="clear" w:color="auto" w:fill="CCEEFF"/>
            <w:vAlign w:val="bottom"/>
            <w:hideMark/>
          </w:tcPr>
          <w:p w14:paraId="7C1A880A" w14:textId="77777777" w:rsidR="00000000" w:rsidRDefault="0053651E">
            <w:pPr>
              <w:jc w:val="right"/>
              <w:rPr>
                <w:rFonts w:eastAsia="Times New Roman"/>
                <w:sz w:val="16"/>
                <w:szCs w:val="16"/>
              </w:rPr>
            </w:pPr>
            <w:r>
              <w:rPr>
                <w:rFonts w:eastAsia="Times New Roman"/>
                <w:sz w:val="16"/>
                <w:szCs w:val="16"/>
              </w:rPr>
              <w:t>2,005,443</w:t>
            </w:r>
          </w:p>
        </w:tc>
        <w:tc>
          <w:tcPr>
            <w:tcW w:w="50" w:type="pct"/>
            <w:shd w:val="clear" w:color="auto" w:fill="CCEEFF"/>
            <w:vAlign w:val="bottom"/>
            <w:hideMark/>
          </w:tcPr>
          <w:p w14:paraId="20E1D03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1FE5728" w14:textId="77777777" w:rsidR="00000000" w:rsidRDefault="0053651E">
            <w:pPr>
              <w:jc w:val="right"/>
              <w:rPr>
                <w:rFonts w:eastAsia="Times New Roman"/>
                <w:sz w:val="16"/>
                <w:szCs w:val="16"/>
              </w:rPr>
            </w:pPr>
            <w:r>
              <w:rPr>
                <w:rFonts w:eastAsia="Times New Roman"/>
                <w:sz w:val="16"/>
                <w:szCs w:val="16"/>
              </w:rPr>
              <w:t>972,378</w:t>
            </w:r>
          </w:p>
        </w:tc>
        <w:tc>
          <w:tcPr>
            <w:tcW w:w="50" w:type="pct"/>
            <w:shd w:val="clear" w:color="auto" w:fill="CCEEFF"/>
            <w:vAlign w:val="bottom"/>
            <w:hideMark/>
          </w:tcPr>
          <w:p w14:paraId="6562465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63142E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AE0AD2D"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11C5DB65" w14:textId="77777777">
        <w:trPr>
          <w:tblCellSpacing w:w="0" w:type="dxa"/>
        </w:trPr>
        <w:tc>
          <w:tcPr>
            <w:tcW w:w="50" w:type="pct"/>
            <w:shd w:val="clear" w:color="auto" w:fill="FFFFFF"/>
            <w:vAlign w:val="bottom"/>
            <w:hideMark/>
          </w:tcPr>
          <w:p w14:paraId="75E61B7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7B97530" w14:textId="77777777" w:rsidR="00000000" w:rsidRDefault="0053651E">
            <w:pPr>
              <w:pStyle w:val="a3"/>
              <w:spacing w:before="0" w:beforeAutospacing="0" w:after="0" w:afterAutospacing="0"/>
              <w:rPr>
                <w:sz w:val="16"/>
                <w:szCs w:val="16"/>
              </w:rPr>
            </w:pPr>
            <w:r>
              <w:rPr>
                <w:sz w:val="16"/>
                <w:szCs w:val="16"/>
              </w:rPr>
              <w:t>SOUTH MIAMI S.C.</w:t>
            </w:r>
          </w:p>
        </w:tc>
        <w:tc>
          <w:tcPr>
            <w:tcW w:w="150" w:type="pct"/>
            <w:shd w:val="clear" w:color="auto" w:fill="FFFFFF"/>
            <w:vAlign w:val="bottom"/>
            <w:hideMark/>
          </w:tcPr>
          <w:p w14:paraId="40D15FC5"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3B53DE49" w14:textId="77777777" w:rsidR="00000000" w:rsidRDefault="0053651E">
            <w:pPr>
              <w:jc w:val="right"/>
              <w:rPr>
                <w:rFonts w:eastAsia="Times New Roman"/>
                <w:sz w:val="16"/>
                <w:szCs w:val="16"/>
              </w:rPr>
            </w:pPr>
            <w:r>
              <w:rPr>
                <w:rFonts w:eastAsia="Times New Roman"/>
                <w:sz w:val="16"/>
                <w:szCs w:val="16"/>
              </w:rPr>
              <w:t>1,280,440</w:t>
            </w:r>
          </w:p>
        </w:tc>
        <w:tc>
          <w:tcPr>
            <w:tcW w:w="550" w:type="pct"/>
            <w:shd w:val="clear" w:color="auto" w:fill="FFFFFF"/>
            <w:vAlign w:val="bottom"/>
            <w:hideMark/>
          </w:tcPr>
          <w:p w14:paraId="1B836892" w14:textId="77777777" w:rsidR="00000000" w:rsidRDefault="0053651E">
            <w:pPr>
              <w:jc w:val="right"/>
              <w:rPr>
                <w:rFonts w:eastAsia="Times New Roman"/>
                <w:sz w:val="16"/>
                <w:szCs w:val="16"/>
              </w:rPr>
            </w:pPr>
            <w:r>
              <w:rPr>
                <w:rFonts w:eastAsia="Times New Roman"/>
                <w:sz w:val="16"/>
                <w:szCs w:val="16"/>
              </w:rPr>
              <w:t>5,133,825</w:t>
            </w:r>
          </w:p>
        </w:tc>
        <w:tc>
          <w:tcPr>
            <w:tcW w:w="350" w:type="pct"/>
            <w:shd w:val="clear" w:color="auto" w:fill="FFFFFF"/>
            <w:vAlign w:val="bottom"/>
            <w:hideMark/>
          </w:tcPr>
          <w:p w14:paraId="1B4F588C" w14:textId="77777777" w:rsidR="00000000" w:rsidRDefault="0053651E">
            <w:pPr>
              <w:jc w:val="right"/>
              <w:rPr>
                <w:rFonts w:eastAsia="Times New Roman"/>
                <w:sz w:val="16"/>
                <w:szCs w:val="16"/>
              </w:rPr>
            </w:pPr>
            <w:r>
              <w:rPr>
                <w:rFonts w:eastAsia="Times New Roman"/>
                <w:sz w:val="16"/>
                <w:szCs w:val="16"/>
              </w:rPr>
              <w:t>3,700,918</w:t>
            </w:r>
          </w:p>
        </w:tc>
        <w:tc>
          <w:tcPr>
            <w:tcW w:w="300" w:type="pct"/>
            <w:shd w:val="clear" w:color="auto" w:fill="FFFFFF"/>
            <w:vAlign w:val="bottom"/>
            <w:hideMark/>
          </w:tcPr>
          <w:p w14:paraId="4E04AC7B" w14:textId="77777777" w:rsidR="00000000" w:rsidRDefault="0053651E">
            <w:pPr>
              <w:jc w:val="right"/>
              <w:rPr>
                <w:rFonts w:eastAsia="Times New Roman"/>
                <w:sz w:val="16"/>
                <w:szCs w:val="16"/>
              </w:rPr>
            </w:pPr>
            <w:r>
              <w:rPr>
                <w:rFonts w:eastAsia="Times New Roman"/>
                <w:sz w:val="16"/>
                <w:szCs w:val="16"/>
              </w:rPr>
              <w:t>1,280,440</w:t>
            </w:r>
          </w:p>
        </w:tc>
        <w:tc>
          <w:tcPr>
            <w:tcW w:w="450" w:type="pct"/>
            <w:shd w:val="clear" w:color="auto" w:fill="FFFFFF"/>
            <w:vAlign w:val="bottom"/>
            <w:hideMark/>
          </w:tcPr>
          <w:p w14:paraId="2459B850" w14:textId="77777777" w:rsidR="00000000" w:rsidRDefault="0053651E">
            <w:pPr>
              <w:jc w:val="right"/>
              <w:rPr>
                <w:rFonts w:eastAsia="Times New Roman"/>
                <w:sz w:val="16"/>
                <w:szCs w:val="16"/>
              </w:rPr>
            </w:pPr>
            <w:r>
              <w:rPr>
                <w:rFonts w:eastAsia="Times New Roman"/>
                <w:sz w:val="16"/>
                <w:szCs w:val="16"/>
              </w:rPr>
              <w:t>8,834,743</w:t>
            </w:r>
          </w:p>
        </w:tc>
        <w:tc>
          <w:tcPr>
            <w:tcW w:w="350" w:type="pct"/>
            <w:shd w:val="clear" w:color="auto" w:fill="FFFFFF"/>
            <w:vAlign w:val="bottom"/>
            <w:hideMark/>
          </w:tcPr>
          <w:p w14:paraId="21008F6F" w14:textId="77777777" w:rsidR="00000000" w:rsidRDefault="0053651E">
            <w:pPr>
              <w:jc w:val="right"/>
              <w:rPr>
                <w:rFonts w:eastAsia="Times New Roman"/>
                <w:sz w:val="16"/>
                <w:szCs w:val="16"/>
              </w:rPr>
            </w:pPr>
            <w:r>
              <w:rPr>
                <w:rFonts w:eastAsia="Times New Roman"/>
                <w:sz w:val="16"/>
                <w:szCs w:val="16"/>
              </w:rPr>
              <w:t>10,115,183</w:t>
            </w:r>
          </w:p>
        </w:tc>
        <w:tc>
          <w:tcPr>
            <w:tcW w:w="400" w:type="pct"/>
            <w:shd w:val="clear" w:color="auto" w:fill="FFFFFF"/>
            <w:vAlign w:val="bottom"/>
            <w:hideMark/>
          </w:tcPr>
          <w:p w14:paraId="2D8B5BE8" w14:textId="77777777" w:rsidR="00000000" w:rsidRDefault="0053651E">
            <w:pPr>
              <w:jc w:val="right"/>
              <w:rPr>
                <w:rFonts w:eastAsia="Times New Roman"/>
                <w:sz w:val="16"/>
                <w:szCs w:val="16"/>
              </w:rPr>
            </w:pPr>
            <w:r>
              <w:rPr>
                <w:rFonts w:eastAsia="Times New Roman"/>
                <w:sz w:val="16"/>
                <w:szCs w:val="16"/>
              </w:rPr>
              <w:t>5,024,803</w:t>
            </w:r>
          </w:p>
        </w:tc>
        <w:tc>
          <w:tcPr>
            <w:tcW w:w="50" w:type="pct"/>
            <w:shd w:val="clear" w:color="auto" w:fill="FFFFFF"/>
            <w:vAlign w:val="bottom"/>
            <w:hideMark/>
          </w:tcPr>
          <w:p w14:paraId="5651B12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70688F4" w14:textId="77777777" w:rsidR="00000000" w:rsidRDefault="0053651E">
            <w:pPr>
              <w:jc w:val="right"/>
              <w:rPr>
                <w:rFonts w:eastAsia="Times New Roman"/>
                <w:sz w:val="16"/>
                <w:szCs w:val="16"/>
              </w:rPr>
            </w:pPr>
            <w:r>
              <w:rPr>
                <w:rFonts w:eastAsia="Times New Roman"/>
                <w:sz w:val="16"/>
                <w:szCs w:val="16"/>
              </w:rPr>
              <w:t>5,090,380</w:t>
            </w:r>
          </w:p>
        </w:tc>
        <w:tc>
          <w:tcPr>
            <w:tcW w:w="50" w:type="pct"/>
            <w:shd w:val="clear" w:color="auto" w:fill="FFFFFF"/>
            <w:vAlign w:val="bottom"/>
            <w:hideMark/>
          </w:tcPr>
          <w:p w14:paraId="70C0B34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BABC02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6F78C14" w14:textId="77777777" w:rsidR="00000000" w:rsidRDefault="0053651E">
            <w:pPr>
              <w:pStyle w:val="a3"/>
              <w:spacing w:before="0" w:beforeAutospacing="0" w:after="0" w:afterAutospacing="0"/>
              <w:jc w:val="center"/>
              <w:rPr>
                <w:sz w:val="16"/>
                <w:szCs w:val="16"/>
              </w:rPr>
            </w:pPr>
            <w:r>
              <w:rPr>
                <w:rStyle w:val="a6"/>
                <w:i w:val="0"/>
                <w:iCs w:val="0"/>
                <w:sz w:val="16"/>
                <w:szCs w:val="16"/>
              </w:rPr>
              <w:t>1995(A)</w:t>
            </w:r>
          </w:p>
        </w:tc>
      </w:tr>
      <w:tr w:rsidR="00000000" w14:paraId="5D66B6E2" w14:textId="77777777">
        <w:trPr>
          <w:tblCellSpacing w:w="0" w:type="dxa"/>
        </w:trPr>
        <w:tc>
          <w:tcPr>
            <w:tcW w:w="50" w:type="pct"/>
            <w:shd w:val="clear" w:color="auto" w:fill="CCEEFF"/>
            <w:vAlign w:val="bottom"/>
            <w:hideMark/>
          </w:tcPr>
          <w:p w14:paraId="6E7E7C8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57CCBF2" w14:textId="77777777" w:rsidR="00000000" w:rsidRDefault="0053651E">
            <w:pPr>
              <w:pStyle w:val="a3"/>
              <w:spacing w:before="0" w:beforeAutospacing="0" w:after="0" w:afterAutospacing="0"/>
              <w:rPr>
                <w:sz w:val="16"/>
                <w:szCs w:val="16"/>
              </w:rPr>
            </w:pPr>
            <w:r>
              <w:rPr>
                <w:sz w:val="16"/>
                <w:szCs w:val="16"/>
              </w:rPr>
              <w:t>CARROLLWOOD COMMONS</w:t>
            </w:r>
          </w:p>
        </w:tc>
        <w:tc>
          <w:tcPr>
            <w:tcW w:w="150" w:type="pct"/>
            <w:shd w:val="clear" w:color="auto" w:fill="CCEEFF"/>
            <w:vAlign w:val="bottom"/>
            <w:hideMark/>
          </w:tcPr>
          <w:p w14:paraId="1FA8C8AD"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29274C72" w14:textId="77777777" w:rsidR="00000000" w:rsidRDefault="0053651E">
            <w:pPr>
              <w:jc w:val="right"/>
              <w:rPr>
                <w:rFonts w:eastAsia="Times New Roman"/>
                <w:sz w:val="16"/>
                <w:szCs w:val="16"/>
              </w:rPr>
            </w:pPr>
            <w:r>
              <w:rPr>
                <w:rFonts w:eastAsia="Times New Roman"/>
                <w:sz w:val="16"/>
                <w:szCs w:val="16"/>
              </w:rPr>
              <w:t>5,220,445</w:t>
            </w:r>
          </w:p>
        </w:tc>
        <w:tc>
          <w:tcPr>
            <w:tcW w:w="550" w:type="pct"/>
            <w:shd w:val="clear" w:color="auto" w:fill="CCEEFF"/>
            <w:vAlign w:val="bottom"/>
            <w:hideMark/>
          </w:tcPr>
          <w:p w14:paraId="63AC82B6" w14:textId="77777777" w:rsidR="00000000" w:rsidRDefault="0053651E">
            <w:pPr>
              <w:jc w:val="right"/>
              <w:rPr>
                <w:rFonts w:eastAsia="Times New Roman"/>
                <w:sz w:val="16"/>
                <w:szCs w:val="16"/>
              </w:rPr>
            </w:pPr>
            <w:r>
              <w:rPr>
                <w:rFonts w:eastAsia="Times New Roman"/>
                <w:sz w:val="16"/>
                <w:szCs w:val="16"/>
              </w:rPr>
              <w:t>16,884,228</w:t>
            </w:r>
          </w:p>
        </w:tc>
        <w:tc>
          <w:tcPr>
            <w:tcW w:w="350" w:type="pct"/>
            <w:shd w:val="clear" w:color="auto" w:fill="CCEEFF"/>
            <w:vAlign w:val="bottom"/>
            <w:hideMark/>
          </w:tcPr>
          <w:p w14:paraId="6C1F5D07" w14:textId="77777777" w:rsidR="00000000" w:rsidRDefault="0053651E">
            <w:pPr>
              <w:jc w:val="right"/>
              <w:rPr>
                <w:rFonts w:eastAsia="Times New Roman"/>
                <w:sz w:val="16"/>
                <w:szCs w:val="16"/>
              </w:rPr>
            </w:pPr>
            <w:r>
              <w:rPr>
                <w:rFonts w:eastAsia="Times New Roman"/>
                <w:sz w:val="16"/>
                <w:szCs w:val="16"/>
              </w:rPr>
              <w:t>3,582,050</w:t>
            </w:r>
          </w:p>
        </w:tc>
        <w:tc>
          <w:tcPr>
            <w:tcW w:w="300" w:type="pct"/>
            <w:shd w:val="clear" w:color="auto" w:fill="CCEEFF"/>
            <w:vAlign w:val="bottom"/>
            <w:hideMark/>
          </w:tcPr>
          <w:p w14:paraId="0A40B861" w14:textId="77777777" w:rsidR="00000000" w:rsidRDefault="0053651E">
            <w:pPr>
              <w:jc w:val="right"/>
              <w:rPr>
                <w:rFonts w:eastAsia="Times New Roman"/>
                <w:sz w:val="16"/>
                <w:szCs w:val="16"/>
              </w:rPr>
            </w:pPr>
            <w:r>
              <w:rPr>
                <w:rFonts w:eastAsia="Times New Roman"/>
                <w:sz w:val="16"/>
                <w:szCs w:val="16"/>
              </w:rPr>
              <w:t>5,220,445</w:t>
            </w:r>
          </w:p>
        </w:tc>
        <w:tc>
          <w:tcPr>
            <w:tcW w:w="450" w:type="pct"/>
            <w:shd w:val="clear" w:color="auto" w:fill="CCEEFF"/>
            <w:vAlign w:val="bottom"/>
            <w:hideMark/>
          </w:tcPr>
          <w:p w14:paraId="6FEE04D4" w14:textId="77777777" w:rsidR="00000000" w:rsidRDefault="0053651E">
            <w:pPr>
              <w:jc w:val="right"/>
              <w:rPr>
                <w:rFonts w:eastAsia="Times New Roman"/>
                <w:sz w:val="16"/>
                <w:szCs w:val="16"/>
              </w:rPr>
            </w:pPr>
            <w:r>
              <w:rPr>
                <w:rFonts w:eastAsia="Times New Roman"/>
                <w:sz w:val="16"/>
                <w:szCs w:val="16"/>
              </w:rPr>
              <w:t>20,466,278</w:t>
            </w:r>
          </w:p>
        </w:tc>
        <w:tc>
          <w:tcPr>
            <w:tcW w:w="350" w:type="pct"/>
            <w:shd w:val="clear" w:color="auto" w:fill="CCEEFF"/>
            <w:vAlign w:val="bottom"/>
            <w:hideMark/>
          </w:tcPr>
          <w:p w14:paraId="193C1D92" w14:textId="77777777" w:rsidR="00000000" w:rsidRDefault="0053651E">
            <w:pPr>
              <w:jc w:val="right"/>
              <w:rPr>
                <w:rFonts w:eastAsia="Times New Roman"/>
                <w:sz w:val="16"/>
                <w:szCs w:val="16"/>
              </w:rPr>
            </w:pPr>
            <w:r>
              <w:rPr>
                <w:rFonts w:eastAsia="Times New Roman"/>
                <w:sz w:val="16"/>
                <w:szCs w:val="16"/>
              </w:rPr>
              <w:t>25,686,723</w:t>
            </w:r>
          </w:p>
        </w:tc>
        <w:tc>
          <w:tcPr>
            <w:tcW w:w="400" w:type="pct"/>
            <w:shd w:val="clear" w:color="auto" w:fill="CCEEFF"/>
            <w:vAlign w:val="bottom"/>
            <w:hideMark/>
          </w:tcPr>
          <w:p w14:paraId="32473AE3" w14:textId="77777777" w:rsidR="00000000" w:rsidRDefault="0053651E">
            <w:pPr>
              <w:jc w:val="right"/>
              <w:rPr>
                <w:rFonts w:eastAsia="Times New Roman"/>
                <w:sz w:val="16"/>
                <w:szCs w:val="16"/>
              </w:rPr>
            </w:pPr>
            <w:r>
              <w:rPr>
                <w:rFonts w:eastAsia="Times New Roman"/>
                <w:sz w:val="16"/>
                <w:szCs w:val="16"/>
              </w:rPr>
              <w:t>10,679,896</w:t>
            </w:r>
          </w:p>
        </w:tc>
        <w:tc>
          <w:tcPr>
            <w:tcW w:w="50" w:type="pct"/>
            <w:shd w:val="clear" w:color="auto" w:fill="CCEEFF"/>
            <w:vAlign w:val="bottom"/>
            <w:hideMark/>
          </w:tcPr>
          <w:p w14:paraId="71AAEFE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5C352A8" w14:textId="77777777" w:rsidR="00000000" w:rsidRDefault="0053651E">
            <w:pPr>
              <w:jc w:val="right"/>
              <w:rPr>
                <w:rFonts w:eastAsia="Times New Roman"/>
                <w:sz w:val="16"/>
                <w:szCs w:val="16"/>
              </w:rPr>
            </w:pPr>
            <w:r>
              <w:rPr>
                <w:rFonts w:eastAsia="Times New Roman"/>
                <w:sz w:val="16"/>
                <w:szCs w:val="16"/>
              </w:rPr>
              <w:t>15,006,827</w:t>
            </w:r>
          </w:p>
        </w:tc>
        <w:tc>
          <w:tcPr>
            <w:tcW w:w="50" w:type="pct"/>
            <w:shd w:val="clear" w:color="auto" w:fill="CCEEFF"/>
            <w:vAlign w:val="bottom"/>
            <w:hideMark/>
          </w:tcPr>
          <w:p w14:paraId="7146BEB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2102BF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174156D" w14:textId="77777777" w:rsidR="00000000" w:rsidRDefault="0053651E">
            <w:pPr>
              <w:pStyle w:val="a3"/>
              <w:spacing w:before="0" w:beforeAutospacing="0" w:after="0" w:afterAutospacing="0"/>
              <w:jc w:val="center"/>
              <w:rPr>
                <w:sz w:val="16"/>
                <w:szCs w:val="16"/>
              </w:rPr>
            </w:pPr>
            <w:r>
              <w:rPr>
                <w:rStyle w:val="a6"/>
                <w:i w:val="0"/>
                <w:iCs w:val="0"/>
                <w:sz w:val="16"/>
                <w:szCs w:val="16"/>
              </w:rPr>
              <w:t>1997(A)</w:t>
            </w:r>
          </w:p>
        </w:tc>
      </w:tr>
      <w:tr w:rsidR="00000000" w14:paraId="6EB4A53C" w14:textId="77777777">
        <w:trPr>
          <w:tblCellSpacing w:w="0" w:type="dxa"/>
        </w:trPr>
        <w:tc>
          <w:tcPr>
            <w:tcW w:w="50" w:type="pct"/>
            <w:shd w:val="clear" w:color="auto" w:fill="FFFFFF"/>
            <w:vAlign w:val="bottom"/>
            <w:hideMark/>
          </w:tcPr>
          <w:p w14:paraId="4882F67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335E38F" w14:textId="77777777" w:rsidR="00000000" w:rsidRDefault="0053651E">
            <w:pPr>
              <w:pStyle w:val="a3"/>
              <w:spacing w:before="0" w:beforeAutospacing="0" w:after="0" w:afterAutospacing="0"/>
              <w:rPr>
                <w:sz w:val="16"/>
                <w:szCs w:val="16"/>
              </w:rPr>
            </w:pPr>
            <w:r>
              <w:rPr>
                <w:sz w:val="16"/>
                <w:szCs w:val="16"/>
              </w:rPr>
              <w:t>VILLAGE COMMONS SHOPPING CENTER</w:t>
            </w:r>
          </w:p>
        </w:tc>
        <w:tc>
          <w:tcPr>
            <w:tcW w:w="150" w:type="pct"/>
            <w:shd w:val="clear" w:color="auto" w:fill="FFFFFF"/>
            <w:vAlign w:val="bottom"/>
            <w:hideMark/>
          </w:tcPr>
          <w:p w14:paraId="2567C4DC"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18F7F295" w14:textId="77777777" w:rsidR="00000000" w:rsidRDefault="0053651E">
            <w:pPr>
              <w:jc w:val="right"/>
              <w:rPr>
                <w:rFonts w:eastAsia="Times New Roman"/>
                <w:sz w:val="16"/>
                <w:szCs w:val="16"/>
              </w:rPr>
            </w:pPr>
            <w:r>
              <w:rPr>
                <w:rFonts w:eastAsia="Times New Roman"/>
                <w:sz w:val="16"/>
                <w:szCs w:val="16"/>
              </w:rPr>
              <w:t>2,192,331</w:t>
            </w:r>
          </w:p>
        </w:tc>
        <w:tc>
          <w:tcPr>
            <w:tcW w:w="550" w:type="pct"/>
            <w:shd w:val="clear" w:color="auto" w:fill="FFFFFF"/>
            <w:vAlign w:val="bottom"/>
            <w:hideMark/>
          </w:tcPr>
          <w:p w14:paraId="7B21FC9E" w14:textId="77777777" w:rsidR="00000000" w:rsidRDefault="0053651E">
            <w:pPr>
              <w:jc w:val="right"/>
              <w:rPr>
                <w:rFonts w:eastAsia="Times New Roman"/>
                <w:sz w:val="16"/>
                <w:szCs w:val="16"/>
              </w:rPr>
            </w:pPr>
            <w:r>
              <w:rPr>
                <w:rFonts w:eastAsia="Times New Roman"/>
                <w:sz w:val="16"/>
                <w:szCs w:val="16"/>
              </w:rPr>
              <w:t>8,774,158</w:t>
            </w:r>
          </w:p>
        </w:tc>
        <w:tc>
          <w:tcPr>
            <w:tcW w:w="350" w:type="pct"/>
            <w:shd w:val="clear" w:color="auto" w:fill="FFFFFF"/>
            <w:vAlign w:val="bottom"/>
            <w:hideMark/>
          </w:tcPr>
          <w:p w14:paraId="61E525F8" w14:textId="77777777" w:rsidR="00000000" w:rsidRDefault="0053651E">
            <w:pPr>
              <w:jc w:val="right"/>
              <w:rPr>
                <w:rFonts w:eastAsia="Times New Roman"/>
                <w:sz w:val="16"/>
                <w:szCs w:val="16"/>
              </w:rPr>
            </w:pPr>
            <w:r>
              <w:rPr>
                <w:rFonts w:eastAsia="Times New Roman"/>
                <w:sz w:val="16"/>
                <w:szCs w:val="16"/>
              </w:rPr>
              <w:t>5,402,331</w:t>
            </w:r>
          </w:p>
        </w:tc>
        <w:tc>
          <w:tcPr>
            <w:tcW w:w="300" w:type="pct"/>
            <w:shd w:val="clear" w:color="auto" w:fill="FFFFFF"/>
            <w:vAlign w:val="bottom"/>
            <w:hideMark/>
          </w:tcPr>
          <w:p w14:paraId="2EEE7C94" w14:textId="77777777" w:rsidR="00000000" w:rsidRDefault="0053651E">
            <w:pPr>
              <w:jc w:val="right"/>
              <w:rPr>
                <w:rFonts w:eastAsia="Times New Roman"/>
                <w:sz w:val="16"/>
                <w:szCs w:val="16"/>
              </w:rPr>
            </w:pPr>
            <w:r>
              <w:rPr>
                <w:rFonts w:eastAsia="Times New Roman"/>
                <w:sz w:val="16"/>
                <w:szCs w:val="16"/>
              </w:rPr>
              <w:t>2,192,331</w:t>
            </w:r>
          </w:p>
        </w:tc>
        <w:tc>
          <w:tcPr>
            <w:tcW w:w="450" w:type="pct"/>
            <w:shd w:val="clear" w:color="auto" w:fill="FFFFFF"/>
            <w:vAlign w:val="bottom"/>
            <w:hideMark/>
          </w:tcPr>
          <w:p w14:paraId="0E2DF94F" w14:textId="77777777" w:rsidR="00000000" w:rsidRDefault="0053651E">
            <w:pPr>
              <w:jc w:val="right"/>
              <w:rPr>
                <w:rFonts w:eastAsia="Times New Roman"/>
                <w:sz w:val="16"/>
                <w:szCs w:val="16"/>
              </w:rPr>
            </w:pPr>
            <w:r>
              <w:rPr>
                <w:rFonts w:eastAsia="Times New Roman"/>
                <w:sz w:val="16"/>
                <w:szCs w:val="16"/>
              </w:rPr>
              <w:t>14,176,489</w:t>
            </w:r>
          </w:p>
        </w:tc>
        <w:tc>
          <w:tcPr>
            <w:tcW w:w="350" w:type="pct"/>
            <w:shd w:val="clear" w:color="auto" w:fill="FFFFFF"/>
            <w:vAlign w:val="bottom"/>
            <w:hideMark/>
          </w:tcPr>
          <w:p w14:paraId="14C20060" w14:textId="77777777" w:rsidR="00000000" w:rsidRDefault="0053651E">
            <w:pPr>
              <w:jc w:val="right"/>
              <w:rPr>
                <w:rFonts w:eastAsia="Times New Roman"/>
                <w:sz w:val="16"/>
                <w:szCs w:val="16"/>
              </w:rPr>
            </w:pPr>
            <w:r>
              <w:rPr>
                <w:rFonts w:eastAsia="Times New Roman"/>
                <w:sz w:val="16"/>
                <w:szCs w:val="16"/>
              </w:rPr>
              <w:t>16,368,820</w:t>
            </w:r>
          </w:p>
        </w:tc>
        <w:tc>
          <w:tcPr>
            <w:tcW w:w="400" w:type="pct"/>
            <w:shd w:val="clear" w:color="auto" w:fill="FFFFFF"/>
            <w:vAlign w:val="bottom"/>
            <w:hideMark/>
          </w:tcPr>
          <w:p w14:paraId="719530F3" w14:textId="77777777" w:rsidR="00000000" w:rsidRDefault="0053651E">
            <w:pPr>
              <w:jc w:val="right"/>
              <w:rPr>
                <w:rFonts w:eastAsia="Times New Roman"/>
                <w:sz w:val="16"/>
                <w:szCs w:val="16"/>
              </w:rPr>
            </w:pPr>
            <w:r>
              <w:rPr>
                <w:rFonts w:eastAsia="Times New Roman"/>
                <w:sz w:val="16"/>
                <w:szCs w:val="16"/>
              </w:rPr>
              <w:t>6,664,538</w:t>
            </w:r>
          </w:p>
        </w:tc>
        <w:tc>
          <w:tcPr>
            <w:tcW w:w="50" w:type="pct"/>
            <w:shd w:val="clear" w:color="auto" w:fill="FFFFFF"/>
            <w:vAlign w:val="bottom"/>
            <w:hideMark/>
          </w:tcPr>
          <w:p w14:paraId="0383BE7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02E62CC" w14:textId="77777777" w:rsidR="00000000" w:rsidRDefault="0053651E">
            <w:pPr>
              <w:jc w:val="right"/>
              <w:rPr>
                <w:rFonts w:eastAsia="Times New Roman"/>
                <w:sz w:val="16"/>
                <w:szCs w:val="16"/>
              </w:rPr>
            </w:pPr>
            <w:r>
              <w:rPr>
                <w:rFonts w:eastAsia="Times New Roman"/>
                <w:sz w:val="16"/>
                <w:szCs w:val="16"/>
              </w:rPr>
              <w:t>9,704,282</w:t>
            </w:r>
          </w:p>
        </w:tc>
        <w:tc>
          <w:tcPr>
            <w:tcW w:w="50" w:type="pct"/>
            <w:shd w:val="clear" w:color="auto" w:fill="FFFFFF"/>
            <w:vAlign w:val="bottom"/>
            <w:hideMark/>
          </w:tcPr>
          <w:p w14:paraId="3E91133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E9AD60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512D650"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0DAA61F7" w14:textId="77777777">
        <w:trPr>
          <w:tblCellSpacing w:w="0" w:type="dxa"/>
        </w:trPr>
        <w:tc>
          <w:tcPr>
            <w:tcW w:w="50" w:type="pct"/>
            <w:shd w:val="clear" w:color="auto" w:fill="CCEEFF"/>
            <w:vAlign w:val="bottom"/>
            <w:hideMark/>
          </w:tcPr>
          <w:p w14:paraId="2333D77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6DE0D5C" w14:textId="77777777" w:rsidR="00000000" w:rsidRDefault="0053651E">
            <w:pPr>
              <w:pStyle w:val="a3"/>
              <w:spacing w:before="0" w:beforeAutospacing="0" w:after="0" w:afterAutospacing="0"/>
              <w:rPr>
                <w:sz w:val="16"/>
                <w:szCs w:val="16"/>
              </w:rPr>
            </w:pPr>
            <w:r>
              <w:rPr>
                <w:sz w:val="16"/>
                <w:szCs w:val="16"/>
              </w:rPr>
              <w:t>MISSION BELL SHOPPING CENTER</w:t>
            </w:r>
          </w:p>
        </w:tc>
        <w:tc>
          <w:tcPr>
            <w:tcW w:w="150" w:type="pct"/>
            <w:shd w:val="clear" w:color="auto" w:fill="CCEEFF"/>
            <w:vAlign w:val="bottom"/>
            <w:hideMark/>
          </w:tcPr>
          <w:p w14:paraId="5FB33213"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7894F0D2" w14:textId="77777777" w:rsidR="00000000" w:rsidRDefault="0053651E">
            <w:pPr>
              <w:jc w:val="right"/>
              <w:rPr>
                <w:rFonts w:eastAsia="Times New Roman"/>
                <w:sz w:val="16"/>
                <w:szCs w:val="16"/>
              </w:rPr>
            </w:pPr>
            <w:r>
              <w:rPr>
                <w:rFonts w:eastAsia="Times New Roman"/>
                <w:sz w:val="16"/>
                <w:szCs w:val="16"/>
              </w:rPr>
              <w:t>5,056,426</w:t>
            </w:r>
          </w:p>
        </w:tc>
        <w:tc>
          <w:tcPr>
            <w:tcW w:w="550" w:type="pct"/>
            <w:shd w:val="clear" w:color="auto" w:fill="CCEEFF"/>
            <w:vAlign w:val="bottom"/>
            <w:hideMark/>
          </w:tcPr>
          <w:p w14:paraId="04E7940A" w14:textId="77777777" w:rsidR="00000000" w:rsidRDefault="0053651E">
            <w:pPr>
              <w:jc w:val="right"/>
              <w:rPr>
                <w:rFonts w:eastAsia="Times New Roman"/>
                <w:sz w:val="16"/>
                <w:szCs w:val="16"/>
              </w:rPr>
            </w:pPr>
            <w:r>
              <w:rPr>
                <w:rFonts w:eastAsia="Times New Roman"/>
                <w:sz w:val="16"/>
                <w:szCs w:val="16"/>
              </w:rPr>
              <w:t>11,843,119</w:t>
            </w:r>
          </w:p>
        </w:tc>
        <w:tc>
          <w:tcPr>
            <w:tcW w:w="350" w:type="pct"/>
            <w:shd w:val="clear" w:color="auto" w:fill="CCEEFF"/>
            <w:vAlign w:val="bottom"/>
            <w:hideMark/>
          </w:tcPr>
          <w:p w14:paraId="4326FEE7" w14:textId="77777777" w:rsidR="00000000" w:rsidRDefault="0053651E">
            <w:pPr>
              <w:jc w:val="right"/>
              <w:rPr>
                <w:rFonts w:eastAsia="Times New Roman"/>
                <w:sz w:val="16"/>
                <w:szCs w:val="16"/>
              </w:rPr>
            </w:pPr>
            <w:r>
              <w:rPr>
                <w:rFonts w:eastAsia="Times New Roman"/>
                <w:sz w:val="16"/>
                <w:szCs w:val="16"/>
              </w:rPr>
              <w:t>8,691,774</w:t>
            </w:r>
          </w:p>
        </w:tc>
        <w:tc>
          <w:tcPr>
            <w:tcW w:w="300" w:type="pct"/>
            <w:shd w:val="clear" w:color="auto" w:fill="CCEEFF"/>
            <w:vAlign w:val="bottom"/>
            <w:hideMark/>
          </w:tcPr>
          <w:p w14:paraId="4A0DB165" w14:textId="77777777" w:rsidR="00000000" w:rsidRDefault="0053651E">
            <w:pPr>
              <w:jc w:val="right"/>
              <w:rPr>
                <w:rFonts w:eastAsia="Times New Roman"/>
                <w:sz w:val="16"/>
                <w:szCs w:val="16"/>
              </w:rPr>
            </w:pPr>
            <w:r>
              <w:rPr>
                <w:rFonts w:eastAsia="Times New Roman"/>
                <w:sz w:val="16"/>
                <w:szCs w:val="16"/>
              </w:rPr>
              <w:t>5,067,033</w:t>
            </w:r>
          </w:p>
        </w:tc>
        <w:tc>
          <w:tcPr>
            <w:tcW w:w="450" w:type="pct"/>
            <w:shd w:val="clear" w:color="auto" w:fill="CCEEFF"/>
            <w:vAlign w:val="bottom"/>
            <w:hideMark/>
          </w:tcPr>
          <w:p w14:paraId="0A5B427E" w14:textId="77777777" w:rsidR="00000000" w:rsidRDefault="0053651E">
            <w:pPr>
              <w:jc w:val="right"/>
              <w:rPr>
                <w:rFonts w:eastAsia="Times New Roman"/>
                <w:sz w:val="16"/>
                <w:szCs w:val="16"/>
              </w:rPr>
            </w:pPr>
            <w:r>
              <w:rPr>
                <w:rFonts w:eastAsia="Times New Roman"/>
                <w:sz w:val="16"/>
                <w:szCs w:val="16"/>
              </w:rPr>
              <w:t>20,524,286</w:t>
            </w:r>
          </w:p>
        </w:tc>
        <w:tc>
          <w:tcPr>
            <w:tcW w:w="350" w:type="pct"/>
            <w:shd w:val="clear" w:color="auto" w:fill="CCEEFF"/>
            <w:vAlign w:val="bottom"/>
            <w:hideMark/>
          </w:tcPr>
          <w:p w14:paraId="6A12843C" w14:textId="77777777" w:rsidR="00000000" w:rsidRDefault="0053651E">
            <w:pPr>
              <w:jc w:val="right"/>
              <w:rPr>
                <w:rFonts w:eastAsia="Times New Roman"/>
                <w:sz w:val="16"/>
                <w:szCs w:val="16"/>
              </w:rPr>
            </w:pPr>
            <w:r>
              <w:rPr>
                <w:rFonts w:eastAsia="Times New Roman"/>
                <w:sz w:val="16"/>
                <w:szCs w:val="16"/>
              </w:rPr>
              <w:t>25,591,319</w:t>
            </w:r>
          </w:p>
        </w:tc>
        <w:tc>
          <w:tcPr>
            <w:tcW w:w="400" w:type="pct"/>
            <w:shd w:val="clear" w:color="auto" w:fill="CCEEFF"/>
            <w:vAlign w:val="bottom"/>
            <w:hideMark/>
          </w:tcPr>
          <w:p w14:paraId="6367CEEE" w14:textId="77777777" w:rsidR="00000000" w:rsidRDefault="0053651E">
            <w:pPr>
              <w:jc w:val="right"/>
              <w:rPr>
                <w:rFonts w:eastAsia="Times New Roman"/>
                <w:sz w:val="16"/>
                <w:szCs w:val="16"/>
              </w:rPr>
            </w:pPr>
            <w:r>
              <w:rPr>
                <w:rFonts w:eastAsia="Times New Roman"/>
                <w:sz w:val="16"/>
                <w:szCs w:val="16"/>
              </w:rPr>
              <w:t>7,720,542</w:t>
            </w:r>
          </w:p>
        </w:tc>
        <w:tc>
          <w:tcPr>
            <w:tcW w:w="50" w:type="pct"/>
            <w:shd w:val="clear" w:color="auto" w:fill="CCEEFF"/>
            <w:vAlign w:val="bottom"/>
            <w:hideMark/>
          </w:tcPr>
          <w:p w14:paraId="207A783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561FA0C" w14:textId="77777777" w:rsidR="00000000" w:rsidRDefault="0053651E">
            <w:pPr>
              <w:jc w:val="right"/>
              <w:rPr>
                <w:rFonts w:eastAsia="Times New Roman"/>
                <w:sz w:val="16"/>
                <w:szCs w:val="16"/>
              </w:rPr>
            </w:pPr>
            <w:r>
              <w:rPr>
                <w:rFonts w:eastAsia="Times New Roman"/>
                <w:sz w:val="16"/>
                <w:szCs w:val="16"/>
              </w:rPr>
              <w:t>17,870,777</w:t>
            </w:r>
          </w:p>
        </w:tc>
        <w:tc>
          <w:tcPr>
            <w:tcW w:w="50" w:type="pct"/>
            <w:shd w:val="clear" w:color="auto" w:fill="CCEEFF"/>
            <w:vAlign w:val="bottom"/>
            <w:hideMark/>
          </w:tcPr>
          <w:p w14:paraId="6AC256B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C85280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B5CAECA"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0A72E0A2" w14:textId="77777777">
        <w:trPr>
          <w:tblCellSpacing w:w="0" w:type="dxa"/>
        </w:trPr>
        <w:tc>
          <w:tcPr>
            <w:tcW w:w="50" w:type="pct"/>
            <w:shd w:val="clear" w:color="auto" w:fill="FFFFFF"/>
            <w:vAlign w:val="bottom"/>
            <w:hideMark/>
          </w:tcPr>
          <w:p w14:paraId="5C7CE76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EC5DD0A" w14:textId="77777777" w:rsidR="00000000" w:rsidRDefault="0053651E">
            <w:pPr>
              <w:pStyle w:val="a3"/>
              <w:spacing w:before="0" w:beforeAutospacing="0" w:after="0" w:afterAutospacing="0"/>
              <w:rPr>
                <w:sz w:val="16"/>
                <w:szCs w:val="16"/>
              </w:rPr>
            </w:pPr>
            <w:r>
              <w:rPr>
                <w:sz w:val="16"/>
                <w:szCs w:val="16"/>
              </w:rPr>
              <w:t>VILLAGE COMMONS S.C.</w:t>
            </w:r>
          </w:p>
        </w:tc>
        <w:tc>
          <w:tcPr>
            <w:tcW w:w="150" w:type="pct"/>
            <w:shd w:val="clear" w:color="auto" w:fill="FFFFFF"/>
            <w:vAlign w:val="bottom"/>
            <w:hideMark/>
          </w:tcPr>
          <w:p w14:paraId="47BDB02F"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531CD5F6" w14:textId="77777777" w:rsidR="00000000" w:rsidRDefault="0053651E">
            <w:pPr>
              <w:jc w:val="right"/>
              <w:rPr>
                <w:rFonts w:eastAsia="Times New Roman"/>
                <w:sz w:val="16"/>
                <w:szCs w:val="16"/>
              </w:rPr>
            </w:pPr>
            <w:r>
              <w:rPr>
                <w:rFonts w:eastAsia="Times New Roman"/>
                <w:sz w:val="16"/>
                <w:szCs w:val="16"/>
              </w:rPr>
              <w:t>2,026,423</w:t>
            </w:r>
          </w:p>
        </w:tc>
        <w:tc>
          <w:tcPr>
            <w:tcW w:w="550" w:type="pct"/>
            <w:shd w:val="clear" w:color="auto" w:fill="FFFFFF"/>
            <w:vAlign w:val="bottom"/>
            <w:hideMark/>
          </w:tcPr>
          <w:p w14:paraId="144924DF" w14:textId="77777777" w:rsidR="00000000" w:rsidRDefault="0053651E">
            <w:pPr>
              <w:jc w:val="right"/>
              <w:rPr>
                <w:rFonts w:eastAsia="Times New Roman"/>
                <w:sz w:val="16"/>
                <w:szCs w:val="16"/>
              </w:rPr>
            </w:pPr>
            <w:r>
              <w:rPr>
                <w:rFonts w:eastAsia="Times New Roman"/>
                <w:sz w:val="16"/>
                <w:szCs w:val="16"/>
              </w:rPr>
              <w:t>5,106,476</w:t>
            </w:r>
          </w:p>
        </w:tc>
        <w:tc>
          <w:tcPr>
            <w:tcW w:w="350" w:type="pct"/>
            <w:shd w:val="clear" w:color="auto" w:fill="FFFFFF"/>
            <w:vAlign w:val="bottom"/>
            <w:hideMark/>
          </w:tcPr>
          <w:p w14:paraId="55184512" w14:textId="77777777" w:rsidR="00000000" w:rsidRDefault="0053651E">
            <w:pPr>
              <w:jc w:val="right"/>
              <w:rPr>
                <w:rFonts w:eastAsia="Times New Roman"/>
                <w:sz w:val="16"/>
                <w:szCs w:val="16"/>
              </w:rPr>
            </w:pPr>
            <w:r>
              <w:rPr>
                <w:rFonts w:eastAsia="Times New Roman"/>
                <w:sz w:val="16"/>
                <w:szCs w:val="16"/>
              </w:rPr>
              <w:t>2,055,527</w:t>
            </w:r>
          </w:p>
        </w:tc>
        <w:tc>
          <w:tcPr>
            <w:tcW w:w="300" w:type="pct"/>
            <w:shd w:val="clear" w:color="auto" w:fill="FFFFFF"/>
            <w:vAlign w:val="bottom"/>
            <w:hideMark/>
          </w:tcPr>
          <w:p w14:paraId="1F1E9703" w14:textId="77777777" w:rsidR="00000000" w:rsidRDefault="0053651E">
            <w:pPr>
              <w:jc w:val="right"/>
              <w:rPr>
                <w:rFonts w:eastAsia="Times New Roman"/>
                <w:sz w:val="16"/>
                <w:szCs w:val="16"/>
              </w:rPr>
            </w:pPr>
            <w:r>
              <w:rPr>
                <w:rFonts w:eastAsia="Times New Roman"/>
                <w:sz w:val="16"/>
                <w:szCs w:val="16"/>
              </w:rPr>
              <w:t>2,026,423</w:t>
            </w:r>
          </w:p>
        </w:tc>
        <w:tc>
          <w:tcPr>
            <w:tcW w:w="450" w:type="pct"/>
            <w:shd w:val="clear" w:color="auto" w:fill="FFFFFF"/>
            <w:vAlign w:val="bottom"/>
            <w:hideMark/>
          </w:tcPr>
          <w:p w14:paraId="73940EE6" w14:textId="77777777" w:rsidR="00000000" w:rsidRDefault="0053651E">
            <w:pPr>
              <w:jc w:val="right"/>
              <w:rPr>
                <w:rFonts w:eastAsia="Times New Roman"/>
                <w:sz w:val="16"/>
                <w:szCs w:val="16"/>
              </w:rPr>
            </w:pPr>
            <w:r>
              <w:rPr>
                <w:rFonts w:eastAsia="Times New Roman"/>
                <w:sz w:val="16"/>
                <w:szCs w:val="16"/>
              </w:rPr>
              <w:t>7,162,003</w:t>
            </w:r>
          </w:p>
        </w:tc>
        <w:tc>
          <w:tcPr>
            <w:tcW w:w="350" w:type="pct"/>
            <w:shd w:val="clear" w:color="auto" w:fill="FFFFFF"/>
            <w:vAlign w:val="bottom"/>
            <w:hideMark/>
          </w:tcPr>
          <w:p w14:paraId="120C9255" w14:textId="77777777" w:rsidR="00000000" w:rsidRDefault="0053651E">
            <w:pPr>
              <w:jc w:val="right"/>
              <w:rPr>
                <w:rFonts w:eastAsia="Times New Roman"/>
                <w:sz w:val="16"/>
                <w:szCs w:val="16"/>
              </w:rPr>
            </w:pPr>
            <w:r>
              <w:rPr>
                <w:rFonts w:eastAsia="Times New Roman"/>
                <w:sz w:val="16"/>
                <w:szCs w:val="16"/>
              </w:rPr>
              <w:t>9,188,426</w:t>
            </w:r>
          </w:p>
        </w:tc>
        <w:tc>
          <w:tcPr>
            <w:tcW w:w="400" w:type="pct"/>
            <w:shd w:val="clear" w:color="auto" w:fill="FFFFFF"/>
            <w:vAlign w:val="bottom"/>
            <w:hideMark/>
          </w:tcPr>
          <w:p w14:paraId="07567543" w14:textId="77777777" w:rsidR="00000000" w:rsidRDefault="0053651E">
            <w:pPr>
              <w:jc w:val="right"/>
              <w:rPr>
                <w:rFonts w:eastAsia="Times New Roman"/>
                <w:sz w:val="16"/>
                <w:szCs w:val="16"/>
              </w:rPr>
            </w:pPr>
            <w:r>
              <w:rPr>
                <w:rFonts w:eastAsia="Times New Roman"/>
                <w:sz w:val="16"/>
                <w:szCs w:val="16"/>
              </w:rPr>
              <w:t>1,761,345</w:t>
            </w:r>
          </w:p>
        </w:tc>
        <w:tc>
          <w:tcPr>
            <w:tcW w:w="50" w:type="pct"/>
            <w:shd w:val="clear" w:color="auto" w:fill="FFFFFF"/>
            <w:vAlign w:val="bottom"/>
            <w:hideMark/>
          </w:tcPr>
          <w:p w14:paraId="1ADD4F8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740ACC2" w14:textId="77777777" w:rsidR="00000000" w:rsidRDefault="0053651E">
            <w:pPr>
              <w:jc w:val="right"/>
              <w:rPr>
                <w:rFonts w:eastAsia="Times New Roman"/>
                <w:sz w:val="16"/>
                <w:szCs w:val="16"/>
              </w:rPr>
            </w:pPr>
            <w:r>
              <w:rPr>
                <w:rFonts w:eastAsia="Times New Roman"/>
                <w:sz w:val="16"/>
                <w:szCs w:val="16"/>
              </w:rPr>
              <w:t>7,427,081</w:t>
            </w:r>
          </w:p>
        </w:tc>
        <w:tc>
          <w:tcPr>
            <w:tcW w:w="50" w:type="pct"/>
            <w:shd w:val="clear" w:color="auto" w:fill="FFFFFF"/>
            <w:vAlign w:val="bottom"/>
            <w:hideMark/>
          </w:tcPr>
          <w:p w14:paraId="4730699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74F9AE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3F6499D"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63DF401E" w14:textId="77777777">
        <w:trPr>
          <w:tblCellSpacing w:w="0" w:type="dxa"/>
        </w:trPr>
        <w:tc>
          <w:tcPr>
            <w:tcW w:w="50" w:type="pct"/>
            <w:shd w:val="clear" w:color="auto" w:fill="CCEEFF"/>
            <w:vAlign w:val="bottom"/>
            <w:hideMark/>
          </w:tcPr>
          <w:p w14:paraId="74205D1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8A07568" w14:textId="77777777" w:rsidR="00000000" w:rsidRDefault="0053651E">
            <w:pPr>
              <w:pStyle w:val="a3"/>
              <w:spacing w:before="0" w:beforeAutospacing="0" w:after="0" w:afterAutospacing="0"/>
              <w:rPr>
                <w:sz w:val="16"/>
                <w:szCs w:val="16"/>
              </w:rPr>
            </w:pPr>
            <w:r>
              <w:rPr>
                <w:sz w:val="16"/>
                <w:szCs w:val="16"/>
              </w:rPr>
              <w:t>BELMART PLAZA</w:t>
            </w:r>
          </w:p>
        </w:tc>
        <w:tc>
          <w:tcPr>
            <w:tcW w:w="150" w:type="pct"/>
            <w:shd w:val="clear" w:color="auto" w:fill="CCEEFF"/>
            <w:vAlign w:val="bottom"/>
            <w:hideMark/>
          </w:tcPr>
          <w:p w14:paraId="5EC4CADB"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3EA7169D" w14:textId="77777777" w:rsidR="00000000" w:rsidRDefault="0053651E">
            <w:pPr>
              <w:jc w:val="right"/>
              <w:rPr>
                <w:rFonts w:eastAsia="Times New Roman"/>
                <w:sz w:val="16"/>
                <w:szCs w:val="16"/>
              </w:rPr>
            </w:pPr>
            <w:r>
              <w:rPr>
                <w:rFonts w:eastAsia="Times New Roman"/>
                <w:sz w:val="16"/>
                <w:szCs w:val="16"/>
              </w:rPr>
              <w:t>1,656,097</w:t>
            </w:r>
          </w:p>
        </w:tc>
        <w:tc>
          <w:tcPr>
            <w:tcW w:w="550" w:type="pct"/>
            <w:shd w:val="clear" w:color="auto" w:fill="CCEEFF"/>
            <w:vAlign w:val="bottom"/>
            <w:hideMark/>
          </w:tcPr>
          <w:p w14:paraId="2B1B63D2" w14:textId="77777777" w:rsidR="00000000" w:rsidRDefault="0053651E">
            <w:pPr>
              <w:jc w:val="right"/>
              <w:rPr>
                <w:rFonts w:eastAsia="Times New Roman"/>
                <w:sz w:val="16"/>
                <w:szCs w:val="16"/>
              </w:rPr>
            </w:pPr>
            <w:r>
              <w:rPr>
                <w:rFonts w:eastAsia="Times New Roman"/>
                <w:sz w:val="16"/>
                <w:szCs w:val="16"/>
              </w:rPr>
              <w:t>3,394,420</w:t>
            </w:r>
          </w:p>
        </w:tc>
        <w:tc>
          <w:tcPr>
            <w:tcW w:w="350" w:type="pct"/>
            <w:shd w:val="clear" w:color="auto" w:fill="CCEEFF"/>
            <w:vAlign w:val="bottom"/>
            <w:hideMark/>
          </w:tcPr>
          <w:p w14:paraId="54D14083" w14:textId="77777777" w:rsidR="00000000" w:rsidRDefault="0053651E">
            <w:pPr>
              <w:jc w:val="right"/>
              <w:rPr>
                <w:rFonts w:eastAsia="Times New Roman"/>
                <w:sz w:val="16"/>
                <w:szCs w:val="16"/>
              </w:rPr>
            </w:pPr>
            <w:r>
              <w:rPr>
                <w:rFonts w:eastAsia="Times New Roman"/>
                <w:sz w:val="16"/>
                <w:szCs w:val="16"/>
              </w:rPr>
              <w:t>5,696,706</w:t>
            </w:r>
          </w:p>
        </w:tc>
        <w:tc>
          <w:tcPr>
            <w:tcW w:w="300" w:type="pct"/>
            <w:shd w:val="clear" w:color="auto" w:fill="CCEEFF"/>
            <w:vAlign w:val="bottom"/>
            <w:hideMark/>
          </w:tcPr>
          <w:p w14:paraId="7AA4B788" w14:textId="77777777" w:rsidR="00000000" w:rsidRDefault="0053651E">
            <w:pPr>
              <w:jc w:val="right"/>
              <w:rPr>
                <w:rFonts w:eastAsia="Times New Roman"/>
                <w:sz w:val="16"/>
                <w:szCs w:val="16"/>
              </w:rPr>
            </w:pPr>
            <w:r>
              <w:rPr>
                <w:rFonts w:eastAsia="Times New Roman"/>
                <w:sz w:val="16"/>
                <w:szCs w:val="16"/>
              </w:rPr>
              <w:t>1,656,097</w:t>
            </w:r>
          </w:p>
        </w:tc>
        <w:tc>
          <w:tcPr>
            <w:tcW w:w="450" w:type="pct"/>
            <w:shd w:val="clear" w:color="auto" w:fill="CCEEFF"/>
            <w:vAlign w:val="bottom"/>
            <w:hideMark/>
          </w:tcPr>
          <w:p w14:paraId="1C21C35C" w14:textId="77777777" w:rsidR="00000000" w:rsidRDefault="0053651E">
            <w:pPr>
              <w:jc w:val="right"/>
              <w:rPr>
                <w:rFonts w:eastAsia="Times New Roman"/>
                <w:sz w:val="16"/>
                <w:szCs w:val="16"/>
              </w:rPr>
            </w:pPr>
            <w:r>
              <w:rPr>
                <w:rFonts w:eastAsia="Times New Roman"/>
                <w:sz w:val="16"/>
                <w:szCs w:val="16"/>
              </w:rPr>
              <w:t>9,091,126</w:t>
            </w:r>
          </w:p>
        </w:tc>
        <w:tc>
          <w:tcPr>
            <w:tcW w:w="350" w:type="pct"/>
            <w:shd w:val="clear" w:color="auto" w:fill="CCEEFF"/>
            <w:vAlign w:val="bottom"/>
            <w:hideMark/>
          </w:tcPr>
          <w:p w14:paraId="56506A13" w14:textId="77777777" w:rsidR="00000000" w:rsidRDefault="0053651E">
            <w:pPr>
              <w:jc w:val="right"/>
              <w:rPr>
                <w:rFonts w:eastAsia="Times New Roman"/>
                <w:sz w:val="16"/>
                <w:szCs w:val="16"/>
              </w:rPr>
            </w:pPr>
            <w:r>
              <w:rPr>
                <w:rFonts w:eastAsia="Times New Roman"/>
                <w:sz w:val="16"/>
                <w:szCs w:val="16"/>
              </w:rPr>
              <w:t>10,747,223</w:t>
            </w:r>
          </w:p>
        </w:tc>
        <w:tc>
          <w:tcPr>
            <w:tcW w:w="400" w:type="pct"/>
            <w:shd w:val="clear" w:color="auto" w:fill="CCEEFF"/>
            <w:vAlign w:val="bottom"/>
            <w:hideMark/>
          </w:tcPr>
          <w:p w14:paraId="660249F2" w14:textId="77777777" w:rsidR="00000000" w:rsidRDefault="0053651E">
            <w:pPr>
              <w:jc w:val="right"/>
              <w:rPr>
                <w:rFonts w:eastAsia="Times New Roman"/>
                <w:sz w:val="16"/>
                <w:szCs w:val="16"/>
              </w:rPr>
            </w:pPr>
            <w:r>
              <w:rPr>
                <w:rFonts w:eastAsia="Times New Roman"/>
                <w:sz w:val="16"/>
                <w:szCs w:val="16"/>
              </w:rPr>
              <w:t>1,182,873</w:t>
            </w:r>
          </w:p>
        </w:tc>
        <w:tc>
          <w:tcPr>
            <w:tcW w:w="50" w:type="pct"/>
            <w:shd w:val="clear" w:color="auto" w:fill="CCEEFF"/>
            <w:vAlign w:val="bottom"/>
            <w:hideMark/>
          </w:tcPr>
          <w:p w14:paraId="00DBAA1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6194B1D" w14:textId="77777777" w:rsidR="00000000" w:rsidRDefault="0053651E">
            <w:pPr>
              <w:jc w:val="right"/>
              <w:rPr>
                <w:rFonts w:eastAsia="Times New Roman"/>
                <w:sz w:val="16"/>
                <w:szCs w:val="16"/>
              </w:rPr>
            </w:pPr>
            <w:r>
              <w:rPr>
                <w:rFonts w:eastAsia="Times New Roman"/>
                <w:sz w:val="16"/>
                <w:szCs w:val="16"/>
              </w:rPr>
              <w:t>9,564,350</w:t>
            </w:r>
          </w:p>
        </w:tc>
        <w:tc>
          <w:tcPr>
            <w:tcW w:w="50" w:type="pct"/>
            <w:shd w:val="clear" w:color="auto" w:fill="CCEEFF"/>
            <w:vAlign w:val="bottom"/>
            <w:hideMark/>
          </w:tcPr>
          <w:p w14:paraId="13635CB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5E7F0B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E0B5597"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11D8FB9" w14:textId="77777777">
        <w:trPr>
          <w:tblCellSpacing w:w="0" w:type="dxa"/>
        </w:trPr>
        <w:tc>
          <w:tcPr>
            <w:tcW w:w="50" w:type="pct"/>
            <w:shd w:val="clear" w:color="auto" w:fill="FFFFFF"/>
            <w:vAlign w:val="bottom"/>
            <w:hideMark/>
          </w:tcPr>
          <w:p w14:paraId="06ABBCE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57BBDDF" w14:textId="77777777" w:rsidR="00000000" w:rsidRDefault="0053651E">
            <w:pPr>
              <w:pStyle w:val="a3"/>
              <w:spacing w:before="0" w:beforeAutospacing="0" w:after="0" w:afterAutospacing="0"/>
              <w:rPr>
                <w:sz w:val="16"/>
                <w:szCs w:val="16"/>
              </w:rPr>
            </w:pPr>
            <w:r>
              <w:rPr>
                <w:sz w:val="16"/>
                <w:szCs w:val="16"/>
              </w:rPr>
              <w:t>MARKET AT HAYNES BRIDGE</w:t>
            </w:r>
          </w:p>
        </w:tc>
        <w:tc>
          <w:tcPr>
            <w:tcW w:w="150" w:type="pct"/>
            <w:shd w:val="clear" w:color="auto" w:fill="FFFFFF"/>
            <w:vAlign w:val="bottom"/>
            <w:hideMark/>
          </w:tcPr>
          <w:p w14:paraId="772FCB75"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FFFFFF"/>
            <w:vAlign w:val="bottom"/>
            <w:hideMark/>
          </w:tcPr>
          <w:p w14:paraId="7F9D3139" w14:textId="77777777" w:rsidR="00000000" w:rsidRDefault="0053651E">
            <w:pPr>
              <w:jc w:val="right"/>
              <w:rPr>
                <w:rFonts w:eastAsia="Times New Roman"/>
                <w:sz w:val="16"/>
                <w:szCs w:val="16"/>
              </w:rPr>
            </w:pPr>
            <w:r>
              <w:rPr>
                <w:rFonts w:eastAsia="Times New Roman"/>
                <w:sz w:val="16"/>
                <w:szCs w:val="16"/>
              </w:rPr>
              <w:t>4,880,659</w:t>
            </w:r>
          </w:p>
        </w:tc>
        <w:tc>
          <w:tcPr>
            <w:tcW w:w="550" w:type="pct"/>
            <w:shd w:val="clear" w:color="auto" w:fill="FFFFFF"/>
            <w:vAlign w:val="bottom"/>
            <w:hideMark/>
          </w:tcPr>
          <w:p w14:paraId="4C76634C" w14:textId="77777777" w:rsidR="00000000" w:rsidRDefault="0053651E">
            <w:pPr>
              <w:jc w:val="right"/>
              <w:rPr>
                <w:rFonts w:eastAsia="Times New Roman"/>
                <w:sz w:val="16"/>
                <w:szCs w:val="16"/>
              </w:rPr>
            </w:pPr>
            <w:r>
              <w:rPr>
                <w:rFonts w:eastAsia="Times New Roman"/>
                <w:sz w:val="16"/>
                <w:szCs w:val="16"/>
              </w:rPr>
              <w:t>21,549,424</w:t>
            </w:r>
          </w:p>
        </w:tc>
        <w:tc>
          <w:tcPr>
            <w:tcW w:w="350" w:type="pct"/>
            <w:shd w:val="clear" w:color="auto" w:fill="FFFFFF"/>
            <w:vAlign w:val="bottom"/>
            <w:hideMark/>
          </w:tcPr>
          <w:p w14:paraId="74CC43BB" w14:textId="77777777" w:rsidR="00000000" w:rsidRDefault="0053651E">
            <w:pPr>
              <w:jc w:val="right"/>
              <w:rPr>
                <w:rFonts w:eastAsia="Times New Roman"/>
                <w:sz w:val="16"/>
                <w:szCs w:val="16"/>
              </w:rPr>
            </w:pPr>
            <w:r>
              <w:rPr>
                <w:rFonts w:eastAsia="Times New Roman"/>
                <w:sz w:val="16"/>
                <w:szCs w:val="16"/>
              </w:rPr>
              <w:t>1,217,935</w:t>
            </w:r>
          </w:p>
        </w:tc>
        <w:tc>
          <w:tcPr>
            <w:tcW w:w="300" w:type="pct"/>
            <w:shd w:val="clear" w:color="auto" w:fill="FFFFFF"/>
            <w:vAlign w:val="bottom"/>
            <w:hideMark/>
          </w:tcPr>
          <w:p w14:paraId="5B4F5711" w14:textId="77777777" w:rsidR="00000000" w:rsidRDefault="0053651E">
            <w:pPr>
              <w:jc w:val="right"/>
              <w:rPr>
                <w:rFonts w:eastAsia="Times New Roman"/>
                <w:sz w:val="16"/>
                <w:szCs w:val="16"/>
              </w:rPr>
            </w:pPr>
            <w:r>
              <w:rPr>
                <w:rFonts w:eastAsia="Times New Roman"/>
                <w:sz w:val="16"/>
                <w:szCs w:val="16"/>
              </w:rPr>
              <w:t>4,889,863</w:t>
            </w:r>
          </w:p>
        </w:tc>
        <w:tc>
          <w:tcPr>
            <w:tcW w:w="450" w:type="pct"/>
            <w:shd w:val="clear" w:color="auto" w:fill="FFFFFF"/>
            <w:vAlign w:val="bottom"/>
            <w:hideMark/>
          </w:tcPr>
          <w:p w14:paraId="0DCC0404" w14:textId="77777777" w:rsidR="00000000" w:rsidRDefault="0053651E">
            <w:pPr>
              <w:jc w:val="right"/>
              <w:rPr>
                <w:rFonts w:eastAsia="Times New Roman"/>
                <w:sz w:val="16"/>
                <w:szCs w:val="16"/>
              </w:rPr>
            </w:pPr>
            <w:r>
              <w:rPr>
                <w:rFonts w:eastAsia="Times New Roman"/>
                <w:sz w:val="16"/>
                <w:szCs w:val="16"/>
              </w:rPr>
              <w:t>22,758,155</w:t>
            </w:r>
          </w:p>
        </w:tc>
        <w:tc>
          <w:tcPr>
            <w:tcW w:w="350" w:type="pct"/>
            <w:shd w:val="clear" w:color="auto" w:fill="FFFFFF"/>
            <w:vAlign w:val="bottom"/>
            <w:hideMark/>
          </w:tcPr>
          <w:p w14:paraId="66C2C2F3" w14:textId="77777777" w:rsidR="00000000" w:rsidRDefault="0053651E">
            <w:pPr>
              <w:jc w:val="right"/>
              <w:rPr>
                <w:rFonts w:eastAsia="Times New Roman"/>
                <w:sz w:val="16"/>
                <w:szCs w:val="16"/>
              </w:rPr>
            </w:pPr>
            <w:r>
              <w:rPr>
                <w:rFonts w:eastAsia="Times New Roman"/>
                <w:sz w:val="16"/>
                <w:szCs w:val="16"/>
              </w:rPr>
              <w:t>27,648,018</w:t>
            </w:r>
          </w:p>
        </w:tc>
        <w:tc>
          <w:tcPr>
            <w:tcW w:w="400" w:type="pct"/>
            <w:shd w:val="clear" w:color="auto" w:fill="FFFFFF"/>
            <w:vAlign w:val="bottom"/>
            <w:hideMark/>
          </w:tcPr>
          <w:p w14:paraId="58BDD8A4" w14:textId="77777777" w:rsidR="00000000" w:rsidRDefault="0053651E">
            <w:pPr>
              <w:jc w:val="right"/>
              <w:rPr>
                <w:rFonts w:eastAsia="Times New Roman"/>
                <w:sz w:val="16"/>
                <w:szCs w:val="16"/>
              </w:rPr>
            </w:pPr>
            <w:r>
              <w:rPr>
                <w:rFonts w:eastAsia="Times New Roman"/>
                <w:sz w:val="16"/>
                <w:szCs w:val="16"/>
              </w:rPr>
              <w:t>8,152,912</w:t>
            </w:r>
          </w:p>
        </w:tc>
        <w:tc>
          <w:tcPr>
            <w:tcW w:w="50" w:type="pct"/>
            <w:shd w:val="clear" w:color="auto" w:fill="FFFFFF"/>
            <w:vAlign w:val="bottom"/>
            <w:hideMark/>
          </w:tcPr>
          <w:p w14:paraId="062CE8C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3EB65BA" w14:textId="77777777" w:rsidR="00000000" w:rsidRDefault="0053651E">
            <w:pPr>
              <w:jc w:val="right"/>
              <w:rPr>
                <w:rFonts w:eastAsia="Times New Roman"/>
                <w:sz w:val="16"/>
                <w:szCs w:val="16"/>
              </w:rPr>
            </w:pPr>
            <w:r>
              <w:rPr>
                <w:rFonts w:eastAsia="Times New Roman"/>
                <w:sz w:val="16"/>
                <w:szCs w:val="16"/>
              </w:rPr>
              <w:t>19,495,106</w:t>
            </w:r>
          </w:p>
        </w:tc>
        <w:tc>
          <w:tcPr>
            <w:tcW w:w="50" w:type="pct"/>
            <w:shd w:val="clear" w:color="auto" w:fill="FFFFFF"/>
            <w:vAlign w:val="bottom"/>
            <w:hideMark/>
          </w:tcPr>
          <w:p w14:paraId="78AA49F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7E467D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06F83BB"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3DE46855" w14:textId="77777777">
        <w:trPr>
          <w:tblCellSpacing w:w="0" w:type="dxa"/>
        </w:trPr>
        <w:tc>
          <w:tcPr>
            <w:tcW w:w="50" w:type="pct"/>
            <w:shd w:val="clear" w:color="auto" w:fill="CCEEFF"/>
            <w:vAlign w:val="bottom"/>
            <w:hideMark/>
          </w:tcPr>
          <w:p w14:paraId="461F908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3F8B9ED" w14:textId="77777777" w:rsidR="00000000" w:rsidRDefault="0053651E">
            <w:pPr>
              <w:pStyle w:val="a3"/>
              <w:spacing w:before="0" w:beforeAutospacing="0" w:after="0" w:afterAutospacing="0"/>
              <w:rPr>
                <w:sz w:val="16"/>
                <w:szCs w:val="16"/>
              </w:rPr>
            </w:pPr>
            <w:r>
              <w:rPr>
                <w:sz w:val="16"/>
                <w:szCs w:val="16"/>
              </w:rPr>
              <w:t>EMBRY VILLAGE</w:t>
            </w:r>
          </w:p>
        </w:tc>
        <w:tc>
          <w:tcPr>
            <w:tcW w:w="150" w:type="pct"/>
            <w:shd w:val="clear" w:color="auto" w:fill="CCEEFF"/>
            <w:vAlign w:val="bottom"/>
            <w:hideMark/>
          </w:tcPr>
          <w:p w14:paraId="380190FD"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CCEEFF"/>
            <w:vAlign w:val="bottom"/>
            <w:hideMark/>
          </w:tcPr>
          <w:p w14:paraId="2F241639" w14:textId="77777777" w:rsidR="00000000" w:rsidRDefault="0053651E">
            <w:pPr>
              <w:jc w:val="right"/>
              <w:rPr>
                <w:rFonts w:eastAsia="Times New Roman"/>
                <w:sz w:val="16"/>
                <w:szCs w:val="16"/>
              </w:rPr>
            </w:pPr>
            <w:r>
              <w:rPr>
                <w:rFonts w:eastAsia="Times New Roman"/>
                <w:sz w:val="16"/>
                <w:szCs w:val="16"/>
              </w:rPr>
              <w:t>18,147,054</w:t>
            </w:r>
          </w:p>
        </w:tc>
        <w:tc>
          <w:tcPr>
            <w:tcW w:w="550" w:type="pct"/>
            <w:shd w:val="clear" w:color="auto" w:fill="CCEEFF"/>
            <w:vAlign w:val="bottom"/>
            <w:hideMark/>
          </w:tcPr>
          <w:p w14:paraId="16755A28" w14:textId="77777777" w:rsidR="00000000" w:rsidRDefault="0053651E">
            <w:pPr>
              <w:jc w:val="right"/>
              <w:rPr>
                <w:rFonts w:eastAsia="Times New Roman"/>
                <w:sz w:val="16"/>
                <w:szCs w:val="16"/>
              </w:rPr>
            </w:pPr>
            <w:r>
              <w:rPr>
                <w:rFonts w:eastAsia="Times New Roman"/>
                <w:sz w:val="16"/>
                <w:szCs w:val="16"/>
              </w:rPr>
              <w:t>33,009,514</w:t>
            </w:r>
          </w:p>
        </w:tc>
        <w:tc>
          <w:tcPr>
            <w:tcW w:w="350" w:type="pct"/>
            <w:shd w:val="clear" w:color="auto" w:fill="CCEEFF"/>
            <w:vAlign w:val="bottom"/>
            <w:hideMark/>
          </w:tcPr>
          <w:p w14:paraId="2F107504" w14:textId="77777777" w:rsidR="00000000" w:rsidRDefault="0053651E">
            <w:pPr>
              <w:jc w:val="right"/>
              <w:rPr>
                <w:rFonts w:eastAsia="Times New Roman"/>
                <w:sz w:val="16"/>
                <w:szCs w:val="16"/>
              </w:rPr>
            </w:pPr>
            <w:r>
              <w:rPr>
                <w:rFonts w:eastAsia="Times New Roman"/>
                <w:sz w:val="16"/>
                <w:szCs w:val="16"/>
              </w:rPr>
              <w:t>2,530,958</w:t>
            </w:r>
          </w:p>
        </w:tc>
        <w:tc>
          <w:tcPr>
            <w:tcW w:w="300" w:type="pct"/>
            <w:shd w:val="clear" w:color="auto" w:fill="CCEEFF"/>
            <w:vAlign w:val="bottom"/>
            <w:hideMark/>
          </w:tcPr>
          <w:p w14:paraId="2565F50B" w14:textId="77777777" w:rsidR="00000000" w:rsidRDefault="0053651E">
            <w:pPr>
              <w:jc w:val="right"/>
              <w:rPr>
                <w:rFonts w:eastAsia="Times New Roman"/>
                <w:sz w:val="16"/>
                <w:szCs w:val="16"/>
              </w:rPr>
            </w:pPr>
            <w:r>
              <w:rPr>
                <w:rFonts w:eastAsia="Times New Roman"/>
                <w:sz w:val="16"/>
                <w:szCs w:val="16"/>
              </w:rPr>
              <w:t>18,160,525</w:t>
            </w:r>
          </w:p>
        </w:tc>
        <w:tc>
          <w:tcPr>
            <w:tcW w:w="450" w:type="pct"/>
            <w:shd w:val="clear" w:color="auto" w:fill="CCEEFF"/>
            <w:vAlign w:val="bottom"/>
            <w:hideMark/>
          </w:tcPr>
          <w:p w14:paraId="537671A0" w14:textId="77777777" w:rsidR="00000000" w:rsidRDefault="0053651E">
            <w:pPr>
              <w:jc w:val="right"/>
              <w:rPr>
                <w:rFonts w:eastAsia="Times New Roman"/>
                <w:sz w:val="16"/>
                <w:szCs w:val="16"/>
              </w:rPr>
            </w:pPr>
            <w:r>
              <w:rPr>
                <w:rFonts w:eastAsia="Times New Roman"/>
                <w:sz w:val="16"/>
                <w:szCs w:val="16"/>
              </w:rPr>
              <w:t>35,527,001</w:t>
            </w:r>
          </w:p>
        </w:tc>
        <w:tc>
          <w:tcPr>
            <w:tcW w:w="350" w:type="pct"/>
            <w:shd w:val="clear" w:color="auto" w:fill="CCEEFF"/>
            <w:vAlign w:val="bottom"/>
            <w:hideMark/>
          </w:tcPr>
          <w:p w14:paraId="01F1DDAC" w14:textId="77777777" w:rsidR="00000000" w:rsidRDefault="0053651E">
            <w:pPr>
              <w:jc w:val="right"/>
              <w:rPr>
                <w:rFonts w:eastAsia="Times New Roman"/>
                <w:sz w:val="16"/>
                <w:szCs w:val="16"/>
              </w:rPr>
            </w:pPr>
            <w:r>
              <w:rPr>
                <w:rFonts w:eastAsia="Times New Roman"/>
                <w:sz w:val="16"/>
                <w:szCs w:val="16"/>
              </w:rPr>
              <w:t>53,687,526</w:t>
            </w:r>
          </w:p>
        </w:tc>
        <w:tc>
          <w:tcPr>
            <w:tcW w:w="400" w:type="pct"/>
            <w:shd w:val="clear" w:color="auto" w:fill="CCEEFF"/>
            <w:vAlign w:val="bottom"/>
            <w:hideMark/>
          </w:tcPr>
          <w:p w14:paraId="36D1BB18" w14:textId="77777777" w:rsidR="00000000" w:rsidRDefault="0053651E">
            <w:pPr>
              <w:jc w:val="right"/>
              <w:rPr>
                <w:rFonts w:eastAsia="Times New Roman"/>
                <w:sz w:val="16"/>
                <w:szCs w:val="16"/>
              </w:rPr>
            </w:pPr>
            <w:r>
              <w:rPr>
                <w:rFonts w:eastAsia="Times New Roman"/>
                <w:sz w:val="16"/>
                <w:szCs w:val="16"/>
              </w:rPr>
              <w:t>23,478,491</w:t>
            </w:r>
          </w:p>
        </w:tc>
        <w:tc>
          <w:tcPr>
            <w:tcW w:w="50" w:type="pct"/>
            <w:shd w:val="clear" w:color="auto" w:fill="CCEEFF"/>
            <w:vAlign w:val="bottom"/>
            <w:hideMark/>
          </w:tcPr>
          <w:p w14:paraId="2703569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61EE681" w14:textId="77777777" w:rsidR="00000000" w:rsidRDefault="0053651E">
            <w:pPr>
              <w:jc w:val="right"/>
              <w:rPr>
                <w:rFonts w:eastAsia="Times New Roman"/>
                <w:sz w:val="16"/>
                <w:szCs w:val="16"/>
              </w:rPr>
            </w:pPr>
            <w:r>
              <w:rPr>
                <w:rFonts w:eastAsia="Times New Roman"/>
                <w:sz w:val="16"/>
                <w:szCs w:val="16"/>
              </w:rPr>
              <w:t>30,209,035</w:t>
            </w:r>
          </w:p>
        </w:tc>
        <w:tc>
          <w:tcPr>
            <w:tcW w:w="50" w:type="pct"/>
            <w:shd w:val="clear" w:color="auto" w:fill="CCEEFF"/>
            <w:vAlign w:val="bottom"/>
            <w:hideMark/>
          </w:tcPr>
          <w:p w14:paraId="2A7DCD6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73E1A3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480D7D1"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51DF2676" w14:textId="77777777">
        <w:trPr>
          <w:tblCellSpacing w:w="0" w:type="dxa"/>
        </w:trPr>
        <w:tc>
          <w:tcPr>
            <w:tcW w:w="50" w:type="pct"/>
            <w:shd w:val="clear" w:color="auto" w:fill="FFFFFF"/>
            <w:vAlign w:val="bottom"/>
            <w:hideMark/>
          </w:tcPr>
          <w:p w14:paraId="7E8364E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1C41FC9" w14:textId="77777777" w:rsidR="00000000" w:rsidRDefault="0053651E">
            <w:pPr>
              <w:pStyle w:val="a3"/>
              <w:spacing w:before="0" w:beforeAutospacing="0" w:after="0" w:afterAutospacing="0"/>
              <w:rPr>
                <w:sz w:val="16"/>
                <w:szCs w:val="16"/>
              </w:rPr>
            </w:pPr>
            <w:r>
              <w:rPr>
                <w:sz w:val="16"/>
                <w:szCs w:val="16"/>
              </w:rPr>
              <w:t>PERIMETER EXPO PROPERTY</w:t>
            </w:r>
          </w:p>
        </w:tc>
        <w:tc>
          <w:tcPr>
            <w:tcW w:w="150" w:type="pct"/>
            <w:shd w:val="clear" w:color="auto" w:fill="FFFFFF"/>
            <w:vAlign w:val="bottom"/>
            <w:hideMark/>
          </w:tcPr>
          <w:p w14:paraId="2C041858"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FFFFFF"/>
            <w:vAlign w:val="bottom"/>
            <w:hideMark/>
          </w:tcPr>
          <w:p w14:paraId="3426B5E5" w14:textId="77777777" w:rsidR="00000000" w:rsidRDefault="0053651E">
            <w:pPr>
              <w:jc w:val="right"/>
              <w:rPr>
                <w:rFonts w:eastAsia="Times New Roman"/>
                <w:sz w:val="16"/>
                <w:szCs w:val="16"/>
              </w:rPr>
            </w:pPr>
            <w:r>
              <w:rPr>
                <w:rFonts w:eastAsia="Times New Roman"/>
                <w:sz w:val="16"/>
                <w:szCs w:val="16"/>
              </w:rPr>
              <w:t>14,770,275</w:t>
            </w:r>
          </w:p>
        </w:tc>
        <w:tc>
          <w:tcPr>
            <w:tcW w:w="550" w:type="pct"/>
            <w:shd w:val="clear" w:color="auto" w:fill="FFFFFF"/>
            <w:vAlign w:val="bottom"/>
            <w:hideMark/>
          </w:tcPr>
          <w:p w14:paraId="4C1CE86F" w14:textId="77777777" w:rsidR="00000000" w:rsidRDefault="0053651E">
            <w:pPr>
              <w:jc w:val="right"/>
              <w:rPr>
                <w:rFonts w:eastAsia="Times New Roman"/>
                <w:sz w:val="16"/>
                <w:szCs w:val="16"/>
              </w:rPr>
            </w:pPr>
            <w:r>
              <w:rPr>
                <w:rFonts w:eastAsia="Times New Roman"/>
                <w:sz w:val="16"/>
                <w:szCs w:val="16"/>
              </w:rPr>
              <w:t>44,295,457</w:t>
            </w:r>
          </w:p>
        </w:tc>
        <w:tc>
          <w:tcPr>
            <w:tcW w:w="350" w:type="pct"/>
            <w:shd w:val="clear" w:color="auto" w:fill="FFFFFF"/>
            <w:vAlign w:val="bottom"/>
            <w:hideMark/>
          </w:tcPr>
          <w:p w14:paraId="0C0DC6CA" w14:textId="77777777" w:rsidR="00000000" w:rsidRDefault="0053651E">
            <w:pPr>
              <w:jc w:val="right"/>
              <w:rPr>
                <w:rFonts w:eastAsia="Times New Roman"/>
                <w:sz w:val="16"/>
                <w:szCs w:val="16"/>
              </w:rPr>
            </w:pPr>
            <w:r>
              <w:rPr>
                <w:rFonts w:eastAsia="Times New Roman"/>
                <w:sz w:val="16"/>
                <w:szCs w:val="16"/>
              </w:rPr>
              <w:t>2,531,961</w:t>
            </w:r>
          </w:p>
        </w:tc>
        <w:tc>
          <w:tcPr>
            <w:tcW w:w="300" w:type="pct"/>
            <w:shd w:val="clear" w:color="auto" w:fill="FFFFFF"/>
            <w:vAlign w:val="bottom"/>
            <w:hideMark/>
          </w:tcPr>
          <w:p w14:paraId="078FEC68" w14:textId="77777777" w:rsidR="00000000" w:rsidRDefault="0053651E">
            <w:pPr>
              <w:jc w:val="right"/>
              <w:rPr>
                <w:rFonts w:eastAsia="Times New Roman"/>
                <w:sz w:val="16"/>
                <w:szCs w:val="16"/>
              </w:rPr>
            </w:pPr>
            <w:r>
              <w:rPr>
                <w:rFonts w:eastAsia="Times New Roman"/>
                <w:sz w:val="16"/>
                <w:szCs w:val="16"/>
              </w:rPr>
              <w:t>16,142,152</w:t>
            </w:r>
          </w:p>
        </w:tc>
        <w:tc>
          <w:tcPr>
            <w:tcW w:w="450" w:type="pct"/>
            <w:shd w:val="clear" w:color="auto" w:fill="FFFFFF"/>
            <w:vAlign w:val="bottom"/>
            <w:hideMark/>
          </w:tcPr>
          <w:p w14:paraId="376D0E06" w14:textId="77777777" w:rsidR="00000000" w:rsidRDefault="0053651E">
            <w:pPr>
              <w:jc w:val="right"/>
              <w:rPr>
                <w:rFonts w:eastAsia="Times New Roman"/>
                <w:sz w:val="16"/>
                <w:szCs w:val="16"/>
              </w:rPr>
            </w:pPr>
            <w:r>
              <w:rPr>
                <w:rFonts w:eastAsia="Times New Roman"/>
                <w:sz w:val="16"/>
                <w:szCs w:val="16"/>
              </w:rPr>
              <w:t>45,455,541</w:t>
            </w:r>
          </w:p>
        </w:tc>
        <w:tc>
          <w:tcPr>
            <w:tcW w:w="350" w:type="pct"/>
            <w:shd w:val="clear" w:color="auto" w:fill="FFFFFF"/>
            <w:vAlign w:val="bottom"/>
            <w:hideMark/>
          </w:tcPr>
          <w:p w14:paraId="6DBFD784" w14:textId="77777777" w:rsidR="00000000" w:rsidRDefault="0053651E">
            <w:pPr>
              <w:jc w:val="right"/>
              <w:rPr>
                <w:rFonts w:eastAsia="Times New Roman"/>
                <w:sz w:val="16"/>
                <w:szCs w:val="16"/>
              </w:rPr>
            </w:pPr>
            <w:r>
              <w:rPr>
                <w:rFonts w:eastAsia="Times New Roman"/>
                <w:sz w:val="16"/>
                <w:szCs w:val="16"/>
              </w:rPr>
              <w:t>61,597,693</w:t>
            </w:r>
          </w:p>
        </w:tc>
        <w:tc>
          <w:tcPr>
            <w:tcW w:w="400" w:type="pct"/>
            <w:shd w:val="clear" w:color="auto" w:fill="FFFFFF"/>
            <w:vAlign w:val="bottom"/>
            <w:hideMark/>
          </w:tcPr>
          <w:p w14:paraId="73BBCCE6" w14:textId="77777777" w:rsidR="00000000" w:rsidRDefault="0053651E">
            <w:pPr>
              <w:jc w:val="right"/>
              <w:rPr>
                <w:rFonts w:eastAsia="Times New Roman"/>
                <w:sz w:val="16"/>
                <w:szCs w:val="16"/>
              </w:rPr>
            </w:pPr>
            <w:r>
              <w:rPr>
                <w:rFonts w:eastAsia="Times New Roman"/>
                <w:sz w:val="16"/>
                <w:szCs w:val="16"/>
              </w:rPr>
              <w:t>5,833,798</w:t>
            </w:r>
          </w:p>
        </w:tc>
        <w:tc>
          <w:tcPr>
            <w:tcW w:w="50" w:type="pct"/>
            <w:shd w:val="clear" w:color="auto" w:fill="FFFFFF"/>
            <w:vAlign w:val="bottom"/>
            <w:hideMark/>
          </w:tcPr>
          <w:p w14:paraId="06B08DC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E3B5592" w14:textId="77777777" w:rsidR="00000000" w:rsidRDefault="0053651E">
            <w:pPr>
              <w:jc w:val="right"/>
              <w:rPr>
                <w:rFonts w:eastAsia="Times New Roman"/>
                <w:sz w:val="16"/>
                <w:szCs w:val="16"/>
              </w:rPr>
            </w:pPr>
            <w:r>
              <w:rPr>
                <w:rFonts w:eastAsia="Times New Roman"/>
                <w:sz w:val="16"/>
                <w:szCs w:val="16"/>
              </w:rPr>
              <w:t>55,763,895</w:t>
            </w:r>
          </w:p>
        </w:tc>
        <w:tc>
          <w:tcPr>
            <w:tcW w:w="50" w:type="pct"/>
            <w:shd w:val="clear" w:color="auto" w:fill="FFFFFF"/>
            <w:vAlign w:val="bottom"/>
            <w:hideMark/>
          </w:tcPr>
          <w:p w14:paraId="054E92D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263080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C3900C4"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57F67CB7" w14:textId="77777777">
        <w:trPr>
          <w:tblCellSpacing w:w="0" w:type="dxa"/>
        </w:trPr>
        <w:tc>
          <w:tcPr>
            <w:tcW w:w="50" w:type="pct"/>
            <w:shd w:val="clear" w:color="auto" w:fill="CCEEFF"/>
            <w:vAlign w:val="bottom"/>
            <w:hideMark/>
          </w:tcPr>
          <w:p w14:paraId="78D34CB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D33E0A0" w14:textId="77777777" w:rsidR="00000000" w:rsidRDefault="0053651E">
            <w:pPr>
              <w:pStyle w:val="a3"/>
              <w:spacing w:before="0" w:beforeAutospacing="0" w:after="0" w:afterAutospacing="0"/>
              <w:rPr>
                <w:sz w:val="16"/>
                <w:szCs w:val="16"/>
              </w:rPr>
            </w:pPr>
            <w:r>
              <w:rPr>
                <w:sz w:val="16"/>
                <w:szCs w:val="16"/>
              </w:rPr>
              <w:t>RIVERWALK MARKETPLACE</w:t>
            </w:r>
          </w:p>
        </w:tc>
        <w:tc>
          <w:tcPr>
            <w:tcW w:w="150" w:type="pct"/>
            <w:shd w:val="clear" w:color="auto" w:fill="CCEEFF"/>
            <w:vAlign w:val="bottom"/>
            <w:hideMark/>
          </w:tcPr>
          <w:p w14:paraId="2A3D3E9B"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CCEEFF"/>
            <w:vAlign w:val="bottom"/>
            <w:hideMark/>
          </w:tcPr>
          <w:p w14:paraId="0A978A0B" w14:textId="77777777" w:rsidR="00000000" w:rsidRDefault="0053651E">
            <w:pPr>
              <w:jc w:val="right"/>
              <w:rPr>
                <w:rFonts w:eastAsia="Times New Roman"/>
                <w:sz w:val="16"/>
                <w:szCs w:val="16"/>
              </w:rPr>
            </w:pPr>
            <w:r>
              <w:rPr>
                <w:rFonts w:eastAsia="Times New Roman"/>
                <w:sz w:val="16"/>
                <w:szCs w:val="16"/>
              </w:rPr>
              <w:t>3,512,202</w:t>
            </w:r>
          </w:p>
        </w:tc>
        <w:tc>
          <w:tcPr>
            <w:tcW w:w="550" w:type="pct"/>
            <w:shd w:val="clear" w:color="auto" w:fill="CCEEFF"/>
            <w:vAlign w:val="bottom"/>
            <w:hideMark/>
          </w:tcPr>
          <w:p w14:paraId="72977147" w14:textId="77777777" w:rsidR="00000000" w:rsidRDefault="0053651E">
            <w:pPr>
              <w:jc w:val="right"/>
              <w:rPr>
                <w:rFonts w:eastAsia="Times New Roman"/>
                <w:sz w:val="16"/>
                <w:szCs w:val="16"/>
              </w:rPr>
            </w:pPr>
            <w:r>
              <w:rPr>
                <w:rFonts w:eastAsia="Times New Roman"/>
                <w:sz w:val="16"/>
                <w:szCs w:val="16"/>
              </w:rPr>
              <w:t>18,862,571</w:t>
            </w:r>
          </w:p>
        </w:tc>
        <w:tc>
          <w:tcPr>
            <w:tcW w:w="350" w:type="pct"/>
            <w:shd w:val="clear" w:color="auto" w:fill="CCEEFF"/>
            <w:vAlign w:val="bottom"/>
            <w:hideMark/>
          </w:tcPr>
          <w:p w14:paraId="36E1B438" w14:textId="77777777" w:rsidR="00000000" w:rsidRDefault="0053651E">
            <w:pPr>
              <w:jc w:val="right"/>
              <w:rPr>
                <w:rFonts w:eastAsia="Times New Roman"/>
                <w:sz w:val="16"/>
                <w:szCs w:val="16"/>
              </w:rPr>
            </w:pPr>
            <w:r>
              <w:rPr>
                <w:rFonts w:eastAsia="Times New Roman"/>
                <w:sz w:val="16"/>
                <w:szCs w:val="16"/>
              </w:rPr>
              <w:t>50,327</w:t>
            </w:r>
          </w:p>
        </w:tc>
        <w:tc>
          <w:tcPr>
            <w:tcW w:w="300" w:type="pct"/>
            <w:shd w:val="clear" w:color="auto" w:fill="CCEEFF"/>
            <w:vAlign w:val="bottom"/>
            <w:hideMark/>
          </w:tcPr>
          <w:p w14:paraId="0BCB92E7" w14:textId="77777777" w:rsidR="00000000" w:rsidRDefault="0053651E">
            <w:pPr>
              <w:jc w:val="right"/>
              <w:rPr>
                <w:rFonts w:eastAsia="Times New Roman"/>
                <w:sz w:val="16"/>
                <w:szCs w:val="16"/>
              </w:rPr>
            </w:pPr>
            <w:r>
              <w:rPr>
                <w:rFonts w:eastAsia="Times New Roman"/>
                <w:sz w:val="16"/>
                <w:szCs w:val="16"/>
              </w:rPr>
              <w:t>3,512,202</w:t>
            </w:r>
          </w:p>
        </w:tc>
        <w:tc>
          <w:tcPr>
            <w:tcW w:w="450" w:type="pct"/>
            <w:shd w:val="clear" w:color="auto" w:fill="CCEEFF"/>
            <w:vAlign w:val="bottom"/>
            <w:hideMark/>
          </w:tcPr>
          <w:p w14:paraId="1BCF5122" w14:textId="77777777" w:rsidR="00000000" w:rsidRDefault="0053651E">
            <w:pPr>
              <w:jc w:val="right"/>
              <w:rPr>
                <w:rFonts w:eastAsia="Times New Roman"/>
                <w:sz w:val="16"/>
                <w:szCs w:val="16"/>
              </w:rPr>
            </w:pPr>
            <w:r>
              <w:rPr>
                <w:rFonts w:eastAsia="Times New Roman"/>
                <w:sz w:val="16"/>
                <w:szCs w:val="16"/>
              </w:rPr>
              <w:t>18,912,898</w:t>
            </w:r>
          </w:p>
        </w:tc>
        <w:tc>
          <w:tcPr>
            <w:tcW w:w="350" w:type="pct"/>
            <w:shd w:val="clear" w:color="auto" w:fill="CCEEFF"/>
            <w:vAlign w:val="bottom"/>
            <w:hideMark/>
          </w:tcPr>
          <w:p w14:paraId="7B683514" w14:textId="77777777" w:rsidR="00000000" w:rsidRDefault="0053651E">
            <w:pPr>
              <w:jc w:val="right"/>
              <w:rPr>
                <w:rFonts w:eastAsia="Times New Roman"/>
                <w:sz w:val="16"/>
                <w:szCs w:val="16"/>
              </w:rPr>
            </w:pPr>
            <w:r>
              <w:rPr>
                <w:rFonts w:eastAsia="Times New Roman"/>
                <w:sz w:val="16"/>
                <w:szCs w:val="16"/>
              </w:rPr>
              <w:t>22,425,100</w:t>
            </w:r>
          </w:p>
        </w:tc>
        <w:tc>
          <w:tcPr>
            <w:tcW w:w="400" w:type="pct"/>
            <w:shd w:val="clear" w:color="auto" w:fill="CCEEFF"/>
            <w:vAlign w:val="bottom"/>
            <w:hideMark/>
          </w:tcPr>
          <w:p w14:paraId="67C93527" w14:textId="77777777" w:rsidR="00000000" w:rsidRDefault="0053651E">
            <w:pPr>
              <w:jc w:val="right"/>
              <w:rPr>
                <w:rFonts w:eastAsia="Times New Roman"/>
                <w:sz w:val="16"/>
                <w:szCs w:val="16"/>
              </w:rPr>
            </w:pPr>
            <w:r>
              <w:rPr>
                <w:rFonts w:eastAsia="Times New Roman"/>
                <w:sz w:val="16"/>
                <w:szCs w:val="16"/>
              </w:rPr>
              <w:t>2,404,623</w:t>
            </w:r>
          </w:p>
        </w:tc>
        <w:tc>
          <w:tcPr>
            <w:tcW w:w="50" w:type="pct"/>
            <w:shd w:val="clear" w:color="auto" w:fill="CCEEFF"/>
            <w:vAlign w:val="bottom"/>
            <w:hideMark/>
          </w:tcPr>
          <w:p w14:paraId="2D0900C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D704D9A" w14:textId="77777777" w:rsidR="00000000" w:rsidRDefault="0053651E">
            <w:pPr>
              <w:jc w:val="right"/>
              <w:rPr>
                <w:rFonts w:eastAsia="Times New Roman"/>
                <w:sz w:val="16"/>
                <w:szCs w:val="16"/>
              </w:rPr>
            </w:pPr>
            <w:r>
              <w:rPr>
                <w:rFonts w:eastAsia="Times New Roman"/>
                <w:sz w:val="16"/>
                <w:szCs w:val="16"/>
              </w:rPr>
              <w:t>20,020,477</w:t>
            </w:r>
          </w:p>
        </w:tc>
        <w:tc>
          <w:tcPr>
            <w:tcW w:w="50" w:type="pct"/>
            <w:shd w:val="clear" w:color="auto" w:fill="CCEEFF"/>
            <w:vAlign w:val="bottom"/>
            <w:hideMark/>
          </w:tcPr>
          <w:p w14:paraId="685DEF5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6B32FF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3434D3A"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16A13B36" w14:textId="77777777">
        <w:trPr>
          <w:tblCellSpacing w:w="0" w:type="dxa"/>
        </w:trPr>
        <w:tc>
          <w:tcPr>
            <w:tcW w:w="50" w:type="pct"/>
            <w:shd w:val="clear" w:color="auto" w:fill="FFFFFF"/>
            <w:vAlign w:val="bottom"/>
            <w:hideMark/>
          </w:tcPr>
          <w:p w14:paraId="261B5FB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3346E51" w14:textId="77777777" w:rsidR="00000000" w:rsidRDefault="0053651E">
            <w:pPr>
              <w:pStyle w:val="a3"/>
              <w:spacing w:before="0" w:beforeAutospacing="0" w:after="0" w:afterAutospacing="0"/>
              <w:rPr>
                <w:sz w:val="16"/>
                <w:szCs w:val="16"/>
              </w:rPr>
            </w:pPr>
            <w:r>
              <w:rPr>
                <w:sz w:val="16"/>
                <w:szCs w:val="16"/>
              </w:rPr>
              <w:t>LAWRENCEVILLE MARKET</w:t>
            </w:r>
          </w:p>
        </w:tc>
        <w:tc>
          <w:tcPr>
            <w:tcW w:w="150" w:type="pct"/>
            <w:shd w:val="clear" w:color="auto" w:fill="FFFFFF"/>
            <w:vAlign w:val="bottom"/>
            <w:hideMark/>
          </w:tcPr>
          <w:p w14:paraId="0D78C3B0"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FFFFFF"/>
            <w:vAlign w:val="bottom"/>
            <w:hideMark/>
          </w:tcPr>
          <w:p w14:paraId="6CF7FB7F" w14:textId="77777777" w:rsidR="00000000" w:rsidRDefault="0053651E">
            <w:pPr>
              <w:jc w:val="right"/>
              <w:rPr>
                <w:rFonts w:eastAsia="Times New Roman"/>
                <w:sz w:val="16"/>
                <w:szCs w:val="16"/>
              </w:rPr>
            </w:pPr>
            <w:r>
              <w:rPr>
                <w:rFonts w:eastAsia="Times New Roman"/>
                <w:sz w:val="16"/>
                <w:szCs w:val="16"/>
              </w:rPr>
              <w:t>8,878,266</w:t>
            </w:r>
          </w:p>
        </w:tc>
        <w:tc>
          <w:tcPr>
            <w:tcW w:w="550" w:type="pct"/>
            <w:shd w:val="clear" w:color="auto" w:fill="FFFFFF"/>
            <w:vAlign w:val="bottom"/>
            <w:hideMark/>
          </w:tcPr>
          <w:p w14:paraId="00782FB3" w14:textId="77777777" w:rsidR="00000000" w:rsidRDefault="0053651E">
            <w:pPr>
              <w:jc w:val="right"/>
              <w:rPr>
                <w:rFonts w:eastAsia="Times New Roman"/>
                <w:sz w:val="16"/>
                <w:szCs w:val="16"/>
              </w:rPr>
            </w:pPr>
            <w:r>
              <w:rPr>
                <w:rFonts w:eastAsia="Times New Roman"/>
                <w:sz w:val="16"/>
                <w:szCs w:val="16"/>
              </w:rPr>
              <w:t>29,691,191</w:t>
            </w:r>
          </w:p>
        </w:tc>
        <w:tc>
          <w:tcPr>
            <w:tcW w:w="350" w:type="pct"/>
            <w:shd w:val="clear" w:color="auto" w:fill="FFFFFF"/>
            <w:vAlign w:val="bottom"/>
            <w:hideMark/>
          </w:tcPr>
          <w:p w14:paraId="1DCAA38C" w14:textId="77777777" w:rsidR="00000000" w:rsidRDefault="0053651E">
            <w:pPr>
              <w:jc w:val="right"/>
              <w:rPr>
                <w:rFonts w:eastAsia="Times New Roman"/>
                <w:sz w:val="16"/>
                <w:szCs w:val="16"/>
              </w:rPr>
            </w:pPr>
            <w:r>
              <w:rPr>
                <w:rFonts w:eastAsia="Times New Roman"/>
                <w:sz w:val="16"/>
                <w:szCs w:val="16"/>
              </w:rPr>
              <w:t>351,863</w:t>
            </w:r>
          </w:p>
        </w:tc>
        <w:tc>
          <w:tcPr>
            <w:tcW w:w="300" w:type="pct"/>
            <w:shd w:val="clear" w:color="auto" w:fill="FFFFFF"/>
            <w:vAlign w:val="bottom"/>
            <w:hideMark/>
          </w:tcPr>
          <w:p w14:paraId="01F0EA36" w14:textId="77777777" w:rsidR="00000000" w:rsidRDefault="0053651E">
            <w:pPr>
              <w:jc w:val="right"/>
              <w:rPr>
                <w:rFonts w:eastAsia="Times New Roman"/>
                <w:sz w:val="16"/>
                <w:szCs w:val="16"/>
              </w:rPr>
            </w:pPr>
            <w:r>
              <w:rPr>
                <w:rFonts w:eastAsia="Times New Roman"/>
                <w:sz w:val="16"/>
                <w:szCs w:val="16"/>
              </w:rPr>
              <w:t>9,060,436</w:t>
            </w:r>
          </w:p>
        </w:tc>
        <w:tc>
          <w:tcPr>
            <w:tcW w:w="450" w:type="pct"/>
            <w:shd w:val="clear" w:color="auto" w:fill="FFFFFF"/>
            <w:vAlign w:val="bottom"/>
            <w:hideMark/>
          </w:tcPr>
          <w:p w14:paraId="1255C903" w14:textId="77777777" w:rsidR="00000000" w:rsidRDefault="0053651E">
            <w:pPr>
              <w:jc w:val="right"/>
              <w:rPr>
                <w:rFonts w:eastAsia="Times New Roman"/>
                <w:sz w:val="16"/>
                <w:szCs w:val="16"/>
              </w:rPr>
            </w:pPr>
            <w:r>
              <w:rPr>
                <w:rFonts w:eastAsia="Times New Roman"/>
                <w:sz w:val="16"/>
                <w:szCs w:val="16"/>
              </w:rPr>
              <w:t>29,860,884</w:t>
            </w:r>
          </w:p>
        </w:tc>
        <w:tc>
          <w:tcPr>
            <w:tcW w:w="350" w:type="pct"/>
            <w:shd w:val="clear" w:color="auto" w:fill="FFFFFF"/>
            <w:vAlign w:val="bottom"/>
            <w:hideMark/>
          </w:tcPr>
          <w:p w14:paraId="000D3A72" w14:textId="77777777" w:rsidR="00000000" w:rsidRDefault="0053651E">
            <w:pPr>
              <w:jc w:val="right"/>
              <w:rPr>
                <w:rFonts w:eastAsia="Times New Roman"/>
                <w:sz w:val="16"/>
                <w:szCs w:val="16"/>
              </w:rPr>
            </w:pPr>
            <w:r>
              <w:rPr>
                <w:rFonts w:eastAsia="Times New Roman"/>
                <w:sz w:val="16"/>
                <w:szCs w:val="16"/>
              </w:rPr>
              <w:t>38,921,320</w:t>
            </w:r>
          </w:p>
        </w:tc>
        <w:tc>
          <w:tcPr>
            <w:tcW w:w="400" w:type="pct"/>
            <w:shd w:val="clear" w:color="auto" w:fill="FFFFFF"/>
            <w:vAlign w:val="bottom"/>
            <w:hideMark/>
          </w:tcPr>
          <w:p w14:paraId="1687D8AF" w14:textId="77777777" w:rsidR="00000000" w:rsidRDefault="0053651E">
            <w:pPr>
              <w:jc w:val="right"/>
              <w:rPr>
                <w:rFonts w:eastAsia="Times New Roman"/>
                <w:sz w:val="16"/>
                <w:szCs w:val="16"/>
              </w:rPr>
            </w:pPr>
            <w:r>
              <w:rPr>
                <w:rFonts w:eastAsia="Times New Roman"/>
                <w:sz w:val="16"/>
                <w:szCs w:val="16"/>
              </w:rPr>
              <w:t>6,907,281</w:t>
            </w:r>
          </w:p>
        </w:tc>
        <w:tc>
          <w:tcPr>
            <w:tcW w:w="50" w:type="pct"/>
            <w:shd w:val="clear" w:color="auto" w:fill="FFFFFF"/>
            <w:vAlign w:val="bottom"/>
            <w:hideMark/>
          </w:tcPr>
          <w:p w14:paraId="7490625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21897C5" w14:textId="77777777" w:rsidR="00000000" w:rsidRDefault="0053651E">
            <w:pPr>
              <w:jc w:val="right"/>
              <w:rPr>
                <w:rFonts w:eastAsia="Times New Roman"/>
                <w:sz w:val="16"/>
                <w:szCs w:val="16"/>
              </w:rPr>
            </w:pPr>
            <w:r>
              <w:rPr>
                <w:rFonts w:eastAsia="Times New Roman"/>
                <w:sz w:val="16"/>
                <w:szCs w:val="16"/>
              </w:rPr>
              <w:t>32,014,039</w:t>
            </w:r>
          </w:p>
        </w:tc>
        <w:tc>
          <w:tcPr>
            <w:tcW w:w="50" w:type="pct"/>
            <w:shd w:val="clear" w:color="auto" w:fill="FFFFFF"/>
            <w:vAlign w:val="bottom"/>
            <w:hideMark/>
          </w:tcPr>
          <w:p w14:paraId="6483449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AEB67D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3FC71A9"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20E65609" w14:textId="77777777">
        <w:trPr>
          <w:tblCellSpacing w:w="0" w:type="dxa"/>
        </w:trPr>
        <w:tc>
          <w:tcPr>
            <w:tcW w:w="50" w:type="pct"/>
            <w:shd w:val="clear" w:color="auto" w:fill="CCEEFF"/>
            <w:vAlign w:val="bottom"/>
            <w:hideMark/>
          </w:tcPr>
          <w:p w14:paraId="42693FC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AC0F28F" w14:textId="77777777" w:rsidR="00000000" w:rsidRDefault="0053651E">
            <w:pPr>
              <w:pStyle w:val="a3"/>
              <w:spacing w:before="0" w:beforeAutospacing="0" w:after="0" w:afterAutospacing="0"/>
              <w:rPr>
                <w:sz w:val="16"/>
                <w:szCs w:val="16"/>
              </w:rPr>
            </w:pPr>
            <w:r>
              <w:rPr>
                <w:sz w:val="16"/>
                <w:szCs w:val="16"/>
              </w:rPr>
              <w:t>BRAELINN VILLAGE</w:t>
            </w:r>
          </w:p>
        </w:tc>
        <w:tc>
          <w:tcPr>
            <w:tcW w:w="150" w:type="pct"/>
            <w:shd w:val="clear" w:color="auto" w:fill="CCEEFF"/>
            <w:vAlign w:val="bottom"/>
            <w:hideMark/>
          </w:tcPr>
          <w:p w14:paraId="37265169"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CCEEFF"/>
            <w:vAlign w:val="bottom"/>
            <w:hideMark/>
          </w:tcPr>
          <w:p w14:paraId="540DED7A" w14:textId="77777777" w:rsidR="00000000" w:rsidRDefault="0053651E">
            <w:pPr>
              <w:jc w:val="right"/>
              <w:rPr>
                <w:rFonts w:eastAsia="Times New Roman"/>
                <w:sz w:val="16"/>
                <w:szCs w:val="16"/>
              </w:rPr>
            </w:pPr>
            <w:r>
              <w:rPr>
                <w:rFonts w:eastAsia="Times New Roman"/>
                <w:sz w:val="16"/>
                <w:szCs w:val="16"/>
              </w:rPr>
              <w:t>7,314,719</w:t>
            </w:r>
          </w:p>
        </w:tc>
        <w:tc>
          <w:tcPr>
            <w:tcW w:w="550" w:type="pct"/>
            <w:shd w:val="clear" w:color="auto" w:fill="CCEEFF"/>
            <w:vAlign w:val="bottom"/>
            <w:hideMark/>
          </w:tcPr>
          <w:p w14:paraId="355C5456" w14:textId="77777777" w:rsidR="00000000" w:rsidRDefault="0053651E">
            <w:pPr>
              <w:jc w:val="right"/>
              <w:rPr>
                <w:rFonts w:eastAsia="Times New Roman"/>
                <w:sz w:val="16"/>
                <w:szCs w:val="16"/>
              </w:rPr>
            </w:pPr>
            <w:r>
              <w:rPr>
                <w:rFonts w:eastAsia="Times New Roman"/>
                <w:sz w:val="16"/>
                <w:szCs w:val="16"/>
              </w:rPr>
              <w:t>20,738,792</w:t>
            </w:r>
          </w:p>
        </w:tc>
        <w:tc>
          <w:tcPr>
            <w:tcW w:w="350" w:type="pct"/>
            <w:shd w:val="clear" w:color="auto" w:fill="CCEEFF"/>
            <w:vAlign w:val="bottom"/>
            <w:hideMark/>
          </w:tcPr>
          <w:p w14:paraId="321C3A1D" w14:textId="77777777" w:rsidR="00000000" w:rsidRDefault="0053651E">
            <w:pPr>
              <w:jc w:val="right"/>
              <w:rPr>
                <w:rFonts w:eastAsia="Times New Roman"/>
                <w:sz w:val="16"/>
                <w:szCs w:val="16"/>
              </w:rPr>
            </w:pPr>
            <w:r>
              <w:rPr>
                <w:rFonts w:eastAsia="Times New Roman"/>
                <w:sz w:val="16"/>
                <w:szCs w:val="16"/>
              </w:rPr>
              <w:t>(903,523)</w:t>
            </w:r>
          </w:p>
        </w:tc>
        <w:tc>
          <w:tcPr>
            <w:tcW w:w="300" w:type="pct"/>
            <w:shd w:val="clear" w:color="auto" w:fill="CCEEFF"/>
            <w:vAlign w:val="bottom"/>
            <w:hideMark/>
          </w:tcPr>
          <w:p w14:paraId="7FEE4053" w14:textId="77777777" w:rsidR="00000000" w:rsidRDefault="0053651E">
            <w:pPr>
              <w:jc w:val="right"/>
              <w:rPr>
                <w:rFonts w:eastAsia="Times New Roman"/>
                <w:sz w:val="16"/>
                <w:szCs w:val="16"/>
              </w:rPr>
            </w:pPr>
            <w:r>
              <w:rPr>
                <w:rFonts w:eastAsia="Times New Roman"/>
                <w:sz w:val="16"/>
                <w:szCs w:val="16"/>
              </w:rPr>
              <w:t>3,731,347</w:t>
            </w:r>
          </w:p>
        </w:tc>
        <w:tc>
          <w:tcPr>
            <w:tcW w:w="450" w:type="pct"/>
            <w:shd w:val="clear" w:color="auto" w:fill="CCEEFF"/>
            <w:vAlign w:val="bottom"/>
            <w:hideMark/>
          </w:tcPr>
          <w:p w14:paraId="7226AF87" w14:textId="77777777" w:rsidR="00000000" w:rsidRDefault="0053651E">
            <w:pPr>
              <w:jc w:val="right"/>
              <w:rPr>
                <w:rFonts w:eastAsia="Times New Roman"/>
                <w:sz w:val="16"/>
                <w:szCs w:val="16"/>
              </w:rPr>
            </w:pPr>
            <w:r>
              <w:rPr>
                <w:rFonts w:eastAsia="Times New Roman"/>
                <w:sz w:val="16"/>
                <w:szCs w:val="16"/>
              </w:rPr>
              <w:t>23,418,641</w:t>
            </w:r>
          </w:p>
        </w:tc>
        <w:tc>
          <w:tcPr>
            <w:tcW w:w="350" w:type="pct"/>
            <w:shd w:val="clear" w:color="auto" w:fill="CCEEFF"/>
            <w:vAlign w:val="bottom"/>
            <w:hideMark/>
          </w:tcPr>
          <w:p w14:paraId="5128C627" w14:textId="77777777" w:rsidR="00000000" w:rsidRDefault="0053651E">
            <w:pPr>
              <w:jc w:val="right"/>
              <w:rPr>
                <w:rFonts w:eastAsia="Times New Roman"/>
                <w:sz w:val="16"/>
                <w:szCs w:val="16"/>
              </w:rPr>
            </w:pPr>
            <w:r>
              <w:rPr>
                <w:rFonts w:eastAsia="Times New Roman"/>
                <w:sz w:val="16"/>
                <w:szCs w:val="16"/>
              </w:rPr>
              <w:t>27,149,988</w:t>
            </w:r>
          </w:p>
        </w:tc>
        <w:tc>
          <w:tcPr>
            <w:tcW w:w="400" w:type="pct"/>
            <w:shd w:val="clear" w:color="auto" w:fill="CCEEFF"/>
            <w:vAlign w:val="bottom"/>
            <w:hideMark/>
          </w:tcPr>
          <w:p w14:paraId="2446A69A" w14:textId="77777777" w:rsidR="00000000" w:rsidRDefault="0053651E">
            <w:pPr>
              <w:jc w:val="right"/>
              <w:rPr>
                <w:rFonts w:eastAsia="Times New Roman"/>
                <w:sz w:val="16"/>
                <w:szCs w:val="16"/>
              </w:rPr>
            </w:pPr>
            <w:r>
              <w:rPr>
                <w:rFonts w:eastAsia="Times New Roman"/>
                <w:sz w:val="16"/>
                <w:szCs w:val="16"/>
              </w:rPr>
              <w:t>3,931,754</w:t>
            </w:r>
          </w:p>
        </w:tc>
        <w:tc>
          <w:tcPr>
            <w:tcW w:w="50" w:type="pct"/>
            <w:shd w:val="clear" w:color="auto" w:fill="CCEEFF"/>
            <w:vAlign w:val="bottom"/>
            <w:hideMark/>
          </w:tcPr>
          <w:p w14:paraId="4572330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91C0ED3" w14:textId="77777777" w:rsidR="00000000" w:rsidRDefault="0053651E">
            <w:pPr>
              <w:jc w:val="right"/>
              <w:rPr>
                <w:rFonts w:eastAsia="Times New Roman"/>
                <w:sz w:val="16"/>
                <w:szCs w:val="16"/>
              </w:rPr>
            </w:pPr>
            <w:r>
              <w:rPr>
                <w:rFonts w:eastAsia="Times New Roman"/>
                <w:sz w:val="16"/>
                <w:szCs w:val="16"/>
              </w:rPr>
              <w:t>23,218,234</w:t>
            </w:r>
          </w:p>
        </w:tc>
        <w:tc>
          <w:tcPr>
            <w:tcW w:w="50" w:type="pct"/>
            <w:shd w:val="clear" w:color="auto" w:fill="CCEEFF"/>
            <w:vAlign w:val="bottom"/>
            <w:hideMark/>
          </w:tcPr>
          <w:p w14:paraId="54717D7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0E7C6C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6C28E9F"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793ED895" w14:textId="77777777">
        <w:trPr>
          <w:tblCellSpacing w:w="0" w:type="dxa"/>
        </w:trPr>
        <w:tc>
          <w:tcPr>
            <w:tcW w:w="50" w:type="pct"/>
            <w:shd w:val="clear" w:color="auto" w:fill="FFFFFF"/>
            <w:vAlign w:val="bottom"/>
            <w:hideMark/>
          </w:tcPr>
          <w:p w14:paraId="3F7F5CE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41AF3C4" w14:textId="77777777" w:rsidR="00000000" w:rsidRDefault="0053651E">
            <w:pPr>
              <w:pStyle w:val="a3"/>
              <w:spacing w:before="0" w:beforeAutospacing="0" w:after="0" w:afterAutospacing="0"/>
              <w:rPr>
                <w:sz w:val="16"/>
                <w:szCs w:val="16"/>
              </w:rPr>
            </w:pPr>
            <w:r>
              <w:rPr>
                <w:sz w:val="16"/>
                <w:szCs w:val="16"/>
              </w:rPr>
              <w:t>SAVANNAH CENTER</w:t>
            </w:r>
          </w:p>
        </w:tc>
        <w:tc>
          <w:tcPr>
            <w:tcW w:w="150" w:type="pct"/>
            <w:shd w:val="clear" w:color="auto" w:fill="FFFFFF"/>
            <w:vAlign w:val="bottom"/>
            <w:hideMark/>
          </w:tcPr>
          <w:p w14:paraId="69065961"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FFFFFF"/>
            <w:vAlign w:val="bottom"/>
            <w:hideMark/>
          </w:tcPr>
          <w:p w14:paraId="339FBA67" w14:textId="77777777" w:rsidR="00000000" w:rsidRDefault="0053651E">
            <w:pPr>
              <w:jc w:val="right"/>
              <w:rPr>
                <w:rFonts w:eastAsia="Times New Roman"/>
                <w:sz w:val="16"/>
                <w:szCs w:val="16"/>
              </w:rPr>
            </w:pPr>
            <w:r>
              <w:rPr>
                <w:rFonts w:eastAsia="Times New Roman"/>
                <w:sz w:val="16"/>
                <w:szCs w:val="16"/>
              </w:rPr>
              <w:t>2,052,270</w:t>
            </w:r>
          </w:p>
        </w:tc>
        <w:tc>
          <w:tcPr>
            <w:tcW w:w="550" w:type="pct"/>
            <w:shd w:val="clear" w:color="auto" w:fill="FFFFFF"/>
            <w:vAlign w:val="bottom"/>
            <w:hideMark/>
          </w:tcPr>
          <w:p w14:paraId="11BEC4EE" w14:textId="77777777" w:rsidR="00000000" w:rsidRDefault="0053651E">
            <w:pPr>
              <w:jc w:val="right"/>
              <w:rPr>
                <w:rFonts w:eastAsia="Times New Roman"/>
                <w:sz w:val="16"/>
                <w:szCs w:val="16"/>
              </w:rPr>
            </w:pPr>
            <w:r>
              <w:rPr>
                <w:rFonts w:eastAsia="Times New Roman"/>
                <w:sz w:val="16"/>
                <w:szCs w:val="16"/>
              </w:rPr>
              <w:t>8,232,978</w:t>
            </w:r>
          </w:p>
        </w:tc>
        <w:tc>
          <w:tcPr>
            <w:tcW w:w="350" w:type="pct"/>
            <w:shd w:val="clear" w:color="auto" w:fill="FFFFFF"/>
            <w:vAlign w:val="bottom"/>
            <w:hideMark/>
          </w:tcPr>
          <w:p w14:paraId="5E95AB30" w14:textId="77777777" w:rsidR="00000000" w:rsidRDefault="0053651E">
            <w:pPr>
              <w:jc w:val="right"/>
              <w:rPr>
                <w:rFonts w:eastAsia="Times New Roman"/>
                <w:sz w:val="16"/>
                <w:szCs w:val="16"/>
              </w:rPr>
            </w:pPr>
            <w:r>
              <w:rPr>
                <w:rFonts w:eastAsia="Times New Roman"/>
                <w:sz w:val="16"/>
                <w:szCs w:val="16"/>
              </w:rPr>
              <w:t>4,972,212</w:t>
            </w:r>
          </w:p>
        </w:tc>
        <w:tc>
          <w:tcPr>
            <w:tcW w:w="300" w:type="pct"/>
            <w:shd w:val="clear" w:color="auto" w:fill="FFFFFF"/>
            <w:vAlign w:val="bottom"/>
            <w:hideMark/>
          </w:tcPr>
          <w:p w14:paraId="2ED52A47" w14:textId="77777777" w:rsidR="00000000" w:rsidRDefault="0053651E">
            <w:pPr>
              <w:jc w:val="right"/>
              <w:rPr>
                <w:rFonts w:eastAsia="Times New Roman"/>
                <w:sz w:val="16"/>
                <w:szCs w:val="16"/>
              </w:rPr>
            </w:pPr>
            <w:r>
              <w:rPr>
                <w:rFonts w:eastAsia="Times New Roman"/>
                <w:sz w:val="16"/>
                <w:szCs w:val="16"/>
              </w:rPr>
              <w:t>2,052,270</w:t>
            </w:r>
          </w:p>
        </w:tc>
        <w:tc>
          <w:tcPr>
            <w:tcW w:w="450" w:type="pct"/>
            <w:shd w:val="clear" w:color="auto" w:fill="FFFFFF"/>
            <w:vAlign w:val="bottom"/>
            <w:hideMark/>
          </w:tcPr>
          <w:p w14:paraId="42C3B777" w14:textId="77777777" w:rsidR="00000000" w:rsidRDefault="0053651E">
            <w:pPr>
              <w:jc w:val="right"/>
              <w:rPr>
                <w:rFonts w:eastAsia="Times New Roman"/>
                <w:sz w:val="16"/>
                <w:szCs w:val="16"/>
              </w:rPr>
            </w:pPr>
            <w:r>
              <w:rPr>
                <w:rFonts w:eastAsia="Times New Roman"/>
                <w:sz w:val="16"/>
                <w:szCs w:val="16"/>
              </w:rPr>
              <w:t>13,205,190</w:t>
            </w:r>
          </w:p>
        </w:tc>
        <w:tc>
          <w:tcPr>
            <w:tcW w:w="350" w:type="pct"/>
            <w:shd w:val="clear" w:color="auto" w:fill="FFFFFF"/>
            <w:vAlign w:val="bottom"/>
            <w:hideMark/>
          </w:tcPr>
          <w:p w14:paraId="6962299E" w14:textId="77777777" w:rsidR="00000000" w:rsidRDefault="0053651E">
            <w:pPr>
              <w:jc w:val="right"/>
              <w:rPr>
                <w:rFonts w:eastAsia="Times New Roman"/>
                <w:sz w:val="16"/>
                <w:szCs w:val="16"/>
              </w:rPr>
            </w:pPr>
            <w:r>
              <w:rPr>
                <w:rFonts w:eastAsia="Times New Roman"/>
                <w:sz w:val="16"/>
                <w:szCs w:val="16"/>
              </w:rPr>
              <w:t>15,257,460</w:t>
            </w:r>
          </w:p>
        </w:tc>
        <w:tc>
          <w:tcPr>
            <w:tcW w:w="400" w:type="pct"/>
            <w:shd w:val="clear" w:color="auto" w:fill="FFFFFF"/>
            <w:vAlign w:val="bottom"/>
            <w:hideMark/>
          </w:tcPr>
          <w:p w14:paraId="75E386FC" w14:textId="77777777" w:rsidR="00000000" w:rsidRDefault="0053651E">
            <w:pPr>
              <w:jc w:val="right"/>
              <w:rPr>
                <w:rFonts w:eastAsia="Times New Roman"/>
                <w:sz w:val="16"/>
                <w:szCs w:val="16"/>
              </w:rPr>
            </w:pPr>
            <w:r>
              <w:rPr>
                <w:rFonts w:eastAsia="Times New Roman"/>
                <w:sz w:val="16"/>
                <w:szCs w:val="16"/>
              </w:rPr>
              <w:t>7,627,683</w:t>
            </w:r>
          </w:p>
        </w:tc>
        <w:tc>
          <w:tcPr>
            <w:tcW w:w="50" w:type="pct"/>
            <w:shd w:val="clear" w:color="auto" w:fill="FFFFFF"/>
            <w:vAlign w:val="bottom"/>
            <w:hideMark/>
          </w:tcPr>
          <w:p w14:paraId="34BE63A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7023CD0" w14:textId="77777777" w:rsidR="00000000" w:rsidRDefault="0053651E">
            <w:pPr>
              <w:jc w:val="right"/>
              <w:rPr>
                <w:rFonts w:eastAsia="Times New Roman"/>
                <w:sz w:val="16"/>
                <w:szCs w:val="16"/>
              </w:rPr>
            </w:pPr>
            <w:r>
              <w:rPr>
                <w:rFonts w:eastAsia="Times New Roman"/>
                <w:sz w:val="16"/>
                <w:szCs w:val="16"/>
              </w:rPr>
              <w:t>7,629,777</w:t>
            </w:r>
          </w:p>
        </w:tc>
        <w:tc>
          <w:tcPr>
            <w:tcW w:w="50" w:type="pct"/>
            <w:shd w:val="clear" w:color="auto" w:fill="FFFFFF"/>
            <w:vAlign w:val="bottom"/>
            <w:hideMark/>
          </w:tcPr>
          <w:p w14:paraId="7BE3B90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A3EF81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CC1935C" w14:textId="77777777" w:rsidR="00000000" w:rsidRDefault="0053651E">
            <w:pPr>
              <w:pStyle w:val="a3"/>
              <w:spacing w:before="0" w:beforeAutospacing="0" w:after="0" w:afterAutospacing="0"/>
              <w:jc w:val="center"/>
              <w:rPr>
                <w:sz w:val="16"/>
                <w:szCs w:val="16"/>
              </w:rPr>
            </w:pPr>
            <w:r>
              <w:rPr>
                <w:rStyle w:val="a6"/>
                <w:i w:val="0"/>
                <w:iCs w:val="0"/>
                <w:sz w:val="16"/>
                <w:szCs w:val="16"/>
              </w:rPr>
              <w:t>1993(A)</w:t>
            </w:r>
          </w:p>
        </w:tc>
      </w:tr>
      <w:tr w:rsidR="00000000" w14:paraId="1D225E0B" w14:textId="77777777">
        <w:trPr>
          <w:tblCellSpacing w:w="0" w:type="dxa"/>
        </w:trPr>
        <w:tc>
          <w:tcPr>
            <w:tcW w:w="50" w:type="pct"/>
            <w:shd w:val="clear" w:color="auto" w:fill="CCEEFF"/>
            <w:vAlign w:val="bottom"/>
            <w:hideMark/>
          </w:tcPr>
          <w:p w14:paraId="7B07B3C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187D50B" w14:textId="77777777" w:rsidR="00000000" w:rsidRDefault="0053651E">
            <w:pPr>
              <w:pStyle w:val="a3"/>
              <w:spacing w:before="0" w:beforeAutospacing="0" w:after="0" w:afterAutospacing="0"/>
              <w:rPr>
                <w:sz w:val="16"/>
                <w:szCs w:val="16"/>
              </w:rPr>
            </w:pPr>
            <w:r>
              <w:rPr>
                <w:sz w:val="16"/>
                <w:szCs w:val="16"/>
              </w:rPr>
              <w:t>CHATHAM PLAZA</w:t>
            </w:r>
          </w:p>
        </w:tc>
        <w:tc>
          <w:tcPr>
            <w:tcW w:w="150" w:type="pct"/>
            <w:shd w:val="clear" w:color="auto" w:fill="CCEEFF"/>
            <w:vAlign w:val="bottom"/>
            <w:hideMark/>
          </w:tcPr>
          <w:p w14:paraId="0304F06D" w14:textId="77777777" w:rsidR="00000000" w:rsidRDefault="0053651E">
            <w:pPr>
              <w:pStyle w:val="a3"/>
              <w:spacing w:before="0" w:beforeAutospacing="0" w:after="0" w:afterAutospacing="0"/>
              <w:rPr>
                <w:sz w:val="16"/>
                <w:szCs w:val="16"/>
              </w:rPr>
            </w:pPr>
            <w:r>
              <w:rPr>
                <w:rStyle w:val="a6"/>
                <w:i w:val="0"/>
                <w:iCs w:val="0"/>
                <w:sz w:val="16"/>
                <w:szCs w:val="16"/>
              </w:rPr>
              <w:t>GA</w:t>
            </w:r>
          </w:p>
        </w:tc>
        <w:tc>
          <w:tcPr>
            <w:tcW w:w="300" w:type="pct"/>
            <w:shd w:val="clear" w:color="auto" w:fill="CCEEFF"/>
            <w:vAlign w:val="bottom"/>
            <w:hideMark/>
          </w:tcPr>
          <w:p w14:paraId="6F882896" w14:textId="77777777" w:rsidR="00000000" w:rsidRDefault="0053651E">
            <w:pPr>
              <w:jc w:val="right"/>
              <w:rPr>
                <w:rFonts w:eastAsia="Times New Roman"/>
                <w:sz w:val="16"/>
                <w:szCs w:val="16"/>
              </w:rPr>
            </w:pPr>
            <w:r>
              <w:rPr>
                <w:rFonts w:eastAsia="Times New Roman"/>
                <w:sz w:val="16"/>
                <w:szCs w:val="16"/>
              </w:rPr>
              <w:t>13,390,238</w:t>
            </w:r>
          </w:p>
        </w:tc>
        <w:tc>
          <w:tcPr>
            <w:tcW w:w="550" w:type="pct"/>
            <w:shd w:val="clear" w:color="auto" w:fill="CCEEFF"/>
            <w:vAlign w:val="bottom"/>
            <w:hideMark/>
          </w:tcPr>
          <w:p w14:paraId="5589FC07" w14:textId="77777777" w:rsidR="00000000" w:rsidRDefault="0053651E">
            <w:pPr>
              <w:jc w:val="right"/>
              <w:rPr>
                <w:rFonts w:eastAsia="Times New Roman"/>
                <w:sz w:val="16"/>
                <w:szCs w:val="16"/>
              </w:rPr>
            </w:pPr>
            <w:r>
              <w:rPr>
                <w:rFonts w:eastAsia="Times New Roman"/>
                <w:sz w:val="16"/>
                <w:szCs w:val="16"/>
              </w:rPr>
              <w:t>35,115,882</w:t>
            </w:r>
          </w:p>
        </w:tc>
        <w:tc>
          <w:tcPr>
            <w:tcW w:w="350" w:type="pct"/>
            <w:shd w:val="clear" w:color="auto" w:fill="CCEEFF"/>
            <w:vAlign w:val="bottom"/>
            <w:hideMark/>
          </w:tcPr>
          <w:p w14:paraId="29967AED" w14:textId="77777777" w:rsidR="00000000" w:rsidRDefault="0053651E">
            <w:pPr>
              <w:jc w:val="right"/>
              <w:rPr>
                <w:rFonts w:eastAsia="Times New Roman"/>
                <w:sz w:val="16"/>
                <w:szCs w:val="16"/>
              </w:rPr>
            </w:pPr>
            <w:r>
              <w:rPr>
                <w:rFonts w:eastAsia="Times New Roman"/>
                <w:sz w:val="16"/>
                <w:szCs w:val="16"/>
              </w:rPr>
              <w:t>1,469,797</w:t>
            </w:r>
          </w:p>
        </w:tc>
        <w:tc>
          <w:tcPr>
            <w:tcW w:w="300" w:type="pct"/>
            <w:shd w:val="clear" w:color="auto" w:fill="CCEEFF"/>
            <w:vAlign w:val="bottom"/>
            <w:hideMark/>
          </w:tcPr>
          <w:p w14:paraId="0CF69C89" w14:textId="77777777" w:rsidR="00000000" w:rsidRDefault="0053651E">
            <w:pPr>
              <w:jc w:val="right"/>
              <w:rPr>
                <w:rFonts w:eastAsia="Times New Roman"/>
                <w:sz w:val="16"/>
                <w:szCs w:val="16"/>
              </w:rPr>
            </w:pPr>
            <w:r>
              <w:rPr>
                <w:rFonts w:eastAsia="Times New Roman"/>
                <w:sz w:val="16"/>
                <w:szCs w:val="16"/>
              </w:rPr>
              <w:t>13,403,262</w:t>
            </w:r>
          </w:p>
        </w:tc>
        <w:tc>
          <w:tcPr>
            <w:tcW w:w="450" w:type="pct"/>
            <w:shd w:val="clear" w:color="auto" w:fill="CCEEFF"/>
            <w:vAlign w:val="bottom"/>
            <w:hideMark/>
          </w:tcPr>
          <w:p w14:paraId="6BDFDD5A" w14:textId="77777777" w:rsidR="00000000" w:rsidRDefault="0053651E">
            <w:pPr>
              <w:jc w:val="right"/>
              <w:rPr>
                <w:rFonts w:eastAsia="Times New Roman"/>
                <w:sz w:val="16"/>
                <w:szCs w:val="16"/>
              </w:rPr>
            </w:pPr>
            <w:r>
              <w:rPr>
                <w:rFonts w:eastAsia="Times New Roman"/>
                <w:sz w:val="16"/>
                <w:szCs w:val="16"/>
              </w:rPr>
              <w:t>36,572,655</w:t>
            </w:r>
          </w:p>
        </w:tc>
        <w:tc>
          <w:tcPr>
            <w:tcW w:w="350" w:type="pct"/>
            <w:shd w:val="clear" w:color="auto" w:fill="CCEEFF"/>
            <w:vAlign w:val="bottom"/>
            <w:hideMark/>
          </w:tcPr>
          <w:p w14:paraId="063BBEA2" w14:textId="77777777" w:rsidR="00000000" w:rsidRDefault="0053651E">
            <w:pPr>
              <w:jc w:val="right"/>
              <w:rPr>
                <w:rFonts w:eastAsia="Times New Roman"/>
                <w:sz w:val="16"/>
                <w:szCs w:val="16"/>
              </w:rPr>
            </w:pPr>
            <w:r>
              <w:rPr>
                <w:rFonts w:eastAsia="Times New Roman"/>
                <w:sz w:val="16"/>
                <w:szCs w:val="16"/>
              </w:rPr>
              <w:t>49,975,917</w:t>
            </w:r>
          </w:p>
        </w:tc>
        <w:tc>
          <w:tcPr>
            <w:tcW w:w="400" w:type="pct"/>
            <w:shd w:val="clear" w:color="auto" w:fill="CCEEFF"/>
            <w:vAlign w:val="bottom"/>
            <w:hideMark/>
          </w:tcPr>
          <w:p w14:paraId="3D0D06EC" w14:textId="77777777" w:rsidR="00000000" w:rsidRDefault="0053651E">
            <w:pPr>
              <w:jc w:val="right"/>
              <w:rPr>
                <w:rFonts w:eastAsia="Times New Roman"/>
                <w:sz w:val="16"/>
                <w:szCs w:val="16"/>
              </w:rPr>
            </w:pPr>
            <w:r>
              <w:rPr>
                <w:rFonts w:eastAsia="Times New Roman"/>
                <w:sz w:val="16"/>
                <w:szCs w:val="16"/>
              </w:rPr>
              <w:t>13,919,506</w:t>
            </w:r>
          </w:p>
        </w:tc>
        <w:tc>
          <w:tcPr>
            <w:tcW w:w="50" w:type="pct"/>
            <w:shd w:val="clear" w:color="auto" w:fill="CCEEFF"/>
            <w:vAlign w:val="bottom"/>
            <w:hideMark/>
          </w:tcPr>
          <w:p w14:paraId="37CF5CC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9283935" w14:textId="77777777" w:rsidR="00000000" w:rsidRDefault="0053651E">
            <w:pPr>
              <w:jc w:val="right"/>
              <w:rPr>
                <w:rFonts w:eastAsia="Times New Roman"/>
                <w:sz w:val="16"/>
                <w:szCs w:val="16"/>
              </w:rPr>
            </w:pPr>
            <w:r>
              <w:rPr>
                <w:rFonts w:eastAsia="Times New Roman"/>
                <w:sz w:val="16"/>
                <w:szCs w:val="16"/>
              </w:rPr>
              <w:t>36,056,411</w:t>
            </w:r>
          </w:p>
        </w:tc>
        <w:tc>
          <w:tcPr>
            <w:tcW w:w="50" w:type="pct"/>
            <w:shd w:val="clear" w:color="auto" w:fill="CCEEFF"/>
            <w:vAlign w:val="bottom"/>
            <w:hideMark/>
          </w:tcPr>
          <w:p w14:paraId="07276F1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EDD67C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EE1F289"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051E0904" w14:textId="77777777">
        <w:trPr>
          <w:tblCellSpacing w:w="0" w:type="dxa"/>
        </w:trPr>
        <w:tc>
          <w:tcPr>
            <w:tcW w:w="50" w:type="pct"/>
            <w:shd w:val="clear" w:color="auto" w:fill="FFFFFF"/>
            <w:vAlign w:val="bottom"/>
            <w:hideMark/>
          </w:tcPr>
          <w:p w14:paraId="4A7E918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4A1D775" w14:textId="77777777" w:rsidR="00000000" w:rsidRDefault="0053651E">
            <w:pPr>
              <w:pStyle w:val="a3"/>
              <w:spacing w:before="0" w:beforeAutospacing="0" w:after="0" w:afterAutospacing="0"/>
              <w:rPr>
                <w:sz w:val="16"/>
                <w:szCs w:val="16"/>
              </w:rPr>
            </w:pPr>
            <w:r>
              <w:rPr>
                <w:sz w:val="16"/>
                <w:szCs w:val="16"/>
              </w:rPr>
              <w:t>CLIVE PLAZA</w:t>
            </w:r>
          </w:p>
        </w:tc>
        <w:tc>
          <w:tcPr>
            <w:tcW w:w="150" w:type="pct"/>
            <w:shd w:val="clear" w:color="auto" w:fill="FFFFFF"/>
            <w:vAlign w:val="bottom"/>
            <w:hideMark/>
          </w:tcPr>
          <w:p w14:paraId="7FD3A786" w14:textId="77777777" w:rsidR="00000000" w:rsidRDefault="0053651E">
            <w:pPr>
              <w:pStyle w:val="a3"/>
              <w:spacing w:before="0" w:beforeAutospacing="0" w:after="0" w:afterAutospacing="0"/>
              <w:rPr>
                <w:sz w:val="16"/>
                <w:szCs w:val="16"/>
              </w:rPr>
            </w:pPr>
            <w:r>
              <w:rPr>
                <w:rStyle w:val="a6"/>
                <w:i w:val="0"/>
                <w:iCs w:val="0"/>
                <w:sz w:val="16"/>
                <w:szCs w:val="16"/>
              </w:rPr>
              <w:t>IA</w:t>
            </w:r>
          </w:p>
        </w:tc>
        <w:tc>
          <w:tcPr>
            <w:tcW w:w="300" w:type="pct"/>
            <w:shd w:val="clear" w:color="auto" w:fill="FFFFFF"/>
            <w:vAlign w:val="bottom"/>
            <w:hideMark/>
          </w:tcPr>
          <w:p w14:paraId="75CEC1FA" w14:textId="77777777" w:rsidR="00000000" w:rsidRDefault="0053651E">
            <w:pPr>
              <w:jc w:val="right"/>
              <w:rPr>
                <w:rFonts w:eastAsia="Times New Roman"/>
                <w:sz w:val="16"/>
                <w:szCs w:val="16"/>
              </w:rPr>
            </w:pPr>
            <w:r>
              <w:rPr>
                <w:rFonts w:eastAsia="Times New Roman"/>
                <w:sz w:val="16"/>
                <w:szCs w:val="16"/>
              </w:rPr>
              <w:t>500,525</w:t>
            </w:r>
          </w:p>
        </w:tc>
        <w:tc>
          <w:tcPr>
            <w:tcW w:w="550" w:type="pct"/>
            <w:shd w:val="clear" w:color="auto" w:fill="FFFFFF"/>
            <w:vAlign w:val="bottom"/>
            <w:hideMark/>
          </w:tcPr>
          <w:p w14:paraId="17F48F3B" w14:textId="77777777" w:rsidR="00000000" w:rsidRDefault="0053651E">
            <w:pPr>
              <w:jc w:val="right"/>
              <w:rPr>
                <w:rFonts w:eastAsia="Times New Roman"/>
                <w:sz w:val="16"/>
                <w:szCs w:val="16"/>
              </w:rPr>
            </w:pPr>
            <w:r>
              <w:rPr>
                <w:rFonts w:eastAsia="Times New Roman"/>
                <w:sz w:val="16"/>
                <w:szCs w:val="16"/>
              </w:rPr>
              <w:t>2,002,101</w:t>
            </w:r>
          </w:p>
        </w:tc>
        <w:tc>
          <w:tcPr>
            <w:tcW w:w="350" w:type="pct"/>
            <w:shd w:val="clear" w:color="auto" w:fill="FFFFFF"/>
            <w:vAlign w:val="bottom"/>
            <w:hideMark/>
          </w:tcPr>
          <w:p w14:paraId="1C278435"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33079A74" w14:textId="77777777" w:rsidR="00000000" w:rsidRDefault="0053651E">
            <w:pPr>
              <w:jc w:val="right"/>
              <w:rPr>
                <w:rFonts w:eastAsia="Times New Roman"/>
                <w:sz w:val="16"/>
                <w:szCs w:val="16"/>
              </w:rPr>
            </w:pPr>
            <w:r>
              <w:rPr>
                <w:rFonts w:eastAsia="Times New Roman"/>
                <w:sz w:val="16"/>
                <w:szCs w:val="16"/>
              </w:rPr>
              <w:t>500,525</w:t>
            </w:r>
          </w:p>
        </w:tc>
        <w:tc>
          <w:tcPr>
            <w:tcW w:w="450" w:type="pct"/>
            <w:shd w:val="clear" w:color="auto" w:fill="FFFFFF"/>
            <w:vAlign w:val="bottom"/>
            <w:hideMark/>
          </w:tcPr>
          <w:p w14:paraId="45BD2CA2" w14:textId="77777777" w:rsidR="00000000" w:rsidRDefault="0053651E">
            <w:pPr>
              <w:jc w:val="right"/>
              <w:rPr>
                <w:rFonts w:eastAsia="Times New Roman"/>
                <w:sz w:val="16"/>
                <w:szCs w:val="16"/>
              </w:rPr>
            </w:pPr>
            <w:r>
              <w:rPr>
                <w:rFonts w:eastAsia="Times New Roman"/>
                <w:sz w:val="16"/>
                <w:szCs w:val="16"/>
              </w:rPr>
              <w:t>2,002,101</w:t>
            </w:r>
          </w:p>
        </w:tc>
        <w:tc>
          <w:tcPr>
            <w:tcW w:w="350" w:type="pct"/>
            <w:shd w:val="clear" w:color="auto" w:fill="FFFFFF"/>
            <w:vAlign w:val="bottom"/>
            <w:hideMark/>
          </w:tcPr>
          <w:p w14:paraId="05660A30" w14:textId="77777777" w:rsidR="00000000" w:rsidRDefault="0053651E">
            <w:pPr>
              <w:jc w:val="right"/>
              <w:rPr>
                <w:rFonts w:eastAsia="Times New Roman"/>
                <w:sz w:val="16"/>
                <w:szCs w:val="16"/>
              </w:rPr>
            </w:pPr>
            <w:r>
              <w:rPr>
                <w:rFonts w:eastAsia="Times New Roman"/>
                <w:sz w:val="16"/>
                <w:szCs w:val="16"/>
              </w:rPr>
              <w:t>2,502,626</w:t>
            </w:r>
          </w:p>
        </w:tc>
        <w:tc>
          <w:tcPr>
            <w:tcW w:w="400" w:type="pct"/>
            <w:shd w:val="clear" w:color="auto" w:fill="FFFFFF"/>
            <w:vAlign w:val="bottom"/>
            <w:hideMark/>
          </w:tcPr>
          <w:p w14:paraId="36A183EB" w14:textId="77777777" w:rsidR="00000000" w:rsidRDefault="0053651E">
            <w:pPr>
              <w:jc w:val="right"/>
              <w:rPr>
                <w:rFonts w:eastAsia="Times New Roman"/>
                <w:sz w:val="16"/>
                <w:szCs w:val="16"/>
              </w:rPr>
            </w:pPr>
            <w:r>
              <w:rPr>
                <w:rFonts w:eastAsia="Times New Roman"/>
                <w:sz w:val="16"/>
                <w:szCs w:val="16"/>
              </w:rPr>
              <w:t>1,227,784</w:t>
            </w:r>
          </w:p>
        </w:tc>
        <w:tc>
          <w:tcPr>
            <w:tcW w:w="50" w:type="pct"/>
            <w:shd w:val="clear" w:color="auto" w:fill="FFFFFF"/>
            <w:vAlign w:val="bottom"/>
            <w:hideMark/>
          </w:tcPr>
          <w:p w14:paraId="6D4E95D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AD7B0F8" w14:textId="77777777" w:rsidR="00000000" w:rsidRDefault="0053651E">
            <w:pPr>
              <w:jc w:val="right"/>
              <w:rPr>
                <w:rFonts w:eastAsia="Times New Roman"/>
                <w:sz w:val="16"/>
                <w:szCs w:val="16"/>
              </w:rPr>
            </w:pPr>
            <w:r>
              <w:rPr>
                <w:rFonts w:eastAsia="Times New Roman"/>
                <w:sz w:val="16"/>
                <w:szCs w:val="16"/>
              </w:rPr>
              <w:t>1,274,842</w:t>
            </w:r>
          </w:p>
        </w:tc>
        <w:tc>
          <w:tcPr>
            <w:tcW w:w="50" w:type="pct"/>
            <w:shd w:val="clear" w:color="auto" w:fill="FFFFFF"/>
            <w:vAlign w:val="bottom"/>
            <w:hideMark/>
          </w:tcPr>
          <w:p w14:paraId="3FAD262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09CD2E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B548924"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3BB20BD8" w14:textId="77777777">
        <w:trPr>
          <w:tblCellSpacing w:w="0" w:type="dxa"/>
        </w:trPr>
        <w:tc>
          <w:tcPr>
            <w:tcW w:w="50" w:type="pct"/>
            <w:shd w:val="clear" w:color="auto" w:fill="CCEEFF"/>
            <w:vAlign w:val="bottom"/>
            <w:hideMark/>
          </w:tcPr>
          <w:p w14:paraId="6C4C973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1533FF3" w14:textId="77777777" w:rsidR="00000000" w:rsidRDefault="0053651E">
            <w:pPr>
              <w:pStyle w:val="a3"/>
              <w:spacing w:before="0" w:beforeAutospacing="0" w:after="0" w:afterAutospacing="0"/>
              <w:rPr>
                <w:sz w:val="16"/>
                <w:szCs w:val="16"/>
              </w:rPr>
            </w:pPr>
            <w:r>
              <w:rPr>
                <w:sz w:val="16"/>
                <w:szCs w:val="16"/>
              </w:rPr>
              <w:t>PLAZA DEL PRADO</w:t>
            </w:r>
          </w:p>
        </w:tc>
        <w:tc>
          <w:tcPr>
            <w:tcW w:w="150" w:type="pct"/>
            <w:shd w:val="clear" w:color="auto" w:fill="CCEEFF"/>
            <w:vAlign w:val="bottom"/>
            <w:hideMark/>
          </w:tcPr>
          <w:p w14:paraId="01C9350F" w14:textId="77777777" w:rsidR="00000000" w:rsidRDefault="0053651E">
            <w:pPr>
              <w:pStyle w:val="a3"/>
              <w:spacing w:before="0" w:beforeAutospacing="0" w:after="0" w:afterAutospacing="0"/>
              <w:rPr>
                <w:sz w:val="16"/>
                <w:szCs w:val="16"/>
              </w:rPr>
            </w:pPr>
            <w:r>
              <w:rPr>
                <w:rStyle w:val="a6"/>
                <w:i w:val="0"/>
                <w:iCs w:val="0"/>
                <w:sz w:val="16"/>
                <w:szCs w:val="16"/>
              </w:rPr>
              <w:t>IL</w:t>
            </w:r>
          </w:p>
        </w:tc>
        <w:tc>
          <w:tcPr>
            <w:tcW w:w="300" w:type="pct"/>
            <w:shd w:val="clear" w:color="auto" w:fill="CCEEFF"/>
            <w:vAlign w:val="bottom"/>
            <w:hideMark/>
          </w:tcPr>
          <w:p w14:paraId="1F052385" w14:textId="77777777" w:rsidR="00000000" w:rsidRDefault="0053651E">
            <w:pPr>
              <w:jc w:val="right"/>
              <w:rPr>
                <w:rFonts w:eastAsia="Times New Roman"/>
                <w:sz w:val="16"/>
                <w:szCs w:val="16"/>
              </w:rPr>
            </w:pPr>
            <w:r>
              <w:rPr>
                <w:rFonts w:eastAsia="Times New Roman"/>
                <w:sz w:val="16"/>
                <w:szCs w:val="16"/>
              </w:rPr>
              <w:t>10,203,960</w:t>
            </w:r>
          </w:p>
        </w:tc>
        <w:tc>
          <w:tcPr>
            <w:tcW w:w="550" w:type="pct"/>
            <w:shd w:val="clear" w:color="auto" w:fill="CCEEFF"/>
            <w:vAlign w:val="bottom"/>
            <w:hideMark/>
          </w:tcPr>
          <w:p w14:paraId="23305919" w14:textId="77777777" w:rsidR="00000000" w:rsidRDefault="0053651E">
            <w:pPr>
              <w:jc w:val="right"/>
              <w:rPr>
                <w:rFonts w:eastAsia="Times New Roman"/>
                <w:sz w:val="16"/>
                <w:szCs w:val="16"/>
              </w:rPr>
            </w:pPr>
            <w:r>
              <w:rPr>
                <w:rFonts w:eastAsia="Times New Roman"/>
                <w:sz w:val="16"/>
                <w:szCs w:val="16"/>
              </w:rPr>
              <w:t>28,409,786</w:t>
            </w:r>
          </w:p>
        </w:tc>
        <w:tc>
          <w:tcPr>
            <w:tcW w:w="350" w:type="pct"/>
            <w:shd w:val="clear" w:color="auto" w:fill="CCEEFF"/>
            <w:vAlign w:val="bottom"/>
            <w:hideMark/>
          </w:tcPr>
          <w:p w14:paraId="10D6CBE8" w14:textId="77777777" w:rsidR="00000000" w:rsidRDefault="0053651E">
            <w:pPr>
              <w:jc w:val="right"/>
              <w:rPr>
                <w:rFonts w:eastAsia="Times New Roman"/>
                <w:sz w:val="16"/>
                <w:szCs w:val="16"/>
              </w:rPr>
            </w:pPr>
            <w:r>
              <w:rPr>
                <w:rFonts w:eastAsia="Times New Roman"/>
                <w:sz w:val="16"/>
                <w:szCs w:val="16"/>
              </w:rPr>
              <w:t>1,856,215</w:t>
            </w:r>
          </w:p>
        </w:tc>
        <w:tc>
          <w:tcPr>
            <w:tcW w:w="300" w:type="pct"/>
            <w:shd w:val="clear" w:color="auto" w:fill="CCEEFF"/>
            <w:vAlign w:val="bottom"/>
            <w:hideMark/>
          </w:tcPr>
          <w:p w14:paraId="1B59431F" w14:textId="77777777" w:rsidR="00000000" w:rsidRDefault="0053651E">
            <w:pPr>
              <w:jc w:val="right"/>
              <w:rPr>
                <w:rFonts w:eastAsia="Times New Roman"/>
                <w:sz w:val="16"/>
                <w:szCs w:val="16"/>
              </w:rPr>
            </w:pPr>
            <w:r>
              <w:rPr>
                <w:rFonts w:eastAsia="Times New Roman"/>
                <w:sz w:val="16"/>
                <w:szCs w:val="16"/>
              </w:rPr>
              <w:t>10,203,960</w:t>
            </w:r>
          </w:p>
        </w:tc>
        <w:tc>
          <w:tcPr>
            <w:tcW w:w="450" w:type="pct"/>
            <w:shd w:val="clear" w:color="auto" w:fill="CCEEFF"/>
            <w:vAlign w:val="bottom"/>
            <w:hideMark/>
          </w:tcPr>
          <w:p w14:paraId="4A70CCCF" w14:textId="77777777" w:rsidR="00000000" w:rsidRDefault="0053651E">
            <w:pPr>
              <w:jc w:val="right"/>
              <w:rPr>
                <w:rFonts w:eastAsia="Times New Roman"/>
                <w:sz w:val="16"/>
                <w:szCs w:val="16"/>
              </w:rPr>
            </w:pPr>
            <w:r>
              <w:rPr>
                <w:rFonts w:eastAsia="Times New Roman"/>
                <w:sz w:val="16"/>
                <w:szCs w:val="16"/>
              </w:rPr>
              <w:t>30,266,001</w:t>
            </w:r>
          </w:p>
        </w:tc>
        <w:tc>
          <w:tcPr>
            <w:tcW w:w="350" w:type="pct"/>
            <w:shd w:val="clear" w:color="auto" w:fill="CCEEFF"/>
            <w:vAlign w:val="bottom"/>
            <w:hideMark/>
          </w:tcPr>
          <w:p w14:paraId="646E0527" w14:textId="77777777" w:rsidR="00000000" w:rsidRDefault="0053651E">
            <w:pPr>
              <w:jc w:val="right"/>
              <w:rPr>
                <w:rFonts w:eastAsia="Times New Roman"/>
                <w:sz w:val="16"/>
                <w:szCs w:val="16"/>
              </w:rPr>
            </w:pPr>
            <w:r>
              <w:rPr>
                <w:rFonts w:eastAsia="Times New Roman"/>
                <w:sz w:val="16"/>
                <w:szCs w:val="16"/>
              </w:rPr>
              <w:t>40,469,961</w:t>
            </w:r>
          </w:p>
        </w:tc>
        <w:tc>
          <w:tcPr>
            <w:tcW w:w="400" w:type="pct"/>
            <w:shd w:val="clear" w:color="auto" w:fill="CCEEFF"/>
            <w:vAlign w:val="bottom"/>
            <w:hideMark/>
          </w:tcPr>
          <w:p w14:paraId="6BC88ED8" w14:textId="77777777" w:rsidR="00000000" w:rsidRDefault="0053651E">
            <w:pPr>
              <w:jc w:val="right"/>
              <w:rPr>
                <w:rFonts w:eastAsia="Times New Roman"/>
                <w:sz w:val="16"/>
                <w:szCs w:val="16"/>
              </w:rPr>
            </w:pPr>
            <w:r>
              <w:rPr>
                <w:rFonts w:eastAsia="Times New Roman"/>
                <w:sz w:val="16"/>
                <w:szCs w:val="16"/>
              </w:rPr>
              <w:t>4,466,628</w:t>
            </w:r>
          </w:p>
        </w:tc>
        <w:tc>
          <w:tcPr>
            <w:tcW w:w="50" w:type="pct"/>
            <w:shd w:val="clear" w:color="auto" w:fill="CCEEFF"/>
            <w:vAlign w:val="bottom"/>
            <w:hideMark/>
          </w:tcPr>
          <w:p w14:paraId="081CE0F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6EF3E2B" w14:textId="77777777" w:rsidR="00000000" w:rsidRDefault="0053651E">
            <w:pPr>
              <w:jc w:val="right"/>
              <w:rPr>
                <w:rFonts w:eastAsia="Times New Roman"/>
                <w:sz w:val="16"/>
                <w:szCs w:val="16"/>
              </w:rPr>
            </w:pPr>
            <w:r>
              <w:rPr>
                <w:rFonts w:eastAsia="Times New Roman"/>
                <w:sz w:val="16"/>
                <w:szCs w:val="16"/>
              </w:rPr>
              <w:t>36,003,333</w:t>
            </w:r>
          </w:p>
        </w:tc>
        <w:tc>
          <w:tcPr>
            <w:tcW w:w="50" w:type="pct"/>
            <w:shd w:val="clear" w:color="auto" w:fill="CCEEFF"/>
            <w:vAlign w:val="bottom"/>
            <w:hideMark/>
          </w:tcPr>
          <w:p w14:paraId="3330DAA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441FDA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2AC0113"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7D828594" w14:textId="77777777">
        <w:trPr>
          <w:tblCellSpacing w:w="0" w:type="dxa"/>
        </w:trPr>
        <w:tc>
          <w:tcPr>
            <w:tcW w:w="50" w:type="pct"/>
            <w:shd w:val="clear" w:color="auto" w:fill="FFFFFF"/>
            <w:vAlign w:val="bottom"/>
            <w:hideMark/>
          </w:tcPr>
          <w:p w14:paraId="387D446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8B6ACBD" w14:textId="77777777" w:rsidR="00000000" w:rsidRDefault="0053651E">
            <w:pPr>
              <w:pStyle w:val="a3"/>
              <w:spacing w:before="0" w:beforeAutospacing="0" w:after="0" w:afterAutospacing="0"/>
              <w:rPr>
                <w:sz w:val="16"/>
                <w:szCs w:val="16"/>
              </w:rPr>
            </w:pPr>
            <w:r>
              <w:rPr>
                <w:sz w:val="16"/>
                <w:szCs w:val="16"/>
              </w:rPr>
              <w:t>SKOKIE POINTE</w:t>
            </w:r>
          </w:p>
        </w:tc>
        <w:tc>
          <w:tcPr>
            <w:tcW w:w="150" w:type="pct"/>
            <w:shd w:val="clear" w:color="auto" w:fill="FFFFFF"/>
            <w:vAlign w:val="bottom"/>
            <w:hideMark/>
          </w:tcPr>
          <w:p w14:paraId="530DAFC4" w14:textId="77777777" w:rsidR="00000000" w:rsidRDefault="0053651E">
            <w:pPr>
              <w:pStyle w:val="a3"/>
              <w:spacing w:before="0" w:beforeAutospacing="0" w:after="0" w:afterAutospacing="0"/>
              <w:rPr>
                <w:sz w:val="16"/>
                <w:szCs w:val="16"/>
              </w:rPr>
            </w:pPr>
            <w:r>
              <w:rPr>
                <w:rStyle w:val="a6"/>
                <w:i w:val="0"/>
                <w:iCs w:val="0"/>
                <w:sz w:val="16"/>
                <w:szCs w:val="16"/>
              </w:rPr>
              <w:t>IL</w:t>
            </w:r>
          </w:p>
        </w:tc>
        <w:tc>
          <w:tcPr>
            <w:tcW w:w="300" w:type="pct"/>
            <w:shd w:val="clear" w:color="auto" w:fill="FFFFFF"/>
            <w:vAlign w:val="bottom"/>
            <w:hideMark/>
          </w:tcPr>
          <w:p w14:paraId="4F1CDBA0"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212278C5" w14:textId="77777777" w:rsidR="00000000" w:rsidRDefault="0053651E">
            <w:pPr>
              <w:jc w:val="right"/>
              <w:rPr>
                <w:rFonts w:eastAsia="Times New Roman"/>
                <w:sz w:val="16"/>
                <w:szCs w:val="16"/>
              </w:rPr>
            </w:pPr>
            <w:r>
              <w:rPr>
                <w:rFonts w:eastAsia="Times New Roman"/>
                <w:sz w:val="16"/>
                <w:szCs w:val="16"/>
              </w:rPr>
              <w:t>2,276,360</w:t>
            </w:r>
          </w:p>
        </w:tc>
        <w:tc>
          <w:tcPr>
            <w:tcW w:w="350" w:type="pct"/>
            <w:shd w:val="clear" w:color="auto" w:fill="FFFFFF"/>
            <w:vAlign w:val="bottom"/>
            <w:hideMark/>
          </w:tcPr>
          <w:p w14:paraId="427FE9C5" w14:textId="77777777" w:rsidR="00000000" w:rsidRDefault="0053651E">
            <w:pPr>
              <w:jc w:val="right"/>
              <w:rPr>
                <w:rFonts w:eastAsia="Times New Roman"/>
                <w:sz w:val="16"/>
                <w:szCs w:val="16"/>
              </w:rPr>
            </w:pPr>
            <w:r>
              <w:rPr>
                <w:rFonts w:eastAsia="Times New Roman"/>
                <w:sz w:val="16"/>
                <w:szCs w:val="16"/>
              </w:rPr>
              <w:t>9,564,305</w:t>
            </w:r>
          </w:p>
        </w:tc>
        <w:tc>
          <w:tcPr>
            <w:tcW w:w="300" w:type="pct"/>
            <w:shd w:val="clear" w:color="auto" w:fill="FFFFFF"/>
            <w:vAlign w:val="bottom"/>
            <w:hideMark/>
          </w:tcPr>
          <w:p w14:paraId="4037F9FE" w14:textId="77777777" w:rsidR="00000000" w:rsidRDefault="0053651E">
            <w:pPr>
              <w:jc w:val="right"/>
              <w:rPr>
                <w:rFonts w:eastAsia="Times New Roman"/>
                <w:sz w:val="16"/>
                <w:szCs w:val="16"/>
              </w:rPr>
            </w:pPr>
            <w:r>
              <w:rPr>
                <w:rFonts w:eastAsia="Times New Roman"/>
                <w:sz w:val="16"/>
                <w:szCs w:val="16"/>
              </w:rPr>
              <w:t>2,628,440</w:t>
            </w:r>
          </w:p>
        </w:tc>
        <w:tc>
          <w:tcPr>
            <w:tcW w:w="450" w:type="pct"/>
            <w:shd w:val="clear" w:color="auto" w:fill="FFFFFF"/>
            <w:vAlign w:val="bottom"/>
            <w:hideMark/>
          </w:tcPr>
          <w:p w14:paraId="3E7E4D6E" w14:textId="77777777" w:rsidR="00000000" w:rsidRDefault="0053651E">
            <w:pPr>
              <w:jc w:val="right"/>
              <w:rPr>
                <w:rFonts w:eastAsia="Times New Roman"/>
                <w:sz w:val="16"/>
                <w:szCs w:val="16"/>
              </w:rPr>
            </w:pPr>
            <w:r>
              <w:rPr>
                <w:rFonts w:eastAsia="Times New Roman"/>
                <w:sz w:val="16"/>
                <w:szCs w:val="16"/>
              </w:rPr>
              <w:t>9,212,225</w:t>
            </w:r>
          </w:p>
        </w:tc>
        <w:tc>
          <w:tcPr>
            <w:tcW w:w="350" w:type="pct"/>
            <w:shd w:val="clear" w:color="auto" w:fill="FFFFFF"/>
            <w:vAlign w:val="bottom"/>
            <w:hideMark/>
          </w:tcPr>
          <w:p w14:paraId="0E6D4BBB" w14:textId="77777777" w:rsidR="00000000" w:rsidRDefault="0053651E">
            <w:pPr>
              <w:jc w:val="right"/>
              <w:rPr>
                <w:rFonts w:eastAsia="Times New Roman"/>
                <w:sz w:val="16"/>
                <w:szCs w:val="16"/>
              </w:rPr>
            </w:pPr>
            <w:r>
              <w:rPr>
                <w:rFonts w:eastAsia="Times New Roman"/>
                <w:sz w:val="16"/>
                <w:szCs w:val="16"/>
              </w:rPr>
              <w:t>11,840,665</w:t>
            </w:r>
          </w:p>
        </w:tc>
        <w:tc>
          <w:tcPr>
            <w:tcW w:w="400" w:type="pct"/>
            <w:shd w:val="clear" w:color="auto" w:fill="FFFFFF"/>
            <w:vAlign w:val="bottom"/>
            <w:hideMark/>
          </w:tcPr>
          <w:p w14:paraId="11FF0573" w14:textId="77777777" w:rsidR="00000000" w:rsidRDefault="0053651E">
            <w:pPr>
              <w:jc w:val="right"/>
              <w:rPr>
                <w:rFonts w:eastAsia="Times New Roman"/>
                <w:sz w:val="16"/>
                <w:szCs w:val="16"/>
              </w:rPr>
            </w:pPr>
            <w:r>
              <w:rPr>
                <w:rFonts w:eastAsia="Times New Roman"/>
                <w:sz w:val="16"/>
                <w:szCs w:val="16"/>
              </w:rPr>
              <w:t>4,416,043</w:t>
            </w:r>
          </w:p>
        </w:tc>
        <w:tc>
          <w:tcPr>
            <w:tcW w:w="50" w:type="pct"/>
            <w:shd w:val="clear" w:color="auto" w:fill="FFFFFF"/>
            <w:vAlign w:val="bottom"/>
            <w:hideMark/>
          </w:tcPr>
          <w:p w14:paraId="7F80CF4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B9E154B" w14:textId="77777777" w:rsidR="00000000" w:rsidRDefault="0053651E">
            <w:pPr>
              <w:jc w:val="right"/>
              <w:rPr>
                <w:rFonts w:eastAsia="Times New Roman"/>
                <w:sz w:val="16"/>
                <w:szCs w:val="16"/>
              </w:rPr>
            </w:pPr>
            <w:r>
              <w:rPr>
                <w:rFonts w:eastAsia="Times New Roman"/>
                <w:sz w:val="16"/>
                <w:szCs w:val="16"/>
              </w:rPr>
              <w:t>7,424,622</w:t>
            </w:r>
          </w:p>
        </w:tc>
        <w:tc>
          <w:tcPr>
            <w:tcW w:w="50" w:type="pct"/>
            <w:shd w:val="clear" w:color="auto" w:fill="FFFFFF"/>
            <w:vAlign w:val="bottom"/>
            <w:hideMark/>
          </w:tcPr>
          <w:p w14:paraId="4AA3A10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2649D8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8FAEDD2" w14:textId="77777777" w:rsidR="00000000" w:rsidRDefault="0053651E">
            <w:pPr>
              <w:pStyle w:val="a3"/>
              <w:spacing w:before="0" w:beforeAutospacing="0" w:after="0" w:afterAutospacing="0"/>
              <w:jc w:val="center"/>
              <w:rPr>
                <w:sz w:val="16"/>
                <w:szCs w:val="16"/>
              </w:rPr>
            </w:pPr>
            <w:r>
              <w:rPr>
                <w:rStyle w:val="a6"/>
                <w:i w:val="0"/>
                <w:iCs w:val="0"/>
                <w:sz w:val="16"/>
                <w:szCs w:val="16"/>
              </w:rPr>
              <w:t>1997(A)</w:t>
            </w:r>
          </w:p>
        </w:tc>
      </w:tr>
    </w:tbl>
    <w:p w14:paraId="134B6C04"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236"/>
        <w:gridCol w:w="258"/>
        <w:gridCol w:w="720"/>
        <w:gridCol w:w="720"/>
        <w:gridCol w:w="747"/>
        <w:gridCol w:w="720"/>
        <w:gridCol w:w="720"/>
        <w:gridCol w:w="800"/>
        <w:gridCol w:w="720"/>
        <w:gridCol w:w="40"/>
        <w:gridCol w:w="800"/>
        <w:gridCol w:w="40"/>
        <w:gridCol w:w="720"/>
        <w:gridCol w:w="543"/>
      </w:tblGrid>
      <w:tr w:rsidR="00000000" w14:paraId="2CF93F72" w14:textId="77777777">
        <w:trPr>
          <w:tblCellSpacing w:w="0" w:type="dxa"/>
        </w:trPr>
        <w:tc>
          <w:tcPr>
            <w:tcW w:w="50" w:type="pct"/>
            <w:shd w:val="clear" w:color="auto" w:fill="CCEEFF"/>
            <w:vAlign w:val="bottom"/>
            <w:hideMark/>
          </w:tcPr>
          <w:p w14:paraId="4F7B82A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04F6EFF" w14:textId="77777777" w:rsidR="00000000" w:rsidRDefault="0053651E">
            <w:pPr>
              <w:pStyle w:val="a3"/>
              <w:spacing w:before="0" w:beforeAutospacing="0" w:after="0" w:afterAutospacing="0"/>
              <w:rPr>
                <w:sz w:val="16"/>
                <w:szCs w:val="16"/>
              </w:rPr>
            </w:pPr>
            <w:r>
              <w:rPr>
                <w:sz w:val="16"/>
                <w:szCs w:val="16"/>
              </w:rPr>
              <w:t>HAWTHORN HILLS SQUARE</w:t>
            </w:r>
          </w:p>
        </w:tc>
        <w:tc>
          <w:tcPr>
            <w:tcW w:w="150" w:type="pct"/>
            <w:shd w:val="clear" w:color="auto" w:fill="CCEEFF"/>
            <w:vAlign w:val="bottom"/>
            <w:hideMark/>
          </w:tcPr>
          <w:p w14:paraId="126206EE" w14:textId="77777777" w:rsidR="00000000" w:rsidRDefault="0053651E">
            <w:pPr>
              <w:pStyle w:val="a3"/>
              <w:spacing w:before="0" w:beforeAutospacing="0" w:after="0" w:afterAutospacing="0"/>
              <w:rPr>
                <w:sz w:val="16"/>
                <w:szCs w:val="16"/>
              </w:rPr>
            </w:pPr>
            <w:r>
              <w:rPr>
                <w:rStyle w:val="a6"/>
                <w:i w:val="0"/>
                <w:iCs w:val="0"/>
                <w:sz w:val="16"/>
                <w:szCs w:val="16"/>
              </w:rPr>
              <w:t>IL</w:t>
            </w:r>
          </w:p>
        </w:tc>
        <w:tc>
          <w:tcPr>
            <w:tcW w:w="300" w:type="pct"/>
            <w:shd w:val="clear" w:color="auto" w:fill="CCEEFF"/>
            <w:vAlign w:val="bottom"/>
            <w:hideMark/>
          </w:tcPr>
          <w:p w14:paraId="55B08737" w14:textId="77777777" w:rsidR="00000000" w:rsidRDefault="0053651E">
            <w:pPr>
              <w:jc w:val="right"/>
              <w:rPr>
                <w:rFonts w:eastAsia="Times New Roman"/>
                <w:sz w:val="16"/>
                <w:szCs w:val="16"/>
              </w:rPr>
            </w:pPr>
            <w:r>
              <w:rPr>
                <w:rFonts w:eastAsia="Times New Roman"/>
                <w:sz w:val="16"/>
                <w:szCs w:val="16"/>
              </w:rPr>
              <w:t>6,783,928</w:t>
            </w:r>
          </w:p>
        </w:tc>
        <w:tc>
          <w:tcPr>
            <w:tcW w:w="550" w:type="pct"/>
            <w:shd w:val="clear" w:color="auto" w:fill="CCEEFF"/>
            <w:vAlign w:val="bottom"/>
            <w:hideMark/>
          </w:tcPr>
          <w:p w14:paraId="70403001" w14:textId="77777777" w:rsidR="00000000" w:rsidRDefault="0053651E">
            <w:pPr>
              <w:jc w:val="right"/>
              <w:rPr>
                <w:rFonts w:eastAsia="Times New Roman"/>
                <w:sz w:val="16"/>
                <w:szCs w:val="16"/>
              </w:rPr>
            </w:pPr>
            <w:r>
              <w:rPr>
                <w:rFonts w:eastAsia="Times New Roman"/>
                <w:sz w:val="16"/>
                <w:szCs w:val="16"/>
              </w:rPr>
              <w:t>33,033,624</w:t>
            </w:r>
          </w:p>
        </w:tc>
        <w:tc>
          <w:tcPr>
            <w:tcW w:w="350" w:type="pct"/>
            <w:shd w:val="clear" w:color="auto" w:fill="CCEEFF"/>
            <w:vAlign w:val="bottom"/>
            <w:hideMark/>
          </w:tcPr>
          <w:p w14:paraId="697E8D33" w14:textId="77777777" w:rsidR="00000000" w:rsidRDefault="0053651E">
            <w:pPr>
              <w:jc w:val="right"/>
              <w:rPr>
                <w:rFonts w:eastAsia="Times New Roman"/>
                <w:sz w:val="16"/>
                <w:szCs w:val="16"/>
              </w:rPr>
            </w:pPr>
            <w:r>
              <w:rPr>
                <w:rFonts w:eastAsia="Times New Roman"/>
                <w:sz w:val="16"/>
                <w:szCs w:val="16"/>
              </w:rPr>
              <w:t>3,243,517</w:t>
            </w:r>
          </w:p>
        </w:tc>
        <w:tc>
          <w:tcPr>
            <w:tcW w:w="300" w:type="pct"/>
            <w:shd w:val="clear" w:color="auto" w:fill="CCEEFF"/>
            <w:vAlign w:val="bottom"/>
            <w:hideMark/>
          </w:tcPr>
          <w:p w14:paraId="36FBBAAA" w14:textId="77777777" w:rsidR="00000000" w:rsidRDefault="0053651E">
            <w:pPr>
              <w:jc w:val="right"/>
              <w:rPr>
                <w:rFonts w:eastAsia="Times New Roman"/>
                <w:sz w:val="16"/>
                <w:szCs w:val="16"/>
              </w:rPr>
            </w:pPr>
            <w:r>
              <w:rPr>
                <w:rFonts w:eastAsia="Times New Roman"/>
                <w:sz w:val="16"/>
                <w:szCs w:val="16"/>
              </w:rPr>
              <w:t>6,783,928</w:t>
            </w:r>
          </w:p>
        </w:tc>
        <w:tc>
          <w:tcPr>
            <w:tcW w:w="450" w:type="pct"/>
            <w:shd w:val="clear" w:color="auto" w:fill="CCEEFF"/>
            <w:vAlign w:val="bottom"/>
            <w:hideMark/>
          </w:tcPr>
          <w:p w14:paraId="7234DD21" w14:textId="77777777" w:rsidR="00000000" w:rsidRDefault="0053651E">
            <w:pPr>
              <w:jc w:val="right"/>
              <w:rPr>
                <w:rFonts w:eastAsia="Times New Roman"/>
                <w:sz w:val="16"/>
                <w:szCs w:val="16"/>
              </w:rPr>
            </w:pPr>
            <w:r>
              <w:rPr>
                <w:rFonts w:eastAsia="Times New Roman"/>
                <w:sz w:val="16"/>
                <w:szCs w:val="16"/>
              </w:rPr>
              <w:t>36,277,141</w:t>
            </w:r>
          </w:p>
        </w:tc>
        <w:tc>
          <w:tcPr>
            <w:tcW w:w="350" w:type="pct"/>
            <w:shd w:val="clear" w:color="auto" w:fill="CCEEFF"/>
            <w:vAlign w:val="bottom"/>
            <w:hideMark/>
          </w:tcPr>
          <w:p w14:paraId="71141EDD" w14:textId="77777777" w:rsidR="00000000" w:rsidRDefault="0053651E">
            <w:pPr>
              <w:jc w:val="right"/>
              <w:rPr>
                <w:rFonts w:eastAsia="Times New Roman"/>
                <w:sz w:val="16"/>
                <w:szCs w:val="16"/>
              </w:rPr>
            </w:pPr>
            <w:r>
              <w:rPr>
                <w:rFonts w:eastAsia="Times New Roman"/>
                <w:sz w:val="16"/>
                <w:szCs w:val="16"/>
              </w:rPr>
              <w:t>43,061,069</w:t>
            </w:r>
          </w:p>
        </w:tc>
        <w:tc>
          <w:tcPr>
            <w:tcW w:w="400" w:type="pct"/>
            <w:shd w:val="clear" w:color="auto" w:fill="CCEEFF"/>
            <w:vAlign w:val="bottom"/>
            <w:hideMark/>
          </w:tcPr>
          <w:p w14:paraId="2BF1096F" w14:textId="77777777" w:rsidR="00000000" w:rsidRDefault="0053651E">
            <w:pPr>
              <w:jc w:val="right"/>
              <w:rPr>
                <w:rFonts w:eastAsia="Times New Roman"/>
                <w:sz w:val="16"/>
                <w:szCs w:val="16"/>
              </w:rPr>
            </w:pPr>
            <w:r>
              <w:rPr>
                <w:rFonts w:eastAsia="Times New Roman"/>
                <w:sz w:val="16"/>
                <w:szCs w:val="16"/>
              </w:rPr>
              <w:t>9,571,068</w:t>
            </w:r>
          </w:p>
        </w:tc>
        <w:tc>
          <w:tcPr>
            <w:tcW w:w="50" w:type="pct"/>
            <w:shd w:val="clear" w:color="auto" w:fill="CCEEFF"/>
            <w:vAlign w:val="bottom"/>
            <w:hideMark/>
          </w:tcPr>
          <w:p w14:paraId="5903B89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ECE88AB" w14:textId="77777777" w:rsidR="00000000" w:rsidRDefault="0053651E">
            <w:pPr>
              <w:jc w:val="right"/>
              <w:rPr>
                <w:rFonts w:eastAsia="Times New Roman"/>
                <w:sz w:val="16"/>
                <w:szCs w:val="16"/>
              </w:rPr>
            </w:pPr>
            <w:r>
              <w:rPr>
                <w:rFonts w:eastAsia="Times New Roman"/>
                <w:sz w:val="16"/>
                <w:szCs w:val="16"/>
              </w:rPr>
              <w:t>33,490,001</w:t>
            </w:r>
          </w:p>
        </w:tc>
        <w:tc>
          <w:tcPr>
            <w:tcW w:w="50" w:type="pct"/>
            <w:shd w:val="clear" w:color="auto" w:fill="CCEEFF"/>
            <w:vAlign w:val="bottom"/>
            <w:hideMark/>
          </w:tcPr>
          <w:p w14:paraId="545E115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7CB1A6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5BFDFCC"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09759286" w14:textId="77777777">
        <w:trPr>
          <w:tblCellSpacing w:w="0" w:type="dxa"/>
        </w:trPr>
        <w:tc>
          <w:tcPr>
            <w:tcW w:w="50" w:type="pct"/>
            <w:shd w:val="clear" w:color="auto" w:fill="FFFFFF"/>
            <w:vAlign w:val="bottom"/>
            <w:hideMark/>
          </w:tcPr>
          <w:p w14:paraId="7103C3F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880D1FD" w14:textId="77777777" w:rsidR="00000000" w:rsidRDefault="0053651E">
            <w:pPr>
              <w:pStyle w:val="a3"/>
              <w:spacing w:before="0" w:beforeAutospacing="0" w:after="0" w:afterAutospacing="0"/>
              <w:rPr>
                <w:sz w:val="16"/>
                <w:szCs w:val="16"/>
              </w:rPr>
            </w:pPr>
            <w:r>
              <w:rPr>
                <w:sz w:val="16"/>
                <w:szCs w:val="16"/>
              </w:rPr>
              <w:t>LINWOOD SQUARE</w:t>
            </w:r>
          </w:p>
        </w:tc>
        <w:tc>
          <w:tcPr>
            <w:tcW w:w="150" w:type="pct"/>
            <w:shd w:val="clear" w:color="auto" w:fill="FFFFFF"/>
            <w:vAlign w:val="bottom"/>
            <w:hideMark/>
          </w:tcPr>
          <w:p w14:paraId="41049DDE" w14:textId="77777777" w:rsidR="00000000" w:rsidRDefault="0053651E">
            <w:pPr>
              <w:pStyle w:val="a3"/>
              <w:spacing w:before="0" w:beforeAutospacing="0" w:after="0" w:afterAutospacing="0"/>
              <w:rPr>
                <w:sz w:val="16"/>
                <w:szCs w:val="16"/>
              </w:rPr>
            </w:pPr>
            <w:r>
              <w:rPr>
                <w:rStyle w:val="a6"/>
                <w:i w:val="0"/>
                <w:iCs w:val="0"/>
                <w:sz w:val="16"/>
                <w:szCs w:val="16"/>
              </w:rPr>
              <w:t>IN</w:t>
            </w:r>
          </w:p>
        </w:tc>
        <w:tc>
          <w:tcPr>
            <w:tcW w:w="300" w:type="pct"/>
            <w:shd w:val="clear" w:color="auto" w:fill="FFFFFF"/>
            <w:vAlign w:val="bottom"/>
            <w:hideMark/>
          </w:tcPr>
          <w:p w14:paraId="69292803" w14:textId="77777777" w:rsidR="00000000" w:rsidRDefault="0053651E">
            <w:pPr>
              <w:jc w:val="right"/>
              <w:rPr>
                <w:rFonts w:eastAsia="Times New Roman"/>
                <w:sz w:val="16"/>
                <w:szCs w:val="16"/>
              </w:rPr>
            </w:pPr>
            <w:r>
              <w:rPr>
                <w:rFonts w:eastAsia="Times New Roman"/>
                <w:sz w:val="16"/>
                <w:szCs w:val="16"/>
              </w:rPr>
              <w:t>3,411,037</w:t>
            </w:r>
          </w:p>
        </w:tc>
        <w:tc>
          <w:tcPr>
            <w:tcW w:w="550" w:type="pct"/>
            <w:shd w:val="clear" w:color="auto" w:fill="FFFFFF"/>
            <w:vAlign w:val="bottom"/>
            <w:hideMark/>
          </w:tcPr>
          <w:p w14:paraId="6AF0D72D" w14:textId="77777777" w:rsidR="00000000" w:rsidRDefault="0053651E">
            <w:pPr>
              <w:jc w:val="right"/>
              <w:rPr>
                <w:rFonts w:eastAsia="Times New Roman"/>
                <w:sz w:val="16"/>
                <w:szCs w:val="16"/>
              </w:rPr>
            </w:pPr>
            <w:r>
              <w:rPr>
                <w:rFonts w:eastAsia="Times New Roman"/>
                <w:sz w:val="16"/>
                <w:szCs w:val="16"/>
              </w:rPr>
              <w:t>8,686,773</w:t>
            </w:r>
          </w:p>
        </w:tc>
        <w:tc>
          <w:tcPr>
            <w:tcW w:w="350" w:type="pct"/>
            <w:shd w:val="clear" w:color="auto" w:fill="FFFFFF"/>
            <w:vAlign w:val="bottom"/>
            <w:hideMark/>
          </w:tcPr>
          <w:p w14:paraId="347BBC41" w14:textId="77777777" w:rsidR="00000000" w:rsidRDefault="0053651E">
            <w:pPr>
              <w:jc w:val="right"/>
              <w:rPr>
                <w:rFonts w:eastAsia="Times New Roman"/>
                <w:sz w:val="16"/>
                <w:szCs w:val="16"/>
              </w:rPr>
            </w:pPr>
            <w:r>
              <w:rPr>
                <w:rFonts w:eastAsia="Times New Roman"/>
                <w:sz w:val="16"/>
                <w:szCs w:val="16"/>
              </w:rPr>
              <w:t>43,397</w:t>
            </w:r>
          </w:p>
        </w:tc>
        <w:tc>
          <w:tcPr>
            <w:tcW w:w="300" w:type="pct"/>
            <w:shd w:val="clear" w:color="auto" w:fill="FFFFFF"/>
            <w:vAlign w:val="bottom"/>
            <w:hideMark/>
          </w:tcPr>
          <w:p w14:paraId="09F1DA77" w14:textId="77777777" w:rsidR="00000000" w:rsidRDefault="0053651E">
            <w:pPr>
              <w:jc w:val="right"/>
              <w:rPr>
                <w:rFonts w:eastAsia="Times New Roman"/>
                <w:sz w:val="16"/>
                <w:szCs w:val="16"/>
              </w:rPr>
            </w:pPr>
            <w:r>
              <w:rPr>
                <w:rFonts w:eastAsia="Times New Roman"/>
                <w:sz w:val="16"/>
                <w:szCs w:val="16"/>
              </w:rPr>
              <w:t>3,411,037</w:t>
            </w:r>
          </w:p>
        </w:tc>
        <w:tc>
          <w:tcPr>
            <w:tcW w:w="450" w:type="pct"/>
            <w:shd w:val="clear" w:color="auto" w:fill="FFFFFF"/>
            <w:vAlign w:val="bottom"/>
            <w:hideMark/>
          </w:tcPr>
          <w:p w14:paraId="1E56BA55" w14:textId="77777777" w:rsidR="00000000" w:rsidRDefault="0053651E">
            <w:pPr>
              <w:jc w:val="right"/>
              <w:rPr>
                <w:rFonts w:eastAsia="Times New Roman"/>
                <w:sz w:val="16"/>
                <w:szCs w:val="16"/>
              </w:rPr>
            </w:pPr>
            <w:r>
              <w:rPr>
                <w:rFonts w:eastAsia="Times New Roman"/>
                <w:sz w:val="16"/>
                <w:szCs w:val="16"/>
              </w:rPr>
              <w:t>8,730,170</w:t>
            </w:r>
          </w:p>
        </w:tc>
        <w:tc>
          <w:tcPr>
            <w:tcW w:w="350" w:type="pct"/>
            <w:shd w:val="clear" w:color="auto" w:fill="FFFFFF"/>
            <w:vAlign w:val="bottom"/>
            <w:hideMark/>
          </w:tcPr>
          <w:p w14:paraId="00372414" w14:textId="77777777" w:rsidR="00000000" w:rsidRDefault="0053651E">
            <w:pPr>
              <w:jc w:val="right"/>
              <w:rPr>
                <w:rFonts w:eastAsia="Times New Roman"/>
                <w:sz w:val="16"/>
                <w:szCs w:val="16"/>
              </w:rPr>
            </w:pPr>
            <w:r>
              <w:rPr>
                <w:rFonts w:eastAsia="Times New Roman"/>
                <w:sz w:val="16"/>
                <w:szCs w:val="16"/>
              </w:rPr>
              <w:t>12,141,207</w:t>
            </w:r>
          </w:p>
        </w:tc>
        <w:tc>
          <w:tcPr>
            <w:tcW w:w="400" w:type="pct"/>
            <w:shd w:val="clear" w:color="auto" w:fill="FFFFFF"/>
            <w:vAlign w:val="bottom"/>
            <w:hideMark/>
          </w:tcPr>
          <w:p w14:paraId="5E6FB488" w14:textId="77777777" w:rsidR="00000000" w:rsidRDefault="0053651E">
            <w:pPr>
              <w:jc w:val="right"/>
              <w:rPr>
                <w:rFonts w:eastAsia="Times New Roman"/>
                <w:sz w:val="16"/>
                <w:szCs w:val="16"/>
              </w:rPr>
            </w:pPr>
            <w:r>
              <w:rPr>
                <w:rFonts w:eastAsia="Times New Roman"/>
                <w:sz w:val="16"/>
                <w:szCs w:val="16"/>
              </w:rPr>
              <w:t>45,531</w:t>
            </w:r>
          </w:p>
        </w:tc>
        <w:tc>
          <w:tcPr>
            <w:tcW w:w="50" w:type="pct"/>
            <w:shd w:val="clear" w:color="auto" w:fill="FFFFFF"/>
            <w:vAlign w:val="bottom"/>
            <w:hideMark/>
          </w:tcPr>
          <w:p w14:paraId="7E6DB81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23D6902" w14:textId="77777777" w:rsidR="00000000" w:rsidRDefault="0053651E">
            <w:pPr>
              <w:jc w:val="right"/>
              <w:rPr>
                <w:rFonts w:eastAsia="Times New Roman"/>
                <w:sz w:val="16"/>
                <w:szCs w:val="16"/>
              </w:rPr>
            </w:pPr>
            <w:r>
              <w:rPr>
                <w:rFonts w:eastAsia="Times New Roman"/>
                <w:sz w:val="16"/>
                <w:szCs w:val="16"/>
              </w:rPr>
              <w:t>12,095,676</w:t>
            </w:r>
          </w:p>
        </w:tc>
        <w:tc>
          <w:tcPr>
            <w:tcW w:w="50" w:type="pct"/>
            <w:shd w:val="clear" w:color="auto" w:fill="FFFFFF"/>
            <w:vAlign w:val="bottom"/>
            <w:hideMark/>
          </w:tcPr>
          <w:p w14:paraId="18F2535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374BDE6" w14:textId="77777777" w:rsidR="00000000" w:rsidRDefault="0053651E">
            <w:pPr>
              <w:jc w:val="right"/>
              <w:rPr>
                <w:rFonts w:eastAsia="Times New Roman"/>
                <w:sz w:val="16"/>
                <w:szCs w:val="16"/>
              </w:rPr>
            </w:pPr>
            <w:r>
              <w:rPr>
                <w:rFonts w:eastAsia="Times New Roman"/>
                <w:sz w:val="16"/>
                <w:szCs w:val="16"/>
              </w:rPr>
              <w:t>5,366,055</w:t>
            </w:r>
          </w:p>
        </w:tc>
        <w:tc>
          <w:tcPr>
            <w:tcW w:w="500" w:type="pct"/>
            <w:shd w:val="clear" w:color="auto" w:fill="FFFFFF"/>
            <w:vAlign w:val="bottom"/>
            <w:hideMark/>
          </w:tcPr>
          <w:p w14:paraId="50A5F35A" w14:textId="77777777" w:rsidR="00000000" w:rsidRDefault="0053651E">
            <w:pPr>
              <w:pStyle w:val="a3"/>
              <w:spacing w:before="0" w:beforeAutospacing="0" w:after="0" w:afterAutospacing="0"/>
              <w:jc w:val="center"/>
              <w:rPr>
                <w:sz w:val="16"/>
                <w:szCs w:val="16"/>
              </w:rPr>
            </w:pPr>
            <w:r>
              <w:rPr>
                <w:rStyle w:val="a6"/>
                <w:i w:val="0"/>
                <w:iCs w:val="0"/>
                <w:sz w:val="16"/>
                <w:szCs w:val="16"/>
              </w:rPr>
              <w:t>2019(A)</w:t>
            </w:r>
          </w:p>
        </w:tc>
      </w:tr>
      <w:tr w:rsidR="00000000" w14:paraId="362876B9" w14:textId="77777777">
        <w:trPr>
          <w:tblCellSpacing w:w="0" w:type="dxa"/>
        </w:trPr>
        <w:tc>
          <w:tcPr>
            <w:tcW w:w="50" w:type="pct"/>
            <w:shd w:val="clear" w:color="auto" w:fill="CCEEFF"/>
            <w:vAlign w:val="bottom"/>
            <w:hideMark/>
          </w:tcPr>
          <w:p w14:paraId="7E82D57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C439482" w14:textId="77777777" w:rsidR="00000000" w:rsidRDefault="0053651E">
            <w:pPr>
              <w:pStyle w:val="a3"/>
              <w:spacing w:before="0" w:beforeAutospacing="0" w:after="0" w:afterAutospacing="0"/>
              <w:rPr>
                <w:sz w:val="16"/>
                <w:szCs w:val="16"/>
              </w:rPr>
            </w:pPr>
            <w:r>
              <w:rPr>
                <w:sz w:val="16"/>
                <w:szCs w:val="16"/>
              </w:rPr>
              <w:t>GREENWOOD S.C.</w:t>
            </w:r>
          </w:p>
        </w:tc>
        <w:tc>
          <w:tcPr>
            <w:tcW w:w="150" w:type="pct"/>
            <w:shd w:val="clear" w:color="auto" w:fill="CCEEFF"/>
            <w:vAlign w:val="bottom"/>
            <w:hideMark/>
          </w:tcPr>
          <w:p w14:paraId="47A5499E" w14:textId="77777777" w:rsidR="00000000" w:rsidRDefault="0053651E">
            <w:pPr>
              <w:pStyle w:val="a3"/>
              <w:spacing w:before="0" w:beforeAutospacing="0" w:after="0" w:afterAutospacing="0"/>
              <w:rPr>
                <w:sz w:val="16"/>
                <w:szCs w:val="16"/>
              </w:rPr>
            </w:pPr>
            <w:r>
              <w:rPr>
                <w:rStyle w:val="a6"/>
                <w:i w:val="0"/>
                <w:iCs w:val="0"/>
                <w:sz w:val="16"/>
                <w:szCs w:val="16"/>
              </w:rPr>
              <w:t>IN</w:t>
            </w:r>
          </w:p>
        </w:tc>
        <w:tc>
          <w:tcPr>
            <w:tcW w:w="300" w:type="pct"/>
            <w:shd w:val="clear" w:color="auto" w:fill="CCEEFF"/>
            <w:vAlign w:val="bottom"/>
            <w:hideMark/>
          </w:tcPr>
          <w:p w14:paraId="2B061F1F" w14:textId="77777777" w:rsidR="00000000" w:rsidRDefault="0053651E">
            <w:pPr>
              <w:jc w:val="right"/>
              <w:rPr>
                <w:rFonts w:eastAsia="Times New Roman"/>
                <w:sz w:val="16"/>
                <w:szCs w:val="16"/>
              </w:rPr>
            </w:pPr>
            <w:r>
              <w:rPr>
                <w:rFonts w:eastAsia="Times New Roman"/>
                <w:sz w:val="16"/>
                <w:szCs w:val="16"/>
              </w:rPr>
              <w:t>423,371</w:t>
            </w:r>
          </w:p>
        </w:tc>
        <w:tc>
          <w:tcPr>
            <w:tcW w:w="550" w:type="pct"/>
            <w:shd w:val="clear" w:color="auto" w:fill="CCEEFF"/>
            <w:vAlign w:val="bottom"/>
            <w:hideMark/>
          </w:tcPr>
          <w:p w14:paraId="24E4B13E" w14:textId="77777777" w:rsidR="00000000" w:rsidRDefault="0053651E">
            <w:pPr>
              <w:jc w:val="right"/>
              <w:rPr>
                <w:rFonts w:eastAsia="Times New Roman"/>
                <w:sz w:val="16"/>
                <w:szCs w:val="16"/>
              </w:rPr>
            </w:pPr>
            <w:r>
              <w:rPr>
                <w:rFonts w:eastAsia="Times New Roman"/>
                <w:sz w:val="16"/>
                <w:szCs w:val="16"/>
              </w:rPr>
              <w:t>1,883,421</w:t>
            </w:r>
          </w:p>
        </w:tc>
        <w:tc>
          <w:tcPr>
            <w:tcW w:w="350" w:type="pct"/>
            <w:shd w:val="clear" w:color="auto" w:fill="CCEEFF"/>
            <w:vAlign w:val="bottom"/>
            <w:hideMark/>
          </w:tcPr>
          <w:p w14:paraId="74706E36" w14:textId="77777777" w:rsidR="00000000" w:rsidRDefault="0053651E">
            <w:pPr>
              <w:jc w:val="right"/>
              <w:rPr>
                <w:rFonts w:eastAsia="Times New Roman"/>
                <w:sz w:val="16"/>
                <w:szCs w:val="16"/>
              </w:rPr>
            </w:pPr>
            <w:r>
              <w:rPr>
                <w:rFonts w:eastAsia="Times New Roman"/>
                <w:sz w:val="16"/>
                <w:szCs w:val="16"/>
              </w:rPr>
              <w:t>20,567,821</w:t>
            </w:r>
          </w:p>
        </w:tc>
        <w:tc>
          <w:tcPr>
            <w:tcW w:w="300" w:type="pct"/>
            <w:shd w:val="clear" w:color="auto" w:fill="CCEEFF"/>
            <w:vAlign w:val="bottom"/>
            <w:hideMark/>
          </w:tcPr>
          <w:p w14:paraId="184113E4" w14:textId="77777777" w:rsidR="00000000" w:rsidRDefault="0053651E">
            <w:pPr>
              <w:jc w:val="right"/>
              <w:rPr>
                <w:rFonts w:eastAsia="Times New Roman"/>
                <w:sz w:val="16"/>
                <w:szCs w:val="16"/>
              </w:rPr>
            </w:pPr>
            <w:r>
              <w:rPr>
                <w:rFonts w:eastAsia="Times New Roman"/>
                <w:sz w:val="16"/>
                <w:szCs w:val="16"/>
              </w:rPr>
              <w:t>1,640,748</w:t>
            </w:r>
          </w:p>
        </w:tc>
        <w:tc>
          <w:tcPr>
            <w:tcW w:w="450" w:type="pct"/>
            <w:shd w:val="clear" w:color="auto" w:fill="CCEEFF"/>
            <w:vAlign w:val="bottom"/>
            <w:hideMark/>
          </w:tcPr>
          <w:p w14:paraId="13A4D87D" w14:textId="77777777" w:rsidR="00000000" w:rsidRDefault="0053651E">
            <w:pPr>
              <w:jc w:val="right"/>
              <w:rPr>
                <w:rFonts w:eastAsia="Times New Roman"/>
                <w:sz w:val="16"/>
                <w:szCs w:val="16"/>
              </w:rPr>
            </w:pPr>
            <w:r>
              <w:rPr>
                <w:rFonts w:eastAsia="Times New Roman"/>
                <w:sz w:val="16"/>
                <w:szCs w:val="16"/>
              </w:rPr>
              <w:t>21,233,865</w:t>
            </w:r>
          </w:p>
        </w:tc>
        <w:tc>
          <w:tcPr>
            <w:tcW w:w="350" w:type="pct"/>
            <w:shd w:val="clear" w:color="auto" w:fill="CCEEFF"/>
            <w:vAlign w:val="bottom"/>
            <w:hideMark/>
          </w:tcPr>
          <w:p w14:paraId="3611F1E7" w14:textId="77777777" w:rsidR="00000000" w:rsidRDefault="0053651E">
            <w:pPr>
              <w:jc w:val="right"/>
              <w:rPr>
                <w:rFonts w:eastAsia="Times New Roman"/>
                <w:sz w:val="16"/>
                <w:szCs w:val="16"/>
              </w:rPr>
            </w:pPr>
            <w:r>
              <w:rPr>
                <w:rFonts w:eastAsia="Times New Roman"/>
                <w:sz w:val="16"/>
                <w:szCs w:val="16"/>
              </w:rPr>
              <w:t>22,874,613</w:t>
            </w:r>
          </w:p>
        </w:tc>
        <w:tc>
          <w:tcPr>
            <w:tcW w:w="400" w:type="pct"/>
            <w:shd w:val="clear" w:color="auto" w:fill="CCEEFF"/>
            <w:vAlign w:val="bottom"/>
            <w:hideMark/>
          </w:tcPr>
          <w:p w14:paraId="6979F120" w14:textId="77777777" w:rsidR="00000000" w:rsidRDefault="0053651E">
            <w:pPr>
              <w:jc w:val="right"/>
              <w:rPr>
                <w:rFonts w:eastAsia="Times New Roman"/>
                <w:sz w:val="16"/>
                <w:szCs w:val="16"/>
              </w:rPr>
            </w:pPr>
            <w:r>
              <w:rPr>
                <w:rFonts w:eastAsia="Times New Roman"/>
                <w:sz w:val="16"/>
                <w:szCs w:val="16"/>
              </w:rPr>
              <w:t>3,727,289</w:t>
            </w:r>
          </w:p>
        </w:tc>
        <w:tc>
          <w:tcPr>
            <w:tcW w:w="50" w:type="pct"/>
            <w:shd w:val="clear" w:color="auto" w:fill="CCEEFF"/>
            <w:vAlign w:val="bottom"/>
            <w:hideMark/>
          </w:tcPr>
          <w:p w14:paraId="06243A0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6D323D7" w14:textId="77777777" w:rsidR="00000000" w:rsidRDefault="0053651E">
            <w:pPr>
              <w:jc w:val="right"/>
              <w:rPr>
                <w:rFonts w:eastAsia="Times New Roman"/>
                <w:sz w:val="16"/>
                <w:szCs w:val="16"/>
              </w:rPr>
            </w:pPr>
            <w:r>
              <w:rPr>
                <w:rFonts w:eastAsia="Times New Roman"/>
                <w:sz w:val="16"/>
                <w:szCs w:val="16"/>
              </w:rPr>
              <w:t>19,147,324</w:t>
            </w:r>
          </w:p>
        </w:tc>
        <w:tc>
          <w:tcPr>
            <w:tcW w:w="50" w:type="pct"/>
            <w:shd w:val="clear" w:color="auto" w:fill="CCEEFF"/>
            <w:vAlign w:val="bottom"/>
            <w:hideMark/>
          </w:tcPr>
          <w:p w14:paraId="5D12CE4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57FD46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4045B1F" w14:textId="77777777" w:rsidR="00000000" w:rsidRDefault="0053651E">
            <w:pPr>
              <w:pStyle w:val="a3"/>
              <w:spacing w:before="0" w:beforeAutospacing="0" w:after="0" w:afterAutospacing="0"/>
              <w:jc w:val="center"/>
              <w:rPr>
                <w:sz w:val="16"/>
                <w:szCs w:val="16"/>
              </w:rPr>
            </w:pPr>
            <w:r>
              <w:rPr>
                <w:rStyle w:val="a6"/>
                <w:i w:val="0"/>
                <w:iCs w:val="0"/>
                <w:sz w:val="16"/>
                <w:szCs w:val="16"/>
              </w:rPr>
              <w:t>1970(C)</w:t>
            </w:r>
          </w:p>
        </w:tc>
      </w:tr>
      <w:tr w:rsidR="00000000" w14:paraId="069533E2" w14:textId="77777777">
        <w:trPr>
          <w:tblCellSpacing w:w="0" w:type="dxa"/>
        </w:trPr>
        <w:tc>
          <w:tcPr>
            <w:tcW w:w="50" w:type="pct"/>
            <w:shd w:val="clear" w:color="auto" w:fill="FFFFFF"/>
            <w:vAlign w:val="bottom"/>
            <w:hideMark/>
          </w:tcPr>
          <w:p w14:paraId="495F757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E2A4366" w14:textId="77777777" w:rsidR="00000000" w:rsidRDefault="0053651E">
            <w:pPr>
              <w:pStyle w:val="a3"/>
              <w:spacing w:before="0" w:beforeAutospacing="0" w:after="0" w:afterAutospacing="0"/>
              <w:rPr>
                <w:sz w:val="16"/>
                <w:szCs w:val="16"/>
              </w:rPr>
            </w:pPr>
            <w:r>
              <w:rPr>
                <w:sz w:val="16"/>
                <w:szCs w:val="16"/>
              </w:rPr>
              <w:t>ABINGTON PLAZA</w:t>
            </w:r>
          </w:p>
        </w:tc>
        <w:tc>
          <w:tcPr>
            <w:tcW w:w="150" w:type="pct"/>
            <w:shd w:val="clear" w:color="auto" w:fill="FFFFFF"/>
            <w:vAlign w:val="bottom"/>
            <w:hideMark/>
          </w:tcPr>
          <w:p w14:paraId="666892D8"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54D64CCC" w14:textId="77777777" w:rsidR="00000000" w:rsidRDefault="0053651E">
            <w:pPr>
              <w:jc w:val="right"/>
              <w:rPr>
                <w:rFonts w:eastAsia="Times New Roman"/>
                <w:sz w:val="16"/>
                <w:szCs w:val="16"/>
              </w:rPr>
            </w:pPr>
            <w:r>
              <w:rPr>
                <w:rFonts w:eastAsia="Times New Roman"/>
                <w:sz w:val="16"/>
                <w:szCs w:val="16"/>
              </w:rPr>
              <w:t>10,457,183</w:t>
            </w:r>
          </w:p>
        </w:tc>
        <w:tc>
          <w:tcPr>
            <w:tcW w:w="550" w:type="pct"/>
            <w:shd w:val="clear" w:color="auto" w:fill="FFFFFF"/>
            <w:vAlign w:val="bottom"/>
            <w:hideMark/>
          </w:tcPr>
          <w:p w14:paraId="3C4D1044" w14:textId="77777777" w:rsidR="00000000" w:rsidRDefault="0053651E">
            <w:pPr>
              <w:jc w:val="right"/>
              <w:rPr>
                <w:rFonts w:eastAsia="Times New Roman"/>
                <w:sz w:val="16"/>
                <w:szCs w:val="16"/>
              </w:rPr>
            </w:pPr>
            <w:r>
              <w:rPr>
                <w:rFonts w:eastAsia="Times New Roman"/>
                <w:sz w:val="16"/>
                <w:szCs w:val="16"/>
              </w:rPr>
              <w:t>494,652</w:t>
            </w:r>
          </w:p>
        </w:tc>
        <w:tc>
          <w:tcPr>
            <w:tcW w:w="350" w:type="pct"/>
            <w:shd w:val="clear" w:color="auto" w:fill="FFFFFF"/>
            <w:vAlign w:val="bottom"/>
            <w:hideMark/>
          </w:tcPr>
          <w:p w14:paraId="7375D897"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0B031B89" w14:textId="77777777" w:rsidR="00000000" w:rsidRDefault="0053651E">
            <w:pPr>
              <w:jc w:val="right"/>
              <w:rPr>
                <w:rFonts w:eastAsia="Times New Roman"/>
                <w:sz w:val="16"/>
                <w:szCs w:val="16"/>
              </w:rPr>
            </w:pPr>
            <w:r>
              <w:rPr>
                <w:rFonts w:eastAsia="Times New Roman"/>
                <w:sz w:val="16"/>
                <w:szCs w:val="16"/>
              </w:rPr>
              <w:t>10,457,183</w:t>
            </w:r>
          </w:p>
        </w:tc>
        <w:tc>
          <w:tcPr>
            <w:tcW w:w="450" w:type="pct"/>
            <w:shd w:val="clear" w:color="auto" w:fill="FFFFFF"/>
            <w:vAlign w:val="bottom"/>
            <w:hideMark/>
          </w:tcPr>
          <w:p w14:paraId="114401DB" w14:textId="77777777" w:rsidR="00000000" w:rsidRDefault="0053651E">
            <w:pPr>
              <w:jc w:val="right"/>
              <w:rPr>
                <w:rFonts w:eastAsia="Times New Roman"/>
                <w:sz w:val="16"/>
                <w:szCs w:val="16"/>
              </w:rPr>
            </w:pPr>
            <w:r>
              <w:rPr>
                <w:rFonts w:eastAsia="Times New Roman"/>
                <w:sz w:val="16"/>
                <w:szCs w:val="16"/>
              </w:rPr>
              <w:t>494,652</w:t>
            </w:r>
          </w:p>
        </w:tc>
        <w:tc>
          <w:tcPr>
            <w:tcW w:w="350" w:type="pct"/>
            <w:shd w:val="clear" w:color="auto" w:fill="FFFFFF"/>
            <w:vAlign w:val="bottom"/>
            <w:hideMark/>
          </w:tcPr>
          <w:p w14:paraId="7907F30A" w14:textId="77777777" w:rsidR="00000000" w:rsidRDefault="0053651E">
            <w:pPr>
              <w:jc w:val="right"/>
              <w:rPr>
                <w:rFonts w:eastAsia="Times New Roman"/>
                <w:sz w:val="16"/>
                <w:szCs w:val="16"/>
              </w:rPr>
            </w:pPr>
            <w:r>
              <w:rPr>
                <w:rFonts w:eastAsia="Times New Roman"/>
                <w:sz w:val="16"/>
                <w:szCs w:val="16"/>
              </w:rPr>
              <w:t>10,951,835</w:t>
            </w:r>
          </w:p>
        </w:tc>
        <w:tc>
          <w:tcPr>
            <w:tcW w:w="400" w:type="pct"/>
            <w:shd w:val="clear" w:color="auto" w:fill="FFFFFF"/>
            <w:vAlign w:val="bottom"/>
            <w:hideMark/>
          </w:tcPr>
          <w:p w14:paraId="4103C796" w14:textId="77777777" w:rsidR="00000000" w:rsidRDefault="0053651E">
            <w:pPr>
              <w:jc w:val="right"/>
              <w:rPr>
                <w:rFonts w:eastAsia="Times New Roman"/>
                <w:sz w:val="16"/>
                <w:szCs w:val="16"/>
              </w:rPr>
            </w:pPr>
            <w:r>
              <w:rPr>
                <w:rFonts w:eastAsia="Times New Roman"/>
                <w:sz w:val="16"/>
                <w:szCs w:val="16"/>
              </w:rPr>
              <w:t>190,036</w:t>
            </w:r>
          </w:p>
        </w:tc>
        <w:tc>
          <w:tcPr>
            <w:tcW w:w="50" w:type="pct"/>
            <w:shd w:val="clear" w:color="auto" w:fill="FFFFFF"/>
            <w:vAlign w:val="bottom"/>
            <w:hideMark/>
          </w:tcPr>
          <w:p w14:paraId="490C903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204ABAE" w14:textId="77777777" w:rsidR="00000000" w:rsidRDefault="0053651E">
            <w:pPr>
              <w:jc w:val="right"/>
              <w:rPr>
                <w:rFonts w:eastAsia="Times New Roman"/>
                <w:sz w:val="16"/>
                <w:szCs w:val="16"/>
              </w:rPr>
            </w:pPr>
            <w:r>
              <w:rPr>
                <w:rFonts w:eastAsia="Times New Roman"/>
                <w:sz w:val="16"/>
                <w:szCs w:val="16"/>
              </w:rPr>
              <w:t>10,761,799</w:t>
            </w:r>
          </w:p>
        </w:tc>
        <w:tc>
          <w:tcPr>
            <w:tcW w:w="50" w:type="pct"/>
            <w:shd w:val="clear" w:color="auto" w:fill="FFFFFF"/>
            <w:vAlign w:val="bottom"/>
            <w:hideMark/>
          </w:tcPr>
          <w:p w14:paraId="083AD9B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BE774E" w14:textId="77777777" w:rsidR="00000000" w:rsidRDefault="0053651E">
            <w:pPr>
              <w:jc w:val="right"/>
              <w:rPr>
                <w:rFonts w:eastAsia="Times New Roman"/>
                <w:sz w:val="16"/>
                <w:szCs w:val="16"/>
              </w:rPr>
            </w:pPr>
            <w:r>
              <w:rPr>
                <w:rFonts w:eastAsia="Times New Roman"/>
                <w:sz w:val="16"/>
                <w:szCs w:val="16"/>
              </w:rPr>
              <w:t>3,845,668</w:t>
            </w:r>
          </w:p>
        </w:tc>
        <w:tc>
          <w:tcPr>
            <w:tcW w:w="500" w:type="pct"/>
            <w:shd w:val="clear" w:color="auto" w:fill="FFFFFF"/>
            <w:vAlign w:val="bottom"/>
            <w:hideMark/>
          </w:tcPr>
          <w:p w14:paraId="29F3BC8D"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BE42C6B" w14:textId="77777777">
        <w:trPr>
          <w:tblCellSpacing w:w="0" w:type="dxa"/>
        </w:trPr>
        <w:tc>
          <w:tcPr>
            <w:tcW w:w="50" w:type="pct"/>
            <w:shd w:val="clear" w:color="auto" w:fill="CCEEFF"/>
            <w:vAlign w:val="bottom"/>
            <w:hideMark/>
          </w:tcPr>
          <w:p w14:paraId="24F4239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506446D" w14:textId="77777777" w:rsidR="00000000" w:rsidRDefault="0053651E">
            <w:pPr>
              <w:pStyle w:val="a3"/>
              <w:spacing w:before="0" w:beforeAutospacing="0" w:after="0" w:afterAutospacing="0"/>
              <w:rPr>
                <w:sz w:val="16"/>
                <w:szCs w:val="16"/>
              </w:rPr>
            </w:pPr>
            <w:r>
              <w:rPr>
                <w:sz w:val="16"/>
                <w:szCs w:val="16"/>
              </w:rPr>
              <w:t>WASHINGTON ST.PLAZA</w:t>
            </w:r>
          </w:p>
        </w:tc>
        <w:tc>
          <w:tcPr>
            <w:tcW w:w="150" w:type="pct"/>
            <w:shd w:val="clear" w:color="auto" w:fill="CCEEFF"/>
            <w:vAlign w:val="bottom"/>
            <w:hideMark/>
          </w:tcPr>
          <w:p w14:paraId="1C7BEB02"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58F3644C" w14:textId="77777777" w:rsidR="00000000" w:rsidRDefault="0053651E">
            <w:pPr>
              <w:jc w:val="right"/>
              <w:rPr>
                <w:rFonts w:eastAsia="Times New Roman"/>
                <w:sz w:val="16"/>
                <w:szCs w:val="16"/>
              </w:rPr>
            </w:pPr>
            <w:r>
              <w:rPr>
                <w:rFonts w:eastAsia="Times New Roman"/>
                <w:sz w:val="16"/>
                <w:szCs w:val="16"/>
              </w:rPr>
              <w:t>11,007,593</w:t>
            </w:r>
          </w:p>
        </w:tc>
        <w:tc>
          <w:tcPr>
            <w:tcW w:w="550" w:type="pct"/>
            <w:shd w:val="clear" w:color="auto" w:fill="CCEEFF"/>
            <w:vAlign w:val="bottom"/>
            <w:hideMark/>
          </w:tcPr>
          <w:p w14:paraId="0C5B96C6" w14:textId="77777777" w:rsidR="00000000" w:rsidRDefault="0053651E">
            <w:pPr>
              <w:jc w:val="right"/>
              <w:rPr>
                <w:rFonts w:eastAsia="Times New Roman"/>
                <w:sz w:val="16"/>
                <w:szCs w:val="16"/>
              </w:rPr>
            </w:pPr>
            <w:r>
              <w:rPr>
                <w:rFonts w:eastAsia="Times New Roman"/>
                <w:sz w:val="16"/>
                <w:szCs w:val="16"/>
              </w:rPr>
              <w:t>5,652,368</w:t>
            </w:r>
          </w:p>
        </w:tc>
        <w:tc>
          <w:tcPr>
            <w:tcW w:w="350" w:type="pct"/>
            <w:shd w:val="clear" w:color="auto" w:fill="CCEEFF"/>
            <w:vAlign w:val="bottom"/>
            <w:hideMark/>
          </w:tcPr>
          <w:p w14:paraId="30B3D145" w14:textId="77777777" w:rsidR="00000000" w:rsidRDefault="0053651E">
            <w:pPr>
              <w:jc w:val="right"/>
              <w:rPr>
                <w:rFonts w:eastAsia="Times New Roman"/>
                <w:sz w:val="16"/>
                <w:szCs w:val="16"/>
              </w:rPr>
            </w:pPr>
            <w:r>
              <w:rPr>
                <w:rFonts w:eastAsia="Times New Roman"/>
                <w:sz w:val="16"/>
                <w:szCs w:val="16"/>
              </w:rPr>
              <w:t>9,648,118</w:t>
            </w:r>
          </w:p>
        </w:tc>
        <w:tc>
          <w:tcPr>
            <w:tcW w:w="300" w:type="pct"/>
            <w:shd w:val="clear" w:color="auto" w:fill="CCEEFF"/>
            <w:vAlign w:val="bottom"/>
            <w:hideMark/>
          </w:tcPr>
          <w:p w14:paraId="7D700567" w14:textId="77777777" w:rsidR="00000000" w:rsidRDefault="0053651E">
            <w:pPr>
              <w:jc w:val="right"/>
              <w:rPr>
                <w:rFonts w:eastAsia="Times New Roman"/>
                <w:sz w:val="16"/>
                <w:szCs w:val="16"/>
              </w:rPr>
            </w:pPr>
            <w:r>
              <w:rPr>
                <w:rFonts w:eastAsia="Times New Roman"/>
                <w:sz w:val="16"/>
                <w:szCs w:val="16"/>
              </w:rPr>
              <w:t>12,957,593</w:t>
            </w:r>
          </w:p>
        </w:tc>
        <w:tc>
          <w:tcPr>
            <w:tcW w:w="450" w:type="pct"/>
            <w:shd w:val="clear" w:color="auto" w:fill="CCEEFF"/>
            <w:vAlign w:val="bottom"/>
            <w:hideMark/>
          </w:tcPr>
          <w:p w14:paraId="4D8C293E" w14:textId="77777777" w:rsidR="00000000" w:rsidRDefault="0053651E">
            <w:pPr>
              <w:jc w:val="right"/>
              <w:rPr>
                <w:rFonts w:eastAsia="Times New Roman"/>
                <w:sz w:val="16"/>
                <w:szCs w:val="16"/>
              </w:rPr>
            </w:pPr>
            <w:r>
              <w:rPr>
                <w:rFonts w:eastAsia="Times New Roman"/>
                <w:sz w:val="16"/>
                <w:szCs w:val="16"/>
              </w:rPr>
              <w:t>13,350,486</w:t>
            </w:r>
          </w:p>
        </w:tc>
        <w:tc>
          <w:tcPr>
            <w:tcW w:w="350" w:type="pct"/>
            <w:shd w:val="clear" w:color="auto" w:fill="CCEEFF"/>
            <w:vAlign w:val="bottom"/>
            <w:hideMark/>
          </w:tcPr>
          <w:p w14:paraId="15170DDC" w14:textId="77777777" w:rsidR="00000000" w:rsidRDefault="0053651E">
            <w:pPr>
              <w:jc w:val="right"/>
              <w:rPr>
                <w:rFonts w:eastAsia="Times New Roman"/>
                <w:sz w:val="16"/>
                <w:szCs w:val="16"/>
              </w:rPr>
            </w:pPr>
            <w:r>
              <w:rPr>
                <w:rFonts w:eastAsia="Times New Roman"/>
                <w:sz w:val="16"/>
                <w:szCs w:val="16"/>
              </w:rPr>
              <w:t>26,308,079</w:t>
            </w:r>
          </w:p>
        </w:tc>
        <w:tc>
          <w:tcPr>
            <w:tcW w:w="400" w:type="pct"/>
            <w:shd w:val="clear" w:color="auto" w:fill="CCEEFF"/>
            <w:vAlign w:val="bottom"/>
            <w:hideMark/>
          </w:tcPr>
          <w:p w14:paraId="307B7EB3" w14:textId="77777777" w:rsidR="00000000" w:rsidRDefault="0053651E">
            <w:pPr>
              <w:jc w:val="right"/>
              <w:rPr>
                <w:rFonts w:eastAsia="Times New Roman"/>
                <w:sz w:val="16"/>
                <w:szCs w:val="16"/>
              </w:rPr>
            </w:pPr>
            <w:r>
              <w:rPr>
                <w:rFonts w:eastAsia="Times New Roman"/>
                <w:sz w:val="16"/>
                <w:szCs w:val="16"/>
              </w:rPr>
              <w:t>2,690,296</w:t>
            </w:r>
          </w:p>
        </w:tc>
        <w:tc>
          <w:tcPr>
            <w:tcW w:w="50" w:type="pct"/>
            <w:shd w:val="clear" w:color="auto" w:fill="CCEEFF"/>
            <w:vAlign w:val="bottom"/>
            <w:hideMark/>
          </w:tcPr>
          <w:p w14:paraId="0CB8615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87ADE96" w14:textId="77777777" w:rsidR="00000000" w:rsidRDefault="0053651E">
            <w:pPr>
              <w:jc w:val="right"/>
              <w:rPr>
                <w:rFonts w:eastAsia="Times New Roman"/>
                <w:sz w:val="16"/>
                <w:szCs w:val="16"/>
              </w:rPr>
            </w:pPr>
            <w:r>
              <w:rPr>
                <w:rFonts w:eastAsia="Times New Roman"/>
                <w:sz w:val="16"/>
                <w:szCs w:val="16"/>
              </w:rPr>
              <w:t>23,617,783</w:t>
            </w:r>
          </w:p>
        </w:tc>
        <w:tc>
          <w:tcPr>
            <w:tcW w:w="50" w:type="pct"/>
            <w:shd w:val="clear" w:color="auto" w:fill="CCEEFF"/>
            <w:vAlign w:val="bottom"/>
            <w:hideMark/>
          </w:tcPr>
          <w:p w14:paraId="3CB9D8C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0BD9A7D" w14:textId="77777777" w:rsidR="00000000" w:rsidRDefault="0053651E">
            <w:pPr>
              <w:jc w:val="right"/>
              <w:rPr>
                <w:rFonts w:eastAsia="Times New Roman"/>
                <w:sz w:val="16"/>
                <w:szCs w:val="16"/>
              </w:rPr>
            </w:pPr>
            <w:r>
              <w:rPr>
                <w:rFonts w:eastAsia="Times New Roman"/>
                <w:sz w:val="16"/>
                <w:szCs w:val="16"/>
              </w:rPr>
              <w:t>5,352,958</w:t>
            </w:r>
          </w:p>
        </w:tc>
        <w:tc>
          <w:tcPr>
            <w:tcW w:w="500" w:type="pct"/>
            <w:shd w:val="clear" w:color="auto" w:fill="CCEEFF"/>
            <w:vAlign w:val="bottom"/>
            <w:hideMark/>
          </w:tcPr>
          <w:p w14:paraId="44DC8B9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7D76D56" w14:textId="77777777">
        <w:trPr>
          <w:tblCellSpacing w:w="0" w:type="dxa"/>
        </w:trPr>
        <w:tc>
          <w:tcPr>
            <w:tcW w:w="50" w:type="pct"/>
            <w:shd w:val="clear" w:color="auto" w:fill="FFFFFF"/>
            <w:vAlign w:val="bottom"/>
            <w:hideMark/>
          </w:tcPr>
          <w:p w14:paraId="5B88FBC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1300B9D" w14:textId="77777777" w:rsidR="00000000" w:rsidRDefault="0053651E">
            <w:pPr>
              <w:pStyle w:val="a3"/>
              <w:spacing w:before="0" w:beforeAutospacing="0" w:after="0" w:afterAutospacing="0"/>
              <w:rPr>
                <w:sz w:val="16"/>
                <w:szCs w:val="16"/>
              </w:rPr>
            </w:pPr>
            <w:r>
              <w:rPr>
                <w:sz w:val="16"/>
                <w:szCs w:val="16"/>
              </w:rPr>
              <w:t>MEMORIAL PLAZA</w:t>
            </w:r>
          </w:p>
        </w:tc>
        <w:tc>
          <w:tcPr>
            <w:tcW w:w="150" w:type="pct"/>
            <w:shd w:val="clear" w:color="auto" w:fill="FFFFFF"/>
            <w:vAlign w:val="bottom"/>
            <w:hideMark/>
          </w:tcPr>
          <w:p w14:paraId="1B3A455A"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258353D5" w14:textId="77777777" w:rsidR="00000000" w:rsidRDefault="0053651E">
            <w:pPr>
              <w:jc w:val="right"/>
              <w:rPr>
                <w:rFonts w:eastAsia="Times New Roman"/>
                <w:sz w:val="16"/>
                <w:szCs w:val="16"/>
              </w:rPr>
            </w:pPr>
            <w:r>
              <w:rPr>
                <w:rFonts w:eastAsia="Times New Roman"/>
                <w:sz w:val="16"/>
                <w:szCs w:val="16"/>
              </w:rPr>
              <w:t>16,411,388</w:t>
            </w:r>
          </w:p>
        </w:tc>
        <w:tc>
          <w:tcPr>
            <w:tcW w:w="550" w:type="pct"/>
            <w:shd w:val="clear" w:color="auto" w:fill="FFFFFF"/>
            <w:vAlign w:val="bottom"/>
            <w:hideMark/>
          </w:tcPr>
          <w:p w14:paraId="3A33C674" w14:textId="77777777" w:rsidR="00000000" w:rsidRDefault="0053651E">
            <w:pPr>
              <w:jc w:val="right"/>
              <w:rPr>
                <w:rFonts w:eastAsia="Times New Roman"/>
                <w:sz w:val="16"/>
                <w:szCs w:val="16"/>
              </w:rPr>
            </w:pPr>
            <w:r>
              <w:rPr>
                <w:rFonts w:eastAsia="Times New Roman"/>
                <w:sz w:val="16"/>
                <w:szCs w:val="16"/>
              </w:rPr>
              <w:t>27,553,908</w:t>
            </w:r>
          </w:p>
        </w:tc>
        <w:tc>
          <w:tcPr>
            <w:tcW w:w="350" w:type="pct"/>
            <w:shd w:val="clear" w:color="auto" w:fill="FFFFFF"/>
            <w:vAlign w:val="bottom"/>
            <w:hideMark/>
          </w:tcPr>
          <w:p w14:paraId="6F513331" w14:textId="77777777" w:rsidR="00000000" w:rsidRDefault="0053651E">
            <w:pPr>
              <w:jc w:val="right"/>
              <w:rPr>
                <w:rFonts w:eastAsia="Times New Roman"/>
                <w:sz w:val="16"/>
                <w:szCs w:val="16"/>
              </w:rPr>
            </w:pPr>
            <w:r>
              <w:rPr>
                <w:rFonts w:eastAsia="Times New Roman"/>
                <w:sz w:val="16"/>
                <w:szCs w:val="16"/>
              </w:rPr>
              <w:t>966,332</w:t>
            </w:r>
          </w:p>
        </w:tc>
        <w:tc>
          <w:tcPr>
            <w:tcW w:w="300" w:type="pct"/>
            <w:shd w:val="clear" w:color="auto" w:fill="FFFFFF"/>
            <w:vAlign w:val="bottom"/>
            <w:hideMark/>
          </w:tcPr>
          <w:p w14:paraId="1925E3F3" w14:textId="77777777" w:rsidR="00000000" w:rsidRDefault="0053651E">
            <w:pPr>
              <w:jc w:val="right"/>
              <w:rPr>
                <w:rFonts w:eastAsia="Times New Roman"/>
                <w:sz w:val="16"/>
                <w:szCs w:val="16"/>
              </w:rPr>
            </w:pPr>
            <w:r>
              <w:rPr>
                <w:rFonts w:eastAsia="Times New Roman"/>
                <w:sz w:val="16"/>
                <w:szCs w:val="16"/>
              </w:rPr>
              <w:t>16,411,388</w:t>
            </w:r>
          </w:p>
        </w:tc>
        <w:tc>
          <w:tcPr>
            <w:tcW w:w="450" w:type="pct"/>
            <w:shd w:val="clear" w:color="auto" w:fill="FFFFFF"/>
            <w:vAlign w:val="bottom"/>
            <w:hideMark/>
          </w:tcPr>
          <w:p w14:paraId="5DA6B293" w14:textId="77777777" w:rsidR="00000000" w:rsidRDefault="0053651E">
            <w:pPr>
              <w:jc w:val="right"/>
              <w:rPr>
                <w:rFonts w:eastAsia="Times New Roman"/>
                <w:sz w:val="16"/>
                <w:szCs w:val="16"/>
              </w:rPr>
            </w:pPr>
            <w:r>
              <w:rPr>
                <w:rFonts w:eastAsia="Times New Roman"/>
                <w:sz w:val="16"/>
                <w:szCs w:val="16"/>
              </w:rPr>
              <w:t>28,520,240</w:t>
            </w:r>
          </w:p>
        </w:tc>
        <w:tc>
          <w:tcPr>
            <w:tcW w:w="350" w:type="pct"/>
            <w:shd w:val="clear" w:color="auto" w:fill="FFFFFF"/>
            <w:vAlign w:val="bottom"/>
            <w:hideMark/>
          </w:tcPr>
          <w:p w14:paraId="5F1D8E50" w14:textId="77777777" w:rsidR="00000000" w:rsidRDefault="0053651E">
            <w:pPr>
              <w:jc w:val="right"/>
              <w:rPr>
                <w:rFonts w:eastAsia="Times New Roman"/>
                <w:sz w:val="16"/>
                <w:szCs w:val="16"/>
              </w:rPr>
            </w:pPr>
            <w:r>
              <w:rPr>
                <w:rFonts w:eastAsia="Times New Roman"/>
                <w:sz w:val="16"/>
                <w:szCs w:val="16"/>
              </w:rPr>
              <w:t>44,931,628</w:t>
            </w:r>
          </w:p>
        </w:tc>
        <w:tc>
          <w:tcPr>
            <w:tcW w:w="400" w:type="pct"/>
            <w:shd w:val="clear" w:color="auto" w:fill="FFFFFF"/>
            <w:vAlign w:val="bottom"/>
            <w:hideMark/>
          </w:tcPr>
          <w:p w14:paraId="0BE975E5" w14:textId="77777777" w:rsidR="00000000" w:rsidRDefault="0053651E">
            <w:pPr>
              <w:jc w:val="right"/>
              <w:rPr>
                <w:rFonts w:eastAsia="Times New Roman"/>
                <w:sz w:val="16"/>
                <w:szCs w:val="16"/>
              </w:rPr>
            </w:pPr>
            <w:r>
              <w:rPr>
                <w:rFonts w:eastAsia="Times New Roman"/>
                <w:sz w:val="16"/>
                <w:szCs w:val="16"/>
              </w:rPr>
              <w:t>4,481,485</w:t>
            </w:r>
          </w:p>
        </w:tc>
        <w:tc>
          <w:tcPr>
            <w:tcW w:w="50" w:type="pct"/>
            <w:shd w:val="clear" w:color="auto" w:fill="FFFFFF"/>
            <w:vAlign w:val="bottom"/>
            <w:hideMark/>
          </w:tcPr>
          <w:p w14:paraId="165C9C1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9DC3C1F" w14:textId="77777777" w:rsidR="00000000" w:rsidRDefault="0053651E">
            <w:pPr>
              <w:jc w:val="right"/>
              <w:rPr>
                <w:rFonts w:eastAsia="Times New Roman"/>
                <w:sz w:val="16"/>
                <w:szCs w:val="16"/>
              </w:rPr>
            </w:pPr>
            <w:r>
              <w:rPr>
                <w:rFonts w:eastAsia="Times New Roman"/>
                <w:sz w:val="16"/>
                <w:szCs w:val="16"/>
              </w:rPr>
              <w:t>40,450,143</w:t>
            </w:r>
          </w:p>
        </w:tc>
        <w:tc>
          <w:tcPr>
            <w:tcW w:w="50" w:type="pct"/>
            <w:shd w:val="clear" w:color="auto" w:fill="FFFFFF"/>
            <w:vAlign w:val="bottom"/>
            <w:hideMark/>
          </w:tcPr>
          <w:p w14:paraId="10FB6C7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87C1C92" w14:textId="77777777" w:rsidR="00000000" w:rsidRDefault="0053651E">
            <w:pPr>
              <w:jc w:val="right"/>
              <w:rPr>
                <w:rFonts w:eastAsia="Times New Roman"/>
                <w:sz w:val="16"/>
                <w:szCs w:val="16"/>
              </w:rPr>
            </w:pPr>
            <w:r>
              <w:rPr>
                <w:rFonts w:eastAsia="Times New Roman"/>
                <w:sz w:val="16"/>
                <w:szCs w:val="16"/>
              </w:rPr>
              <w:t>14,761,027</w:t>
            </w:r>
          </w:p>
        </w:tc>
        <w:tc>
          <w:tcPr>
            <w:tcW w:w="500" w:type="pct"/>
            <w:shd w:val="clear" w:color="auto" w:fill="FFFFFF"/>
            <w:vAlign w:val="bottom"/>
            <w:hideMark/>
          </w:tcPr>
          <w:p w14:paraId="6C60C7A1"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7D5C1E97" w14:textId="77777777">
        <w:trPr>
          <w:tblCellSpacing w:w="0" w:type="dxa"/>
        </w:trPr>
        <w:tc>
          <w:tcPr>
            <w:tcW w:w="50" w:type="pct"/>
            <w:shd w:val="clear" w:color="auto" w:fill="CCEEFF"/>
            <w:vAlign w:val="bottom"/>
            <w:hideMark/>
          </w:tcPr>
          <w:p w14:paraId="7E8A743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098C150" w14:textId="77777777" w:rsidR="00000000" w:rsidRDefault="0053651E">
            <w:pPr>
              <w:pStyle w:val="a3"/>
              <w:spacing w:before="0" w:beforeAutospacing="0" w:after="0" w:afterAutospacing="0"/>
              <w:rPr>
                <w:sz w:val="16"/>
                <w:szCs w:val="16"/>
              </w:rPr>
            </w:pPr>
            <w:r>
              <w:rPr>
                <w:sz w:val="16"/>
                <w:szCs w:val="16"/>
              </w:rPr>
              <w:t>MAIN ST. PLAZA</w:t>
            </w:r>
          </w:p>
        </w:tc>
        <w:tc>
          <w:tcPr>
            <w:tcW w:w="150" w:type="pct"/>
            <w:shd w:val="clear" w:color="auto" w:fill="CCEEFF"/>
            <w:vAlign w:val="bottom"/>
            <w:hideMark/>
          </w:tcPr>
          <w:p w14:paraId="1F3CEC69"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7F464385" w14:textId="77777777" w:rsidR="00000000" w:rsidRDefault="0053651E">
            <w:pPr>
              <w:jc w:val="right"/>
              <w:rPr>
                <w:rFonts w:eastAsia="Times New Roman"/>
                <w:sz w:val="16"/>
                <w:szCs w:val="16"/>
              </w:rPr>
            </w:pPr>
            <w:r>
              <w:rPr>
                <w:rFonts w:eastAsia="Times New Roman"/>
                <w:sz w:val="16"/>
                <w:szCs w:val="16"/>
              </w:rPr>
              <w:t>555,898</w:t>
            </w:r>
          </w:p>
        </w:tc>
        <w:tc>
          <w:tcPr>
            <w:tcW w:w="550" w:type="pct"/>
            <w:shd w:val="clear" w:color="auto" w:fill="CCEEFF"/>
            <w:vAlign w:val="bottom"/>
            <w:hideMark/>
          </w:tcPr>
          <w:p w14:paraId="45993B2E" w14:textId="77777777" w:rsidR="00000000" w:rsidRDefault="0053651E">
            <w:pPr>
              <w:jc w:val="right"/>
              <w:rPr>
                <w:rFonts w:eastAsia="Times New Roman"/>
                <w:sz w:val="16"/>
                <w:szCs w:val="16"/>
              </w:rPr>
            </w:pPr>
            <w:r>
              <w:rPr>
                <w:rFonts w:eastAsia="Times New Roman"/>
                <w:sz w:val="16"/>
                <w:szCs w:val="16"/>
              </w:rPr>
              <w:t>2,139,494</w:t>
            </w:r>
          </w:p>
        </w:tc>
        <w:tc>
          <w:tcPr>
            <w:tcW w:w="350" w:type="pct"/>
            <w:shd w:val="clear" w:color="auto" w:fill="CCEEFF"/>
            <w:vAlign w:val="bottom"/>
            <w:hideMark/>
          </w:tcPr>
          <w:p w14:paraId="228022EA"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28C81E43" w14:textId="77777777" w:rsidR="00000000" w:rsidRDefault="0053651E">
            <w:pPr>
              <w:jc w:val="right"/>
              <w:rPr>
                <w:rFonts w:eastAsia="Times New Roman"/>
                <w:sz w:val="16"/>
                <w:szCs w:val="16"/>
              </w:rPr>
            </w:pPr>
            <w:r>
              <w:rPr>
                <w:rFonts w:eastAsia="Times New Roman"/>
                <w:sz w:val="16"/>
                <w:szCs w:val="16"/>
              </w:rPr>
              <w:t>555,898</w:t>
            </w:r>
          </w:p>
        </w:tc>
        <w:tc>
          <w:tcPr>
            <w:tcW w:w="450" w:type="pct"/>
            <w:shd w:val="clear" w:color="auto" w:fill="CCEEFF"/>
            <w:vAlign w:val="bottom"/>
            <w:hideMark/>
          </w:tcPr>
          <w:p w14:paraId="203DAD1C" w14:textId="77777777" w:rsidR="00000000" w:rsidRDefault="0053651E">
            <w:pPr>
              <w:jc w:val="right"/>
              <w:rPr>
                <w:rFonts w:eastAsia="Times New Roman"/>
                <w:sz w:val="16"/>
                <w:szCs w:val="16"/>
              </w:rPr>
            </w:pPr>
            <w:r>
              <w:rPr>
                <w:rFonts w:eastAsia="Times New Roman"/>
                <w:sz w:val="16"/>
                <w:szCs w:val="16"/>
              </w:rPr>
              <w:t>2,139,494</w:t>
            </w:r>
          </w:p>
        </w:tc>
        <w:tc>
          <w:tcPr>
            <w:tcW w:w="350" w:type="pct"/>
            <w:shd w:val="clear" w:color="auto" w:fill="CCEEFF"/>
            <w:vAlign w:val="bottom"/>
            <w:hideMark/>
          </w:tcPr>
          <w:p w14:paraId="7926CA8F" w14:textId="77777777" w:rsidR="00000000" w:rsidRDefault="0053651E">
            <w:pPr>
              <w:jc w:val="right"/>
              <w:rPr>
                <w:rFonts w:eastAsia="Times New Roman"/>
                <w:sz w:val="16"/>
                <w:szCs w:val="16"/>
              </w:rPr>
            </w:pPr>
            <w:r>
              <w:rPr>
                <w:rFonts w:eastAsia="Times New Roman"/>
                <w:sz w:val="16"/>
                <w:szCs w:val="16"/>
              </w:rPr>
              <w:t>2,695,392</w:t>
            </w:r>
          </w:p>
        </w:tc>
        <w:tc>
          <w:tcPr>
            <w:tcW w:w="400" w:type="pct"/>
            <w:shd w:val="clear" w:color="auto" w:fill="CCEEFF"/>
            <w:vAlign w:val="bottom"/>
            <w:hideMark/>
          </w:tcPr>
          <w:p w14:paraId="6035C369" w14:textId="77777777" w:rsidR="00000000" w:rsidRDefault="0053651E">
            <w:pPr>
              <w:jc w:val="right"/>
              <w:rPr>
                <w:rFonts w:eastAsia="Times New Roman"/>
                <w:sz w:val="16"/>
                <w:szCs w:val="16"/>
              </w:rPr>
            </w:pPr>
            <w:r>
              <w:rPr>
                <w:rFonts w:eastAsia="Times New Roman"/>
                <w:sz w:val="16"/>
                <w:szCs w:val="16"/>
              </w:rPr>
              <w:t>457,676</w:t>
            </w:r>
          </w:p>
        </w:tc>
        <w:tc>
          <w:tcPr>
            <w:tcW w:w="50" w:type="pct"/>
            <w:shd w:val="clear" w:color="auto" w:fill="CCEEFF"/>
            <w:vAlign w:val="bottom"/>
            <w:hideMark/>
          </w:tcPr>
          <w:p w14:paraId="09968FE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01B54F3" w14:textId="77777777" w:rsidR="00000000" w:rsidRDefault="0053651E">
            <w:pPr>
              <w:jc w:val="right"/>
              <w:rPr>
                <w:rFonts w:eastAsia="Times New Roman"/>
                <w:sz w:val="16"/>
                <w:szCs w:val="16"/>
              </w:rPr>
            </w:pPr>
            <w:r>
              <w:rPr>
                <w:rFonts w:eastAsia="Times New Roman"/>
                <w:sz w:val="16"/>
                <w:szCs w:val="16"/>
              </w:rPr>
              <w:t>2,237,716</w:t>
            </w:r>
          </w:p>
        </w:tc>
        <w:tc>
          <w:tcPr>
            <w:tcW w:w="50" w:type="pct"/>
            <w:shd w:val="clear" w:color="auto" w:fill="CCEEFF"/>
            <w:vAlign w:val="bottom"/>
            <w:hideMark/>
          </w:tcPr>
          <w:p w14:paraId="6396EBC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FE03B16" w14:textId="77777777" w:rsidR="00000000" w:rsidRDefault="0053651E">
            <w:pPr>
              <w:jc w:val="right"/>
              <w:rPr>
                <w:rFonts w:eastAsia="Times New Roman"/>
                <w:sz w:val="16"/>
                <w:szCs w:val="16"/>
              </w:rPr>
            </w:pPr>
            <w:r>
              <w:rPr>
                <w:rFonts w:eastAsia="Times New Roman"/>
                <w:sz w:val="16"/>
                <w:szCs w:val="16"/>
              </w:rPr>
              <w:t>1,216,922</w:t>
            </w:r>
          </w:p>
        </w:tc>
        <w:tc>
          <w:tcPr>
            <w:tcW w:w="500" w:type="pct"/>
            <w:shd w:val="clear" w:color="auto" w:fill="CCEEFF"/>
            <w:vAlign w:val="bottom"/>
            <w:hideMark/>
          </w:tcPr>
          <w:p w14:paraId="48479641"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FEBB43F" w14:textId="77777777">
        <w:trPr>
          <w:tblCellSpacing w:w="0" w:type="dxa"/>
        </w:trPr>
        <w:tc>
          <w:tcPr>
            <w:tcW w:w="50" w:type="pct"/>
            <w:shd w:val="clear" w:color="auto" w:fill="FFFFFF"/>
            <w:vAlign w:val="bottom"/>
            <w:hideMark/>
          </w:tcPr>
          <w:p w14:paraId="520E850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2127F9E" w14:textId="77777777" w:rsidR="00000000" w:rsidRDefault="0053651E">
            <w:pPr>
              <w:pStyle w:val="a3"/>
              <w:spacing w:before="0" w:beforeAutospacing="0" w:after="0" w:afterAutospacing="0"/>
              <w:rPr>
                <w:sz w:val="16"/>
                <w:szCs w:val="16"/>
              </w:rPr>
            </w:pPr>
            <w:r>
              <w:rPr>
                <w:sz w:val="16"/>
                <w:szCs w:val="16"/>
              </w:rPr>
              <w:t>MORRISSEY PLAZA</w:t>
            </w:r>
          </w:p>
        </w:tc>
        <w:tc>
          <w:tcPr>
            <w:tcW w:w="150" w:type="pct"/>
            <w:shd w:val="clear" w:color="auto" w:fill="FFFFFF"/>
            <w:vAlign w:val="bottom"/>
            <w:hideMark/>
          </w:tcPr>
          <w:p w14:paraId="6AB67F9A"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764A216A" w14:textId="77777777" w:rsidR="00000000" w:rsidRDefault="0053651E">
            <w:pPr>
              <w:jc w:val="right"/>
              <w:rPr>
                <w:rFonts w:eastAsia="Times New Roman"/>
                <w:sz w:val="16"/>
                <w:szCs w:val="16"/>
              </w:rPr>
            </w:pPr>
            <w:r>
              <w:rPr>
                <w:rFonts w:eastAsia="Times New Roman"/>
                <w:sz w:val="16"/>
                <w:szCs w:val="16"/>
              </w:rPr>
              <w:t>4,097,251</w:t>
            </w:r>
          </w:p>
        </w:tc>
        <w:tc>
          <w:tcPr>
            <w:tcW w:w="550" w:type="pct"/>
            <w:shd w:val="clear" w:color="auto" w:fill="FFFFFF"/>
            <w:vAlign w:val="bottom"/>
            <w:hideMark/>
          </w:tcPr>
          <w:p w14:paraId="14F0E3FC" w14:textId="77777777" w:rsidR="00000000" w:rsidRDefault="0053651E">
            <w:pPr>
              <w:jc w:val="right"/>
              <w:rPr>
                <w:rFonts w:eastAsia="Times New Roman"/>
                <w:sz w:val="16"/>
                <w:szCs w:val="16"/>
              </w:rPr>
            </w:pPr>
            <w:r>
              <w:rPr>
                <w:rFonts w:eastAsia="Times New Roman"/>
                <w:sz w:val="16"/>
                <w:szCs w:val="16"/>
              </w:rPr>
              <w:t>3,751,068</w:t>
            </w:r>
          </w:p>
        </w:tc>
        <w:tc>
          <w:tcPr>
            <w:tcW w:w="350" w:type="pct"/>
            <w:shd w:val="clear" w:color="auto" w:fill="FFFFFF"/>
            <w:vAlign w:val="bottom"/>
            <w:hideMark/>
          </w:tcPr>
          <w:p w14:paraId="7866F36A" w14:textId="77777777" w:rsidR="00000000" w:rsidRDefault="0053651E">
            <w:pPr>
              <w:jc w:val="right"/>
              <w:rPr>
                <w:rFonts w:eastAsia="Times New Roman"/>
                <w:sz w:val="16"/>
                <w:szCs w:val="16"/>
              </w:rPr>
            </w:pPr>
            <w:r>
              <w:rPr>
                <w:rFonts w:eastAsia="Times New Roman"/>
                <w:sz w:val="16"/>
                <w:szCs w:val="16"/>
              </w:rPr>
              <w:t>(856,076)</w:t>
            </w:r>
          </w:p>
        </w:tc>
        <w:tc>
          <w:tcPr>
            <w:tcW w:w="300" w:type="pct"/>
            <w:shd w:val="clear" w:color="auto" w:fill="FFFFFF"/>
            <w:vAlign w:val="bottom"/>
            <w:hideMark/>
          </w:tcPr>
          <w:p w14:paraId="2095248B" w14:textId="77777777" w:rsidR="00000000" w:rsidRDefault="0053651E">
            <w:pPr>
              <w:jc w:val="right"/>
              <w:rPr>
                <w:rFonts w:eastAsia="Times New Roman"/>
                <w:sz w:val="16"/>
                <w:szCs w:val="16"/>
              </w:rPr>
            </w:pPr>
            <w:r>
              <w:rPr>
                <w:rFonts w:eastAsia="Times New Roman"/>
                <w:sz w:val="16"/>
                <w:szCs w:val="16"/>
              </w:rPr>
              <w:t>4,097,251</w:t>
            </w:r>
          </w:p>
        </w:tc>
        <w:tc>
          <w:tcPr>
            <w:tcW w:w="450" w:type="pct"/>
            <w:shd w:val="clear" w:color="auto" w:fill="FFFFFF"/>
            <w:vAlign w:val="bottom"/>
            <w:hideMark/>
          </w:tcPr>
          <w:p w14:paraId="14A7A5DE" w14:textId="77777777" w:rsidR="00000000" w:rsidRDefault="0053651E">
            <w:pPr>
              <w:jc w:val="right"/>
              <w:rPr>
                <w:rFonts w:eastAsia="Times New Roman"/>
                <w:sz w:val="16"/>
                <w:szCs w:val="16"/>
              </w:rPr>
            </w:pPr>
            <w:r>
              <w:rPr>
                <w:rFonts w:eastAsia="Times New Roman"/>
                <w:sz w:val="16"/>
                <w:szCs w:val="16"/>
              </w:rPr>
              <w:t>2,894,992</w:t>
            </w:r>
          </w:p>
        </w:tc>
        <w:tc>
          <w:tcPr>
            <w:tcW w:w="350" w:type="pct"/>
            <w:shd w:val="clear" w:color="auto" w:fill="FFFFFF"/>
            <w:vAlign w:val="bottom"/>
            <w:hideMark/>
          </w:tcPr>
          <w:p w14:paraId="7E92E00E" w14:textId="77777777" w:rsidR="00000000" w:rsidRDefault="0053651E">
            <w:pPr>
              <w:jc w:val="right"/>
              <w:rPr>
                <w:rFonts w:eastAsia="Times New Roman"/>
                <w:sz w:val="16"/>
                <w:szCs w:val="16"/>
              </w:rPr>
            </w:pPr>
            <w:r>
              <w:rPr>
                <w:rFonts w:eastAsia="Times New Roman"/>
                <w:sz w:val="16"/>
                <w:szCs w:val="16"/>
              </w:rPr>
              <w:t>6,992,243</w:t>
            </w:r>
          </w:p>
        </w:tc>
        <w:tc>
          <w:tcPr>
            <w:tcW w:w="400" w:type="pct"/>
            <w:shd w:val="clear" w:color="auto" w:fill="FFFFFF"/>
            <w:vAlign w:val="bottom"/>
            <w:hideMark/>
          </w:tcPr>
          <w:p w14:paraId="63AA71F2" w14:textId="77777777" w:rsidR="00000000" w:rsidRDefault="0053651E">
            <w:pPr>
              <w:jc w:val="right"/>
              <w:rPr>
                <w:rFonts w:eastAsia="Times New Roman"/>
                <w:sz w:val="16"/>
                <w:szCs w:val="16"/>
              </w:rPr>
            </w:pPr>
            <w:r>
              <w:rPr>
                <w:rFonts w:eastAsia="Times New Roman"/>
                <w:sz w:val="16"/>
                <w:szCs w:val="16"/>
              </w:rPr>
              <w:t>326,811</w:t>
            </w:r>
          </w:p>
        </w:tc>
        <w:tc>
          <w:tcPr>
            <w:tcW w:w="50" w:type="pct"/>
            <w:shd w:val="clear" w:color="auto" w:fill="FFFFFF"/>
            <w:vAlign w:val="bottom"/>
            <w:hideMark/>
          </w:tcPr>
          <w:p w14:paraId="1CE22A4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B7DC090" w14:textId="77777777" w:rsidR="00000000" w:rsidRDefault="0053651E">
            <w:pPr>
              <w:jc w:val="right"/>
              <w:rPr>
                <w:rFonts w:eastAsia="Times New Roman"/>
                <w:sz w:val="16"/>
                <w:szCs w:val="16"/>
              </w:rPr>
            </w:pPr>
            <w:r>
              <w:rPr>
                <w:rFonts w:eastAsia="Times New Roman"/>
                <w:sz w:val="16"/>
                <w:szCs w:val="16"/>
              </w:rPr>
              <w:t>6,665,432</w:t>
            </w:r>
          </w:p>
        </w:tc>
        <w:tc>
          <w:tcPr>
            <w:tcW w:w="50" w:type="pct"/>
            <w:shd w:val="clear" w:color="auto" w:fill="FFFFFF"/>
            <w:vAlign w:val="bottom"/>
            <w:hideMark/>
          </w:tcPr>
          <w:p w14:paraId="1251201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D47F827" w14:textId="77777777" w:rsidR="00000000" w:rsidRDefault="0053651E">
            <w:pPr>
              <w:jc w:val="right"/>
              <w:rPr>
                <w:rFonts w:eastAsia="Times New Roman"/>
                <w:sz w:val="16"/>
                <w:szCs w:val="16"/>
              </w:rPr>
            </w:pPr>
            <w:r>
              <w:rPr>
                <w:rFonts w:eastAsia="Times New Roman"/>
                <w:sz w:val="16"/>
                <w:szCs w:val="16"/>
              </w:rPr>
              <w:t>2,788,169</w:t>
            </w:r>
          </w:p>
        </w:tc>
        <w:tc>
          <w:tcPr>
            <w:tcW w:w="500" w:type="pct"/>
            <w:shd w:val="clear" w:color="auto" w:fill="FFFFFF"/>
            <w:vAlign w:val="bottom"/>
            <w:hideMark/>
          </w:tcPr>
          <w:p w14:paraId="5D07D10C"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2FF04B0" w14:textId="77777777">
        <w:trPr>
          <w:tblCellSpacing w:w="0" w:type="dxa"/>
        </w:trPr>
        <w:tc>
          <w:tcPr>
            <w:tcW w:w="50" w:type="pct"/>
            <w:shd w:val="clear" w:color="auto" w:fill="CCEEFF"/>
            <w:vAlign w:val="bottom"/>
            <w:hideMark/>
          </w:tcPr>
          <w:p w14:paraId="606E842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AD130B4" w14:textId="77777777" w:rsidR="00000000" w:rsidRDefault="0053651E">
            <w:pPr>
              <w:pStyle w:val="a3"/>
              <w:spacing w:before="0" w:beforeAutospacing="0" w:after="0" w:afterAutospacing="0"/>
              <w:rPr>
                <w:sz w:val="16"/>
                <w:szCs w:val="16"/>
              </w:rPr>
            </w:pPr>
            <w:r>
              <w:rPr>
                <w:sz w:val="16"/>
                <w:szCs w:val="16"/>
              </w:rPr>
              <w:t>GLENDALE SQUARE</w:t>
            </w:r>
          </w:p>
        </w:tc>
        <w:tc>
          <w:tcPr>
            <w:tcW w:w="150" w:type="pct"/>
            <w:shd w:val="clear" w:color="auto" w:fill="CCEEFF"/>
            <w:vAlign w:val="bottom"/>
            <w:hideMark/>
          </w:tcPr>
          <w:p w14:paraId="16461D05"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1AD40210" w14:textId="77777777" w:rsidR="00000000" w:rsidRDefault="0053651E">
            <w:pPr>
              <w:jc w:val="right"/>
              <w:rPr>
                <w:rFonts w:eastAsia="Times New Roman"/>
                <w:sz w:val="16"/>
                <w:szCs w:val="16"/>
              </w:rPr>
            </w:pPr>
            <w:r>
              <w:rPr>
                <w:rFonts w:eastAsia="Times New Roman"/>
                <w:sz w:val="16"/>
                <w:szCs w:val="16"/>
              </w:rPr>
              <w:t>4,698,891</w:t>
            </w:r>
          </w:p>
        </w:tc>
        <w:tc>
          <w:tcPr>
            <w:tcW w:w="550" w:type="pct"/>
            <w:shd w:val="clear" w:color="auto" w:fill="CCEEFF"/>
            <w:vAlign w:val="bottom"/>
            <w:hideMark/>
          </w:tcPr>
          <w:p w14:paraId="525FF0F6" w14:textId="77777777" w:rsidR="00000000" w:rsidRDefault="0053651E">
            <w:pPr>
              <w:jc w:val="right"/>
              <w:rPr>
                <w:rFonts w:eastAsia="Times New Roman"/>
                <w:sz w:val="16"/>
                <w:szCs w:val="16"/>
              </w:rPr>
            </w:pPr>
            <w:r>
              <w:rPr>
                <w:rFonts w:eastAsia="Times New Roman"/>
                <w:sz w:val="16"/>
                <w:szCs w:val="16"/>
              </w:rPr>
              <w:t>7,141,090</w:t>
            </w:r>
          </w:p>
        </w:tc>
        <w:tc>
          <w:tcPr>
            <w:tcW w:w="350" w:type="pct"/>
            <w:shd w:val="clear" w:color="auto" w:fill="CCEEFF"/>
            <w:vAlign w:val="bottom"/>
            <w:hideMark/>
          </w:tcPr>
          <w:p w14:paraId="45ABDC57" w14:textId="77777777" w:rsidR="00000000" w:rsidRDefault="0053651E">
            <w:pPr>
              <w:jc w:val="right"/>
              <w:rPr>
                <w:rFonts w:eastAsia="Times New Roman"/>
                <w:sz w:val="16"/>
                <w:szCs w:val="16"/>
              </w:rPr>
            </w:pPr>
            <w:r>
              <w:rPr>
                <w:rFonts w:eastAsia="Times New Roman"/>
                <w:sz w:val="16"/>
                <w:szCs w:val="16"/>
              </w:rPr>
              <w:t>276,270</w:t>
            </w:r>
          </w:p>
        </w:tc>
        <w:tc>
          <w:tcPr>
            <w:tcW w:w="300" w:type="pct"/>
            <w:shd w:val="clear" w:color="auto" w:fill="CCEEFF"/>
            <w:vAlign w:val="bottom"/>
            <w:hideMark/>
          </w:tcPr>
          <w:p w14:paraId="6D30E0AD" w14:textId="77777777" w:rsidR="00000000" w:rsidRDefault="0053651E">
            <w:pPr>
              <w:jc w:val="right"/>
              <w:rPr>
                <w:rFonts w:eastAsia="Times New Roman"/>
                <w:sz w:val="16"/>
                <w:szCs w:val="16"/>
              </w:rPr>
            </w:pPr>
            <w:r>
              <w:rPr>
                <w:rFonts w:eastAsia="Times New Roman"/>
                <w:sz w:val="16"/>
                <w:szCs w:val="16"/>
              </w:rPr>
              <w:t>4,698,891</w:t>
            </w:r>
          </w:p>
        </w:tc>
        <w:tc>
          <w:tcPr>
            <w:tcW w:w="450" w:type="pct"/>
            <w:shd w:val="clear" w:color="auto" w:fill="CCEEFF"/>
            <w:vAlign w:val="bottom"/>
            <w:hideMark/>
          </w:tcPr>
          <w:p w14:paraId="07283C58" w14:textId="77777777" w:rsidR="00000000" w:rsidRDefault="0053651E">
            <w:pPr>
              <w:jc w:val="right"/>
              <w:rPr>
                <w:rFonts w:eastAsia="Times New Roman"/>
                <w:sz w:val="16"/>
                <w:szCs w:val="16"/>
              </w:rPr>
            </w:pPr>
            <w:r>
              <w:rPr>
                <w:rFonts w:eastAsia="Times New Roman"/>
                <w:sz w:val="16"/>
                <w:szCs w:val="16"/>
              </w:rPr>
              <w:t>7,417,360</w:t>
            </w:r>
          </w:p>
        </w:tc>
        <w:tc>
          <w:tcPr>
            <w:tcW w:w="350" w:type="pct"/>
            <w:shd w:val="clear" w:color="auto" w:fill="CCEEFF"/>
            <w:vAlign w:val="bottom"/>
            <w:hideMark/>
          </w:tcPr>
          <w:p w14:paraId="2D9FBA3C" w14:textId="77777777" w:rsidR="00000000" w:rsidRDefault="0053651E">
            <w:pPr>
              <w:jc w:val="right"/>
              <w:rPr>
                <w:rFonts w:eastAsia="Times New Roman"/>
                <w:sz w:val="16"/>
                <w:szCs w:val="16"/>
              </w:rPr>
            </w:pPr>
            <w:r>
              <w:rPr>
                <w:rFonts w:eastAsia="Times New Roman"/>
                <w:sz w:val="16"/>
                <w:szCs w:val="16"/>
              </w:rPr>
              <w:t>12,116,251</w:t>
            </w:r>
          </w:p>
        </w:tc>
        <w:tc>
          <w:tcPr>
            <w:tcW w:w="400" w:type="pct"/>
            <w:shd w:val="clear" w:color="auto" w:fill="CCEEFF"/>
            <w:vAlign w:val="bottom"/>
            <w:hideMark/>
          </w:tcPr>
          <w:p w14:paraId="63B86776" w14:textId="77777777" w:rsidR="00000000" w:rsidRDefault="0053651E">
            <w:pPr>
              <w:jc w:val="right"/>
              <w:rPr>
                <w:rFonts w:eastAsia="Times New Roman"/>
                <w:sz w:val="16"/>
                <w:szCs w:val="16"/>
              </w:rPr>
            </w:pPr>
            <w:r>
              <w:rPr>
                <w:rFonts w:eastAsia="Times New Roman"/>
                <w:sz w:val="16"/>
                <w:szCs w:val="16"/>
              </w:rPr>
              <w:t>1,533,969</w:t>
            </w:r>
          </w:p>
        </w:tc>
        <w:tc>
          <w:tcPr>
            <w:tcW w:w="50" w:type="pct"/>
            <w:shd w:val="clear" w:color="auto" w:fill="CCEEFF"/>
            <w:vAlign w:val="bottom"/>
            <w:hideMark/>
          </w:tcPr>
          <w:p w14:paraId="346607A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93FD606" w14:textId="77777777" w:rsidR="00000000" w:rsidRDefault="0053651E">
            <w:pPr>
              <w:jc w:val="right"/>
              <w:rPr>
                <w:rFonts w:eastAsia="Times New Roman"/>
                <w:sz w:val="16"/>
                <w:szCs w:val="16"/>
              </w:rPr>
            </w:pPr>
            <w:r>
              <w:rPr>
                <w:rFonts w:eastAsia="Times New Roman"/>
                <w:sz w:val="16"/>
                <w:szCs w:val="16"/>
              </w:rPr>
              <w:t>10,582,282</w:t>
            </w:r>
          </w:p>
        </w:tc>
        <w:tc>
          <w:tcPr>
            <w:tcW w:w="50" w:type="pct"/>
            <w:shd w:val="clear" w:color="auto" w:fill="CCEEFF"/>
            <w:vAlign w:val="bottom"/>
            <w:hideMark/>
          </w:tcPr>
          <w:p w14:paraId="31028DE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A0ABC12" w14:textId="77777777" w:rsidR="00000000" w:rsidRDefault="0053651E">
            <w:pPr>
              <w:jc w:val="right"/>
              <w:rPr>
                <w:rFonts w:eastAsia="Times New Roman"/>
                <w:sz w:val="16"/>
                <w:szCs w:val="16"/>
              </w:rPr>
            </w:pPr>
            <w:r>
              <w:rPr>
                <w:rFonts w:eastAsia="Times New Roman"/>
                <w:sz w:val="16"/>
                <w:szCs w:val="16"/>
              </w:rPr>
              <w:t>5,111,077</w:t>
            </w:r>
          </w:p>
        </w:tc>
        <w:tc>
          <w:tcPr>
            <w:tcW w:w="500" w:type="pct"/>
            <w:shd w:val="clear" w:color="auto" w:fill="CCEEFF"/>
            <w:vAlign w:val="bottom"/>
            <w:hideMark/>
          </w:tcPr>
          <w:p w14:paraId="18DDE09F"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687F1B9" w14:textId="77777777">
        <w:trPr>
          <w:tblCellSpacing w:w="0" w:type="dxa"/>
        </w:trPr>
        <w:tc>
          <w:tcPr>
            <w:tcW w:w="50" w:type="pct"/>
            <w:shd w:val="clear" w:color="auto" w:fill="FFFFFF"/>
            <w:vAlign w:val="bottom"/>
            <w:hideMark/>
          </w:tcPr>
          <w:p w14:paraId="5C638E0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24BB3CC" w14:textId="77777777" w:rsidR="00000000" w:rsidRDefault="0053651E">
            <w:pPr>
              <w:pStyle w:val="a3"/>
              <w:spacing w:before="0" w:beforeAutospacing="0" w:after="0" w:afterAutospacing="0"/>
              <w:rPr>
                <w:sz w:val="16"/>
                <w:szCs w:val="16"/>
              </w:rPr>
            </w:pPr>
            <w:r>
              <w:rPr>
                <w:sz w:val="16"/>
                <w:szCs w:val="16"/>
              </w:rPr>
              <w:t>FALMOUTH PLAZA</w:t>
            </w:r>
          </w:p>
        </w:tc>
        <w:tc>
          <w:tcPr>
            <w:tcW w:w="150" w:type="pct"/>
            <w:shd w:val="clear" w:color="auto" w:fill="FFFFFF"/>
            <w:vAlign w:val="bottom"/>
            <w:hideMark/>
          </w:tcPr>
          <w:p w14:paraId="5D3D877A"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1C834297" w14:textId="77777777" w:rsidR="00000000" w:rsidRDefault="0053651E">
            <w:pPr>
              <w:jc w:val="right"/>
              <w:rPr>
                <w:rFonts w:eastAsia="Times New Roman"/>
                <w:sz w:val="16"/>
                <w:szCs w:val="16"/>
              </w:rPr>
            </w:pPr>
            <w:r>
              <w:rPr>
                <w:rFonts w:eastAsia="Times New Roman"/>
                <w:sz w:val="16"/>
                <w:szCs w:val="16"/>
              </w:rPr>
              <w:t>2,361,071</w:t>
            </w:r>
          </w:p>
        </w:tc>
        <w:tc>
          <w:tcPr>
            <w:tcW w:w="550" w:type="pct"/>
            <w:shd w:val="clear" w:color="auto" w:fill="FFFFFF"/>
            <w:vAlign w:val="bottom"/>
            <w:hideMark/>
          </w:tcPr>
          <w:p w14:paraId="729E6A94" w14:textId="77777777" w:rsidR="00000000" w:rsidRDefault="0053651E">
            <w:pPr>
              <w:jc w:val="right"/>
              <w:rPr>
                <w:rFonts w:eastAsia="Times New Roman"/>
                <w:sz w:val="16"/>
                <w:szCs w:val="16"/>
              </w:rPr>
            </w:pPr>
            <w:r>
              <w:rPr>
                <w:rFonts w:eastAsia="Times New Roman"/>
                <w:sz w:val="16"/>
                <w:szCs w:val="16"/>
              </w:rPr>
              <w:t>13,065,817</w:t>
            </w:r>
          </w:p>
        </w:tc>
        <w:tc>
          <w:tcPr>
            <w:tcW w:w="350" w:type="pct"/>
            <w:shd w:val="clear" w:color="auto" w:fill="FFFFFF"/>
            <w:vAlign w:val="bottom"/>
            <w:hideMark/>
          </w:tcPr>
          <w:p w14:paraId="426B93CC" w14:textId="77777777" w:rsidR="00000000" w:rsidRDefault="0053651E">
            <w:pPr>
              <w:jc w:val="right"/>
              <w:rPr>
                <w:rFonts w:eastAsia="Times New Roman"/>
                <w:sz w:val="16"/>
                <w:szCs w:val="16"/>
              </w:rPr>
            </w:pPr>
            <w:r>
              <w:rPr>
                <w:rFonts w:eastAsia="Times New Roman"/>
                <w:sz w:val="16"/>
                <w:szCs w:val="16"/>
              </w:rPr>
              <w:t>1,303,452</w:t>
            </w:r>
          </w:p>
        </w:tc>
        <w:tc>
          <w:tcPr>
            <w:tcW w:w="300" w:type="pct"/>
            <w:shd w:val="clear" w:color="auto" w:fill="FFFFFF"/>
            <w:vAlign w:val="bottom"/>
            <w:hideMark/>
          </w:tcPr>
          <w:p w14:paraId="3411BF78" w14:textId="77777777" w:rsidR="00000000" w:rsidRDefault="0053651E">
            <w:pPr>
              <w:jc w:val="right"/>
              <w:rPr>
                <w:rFonts w:eastAsia="Times New Roman"/>
                <w:sz w:val="16"/>
                <w:szCs w:val="16"/>
              </w:rPr>
            </w:pPr>
            <w:r>
              <w:rPr>
                <w:rFonts w:eastAsia="Times New Roman"/>
                <w:sz w:val="16"/>
                <w:szCs w:val="16"/>
              </w:rPr>
              <w:t>2,361,071</w:t>
            </w:r>
          </w:p>
        </w:tc>
        <w:tc>
          <w:tcPr>
            <w:tcW w:w="450" w:type="pct"/>
            <w:shd w:val="clear" w:color="auto" w:fill="FFFFFF"/>
            <w:vAlign w:val="bottom"/>
            <w:hideMark/>
          </w:tcPr>
          <w:p w14:paraId="27EB2793" w14:textId="77777777" w:rsidR="00000000" w:rsidRDefault="0053651E">
            <w:pPr>
              <w:jc w:val="right"/>
              <w:rPr>
                <w:rFonts w:eastAsia="Times New Roman"/>
                <w:sz w:val="16"/>
                <w:szCs w:val="16"/>
              </w:rPr>
            </w:pPr>
            <w:r>
              <w:rPr>
                <w:rFonts w:eastAsia="Times New Roman"/>
                <w:sz w:val="16"/>
                <w:szCs w:val="16"/>
              </w:rPr>
              <w:t>14,369,269</w:t>
            </w:r>
          </w:p>
        </w:tc>
        <w:tc>
          <w:tcPr>
            <w:tcW w:w="350" w:type="pct"/>
            <w:shd w:val="clear" w:color="auto" w:fill="FFFFFF"/>
            <w:vAlign w:val="bottom"/>
            <w:hideMark/>
          </w:tcPr>
          <w:p w14:paraId="035A0919" w14:textId="77777777" w:rsidR="00000000" w:rsidRDefault="0053651E">
            <w:pPr>
              <w:jc w:val="right"/>
              <w:rPr>
                <w:rFonts w:eastAsia="Times New Roman"/>
                <w:sz w:val="16"/>
                <w:szCs w:val="16"/>
              </w:rPr>
            </w:pPr>
            <w:r>
              <w:rPr>
                <w:rFonts w:eastAsia="Times New Roman"/>
                <w:sz w:val="16"/>
                <w:szCs w:val="16"/>
              </w:rPr>
              <w:t>16,730,340</w:t>
            </w:r>
          </w:p>
        </w:tc>
        <w:tc>
          <w:tcPr>
            <w:tcW w:w="400" w:type="pct"/>
            <w:shd w:val="clear" w:color="auto" w:fill="FFFFFF"/>
            <w:vAlign w:val="bottom"/>
            <w:hideMark/>
          </w:tcPr>
          <w:p w14:paraId="301BBDA1" w14:textId="77777777" w:rsidR="00000000" w:rsidRDefault="0053651E">
            <w:pPr>
              <w:jc w:val="right"/>
              <w:rPr>
                <w:rFonts w:eastAsia="Times New Roman"/>
                <w:sz w:val="16"/>
                <w:szCs w:val="16"/>
              </w:rPr>
            </w:pPr>
            <w:r>
              <w:rPr>
                <w:rFonts w:eastAsia="Times New Roman"/>
                <w:sz w:val="16"/>
                <w:szCs w:val="16"/>
              </w:rPr>
              <w:t>2,534,330</w:t>
            </w:r>
          </w:p>
        </w:tc>
        <w:tc>
          <w:tcPr>
            <w:tcW w:w="50" w:type="pct"/>
            <w:shd w:val="clear" w:color="auto" w:fill="FFFFFF"/>
            <w:vAlign w:val="bottom"/>
            <w:hideMark/>
          </w:tcPr>
          <w:p w14:paraId="3346902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514C04C" w14:textId="77777777" w:rsidR="00000000" w:rsidRDefault="0053651E">
            <w:pPr>
              <w:jc w:val="right"/>
              <w:rPr>
                <w:rFonts w:eastAsia="Times New Roman"/>
                <w:sz w:val="16"/>
                <w:szCs w:val="16"/>
              </w:rPr>
            </w:pPr>
            <w:r>
              <w:rPr>
                <w:rFonts w:eastAsia="Times New Roman"/>
                <w:sz w:val="16"/>
                <w:szCs w:val="16"/>
              </w:rPr>
              <w:t>14,196,010</w:t>
            </w:r>
          </w:p>
        </w:tc>
        <w:tc>
          <w:tcPr>
            <w:tcW w:w="50" w:type="pct"/>
            <w:shd w:val="clear" w:color="auto" w:fill="FFFFFF"/>
            <w:vAlign w:val="bottom"/>
            <w:hideMark/>
          </w:tcPr>
          <w:p w14:paraId="7821E9D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813D855" w14:textId="77777777" w:rsidR="00000000" w:rsidRDefault="0053651E">
            <w:pPr>
              <w:jc w:val="right"/>
              <w:rPr>
                <w:rFonts w:eastAsia="Times New Roman"/>
                <w:sz w:val="16"/>
                <w:szCs w:val="16"/>
              </w:rPr>
            </w:pPr>
            <w:r>
              <w:rPr>
                <w:rFonts w:eastAsia="Times New Roman"/>
                <w:sz w:val="16"/>
                <w:szCs w:val="16"/>
              </w:rPr>
              <w:t>7,192,333</w:t>
            </w:r>
          </w:p>
        </w:tc>
        <w:tc>
          <w:tcPr>
            <w:tcW w:w="500" w:type="pct"/>
            <w:shd w:val="clear" w:color="auto" w:fill="FFFFFF"/>
            <w:vAlign w:val="bottom"/>
            <w:hideMark/>
          </w:tcPr>
          <w:p w14:paraId="3C5F13D0"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FE4635C" w14:textId="77777777">
        <w:trPr>
          <w:tblCellSpacing w:w="0" w:type="dxa"/>
        </w:trPr>
        <w:tc>
          <w:tcPr>
            <w:tcW w:w="50" w:type="pct"/>
            <w:shd w:val="clear" w:color="auto" w:fill="CCEEFF"/>
            <w:vAlign w:val="bottom"/>
            <w:hideMark/>
          </w:tcPr>
          <w:p w14:paraId="485113E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97592FB" w14:textId="77777777" w:rsidR="00000000" w:rsidRDefault="0053651E">
            <w:pPr>
              <w:pStyle w:val="a3"/>
              <w:spacing w:before="0" w:beforeAutospacing="0" w:after="0" w:afterAutospacing="0"/>
              <w:rPr>
                <w:sz w:val="16"/>
                <w:szCs w:val="16"/>
              </w:rPr>
            </w:pPr>
            <w:r>
              <w:rPr>
                <w:sz w:val="16"/>
                <w:szCs w:val="16"/>
              </w:rPr>
              <w:t>WAVERLY PLAZA</w:t>
            </w:r>
          </w:p>
        </w:tc>
        <w:tc>
          <w:tcPr>
            <w:tcW w:w="150" w:type="pct"/>
            <w:shd w:val="clear" w:color="auto" w:fill="CCEEFF"/>
            <w:vAlign w:val="bottom"/>
            <w:hideMark/>
          </w:tcPr>
          <w:p w14:paraId="5E949002"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04657AFE" w14:textId="77777777" w:rsidR="00000000" w:rsidRDefault="0053651E">
            <w:pPr>
              <w:jc w:val="right"/>
              <w:rPr>
                <w:rFonts w:eastAsia="Times New Roman"/>
                <w:sz w:val="16"/>
                <w:szCs w:val="16"/>
              </w:rPr>
            </w:pPr>
            <w:r>
              <w:rPr>
                <w:rFonts w:eastAsia="Times New Roman"/>
                <w:sz w:val="16"/>
                <w:szCs w:val="16"/>
              </w:rPr>
              <w:t>1,215,005</w:t>
            </w:r>
          </w:p>
        </w:tc>
        <w:tc>
          <w:tcPr>
            <w:tcW w:w="550" w:type="pct"/>
            <w:shd w:val="clear" w:color="auto" w:fill="CCEEFF"/>
            <w:vAlign w:val="bottom"/>
            <w:hideMark/>
          </w:tcPr>
          <w:p w14:paraId="442C02B8" w14:textId="77777777" w:rsidR="00000000" w:rsidRDefault="0053651E">
            <w:pPr>
              <w:jc w:val="right"/>
              <w:rPr>
                <w:rFonts w:eastAsia="Times New Roman"/>
                <w:sz w:val="16"/>
                <w:szCs w:val="16"/>
              </w:rPr>
            </w:pPr>
            <w:r>
              <w:rPr>
                <w:rFonts w:eastAsia="Times New Roman"/>
                <w:sz w:val="16"/>
                <w:szCs w:val="16"/>
              </w:rPr>
              <w:t>3,622,911</w:t>
            </w:r>
          </w:p>
        </w:tc>
        <w:tc>
          <w:tcPr>
            <w:tcW w:w="350" w:type="pct"/>
            <w:shd w:val="clear" w:color="auto" w:fill="CCEEFF"/>
            <w:vAlign w:val="bottom"/>
            <w:hideMark/>
          </w:tcPr>
          <w:p w14:paraId="67711945" w14:textId="77777777" w:rsidR="00000000" w:rsidRDefault="0053651E">
            <w:pPr>
              <w:jc w:val="right"/>
              <w:rPr>
                <w:rFonts w:eastAsia="Times New Roman"/>
                <w:sz w:val="16"/>
                <w:szCs w:val="16"/>
              </w:rPr>
            </w:pPr>
            <w:r>
              <w:rPr>
                <w:rFonts w:eastAsia="Times New Roman"/>
                <w:sz w:val="16"/>
                <w:szCs w:val="16"/>
              </w:rPr>
              <w:t>312,795</w:t>
            </w:r>
          </w:p>
        </w:tc>
        <w:tc>
          <w:tcPr>
            <w:tcW w:w="300" w:type="pct"/>
            <w:shd w:val="clear" w:color="auto" w:fill="CCEEFF"/>
            <w:vAlign w:val="bottom"/>
            <w:hideMark/>
          </w:tcPr>
          <w:p w14:paraId="78E35064" w14:textId="77777777" w:rsidR="00000000" w:rsidRDefault="0053651E">
            <w:pPr>
              <w:jc w:val="right"/>
              <w:rPr>
                <w:rFonts w:eastAsia="Times New Roman"/>
                <w:sz w:val="16"/>
                <w:szCs w:val="16"/>
              </w:rPr>
            </w:pPr>
            <w:r>
              <w:rPr>
                <w:rFonts w:eastAsia="Times New Roman"/>
                <w:sz w:val="16"/>
                <w:szCs w:val="16"/>
              </w:rPr>
              <w:t>1,203,205</w:t>
            </w:r>
          </w:p>
        </w:tc>
        <w:tc>
          <w:tcPr>
            <w:tcW w:w="450" w:type="pct"/>
            <w:shd w:val="clear" w:color="auto" w:fill="CCEEFF"/>
            <w:vAlign w:val="bottom"/>
            <w:hideMark/>
          </w:tcPr>
          <w:p w14:paraId="439014D9" w14:textId="77777777" w:rsidR="00000000" w:rsidRDefault="0053651E">
            <w:pPr>
              <w:jc w:val="right"/>
              <w:rPr>
                <w:rFonts w:eastAsia="Times New Roman"/>
                <w:sz w:val="16"/>
                <w:szCs w:val="16"/>
              </w:rPr>
            </w:pPr>
            <w:r>
              <w:rPr>
                <w:rFonts w:eastAsia="Times New Roman"/>
                <w:sz w:val="16"/>
                <w:szCs w:val="16"/>
              </w:rPr>
              <w:t>3,947,506</w:t>
            </w:r>
          </w:p>
        </w:tc>
        <w:tc>
          <w:tcPr>
            <w:tcW w:w="350" w:type="pct"/>
            <w:shd w:val="clear" w:color="auto" w:fill="CCEEFF"/>
            <w:vAlign w:val="bottom"/>
            <w:hideMark/>
          </w:tcPr>
          <w:p w14:paraId="097CA0E0" w14:textId="77777777" w:rsidR="00000000" w:rsidRDefault="0053651E">
            <w:pPr>
              <w:jc w:val="right"/>
              <w:rPr>
                <w:rFonts w:eastAsia="Times New Roman"/>
                <w:sz w:val="16"/>
                <w:szCs w:val="16"/>
              </w:rPr>
            </w:pPr>
            <w:r>
              <w:rPr>
                <w:rFonts w:eastAsia="Times New Roman"/>
                <w:sz w:val="16"/>
                <w:szCs w:val="16"/>
              </w:rPr>
              <w:t>5,150,711</w:t>
            </w:r>
          </w:p>
        </w:tc>
        <w:tc>
          <w:tcPr>
            <w:tcW w:w="400" w:type="pct"/>
            <w:shd w:val="clear" w:color="auto" w:fill="CCEEFF"/>
            <w:vAlign w:val="bottom"/>
            <w:hideMark/>
          </w:tcPr>
          <w:p w14:paraId="0D347543" w14:textId="77777777" w:rsidR="00000000" w:rsidRDefault="0053651E">
            <w:pPr>
              <w:jc w:val="right"/>
              <w:rPr>
                <w:rFonts w:eastAsia="Times New Roman"/>
                <w:sz w:val="16"/>
                <w:szCs w:val="16"/>
              </w:rPr>
            </w:pPr>
            <w:r>
              <w:rPr>
                <w:rFonts w:eastAsia="Times New Roman"/>
                <w:sz w:val="16"/>
                <w:szCs w:val="16"/>
              </w:rPr>
              <w:t>841,633</w:t>
            </w:r>
          </w:p>
        </w:tc>
        <w:tc>
          <w:tcPr>
            <w:tcW w:w="50" w:type="pct"/>
            <w:shd w:val="clear" w:color="auto" w:fill="CCEEFF"/>
            <w:vAlign w:val="bottom"/>
            <w:hideMark/>
          </w:tcPr>
          <w:p w14:paraId="3083548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94F4418" w14:textId="77777777" w:rsidR="00000000" w:rsidRDefault="0053651E">
            <w:pPr>
              <w:jc w:val="right"/>
              <w:rPr>
                <w:rFonts w:eastAsia="Times New Roman"/>
                <w:sz w:val="16"/>
                <w:szCs w:val="16"/>
              </w:rPr>
            </w:pPr>
            <w:r>
              <w:rPr>
                <w:rFonts w:eastAsia="Times New Roman"/>
                <w:sz w:val="16"/>
                <w:szCs w:val="16"/>
              </w:rPr>
              <w:t>4,309,078</w:t>
            </w:r>
          </w:p>
        </w:tc>
        <w:tc>
          <w:tcPr>
            <w:tcW w:w="50" w:type="pct"/>
            <w:shd w:val="clear" w:color="auto" w:fill="CCEEFF"/>
            <w:vAlign w:val="bottom"/>
            <w:hideMark/>
          </w:tcPr>
          <w:p w14:paraId="30F4204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086987D" w14:textId="77777777" w:rsidR="00000000" w:rsidRDefault="0053651E">
            <w:pPr>
              <w:jc w:val="right"/>
              <w:rPr>
                <w:rFonts w:eastAsia="Times New Roman"/>
                <w:sz w:val="16"/>
                <w:szCs w:val="16"/>
              </w:rPr>
            </w:pPr>
            <w:r>
              <w:rPr>
                <w:rFonts w:eastAsia="Times New Roman"/>
                <w:sz w:val="16"/>
                <w:szCs w:val="16"/>
              </w:rPr>
              <w:t>2,051,134</w:t>
            </w:r>
          </w:p>
        </w:tc>
        <w:tc>
          <w:tcPr>
            <w:tcW w:w="500" w:type="pct"/>
            <w:shd w:val="clear" w:color="auto" w:fill="CCEEFF"/>
            <w:vAlign w:val="bottom"/>
            <w:hideMark/>
          </w:tcPr>
          <w:p w14:paraId="6694A755"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B6F508E" w14:textId="77777777">
        <w:trPr>
          <w:tblCellSpacing w:w="0" w:type="dxa"/>
        </w:trPr>
        <w:tc>
          <w:tcPr>
            <w:tcW w:w="50" w:type="pct"/>
            <w:shd w:val="clear" w:color="auto" w:fill="FFFFFF"/>
            <w:vAlign w:val="bottom"/>
            <w:hideMark/>
          </w:tcPr>
          <w:p w14:paraId="27C4A77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E58B753" w14:textId="77777777" w:rsidR="00000000" w:rsidRDefault="0053651E">
            <w:pPr>
              <w:pStyle w:val="a3"/>
              <w:spacing w:before="0" w:beforeAutospacing="0" w:after="0" w:afterAutospacing="0"/>
              <w:rPr>
                <w:sz w:val="16"/>
                <w:szCs w:val="16"/>
              </w:rPr>
            </w:pPr>
            <w:r>
              <w:rPr>
                <w:sz w:val="16"/>
                <w:szCs w:val="16"/>
              </w:rPr>
              <w:t>FESTIVAL OF HYANNIS S.C.</w:t>
            </w:r>
          </w:p>
        </w:tc>
        <w:tc>
          <w:tcPr>
            <w:tcW w:w="150" w:type="pct"/>
            <w:shd w:val="clear" w:color="auto" w:fill="FFFFFF"/>
            <w:vAlign w:val="bottom"/>
            <w:hideMark/>
          </w:tcPr>
          <w:p w14:paraId="6C7DCF1B"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317F247D" w14:textId="77777777" w:rsidR="00000000" w:rsidRDefault="0053651E">
            <w:pPr>
              <w:jc w:val="right"/>
              <w:rPr>
                <w:rFonts w:eastAsia="Times New Roman"/>
                <w:sz w:val="16"/>
                <w:szCs w:val="16"/>
              </w:rPr>
            </w:pPr>
            <w:r>
              <w:rPr>
                <w:rFonts w:eastAsia="Times New Roman"/>
                <w:sz w:val="16"/>
                <w:szCs w:val="16"/>
              </w:rPr>
              <w:t>15,038,197</w:t>
            </w:r>
          </w:p>
        </w:tc>
        <w:tc>
          <w:tcPr>
            <w:tcW w:w="550" w:type="pct"/>
            <w:shd w:val="clear" w:color="auto" w:fill="FFFFFF"/>
            <w:vAlign w:val="bottom"/>
            <w:hideMark/>
          </w:tcPr>
          <w:p w14:paraId="75A7959D" w14:textId="77777777" w:rsidR="00000000" w:rsidRDefault="0053651E">
            <w:pPr>
              <w:jc w:val="right"/>
              <w:rPr>
                <w:rFonts w:eastAsia="Times New Roman"/>
                <w:sz w:val="16"/>
                <w:szCs w:val="16"/>
              </w:rPr>
            </w:pPr>
            <w:r>
              <w:rPr>
                <w:rFonts w:eastAsia="Times New Roman"/>
                <w:sz w:val="16"/>
                <w:szCs w:val="16"/>
              </w:rPr>
              <w:t>40,682,853</w:t>
            </w:r>
          </w:p>
        </w:tc>
        <w:tc>
          <w:tcPr>
            <w:tcW w:w="350" w:type="pct"/>
            <w:shd w:val="clear" w:color="auto" w:fill="FFFFFF"/>
            <w:vAlign w:val="bottom"/>
            <w:hideMark/>
          </w:tcPr>
          <w:p w14:paraId="3923AFCE" w14:textId="77777777" w:rsidR="00000000" w:rsidRDefault="0053651E">
            <w:pPr>
              <w:jc w:val="right"/>
              <w:rPr>
                <w:rFonts w:eastAsia="Times New Roman"/>
                <w:sz w:val="16"/>
                <w:szCs w:val="16"/>
              </w:rPr>
            </w:pPr>
            <w:r>
              <w:rPr>
                <w:rFonts w:eastAsia="Times New Roman"/>
                <w:sz w:val="16"/>
                <w:szCs w:val="16"/>
              </w:rPr>
              <w:t>2,115,022</w:t>
            </w:r>
          </w:p>
        </w:tc>
        <w:tc>
          <w:tcPr>
            <w:tcW w:w="300" w:type="pct"/>
            <w:shd w:val="clear" w:color="auto" w:fill="FFFFFF"/>
            <w:vAlign w:val="bottom"/>
            <w:hideMark/>
          </w:tcPr>
          <w:p w14:paraId="291C50C6" w14:textId="77777777" w:rsidR="00000000" w:rsidRDefault="0053651E">
            <w:pPr>
              <w:jc w:val="right"/>
              <w:rPr>
                <w:rFonts w:eastAsia="Times New Roman"/>
                <w:sz w:val="16"/>
                <w:szCs w:val="16"/>
              </w:rPr>
            </w:pPr>
            <w:r>
              <w:rPr>
                <w:rFonts w:eastAsia="Times New Roman"/>
                <w:sz w:val="16"/>
                <w:szCs w:val="16"/>
              </w:rPr>
              <w:t>15,038,197</w:t>
            </w:r>
          </w:p>
        </w:tc>
        <w:tc>
          <w:tcPr>
            <w:tcW w:w="450" w:type="pct"/>
            <w:shd w:val="clear" w:color="auto" w:fill="FFFFFF"/>
            <w:vAlign w:val="bottom"/>
            <w:hideMark/>
          </w:tcPr>
          <w:p w14:paraId="3E5374BA" w14:textId="77777777" w:rsidR="00000000" w:rsidRDefault="0053651E">
            <w:pPr>
              <w:jc w:val="right"/>
              <w:rPr>
                <w:rFonts w:eastAsia="Times New Roman"/>
                <w:sz w:val="16"/>
                <w:szCs w:val="16"/>
              </w:rPr>
            </w:pPr>
            <w:r>
              <w:rPr>
                <w:rFonts w:eastAsia="Times New Roman"/>
                <w:sz w:val="16"/>
                <w:szCs w:val="16"/>
              </w:rPr>
              <w:t>42,797,875</w:t>
            </w:r>
          </w:p>
        </w:tc>
        <w:tc>
          <w:tcPr>
            <w:tcW w:w="350" w:type="pct"/>
            <w:shd w:val="clear" w:color="auto" w:fill="FFFFFF"/>
            <w:vAlign w:val="bottom"/>
            <w:hideMark/>
          </w:tcPr>
          <w:p w14:paraId="22B1D146" w14:textId="77777777" w:rsidR="00000000" w:rsidRDefault="0053651E">
            <w:pPr>
              <w:jc w:val="right"/>
              <w:rPr>
                <w:rFonts w:eastAsia="Times New Roman"/>
                <w:sz w:val="16"/>
                <w:szCs w:val="16"/>
              </w:rPr>
            </w:pPr>
            <w:r>
              <w:rPr>
                <w:rFonts w:eastAsia="Times New Roman"/>
                <w:sz w:val="16"/>
                <w:szCs w:val="16"/>
              </w:rPr>
              <w:t>57,836,072</w:t>
            </w:r>
          </w:p>
        </w:tc>
        <w:tc>
          <w:tcPr>
            <w:tcW w:w="400" w:type="pct"/>
            <w:shd w:val="clear" w:color="auto" w:fill="FFFFFF"/>
            <w:vAlign w:val="bottom"/>
            <w:hideMark/>
          </w:tcPr>
          <w:p w14:paraId="1AB62BC5" w14:textId="77777777" w:rsidR="00000000" w:rsidRDefault="0053651E">
            <w:pPr>
              <w:jc w:val="right"/>
              <w:rPr>
                <w:rFonts w:eastAsia="Times New Roman"/>
                <w:sz w:val="16"/>
                <w:szCs w:val="16"/>
              </w:rPr>
            </w:pPr>
            <w:r>
              <w:rPr>
                <w:rFonts w:eastAsia="Times New Roman"/>
                <w:sz w:val="16"/>
                <w:szCs w:val="16"/>
              </w:rPr>
              <w:t>9,012,213</w:t>
            </w:r>
          </w:p>
        </w:tc>
        <w:tc>
          <w:tcPr>
            <w:tcW w:w="50" w:type="pct"/>
            <w:shd w:val="clear" w:color="auto" w:fill="FFFFFF"/>
            <w:vAlign w:val="bottom"/>
            <w:hideMark/>
          </w:tcPr>
          <w:p w14:paraId="59B9E70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BE0D5CD" w14:textId="77777777" w:rsidR="00000000" w:rsidRDefault="0053651E">
            <w:pPr>
              <w:jc w:val="right"/>
              <w:rPr>
                <w:rFonts w:eastAsia="Times New Roman"/>
                <w:sz w:val="16"/>
                <w:szCs w:val="16"/>
              </w:rPr>
            </w:pPr>
            <w:r>
              <w:rPr>
                <w:rFonts w:eastAsia="Times New Roman"/>
                <w:sz w:val="16"/>
                <w:szCs w:val="16"/>
              </w:rPr>
              <w:t>48,823,859</w:t>
            </w:r>
          </w:p>
        </w:tc>
        <w:tc>
          <w:tcPr>
            <w:tcW w:w="50" w:type="pct"/>
            <w:shd w:val="clear" w:color="auto" w:fill="FFFFFF"/>
            <w:vAlign w:val="bottom"/>
            <w:hideMark/>
          </w:tcPr>
          <w:p w14:paraId="0B7706A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046B45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3825E7A"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6A53CC6" w14:textId="77777777">
        <w:trPr>
          <w:tblCellSpacing w:w="0" w:type="dxa"/>
        </w:trPr>
        <w:tc>
          <w:tcPr>
            <w:tcW w:w="50" w:type="pct"/>
            <w:shd w:val="clear" w:color="auto" w:fill="CCEEFF"/>
            <w:vAlign w:val="bottom"/>
            <w:hideMark/>
          </w:tcPr>
          <w:p w14:paraId="1872101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ADFCDD1" w14:textId="77777777" w:rsidR="00000000" w:rsidRDefault="0053651E">
            <w:pPr>
              <w:pStyle w:val="a3"/>
              <w:spacing w:before="0" w:beforeAutospacing="0" w:after="0" w:afterAutospacing="0"/>
              <w:rPr>
                <w:sz w:val="16"/>
                <w:szCs w:val="16"/>
              </w:rPr>
            </w:pPr>
            <w:r>
              <w:rPr>
                <w:sz w:val="16"/>
                <w:szCs w:val="16"/>
              </w:rPr>
              <w:t>FELLSWAY PLAZA</w:t>
            </w:r>
          </w:p>
        </w:tc>
        <w:tc>
          <w:tcPr>
            <w:tcW w:w="150" w:type="pct"/>
            <w:shd w:val="clear" w:color="auto" w:fill="CCEEFF"/>
            <w:vAlign w:val="bottom"/>
            <w:hideMark/>
          </w:tcPr>
          <w:p w14:paraId="26E7C31D"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2434F080" w14:textId="77777777" w:rsidR="00000000" w:rsidRDefault="0053651E">
            <w:pPr>
              <w:jc w:val="right"/>
              <w:rPr>
                <w:rFonts w:eastAsia="Times New Roman"/>
                <w:sz w:val="16"/>
                <w:szCs w:val="16"/>
              </w:rPr>
            </w:pPr>
            <w:r>
              <w:rPr>
                <w:rFonts w:eastAsia="Times New Roman"/>
                <w:sz w:val="16"/>
                <w:szCs w:val="16"/>
              </w:rPr>
              <w:t>5,300,388</w:t>
            </w:r>
          </w:p>
        </w:tc>
        <w:tc>
          <w:tcPr>
            <w:tcW w:w="550" w:type="pct"/>
            <w:shd w:val="clear" w:color="auto" w:fill="CCEEFF"/>
            <w:vAlign w:val="bottom"/>
            <w:hideMark/>
          </w:tcPr>
          <w:p w14:paraId="1DFB247C" w14:textId="77777777" w:rsidR="00000000" w:rsidRDefault="0053651E">
            <w:pPr>
              <w:jc w:val="right"/>
              <w:rPr>
                <w:rFonts w:eastAsia="Times New Roman"/>
                <w:sz w:val="16"/>
                <w:szCs w:val="16"/>
              </w:rPr>
            </w:pPr>
            <w:r>
              <w:rPr>
                <w:rFonts w:eastAsia="Times New Roman"/>
                <w:sz w:val="16"/>
                <w:szCs w:val="16"/>
              </w:rPr>
              <w:t>11,013,543</w:t>
            </w:r>
          </w:p>
        </w:tc>
        <w:tc>
          <w:tcPr>
            <w:tcW w:w="350" w:type="pct"/>
            <w:shd w:val="clear" w:color="auto" w:fill="CCEEFF"/>
            <w:vAlign w:val="bottom"/>
            <w:hideMark/>
          </w:tcPr>
          <w:p w14:paraId="46B3758C" w14:textId="77777777" w:rsidR="00000000" w:rsidRDefault="0053651E">
            <w:pPr>
              <w:jc w:val="right"/>
              <w:rPr>
                <w:rFonts w:eastAsia="Times New Roman"/>
                <w:sz w:val="16"/>
                <w:szCs w:val="16"/>
              </w:rPr>
            </w:pPr>
            <w:r>
              <w:rPr>
                <w:rFonts w:eastAsia="Times New Roman"/>
                <w:sz w:val="16"/>
                <w:szCs w:val="16"/>
              </w:rPr>
              <w:t>764,656</w:t>
            </w:r>
          </w:p>
        </w:tc>
        <w:tc>
          <w:tcPr>
            <w:tcW w:w="300" w:type="pct"/>
            <w:shd w:val="clear" w:color="auto" w:fill="CCEEFF"/>
            <w:vAlign w:val="bottom"/>
            <w:hideMark/>
          </w:tcPr>
          <w:p w14:paraId="6DB16727" w14:textId="77777777" w:rsidR="00000000" w:rsidRDefault="0053651E">
            <w:pPr>
              <w:jc w:val="right"/>
              <w:rPr>
                <w:rFonts w:eastAsia="Times New Roman"/>
                <w:sz w:val="16"/>
                <w:szCs w:val="16"/>
              </w:rPr>
            </w:pPr>
            <w:r>
              <w:rPr>
                <w:rFonts w:eastAsia="Times New Roman"/>
                <w:sz w:val="16"/>
                <w:szCs w:val="16"/>
              </w:rPr>
              <w:t>5,300,388</w:t>
            </w:r>
          </w:p>
        </w:tc>
        <w:tc>
          <w:tcPr>
            <w:tcW w:w="450" w:type="pct"/>
            <w:shd w:val="clear" w:color="auto" w:fill="CCEEFF"/>
            <w:vAlign w:val="bottom"/>
            <w:hideMark/>
          </w:tcPr>
          <w:p w14:paraId="49CF4791" w14:textId="77777777" w:rsidR="00000000" w:rsidRDefault="0053651E">
            <w:pPr>
              <w:jc w:val="right"/>
              <w:rPr>
                <w:rFonts w:eastAsia="Times New Roman"/>
                <w:sz w:val="16"/>
                <w:szCs w:val="16"/>
              </w:rPr>
            </w:pPr>
            <w:r>
              <w:rPr>
                <w:rFonts w:eastAsia="Times New Roman"/>
                <w:sz w:val="16"/>
                <w:szCs w:val="16"/>
              </w:rPr>
              <w:t>11,778,199</w:t>
            </w:r>
          </w:p>
        </w:tc>
        <w:tc>
          <w:tcPr>
            <w:tcW w:w="350" w:type="pct"/>
            <w:shd w:val="clear" w:color="auto" w:fill="CCEEFF"/>
            <w:vAlign w:val="bottom"/>
            <w:hideMark/>
          </w:tcPr>
          <w:p w14:paraId="2FF95E04" w14:textId="77777777" w:rsidR="00000000" w:rsidRDefault="0053651E">
            <w:pPr>
              <w:jc w:val="right"/>
              <w:rPr>
                <w:rFonts w:eastAsia="Times New Roman"/>
                <w:sz w:val="16"/>
                <w:szCs w:val="16"/>
              </w:rPr>
            </w:pPr>
            <w:r>
              <w:rPr>
                <w:rFonts w:eastAsia="Times New Roman"/>
                <w:sz w:val="16"/>
                <w:szCs w:val="16"/>
              </w:rPr>
              <w:t>17,078,587</w:t>
            </w:r>
          </w:p>
        </w:tc>
        <w:tc>
          <w:tcPr>
            <w:tcW w:w="400" w:type="pct"/>
            <w:shd w:val="clear" w:color="auto" w:fill="CCEEFF"/>
            <w:vAlign w:val="bottom"/>
            <w:hideMark/>
          </w:tcPr>
          <w:p w14:paraId="0C989F37" w14:textId="77777777" w:rsidR="00000000" w:rsidRDefault="0053651E">
            <w:pPr>
              <w:jc w:val="right"/>
              <w:rPr>
                <w:rFonts w:eastAsia="Times New Roman"/>
                <w:sz w:val="16"/>
                <w:szCs w:val="16"/>
              </w:rPr>
            </w:pPr>
            <w:r>
              <w:rPr>
                <w:rFonts w:eastAsia="Times New Roman"/>
                <w:sz w:val="16"/>
                <w:szCs w:val="16"/>
              </w:rPr>
              <w:t>1,745,026</w:t>
            </w:r>
          </w:p>
        </w:tc>
        <w:tc>
          <w:tcPr>
            <w:tcW w:w="50" w:type="pct"/>
            <w:shd w:val="clear" w:color="auto" w:fill="CCEEFF"/>
            <w:vAlign w:val="bottom"/>
            <w:hideMark/>
          </w:tcPr>
          <w:p w14:paraId="5620B9B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080F520" w14:textId="77777777" w:rsidR="00000000" w:rsidRDefault="0053651E">
            <w:pPr>
              <w:jc w:val="right"/>
              <w:rPr>
                <w:rFonts w:eastAsia="Times New Roman"/>
                <w:sz w:val="16"/>
                <w:szCs w:val="16"/>
              </w:rPr>
            </w:pPr>
            <w:r>
              <w:rPr>
                <w:rFonts w:eastAsia="Times New Roman"/>
                <w:sz w:val="16"/>
                <w:szCs w:val="16"/>
              </w:rPr>
              <w:t>15,333,561</w:t>
            </w:r>
          </w:p>
        </w:tc>
        <w:tc>
          <w:tcPr>
            <w:tcW w:w="50" w:type="pct"/>
            <w:shd w:val="clear" w:color="auto" w:fill="CCEEFF"/>
            <w:vAlign w:val="bottom"/>
            <w:hideMark/>
          </w:tcPr>
          <w:p w14:paraId="2E48921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1191815" w14:textId="77777777" w:rsidR="00000000" w:rsidRDefault="0053651E">
            <w:pPr>
              <w:jc w:val="right"/>
              <w:rPr>
                <w:rFonts w:eastAsia="Times New Roman"/>
                <w:sz w:val="16"/>
                <w:szCs w:val="16"/>
              </w:rPr>
            </w:pPr>
            <w:r>
              <w:rPr>
                <w:rFonts w:eastAsia="Times New Roman"/>
                <w:sz w:val="16"/>
                <w:szCs w:val="16"/>
              </w:rPr>
              <w:t>6,102,064</w:t>
            </w:r>
          </w:p>
        </w:tc>
        <w:tc>
          <w:tcPr>
            <w:tcW w:w="500" w:type="pct"/>
            <w:shd w:val="clear" w:color="auto" w:fill="CCEEFF"/>
            <w:vAlign w:val="bottom"/>
            <w:hideMark/>
          </w:tcPr>
          <w:p w14:paraId="2ABD990C"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6FE3E08" w14:textId="77777777">
        <w:trPr>
          <w:tblCellSpacing w:w="0" w:type="dxa"/>
        </w:trPr>
        <w:tc>
          <w:tcPr>
            <w:tcW w:w="50" w:type="pct"/>
            <w:shd w:val="clear" w:color="auto" w:fill="FFFFFF"/>
            <w:vAlign w:val="bottom"/>
            <w:hideMark/>
          </w:tcPr>
          <w:p w14:paraId="4C19427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0185EA0" w14:textId="77777777" w:rsidR="00000000" w:rsidRDefault="0053651E">
            <w:pPr>
              <w:pStyle w:val="a3"/>
              <w:spacing w:before="0" w:beforeAutospacing="0" w:after="0" w:afterAutospacing="0"/>
              <w:rPr>
                <w:sz w:val="16"/>
                <w:szCs w:val="16"/>
              </w:rPr>
            </w:pPr>
            <w:r>
              <w:rPr>
                <w:sz w:val="16"/>
                <w:szCs w:val="16"/>
              </w:rPr>
              <w:t>NORTH QUINCY PLAZA</w:t>
            </w:r>
          </w:p>
        </w:tc>
        <w:tc>
          <w:tcPr>
            <w:tcW w:w="150" w:type="pct"/>
            <w:shd w:val="clear" w:color="auto" w:fill="FFFFFF"/>
            <w:vAlign w:val="bottom"/>
            <w:hideMark/>
          </w:tcPr>
          <w:p w14:paraId="41F2CFDB"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1B1CD316" w14:textId="77777777" w:rsidR="00000000" w:rsidRDefault="0053651E">
            <w:pPr>
              <w:jc w:val="right"/>
              <w:rPr>
                <w:rFonts w:eastAsia="Times New Roman"/>
                <w:sz w:val="16"/>
                <w:szCs w:val="16"/>
              </w:rPr>
            </w:pPr>
            <w:r>
              <w:rPr>
                <w:rFonts w:eastAsia="Times New Roman"/>
                <w:sz w:val="16"/>
                <w:szCs w:val="16"/>
              </w:rPr>
              <w:t>6,332,542</w:t>
            </w:r>
          </w:p>
        </w:tc>
        <w:tc>
          <w:tcPr>
            <w:tcW w:w="550" w:type="pct"/>
            <w:shd w:val="clear" w:color="auto" w:fill="FFFFFF"/>
            <w:vAlign w:val="bottom"/>
            <w:hideMark/>
          </w:tcPr>
          <w:p w14:paraId="3BDAC1E4" w14:textId="77777777" w:rsidR="00000000" w:rsidRDefault="0053651E">
            <w:pPr>
              <w:jc w:val="right"/>
              <w:rPr>
                <w:rFonts w:eastAsia="Times New Roman"/>
                <w:sz w:val="16"/>
                <w:szCs w:val="16"/>
              </w:rPr>
            </w:pPr>
            <w:r>
              <w:rPr>
                <w:rFonts w:eastAsia="Times New Roman"/>
                <w:sz w:val="16"/>
                <w:szCs w:val="16"/>
              </w:rPr>
              <w:t>17,954,110</w:t>
            </w:r>
          </w:p>
        </w:tc>
        <w:tc>
          <w:tcPr>
            <w:tcW w:w="350" w:type="pct"/>
            <w:shd w:val="clear" w:color="auto" w:fill="FFFFFF"/>
            <w:vAlign w:val="bottom"/>
            <w:hideMark/>
          </w:tcPr>
          <w:p w14:paraId="524D2BEE" w14:textId="77777777" w:rsidR="00000000" w:rsidRDefault="0053651E">
            <w:pPr>
              <w:jc w:val="right"/>
              <w:rPr>
                <w:rFonts w:eastAsia="Times New Roman"/>
                <w:sz w:val="16"/>
                <w:szCs w:val="16"/>
              </w:rPr>
            </w:pPr>
            <w:r>
              <w:rPr>
                <w:rFonts w:eastAsia="Times New Roman"/>
                <w:sz w:val="16"/>
                <w:szCs w:val="16"/>
              </w:rPr>
              <w:t>(601,375)</w:t>
            </w:r>
          </w:p>
        </w:tc>
        <w:tc>
          <w:tcPr>
            <w:tcW w:w="300" w:type="pct"/>
            <w:shd w:val="clear" w:color="auto" w:fill="FFFFFF"/>
            <w:vAlign w:val="bottom"/>
            <w:hideMark/>
          </w:tcPr>
          <w:p w14:paraId="759B3D13" w14:textId="77777777" w:rsidR="00000000" w:rsidRDefault="0053651E">
            <w:pPr>
              <w:jc w:val="right"/>
              <w:rPr>
                <w:rFonts w:eastAsia="Times New Roman"/>
                <w:sz w:val="16"/>
                <w:szCs w:val="16"/>
              </w:rPr>
            </w:pPr>
            <w:r>
              <w:rPr>
                <w:rFonts w:eastAsia="Times New Roman"/>
                <w:sz w:val="16"/>
                <w:szCs w:val="16"/>
              </w:rPr>
              <w:t>3,894,436</w:t>
            </w:r>
          </w:p>
        </w:tc>
        <w:tc>
          <w:tcPr>
            <w:tcW w:w="450" w:type="pct"/>
            <w:shd w:val="clear" w:color="auto" w:fill="FFFFFF"/>
            <w:vAlign w:val="bottom"/>
            <w:hideMark/>
          </w:tcPr>
          <w:p w14:paraId="5F82E628" w14:textId="77777777" w:rsidR="00000000" w:rsidRDefault="0053651E">
            <w:pPr>
              <w:jc w:val="right"/>
              <w:rPr>
                <w:rFonts w:eastAsia="Times New Roman"/>
                <w:sz w:val="16"/>
                <w:szCs w:val="16"/>
              </w:rPr>
            </w:pPr>
            <w:r>
              <w:rPr>
                <w:rFonts w:eastAsia="Times New Roman"/>
                <w:sz w:val="16"/>
                <w:szCs w:val="16"/>
              </w:rPr>
              <w:t>19,790,841</w:t>
            </w:r>
          </w:p>
        </w:tc>
        <w:tc>
          <w:tcPr>
            <w:tcW w:w="350" w:type="pct"/>
            <w:shd w:val="clear" w:color="auto" w:fill="FFFFFF"/>
            <w:vAlign w:val="bottom"/>
            <w:hideMark/>
          </w:tcPr>
          <w:p w14:paraId="3BC467DF" w14:textId="77777777" w:rsidR="00000000" w:rsidRDefault="0053651E">
            <w:pPr>
              <w:jc w:val="right"/>
              <w:rPr>
                <w:rFonts w:eastAsia="Times New Roman"/>
                <w:sz w:val="16"/>
                <w:szCs w:val="16"/>
              </w:rPr>
            </w:pPr>
            <w:r>
              <w:rPr>
                <w:rFonts w:eastAsia="Times New Roman"/>
                <w:sz w:val="16"/>
                <w:szCs w:val="16"/>
              </w:rPr>
              <w:t>23,685,277</w:t>
            </w:r>
          </w:p>
        </w:tc>
        <w:tc>
          <w:tcPr>
            <w:tcW w:w="400" w:type="pct"/>
            <w:shd w:val="clear" w:color="auto" w:fill="FFFFFF"/>
            <w:vAlign w:val="bottom"/>
            <w:hideMark/>
          </w:tcPr>
          <w:p w14:paraId="78D19998" w14:textId="77777777" w:rsidR="00000000" w:rsidRDefault="0053651E">
            <w:pPr>
              <w:jc w:val="right"/>
              <w:rPr>
                <w:rFonts w:eastAsia="Times New Roman"/>
                <w:sz w:val="16"/>
                <w:szCs w:val="16"/>
              </w:rPr>
            </w:pPr>
            <w:r>
              <w:rPr>
                <w:rFonts w:eastAsia="Times New Roman"/>
                <w:sz w:val="16"/>
                <w:szCs w:val="16"/>
              </w:rPr>
              <w:t>3,222,927</w:t>
            </w:r>
          </w:p>
        </w:tc>
        <w:tc>
          <w:tcPr>
            <w:tcW w:w="50" w:type="pct"/>
            <w:shd w:val="clear" w:color="auto" w:fill="FFFFFF"/>
            <w:vAlign w:val="bottom"/>
            <w:hideMark/>
          </w:tcPr>
          <w:p w14:paraId="1BFE564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740B797" w14:textId="77777777" w:rsidR="00000000" w:rsidRDefault="0053651E">
            <w:pPr>
              <w:jc w:val="right"/>
              <w:rPr>
                <w:rFonts w:eastAsia="Times New Roman"/>
                <w:sz w:val="16"/>
                <w:szCs w:val="16"/>
              </w:rPr>
            </w:pPr>
            <w:r>
              <w:rPr>
                <w:rFonts w:eastAsia="Times New Roman"/>
                <w:sz w:val="16"/>
                <w:szCs w:val="16"/>
              </w:rPr>
              <w:t>20,462,350</w:t>
            </w:r>
          </w:p>
        </w:tc>
        <w:tc>
          <w:tcPr>
            <w:tcW w:w="50" w:type="pct"/>
            <w:shd w:val="clear" w:color="auto" w:fill="FFFFFF"/>
            <w:vAlign w:val="bottom"/>
            <w:hideMark/>
          </w:tcPr>
          <w:p w14:paraId="58CFCE8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73222F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9748AD1"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F88275F" w14:textId="77777777">
        <w:trPr>
          <w:tblCellSpacing w:w="0" w:type="dxa"/>
        </w:trPr>
        <w:tc>
          <w:tcPr>
            <w:tcW w:w="50" w:type="pct"/>
            <w:shd w:val="clear" w:color="auto" w:fill="CCEEFF"/>
            <w:vAlign w:val="bottom"/>
            <w:hideMark/>
          </w:tcPr>
          <w:p w14:paraId="029E850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66272BA" w14:textId="77777777" w:rsidR="00000000" w:rsidRDefault="0053651E">
            <w:pPr>
              <w:pStyle w:val="a3"/>
              <w:spacing w:before="0" w:beforeAutospacing="0" w:after="0" w:afterAutospacing="0"/>
              <w:rPr>
                <w:sz w:val="16"/>
                <w:szCs w:val="16"/>
              </w:rPr>
            </w:pPr>
            <w:r>
              <w:rPr>
                <w:sz w:val="16"/>
                <w:szCs w:val="16"/>
              </w:rPr>
              <w:t>ADAMS PLAZA</w:t>
            </w:r>
          </w:p>
        </w:tc>
        <w:tc>
          <w:tcPr>
            <w:tcW w:w="150" w:type="pct"/>
            <w:shd w:val="clear" w:color="auto" w:fill="CCEEFF"/>
            <w:vAlign w:val="bottom"/>
            <w:hideMark/>
          </w:tcPr>
          <w:p w14:paraId="59D815D9"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51CB133A" w14:textId="77777777" w:rsidR="00000000" w:rsidRDefault="0053651E">
            <w:pPr>
              <w:jc w:val="right"/>
              <w:rPr>
                <w:rFonts w:eastAsia="Times New Roman"/>
                <w:sz w:val="16"/>
                <w:szCs w:val="16"/>
              </w:rPr>
            </w:pPr>
            <w:r>
              <w:rPr>
                <w:rFonts w:eastAsia="Times New Roman"/>
                <w:sz w:val="16"/>
                <w:szCs w:val="16"/>
              </w:rPr>
              <w:t>2,089,363</w:t>
            </w:r>
          </w:p>
        </w:tc>
        <w:tc>
          <w:tcPr>
            <w:tcW w:w="550" w:type="pct"/>
            <w:shd w:val="clear" w:color="auto" w:fill="CCEEFF"/>
            <w:vAlign w:val="bottom"/>
            <w:hideMark/>
          </w:tcPr>
          <w:p w14:paraId="76AD7966" w14:textId="77777777" w:rsidR="00000000" w:rsidRDefault="0053651E">
            <w:pPr>
              <w:jc w:val="right"/>
              <w:rPr>
                <w:rFonts w:eastAsia="Times New Roman"/>
                <w:sz w:val="16"/>
                <w:szCs w:val="16"/>
              </w:rPr>
            </w:pPr>
            <w:r>
              <w:rPr>
                <w:rFonts w:eastAsia="Times New Roman"/>
                <w:sz w:val="16"/>
                <w:szCs w:val="16"/>
              </w:rPr>
              <w:t>3,226,648</w:t>
            </w:r>
          </w:p>
        </w:tc>
        <w:tc>
          <w:tcPr>
            <w:tcW w:w="350" w:type="pct"/>
            <w:shd w:val="clear" w:color="auto" w:fill="CCEEFF"/>
            <w:vAlign w:val="bottom"/>
            <w:hideMark/>
          </w:tcPr>
          <w:p w14:paraId="78173C61" w14:textId="77777777" w:rsidR="00000000" w:rsidRDefault="0053651E">
            <w:pPr>
              <w:jc w:val="right"/>
              <w:rPr>
                <w:rFonts w:eastAsia="Times New Roman"/>
                <w:sz w:val="16"/>
                <w:szCs w:val="16"/>
              </w:rPr>
            </w:pPr>
            <w:r>
              <w:rPr>
                <w:rFonts w:eastAsia="Times New Roman"/>
                <w:sz w:val="16"/>
                <w:szCs w:val="16"/>
              </w:rPr>
              <w:t>20,048</w:t>
            </w:r>
          </w:p>
        </w:tc>
        <w:tc>
          <w:tcPr>
            <w:tcW w:w="300" w:type="pct"/>
            <w:shd w:val="clear" w:color="auto" w:fill="CCEEFF"/>
            <w:vAlign w:val="bottom"/>
            <w:hideMark/>
          </w:tcPr>
          <w:p w14:paraId="2E745F08" w14:textId="77777777" w:rsidR="00000000" w:rsidRDefault="0053651E">
            <w:pPr>
              <w:jc w:val="right"/>
              <w:rPr>
                <w:rFonts w:eastAsia="Times New Roman"/>
                <w:sz w:val="16"/>
                <w:szCs w:val="16"/>
              </w:rPr>
            </w:pPr>
            <w:r>
              <w:rPr>
                <w:rFonts w:eastAsia="Times New Roman"/>
                <w:sz w:val="16"/>
                <w:szCs w:val="16"/>
              </w:rPr>
              <w:t>2,089,363</w:t>
            </w:r>
          </w:p>
        </w:tc>
        <w:tc>
          <w:tcPr>
            <w:tcW w:w="450" w:type="pct"/>
            <w:shd w:val="clear" w:color="auto" w:fill="CCEEFF"/>
            <w:vAlign w:val="bottom"/>
            <w:hideMark/>
          </w:tcPr>
          <w:p w14:paraId="416E913E" w14:textId="77777777" w:rsidR="00000000" w:rsidRDefault="0053651E">
            <w:pPr>
              <w:jc w:val="right"/>
              <w:rPr>
                <w:rFonts w:eastAsia="Times New Roman"/>
                <w:sz w:val="16"/>
                <w:szCs w:val="16"/>
              </w:rPr>
            </w:pPr>
            <w:r>
              <w:rPr>
                <w:rFonts w:eastAsia="Times New Roman"/>
                <w:sz w:val="16"/>
                <w:szCs w:val="16"/>
              </w:rPr>
              <w:t>3,246,696</w:t>
            </w:r>
          </w:p>
        </w:tc>
        <w:tc>
          <w:tcPr>
            <w:tcW w:w="350" w:type="pct"/>
            <w:shd w:val="clear" w:color="auto" w:fill="CCEEFF"/>
            <w:vAlign w:val="bottom"/>
            <w:hideMark/>
          </w:tcPr>
          <w:p w14:paraId="49C6E179" w14:textId="77777777" w:rsidR="00000000" w:rsidRDefault="0053651E">
            <w:pPr>
              <w:jc w:val="right"/>
              <w:rPr>
                <w:rFonts w:eastAsia="Times New Roman"/>
                <w:sz w:val="16"/>
                <w:szCs w:val="16"/>
              </w:rPr>
            </w:pPr>
            <w:r>
              <w:rPr>
                <w:rFonts w:eastAsia="Times New Roman"/>
                <w:sz w:val="16"/>
                <w:szCs w:val="16"/>
              </w:rPr>
              <w:t>5,336,059</w:t>
            </w:r>
          </w:p>
        </w:tc>
        <w:tc>
          <w:tcPr>
            <w:tcW w:w="400" w:type="pct"/>
            <w:shd w:val="clear" w:color="auto" w:fill="CCEEFF"/>
            <w:vAlign w:val="bottom"/>
            <w:hideMark/>
          </w:tcPr>
          <w:p w14:paraId="6DC4B2A6" w14:textId="77777777" w:rsidR="00000000" w:rsidRDefault="0053651E">
            <w:pPr>
              <w:jc w:val="right"/>
              <w:rPr>
                <w:rFonts w:eastAsia="Times New Roman"/>
                <w:sz w:val="16"/>
                <w:szCs w:val="16"/>
              </w:rPr>
            </w:pPr>
            <w:r>
              <w:rPr>
                <w:rFonts w:eastAsia="Times New Roman"/>
                <w:sz w:val="16"/>
                <w:szCs w:val="16"/>
              </w:rPr>
              <w:t>623,192</w:t>
            </w:r>
          </w:p>
        </w:tc>
        <w:tc>
          <w:tcPr>
            <w:tcW w:w="50" w:type="pct"/>
            <w:shd w:val="clear" w:color="auto" w:fill="CCEEFF"/>
            <w:vAlign w:val="bottom"/>
            <w:hideMark/>
          </w:tcPr>
          <w:p w14:paraId="2E06866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B5E5603" w14:textId="77777777" w:rsidR="00000000" w:rsidRDefault="0053651E">
            <w:pPr>
              <w:jc w:val="right"/>
              <w:rPr>
                <w:rFonts w:eastAsia="Times New Roman"/>
                <w:sz w:val="16"/>
                <w:szCs w:val="16"/>
              </w:rPr>
            </w:pPr>
            <w:r>
              <w:rPr>
                <w:rFonts w:eastAsia="Times New Roman"/>
                <w:sz w:val="16"/>
                <w:szCs w:val="16"/>
              </w:rPr>
              <w:t>4,712,867</w:t>
            </w:r>
          </w:p>
        </w:tc>
        <w:tc>
          <w:tcPr>
            <w:tcW w:w="50" w:type="pct"/>
            <w:shd w:val="clear" w:color="auto" w:fill="CCEEFF"/>
            <w:vAlign w:val="bottom"/>
            <w:hideMark/>
          </w:tcPr>
          <w:p w14:paraId="7D1686F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44444FC" w14:textId="77777777" w:rsidR="00000000" w:rsidRDefault="0053651E">
            <w:pPr>
              <w:jc w:val="right"/>
              <w:rPr>
                <w:rFonts w:eastAsia="Times New Roman"/>
                <w:sz w:val="16"/>
                <w:szCs w:val="16"/>
              </w:rPr>
            </w:pPr>
            <w:r>
              <w:rPr>
                <w:rFonts w:eastAsia="Times New Roman"/>
                <w:sz w:val="16"/>
                <w:szCs w:val="16"/>
              </w:rPr>
              <w:t>1,693,163</w:t>
            </w:r>
          </w:p>
        </w:tc>
        <w:tc>
          <w:tcPr>
            <w:tcW w:w="500" w:type="pct"/>
            <w:shd w:val="clear" w:color="auto" w:fill="CCEEFF"/>
            <w:vAlign w:val="bottom"/>
            <w:hideMark/>
          </w:tcPr>
          <w:p w14:paraId="2A176B9D"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4B225EA" w14:textId="77777777">
        <w:trPr>
          <w:tblCellSpacing w:w="0" w:type="dxa"/>
        </w:trPr>
        <w:tc>
          <w:tcPr>
            <w:tcW w:w="50" w:type="pct"/>
            <w:shd w:val="clear" w:color="auto" w:fill="FFFFFF"/>
            <w:vAlign w:val="bottom"/>
            <w:hideMark/>
          </w:tcPr>
          <w:p w14:paraId="055B505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B25D181" w14:textId="77777777" w:rsidR="00000000" w:rsidRDefault="0053651E">
            <w:pPr>
              <w:pStyle w:val="a3"/>
              <w:spacing w:before="0" w:beforeAutospacing="0" w:after="0" w:afterAutospacing="0"/>
              <w:rPr>
                <w:sz w:val="16"/>
                <w:szCs w:val="16"/>
              </w:rPr>
            </w:pPr>
            <w:r>
              <w:rPr>
                <w:sz w:val="16"/>
                <w:szCs w:val="16"/>
              </w:rPr>
              <w:t>BROADWAY PLAZA</w:t>
            </w:r>
          </w:p>
        </w:tc>
        <w:tc>
          <w:tcPr>
            <w:tcW w:w="150" w:type="pct"/>
            <w:shd w:val="clear" w:color="auto" w:fill="FFFFFF"/>
            <w:vAlign w:val="bottom"/>
            <w:hideMark/>
          </w:tcPr>
          <w:p w14:paraId="14E308AC"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64D07AE9" w14:textId="77777777" w:rsidR="00000000" w:rsidRDefault="0053651E">
            <w:pPr>
              <w:jc w:val="right"/>
              <w:rPr>
                <w:rFonts w:eastAsia="Times New Roman"/>
                <w:sz w:val="16"/>
                <w:szCs w:val="16"/>
              </w:rPr>
            </w:pPr>
            <w:r>
              <w:rPr>
                <w:rFonts w:eastAsia="Times New Roman"/>
                <w:sz w:val="16"/>
                <w:szCs w:val="16"/>
              </w:rPr>
              <w:t>6,485,065</w:t>
            </w:r>
          </w:p>
        </w:tc>
        <w:tc>
          <w:tcPr>
            <w:tcW w:w="550" w:type="pct"/>
            <w:shd w:val="clear" w:color="auto" w:fill="FFFFFF"/>
            <w:vAlign w:val="bottom"/>
            <w:hideMark/>
          </w:tcPr>
          <w:p w14:paraId="2D0820FA" w14:textId="77777777" w:rsidR="00000000" w:rsidRDefault="0053651E">
            <w:pPr>
              <w:jc w:val="right"/>
              <w:rPr>
                <w:rFonts w:eastAsia="Times New Roman"/>
                <w:sz w:val="16"/>
                <w:szCs w:val="16"/>
              </w:rPr>
            </w:pPr>
            <w:r>
              <w:rPr>
                <w:rFonts w:eastAsia="Times New Roman"/>
                <w:sz w:val="16"/>
                <w:szCs w:val="16"/>
              </w:rPr>
              <w:t>343,422</w:t>
            </w:r>
          </w:p>
        </w:tc>
        <w:tc>
          <w:tcPr>
            <w:tcW w:w="350" w:type="pct"/>
            <w:shd w:val="clear" w:color="auto" w:fill="FFFFFF"/>
            <w:vAlign w:val="bottom"/>
            <w:hideMark/>
          </w:tcPr>
          <w:p w14:paraId="2BE5D29D"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2ACDA8ED" w14:textId="77777777" w:rsidR="00000000" w:rsidRDefault="0053651E">
            <w:pPr>
              <w:jc w:val="right"/>
              <w:rPr>
                <w:rFonts w:eastAsia="Times New Roman"/>
                <w:sz w:val="16"/>
                <w:szCs w:val="16"/>
              </w:rPr>
            </w:pPr>
            <w:r>
              <w:rPr>
                <w:rFonts w:eastAsia="Times New Roman"/>
                <w:sz w:val="16"/>
                <w:szCs w:val="16"/>
              </w:rPr>
              <w:t>6,485,065</w:t>
            </w:r>
          </w:p>
        </w:tc>
        <w:tc>
          <w:tcPr>
            <w:tcW w:w="450" w:type="pct"/>
            <w:shd w:val="clear" w:color="auto" w:fill="FFFFFF"/>
            <w:vAlign w:val="bottom"/>
            <w:hideMark/>
          </w:tcPr>
          <w:p w14:paraId="2ED66869" w14:textId="77777777" w:rsidR="00000000" w:rsidRDefault="0053651E">
            <w:pPr>
              <w:jc w:val="right"/>
              <w:rPr>
                <w:rFonts w:eastAsia="Times New Roman"/>
                <w:sz w:val="16"/>
                <w:szCs w:val="16"/>
              </w:rPr>
            </w:pPr>
            <w:r>
              <w:rPr>
                <w:rFonts w:eastAsia="Times New Roman"/>
                <w:sz w:val="16"/>
                <w:szCs w:val="16"/>
              </w:rPr>
              <w:t>343,422</w:t>
            </w:r>
          </w:p>
        </w:tc>
        <w:tc>
          <w:tcPr>
            <w:tcW w:w="350" w:type="pct"/>
            <w:shd w:val="clear" w:color="auto" w:fill="FFFFFF"/>
            <w:vAlign w:val="bottom"/>
            <w:hideMark/>
          </w:tcPr>
          <w:p w14:paraId="72705597" w14:textId="77777777" w:rsidR="00000000" w:rsidRDefault="0053651E">
            <w:pPr>
              <w:jc w:val="right"/>
              <w:rPr>
                <w:rFonts w:eastAsia="Times New Roman"/>
                <w:sz w:val="16"/>
                <w:szCs w:val="16"/>
              </w:rPr>
            </w:pPr>
            <w:r>
              <w:rPr>
                <w:rFonts w:eastAsia="Times New Roman"/>
                <w:sz w:val="16"/>
                <w:szCs w:val="16"/>
              </w:rPr>
              <w:t>6,828,487</w:t>
            </w:r>
          </w:p>
        </w:tc>
        <w:tc>
          <w:tcPr>
            <w:tcW w:w="400" w:type="pct"/>
            <w:shd w:val="clear" w:color="auto" w:fill="FFFFFF"/>
            <w:vAlign w:val="bottom"/>
            <w:hideMark/>
          </w:tcPr>
          <w:p w14:paraId="5A906CB4" w14:textId="77777777" w:rsidR="00000000" w:rsidRDefault="0053651E">
            <w:pPr>
              <w:jc w:val="right"/>
              <w:rPr>
                <w:rFonts w:eastAsia="Times New Roman"/>
                <w:sz w:val="16"/>
                <w:szCs w:val="16"/>
              </w:rPr>
            </w:pPr>
            <w:r>
              <w:rPr>
                <w:rFonts w:eastAsia="Times New Roman"/>
                <w:sz w:val="16"/>
                <w:szCs w:val="16"/>
              </w:rPr>
              <w:t>143,268</w:t>
            </w:r>
          </w:p>
        </w:tc>
        <w:tc>
          <w:tcPr>
            <w:tcW w:w="50" w:type="pct"/>
            <w:shd w:val="clear" w:color="auto" w:fill="FFFFFF"/>
            <w:vAlign w:val="bottom"/>
            <w:hideMark/>
          </w:tcPr>
          <w:p w14:paraId="71A7102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1229A8E" w14:textId="77777777" w:rsidR="00000000" w:rsidRDefault="0053651E">
            <w:pPr>
              <w:jc w:val="right"/>
              <w:rPr>
                <w:rFonts w:eastAsia="Times New Roman"/>
                <w:sz w:val="16"/>
                <w:szCs w:val="16"/>
              </w:rPr>
            </w:pPr>
            <w:r>
              <w:rPr>
                <w:rFonts w:eastAsia="Times New Roman"/>
                <w:sz w:val="16"/>
                <w:szCs w:val="16"/>
              </w:rPr>
              <w:t>6,685,219</w:t>
            </w:r>
          </w:p>
        </w:tc>
        <w:tc>
          <w:tcPr>
            <w:tcW w:w="50" w:type="pct"/>
            <w:shd w:val="clear" w:color="auto" w:fill="FFFFFF"/>
            <w:vAlign w:val="bottom"/>
            <w:hideMark/>
          </w:tcPr>
          <w:p w14:paraId="1790080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B9121EE" w14:textId="77777777" w:rsidR="00000000" w:rsidRDefault="0053651E">
            <w:pPr>
              <w:jc w:val="right"/>
              <w:rPr>
                <w:rFonts w:eastAsia="Times New Roman"/>
                <w:sz w:val="16"/>
                <w:szCs w:val="16"/>
              </w:rPr>
            </w:pPr>
            <w:r>
              <w:rPr>
                <w:rFonts w:eastAsia="Times New Roman"/>
                <w:sz w:val="16"/>
                <w:szCs w:val="16"/>
              </w:rPr>
              <w:t>2,598,411</w:t>
            </w:r>
          </w:p>
        </w:tc>
        <w:tc>
          <w:tcPr>
            <w:tcW w:w="500" w:type="pct"/>
            <w:shd w:val="clear" w:color="auto" w:fill="FFFFFF"/>
            <w:vAlign w:val="bottom"/>
            <w:hideMark/>
          </w:tcPr>
          <w:p w14:paraId="59CF6713"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1D0C5A0" w14:textId="77777777">
        <w:trPr>
          <w:tblCellSpacing w:w="0" w:type="dxa"/>
        </w:trPr>
        <w:tc>
          <w:tcPr>
            <w:tcW w:w="50" w:type="pct"/>
            <w:shd w:val="clear" w:color="auto" w:fill="CCEEFF"/>
            <w:vAlign w:val="bottom"/>
            <w:hideMark/>
          </w:tcPr>
          <w:p w14:paraId="4165259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0604322" w14:textId="77777777" w:rsidR="00000000" w:rsidRDefault="0053651E">
            <w:pPr>
              <w:pStyle w:val="a3"/>
              <w:spacing w:before="0" w:beforeAutospacing="0" w:after="0" w:afterAutospacing="0"/>
              <w:rPr>
                <w:sz w:val="16"/>
                <w:szCs w:val="16"/>
              </w:rPr>
            </w:pPr>
            <w:r>
              <w:rPr>
                <w:sz w:val="16"/>
                <w:szCs w:val="16"/>
              </w:rPr>
              <w:t>VINNIN SQUARE PLAZA</w:t>
            </w:r>
          </w:p>
        </w:tc>
        <w:tc>
          <w:tcPr>
            <w:tcW w:w="150" w:type="pct"/>
            <w:shd w:val="clear" w:color="auto" w:fill="CCEEFF"/>
            <w:vAlign w:val="bottom"/>
            <w:hideMark/>
          </w:tcPr>
          <w:p w14:paraId="67FC6669"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58F1BC09" w14:textId="77777777" w:rsidR="00000000" w:rsidRDefault="0053651E">
            <w:pPr>
              <w:jc w:val="right"/>
              <w:rPr>
                <w:rFonts w:eastAsia="Times New Roman"/>
                <w:sz w:val="16"/>
                <w:szCs w:val="16"/>
              </w:rPr>
            </w:pPr>
            <w:r>
              <w:rPr>
                <w:rFonts w:eastAsia="Times New Roman"/>
                <w:sz w:val="16"/>
                <w:szCs w:val="16"/>
              </w:rPr>
              <w:t>5,545,425</w:t>
            </w:r>
          </w:p>
        </w:tc>
        <w:tc>
          <w:tcPr>
            <w:tcW w:w="550" w:type="pct"/>
            <w:shd w:val="clear" w:color="auto" w:fill="CCEEFF"/>
            <w:vAlign w:val="bottom"/>
            <w:hideMark/>
          </w:tcPr>
          <w:p w14:paraId="4CC782B4" w14:textId="77777777" w:rsidR="00000000" w:rsidRDefault="0053651E">
            <w:pPr>
              <w:jc w:val="right"/>
              <w:rPr>
                <w:rFonts w:eastAsia="Times New Roman"/>
                <w:sz w:val="16"/>
                <w:szCs w:val="16"/>
              </w:rPr>
            </w:pPr>
            <w:r>
              <w:rPr>
                <w:rFonts w:eastAsia="Times New Roman"/>
                <w:sz w:val="16"/>
                <w:szCs w:val="16"/>
              </w:rPr>
              <w:t>16,324,060</w:t>
            </w:r>
          </w:p>
        </w:tc>
        <w:tc>
          <w:tcPr>
            <w:tcW w:w="350" w:type="pct"/>
            <w:shd w:val="clear" w:color="auto" w:fill="CCEEFF"/>
            <w:vAlign w:val="bottom"/>
            <w:hideMark/>
          </w:tcPr>
          <w:p w14:paraId="1CEE20A3" w14:textId="77777777" w:rsidR="00000000" w:rsidRDefault="0053651E">
            <w:pPr>
              <w:jc w:val="right"/>
              <w:rPr>
                <w:rFonts w:eastAsia="Times New Roman"/>
                <w:sz w:val="16"/>
                <w:szCs w:val="16"/>
              </w:rPr>
            </w:pPr>
            <w:r>
              <w:rPr>
                <w:rFonts w:eastAsia="Times New Roman"/>
                <w:sz w:val="16"/>
                <w:szCs w:val="16"/>
              </w:rPr>
              <w:t>30,357</w:t>
            </w:r>
          </w:p>
        </w:tc>
        <w:tc>
          <w:tcPr>
            <w:tcW w:w="300" w:type="pct"/>
            <w:shd w:val="clear" w:color="auto" w:fill="CCEEFF"/>
            <w:vAlign w:val="bottom"/>
            <w:hideMark/>
          </w:tcPr>
          <w:p w14:paraId="7666E09B" w14:textId="77777777" w:rsidR="00000000" w:rsidRDefault="0053651E">
            <w:pPr>
              <w:jc w:val="right"/>
              <w:rPr>
                <w:rFonts w:eastAsia="Times New Roman"/>
                <w:sz w:val="16"/>
                <w:szCs w:val="16"/>
              </w:rPr>
            </w:pPr>
            <w:r>
              <w:rPr>
                <w:rFonts w:eastAsia="Times New Roman"/>
                <w:sz w:val="16"/>
                <w:szCs w:val="16"/>
              </w:rPr>
              <w:t>5,545,425</w:t>
            </w:r>
          </w:p>
        </w:tc>
        <w:tc>
          <w:tcPr>
            <w:tcW w:w="450" w:type="pct"/>
            <w:shd w:val="clear" w:color="auto" w:fill="CCEEFF"/>
            <w:vAlign w:val="bottom"/>
            <w:hideMark/>
          </w:tcPr>
          <w:p w14:paraId="63C3A0E1" w14:textId="77777777" w:rsidR="00000000" w:rsidRDefault="0053651E">
            <w:pPr>
              <w:jc w:val="right"/>
              <w:rPr>
                <w:rFonts w:eastAsia="Times New Roman"/>
                <w:sz w:val="16"/>
                <w:szCs w:val="16"/>
              </w:rPr>
            </w:pPr>
            <w:r>
              <w:rPr>
                <w:rFonts w:eastAsia="Times New Roman"/>
                <w:sz w:val="16"/>
                <w:szCs w:val="16"/>
              </w:rPr>
              <w:t>16,354,417</w:t>
            </w:r>
          </w:p>
        </w:tc>
        <w:tc>
          <w:tcPr>
            <w:tcW w:w="350" w:type="pct"/>
            <w:shd w:val="clear" w:color="auto" w:fill="CCEEFF"/>
            <w:vAlign w:val="bottom"/>
            <w:hideMark/>
          </w:tcPr>
          <w:p w14:paraId="62FFBA44" w14:textId="77777777" w:rsidR="00000000" w:rsidRDefault="0053651E">
            <w:pPr>
              <w:jc w:val="right"/>
              <w:rPr>
                <w:rFonts w:eastAsia="Times New Roman"/>
                <w:sz w:val="16"/>
                <w:szCs w:val="16"/>
              </w:rPr>
            </w:pPr>
            <w:r>
              <w:rPr>
                <w:rFonts w:eastAsia="Times New Roman"/>
                <w:sz w:val="16"/>
                <w:szCs w:val="16"/>
              </w:rPr>
              <w:t>21,899,842</w:t>
            </w:r>
          </w:p>
        </w:tc>
        <w:tc>
          <w:tcPr>
            <w:tcW w:w="400" w:type="pct"/>
            <w:shd w:val="clear" w:color="auto" w:fill="CCEEFF"/>
            <w:vAlign w:val="bottom"/>
            <w:hideMark/>
          </w:tcPr>
          <w:p w14:paraId="0799BD70" w14:textId="77777777" w:rsidR="00000000" w:rsidRDefault="0053651E">
            <w:pPr>
              <w:jc w:val="right"/>
              <w:rPr>
                <w:rFonts w:eastAsia="Times New Roman"/>
                <w:sz w:val="16"/>
                <w:szCs w:val="16"/>
              </w:rPr>
            </w:pPr>
            <w:r>
              <w:rPr>
                <w:rFonts w:eastAsia="Times New Roman"/>
                <w:sz w:val="16"/>
                <w:szCs w:val="16"/>
              </w:rPr>
              <w:t>3,856,485</w:t>
            </w:r>
          </w:p>
        </w:tc>
        <w:tc>
          <w:tcPr>
            <w:tcW w:w="50" w:type="pct"/>
            <w:shd w:val="clear" w:color="auto" w:fill="CCEEFF"/>
            <w:vAlign w:val="bottom"/>
            <w:hideMark/>
          </w:tcPr>
          <w:p w14:paraId="3005396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377AB03" w14:textId="77777777" w:rsidR="00000000" w:rsidRDefault="0053651E">
            <w:pPr>
              <w:jc w:val="right"/>
              <w:rPr>
                <w:rFonts w:eastAsia="Times New Roman"/>
                <w:sz w:val="16"/>
                <w:szCs w:val="16"/>
              </w:rPr>
            </w:pPr>
            <w:r>
              <w:rPr>
                <w:rFonts w:eastAsia="Times New Roman"/>
                <w:sz w:val="16"/>
                <w:szCs w:val="16"/>
              </w:rPr>
              <w:t>18,043,357</w:t>
            </w:r>
          </w:p>
        </w:tc>
        <w:tc>
          <w:tcPr>
            <w:tcW w:w="50" w:type="pct"/>
            <w:shd w:val="clear" w:color="auto" w:fill="CCEEFF"/>
            <w:vAlign w:val="bottom"/>
            <w:hideMark/>
          </w:tcPr>
          <w:p w14:paraId="30E86B5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F6A5C2A" w14:textId="77777777" w:rsidR="00000000" w:rsidRDefault="0053651E">
            <w:pPr>
              <w:jc w:val="right"/>
              <w:rPr>
                <w:rFonts w:eastAsia="Times New Roman"/>
                <w:sz w:val="16"/>
                <w:szCs w:val="16"/>
              </w:rPr>
            </w:pPr>
            <w:r>
              <w:rPr>
                <w:rFonts w:eastAsia="Times New Roman"/>
                <w:sz w:val="16"/>
                <w:szCs w:val="16"/>
              </w:rPr>
              <w:t>8,118,542</w:t>
            </w:r>
          </w:p>
        </w:tc>
        <w:tc>
          <w:tcPr>
            <w:tcW w:w="500" w:type="pct"/>
            <w:shd w:val="clear" w:color="auto" w:fill="CCEEFF"/>
            <w:vAlign w:val="bottom"/>
            <w:hideMark/>
          </w:tcPr>
          <w:p w14:paraId="0E5EB19E"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174EB3A" w14:textId="77777777">
        <w:trPr>
          <w:tblCellSpacing w:w="0" w:type="dxa"/>
        </w:trPr>
        <w:tc>
          <w:tcPr>
            <w:tcW w:w="50" w:type="pct"/>
            <w:shd w:val="clear" w:color="auto" w:fill="FFFFFF"/>
            <w:vAlign w:val="bottom"/>
            <w:hideMark/>
          </w:tcPr>
          <w:p w14:paraId="213A730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A5C9116" w14:textId="77777777" w:rsidR="00000000" w:rsidRDefault="0053651E">
            <w:pPr>
              <w:pStyle w:val="a3"/>
              <w:spacing w:before="0" w:beforeAutospacing="0" w:after="0" w:afterAutospacing="0"/>
              <w:rPr>
                <w:sz w:val="16"/>
                <w:szCs w:val="16"/>
              </w:rPr>
            </w:pPr>
            <w:r>
              <w:rPr>
                <w:sz w:val="16"/>
                <w:szCs w:val="16"/>
              </w:rPr>
              <w:t>PARADISE PLAZA</w:t>
            </w:r>
          </w:p>
        </w:tc>
        <w:tc>
          <w:tcPr>
            <w:tcW w:w="150" w:type="pct"/>
            <w:shd w:val="clear" w:color="auto" w:fill="FFFFFF"/>
            <w:vAlign w:val="bottom"/>
            <w:hideMark/>
          </w:tcPr>
          <w:p w14:paraId="2C36F141"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52D2128B" w14:textId="77777777" w:rsidR="00000000" w:rsidRDefault="0053651E">
            <w:pPr>
              <w:jc w:val="right"/>
              <w:rPr>
                <w:rFonts w:eastAsia="Times New Roman"/>
                <w:sz w:val="16"/>
                <w:szCs w:val="16"/>
              </w:rPr>
            </w:pPr>
            <w:r>
              <w:rPr>
                <w:rFonts w:eastAsia="Times New Roman"/>
                <w:sz w:val="16"/>
                <w:szCs w:val="16"/>
              </w:rPr>
              <w:t>4,183,038</w:t>
            </w:r>
          </w:p>
        </w:tc>
        <w:tc>
          <w:tcPr>
            <w:tcW w:w="550" w:type="pct"/>
            <w:shd w:val="clear" w:color="auto" w:fill="FFFFFF"/>
            <w:vAlign w:val="bottom"/>
            <w:hideMark/>
          </w:tcPr>
          <w:p w14:paraId="601E46B8" w14:textId="77777777" w:rsidR="00000000" w:rsidRDefault="0053651E">
            <w:pPr>
              <w:jc w:val="right"/>
              <w:rPr>
                <w:rFonts w:eastAsia="Times New Roman"/>
                <w:sz w:val="16"/>
                <w:szCs w:val="16"/>
              </w:rPr>
            </w:pPr>
            <w:r>
              <w:rPr>
                <w:rFonts w:eastAsia="Times New Roman"/>
                <w:sz w:val="16"/>
                <w:szCs w:val="16"/>
              </w:rPr>
              <w:t>12,194,885</w:t>
            </w:r>
          </w:p>
        </w:tc>
        <w:tc>
          <w:tcPr>
            <w:tcW w:w="350" w:type="pct"/>
            <w:shd w:val="clear" w:color="auto" w:fill="FFFFFF"/>
            <w:vAlign w:val="bottom"/>
            <w:hideMark/>
          </w:tcPr>
          <w:p w14:paraId="048BF416" w14:textId="77777777" w:rsidR="00000000" w:rsidRDefault="0053651E">
            <w:pPr>
              <w:jc w:val="right"/>
              <w:rPr>
                <w:rFonts w:eastAsia="Times New Roman"/>
                <w:sz w:val="16"/>
                <w:szCs w:val="16"/>
              </w:rPr>
            </w:pPr>
            <w:r>
              <w:rPr>
                <w:rFonts w:eastAsia="Times New Roman"/>
                <w:sz w:val="16"/>
                <w:szCs w:val="16"/>
              </w:rPr>
              <w:t>1,637,923</w:t>
            </w:r>
          </w:p>
        </w:tc>
        <w:tc>
          <w:tcPr>
            <w:tcW w:w="300" w:type="pct"/>
            <w:shd w:val="clear" w:color="auto" w:fill="FFFFFF"/>
            <w:vAlign w:val="bottom"/>
            <w:hideMark/>
          </w:tcPr>
          <w:p w14:paraId="081FB169" w14:textId="77777777" w:rsidR="00000000" w:rsidRDefault="0053651E">
            <w:pPr>
              <w:jc w:val="right"/>
              <w:rPr>
                <w:rFonts w:eastAsia="Times New Roman"/>
                <w:sz w:val="16"/>
                <w:szCs w:val="16"/>
              </w:rPr>
            </w:pPr>
            <w:r>
              <w:rPr>
                <w:rFonts w:eastAsia="Times New Roman"/>
                <w:sz w:val="16"/>
                <w:szCs w:val="16"/>
              </w:rPr>
              <w:t>4,183,038</w:t>
            </w:r>
          </w:p>
        </w:tc>
        <w:tc>
          <w:tcPr>
            <w:tcW w:w="450" w:type="pct"/>
            <w:shd w:val="clear" w:color="auto" w:fill="FFFFFF"/>
            <w:vAlign w:val="bottom"/>
            <w:hideMark/>
          </w:tcPr>
          <w:p w14:paraId="42E5AC36" w14:textId="77777777" w:rsidR="00000000" w:rsidRDefault="0053651E">
            <w:pPr>
              <w:jc w:val="right"/>
              <w:rPr>
                <w:rFonts w:eastAsia="Times New Roman"/>
                <w:sz w:val="16"/>
                <w:szCs w:val="16"/>
              </w:rPr>
            </w:pPr>
            <w:r>
              <w:rPr>
                <w:rFonts w:eastAsia="Times New Roman"/>
                <w:sz w:val="16"/>
                <w:szCs w:val="16"/>
              </w:rPr>
              <w:t>13,832,808</w:t>
            </w:r>
          </w:p>
        </w:tc>
        <w:tc>
          <w:tcPr>
            <w:tcW w:w="350" w:type="pct"/>
            <w:shd w:val="clear" w:color="auto" w:fill="FFFFFF"/>
            <w:vAlign w:val="bottom"/>
            <w:hideMark/>
          </w:tcPr>
          <w:p w14:paraId="000C6DC3" w14:textId="77777777" w:rsidR="00000000" w:rsidRDefault="0053651E">
            <w:pPr>
              <w:jc w:val="right"/>
              <w:rPr>
                <w:rFonts w:eastAsia="Times New Roman"/>
                <w:sz w:val="16"/>
                <w:szCs w:val="16"/>
              </w:rPr>
            </w:pPr>
            <w:r>
              <w:rPr>
                <w:rFonts w:eastAsia="Times New Roman"/>
                <w:sz w:val="16"/>
                <w:szCs w:val="16"/>
              </w:rPr>
              <w:t>18,015,846</w:t>
            </w:r>
          </w:p>
        </w:tc>
        <w:tc>
          <w:tcPr>
            <w:tcW w:w="400" w:type="pct"/>
            <w:shd w:val="clear" w:color="auto" w:fill="FFFFFF"/>
            <w:vAlign w:val="bottom"/>
            <w:hideMark/>
          </w:tcPr>
          <w:p w14:paraId="77DB72A8" w14:textId="77777777" w:rsidR="00000000" w:rsidRDefault="0053651E">
            <w:pPr>
              <w:jc w:val="right"/>
              <w:rPr>
                <w:rFonts w:eastAsia="Times New Roman"/>
                <w:sz w:val="16"/>
                <w:szCs w:val="16"/>
              </w:rPr>
            </w:pPr>
            <w:r>
              <w:rPr>
                <w:rFonts w:eastAsia="Times New Roman"/>
                <w:sz w:val="16"/>
                <w:szCs w:val="16"/>
              </w:rPr>
              <w:t>2,974,790</w:t>
            </w:r>
          </w:p>
        </w:tc>
        <w:tc>
          <w:tcPr>
            <w:tcW w:w="50" w:type="pct"/>
            <w:shd w:val="clear" w:color="auto" w:fill="FFFFFF"/>
            <w:vAlign w:val="bottom"/>
            <w:hideMark/>
          </w:tcPr>
          <w:p w14:paraId="38CA864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C8F1568" w14:textId="77777777" w:rsidR="00000000" w:rsidRDefault="0053651E">
            <w:pPr>
              <w:jc w:val="right"/>
              <w:rPr>
                <w:rFonts w:eastAsia="Times New Roman"/>
                <w:sz w:val="16"/>
                <w:szCs w:val="16"/>
              </w:rPr>
            </w:pPr>
            <w:r>
              <w:rPr>
                <w:rFonts w:eastAsia="Times New Roman"/>
                <w:sz w:val="16"/>
                <w:szCs w:val="16"/>
              </w:rPr>
              <w:t>15,041,056</w:t>
            </w:r>
          </w:p>
        </w:tc>
        <w:tc>
          <w:tcPr>
            <w:tcW w:w="50" w:type="pct"/>
            <w:shd w:val="clear" w:color="auto" w:fill="FFFFFF"/>
            <w:vAlign w:val="bottom"/>
            <w:hideMark/>
          </w:tcPr>
          <w:p w14:paraId="2835240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9B3F3F1" w14:textId="77777777" w:rsidR="00000000" w:rsidRDefault="0053651E">
            <w:pPr>
              <w:jc w:val="right"/>
              <w:rPr>
                <w:rFonts w:eastAsia="Times New Roman"/>
                <w:sz w:val="16"/>
                <w:szCs w:val="16"/>
              </w:rPr>
            </w:pPr>
            <w:r>
              <w:rPr>
                <w:rFonts w:eastAsia="Times New Roman"/>
                <w:sz w:val="16"/>
                <w:szCs w:val="16"/>
              </w:rPr>
              <w:t>7,845,921</w:t>
            </w:r>
          </w:p>
        </w:tc>
        <w:tc>
          <w:tcPr>
            <w:tcW w:w="500" w:type="pct"/>
            <w:shd w:val="clear" w:color="auto" w:fill="FFFFFF"/>
            <w:vAlign w:val="bottom"/>
            <w:hideMark/>
          </w:tcPr>
          <w:p w14:paraId="27A21E6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BB9DFB6" w14:textId="77777777">
        <w:trPr>
          <w:tblCellSpacing w:w="0" w:type="dxa"/>
        </w:trPr>
        <w:tc>
          <w:tcPr>
            <w:tcW w:w="50" w:type="pct"/>
            <w:shd w:val="clear" w:color="auto" w:fill="CCEEFF"/>
            <w:vAlign w:val="bottom"/>
            <w:hideMark/>
          </w:tcPr>
          <w:p w14:paraId="4D70BE1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938CCF8" w14:textId="77777777" w:rsidR="00000000" w:rsidRDefault="0053651E">
            <w:pPr>
              <w:pStyle w:val="a3"/>
              <w:spacing w:before="0" w:beforeAutospacing="0" w:after="0" w:afterAutospacing="0"/>
              <w:rPr>
                <w:sz w:val="16"/>
                <w:szCs w:val="16"/>
              </w:rPr>
            </w:pPr>
            <w:r>
              <w:rPr>
                <w:sz w:val="16"/>
                <w:szCs w:val="16"/>
              </w:rPr>
              <w:t>BELMONT PLAZA</w:t>
            </w:r>
          </w:p>
        </w:tc>
        <w:tc>
          <w:tcPr>
            <w:tcW w:w="150" w:type="pct"/>
            <w:shd w:val="clear" w:color="auto" w:fill="CCEEFF"/>
            <w:vAlign w:val="bottom"/>
            <w:hideMark/>
          </w:tcPr>
          <w:p w14:paraId="131C3FC8"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3DC78E88" w14:textId="77777777" w:rsidR="00000000" w:rsidRDefault="0053651E">
            <w:pPr>
              <w:jc w:val="right"/>
              <w:rPr>
                <w:rFonts w:eastAsia="Times New Roman"/>
                <w:sz w:val="16"/>
                <w:szCs w:val="16"/>
              </w:rPr>
            </w:pPr>
            <w:r>
              <w:rPr>
                <w:rFonts w:eastAsia="Times New Roman"/>
                <w:sz w:val="16"/>
                <w:szCs w:val="16"/>
              </w:rPr>
              <w:t>11,104,983</w:t>
            </w:r>
          </w:p>
        </w:tc>
        <w:tc>
          <w:tcPr>
            <w:tcW w:w="550" w:type="pct"/>
            <w:shd w:val="clear" w:color="auto" w:fill="CCEEFF"/>
            <w:vAlign w:val="bottom"/>
            <w:hideMark/>
          </w:tcPr>
          <w:p w14:paraId="2BB3DE0F" w14:textId="77777777" w:rsidR="00000000" w:rsidRDefault="0053651E">
            <w:pPr>
              <w:jc w:val="right"/>
              <w:rPr>
                <w:rFonts w:eastAsia="Times New Roman"/>
                <w:sz w:val="16"/>
                <w:szCs w:val="16"/>
              </w:rPr>
            </w:pPr>
            <w:r>
              <w:rPr>
                <w:rFonts w:eastAsia="Times New Roman"/>
                <w:sz w:val="16"/>
                <w:szCs w:val="16"/>
              </w:rPr>
              <w:t>848,844</w:t>
            </w:r>
          </w:p>
        </w:tc>
        <w:tc>
          <w:tcPr>
            <w:tcW w:w="350" w:type="pct"/>
            <w:shd w:val="clear" w:color="auto" w:fill="CCEEFF"/>
            <w:vAlign w:val="bottom"/>
            <w:hideMark/>
          </w:tcPr>
          <w:p w14:paraId="2E5AB972"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698915A4" w14:textId="77777777" w:rsidR="00000000" w:rsidRDefault="0053651E">
            <w:pPr>
              <w:jc w:val="right"/>
              <w:rPr>
                <w:rFonts w:eastAsia="Times New Roman"/>
                <w:sz w:val="16"/>
                <w:szCs w:val="16"/>
              </w:rPr>
            </w:pPr>
            <w:r>
              <w:rPr>
                <w:rFonts w:eastAsia="Times New Roman"/>
                <w:sz w:val="16"/>
                <w:szCs w:val="16"/>
              </w:rPr>
              <w:t>11,104,983</w:t>
            </w:r>
          </w:p>
        </w:tc>
        <w:tc>
          <w:tcPr>
            <w:tcW w:w="450" w:type="pct"/>
            <w:shd w:val="clear" w:color="auto" w:fill="CCEEFF"/>
            <w:vAlign w:val="bottom"/>
            <w:hideMark/>
          </w:tcPr>
          <w:p w14:paraId="4B101C81" w14:textId="77777777" w:rsidR="00000000" w:rsidRDefault="0053651E">
            <w:pPr>
              <w:jc w:val="right"/>
              <w:rPr>
                <w:rFonts w:eastAsia="Times New Roman"/>
                <w:sz w:val="16"/>
                <w:szCs w:val="16"/>
              </w:rPr>
            </w:pPr>
            <w:r>
              <w:rPr>
                <w:rFonts w:eastAsia="Times New Roman"/>
                <w:sz w:val="16"/>
                <w:szCs w:val="16"/>
              </w:rPr>
              <w:t>848,844</w:t>
            </w:r>
          </w:p>
        </w:tc>
        <w:tc>
          <w:tcPr>
            <w:tcW w:w="350" w:type="pct"/>
            <w:shd w:val="clear" w:color="auto" w:fill="CCEEFF"/>
            <w:vAlign w:val="bottom"/>
            <w:hideMark/>
          </w:tcPr>
          <w:p w14:paraId="4422583B" w14:textId="77777777" w:rsidR="00000000" w:rsidRDefault="0053651E">
            <w:pPr>
              <w:jc w:val="right"/>
              <w:rPr>
                <w:rFonts w:eastAsia="Times New Roman"/>
                <w:sz w:val="16"/>
                <w:szCs w:val="16"/>
              </w:rPr>
            </w:pPr>
            <w:r>
              <w:rPr>
                <w:rFonts w:eastAsia="Times New Roman"/>
                <w:sz w:val="16"/>
                <w:szCs w:val="16"/>
              </w:rPr>
              <w:t>11,953,827</w:t>
            </w:r>
          </w:p>
        </w:tc>
        <w:tc>
          <w:tcPr>
            <w:tcW w:w="400" w:type="pct"/>
            <w:shd w:val="clear" w:color="auto" w:fill="CCEEFF"/>
            <w:vAlign w:val="bottom"/>
            <w:hideMark/>
          </w:tcPr>
          <w:p w14:paraId="749FA154" w14:textId="77777777" w:rsidR="00000000" w:rsidRDefault="0053651E">
            <w:pPr>
              <w:jc w:val="right"/>
              <w:rPr>
                <w:rFonts w:eastAsia="Times New Roman"/>
                <w:sz w:val="16"/>
                <w:szCs w:val="16"/>
              </w:rPr>
            </w:pPr>
            <w:r>
              <w:rPr>
                <w:rFonts w:eastAsia="Times New Roman"/>
                <w:sz w:val="16"/>
                <w:szCs w:val="16"/>
              </w:rPr>
              <w:t>238,518</w:t>
            </w:r>
          </w:p>
        </w:tc>
        <w:tc>
          <w:tcPr>
            <w:tcW w:w="50" w:type="pct"/>
            <w:shd w:val="clear" w:color="auto" w:fill="CCEEFF"/>
            <w:vAlign w:val="bottom"/>
            <w:hideMark/>
          </w:tcPr>
          <w:p w14:paraId="2AFD01D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73B4A6D" w14:textId="77777777" w:rsidR="00000000" w:rsidRDefault="0053651E">
            <w:pPr>
              <w:jc w:val="right"/>
              <w:rPr>
                <w:rFonts w:eastAsia="Times New Roman"/>
                <w:sz w:val="16"/>
                <w:szCs w:val="16"/>
              </w:rPr>
            </w:pPr>
            <w:r>
              <w:rPr>
                <w:rFonts w:eastAsia="Times New Roman"/>
                <w:sz w:val="16"/>
                <w:szCs w:val="16"/>
              </w:rPr>
              <w:t>11,715,309</w:t>
            </w:r>
          </w:p>
        </w:tc>
        <w:tc>
          <w:tcPr>
            <w:tcW w:w="50" w:type="pct"/>
            <w:shd w:val="clear" w:color="auto" w:fill="CCEEFF"/>
            <w:vAlign w:val="bottom"/>
            <w:hideMark/>
          </w:tcPr>
          <w:p w14:paraId="48A3047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0EF7DBC" w14:textId="77777777" w:rsidR="00000000" w:rsidRDefault="0053651E">
            <w:pPr>
              <w:jc w:val="right"/>
              <w:rPr>
                <w:rFonts w:eastAsia="Times New Roman"/>
                <w:sz w:val="16"/>
                <w:szCs w:val="16"/>
              </w:rPr>
            </w:pPr>
            <w:r>
              <w:rPr>
                <w:rFonts w:eastAsia="Times New Roman"/>
                <w:sz w:val="16"/>
                <w:szCs w:val="16"/>
              </w:rPr>
              <w:t>4,635,484</w:t>
            </w:r>
          </w:p>
        </w:tc>
        <w:tc>
          <w:tcPr>
            <w:tcW w:w="500" w:type="pct"/>
            <w:shd w:val="clear" w:color="auto" w:fill="CCEEFF"/>
            <w:vAlign w:val="bottom"/>
            <w:hideMark/>
          </w:tcPr>
          <w:p w14:paraId="6EB75EB9"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70DF60B" w14:textId="77777777">
        <w:trPr>
          <w:tblCellSpacing w:w="0" w:type="dxa"/>
        </w:trPr>
        <w:tc>
          <w:tcPr>
            <w:tcW w:w="50" w:type="pct"/>
            <w:shd w:val="clear" w:color="auto" w:fill="FFFFFF"/>
            <w:vAlign w:val="bottom"/>
            <w:hideMark/>
          </w:tcPr>
          <w:p w14:paraId="74C8105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A2902C0" w14:textId="77777777" w:rsidR="00000000" w:rsidRDefault="0053651E">
            <w:pPr>
              <w:pStyle w:val="a3"/>
              <w:spacing w:before="0" w:beforeAutospacing="0" w:after="0" w:afterAutospacing="0"/>
              <w:rPr>
                <w:sz w:val="16"/>
                <w:szCs w:val="16"/>
              </w:rPr>
            </w:pPr>
            <w:r>
              <w:rPr>
                <w:sz w:val="16"/>
                <w:szCs w:val="16"/>
              </w:rPr>
              <w:t>VINNIN SQUARE IN-LINE</w:t>
            </w:r>
          </w:p>
        </w:tc>
        <w:tc>
          <w:tcPr>
            <w:tcW w:w="150" w:type="pct"/>
            <w:shd w:val="clear" w:color="auto" w:fill="FFFFFF"/>
            <w:vAlign w:val="bottom"/>
            <w:hideMark/>
          </w:tcPr>
          <w:p w14:paraId="525B4B80"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136C5FD8" w14:textId="77777777" w:rsidR="00000000" w:rsidRDefault="0053651E">
            <w:pPr>
              <w:jc w:val="right"/>
              <w:rPr>
                <w:rFonts w:eastAsia="Times New Roman"/>
                <w:sz w:val="16"/>
                <w:szCs w:val="16"/>
              </w:rPr>
            </w:pPr>
            <w:r>
              <w:rPr>
                <w:rFonts w:eastAsia="Times New Roman"/>
                <w:sz w:val="16"/>
                <w:szCs w:val="16"/>
              </w:rPr>
              <w:t>582,228</w:t>
            </w:r>
          </w:p>
        </w:tc>
        <w:tc>
          <w:tcPr>
            <w:tcW w:w="550" w:type="pct"/>
            <w:shd w:val="clear" w:color="auto" w:fill="FFFFFF"/>
            <w:vAlign w:val="bottom"/>
            <w:hideMark/>
          </w:tcPr>
          <w:p w14:paraId="3FA59BFD" w14:textId="77777777" w:rsidR="00000000" w:rsidRDefault="0053651E">
            <w:pPr>
              <w:jc w:val="right"/>
              <w:rPr>
                <w:rFonts w:eastAsia="Times New Roman"/>
                <w:sz w:val="16"/>
                <w:szCs w:val="16"/>
              </w:rPr>
            </w:pPr>
            <w:r>
              <w:rPr>
                <w:rFonts w:eastAsia="Times New Roman"/>
                <w:sz w:val="16"/>
                <w:szCs w:val="16"/>
              </w:rPr>
              <w:t>2,094,560</w:t>
            </w:r>
          </w:p>
        </w:tc>
        <w:tc>
          <w:tcPr>
            <w:tcW w:w="350" w:type="pct"/>
            <w:shd w:val="clear" w:color="auto" w:fill="FFFFFF"/>
            <w:vAlign w:val="bottom"/>
            <w:hideMark/>
          </w:tcPr>
          <w:p w14:paraId="4F5E0D6E" w14:textId="77777777" w:rsidR="00000000" w:rsidRDefault="0053651E">
            <w:pPr>
              <w:jc w:val="right"/>
              <w:rPr>
                <w:rFonts w:eastAsia="Times New Roman"/>
                <w:sz w:val="16"/>
                <w:szCs w:val="16"/>
              </w:rPr>
            </w:pPr>
            <w:r>
              <w:rPr>
                <w:rFonts w:eastAsia="Times New Roman"/>
                <w:sz w:val="16"/>
                <w:szCs w:val="16"/>
              </w:rPr>
              <w:t>(38,716)</w:t>
            </w:r>
          </w:p>
        </w:tc>
        <w:tc>
          <w:tcPr>
            <w:tcW w:w="300" w:type="pct"/>
            <w:shd w:val="clear" w:color="auto" w:fill="FFFFFF"/>
            <w:vAlign w:val="bottom"/>
            <w:hideMark/>
          </w:tcPr>
          <w:p w14:paraId="66360A9A" w14:textId="77777777" w:rsidR="00000000" w:rsidRDefault="0053651E">
            <w:pPr>
              <w:jc w:val="right"/>
              <w:rPr>
                <w:rFonts w:eastAsia="Times New Roman"/>
                <w:sz w:val="16"/>
                <w:szCs w:val="16"/>
              </w:rPr>
            </w:pPr>
            <w:r>
              <w:rPr>
                <w:rFonts w:eastAsia="Times New Roman"/>
                <w:sz w:val="16"/>
                <w:szCs w:val="16"/>
              </w:rPr>
              <w:t>582,228</w:t>
            </w:r>
          </w:p>
        </w:tc>
        <w:tc>
          <w:tcPr>
            <w:tcW w:w="450" w:type="pct"/>
            <w:shd w:val="clear" w:color="auto" w:fill="FFFFFF"/>
            <w:vAlign w:val="bottom"/>
            <w:hideMark/>
          </w:tcPr>
          <w:p w14:paraId="4241A763" w14:textId="77777777" w:rsidR="00000000" w:rsidRDefault="0053651E">
            <w:pPr>
              <w:jc w:val="right"/>
              <w:rPr>
                <w:rFonts w:eastAsia="Times New Roman"/>
                <w:sz w:val="16"/>
                <w:szCs w:val="16"/>
              </w:rPr>
            </w:pPr>
            <w:r>
              <w:rPr>
                <w:rFonts w:eastAsia="Times New Roman"/>
                <w:sz w:val="16"/>
                <w:szCs w:val="16"/>
              </w:rPr>
              <w:t>2,055,844</w:t>
            </w:r>
          </w:p>
        </w:tc>
        <w:tc>
          <w:tcPr>
            <w:tcW w:w="350" w:type="pct"/>
            <w:shd w:val="clear" w:color="auto" w:fill="FFFFFF"/>
            <w:vAlign w:val="bottom"/>
            <w:hideMark/>
          </w:tcPr>
          <w:p w14:paraId="6BBF5AF4" w14:textId="77777777" w:rsidR="00000000" w:rsidRDefault="0053651E">
            <w:pPr>
              <w:jc w:val="right"/>
              <w:rPr>
                <w:rFonts w:eastAsia="Times New Roman"/>
                <w:sz w:val="16"/>
                <w:szCs w:val="16"/>
              </w:rPr>
            </w:pPr>
            <w:r>
              <w:rPr>
                <w:rFonts w:eastAsia="Times New Roman"/>
                <w:sz w:val="16"/>
                <w:szCs w:val="16"/>
              </w:rPr>
              <w:t>2,638,072</w:t>
            </w:r>
          </w:p>
        </w:tc>
        <w:tc>
          <w:tcPr>
            <w:tcW w:w="400" w:type="pct"/>
            <w:shd w:val="clear" w:color="auto" w:fill="FFFFFF"/>
            <w:vAlign w:val="bottom"/>
            <w:hideMark/>
          </w:tcPr>
          <w:p w14:paraId="27112240" w14:textId="77777777" w:rsidR="00000000" w:rsidRDefault="0053651E">
            <w:pPr>
              <w:jc w:val="right"/>
              <w:rPr>
                <w:rFonts w:eastAsia="Times New Roman"/>
                <w:sz w:val="16"/>
                <w:szCs w:val="16"/>
              </w:rPr>
            </w:pPr>
            <w:r>
              <w:rPr>
                <w:rFonts w:eastAsia="Times New Roman"/>
                <w:sz w:val="16"/>
                <w:szCs w:val="16"/>
              </w:rPr>
              <w:t>325,114</w:t>
            </w:r>
          </w:p>
        </w:tc>
        <w:tc>
          <w:tcPr>
            <w:tcW w:w="50" w:type="pct"/>
            <w:shd w:val="clear" w:color="auto" w:fill="FFFFFF"/>
            <w:vAlign w:val="bottom"/>
            <w:hideMark/>
          </w:tcPr>
          <w:p w14:paraId="575BC26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63D9207" w14:textId="77777777" w:rsidR="00000000" w:rsidRDefault="0053651E">
            <w:pPr>
              <w:jc w:val="right"/>
              <w:rPr>
                <w:rFonts w:eastAsia="Times New Roman"/>
                <w:sz w:val="16"/>
                <w:szCs w:val="16"/>
              </w:rPr>
            </w:pPr>
            <w:r>
              <w:rPr>
                <w:rFonts w:eastAsia="Times New Roman"/>
                <w:sz w:val="16"/>
                <w:szCs w:val="16"/>
              </w:rPr>
              <w:t>2,312,958</w:t>
            </w:r>
          </w:p>
        </w:tc>
        <w:tc>
          <w:tcPr>
            <w:tcW w:w="50" w:type="pct"/>
            <w:shd w:val="clear" w:color="auto" w:fill="FFFFFF"/>
            <w:vAlign w:val="bottom"/>
            <w:hideMark/>
          </w:tcPr>
          <w:p w14:paraId="3318019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B02D39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67CA68A"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74DCB19" w14:textId="77777777">
        <w:trPr>
          <w:tblCellSpacing w:w="0" w:type="dxa"/>
        </w:trPr>
        <w:tc>
          <w:tcPr>
            <w:tcW w:w="50" w:type="pct"/>
            <w:shd w:val="clear" w:color="auto" w:fill="CCEEFF"/>
            <w:vAlign w:val="bottom"/>
            <w:hideMark/>
          </w:tcPr>
          <w:p w14:paraId="5DA4CBD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62D4B75" w14:textId="77777777" w:rsidR="00000000" w:rsidRDefault="0053651E">
            <w:pPr>
              <w:pStyle w:val="a3"/>
              <w:spacing w:before="0" w:beforeAutospacing="0" w:after="0" w:afterAutospacing="0"/>
              <w:rPr>
                <w:sz w:val="16"/>
                <w:szCs w:val="16"/>
              </w:rPr>
            </w:pPr>
            <w:r>
              <w:rPr>
                <w:sz w:val="16"/>
                <w:szCs w:val="16"/>
              </w:rPr>
              <w:t>LINDEN PLAZA</w:t>
            </w:r>
          </w:p>
        </w:tc>
        <w:tc>
          <w:tcPr>
            <w:tcW w:w="150" w:type="pct"/>
            <w:shd w:val="clear" w:color="auto" w:fill="CCEEFF"/>
            <w:vAlign w:val="bottom"/>
            <w:hideMark/>
          </w:tcPr>
          <w:p w14:paraId="62B47223"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3F8B901E" w14:textId="77777777" w:rsidR="00000000" w:rsidRDefault="0053651E">
            <w:pPr>
              <w:jc w:val="right"/>
              <w:rPr>
                <w:rFonts w:eastAsia="Times New Roman"/>
                <w:sz w:val="16"/>
                <w:szCs w:val="16"/>
              </w:rPr>
            </w:pPr>
            <w:r>
              <w:rPr>
                <w:rFonts w:eastAsia="Times New Roman"/>
                <w:sz w:val="16"/>
                <w:szCs w:val="16"/>
              </w:rPr>
              <w:t>4,628,215</w:t>
            </w:r>
          </w:p>
        </w:tc>
        <w:tc>
          <w:tcPr>
            <w:tcW w:w="550" w:type="pct"/>
            <w:shd w:val="clear" w:color="auto" w:fill="CCEEFF"/>
            <w:vAlign w:val="bottom"/>
            <w:hideMark/>
          </w:tcPr>
          <w:p w14:paraId="68249BD9" w14:textId="77777777" w:rsidR="00000000" w:rsidRDefault="0053651E">
            <w:pPr>
              <w:jc w:val="right"/>
              <w:rPr>
                <w:rFonts w:eastAsia="Times New Roman"/>
                <w:sz w:val="16"/>
                <w:szCs w:val="16"/>
              </w:rPr>
            </w:pPr>
            <w:r>
              <w:rPr>
                <w:rFonts w:eastAsia="Times New Roman"/>
                <w:sz w:val="16"/>
                <w:szCs w:val="16"/>
              </w:rPr>
              <w:t>3,535,431</w:t>
            </w:r>
          </w:p>
        </w:tc>
        <w:tc>
          <w:tcPr>
            <w:tcW w:w="350" w:type="pct"/>
            <w:shd w:val="clear" w:color="auto" w:fill="CCEEFF"/>
            <w:vAlign w:val="bottom"/>
            <w:hideMark/>
          </w:tcPr>
          <w:p w14:paraId="5F7BC293" w14:textId="77777777" w:rsidR="00000000" w:rsidRDefault="0053651E">
            <w:pPr>
              <w:jc w:val="right"/>
              <w:rPr>
                <w:rFonts w:eastAsia="Times New Roman"/>
                <w:sz w:val="16"/>
                <w:szCs w:val="16"/>
              </w:rPr>
            </w:pPr>
            <w:r>
              <w:rPr>
                <w:rFonts w:eastAsia="Times New Roman"/>
                <w:sz w:val="16"/>
                <w:szCs w:val="16"/>
              </w:rPr>
              <w:t>578,353</w:t>
            </w:r>
          </w:p>
        </w:tc>
        <w:tc>
          <w:tcPr>
            <w:tcW w:w="300" w:type="pct"/>
            <w:shd w:val="clear" w:color="auto" w:fill="CCEEFF"/>
            <w:vAlign w:val="bottom"/>
            <w:hideMark/>
          </w:tcPr>
          <w:p w14:paraId="29E46D13" w14:textId="77777777" w:rsidR="00000000" w:rsidRDefault="0053651E">
            <w:pPr>
              <w:jc w:val="right"/>
              <w:rPr>
                <w:rFonts w:eastAsia="Times New Roman"/>
                <w:sz w:val="16"/>
                <w:szCs w:val="16"/>
              </w:rPr>
            </w:pPr>
            <w:r>
              <w:rPr>
                <w:rFonts w:eastAsia="Times New Roman"/>
                <w:sz w:val="16"/>
                <w:szCs w:val="16"/>
              </w:rPr>
              <w:t>4,628,215</w:t>
            </w:r>
          </w:p>
        </w:tc>
        <w:tc>
          <w:tcPr>
            <w:tcW w:w="450" w:type="pct"/>
            <w:shd w:val="clear" w:color="auto" w:fill="CCEEFF"/>
            <w:vAlign w:val="bottom"/>
            <w:hideMark/>
          </w:tcPr>
          <w:p w14:paraId="3B394C6B" w14:textId="77777777" w:rsidR="00000000" w:rsidRDefault="0053651E">
            <w:pPr>
              <w:jc w:val="right"/>
              <w:rPr>
                <w:rFonts w:eastAsia="Times New Roman"/>
                <w:sz w:val="16"/>
                <w:szCs w:val="16"/>
              </w:rPr>
            </w:pPr>
            <w:r>
              <w:rPr>
                <w:rFonts w:eastAsia="Times New Roman"/>
                <w:sz w:val="16"/>
                <w:szCs w:val="16"/>
              </w:rPr>
              <w:t>4,113,784</w:t>
            </w:r>
          </w:p>
        </w:tc>
        <w:tc>
          <w:tcPr>
            <w:tcW w:w="350" w:type="pct"/>
            <w:shd w:val="clear" w:color="auto" w:fill="CCEEFF"/>
            <w:vAlign w:val="bottom"/>
            <w:hideMark/>
          </w:tcPr>
          <w:p w14:paraId="20356889" w14:textId="77777777" w:rsidR="00000000" w:rsidRDefault="0053651E">
            <w:pPr>
              <w:jc w:val="right"/>
              <w:rPr>
                <w:rFonts w:eastAsia="Times New Roman"/>
                <w:sz w:val="16"/>
                <w:szCs w:val="16"/>
              </w:rPr>
            </w:pPr>
            <w:r>
              <w:rPr>
                <w:rFonts w:eastAsia="Times New Roman"/>
                <w:sz w:val="16"/>
                <w:szCs w:val="16"/>
              </w:rPr>
              <w:t>8,741,999</w:t>
            </w:r>
          </w:p>
        </w:tc>
        <w:tc>
          <w:tcPr>
            <w:tcW w:w="400" w:type="pct"/>
            <w:shd w:val="clear" w:color="auto" w:fill="CCEEFF"/>
            <w:vAlign w:val="bottom"/>
            <w:hideMark/>
          </w:tcPr>
          <w:p w14:paraId="3BF80412" w14:textId="77777777" w:rsidR="00000000" w:rsidRDefault="0053651E">
            <w:pPr>
              <w:jc w:val="right"/>
              <w:rPr>
                <w:rFonts w:eastAsia="Times New Roman"/>
                <w:sz w:val="16"/>
                <w:szCs w:val="16"/>
              </w:rPr>
            </w:pPr>
            <w:r>
              <w:rPr>
                <w:rFonts w:eastAsia="Times New Roman"/>
                <w:sz w:val="16"/>
                <w:szCs w:val="16"/>
              </w:rPr>
              <w:t>1,173,955</w:t>
            </w:r>
          </w:p>
        </w:tc>
        <w:tc>
          <w:tcPr>
            <w:tcW w:w="50" w:type="pct"/>
            <w:shd w:val="clear" w:color="auto" w:fill="CCEEFF"/>
            <w:vAlign w:val="bottom"/>
            <w:hideMark/>
          </w:tcPr>
          <w:p w14:paraId="34C0F82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9FC2922" w14:textId="77777777" w:rsidR="00000000" w:rsidRDefault="0053651E">
            <w:pPr>
              <w:jc w:val="right"/>
              <w:rPr>
                <w:rFonts w:eastAsia="Times New Roman"/>
                <w:sz w:val="16"/>
                <w:szCs w:val="16"/>
              </w:rPr>
            </w:pPr>
            <w:r>
              <w:rPr>
                <w:rFonts w:eastAsia="Times New Roman"/>
                <w:sz w:val="16"/>
                <w:szCs w:val="16"/>
              </w:rPr>
              <w:t>7,568,044</w:t>
            </w:r>
          </w:p>
        </w:tc>
        <w:tc>
          <w:tcPr>
            <w:tcW w:w="50" w:type="pct"/>
            <w:shd w:val="clear" w:color="auto" w:fill="CCEEFF"/>
            <w:vAlign w:val="bottom"/>
            <w:hideMark/>
          </w:tcPr>
          <w:p w14:paraId="09C2F61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7668F31" w14:textId="77777777" w:rsidR="00000000" w:rsidRDefault="0053651E">
            <w:pPr>
              <w:jc w:val="right"/>
              <w:rPr>
                <w:rFonts w:eastAsia="Times New Roman"/>
                <w:sz w:val="16"/>
                <w:szCs w:val="16"/>
              </w:rPr>
            </w:pPr>
            <w:r>
              <w:rPr>
                <w:rFonts w:eastAsia="Times New Roman"/>
                <w:sz w:val="16"/>
                <w:szCs w:val="16"/>
              </w:rPr>
              <w:t>3,192,283</w:t>
            </w:r>
          </w:p>
        </w:tc>
        <w:tc>
          <w:tcPr>
            <w:tcW w:w="500" w:type="pct"/>
            <w:shd w:val="clear" w:color="auto" w:fill="CCEEFF"/>
            <w:vAlign w:val="bottom"/>
            <w:hideMark/>
          </w:tcPr>
          <w:p w14:paraId="54901A4C"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F4B3895" w14:textId="77777777">
        <w:trPr>
          <w:tblCellSpacing w:w="0" w:type="dxa"/>
        </w:trPr>
        <w:tc>
          <w:tcPr>
            <w:tcW w:w="50" w:type="pct"/>
            <w:shd w:val="clear" w:color="auto" w:fill="FFFFFF"/>
            <w:vAlign w:val="bottom"/>
            <w:hideMark/>
          </w:tcPr>
          <w:p w14:paraId="3E7550B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5A6D6D3" w14:textId="77777777" w:rsidR="00000000" w:rsidRDefault="0053651E">
            <w:pPr>
              <w:pStyle w:val="a3"/>
              <w:spacing w:before="0" w:beforeAutospacing="0" w:after="0" w:afterAutospacing="0"/>
              <w:rPr>
                <w:sz w:val="16"/>
                <w:szCs w:val="16"/>
              </w:rPr>
            </w:pPr>
            <w:r>
              <w:rPr>
                <w:sz w:val="16"/>
                <w:szCs w:val="16"/>
              </w:rPr>
              <w:t>NORTH AVE. PLAZA</w:t>
            </w:r>
          </w:p>
        </w:tc>
        <w:tc>
          <w:tcPr>
            <w:tcW w:w="150" w:type="pct"/>
            <w:shd w:val="clear" w:color="auto" w:fill="FFFFFF"/>
            <w:vAlign w:val="bottom"/>
            <w:hideMark/>
          </w:tcPr>
          <w:p w14:paraId="5C8C1BAA"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060E3FBF" w14:textId="77777777" w:rsidR="00000000" w:rsidRDefault="0053651E">
            <w:pPr>
              <w:jc w:val="right"/>
              <w:rPr>
                <w:rFonts w:eastAsia="Times New Roman"/>
                <w:sz w:val="16"/>
                <w:szCs w:val="16"/>
              </w:rPr>
            </w:pPr>
            <w:r>
              <w:rPr>
                <w:rFonts w:eastAsia="Times New Roman"/>
                <w:sz w:val="16"/>
                <w:szCs w:val="16"/>
              </w:rPr>
              <w:t>1,163,875</w:t>
            </w:r>
          </w:p>
        </w:tc>
        <w:tc>
          <w:tcPr>
            <w:tcW w:w="550" w:type="pct"/>
            <w:shd w:val="clear" w:color="auto" w:fill="FFFFFF"/>
            <w:vAlign w:val="bottom"/>
            <w:hideMark/>
          </w:tcPr>
          <w:p w14:paraId="6BB046F2" w14:textId="77777777" w:rsidR="00000000" w:rsidRDefault="0053651E">
            <w:pPr>
              <w:jc w:val="right"/>
              <w:rPr>
                <w:rFonts w:eastAsia="Times New Roman"/>
                <w:sz w:val="16"/>
                <w:szCs w:val="16"/>
              </w:rPr>
            </w:pPr>
            <w:r>
              <w:rPr>
                <w:rFonts w:eastAsia="Times New Roman"/>
                <w:sz w:val="16"/>
                <w:szCs w:val="16"/>
              </w:rPr>
              <w:t>1,194,673</w:t>
            </w:r>
          </w:p>
        </w:tc>
        <w:tc>
          <w:tcPr>
            <w:tcW w:w="350" w:type="pct"/>
            <w:shd w:val="clear" w:color="auto" w:fill="FFFFFF"/>
            <w:vAlign w:val="bottom"/>
            <w:hideMark/>
          </w:tcPr>
          <w:p w14:paraId="649E9378" w14:textId="77777777" w:rsidR="00000000" w:rsidRDefault="0053651E">
            <w:pPr>
              <w:jc w:val="right"/>
              <w:rPr>
                <w:rFonts w:eastAsia="Times New Roman"/>
                <w:sz w:val="16"/>
                <w:szCs w:val="16"/>
              </w:rPr>
            </w:pPr>
            <w:r>
              <w:rPr>
                <w:rFonts w:eastAsia="Times New Roman"/>
                <w:sz w:val="16"/>
                <w:szCs w:val="16"/>
              </w:rPr>
              <w:t>23,933</w:t>
            </w:r>
          </w:p>
        </w:tc>
        <w:tc>
          <w:tcPr>
            <w:tcW w:w="300" w:type="pct"/>
            <w:shd w:val="clear" w:color="auto" w:fill="FFFFFF"/>
            <w:vAlign w:val="bottom"/>
            <w:hideMark/>
          </w:tcPr>
          <w:p w14:paraId="328C4F9E" w14:textId="77777777" w:rsidR="00000000" w:rsidRDefault="0053651E">
            <w:pPr>
              <w:jc w:val="right"/>
              <w:rPr>
                <w:rFonts w:eastAsia="Times New Roman"/>
                <w:sz w:val="16"/>
                <w:szCs w:val="16"/>
              </w:rPr>
            </w:pPr>
            <w:r>
              <w:rPr>
                <w:rFonts w:eastAsia="Times New Roman"/>
                <w:sz w:val="16"/>
                <w:szCs w:val="16"/>
              </w:rPr>
              <w:t>1,163,875</w:t>
            </w:r>
          </w:p>
        </w:tc>
        <w:tc>
          <w:tcPr>
            <w:tcW w:w="450" w:type="pct"/>
            <w:shd w:val="clear" w:color="auto" w:fill="FFFFFF"/>
            <w:vAlign w:val="bottom"/>
            <w:hideMark/>
          </w:tcPr>
          <w:p w14:paraId="4BD71EE3" w14:textId="77777777" w:rsidR="00000000" w:rsidRDefault="0053651E">
            <w:pPr>
              <w:jc w:val="right"/>
              <w:rPr>
                <w:rFonts w:eastAsia="Times New Roman"/>
                <w:sz w:val="16"/>
                <w:szCs w:val="16"/>
              </w:rPr>
            </w:pPr>
            <w:r>
              <w:rPr>
                <w:rFonts w:eastAsia="Times New Roman"/>
                <w:sz w:val="16"/>
                <w:szCs w:val="16"/>
              </w:rPr>
              <w:t>1,218,606</w:t>
            </w:r>
          </w:p>
        </w:tc>
        <w:tc>
          <w:tcPr>
            <w:tcW w:w="350" w:type="pct"/>
            <w:shd w:val="clear" w:color="auto" w:fill="FFFFFF"/>
            <w:vAlign w:val="bottom"/>
            <w:hideMark/>
          </w:tcPr>
          <w:p w14:paraId="16C8D70A" w14:textId="77777777" w:rsidR="00000000" w:rsidRDefault="0053651E">
            <w:pPr>
              <w:jc w:val="right"/>
              <w:rPr>
                <w:rFonts w:eastAsia="Times New Roman"/>
                <w:sz w:val="16"/>
                <w:szCs w:val="16"/>
              </w:rPr>
            </w:pPr>
            <w:r>
              <w:rPr>
                <w:rFonts w:eastAsia="Times New Roman"/>
                <w:sz w:val="16"/>
                <w:szCs w:val="16"/>
              </w:rPr>
              <w:t>2,382,481</w:t>
            </w:r>
          </w:p>
        </w:tc>
        <w:tc>
          <w:tcPr>
            <w:tcW w:w="400" w:type="pct"/>
            <w:shd w:val="clear" w:color="auto" w:fill="FFFFFF"/>
            <w:vAlign w:val="bottom"/>
            <w:hideMark/>
          </w:tcPr>
          <w:p w14:paraId="31EE55AD" w14:textId="77777777" w:rsidR="00000000" w:rsidRDefault="0053651E">
            <w:pPr>
              <w:jc w:val="right"/>
              <w:rPr>
                <w:rFonts w:eastAsia="Times New Roman"/>
                <w:sz w:val="16"/>
                <w:szCs w:val="16"/>
              </w:rPr>
            </w:pPr>
            <w:r>
              <w:rPr>
                <w:rFonts w:eastAsia="Times New Roman"/>
                <w:sz w:val="16"/>
                <w:szCs w:val="16"/>
              </w:rPr>
              <w:t>318,197</w:t>
            </w:r>
          </w:p>
        </w:tc>
        <w:tc>
          <w:tcPr>
            <w:tcW w:w="50" w:type="pct"/>
            <w:shd w:val="clear" w:color="auto" w:fill="FFFFFF"/>
            <w:vAlign w:val="bottom"/>
            <w:hideMark/>
          </w:tcPr>
          <w:p w14:paraId="1F59ACC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E4653D1" w14:textId="77777777" w:rsidR="00000000" w:rsidRDefault="0053651E">
            <w:pPr>
              <w:jc w:val="right"/>
              <w:rPr>
                <w:rFonts w:eastAsia="Times New Roman"/>
                <w:sz w:val="16"/>
                <w:szCs w:val="16"/>
              </w:rPr>
            </w:pPr>
            <w:r>
              <w:rPr>
                <w:rFonts w:eastAsia="Times New Roman"/>
                <w:sz w:val="16"/>
                <w:szCs w:val="16"/>
              </w:rPr>
              <w:t>2,064,284</w:t>
            </w:r>
          </w:p>
        </w:tc>
        <w:tc>
          <w:tcPr>
            <w:tcW w:w="50" w:type="pct"/>
            <w:shd w:val="clear" w:color="auto" w:fill="FFFFFF"/>
            <w:vAlign w:val="bottom"/>
            <w:hideMark/>
          </w:tcPr>
          <w:p w14:paraId="7B0A46A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444FD3" w14:textId="77777777" w:rsidR="00000000" w:rsidRDefault="0053651E">
            <w:pPr>
              <w:jc w:val="right"/>
              <w:rPr>
                <w:rFonts w:eastAsia="Times New Roman"/>
                <w:sz w:val="16"/>
                <w:szCs w:val="16"/>
              </w:rPr>
            </w:pPr>
            <w:r>
              <w:rPr>
                <w:rFonts w:eastAsia="Times New Roman"/>
                <w:sz w:val="16"/>
                <w:szCs w:val="16"/>
              </w:rPr>
              <w:t>812,286</w:t>
            </w:r>
          </w:p>
        </w:tc>
        <w:tc>
          <w:tcPr>
            <w:tcW w:w="500" w:type="pct"/>
            <w:shd w:val="clear" w:color="auto" w:fill="FFFFFF"/>
            <w:vAlign w:val="bottom"/>
            <w:hideMark/>
          </w:tcPr>
          <w:p w14:paraId="5BB73A7A"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B3F2960" w14:textId="77777777">
        <w:trPr>
          <w:tblCellSpacing w:w="0" w:type="dxa"/>
        </w:trPr>
        <w:tc>
          <w:tcPr>
            <w:tcW w:w="50" w:type="pct"/>
            <w:shd w:val="clear" w:color="auto" w:fill="CCEEFF"/>
            <w:vAlign w:val="bottom"/>
            <w:hideMark/>
          </w:tcPr>
          <w:p w14:paraId="23C672F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F342D9E" w14:textId="77777777" w:rsidR="00000000" w:rsidRDefault="0053651E">
            <w:pPr>
              <w:pStyle w:val="a3"/>
              <w:spacing w:before="0" w:beforeAutospacing="0" w:after="0" w:afterAutospacing="0"/>
              <w:rPr>
                <w:sz w:val="16"/>
                <w:szCs w:val="16"/>
              </w:rPr>
            </w:pPr>
            <w:r>
              <w:rPr>
                <w:sz w:val="16"/>
                <w:szCs w:val="16"/>
              </w:rPr>
              <w:t>WASHINGTON ST. S.C.</w:t>
            </w:r>
          </w:p>
        </w:tc>
        <w:tc>
          <w:tcPr>
            <w:tcW w:w="150" w:type="pct"/>
            <w:shd w:val="clear" w:color="auto" w:fill="CCEEFF"/>
            <w:vAlign w:val="bottom"/>
            <w:hideMark/>
          </w:tcPr>
          <w:p w14:paraId="5FC6C45D"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CCEEFF"/>
            <w:vAlign w:val="bottom"/>
            <w:hideMark/>
          </w:tcPr>
          <w:p w14:paraId="676805F0" w14:textId="77777777" w:rsidR="00000000" w:rsidRDefault="0053651E">
            <w:pPr>
              <w:jc w:val="right"/>
              <w:rPr>
                <w:rFonts w:eastAsia="Times New Roman"/>
                <w:sz w:val="16"/>
                <w:szCs w:val="16"/>
              </w:rPr>
            </w:pPr>
            <w:r>
              <w:rPr>
                <w:rFonts w:eastAsia="Times New Roman"/>
                <w:sz w:val="16"/>
                <w:szCs w:val="16"/>
              </w:rPr>
              <w:t>7,380,918</w:t>
            </w:r>
          </w:p>
        </w:tc>
        <w:tc>
          <w:tcPr>
            <w:tcW w:w="550" w:type="pct"/>
            <w:shd w:val="clear" w:color="auto" w:fill="CCEEFF"/>
            <w:vAlign w:val="bottom"/>
            <w:hideMark/>
          </w:tcPr>
          <w:p w14:paraId="1CB8C672" w14:textId="77777777" w:rsidR="00000000" w:rsidRDefault="0053651E">
            <w:pPr>
              <w:jc w:val="right"/>
              <w:rPr>
                <w:rFonts w:eastAsia="Times New Roman"/>
                <w:sz w:val="16"/>
                <w:szCs w:val="16"/>
              </w:rPr>
            </w:pPr>
            <w:r>
              <w:rPr>
                <w:rFonts w:eastAsia="Times New Roman"/>
                <w:sz w:val="16"/>
                <w:szCs w:val="16"/>
              </w:rPr>
              <w:t>9,987,119</w:t>
            </w:r>
          </w:p>
        </w:tc>
        <w:tc>
          <w:tcPr>
            <w:tcW w:w="350" w:type="pct"/>
            <w:shd w:val="clear" w:color="auto" w:fill="CCEEFF"/>
            <w:vAlign w:val="bottom"/>
            <w:hideMark/>
          </w:tcPr>
          <w:p w14:paraId="77A1B95C" w14:textId="77777777" w:rsidR="00000000" w:rsidRDefault="0053651E">
            <w:pPr>
              <w:jc w:val="right"/>
              <w:rPr>
                <w:rFonts w:eastAsia="Times New Roman"/>
                <w:sz w:val="16"/>
                <w:szCs w:val="16"/>
              </w:rPr>
            </w:pPr>
            <w:r>
              <w:rPr>
                <w:rFonts w:eastAsia="Times New Roman"/>
                <w:sz w:val="16"/>
                <w:szCs w:val="16"/>
              </w:rPr>
              <w:t>2,057,448</w:t>
            </w:r>
          </w:p>
        </w:tc>
        <w:tc>
          <w:tcPr>
            <w:tcW w:w="300" w:type="pct"/>
            <w:shd w:val="clear" w:color="auto" w:fill="CCEEFF"/>
            <w:vAlign w:val="bottom"/>
            <w:hideMark/>
          </w:tcPr>
          <w:p w14:paraId="1250F63C" w14:textId="77777777" w:rsidR="00000000" w:rsidRDefault="0053651E">
            <w:pPr>
              <w:jc w:val="right"/>
              <w:rPr>
                <w:rFonts w:eastAsia="Times New Roman"/>
                <w:sz w:val="16"/>
                <w:szCs w:val="16"/>
              </w:rPr>
            </w:pPr>
            <w:r>
              <w:rPr>
                <w:rFonts w:eastAsia="Times New Roman"/>
                <w:sz w:val="16"/>
                <w:szCs w:val="16"/>
              </w:rPr>
              <w:t>7,380,918</w:t>
            </w:r>
          </w:p>
        </w:tc>
        <w:tc>
          <w:tcPr>
            <w:tcW w:w="450" w:type="pct"/>
            <w:shd w:val="clear" w:color="auto" w:fill="CCEEFF"/>
            <w:vAlign w:val="bottom"/>
            <w:hideMark/>
          </w:tcPr>
          <w:p w14:paraId="4703205B" w14:textId="77777777" w:rsidR="00000000" w:rsidRDefault="0053651E">
            <w:pPr>
              <w:jc w:val="right"/>
              <w:rPr>
                <w:rFonts w:eastAsia="Times New Roman"/>
                <w:sz w:val="16"/>
                <w:szCs w:val="16"/>
              </w:rPr>
            </w:pPr>
            <w:r>
              <w:rPr>
                <w:rFonts w:eastAsia="Times New Roman"/>
                <w:sz w:val="16"/>
                <w:szCs w:val="16"/>
              </w:rPr>
              <w:t>12,044,567</w:t>
            </w:r>
          </w:p>
        </w:tc>
        <w:tc>
          <w:tcPr>
            <w:tcW w:w="350" w:type="pct"/>
            <w:shd w:val="clear" w:color="auto" w:fill="CCEEFF"/>
            <w:vAlign w:val="bottom"/>
            <w:hideMark/>
          </w:tcPr>
          <w:p w14:paraId="5DFD249D" w14:textId="77777777" w:rsidR="00000000" w:rsidRDefault="0053651E">
            <w:pPr>
              <w:jc w:val="right"/>
              <w:rPr>
                <w:rFonts w:eastAsia="Times New Roman"/>
                <w:sz w:val="16"/>
                <w:szCs w:val="16"/>
              </w:rPr>
            </w:pPr>
            <w:r>
              <w:rPr>
                <w:rFonts w:eastAsia="Times New Roman"/>
                <w:sz w:val="16"/>
                <w:szCs w:val="16"/>
              </w:rPr>
              <w:t>19,425,485</w:t>
            </w:r>
          </w:p>
        </w:tc>
        <w:tc>
          <w:tcPr>
            <w:tcW w:w="400" w:type="pct"/>
            <w:shd w:val="clear" w:color="auto" w:fill="CCEEFF"/>
            <w:vAlign w:val="bottom"/>
            <w:hideMark/>
          </w:tcPr>
          <w:p w14:paraId="537287E8" w14:textId="77777777" w:rsidR="00000000" w:rsidRDefault="0053651E">
            <w:pPr>
              <w:jc w:val="right"/>
              <w:rPr>
                <w:rFonts w:eastAsia="Times New Roman"/>
                <w:sz w:val="16"/>
                <w:szCs w:val="16"/>
              </w:rPr>
            </w:pPr>
            <w:r>
              <w:rPr>
                <w:rFonts w:eastAsia="Times New Roman"/>
                <w:sz w:val="16"/>
                <w:szCs w:val="16"/>
              </w:rPr>
              <w:t>1,985,891</w:t>
            </w:r>
          </w:p>
        </w:tc>
        <w:tc>
          <w:tcPr>
            <w:tcW w:w="50" w:type="pct"/>
            <w:shd w:val="clear" w:color="auto" w:fill="CCEEFF"/>
            <w:vAlign w:val="bottom"/>
            <w:hideMark/>
          </w:tcPr>
          <w:p w14:paraId="6BD4A63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7F8C0FA" w14:textId="77777777" w:rsidR="00000000" w:rsidRDefault="0053651E">
            <w:pPr>
              <w:jc w:val="right"/>
              <w:rPr>
                <w:rFonts w:eastAsia="Times New Roman"/>
                <w:sz w:val="16"/>
                <w:szCs w:val="16"/>
              </w:rPr>
            </w:pPr>
            <w:r>
              <w:rPr>
                <w:rFonts w:eastAsia="Times New Roman"/>
                <w:sz w:val="16"/>
                <w:szCs w:val="16"/>
              </w:rPr>
              <w:t>17,439,594</w:t>
            </w:r>
          </w:p>
        </w:tc>
        <w:tc>
          <w:tcPr>
            <w:tcW w:w="50" w:type="pct"/>
            <w:shd w:val="clear" w:color="auto" w:fill="CCEEFF"/>
            <w:vAlign w:val="bottom"/>
            <w:hideMark/>
          </w:tcPr>
          <w:p w14:paraId="7D10178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D64692A" w14:textId="77777777" w:rsidR="00000000" w:rsidRDefault="0053651E">
            <w:pPr>
              <w:jc w:val="right"/>
              <w:rPr>
                <w:rFonts w:eastAsia="Times New Roman"/>
                <w:sz w:val="16"/>
                <w:szCs w:val="16"/>
              </w:rPr>
            </w:pPr>
            <w:r>
              <w:rPr>
                <w:rFonts w:eastAsia="Times New Roman"/>
                <w:sz w:val="16"/>
                <w:szCs w:val="16"/>
              </w:rPr>
              <w:t>5,563,436</w:t>
            </w:r>
          </w:p>
        </w:tc>
        <w:tc>
          <w:tcPr>
            <w:tcW w:w="500" w:type="pct"/>
            <w:shd w:val="clear" w:color="auto" w:fill="CCEEFF"/>
            <w:vAlign w:val="bottom"/>
            <w:hideMark/>
          </w:tcPr>
          <w:p w14:paraId="402374A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671E3FA" w14:textId="77777777">
        <w:trPr>
          <w:tblCellSpacing w:w="0" w:type="dxa"/>
        </w:trPr>
        <w:tc>
          <w:tcPr>
            <w:tcW w:w="50" w:type="pct"/>
            <w:shd w:val="clear" w:color="auto" w:fill="FFFFFF"/>
            <w:vAlign w:val="bottom"/>
            <w:hideMark/>
          </w:tcPr>
          <w:p w14:paraId="3123014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6F49327" w14:textId="77777777" w:rsidR="00000000" w:rsidRDefault="0053651E">
            <w:pPr>
              <w:pStyle w:val="a3"/>
              <w:spacing w:before="0" w:beforeAutospacing="0" w:after="0" w:afterAutospacing="0"/>
              <w:rPr>
                <w:sz w:val="16"/>
                <w:szCs w:val="16"/>
              </w:rPr>
            </w:pPr>
            <w:r>
              <w:rPr>
                <w:sz w:val="16"/>
                <w:szCs w:val="16"/>
              </w:rPr>
              <w:t>MILL ST. PLAZA</w:t>
            </w:r>
          </w:p>
        </w:tc>
        <w:tc>
          <w:tcPr>
            <w:tcW w:w="150" w:type="pct"/>
            <w:shd w:val="clear" w:color="auto" w:fill="FFFFFF"/>
            <w:vAlign w:val="bottom"/>
            <w:hideMark/>
          </w:tcPr>
          <w:p w14:paraId="0FBE05E7" w14:textId="77777777" w:rsidR="00000000" w:rsidRDefault="0053651E">
            <w:pPr>
              <w:pStyle w:val="a3"/>
              <w:spacing w:before="0" w:beforeAutospacing="0" w:after="0" w:afterAutospacing="0"/>
              <w:rPr>
                <w:sz w:val="16"/>
                <w:szCs w:val="16"/>
              </w:rPr>
            </w:pPr>
            <w:r>
              <w:rPr>
                <w:rStyle w:val="a6"/>
                <w:i w:val="0"/>
                <w:iCs w:val="0"/>
                <w:sz w:val="16"/>
                <w:szCs w:val="16"/>
              </w:rPr>
              <w:t>MA</w:t>
            </w:r>
          </w:p>
        </w:tc>
        <w:tc>
          <w:tcPr>
            <w:tcW w:w="300" w:type="pct"/>
            <w:shd w:val="clear" w:color="auto" w:fill="FFFFFF"/>
            <w:vAlign w:val="bottom"/>
            <w:hideMark/>
          </w:tcPr>
          <w:p w14:paraId="07F53461" w14:textId="77777777" w:rsidR="00000000" w:rsidRDefault="0053651E">
            <w:pPr>
              <w:jc w:val="right"/>
              <w:rPr>
                <w:rFonts w:eastAsia="Times New Roman"/>
                <w:sz w:val="16"/>
                <w:szCs w:val="16"/>
              </w:rPr>
            </w:pPr>
            <w:r>
              <w:rPr>
                <w:rFonts w:eastAsia="Times New Roman"/>
                <w:sz w:val="16"/>
                <w:szCs w:val="16"/>
              </w:rPr>
              <w:t>4,195,024</w:t>
            </w:r>
          </w:p>
        </w:tc>
        <w:tc>
          <w:tcPr>
            <w:tcW w:w="550" w:type="pct"/>
            <w:shd w:val="clear" w:color="auto" w:fill="FFFFFF"/>
            <w:vAlign w:val="bottom"/>
            <w:hideMark/>
          </w:tcPr>
          <w:p w14:paraId="64E72F53" w14:textId="77777777" w:rsidR="00000000" w:rsidRDefault="0053651E">
            <w:pPr>
              <w:jc w:val="right"/>
              <w:rPr>
                <w:rFonts w:eastAsia="Times New Roman"/>
                <w:sz w:val="16"/>
                <w:szCs w:val="16"/>
              </w:rPr>
            </w:pPr>
            <w:r>
              <w:rPr>
                <w:rFonts w:eastAsia="Times New Roman"/>
                <w:sz w:val="16"/>
                <w:szCs w:val="16"/>
              </w:rPr>
              <w:t>6,203,410</w:t>
            </w:r>
          </w:p>
        </w:tc>
        <w:tc>
          <w:tcPr>
            <w:tcW w:w="350" w:type="pct"/>
            <w:shd w:val="clear" w:color="auto" w:fill="FFFFFF"/>
            <w:vAlign w:val="bottom"/>
            <w:hideMark/>
          </w:tcPr>
          <w:p w14:paraId="140F64F0" w14:textId="77777777" w:rsidR="00000000" w:rsidRDefault="0053651E">
            <w:pPr>
              <w:jc w:val="right"/>
              <w:rPr>
                <w:rFonts w:eastAsia="Times New Roman"/>
                <w:sz w:val="16"/>
                <w:szCs w:val="16"/>
              </w:rPr>
            </w:pPr>
            <w:r>
              <w:rPr>
                <w:rFonts w:eastAsia="Times New Roman"/>
                <w:sz w:val="16"/>
                <w:szCs w:val="16"/>
              </w:rPr>
              <w:t>554,628</w:t>
            </w:r>
          </w:p>
        </w:tc>
        <w:tc>
          <w:tcPr>
            <w:tcW w:w="300" w:type="pct"/>
            <w:shd w:val="clear" w:color="auto" w:fill="FFFFFF"/>
            <w:vAlign w:val="bottom"/>
            <w:hideMark/>
          </w:tcPr>
          <w:p w14:paraId="2DA0003D" w14:textId="77777777" w:rsidR="00000000" w:rsidRDefault="0053651E">
            <w:pPr>
              <w:jc w:val="right"/>
              <w:rPr>
                <w:rFonts w:eastAsia="Times New Roman"/>
                <w:sz w:val="16"/>
                <w:szCs w:val="16"/>
              </w:rPr>
            </w:pPr>
            <w:r>
              <w:rPr>
                <w:rFonts w:eastAsia="Times New Roman"/>
                <w:sz w:val="16"/>
                <w:szCs w:val="16"/>
              </w:rPr>
              <w:t>4,195,024</w:t>
            </w:r>
          </w:p>
        </w:tc>
        <w:tc>
          <w:tcPr>
            <w:tcW w:w="450" w:type="pct"/>
            <w:shd w:val="clear" w:color="auto" w:fill="FFFFFF"/>
            <w:vAlign w:val="bottom"/>
            <w:hideMark/>
          </w:tcPr>
          <w:p w14:paraId="6E35EEB6" w14:textId="77777777" w:rsidR="00000000" w:rsidRDefault="0053651E">
            <w:pPr>
              <w:jc w:val="right"/>
              <w:rPr>
                <w:rFonts w:eastAsia="Times New Roman"/>
                <w:sz w:val="16"/>
                <w:szCs w:val="16"/>
              </w:rPr>
            </w:pPr>
            <w:r>
              <w:rPr>
                <w:rFonts w:eastAsia="Times New Roman"/>
                <w:sz w:val="16"/>
                <w:szCs w:val="16"/>
              </w:rPr>
              <w:t>6,758,038</w:t>
            </w:r>
          </w:p>
        </w:tc>
        <w:tc>
          <w:tcPr>
            <w:tcW w:w="350" w:type="pct"/>
            <w:shd w:val="clear" w:color="auto" w:fill="FFFFFF"/>
            <w:vAlign w:val="bottom"/>
            <w:hideMark/>
          </w:tcPr>
          <w:p w14:paraId="2613B20E" w14:textId="77777777" w:rsidR="00000000" w:rsidRDefault="0053651E">
            <w:pPr>
              <w:jc w:val="right"/>
              <w:rPr>
                <w:rFonts w:eastAsia="Times New Roman"/>
                <w:sz w:val="16"/>
                <w:szCs w:val="16"/>
              </w:rPr>
            </w:pPr>
            <w:r>
              <w:rPr>
                <w:rFonts w:eastAsia="Times New Roman"/>
                <w:sz w:val="16"/>
                <w:szCs w:val="16"/>
              </w:rPr>
              <w:t>10,953,062</w:t>
            </w:r>
          </w:p>
        </w:tc>
        <w:tc>
          <w:tcPr>
            <w:tcW w:w="400" w:type="pct"/>
            <w:shd w:val="clear" w:color="auto" w:fill="FFFFFF"/>
            <w:vAlign w:val="bottom"/>
            <w:hideMark/>
          </w:tcPr>
          <w:p w14:paraId="5CA29954" w14:textId="77777777" w:rsidR="00000000" w:rsidRDefault="0053651E">
            <w:pPr>
              <w:jc w:val="right"/>
              <w:rPr>
                <w:rFonts w:eastAsia="Times New Roman"/>
                <w:sz w:val="16"/>
                <w:szCs w:val="16"/>
              </w:rPr>
            </w:pPr>
            <w:r>
              <w:rPr>
                <w:rFonts w:eastAsia="Times New Roman"/>
                <w:sz w:val="16"/>
                <w:szCs w:val="16"/>
              </w:rPr>
              <w:t>1,362,547</w:t>
            </w:r>
          </w:p>
        </w:tc>
        <w:tc>
          <w:tcPr>
            <w:tcW w:w="50" w:type="pct"/>
            <w:shd w:val="clear" w:color="auto" w:fill="FFFFFF"/>
            <w:vAlign w:val="bottom"/>
            <w:hideMark/>
          </w:tcPr>
          <w:p w14:paraId="64E107F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7FBE135" w14:textId="77777777" w:rsidR="00000000" w:rsidRDefault="0053651E">
            <w:pPr>
              <w:jc w:val="right"/>
              <w:rPr>
                <w:rFonts w:eastAsia="Times New Roman"/>
                <w:sz w:val="16"/>
                <w:szCs w:val="16"/>
              </w:rPr>
            </w:pPr>
            <w:r>
              <w:rPr>
                <w:rFonts w:eastAsia="Times New Roman"/>
                <w:sz w:val="16"/>
                <w:szCs w:val="16"/>
              </w:rPr>
              <w:t>9,590,515</w:t>
            </w:r>
          </w:p>
        </w:tc>
        <w:tc>
          <w:tcPr>
            <w:tcW w:w="50" w:type="pct"/>
            <w:shd w:val="clear" w:color="auto" w:fill="FFFFFF"/>
            <w:vAlign w:val="bottom"/>
            <w:hideMark/>
          </w:tcPr>
          <w:p w14:paraId="04FB6A8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C31657A" w14:textId="77777777" w:rsidR="00000000" w:rsidRDefault="0053651E">
            <w:pPr>
              <w:jc w:val="right"/>
              <w:rPr>
                <w:rFonts w:eastAsia="Times New Roman"/>
                <w:sz w:val="16"/>
                <w:szCs w:val="16"/>
              </w:rPr>
            </w:pPr>
            <w:r>
              <w:rPr>
                <w:rFonts w:eastAsia="Times New Roman"/>
                <w:sz w:val="16"/>
                <w:szCs w:val="16"/>
              </w:rPr>
              <w:t>3,637,862</w:t>
            </w:r>
          </w:p>
        </w:tc>
        <w:tc>
          <w:tcPr>
            <w:tcW w:w="500" w:type="pct"/>
            <w:shd w:val="clear" w:color="auto" w:fill="FFFFFF"/>
            <w:vAlign w:val="bottom"/>
            <w:hideMark/>
          </w:tcPr>
          <w:p w14:paraId="4E0EBCE8"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E006316" w14:textId="77777777">
        <w:trPr>
          <w:tblCellSpacing w:w="0" w:type="dxa"/>
        </w:trPr>
        <w:tc>
          <w:tcPr>
            <w:tcW w:w="50" w:type="pct"/>
            <w:shd w:val="clear" w:color="auto" w:fill="CCEEFF"/>
            <w:vAlign w:val="bottom"/>
            <w:hideMark/>
          </w:tcPr>
          <w:p w14:paraId="7A43C38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4B1572F" w14:textId="77777777" w:rsidR="00000000" w:rsidRDefault="0053651E">
            <w:pPr>
              <w:pStyle w:val="a3"/>
              <w:spacing w:before="0" w:beforeAutospacing="0" w:after="0" w:afterAutospacing="0"/>
              <w:rPr>
                <w:sz w:val="16"/>
                <w:szCs w:val="16"/>
              </w:rPr>
            </w:pPr>
            <w:r>
              <w:rPr>
                <w:sz w:val="16"/>
                <w:szCs w:val="16"/>
              </w:rPr>
              <w:t>FULLERTON PLAZA</w:t>
            </w:r>
          </w:p>
        </w:tc>
        <w:tc>
          <w:tcPr>
            <w:tcW w:w="150" w:type="pct"/>
            <w:shd w:val="clear" w:color="auto" w:fill="CCEEFF"/>
            <w:vAlign w:val="bottom"/>
            <w:hideMark/>
          </w:tcPr>
          <w:p w14:paraId="726A55A7"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7464CE9E" w14:textId="77777777" w:rsidR="00000000" w:rsidRDefault="0053651E">
            <w:pPr>
              <w:jc w:val="right"/>
              <w:rPr>
                <w:rFonts w:eastAsia="Times New Roman"/>
                <w:sz w:val="16"/>
                <w:szCs w:val="16"/>
              </w:rPr>
            </w:pPr>
            <w:r>
              <w:rPr>
                <w:rFonts w:eastAsia="Times New Roman"/>
                <w:sz w:val="16"/>
                <w:szCs w:val="16"/>
              </w:rPr>
              <w:t>14,237,901</w:t>
            </w:r>
          </w:p>
        </w:tc>
        <w:tc>
          <w:tcPr>
            <w:tcW w:w="550" w:type="pct"/>
            <w:shd w:val="clear" w:color="auto" w:fill="CCEEFF"/>
            <w:vAlign w:val="bottom"/>
            <w:hideMark/>
          </w:tcPr>
          <w:p w14:paraId="5A57736A" w14:textId="77777777" w:rsidR="00000000" w:rsidRDefault="0053651E">
            <w:pPr>
              <w:jc w:val="right"/>
              <w:rPr>
                <w:rFonts w:eastAsia="Times New Roman"/>
                <w:sz w:val="16"/>
                <w:szCs w:val="16"/>
              </w:rPr>
            </w:pPr>
            <w:r>
              <w:rPr>
                <w:rFonts w:eastAsia="Times New Roman"/>
                <w:sz w:val="16"/>
                <w:szCs w:val="16"/>
              </w:rPr>
              <w:t>6,743,980</w:t>
            </w:r>
          </w:p>
        </w:tc>
        <w:tc>
          <w:tcPr>
            <w:tcW w:w="350" w:type="pct"/>
            <w:shd w:val="clear" w:color="auto" w:fill="CCEEFF"/>
            <w:vAlign w:val="bottom"/>
            <w:hideMark/>
          </w:tcPr>
          <w:p w14:paraId="67F398A0" w14:textId="77777777" w:rsidR="00000000" w:rsidRDefault="0053651E">
            <w:pPr>
              <w:jc w:val="right"/>
              <w:rPr>
                <w:rFonts w:eastAsia="Times New Roman"/>
                <w:sz w:val="16"/>
                <w:szCs w:val="16"/>
              </w:rPr>
            </w:pPr>
            <w:r>
              <w:rPr>
                <w:rFonts w:eastAsia="Times New Roman"/>
                <w:sz w:val="16"/>
                <w:szCs w:val="16"/>
              </w:rPr>
              <w:t>8,192,823</w:t>
            </w:r>
          </w:p>
        </w:tc>
        <w:tc>
          <w:tcPr>
            <w:tcW w:w="300" w:type="pct"/>
            <w:shd w:val="clear" w:color="auto" w:fill="CCEEFF"/>
            <w:vAlign w:val="bottom"/>
            <w:hideMark/>
          </w:tcPr>
          <w:p w14:paraId="07331A47" w14:textId="77777777" w:rsidR="00000000" w:rsidRDefault="0053651E">
            <w:pPr>
              <w:jc w:val="right"/>
              <w:rPr>
                <w:rFonts w:eastAsia="Times New Roman"/>
                <w:sz w:val="16"/>
                <w:szCs w:val="16"/>
              </w:rPr>
            </w:pPr>
            <w:r>
              <w:rPr>
                <w:rFonts w:eastAsia="Times New Roman"/>
                <w:sz w:val="16"/>
                <w:szCs w:val="16"/>
              </w:rPr>
              <w:t>14,237,901</w:t>
            </w:r>
          </w:p>
        </w:tc>
        <w:tc>
          <w:tcPr>
            <w:tcW w:w="450" w:type="pct"/>
            <w:shd w:val="clear" w:color="auto" w:fill="CCEEFF"/>
            <w:vAlign w:val="bottom"/>
            <w:hideMark/>
          </w:tcPr>
          <w:p w14:paraId="4E83DBB3" w14:textId="77777777" w:rsidR="00000000" w:rsidRDefault="0053651E">
            <w:pPr>
              <w:jc w:val="right"/>
              <w:rPr>
                <w:rFonts w:eastAsia="Times New Roman"/>
                <w:sz w:val="16"/>
                <w:szCs w:val="16"/>
              </w:rPr>
            </w:pPr>
            <w:r>
              <w:rPr>
                <w:rFonts w:eastAsia="Times New Roman"/>
                <w:sz w:val="16"/>
                <w:szCs w:val="16"/>
              </w:rPr>
              <w:t>14,936,803</w:t>
            </w:r>
          </w:p>
        </w:tc>
        <w:tc>
          <w:tcPr>
            <w:tcW w:w="350" w:type="pct"/>
            <w:shd w:val="clear" w:color="auto" w:fill="CCEEFF"/>
            <w:vAlign w:val="bottom"/>
            <w:hideMark/>
          </w:tcPr>
          <w:p w14:paraId="33904DED" w14:textId="77777777" w:rsidR="00000000" w:rsidRDefault="0053651E">
            <w:pPr>
              <w:jc w:val="right"/>
              <w:rPr>
                <w:rFonts w:eastAsia="Times New Roman"/>
                <w:sz w:val="16"/>
                <w:szCs w:val="16"/>
              </w:rPr>
            </w:pPr>
            <w:r>
              <w:rPr>
                <w:rFonts w:eastAsia="Times New Roman"/>
                <w:sz w:val="16"/>
                <w:szCs w:val="16"/>
              </w:rPr>
              <w:t>29,174,704</w:t>
            </w:r>
          </w:p>
        </w:tc>
        <w:tc>
          <w:tcPr>
            <w:tcW w:w="400" w:type="pct"/>
            <w:shd w:val="clear" w:color="auto" w:fill="CCEEFF"/>
            <w:vAlign w:val="bottom"/>
            <w:hideMark/>
          </w:tcPr>
          <w:p w14:paraId="420A4627" w14:textId="77777777" w:rsidR="00000000" w:rsidRDefault="0053651E">
            <w:pPr>
              <w:jc w:val="right"/>
              <w:rPr>
                <w:rFonts w:eastAsia="Times New Roman"/>
                <w:sz w:val="16"/>
                <w:szCs w:val="16"/>
              </w:rPr>
            </w:pPr>
            <w:r>
              <w:rPr>
                <w:rFonts w:eastAsia="Times New Roman"/>
                <w:sz w:val="16"/>
                <w:szCs w:val="16"/>
              </w:rPr>
              <w:t>1,864,141</w:t>
            </w:r>
          </w:p>
        </w:tc>
        <w:tc>
          <w:tcPr>
            <w:tcW w:w="50" w:type="pct"/>
            <w:shd w:val="clear" w:color="auto" w:fill="CCEEFF"/>
            <w:vAlign w:val="bottom"/>
            <w:hideMark/>
          </w:tcPr>
          <w:p w14:paraId="1F3223D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19557CD" w14:textId="77777777" w:rsidR="00000000" w:rsidRDefault="0053651E">
            <w:pPr>
              <w:jc w:val="right"/>
              <w:rPr>
                <w:rFonts w:eastAsia="Times New Roman"/>
                <w:sz w:val="16"/>
                <w:szCs w:val="16"/>
              </w:rPr>
            </w:pPr>
            <w:r>
              <w:rPr>
                <w:rFonts w:eastAsia="Times New Roman"/>
                <w:sz w:val="16"/>
                <w:szCs w:val="16"/>
              </w:rPr>
              <w:t>27,310,563</w:t>
            </w:r>
          </w:p>
        </w:tc>
        <w:tc>
          <w:tcPr>
            <w:tcW w:w="50" w:type="pct"/>
            <w:shd w:val="clear" w:color="auto" w:fill="CCEEFF"/>
            <w:vAlign w:val="bottom"/>
            <w:hideMark/>
          </w:tcPr>
          <w:p w14:paraId="395640D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D0365F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66C262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3271A65" w14:textId="77777777">
        <w:trPr>
          <w:tblCellSpacing w:w="0" w:type="dxa"/>
        </w:trPr>
        <w:tc>
          <w:tcPr>
            <w:tcW w:w="50" w:type="pct"/>
            <w:shd w:val="clear" w:color="auto" w:fill="FFFFFF"/>
            <w:vAlign w:val="bottom"/>
            <w:hideMark/>
          </w:tcPr>
          <w:p w14:paraId="2FE6105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80CDEA6" w14:textId="77777777" w:rsidR="00000000" w:rsidRDefault="0053651E">
            <w:pPr>
              <w:pStyle w:val="a3"/>
              <w:spacing w:before="0" w:beforeAutospacing="0" w:after="0" w:afterAutospacing="0"/>
              <w:rPr>
                <w:sz w:val="16"/>
                <w:szCs w:val="16"/>
              </w:rPr>
            </w:pPr>
            <w:r>
              <w:rPr>
                <w:sz w:val="16"/>
                <w:szCs w:val="16"/>
              </w:rPr>
              <w:t>GREENBRIER S.C.</w:t>
            </w:r>
          </w:p>
        </w:tc>
        <w:tc>
          <w:tcPr>
            <w:tcW w:w="150" w:type="pct"/>
            <w:shd w:val="clear" w:color="auto" w:fill="FFFFFF"/>
            <w:vAlign w:val="bottom"/>
            <w:hideMark/>
          </w:tcPr>
          <w:p w14:paraId="10C65D60"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24F8E1E6" w14:textId="77777777" w:rsidR="00000000" w:rsidRDefault="0053651E">
            <w:pPr>
              <w:jc w:val="right"/>
              <w:rPr>
                <w:rFonts w:eastAsia="Times New Roman"/>
                <w:sz w:val="16"/>
                <w:szCs w:val="16"/>
              </w:rPr>
            </w:pPr>
            <w:r>
              <w:rPr>
                <w:rFonts w:eastAsia="Times New Roman"/>
                <w:sz w:val="16"/>
                <w:szCs w:val="16"/>
              </w:rPr>
              <w:t>8,891,468</w:t>
            </w:r>
          </w:p>
        </w:tc>
        <w:tc>
          <w:tcPr>
            <w:tcW w:w="550" w:type="pct"/>
            <w:shd w:val="clear" w:color="auto" w:fill="FFFFFF"/>
            <w:vAlign w:val="bottom"/>
            <w:hideMark/>
          </w:tcPr>
          <w:p w14:paraId="7AFF0CF8" w14:textId="77777777" w:rsidR="00000000" w:rsidRDefault="0053651E">
            <w:pPr>
              <w:jc w:val="right"/>
              <w:rPr>
                <w:rFonts w:eastAsia="Times New Roman"/>
                <w:sz w:val="16"/>
                <w:szCs w:val="16"/>
              </w:rPr>
            </w:pPr>
            <w:r>
              <w:rPr>
                <w:rFonts w:eastAsia="Times New Roman"/>
                <w:sz w:val="16"/>
                <w:szCs w:val="16"/>
              </w:rPr>
              <w:t>30,304,760</w:t>
            </w:r>
          </w:p>
        </w:tc>
        <w:tc>
          <w:tcPr>
            <w:tcW w:w="350" w:type="pct"/>
            <w:shd w:val="clear" w:color="auto" w:fill="FFFFFF"/>
            <w:vAlign w:val="bottom"/>
            <w:hideMark/>
          </w:tcPr>
          <w:p w14:paraId="25A16CD3" w14:textId="77777777" w:rsidR="00000000" w:rsidRDefault="0053651E">
            <w:pPr>
              <w:jc w:val="right"/>
              <w:rPr>
                <w:rFonts w:eastAsia="Times New Roman"/>
                <w:sz w:val="16"/>
                <w:szCs w:val="16"/>
              </w:rPr>
            </w:pPr>
            <w:r>
              <w:rPr>
                <w:rFonts w:eastAsia="Times New Roman"/>
                <w:sz w:val="16"/>
                <w:szCs w:val="16"/>
              </w:rPr>
              <w:t>329,475</w:t>
            </w:r>
          </w:p>
        </w:tc>
        <w:tc>
          <w:tcPr>
            <w:tcW w:w="300" w:type="pct"/>
            <w:shd w:val="clear" w:color="auto" w:fill="FFFFFF"/>
            <w:vAlign w:val="bottom"/>
            <w:hideMark/>
          </w:tcPr>
          <w:p w14:paraId="3CD88F54" w14:textId="77777777" w:rsidR="00000000" w:rsidRDefault="0053651E">
            <w:pPr>
              <w:jc w:val="right"/>
              <w:rPr>
                <w:rFonts w:eastAsia="Times New Roman"/>
                <w:sz w:val="16"/>
                <w:szCs w:val="16"/>
              </w:rPr>
            </w:pPr>
            <w:r>
              <w:rPr>
                <w:rFonts w:eastAsia="Times New Roman"/>
                <w:sz w:val="16"/>
                <w:szCs w:val="16"/>
              </w:rPr>
              <w:t>8,891,468</w:t>
            </w:r>
          </w:p>
        </w:tc>
        <w:tc>
          <w:tcPr>
            <w:tcW w:w="450" w:type="pct"/>
            <w:shd w:val="clear" w:color="auto" w:fill="FFFFFF"/>
            <w:vAlign w:val="bottom"/>
            <w:hideMark/>
          </w:tcPr>
          <w:p w14:paraId="5AFF5797" w14:textId="77777777" w:rsidR="00000000" w:rsidRDefault="0053651E">
            <w:pPr>
              <w:jc w:val="right"/>
              <w:rPr>
                <w:rFonts w:eastAsia="Times New Roman"/>
                <w:sz w:val="16"/>
                <w:szCs w:val="16"/>
              </w:rPr>
            </w:pPr>
            <w:r>
              <w:rPr>
                <w:rFonts w:eastAsia="Times New Roman"/>
                <w:sz w:val="16"/>
                <w:szCs w:val="16"/>
              </w:rPr>
              <w:t>30,634,235</w:t>
            </w:r>
          </w:p>
        </w:tc>
        <w:tc>
          <w:tcPr>
            <w:tcW w:w="350" w:type="pct"/>
            <w:shd w:val="clear" w:color="auto" w:fill="FFFFFF"/>
            <w:vAlign w:val="bottom"/>
            <w:hideMark/>
          </w:tcPr>
          <w:p w14:paraId="10D0200A" w14:textId="77777777" w:rsidR="00000000" w:rsidRDefault="0053651E">
            <w:pPr>
              <w:jc w:val="right"/>
              <w:rPr>
                <w:rFonts w:eastAsia="Times New Roman"/>
                <w:sz w:val="16"/>
                <w:szCs w:val="16"/>
              </w:rPr>
            </w:pPr>
            <w:r>
              <w:rPr>
                <w:rFonts w:eastAsia="Times New Roman"/>
                <w:sz w:val="16"/>
                <w:szCs w:val="16"/>
              </w:rPr>
              <w:t>39,525,703</w:t>
            </w:r>
          </w:p>
        </w:tc>
        <w:tc>
          <w:tcPr>
            <w:tcW w:w="400" w:type="pct"/>
            <w:shd w:val="clear" w:color="auto" w:fill="FFFFFF"/>
            <w:vAlign w:val="bottom"/>
            <w:hideMark/>
          </w:tcPr>
          <w:p w14:paraId="1B69CD7E" w14:textId="77777777" w:rsidR="00000000" w:rsidRDefault="0053651E">
            <w:pPr>
              <w:jc w:val="right"/>
              <w:rPr>
                <w:rFonts w:eastAsia="Times New Roman"/>
                <w:sz w:val="16"/>
                <w:szCs w:val="16"/>
              </w:rPr>
            </w:pPr>
            <w:r>
              <w:rPr>
                <w:rFonts w:eastAsia="Times New Roman"/>
                <w:sz w:val="16"/>
                <w:szCs w:val="16"/>
              </w:rPr>
              <w:t>5,077,149</w:t>
            </w:r>
          </w:p>
        </w:tc>
        <w:tc>
          <w:tcPr>
            <w:tcW w:w="50" w:type="pct"/>
            <w:shd w:val="clear" w:color="auto" w:fill="FFFFFF"/>
            <w:vAlign w:val="bottom"/>
            <w:hideMark/>
          </w:tcPr>
          <w:p w14:paraId="44FD148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C09F40F" w14:textId="77777777" w:rsidR="00000000" w:rsidRDefault="0053651E">
            <w:pPr>
              <w:jc w:val="right"/>
              <w:rPr>
                <w:rFonts w:eastAsia="Times New Roman"/>
                <w:sz w:val="16"/>
                <w:szCs w:val="16"/>
              </w:rPr>
            </w:pPr>
            <w:r>
              <w:rPr>
                <w:rFonts w:eastAsia="Times New Roman"/>
                <w:sz w:val="16"/>
                <w:szCs w:val="16"/>
              </w:rPr>
              <w:t>34,448,554</w:t>
            </w:r>
          </w:p>
        </w:tc>
        <w:tc>
          <w:tcPr>
            <w:tcW w:w="50" w:type="pct"/>
            <w:shd w:val="clear" w:color="auto" w:fill="FFFFFF"/>
            <w:vAlign w:val="bottom"/>
            <w:hideMark/>
          </w:tcPr>
          <w:p w14:paraId="64E4BBF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60AD3E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86F5BF1"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21355F75" w14:textId="77777777">
        <w:trPr>
          <w:tblCellSpacing w:w="0" w:type="dxa"/>
        </w:trPr>
        <w:tc>
          <w:tcPr>
            <w:tcW w:w="50" w:type="pct"/>
            <w:shd w:val="clear" w:color="auto" w:fill="CCEEFF"/>
            <w:vAlign w:val="bottom"/>
            <w:hideMark/>
          </w:tcPr>
          <w:p w14:paraId="4E2C797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B3CD633" w14:textId="77777777" w:rsidR="00000000" w:rsidRDefault="0053651E">
            <w:pPr>
              <w:pStyle w:val="a3"/>
              <w:spacing w:before="0" w:beforeAutospacing="0" w:after="0" w:afterAutospacing="0"/>
              <w:rPr>
                <w:sz w:val="16"/>
                <w:szCs w:val="16"/>
              </w:rPr>
            </w:pPr>
            <w:r>
              <w:rPr>
                <w:sz w:val="16"/>
                <w:szCs w:val="16"/>
              </w:rPr>
              <w:t>INGLESIDE S.C.</w:t>
            </w:r>
          </w:p>
        </w:tc>
        <w:tc>
          <w:tcPr>
            <w:tcW w:w="150" w:type="pct"/>
            <w:shd w:val="clear" w:color="auto" w:fill="CCEEFF"/>
            <w:vAlign w:val="bottom"/>
            <w:hideMark/>
          </w:tcPr>
          <w:p w14:paraId="07F221B2"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6F0361DC" w14:textId="77777777" w:rsidR="00000000" w:rsidRDefault="0053651E">
            <w:pPr>
              <w:jc w:val="right"/>
              <w:rPr>
                <w:rFonts w:eastAsia="Times New Roman"/>
                <w:sz w:val="16"/>
                <w:szCs w:val="16"/>
              </w:rPr>
            </w:pPr>
            <w:r>
              <w:rPr>
                <w:rFonts w:eastAsia="Times New Roman"/>
                <w:sz w:val="16"/>
                <w:szCs w:val="16"/>
              </w:rPr>
              <w:t>10,416,726</w:t>
            </w:r>
          </w:p>
        </w:tc>
        <w:tc>
          <w:tcPr>
            <w:tcW w:w="550" w:type="pct"/>
            <w:shd w:val="clear" w:color="auto" w:fill="CCEEFF"/>
            <w:vAlign w:val="bottom"/>
            <w:hideMark/>
          </w:tcPr>
          <w:p w14:paraId="6FCE179A" w14:textId="77777777" w:rsidR="00000000" w:rsidRDefault="0053651E">
            <w:pPr>
              <w:jc w:val="right"/>
              <w:rPr>
                <w:rFonts w:eastAsia="Times New Roman"/>
                <w:sz w:val="16"/>
                <w:szCs w:val="16"/>
              </w:rPr>
            </w:pPr>
            <w:r>
              <w:rPr>
                <w:rFonts w:eastAsia="Times New Roman"/>
                <w:sz w:val="16"/>
                <w:szCs w:val="16"/>
              </w:rPr>
              <w:t>17,889,235</w:t>
            </w:r>
          </w:p>
        </w:tc>
        <w:tc>
          <w:tcPr>
            <w:tcW w:w="350" w:type="pct"/>
            <w:shd w:val="clear" w:color="auto" w:fill="CCEEFF"/>
            <w:vAlign w:val="bottom"/>
            <w:hideMark/>
          </w:tcPr>
          <w:p w14:paraId="506C5153" w14:textId="77777777" w:rsidR="00000000" w:rsidRDefault="0053651E">
            <w:pPr>
              <w:jc w:val="right"/>
              <w:rPr>
                <w:rFonts w:eastAsia="Times New Roman"/>
                <w:sz w:val="16"/>
                <w:szCs w:val="16"/>
              </w:rPr>
            </w:pPr>
            <w:r>
              <w:rPr>
                <w:rFonts w:eastAsia="Times New Roman"/>
                <w:sz w:val="16"/>
                <w:szCs w:val="16"/>
              </w:rPr>
              <w:t>302,317</w:t>
            </w:r>
          </w:p>
        </w:tc>
        <w:tc>
          <w:tcPr>
            <w:tcW w:w="300" w:type="pct"/>
            <w:shd w:val="clear" w:color="auto" w:fill="CCEEFF"/>
            <w:vAlign w:val="bottom"/>
            <w:hideMark/>
          </w:tcPr>
          <w:p w14:paraId="6678CA05" w14:textId="77777777" w:rsidR="00000000" w:rsidRDefault="0053651E">
            <w:pPr>
              <w:jc w:val="right"/>
              <w:rPr>
                <w:rFonts w:eastAsia="Times New Roman"/>
                <w:sz w:val="16"/>
                <w:szCs w:val="16"/>
              </w:rPr>
            </w:pPr>
            <w:r>
              <w:rPr>
                <w:rFonts w:eastAsia="Times New Roman"/>
                <w:sz w:val="16"/>
                <w:szCs w:val="16"/>
              </w:rPr>
              <w:t>10,416,726</w:t>
            </w:r>
          </w:p>
        </w:tc>
        <w:tc>
          <w:tcPr>
            <w:tcW w:w="450" w:type="pct"/>
            <w:shd w:val="clear" w:color="auto" w:fill="CCEEFF"/>
            <w:vAlign w:val="bottom"/>
            <w:hideMark/>
          </w:tcPr>
          <w:p w14:paraId="42EB1F19" w14:textId="77777777" w:rsidR="00000000" w:rsidRDefault="0053651E">
            <w:pPr>
              <w:jc w:val="right"/>
              <w:rPr>
                <w:rFonts w:eastAsia="Times New Roman"/>
                <w:sz w:val="16"/>
                <w:szCs w:val="16"/>
              </w:rPr>
            </w:pPr>
            <w:r>
              <w:rPr>
                <w:rFonts w:eastAsia="Times New Roman"/>
                <w:sz w:val="16"/>
                <w:szCs w:val="16"/>
              </w:rPr>
              <w:t>18,191,552</w:t>
            </w:r>
          </w:p>
        </w:tc>
        <w:tc>
          <w:tcPr>
            <w:tcW w:w="350" w:type="pct"/>
            <w:shd w:val="clear" w:color="auto" w:fill="CCEEFF"/>
            <w:vAlign w:val="bottom"/>
            <w:hideMark/>
          </w:tcPr>
          <w:p w14:paraId="5114D088" w14:textId="77777777" w:rsidR="00000000" w:rsidRDefault="0053651E">
            <w:pPr>
              <w:jc w:val="right"/>
              <w:rPr>
                <w:rFonts w:eastAsia="Times New Roman"/>
                <w:sz w:val="16"/>
                <w:szCs w:val="16"/>
              </w:rPr>
            </w:pPr>
            <w:r>
              <w:rPr>
                <w:rFonts w:eastAsia="Times New Roman"/>
                <w:sz w:val="16"/>
                <w:szCs w:val="16"/>
              </w:rPr>
              <w:t>28,608,278</w:t>
            </w:r>
          </w:p>
        </w:tc>
        <w:tc>
          <w:tcPr>
            <w:tcW w:w="400" w:type="pct"/>
            <w:shd w:val="clear" w:color="auto" w:fill="CCEEFF"/>
            <w:vAlign w:val="bottom"/>
            <w:hideMark/>
          </w:tcPr>
          <w:p w14:paraId="2690D211" w14:textId="77777777" w:rsidR="00000000" w:rsidRDefault="0053651E">
            <w:pPr>
              <w:jc w:val="right"/>
              <w:rPr>
                <w:rFonts w:eastAsia="Times New Roman"/>
                <w:sz w:val="16"/>
                <w:szCs w:val="16"/>
              </w:rPr>
            </w:pPr>
            <w:r>
              <w:rPr>
                <w:rFonts w:eastAsia="Times New Roman"/>
                <w:sz w:val="16"/>
                <w:szCs w:val="16"/>
              </w:rPr>
              <w:t>3,610,361</w:t>
            </w:r>
          </w:p>
        </w:tc>
        <w:tc>
          <w:tcPr>
            <w:tcW w:w="50" w:type="pct"/>
            <w:shd w:val="clear" w:color="auto" w:fill="CCEEFF"/>
            <w:vAlign w:val="bottom"/>
            <w:hideMark/>
          </w:tcPr>
          <w:p w14:paraId="1CD795C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59A4864" w14:textId="77777777" w:rsidR="00000000" w:rsidRDefault="0053651E">
            <w:pPr>
              <w:jc w:val="right"/>
              <w:rPr>
                <w:rFonts w:eastAsia="Times New Roman"/>
                <w:sz w:val="16"/>
                <w:szCs w:val="16"/>
              </w:rPr>
            </w:pPr>
            <w:r>
              <w:rPr>
                <w:rFonts w:eastAsia="Times New Roman"/>
                <w:sz w:val="16"/>
                <w:szCs w:val="16"/>
              </w:rPr>
              <w:t>24,997,917</w:t>
            </w:r>
          </w:p>
        </w:tc>
        <w:tc>
          <w:tcPr>
            <w:tcW w:w="50" w:type="pct"/>
            <w:shd w:val="clear" w:color="auto" w:fill="CCEEFF"/>
            <w:vAlign w:val="bottom"/>
            <w:hideMark/>
          </w:tcPr>
          <w:p w14:paraId="5AD7EE4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8DD24B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6D62AD1"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F42C1C1" w14:textId="77777777">
        <w:trPr>
          <w:tblCellSpacing w:w="0" w:type="dxa"/>
        </w:trPr>
        <w:tc>
          <w:tcPr>
            <w:tcW w:w="50" w:type="pct"/>
            <w:shd w:val="clear" w:color="auto" w:fill="FFFFFF"/>
            <w:vAlign w:val="bottom"/>
            <w:hideMark/>
          </w:tcPr>
          <w:p w14:paraId="179BC29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D846EA6" w14:textId="77777777" w:rsidR="00000000" w:rsidRDefault="0053651E">
            <w:pPr>
              <w:pStyle w:val="a3"/>
              <w:spacing w:before="0" w:beforeAutospacing="0" w:after="0" w:afterAutospacing="0"/>
              <w:rPr>
                <w:sz w:val="16"/>
                <w:szCs w:val="16"/>
              </w:rPr>
            </w:pPr>
            <w:r>
              <w:rPr>
                <w:sz w:val="16"/>
                <w:szCs w:val="16"/>
              </w:rPr>
              <w:t>WILKENS BELTWAY PLAZA</w:t>
            </w:r>
          </w:p>
        </w:tc>
        <w:tc>
          <w:tcPr>
            <w:tcW w:w="150" w:type="pct"/>
            <w:shd w:val="clear" w:color="auto" w:fill="FFFFFF"/>
            <w:vAlign w:val="bottom"/>
            <w:hideMark/>
          </w:tcPr>
          <w:p w14:paraId="6C95A9B3"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449C183C" w14:textId="77777777" w:rsidR="00000000" w:rsidRDefault="0053651E">
            <w:pPr>
              <w:jc w:val="right"/>
              <w:rPr>
                <w:rFonts w:eastAsia="Times New Roman"/>
                <w:sz w:val="16"/>
                <w:szCs w:val="16"/>
              </w:rPr>
            </w:pPr>
            <w:r>
              <w:rPr>
                <w:rFonts w:eastAsia="Times New Roman"/>
                <w:sz w:val="16"/>
                <w:szCs w:val="16"/>
              </w:rPr>
              <w:t>9,948,235</w:t>
            </w:r>
          </w:p>
        </w:tc>
        <w:tc>
          <w:tcPr>
            <w:tcW w:w="550" w:type="pct"/>
            <w:shd w:val="clear" w:color="auto" w:fill="FFFFFF"/>
            <w:vAlign w:val="bottom"/>
            <w:hideMark/>
          </w:tcPr>
          <w:p w14:paraId="335A9854" w14:textId="77777777" w:rsidR="00000000" w:rsidRDefault="0053651E">
            <w:pPr>
              <w:jc w:val="right"/>
              <w:rPr>
                <w:rFonts w:eastAsia="Times New Roman"/>
                <w:sz w:val="16"/>
                <w:szCs w:val="16"/>
              </w:rPr>
            </w:pPr>
            <w:r>
              <w:rPr>
                <w:rFonts w:eastAsia="Times New Roman"/>
                <w:sz w:val="16"/>
                <w:szCs w:val="16"/>
              </w:rPr>
              <w:t>22,125,942</w:t>
            </w:r>
          </w:p>
        </w:tc>
        <w:tc>
          <w:tcPr>
            <w:tcW w:w="350" w:type="pct"/>
            <w:shd w:val="clear" w:color="auto" w:fill="FFFFFF"/>
            <w:vAlign w:val="bottom"/>
            <w:hideMark/>
          </w:tcPr>
          <w:p w14:paraId="3592A2E3" w14:textId="77777777" w:rsidR="00000000" w:rsidRDefault="0053651E">
            <w:pPr>
              <w:jc w:val="right"/>
              <w:rPr>
                <w:rFonts w:eastAsia="Times New Roman"/>
                <w:sz w:val="16"/>
                <w:szCs w:val="16"/>
              </w:rPr>
            </w:pPr>
            <w:r>
              <w:rPr>
                <w:rFonts w:eastAsia="Times New Roman"/>
                <w:sz w:val="16"/>
                <w:szCs w:val="16"/>
              </w:rPr>
              <w:t>1,495,965</w:t>
            </w:r>
          </w:p>
        </w:tc>
        <w:tc>
          <w:tcPr>
            <w:tcW w:w="300" w:type="pct"/>
            <w:shd w:val="clear" w:color="auto" w:fill="FFFFFF"/>
            <w:vAlign w:val="bottom"/>
            <w:hideMark/>
          </w:tcPr>
          <w:p w14:paraId="557FA62C" w14:textId="77777777" w:rsidR="00000000" w:rsidRDefault="0053651E">
            <w:pPr>
              <w:jc w:val="right"/>
              <w:rPr>
                <w:rFonts w:eastAsia="Times New Roman"/>
                <w:sz w:val="16"/>
                <w:szCs w:val="16"/>
              </w:rPr>
            </w:pPr>
            <w:r>
              <w:rPr>
                <w:rFonts w:eastAsia="Times New Roman"/>
                <w:sz w:val="16"/>
                <w:szCs w:val="16"/>
              </w:rPr>
              <w:t>9,948,235</w:t>
            </w:r>
          </w:p>
        </w:tc>
        <w:tc>
          <w:tcPr>
            <w:tcW w:w="450" w:type="pct"/>
            <w:shd w:val="clear" w:color="auto" w:fill="FFFFFF"/>
            <w:vAlign w:val="bottom"/>
            <w:hideMark/>
          </w:tcPr>
          <w:p w14:paraId="1D16B94F" w14:textId="77777777" w:rsidR="00000000" w:rsidRDefault="0053651E">
            <w:pPr>
              <w:jc w:val="right"/>
              <w:rPr>
                <w:rFonts w:eastAsia="Times New Roman"/>
                <w:sz w:val="16"/>
                <w:szCs w:val="16"/>
              </w:rPr>
            </w:pPr>
            <w:r>
              <w:rPr>
                <w:rFonts w:eastAsia="Times New Roman"/>
                <w:sz w:val="16"/>
                <w:szCs w:val="16"/>
              </w:rPr>
              <w:t>23,621,907</w:t>
            </w:r>
          </w:p>
        </w:tc>
        <w:tc>
          <w:tcPr>
            <w:tcW w:w="350" w:type="pct"/>
            <w:shd w:val="clear" w:color="auto" w:fill="FFFFFF"/>
            <w:vAlign w:val="bottom"/>
            <w:hideMark/>
          </w:tcPr>
          <w:p w14:paraId="0BCFBE94" w14:textId="77777777" w:rsidR="00000000" w:rsidRDefault="0053651E">
            <w:pPr>
              <w:jc w:val="right"/>
              <w:rPr>
                <w:rFonts w:eastAsia="Times New Roman"/>
                <w:sz w:val="16"/>
                <w:szCs w:val="16"/>
              </w:rPr>
            </w:pPr>
            <w:r>
              <w:rPr>
                <w:rFonts w:eastAsia="Times New Roman"/>
                <w:sz w:val="16"/>
                <w:szCs w:val="16"/>
              </w:rPr>
              <w:t>33,570,142</w:t>
            </w:r>
          </w:p>
        </w:tc>
        <w:tc>
          <w:tcPr>
            <w:tcW w:w="400" w:type="pct"/>
            <w:shd w:val="clear" w:color="auto" w:fill="FFFFFF"/>
            <w:vAlign w:val="bottom"/>
            <w:hideMark/>
          </w:tcPr>
          <w:p w14:paraId="3BCEF40E" w14:textId="77777777" w:rsidR="00000000" w:rsidRDefault="0053651E">
            <w:pPr>
              <w:jc w:val="right"/>
              <w:rPr>
                <w:rFonts w:eastAsia="Times New Roman"/>
                <w:sz w:val="16"/>
                <w:szCs w:val="16"/>
              </w:rPr>
            </w:pPr>
            <w:r>
              <w:rPr>
                <w:rFonts w:eastAsia="Times New Roman"/>
                <w:sz w:val="16"/>
                <w:szCs w:val="16"/>
              </w:rPr>
              <w:t>3,820,091</w:t>
            </w:r>
          </w:p>
        </w:tc>
        <w:tc>
          <w:tcPr>
            <w:tcW w:w="50" w:type="pct"/>
            <w:shd w:val="clear" w:color="auto" w:fill="FFFFFF"/>
            <w:vAlign w:val="bottom"/>
            <w:hideMark/>
          </w:tcPr>
          <w:p w14:paraId="0D75911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24B9DDB" w14:textId="77777777" w:rsidR="00000000" w:rsidRDefault="0053651E">
            <w:pPr>
              <w:jc w:val="right"/>
              <w:rPr>
                <w:rFonts w:eastAsia="Times New Roman"/>
                <w:sz w:val="16"/>
                <w:szCs w:val="16"/>
              </w:rPr>
            </w:pPr>
            <w:r>
              <w:rPr>
                <w:rFonts w:eastAsia="Times New Roman"/>
                <w:sz w:val="16"/>
                <w:szCs w:val="16"/>
              </w:rPr>
              <w:t>29,750,051</w:t>
            </w:r>
          </w:p>
        </w:tc>
        <w:tc>
          <w:tcPr>
            <w:tcW w:w="50" w:type="pct"/>
            <w:shd w:val="clear" w:color="auto" w:fill="FFFFFF"/>
            <w:vAlign w:val="bottom"/>
            <w:hideMark/>
          </w:tcPr>
          <w:p w14:paraId="59F3C27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778E67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42F224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7D4E204F" w14:textId="77777777">
        <w:trPr>
          <w:tblCellSpacing w:w="0" w:type="dxa"/>
        </w:trPr>
        <w:tc>
          <w:tcPr>
            <w:tcW w:w="50" w:type="pct"/>
            <w:shd w:val="clear" w:color="auto" w:fill="CCEEFF"/>
            <w:vAlign w:val="bottom"/>
            <w:hideMark/>
          </w:tcPr>
          <w:p w14:paraId="4F0FD95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E128CDE" w14:textId="77777777" w:rsidR="00000000" w:rsidRDefault="0053651E">
            <w:pPr>
              <w:pStyle w:val="a3"/>
              <w:spacing w:before="0" w:beforeAutospacing="0" w:after="0" w:afterAutospacing="0"/>
              <w:rPr>
                <w:sz w:val="16"/>
                <w:szCs w:val="16"/>
              </w:rPr>
            </w:pPr>
            <w:r>
              <w:rPr>
                <w:sz w:val="16"/>
                <w:szCs w:val="16"/>
              </w:rPr>
              <w:t>YORK ROAD PLAZA</w:t>
            </w:r>
          </w:p>
        </w:tc>
        <w:tc>
          <w:tcPr>
            <w:tcW w:w="150" w:type="pct"/>
            <w:shd w:val="clear" w:color="auto" w:fill="CCEEFF"/>
            <w:vAlign w:val="bottom"/>
            <w:hideMark/>
          </w:tcPr>
          <w:p w14:paraId="18B2F073"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23BF306A" w14:textId="77777777" w:rsidR="00000000" w:rsidRDefault="0053651E">
            <w:pPr>
              <w:jc w:val="right"/>
              <w:rPr>
                <w:rFonts w:eastAsia="Times New Roman"/>
                <w:sz w:val="16"/>
                <w:szCs w:val="16"/>
              </w:rPr>
            </w:pPr>
            <w:r>
              <w:rPr>
                <w:rFonts w:eastAsia="Times New Roman"/>
                <w:sz w:val="16"/>
                <w:szCs w:val="16"/>
              </w:rPr>
              <w:t>4,276,715</w:t>
            </w:r>
          </w:p>
        </w:tc>
        <w:tc>
          <w:tcPr>
            <w:tcW w:w="550" w:type="pct"/>
            <w:shd w:val="clear" w:color="auto" w:fill="CCEEFF"/>
            <w:vAlign w:val="bottom"/>
            <w:hideMark/>
          </w:tcPr>
          <w:p w14:paraId="78B114AB" w14:textId="77777777" w:rsidR="00000000" w:rsidRDefault="0053651E">
            <w:pPr>
              <w:jc w:val="right"/>
              <w:rPr>
                <w:rFonts w:eastAsia="Times New Roman"/>
                <w:sz w:val="16"/>
                <w:szCs w:val="16"/>
              </w:rPr>
            </w:pPr>
            <w:r>
              <w:rPr>
                <w:rFonts w:eastAsia="Times New Roman"/>
                <w:sz w:val="16"/>
                <w:szCs w:val="16"/>
              </w:rPr>
              <w:t>37,205,757</w:t>
            </w:r>
          </w:p>
        </w:tc>
        <w:tc>
          <w:tcPr>
            <w:tcW w:w="350" w:type="pct"/>
            <w:shd w:val="clear" w:color="auto" w:fill="CCEEFF"/>
            <w:vAlign w:val="bottom"/>
            <w:hideMark/>
          </w:tcPr>
          <w:p w14:paraId="3C72CCDF" w14:textId="77777777" w:rsidR="00000000" w:rsidRDefault="0053651E">
            <w:pPr>
              <w:jc w:val="right"/>
              <w:rPr>
                <w:rFonts w:eastAsia="Times New Roman"/>
                <w:sz w:val="16"/>
                <w:szCs w:val="16"/>
              </w:rPr>
            </w:pPr>
            <w:r>
              <w:rPr>
                <w:rFonts w:eastAsia="Times New Roman"/>
                <w:sz w:val="16"/>
                <w:szCs w:val="16"/>
              </w:rPr>
              <w:t>191,525</w:t>
            </w:r>
          </w:p>
        </w:tc>
        <w:tc>
          <w:tcPr>
            <w:tcW w:w="300" w:type="pct"/>
            <w:shd w:val="clear" w:color="auto" w:fill="CCEEFF"/>
            <w:vAlign w:val="bottom"/>
            <w:hideMark/>
          </w:tcPr>
          <w:p w14:paraId="1B2A5E75" w14:textId="77777777" w:rsidR="00000000" w:rsidRDefault="0053651E">
            <w:pPr>
              <w:jc w:val="right"/>
              <w:rPr>
                <w:rFonts w:eastAsia="Times New Roman"/>
                <w:sz w:val="16"/>
                <w:szCs w:val="16"/>
              </w:rPr>
            </w:pPr>
            <w:r>
              <w:rPr>
                <w:rFonts w:eastAsia="Times New Roman"/>
                <w:sz w:val="16"/>
                <w:szCs w:val="16"/>
              </w:rPr>
              <w:t>4,276,715</w:t>
            </w:r>
          </w:p>
        </w:tc>
        <w:tc>
          <w:tcPr>
            <w:tcW w:w="450" w:type="pct"/>
            <w:shd w:val="clear" w:color="auto" w:fill="CCEEFF"/>
            <w:vAlign w:val="bottom"/>
            <w:hideMark/>
          </w:tcPr>
          <w:p w14:paraId="43766101" w14:textId="77777777" w:rsidR="00000000" w:rsidRDefault="0053651E">
            <w:pPr>
              <w:jc w:val="right"/>
              <w:rPr>
                <w:rFonts w:eastAsia="Times New Roman"/>
                <w:sz w:val="16"/>
                <w:szCs w:val="16"/>
              </w:rPr>
            </w:pPr>
            <w:r>
              <w:rPr>
                <w:rFonts w:eastAsia="Times New Roman"/>
                <w:sz w:val="16"/>
                <w:szCs w:val="16"/>
              </w:rPr>
              <w:t>37,397,282</w:t>
            </w:r>
          </w:p>
        </w:tc>
        <w:tc>
          <w:tcPr>
            <w:tcW w:w="350" w:type="pct"/>
            <w:shd w:val="clear" w:color="auto" w:fill="CCEEFF"/>
            <w:vAlign w:val="bottom"/>
            <w:hideMark/>
          </w:tcPr>
          <w:p w14:paraId="2F744D8A" w14:textId="77777777" w:rsidR="00000000" w:rsidRDefault="0053651E">
            <w:pPr>
              <w:jc w:val="right"/>
              <w:rPr>
                <w:rFonts w:eastAsia="Times New Roman"/>
                <w:sz w:val="16"/>
                <w:szCs w:val="16"/>
              </w:rPr>
            </w:pPr>
            <w:r>
              <w:rPr>
                <w:rFonts w:eastAsia="Times New Roman"/>
                <w:sz w:val="16"/>
                <w:szCs w:val="16"/>
              </w:rPr>
              <w:t>41,673,997</w:t>
            </w:r>
          </w:p>
        </w:tc>
        <w:tc>
          <w:tcPr>
            <w:tcW w:w="400" w:type="pct"/>
            <w:shd w:val="clear" w:color="auto" w:fill="CCEEFF"/>
            <w:vAlign w:val="bottom"/>
            <w:hideMark/>
          </w:tcPr>
          <w:p w14:paraId="1BCF695F" w14:textId="77777777" w:rsidR="00000000" w:rsidRDefault="0053651E">
            <w:pPr>
              <w:jc w:val="right"/>
              <w:rPr>
                <w:rFonts w:eastAsia="Times New Roman"/>
                <w:sz w:val="16"/>
                <w:szCs w:val="16"/>
              </w:rPr>
            </w:pPr>
            <w:r>
              <w:rPr>
                <w:rFonts w:eastAsia="Times New Roman"/>
                <w:sz w:val="16"/>
                <w:szCs w:val="16"/>
              </w:rPr>
              <w:t>5,805,450</w:t>
            </w:r>
          </w:p>
        </w:tc>
        <w:tc>
          <w:tcPr>
            <w:tcW w:w="50" w:type="pct"/>
            <w:shd w:val="clear" w:color="auto" w:fill="CCEEFF"/>
            <w:vAlign w:val="bottom"/>
            <w:hideMark/>
          </w:tcPr>
          <w:p w14:paraId="7F0A2AD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41B59D2" w14:textId="77777777" w:rsidR="00000000" w:rsidRDefault="0053651E">
            <w:pPr>
              <w:jc w:val="right"/>
              <w:rPr>
                <w:rFonts w:eastAsia="Times New Roman"/>
                <w:sz w:val="16"/>
                <w:szCs w:val="16"/>
              </w:rPr>
            </w:pPr>
            <w:r>
              <w:rPr>
                <w:rFonts w:eastAsia="Times New Roman"/>
                <w:sz w:val="16"/>
                <w:szCs w:val="16"/>
              </w:rPr>
              <w:t>35,868,547</w:t>
            </w:r>
          </w:p>
        </w:tc>
        <w:tc>
          <w:tcPr>
            <w:tcW w:w="50" w:type="pct"/>
            <w:shd w:val="clear" w:color="auto" w:fill="CCEEFF"/>
            <w:vAlign w:val="bottom"/>
            <w:hideMark/>
          </w:tcPr>
          <w:p w14:paraId="685198B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D5D877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823B7C7"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47F0F49" w14:textId="77777777">
        <w:trPr>
          <w:tblCellSpacing w:w="0" w:type="dxa"/>
        </w:trPr>
        <w:tc>
          <w:tcPr>
            <w:tcW w:w="50" w:type="pct"/>
            <w:shd w:val="clear" w:color="auto" w:fill="FFFFFF"/>
            <w:vAlign w:val="bottom"/>
            <w:hideMark/>
          </w:tcPr>
          <w:p w14:paraId="393A80C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46BBC99" w14:textId="77777777" w:rsidR="00000000" w:rsidRDefault="0053651E">
            <w:pPr>
              <w:pStyle w:val="a3"/>
              <w:spacing w:before="0" w:beforeAutospacing="0" w:after="0" w:afterAutospacing="0"/>
              <w:rPr>
                <w:sz w:val="16"/>
                <w:szCs w:val="16"/>
              </w:rPr>
            </w:pPr>
            <w:r>
              <w:rPr>
                <w:sz w:val="16"/>
                <w:szCs w:val="16"/>
              </w:rPr>
              <w:t>PUTTY HILL PLAZA</w:t>
            </w:r>
          </w:p>
        </w:tc>
        <w:tc>
          <w:tcPr>
            <w:tcW w:w="150" w:type="pct"/>
            <w:shd w:val="clear" w:color="auto" w:fill="FFFFFF"/>
            <w:vAlign w:val="bottom"/>
            <w:hideMark/>
          </w:tcPr>
          <w:p w14:paraId="042EECB0"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173ACAC5" w14:textId="77777777" w:rsidR="00000000" w:rsidRDefault="0053651E">
            <w:pPr>
              <w:jc w:val="right"/>
              <w:rPr>
                <w:rFonts w:eastAsia="Times New Roman"/>
                <w:sz w:val="16"/>
                <w:szCs w:val="16"/>
              </w:rPr>
            </w:pPr>
            <w:r>
              <w:rPr>
                <w:rFonts w:eastAsia="Times New Roman"/>
                <w:sz w:val="16"/>
                <w:szCs w:val="16"/>
              </w:rPr>
              <w:t>4,192,152</w:t>
            </w:r>
          </w:p>
        </w:tc>
        <w:tc>
          <w:tcPr>
            <w:tcW w:w="550" w:type="pct"/>
            <w:shd w:val="clear" w:color="auto" w:fill="FFFFFF"/>
            <w:vAlign w:val="bottom"/>
            <w:hideMark/>
          </w:tcPr>
          <w:p w14:paraId="4581AF33" w14:textId="77777777" w:rsidR="00000000" w:rsidRDefault="0053651E">
            <w:pPr>
              <w:jc w:val="right"/>
              <w:rPr>
                <w:rFonts w:eastAsia="Times New Roman"/>
                <w:sz w:val="16"/>
                <w:szCs w:val="16"/>
              </w:rPr>
            </w:pPr>
            <w:r>
              <w:rPr>
                <w:rFonts w:eastAsia="Times New Roman"/>
                <w:sz w:val="16"/>
                <w:szCs w:val="16"/>
              </w:rPr>
              <w:t>11,112,111</w:t>
            </w:r>
          </w:p>
        </w:tc>
        <w:tc>
          <w:tcPr>
            <w:tcW w:w="350" w:type="pct"/>
            <w:shd w:val="clear" w:color="auto" w:fill="FFFFFF"/>
            <w:vAlign w:val="bottom"/>
            <w:hideMark/>
          </w:tcPr>
          <w:p w14:paraId="1B2B03E2" w14:textId="77777777" w:rsidR="00000000" w:rsidRDefault="0053651E">
            <w:pPr>
              <w:jc w:val="right"/>
              <w:rPr>
                <w:rFonts w:eastAsia="Times New Roman"/>
                <w:sz w:val="16"/>
                <w:szCs w:val="16"/>
              </w:rPr>
            </w:pPr>
            <w:r>
              <w:rPr>
                <w:rFonts w:eastAsia="Times New Roman"/>
                <w:sz w:val="16"/>
                <w:szCs w:val="16"/>
              </w:rPr>
              <w:t>542,155</w:t>
            </w:r>
          </w:p>
        </w:tc>
        <w:tc>
          <w:tcPr>
            <w:tcW w:w="300" w:type="pct"/>
            <w:shd w:val="clear" w:color="auto" w:fill="FFFFFF"/>
            <w:vAlign w:val="bottom"/>
            <w:hideMark/>
          </w:tcPr>
          <w:p w14:paraId="5C40AC19" w14:textId="77777777" w:rsidR="00000000" w:rsidRDefault="0053651E">
            <w:pPr>
              <w:jc w:val="right"/>
              <w:rPr>
                <w:rFonts w:eastAsia="Times New Roman"/>
                <w:sz w:val="16"/>
                <w:szCs w:val="16"/>
              </w:rPr>
            </w:pPr>
            <w:r>
              <w:rPr>
                <w:rFonts w:eastAsia="Times New Roman"/>
                <w:sz w:val="16"/>
                <w:szCs w:val="16"/>
              </w:rPr>
              <w:t>4,192,152</w:t>
            </w:r>
          </w:p>
        </w:tc>
        <w:tc>
          <w:tcPr>
            <w:tcW w:w="450" w:type="pct"/>
            <w:shd w:val="clear" w:color="auto" w:fill="FFFFFF"/>
            <w:vAlign w:val="bottom"/>
            <w:hideMark/>
          </w:tcPr>
          <w:p w14:paraId="3817215C" w14:textId="77777777" w:rsidR="00000000" w:rsidRDefault="0053651E">
            <w:pPr>
              <w:jc w:val="right"/>
              <w:rPr>
                <w:rFonts w:eastAsia="Times New Roman"/>
                <w:sz w:val="16"/>
                <w:szCs w:val="16"/>
              </w:rPr>
            </w:pPr>
            <w:r>
              <w:rPr>
                <w:rFonts w:eastAsia="Times New Roman"/>
                <w:sz w:val="16"/>
                <w:szCs w:val="16"/>
              </w:rPr>
              <w:t>11,654,266</w:t>
            </w:r>
          </w:p>
        </w:tc>
        <w:tc>
          <w:tcPr>
            <w:tcW w:w="350" w:type="pct"/>
            <w:shd w:val="clear" w:color="auto" w:fill="FFFFFF"/>
            <w:vAlign w:val="bottom"/>
            <w:hideMark/>
          </w:tcPr>
          <w:p w14:paraId="6A679DF0" w14:textId="77777777" w:rsidR="00000000" w:rsidRDefault="0053651E">
            <w:pPr>
              <w:jc w:val="right"/>
              <w:rPr>
                <w:rFonts w:eastAsia="Times New Roman"/>
                <w:sz w:val="16"/>
                <w:szCs w:val="16"/>
              </w:rPr>
            </w:pPr>
            <w:r>
              <w:rPr>
                <w:rFonts w:eastAsia="Times New Roman"/>
                <w:sz w:val="16"/>
                <w:szCs w:val="16"/>
              </w:rPr>
              <w:t>15,846,418</w:t>
            </w:r>
          </w:p>
        </w:tc>
        <w:tc>
          <w:tcPr>
            <w:tcW w:w="400" w:type="pct"/>
            <w:shd w:val="clear" w:color="auto" w:fill="FFFFFF"/>
            <w:vAlign w:val="bottom"/>
            <w:hideMark/>
          </w:tcPr>
          <w:p w14:paraId="2422E006" w14:textId="77777777" w:rsidR="00000000" w:rsidRDefault="0053651E">
            <w:pPr>
              <w:jc w:val="right"/>
              <w:rPr>
                <w:rFonts w:eastAsia="Times New Roman"/>
                <w:sz w:val="16"/>
                <w:szCs w:val="16"/>
              </w:rPr>
            </w:pPr>
            <w:r>
              <w:rPr>
                <w:rFonts w:eastAsia="Times New Roman"/>
                <w:sz w:val="16"/>
                <w:szCs w:val="16"/>
              </w:rPr>
              <w:t>3,301,528</w:t>
            </w:r>
          </w:p>
        </w:tc>
        <w:tc>
          <w:tcPr>
            <w:tcW w:w="50" w:type="pct"/>
            <w:shd w:val="clear" w:color="auto" w:fill="FFFFFF"/>
            <w:vAlign w:val="bottom"/>
            <w:hideMark/>
          </w:tcPr>
          <w:p w14:paraId="68F905D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462FEA0" w14:textId="77777777" w:rsidR="00000000" w:rsidRDefault="0053651E">
            <w:pPr>
              <w:jc w:val="right"/>
              <w:rPr>
                <w:rFonts w:eastAsia="Times New Roman"/>
                <w:sz w:val="16"/>
                <w:szCs w:val="16"/>
              </w:rPr>
            </w:pPr>
            <w:r>
              <w:rPr>
                <w:rFonts w:eastAsia="Times New Roman"/>
                <w:sz w:val="16"/>
                <w:szCs w:val="16"/>
              </w:rPr>
              <w:t>12,544,890</w:t>
            </w:r>
          </w:p>
        </w:tc>
        <w:tc>
          <w:tcPr>
            <w:tcW w:w="50" w:type="pct"/>
            <w:shd w:val="clear" w:color="auto" w:fill="FFFFFF"/>
            <w:vAlign w:val="bottom"/>
            <w:hideMark/>
          </w:tcPr>
          <w:p w14:paraId="54CF05F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5246CE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173DA01"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3065A579" w14:textId="77777777">
        <w:trPr>
          <w:tblCellSpacing w:w="0" w:type="dxa"/>
        </w:trPr>
        <w:tc>
          <w:tcPr>
            <w:tcW w:w="50" w:type="pct"/>
            <w:shd w:val="clear" w:color="auto" w:fill="CCEEFF"/>
            <w:vAlign w:val="bottom"/>
            <w:hideMark/>
          </w:tcPr>
          <w:p w14:paraId="297A42D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262A61E" w14:textId="77777777" w:rsidR="00000000" w:rsidRDefault="0053651E">
            <w:pPr>
              <w:pStyle w:val="a3"/>
              <w:spacing w:before="0" w:beforeAutospacing="0" w:after="0" w:afterAutospacing="0"/>
              <w:rPr>
                <w:sz w:val="16"/>
                <w:szCs w:val="16"/>
              </w:rPr>
            </w:pPr>
            <w:r>
              <w:rPr>
                <w:sz w:val="16"/>
                <w:szCs w:val="16"/>
              </w:rPr>
              <w:t>SNOWDEN SQUARE S.C.</w:t>
            </w:r>
          </w:p>
        </w:tc>
        <w:tc>
          <w:tcPr>
            <w:tcW w:w="150" w:type="pct"/>
            <w:shd w:val="clear" w:color="auto" w:fill="CCEEFF"/>
            <w:vAlign w:val="bottom"/>
            <w:hideMark/>
          </w:tcPr>
          <w:p w14:paraId="2D8BA457"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612C7678" w14:textId="77777777" w:rsidR="00000000" w:rsidRDefault="0053651E">
            <w:pPr>
              <w:jc w:val="right"/>
              <w:rPr>
                <w:rFonts w:eastAsia="Times New Roman"/>
                <w:sz w:val="16"/>
                <w:szCs w:val="16"/>
              </w:rPr>
            </w:pPr>
            <w:r>
              <w:rPr>
                <w:rFonts w:eastAsia="Times New Roman"/>
                <w:sz w:val="16"/>
                <w:szCs w:val="16"/>
              </w:rPr>
              <w:t>1,929,402</w:t>
            </w:r>
          </w:p>
        </w:tc>
        <w:tc>
          <w:tcPr>
            <w:tcW w:w="550" w:type="pct"/>
            <w:shd w:val="clear" w:color="auto" w:fill="CCEEFF"/>
            <w:vAlign w:val="bottom"/>
            <w:hideMark/>
          </w:tcPr>
          <w:p w14:paraId="01C9C3C5" w14:textId="77777777" w:rsidR="00000000" w:rsidRDefault="0053651E">
            <w:pPr>
              <w:jc w:val="right"/>
              <w:rPr>
                <w:rFonts w:eastAsia="Times New Roman"/>
                <w:sz w:val="16"/>
                <w:szCs w:val="16"/>
              </w:rPr>
            </w:pPr>
            <w:r>
              <w:rPr>
                <w:rFonts w:eastAsia="Times New Roman"/>
                <w:sz w:val="16"/>
                <w:szCs w:val="16"/>
              </w:rPr>
              <w:t>4,557,934</w:t>
            </w:r>
          </w:p>
        </w:tc>
        <w:tc>
          <w:tcPr>
            <w:tcW w:w="350" w:type="pct"/>
            <w:shd w:val="clear" w:color="auto" w:fill="CCEEFF"/>
            <w:vAlign w:val="bottom"/>
            <w:hideMark/>
          </w:tcPr>
          <w:p w14:paraId="34681ECE" w14:textId="77777777" w:rsidR="00000000" w:rsidRDefault="0053651E">
            <w:pPr>
              <w:jc w:val="right"/>
              <w:rPr>
                <w:rFonts w:eastAsia="Times New Roman"/>
                <w:sz w:val="16"/>
                <w:szCs w:val="16"/>
              </w:rPr>
            </w:pPr>
            <w:r>
              <w:rPr>
                <w:rFonts w:eastAsia="Times New Roman"/>
                <w:sz w:val="16"/>
                <w:szCs w:val="16"/>
              </w:rPr>
              <w:t>5,155,349</w:t>
            </w:r>
          </w:p>
        </w:tc>
        <w:tc>
          <w:tcPr>
            <w:tcW w:w="300" w:type="pct"/>
            <w:shd w:val="clear" w:color="auto" w:fill="CCEEFF"/>
            <w:vAlign w:val="bottom"/>
            <w:hideMark/>
          </w:tcPr>
          <w:p w14:paraId="19728E32" w14:textId="77777777" w:rsidR="00000000" w:rsidRDefault="0053651E">
            <w:pPr>
              <w:jc w:val="right"/>
              <w:rPr>
                <w:rFonts w:eastAsia="Times New Roman"/>
                <w:sz w:val="16"/>
                <w:szCs w:val="16"/>
              </w:rPr>
            </w:pPr>
            <w:r>
              <w:rPr>
                <w:rFonts w:eastAsia="Times New Roman"/>
                <w:sz w:val="16"/>
                <w:szCs w:val="16"/>
              </w:rPr>
              <w:t>3,326,422</w:t>
            </w:r>
          </w:p>
        </w:tc>
        <w:tc>
          <w:tcPr>
            <w:tcW w:w="450" w:type="pct"/>
            <w:shd w:val="clear" w:color="auto" w:fill="CCEEFF"/>
            <w:vAlign w:val="bottom"/>
            <w:hideMark/>
          </w:tcPr>
          <w:p w14:paraId="5AC5D7F9" w14:textId="77777777" w:rsidR="00000000" w:rsidRDefault="0053651E">
            <w:pPr>
              <w:jc w:val="right"/>
              <w:rPr>
                <w:rFonts w:eastAsia="Times New Roman"/>
                <w:sz w:val="16"/>
                <w:szCs w:val="16"/>
              </w:rPr>
            </w:pPr>
            <w:r>
              <w:rPr>
                <w:rFonts w:eastAsia="Times New Roman"/>
                <w:sz w:val="16"/>
                <w:szCs w:val="16"/>
              </w:rPr>
              <w:t>8,316,263</w:t>
            </w:r>
          </w:p>
        </w:tc>
        <w:tc>
          <w:tcPr>
            <w:tcW w:w="350" w:type="pct"/>
            <w:shd w:val="clear" w:color="auto" w:fill="CCEEFF"/>
            <w:vAlign w:val="bottom"/>
            <w:hideMark/>
          </w:tcPr>
          <w:p w14:paraId="72FB540E" w14:textId="77777777" w:rsidR="00000000" w:rsidRDefault="0053651E">
            <w:pPr>
              <w:jc w:val="right"/>
              <w:rPr>
                <w:rFonts w:eastAsia="Times New Roman"/>
                <w:sz w:val="16"/>
                <w:szCs w:val="16"/>
              </w:rPr>
            </w:pPr>
            <w:r>
              <w:rPr>
                <w:rFonts w:eastAsia="Times New Roman"/>
                <w:sz w:val="16"/>
                <w:szCs w:val="16"/>
              </w:rPr>
              <w:t>11,642,685</w:t>
            </w:r>
          </w:p>
        </w:tc>
        <w:tc>
          <w:tcPr>
            <w:tcW w:w="400" w:type="pct"/>
            <w:shd w:val="clear" w:color="auto" w:fill="CCEEFF"/>
            <w:vAlign w:val="bottom"/>
            <w:hideMark/>
          </w:tcPr>
          <w:p w14:paraId="2ED48CCE" w14:textId="77777777" w:rsidR="00000000" w:rsidRDefault="0053651E">
            <w:pPr>
              <w:jc w:val="right"/>
              <w:rPr>
                <w:rFonts w:eastAsia="Times New Roman"/>
                <w:sz w:val="16"/>
                <w:szCs w:val="16"/>
              </w:rPr>
            </w:pPr>
            <w:r>
              <w:rPr>
                <w:rFonts w:eastAsia="Times New Roman"/>
                <w:sz w:val="16"/>
                <w:szCs w:val="16"/>
              </w:rPr>
              <w:t>2,083,927</w:t>
            </w:r>
          </w:p>
        </w:tc>
        <w:tc>
          <w:tcPr>
            <w:tcW w:w="50" w:type="pct"/>
            <w:shd w:val="clear" w:color="auto" w:fill="CCEEFF"/>
            <w:vAlign w:val="bottom"/>
            <w:hideMark/>
          </w:tcPr>
          <w:p w14:paraId="2B2A8E1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A998DE7" w14:textId="77777777" w:rsidR="00000000" w:rsidRDefault="0053651E">
            <w:pPr>
              <w:jc w:val="right"/>
              <w:rPr>
                <w:rFonts w:eastAsia="Times New Roman"/>
                <w:sz w:val="16"/>
                <w:szCs w:val="16"/>
              </w:rPr>
            </w:pPr>
            <w:r>
              <w:rPr>
                <w:rFonts w:eastAsia="Times New Roman"/>
                <w:sz w:val="16"/>
                <w:szCs w:val="16"/>
              </w:rPr>
              <w:t>9,558,758</w:t>
            </w:r>
          </w:p>
        </w:tc>
        <w:tc>
          <w:tcPr>
            <w:tcW w:w="50" w:type="pct"/>
            <w:shd w:val="clear" w:color="auto" w:fill="CCEEFF"/>
            <w:vAlign w:val="bottom"/>
            <w:hideMark/>
          </w:tcPr>
          <w:p w14:paraId="0FE59B5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684B92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CBF4277"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436BC573" w14:textId="77777777">
        <w:trPr>
          <w:tblCellSpacing w:w="0" w:type="dxa"/>
        </w:trPr>
        <w:tc>
          <w:tcPr>
            <w:tcW w:w="50" w:type="pct"/>
            <w:shd w:val="clear" w:color="auto" w:fill="FFFFFF"/>
            <w:vAlign w:val="bottom"/>
            <w:hideMark/>
          </w:tcPr>
          <w:p w14:paraId="4689EF6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4B2BB41" w14:textId="77777777" w:rsidR="00000000" w:rsidRDefault="0053651E">
            <w:pPr>
              <w:pStyle w:val="a3"/>
              <w:spacing w:before="0" w:beforeAutospacing="0" w:after="0" w:afterAutospacing="0"/>
              <w:rPr>
                <w:sz w:val="16"/>
                <w:szCs w:val="16"/>
              </w:rPr>
            </w:pPr>
            <w:r>
              <w:rPr>
                <w:sz w:val="16"/>
                <w:szCs w:val="16"/>
              </w:rPr>
              <w:t>COLUMBIA CROSSING</w:t>
            </w:r>
          </w:p>
        </w:tc>
        <w:tc>
          <w:tcPr>
            <w:tcW w:w="150" w:type="pct"/>
            <w:shd w:val="clear" w:color="auto" w:fill="FFFFFF"/>
            <w:vAlign w:val="bottom"/>
            <w:hideMark/>
          </w:tcPr>
          <w:p w14:paraId="47C68F38"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277132AF" w14:textId="77777777" w:rsidR="00000000" w:rsidRDefault="0053651E">
            <w:pPr>
              <w:jc w:val="right"/>
              <w:rPr>
                <w:rFonts w:eastAsia="Times New Roman"/>
                <w:sz w:val="16"/>
                <w:szCs w:val="16"/>
              </w:rPr>
            </w:pPr>
            <w:r>
              <w:rPr>
                <w:rFonts w:eastAsia="Times New Roman"/>
                <w:sz w:val="16"/>
                <w:szCs w:val="16"/>
              </w:rPr>
              <w:t>3,612,550</w:t>
            </w:r>
          </w:p>
        </w:tc>
        <w:tc>
          <w:tcPr>
            <w:tcW w:w="550" w:type="pct"/>
            <w:shd w:val="clear" w:color="auto" w:fill="FFFFFF"/>
            <w:vAlign w:val="bottom"/>
            <w:hideMark/>
          </w:tcPr>
          <w:p w14:paraId="3CB22729" w14:textId="77777777" w:rsidR="00000000" w:rsidRDefault="0053651E">
            <w:pPr>
              <w:jc w:val="right"/>
              <w:rPr>
                <w:rFonts w:eastAsia="Times New Roman"/>
                <w:sz w:val="16"/>
                <w:szCs w:val="16"/>
              </w:rPr>
            </w:pPr>
            <w:r>
              <w:rPr>
                <w:rFonts w:eastAsia="Times New Roman"/>
                <w:sz w:val="16"/>
                <w:szCs w:val="16"/>
              </w:rPr>
              <w:t>34,344,509</w:t>
            </w:r>
          </w:p>
        </w:tc>
        <w:tc>
          <w:tcPr>
            <w:tcW w:w="350" w:type="pct"/>
            <w:shd w:val="clear" w:color="auto" w:fill="FFFFFF"/>
            <w:vAlign w:val="bottom"/>
            <w:hideMark/>
          </w:tcPr>
          <w:p w14:paraId="19952398" w14:textId="77777777" w:rsidR="00000000" w:rsidRDefault="0053651E">
            <w:pPr>
              <w:jc w:val="right"/>
              <w:rPr>
                <w:rFonts w:eastAsia="Times New Roman"/>
                <w:sz w:val="16"/>
                <w:szCs w:val="16"/>
              </w:rPr>
            </w:pPr>
            <w:r>
              <w:rPr>
                <w:rFonts w:eastAsia="Times New Roman"/>
                <w:sz w:val="16"/>
                <w:szCs w:val="16"/>
              </w:rPr>
              <w:t>1,244,651</w:t>
            </w:r>
          </w:p>
        </w:tc>
        <w:tc>
          <w:tcPr>
            <w:tcW w:w="300" w:type="pct"/>
            <w:shd w:val="clear" w:color="auto" w:fill="FFFFFF"/>
            <w:vAlign w:val="bottom"/>
            <w:hideMark/>
          </w:tcPr>
          <w:p w14:paraId="09832D94" w14:textId="77777777" w:rsidR="00000000" w:rsidRDefault="0053651E">
            <w:pPr>
              <w:jc w:val="right"/>
              <w:rPr>
                <w:rFonts w:eastAsia="Times New Roman"/>
                <w:sz w:val="16"/>
                <w:szCs w:val="16"/>
              </w:rPr>
            </w:pPr>
            <w:r>
              <w:rPr>
                <w:rFonts w:eastAsia="Times New Roman"/>
                <w:sz w:val="16"/>
                <w:szCs w:val="16"/>
              </w:rPr>
              <w:t>3,612,550</w:t>
            </w:r>
          </w:p>
        </w:tc>
        <w:tc>
          <w:tcPr>
            <w:tcW w:w="450" w:type="pct"/>
            <w:shd w:val="clear" w:color="auto" w:fill="FFFFFF"/>
            <w:vAlign w:val="bottom"/>
            <w:hideMark/>
          </w:tcPr>
          <w:p w14:paraId="08783274" w14:textId="77777777" w:rsidR="00000000" w:rsidRDefault="0053651E">
            <w:pPr>
              <w:jc w:val="right"/>
              <w:rPr>
                <w:rFonts w:eastAsia="Times New Roman"/>
                <w:sz w:val="16"/>
                <w:szCs w:val="16"/>
              </w:rPr>
            </w:pPr>
            <w:r>
              <w:rPr>
                <w:rFonts w:eastAsia="Times New Roman"/>
                <w:sz w:val="16"/>
                <w:szCs w:val="16"/>
              </w:rPr>
              <w:t>35,589,160</w:t>
            </w:r>
          </w:p>
        </w:tc>
        <w:tc>
          <w:tcPr>
            <w:tcW w:w="350" w:type="pct"/>
            <w:shd w:val="clear" w:color="auto" w:fill="FFFFFF"/>
            <w:vAlign w:val="bottom"/>
            <w:hideMark/>
          </w:tcPr>
          <w:p w14:paraId="06343BA6" w14:textId="77777777" w:rsidR="00000000" w:rsidRDefault="0053651E">
            <w:pPr>
              <w:jc w:val="right"/>
              <w:rPr>
                <w:rFonts w:eastAsia="Times New Roman"/>
                <w:sz w:val="16"/>
                <w:szCs w:val="16"/>
              </w:rPr>
            </w:pPr>
            <w:r>
              <w:rPr>
                <w:rFonts w:eastAsia="Times New Roman"/>
                <w:sz w:val="16"/>
                <w:szCs w:val="16"/>
              </w:rPr>
              <w:t>39,201,710</w:t>
            </w:r>
          </w:p>
        </w:tc>
        <w:tc>
          <w:tcPr>
            <w:tcW w:w="400" w:type="pct"/>
            <w:shd w:val="clear" w:color="auto" w:fill="FFFFFF"/>
            <w:vAlign w:val="bottom"/>
            <w:hideMark/>
          </w:tcPr>
          <w:p w14:paraId="1CE108ED" w14:textId="77777777" w:rsidR="00000000" w:rsidRDefault="0053651E">
            <w:pPr>
              <w:jc w:val="right"/>
              <w:rPr>
                <w:rFonts w:eastAsia="Times New Roman"/>
                <w:sz w:val="16"/>
                <w:szCs w:val="16"/>
              </w:rPr>
            </w:pPr>
            <w:r>
              <w:rPr>
                <w:rFonts w:eastAsia="Times New Roman"/>
                <w:sz w:val="16"/>
                <w:szCs w:val="16"/>
              </w:rPr>
              <w:t>5,131,563</w:t>
            </w:r>
          </w:p>
        </w:tc>
        <w:tc>
          <w:tcPr>
            <w:tcW w:w="50" w:type="pct"/>
            <w:shd w:val="clear" w:color="auto" w:fill="FFFFFF"/>
            <w:vAlign w:val="bottom"/>
            <w:hideMark/>
          </w:tcPr>
          <w:p w14:paraId="002039B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F534EF0" w14:textId="77777777" w:rsidR="00000000" w:rsidRDefault="0053651E">
            <w:pPr>
              <w:jc w:val="right"/>
              <w:rPr>
                <w:rFonts w:eastAsia="Times New Roman"/>
                <w:sz w:val="16"/>
                <w:szCs w:val="16"/>
              </w:rPr>
            </w:pPr>
            <w:r>
              <w:rPr>
                <w:rFonts w:eastAsia="Times New Roman"/>
                <w:sz w:val="16"/>
                <w:szCs w:val="16"/>
              </w:rPr>
              <w:t>34,070,147</w:t>
            </w:r>
          </w:p>
        </w:tc>
        <w:tc>
          <w:tcPr>
            <w:tcW w:w="50" w:type="pct"/>
            <w:shd w:val="clear" w:color="auto" w:fill="FFFFFF"/>
            <w:vAlign w:val="bottom"/>
            <w:hideMark/>
          </w:tcPr>
          <w:p w14:paraId="6A083A2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8AB169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68FBDA9"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3905DDF" w14:textId="77777777">
        <w:trPr>
          <w:tblCellSpacing w:w="0" w:type="dxa"/>
        </w:trPr>
        <w:tc>
          <w:tcPr>
            <w:tcW w:w="50" w:type="pct"/>
            <w:shd w:val="clear" w:color="auto" w:fill="CCEEFF"/>
            <w:vAlign w:val="bottom"/>
            <w:hideMark/>
          </w:tcPr>
          <w:p w14:paraId="1882AA7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7D16679" w14:textId="77777777" w:rsidR="00000000" w:rsidRDefault="0053651E">
            <w:pPr>
              <w:pStyle w:val="a3"/>
              <w:spacing w:before="0" w:beforeAutospacing="0" w:after="0" w:afterAutospacing="0"/>
              <w:rPr>
                <w:sz w:val="16"/>
                <w:szCs w:val="16"/>
              </w:rPr>
            </w:pPr>
            <w:r>
              <w:rPr>
                <w:sz w:val="16"/>
                <w:szCs w:val="16"/>
              </w:rPr>
              <w:t>DORSEY'S SEARCH VILLAGE CENTER</w:t>
            </w:r>
          </w:p>
        </w:tc>
        <w:tc>
          <w:tcPr>
            <w:tcW w:w="150" w:type="pct"/>
            <w:shd w:val="clear" w:color="auto" w:fill="CCEEFF"/>
            <w:vAlign w:val="bottom"/>
            <w:hideMark/>
          </w:tcPr>
          <w:p w14:paraId="67551D5A"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4753E707" w14:textId="77777777" w:rsidR="00000000" w:rsidRDefault="0053651E">
            <w:pPr>
              <w:jc w:val="right"/>
              <w:rPr>
                <w:rFonts w:eastAsia="Times New Roman"/>
                <w:sz w:val="16"/>
                <w:szCs w:val="16"/>
              </w:rPr>
            </w:pPr>
            <w:r>
              <w:rPr>
                <w:rFonts w:eastAsia="Times New Roman"/>
                <w:sz w:val="16"/>
                <w:szCs w:val="16"/>
              </w:rPr>
              <w:t>6,321,963</w:t>
            </w:r>
          </w:p>
        </w:tc>
        <w:tc>
          <w:tcPr>
            <w:tcW w:w="550" w:type="pct"/>
            <w:shd w:val="clear" w:color="auto" w:fill="CCEEFF"/>
            <w:vAlign w:val="bottom"/>
            <w:hideMark/>
          </w:tcPr>
          <w:p w14:paraId="78D2CF81" w14:textId="77777777" w:rsidR="00000000" w:rsidRDefault="0053651E">
            <w:pPr>
              <w:jc w:val="right"/>
              <w:rPr>
                <w:rFonts w:eastAsia="Times New Roman"/>
                <w:sz w:val="16"/>
                <w:szCs w:val="16"/>
              </w:rPr>
            </w:pPr>
            <w:r>
              <w:rPr>
                <w:rFonts w:eastAsia="Times New Roman"/>
                <w:sz w:val="16"/>
                <w:szCs w:val="16"/>
              </w:rPr>
              <w:t>27,996,087</w:t>
            </w:r>
          </w:p>
        </w:tc>
        <w:tc>
          <w:tcPr>
            <w:tcW w:w="350" w:type="pct"/>
            <w:shd w:val="clear" w:color="auto" w:fill="CCEEFF"/>
            <w:vAlign w:val="bottom"/>
            <w:hideMark/>
          </w:tcPr>
          <w:p w14:paraId="4A6F9182" w14:textId="77777777" w:rsidR="00000000" w:rsidRDefault="0053651E">
            <w:pPr>
              <w:jc w:val="right"/>
              <w:rPr>
                <w:rFonts w:eastAsia="Times New Roman"/>
                <w:sz w:val="16"/>
                <w:szCs w:val="16"/>
              </w:rPr>
            </w:pPr>
            <w:r>
              <w:rPr>
                <w:rFonts w:eastAsia="Times New Roman"/>
                <w:sz w:val="16"/>
                <w:szCs w:val="16"/>
              </w:rPr>
              <w:t>286,078</w:t>
            </w:r>
          </w:p>
        </w:tc>
        <w:tc>
          <w:tcPr>
            <w:tcW w:w="300" w:type="pct"/>
            <w:shd w:val="clear" w:color="auto" w:fill="CCEEFF"/>
            <w:vAlign w:val="bottom"/>
            <w:hideMark/>
          </w:tcPr>
          <w:p w14:paraId="352DF5A1" w14:textId="77777777" w:rsidR="00000000" w:rsidRDefault="0053651E">
            <w:pPr>
              <w:jc w:val="right"/>
              <w:rPr>
                <w:rFonts w:eastAsia="Times New Roman"/>
                <w:sz w:val="16"/>
                <w:szCs w:val="16"/>
              </w:rPr>
            </w:pPr>
            <w:r>
              <w:rPr>
                <w:rFonts w:eastAsia="Times New Roman"/>
                <w:sz w:val="16"/>
                <w:szCs w:val="16"/>
              </w:rPr>
              <w:t>6,321,963</w:t>
            </w:r>
          </w:p>
        </w:tc>
        <w:tc>
          <w:tcPr>
            <w:tcW w:w="450" w:type="pct"/>
            <w:shd w:val="clear" w:color="auto" w:fill="CCEEFF"/>
            <w:vAlign w:val="bottom"/>
            <w:hideMark/>
          </w:tcPr>
          <w:p w14:paraId="3F34ED51" w14:textId="77777777" w:rsidR="00000000" w:rsidRDefault="0053651E">
            <w:pPr>
              <w:jc w:val="right"/>
              <w:rPr>
                <w:rFonts w:eastAsia="Times New Roman"/>
                <w:sz w:val="16"/>
                <w:szCs w:val="16"/>
              </w:rPr>
            </w:pPr>
            <w:r>
              <w:rPr>
                <w:rFonts w:eastAsia="Times New Roman"/>
                <w:sz w:val="16"/>
                <w:szCs w:val="16"/>
              </w:rPr>
              <w:t>28,282,165</w:t>
            </w:r>
          </w:p>
        </w:tc>
        <w:tc>
          <w:tcPr>
            <w:tcW w:w="350" w:type="pct"/>
            <w:shd w:val="clear" w:color="auto" w:fill="CCEEFF"/>
            <w:vAlign w:val="bottom"/>
            <w:hideMark/>
          </w:tcPr>
          <w:p w14:paraId="6C810F5E" w14:textId="77777777" w:rsidR="00000000" w:rsidRDefault="0053651E">
            <w:pPr>
              <w:jc w:val="right"/>
              <w:rPr>
                <w:rFonts w:eastAsia="Times New Roman"/>
                <w:sz w:val="16"/>
                <w:szCs w:val="16"/>
              </w:rPr>
            </w:pPr>
            <w:r>
              <w:rPr>
                <w:rFonts w:eastAsia="Times New Roman"/>
                <w:sz w:val="16"/>
                <w:szCs w:val="16"/>
              </w:rPr>
              <w:t>34,604,128</w:t>
            </w:r>
          </w:p>
        </w:tc>
        <w:tc>
          <w:tcPr>
            <w:tcW w:w="400" w:type="pct"/>
            <w:shd w:val="clear" w:color="auto" w:fill="CCEEFF"/>
            <w:vAlign w:val="bottom"/>
            <w:hideMark/>
          </w:tcPr>
          <w:p w14:paraId="2E378C46" w14:textId="77777777" w:rsidR="00000000" w:rsidRDefault="0053651E">
            <w:pPr>
              <w:jc w:val="right"/>
              <w:rPr>
                <w:rFonts w:eastAsia="Times New Roman"/>
                <w:sz w:val="16"/>
                <w:szCs w:val="16"/>
              </w:rPr>
            </w:pPr>
            <w:r>
              <w:rPr>
                <w:rFonts w:eastAsia="Times New Roman"/>
                <w:sz w:val="16"/>
                <w:szCs w:val="16"/>
              </w:rPr>
              <w:t>3,959,963</w:t>
            </w:r>
          </w:p>
        </w:tc>
        <w:tc>
          <w:tcPr>
            <w:tcW w:w="50" w:type="pct"/>
            <w:shd w:val="clear" w:color="auto" w:fill="CCEEFF"/>
            <w:vAlign w:val="bottom"/>
            <w:hideMark/>
          </w:tcPr>
          <w:p w14:paraId="240D2E7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8BCB804" w14:textId="77777777" w:rsidR="00000000" w:rsidRDefault="0053651E">
            <w:pPr>
              <w:jc w:val="right"/>
              <w:rPr>
                <w:rFonts w:eastAsia="Times New Roman"/>
                <w:sz w:val="16"/>
                <w:szCs w:val="16"/>
              </w:rPr>
            </w:pPr>
            <w:r>
              <w:rPr>
                <w:rFonts w:eastAsia="Times New Roman"/>
                <w:sz w:val="16"/>
                <w:szCs w:val="16"/>
              </w:rPr>
              <w:t>30,644,165</w:t>
            </w:r>
          </w:p>
        </w:tc>
        <w:tc>
          <w:tcPr>
            <w:tcW w:w="50" w:type="pct"/>
            <w:shd w:val="clear" w:color="auto" w:fill="CCEEFF"/>
            <w:vAlign w:val="bottom"/>
            <w:hideMark/>
          </w:tcPr>
          <w:p w14:paraId="6AEC460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54816F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9A6156A"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198C6523" w14:textId="77777777">
        <w:trPr>
          <w:tblCellSpacing w:w="0" w:type="dxa"/>
        </w:trPr>
        <w:tc>
          <w:tcPr>
            <w:tcW w:w="50" w:type="pct"/>
            <w:shd w:val="clear" w:color="auto" w:fill="FFFFFF"/>
            <w:vAlign w:val="bottom"/>
            <w:hideMark/>
          </w:tcPr>
          <w:p w14:paraId="446E101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D6C71FD" w14:textId="77777777" w:rsidR="00000000" w:rsidRDefault="0053651E">
            <w:pPr>
              <w:pStyle w:val="a3"/>
              <w:spacing w:before="0" w:beforeAutospacing="0" w:after="0" w:afterAutospacing="0"/>
              <w:rPr>
                <w:sz w:val="16"/>
                <w:szCs w:val="16"/>
              </w:rPr>
            </w:pPr>
            <w:r>
              <w:rPr>
                <w:sz w:val="16"/>
                <w:szCs w:val="16"/>
              </w:rPr>
              <w:t>HICKORY RIDGE</w:t>
            </w:r>
          </w:p>
        </w:tc>
        <w:tc>
          <w:tcPr>
            <w:tcW w:w="150" w:type="pct"/>
            <w:shd w:val="clear" w:color="auto" w:fill="FFFFFF"/>
            <w:vAlign w:val="bottom"/>
            <w:hideMark/>
          </w:tcPr>
          <w:p w14:paraId="545DC7C2"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2CC536F1" w14:textId="77777777" w:rsidR="00000000" w:rsidRDefault="0053651E">
            <w:pPr>
              <w:jc w:val="right"/>
              <w:rPr>
                <w:rFonts w:eastAsia="Times New Roman"/>
                <w:sz w:val="16"/>
                <w:szCs w:val="16"/>
              </w:rPr>
            </w:pPr>
            <w:r>
              <w:rPr>
                <w:rFonts w:eastAsia="Times New Roman"/>
                <w:sz w:val="16"/>
                <w:szCs w:val="16"/>
              </w:rPr>
              <w:t>7,183,646</w:t>
            </w:r>
          </w:p>
        </w:tc>
        <w:tc>
          <w:tcPr>
            <w:tcW w:w="550" w:type="pct"/>
            <w:shd w:val="clear" w:color="auto" w:fill="FFFFFF"/>
            <w:vAlign w:val="bottom"/>
            <w:hideMark/>
          </w:tcPr>
          <w:p w14:paraId="24D990BF" w14:textId="77777777" w:rsidR="00000000" w:rsidRDefault="0053651E">
            <w:pPr>
              <w:jc w:val="right"/>
              <w:rPr>
                <w:rFonts w:eastAsia="Times New Roman"/>
                <w:sz w:val="16"/>
                <w:szCs w:val="16"/>
              </w:rPr>
            </w:pPr>
            <w:r>
              <w:rPr>
                <w:rFonts w:eastAsia="Times New Roman"/>
                <w:sz w:val="16"/>
                <w:szCs w:val="16"/>
              </w:rPr>
              <w:t>26,947,776</w:t>
            </w:r>
          </w:p>
        </w:tc>
        <w:tc>
          <w:tcPr>
            <w:tcW w:w="350" w:type="pct"/>
            <w:shd w:val="clear" w:color="auto" w:fill="FFFFFF"/>
            <w:vAlign w:val="bottom"/>
            <w:hideMark/>
          </w:tcPr>
          <w:p w14:paraId="4992B705" w14:textId="77777777" w:rsidR="00000000" w:rsidRDefault="0053651E">
            <w:pPr>
              <w:jc w:val="right"/>
              <w:rPr>
                <w:rFonts w:eastAsia="Times New Roman"/>
                <w:sz w:val="16"/>
                <w:szCs w:val="16"/>
              </w:rPr>
            </w:pPr>
            <w:r>
              <w:rPr>
                <w:rFonts w:eastAsia="Times New Roman"/>
                <w:sz w:val="16"/>
                <w:szCs w:val="16"/>
              </w:rPr>
              <w:t>653,628</w:t>
            </w:r>
          </w:p>
        </w:tc>
        <w:tc>
          <w:tcPr>
            <w:tcW w:w="300" w:type="pct"/>
            <w:shd w:val="clear" w:color="auto" w:fill="FFFFFF"/>
            <w:vAlign w:val="bottom"/>
            <w:hideMark/>
          </w:tcPr>
          <w:p w14:paraId="1C84072C" w14:textId="77777777" w:rsidR="00000000" w:rsidRDefault="0053651E">
            <w:pPr>
              <w:jc w:val="right"/>
              <w:rPr>
                <w:rFonts w:eastAsia="Times New Roman"/>
                <w:sz w:val="16"/>
                <w:szCs w:val="16"/>
              </w:rPr>
            </w:pPr>
            <w:r>
              <w:rPr>
                <w:rFonts w:eastAsia="Times New Roman"/>
                <w:sz w:val="16"/>
                <w:szCs w:val="16"/>
              </w:rPr>
              <w:t>7,183,646</w:t>
            </w:r>
          </w:p>
        </w:tc>
        <w:tc>
          <w:tcPr>
            <w:tcW w:w="450" w:type="pct"/>
            <w:shd w:val="clear" w:color="auto" w:fill="FFFFFF"/>
            <w:vAlign w:val="bottom"/>
            <w:hideMark/>
          </w:tcPr>
          <w:p w14:paraId="1013D9FC" w14:textId="77777777" w:rsidR="00000000" w:rsidRDefault="0053651E">
            <w:pPr>
              <w:jc w:val="right"/>
              <w:rPr>
                <w:rFonts w:eastAsia="Times New Roman"/>
                <w:sz w:val="16"/>
                <w:szCs w:val="16"/>
              </w:rPr>
            </w:pPr>
            <w:r>
              <w:rPr>
                <w:rFonts w:eastAsia="Times New Roman"/>
                <w:sz w:val="16"/>
                <w:szCs w:val="16"/>
              </w:rPr>
              <w:t>27,601,404</w:t>
            </w:r>
          </w:p>
        </w:tc>
        <w:tc>
          <w:tcPr>
            <w:tcW w:w="350" w:type="pct"/>
            <w:shd w:val="clear" w:color="auto" w:fill="FFFFFF"/>
            <w:vAlign w:val="bottom"/>
            <w:hideMark/>
          </w:tcPr>
          <w:p w14:paraId="649E5875" w14:textId="77777777" w:rsidR="00000000" w:rsidRDefault="0053651E">
            <w:pPr>
              <w:jc w:val="right"/>
              <w:rPr>
                <w:rFonts w:eastAsia="Times New Roman"/>
                <w:sz w:val="16"/>
                <w:szCs w:val="16"/>
              </w:rPr>
            </w:pPr>
            <w:r>
              <w:rPr>
                <w:rFonts w:eastAsia="Times New Roman"/>
                <w:sz w:val="16"/>
                <w:szCs w:val="16"/>
              </w:rPr>
              <w:t>34,785,050</w:t>
            </w:r>
          </w:p>
        </w:tc>
        <w:tc>
          <w:tcPr>
            <w:tcW w:w="400" w:type="pct"/>
            <w:shd w:val="clear" w:color="auto" w:fill="FFFFFF"/>
            <w:vAlign w:val="bottom"/>
            <w:hideMark/>
          </w:tcPr>
          <w:p w14:paraId="29B47E63" w14:textId="77777777" w:rsidR="00000000" w:rsidRDefault="0053651E">
            <w:pPr>
              <w:jc w:val="right"/>
              <w:rPr>
                <w:rFonts w:eastAsia="Times New Roman"/>
                <w:sz w:val="16"/>
                <w:szCs w:val="16"/>
              </w:rPr>
            </w:pPr>
            <w:r>
              <w:rPr>
                <w:rFonts w:eastAsia="Times New Roman"/>
                <w:sz w:val="16"/>
                <w:szCs w:val="16"/>
              </w:rPr>
              <w:t>4,092,540</w:t>
            </w:r>
          </w:p>
        </w:tc>
        <w:tc>
          <w:tcPr>
            <w:tcW w:w="50" w:type="pct"/>
            <w:shd w:val="clear" w:color="auto" w:fill="FFFFFF"/>
            <w:vAlign w:val="bottom"/>
            <w:hideMark/>
          </w:tcPr>
          <w:p w14:paraId="0C61557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D176961" w14:textId="77777777" w:rsidR="00000000" w:rsidRDefault="0053651E">
            <w:pPr>
              <w:jc w:val="right"/>
              <w:rPr>
                <w:rFonts w:eastAsia="Times New Roman"/>
                <w:sz w:val="16"/>
                <w:szCs w:val="16"/>
              </w:rPr>
            </w:pPr>
            <w:r>
              <w:rPr>
                <w:rFonts w:eastAsia="Times New Roman"/>
                <w:sz w:val="16"/>
                <w:szCs w:val="16"/>
              </w:rPr>
              <w:t>30,692,510</w:t>
            </w:r>
          </w:p>
        </w:tc>
        <w:tc>
          <w:tcPr>
            <w:tcW w:w="50" w:type="pct"/>
            <w:shd w:val="clear" w:color="auto" w:fill="FFFFFF"/>
            <w:vAlign w:val="bottom"/>
            <w:hideMark/>
          </w:tcPr>
          <w:p w14:paraId="563270D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820210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39FEE79"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4BD45A5A" w14:textId="77777777">
        <w:trPr>
          <w:tblCellSpacing w:w="0" w:type="dxa"/>
        </w:trPr>
        <w:tc>
          <w:tcPr>
            <w:tcW w:w="50" w:type="pct"/>
            <w:shd w:val="clear" w:color="auto" w:fill="CCEEFF"/>
            <w:vAlign w:val="bottom"/>
            <w:hideMark/>
          </w:tcPr>
          <w:p w14:paraId="3A10A6A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BD59A86" w14:textId="77777777" w:rsidR="00000000" w:rsidRDefault="0053651E">
            <w:pPr>
              <w:pStyle w:val="a3"/>
              <w:spacing w:before="0" w:beforeAutospacing="0" w:after="0" w:afterAutospacing="0"/>
              <w:rPr>
                <w:sz w:val="16"/>
                <w:szCs w:val="16"/>
              </w:rPr>
            </w:pPr>
            <w:r>
              <w:rPr>
                <w:sz w:val="16"/>
                <w:szCs w:val="16"/>
              </w:rPr>
              <w:t>HICKORY RIDGE (SUNOCO)</w:t>
            </w:r>
          </w:p>
        </w:tc>
        <w:tc>
          <w:tcPr>
            <w:tcW w:w="150" w:type="pct"/>
            <w:shd w:val="clear" w:color="auto" w:fill="CCEEFF"/>
            <w:vAlign w:val="bottom"/>
            <w:hideMark/>
          </w:tcPr>
          <w:p w14:paraId="3C95E251"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5D181CE2" w14:textId="77777777" w:rsidR="00000000" w:rsidRDefault="0053651E">
            <w:pPr>
              <w:jc w:val="right"/>
              <w:rPr>
                <w:rFonts w:eastAsia="Times New Roman"/>
                <w:sz w:val="16"/>
                <w:szCs w:val="16"/>
              </w:rPr>
            </w:pPr>
            <w:r>
              <w:rPr>
                <w:rFonts w:eastAsia="Times New Roman"/>
                <w:sz w:val="16"/>
                <w:szCs w:val="16"/>
              </w:rPr>
              <w:t>543,197</w:t>
            </w:r>
          </w:p>
        </w:tc>
        <w:tc>
          <w:tcPr>
            <w:tcW w:w="550" w:type="pct"/>
            <w:shd w:val="clear" w:color="auto" w:fill="CCEEFF"/>
            <w:vAlign w:val="bottom"/>
            <w:hideMark/>
          </w:tcPr>
          <w:p w14:paraId="0118F3AE" w14:textId="77777777" w:rsidR="00000000" w:rsidRDefault="0053651E">
            <w:pPr>
              <w:jc w:val="right"/>
              <w:rPr>
                <w:rFonts w:eastAsia="Times New Roman"/>
                <w:sz w:val="16"/>
                <w:szCs w:val="16"/>
              </w:rPr>
            </w:pPr>
            <w:r>
              <w:rPr>
                <w:rFonts w:eastAsia="Times New Roman"/>
                <w:sz w:val="16"/>
                <w:szCs w:val="16"/>
              </w:rPr>
              <w:t>2,122,234</w:t>
            </w:r>
          </w:p>
        </w:tc>
        <w:tc>
          <w:tcPr>
            <w:tcW w:w="350" w:type="pct"/>
            <w:shd w:val="clear" w:color="auto" w:fill="CCEEFF"/>
            <w:vAlign w:val="bottom"/>
            <w:hideMark/>
          </w:tcPr>
          <w:p w14:paraId="35490B11"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4E3A4F23" w14:textId="77777777" w:rsidR="00000000" w:rsidRDefault="0053651E">
            <w:pPr>
              <w:jc w:val="right"/>
              <w:rPr>
                <w:rFonts w:eastAsia="Times New Roman"/>
                <w:sz w:val="16"/>
                <w:szCs w:val="16"/>
              </w:rPr>
            </w:pPr>
            <w:r>
              <w:rPr>
                <w:rFonts w:eastAsia="Times New Roman"/>
                <w:sz w:val="16"/>
                <w:szCs w:val="16"/>
              </w:rPr>
              <w:t>543,197</w:t>
            </w:r>
          </w:p>
        </w:tc>
        <w:tc>
          <w:tcPr>
            <w:tcW w:w="450" w:type="pct"/>
            <w:shd w:val="clear" w:color="auto" w:fill="CCEEFF"/>
            <w:vAlign w:val="bottom"/>
            <w:hideMark/>
          </w:tcPr>
          <w:p w14:paraId="2DFACD64" w14:textId="77777777" w:rsidR="00000000" w:rsidRDefault="0053651E">
            <w:pPr>
              <w:jc w:val="right"/>
              <w:rPr>
                <w:rFonts w:eastAsia="Times New Roman"/>
                <w:sz w:val="16"/>
                <w:szCs w:val="16"/>
              </w:rPr>
            </w:pPr>
            <w:r>
              <w:rPr>
                <w:rFonts w:eastAsia="Times New Roman"/>
                <w:sz w:val="16"/>
                <w:szCs w:val="16"/>
              </w:rPr>
              <w:t>2,122,234</w:t>
            </w:r>
          </w:p>
        </w:tc>
        <w:tc>
          <w:tcPr>
            <w:tcW w:w="350" w:type="pct"/>
            <w:shd w:val="clear" w:color="auto" w:fill="CCEEFF"/>
            <w:vAlign w:val="bottom"/>
            <w:hideMark/>
          </w:tcPr>
          <w:p w14:paraId="09A6450E" w14:textId="77777777" w:rsidR="00000000" w:rsidRDefault="0053651E">
            <w:pPr>
              <w:jc w:val="right"/>
              <w:rPr>
                <w:rFonts w:eastAsia="Times New Roman"/>
                <w:sz w:val="16"/>
                <w:szCs w:val="16"/>
              </w:rPr>
            </w:pPr>
            <w:r>
              <w:rPr>
                <w:rFonts w:eastAsia="Times New Roman"/>
                <w:sz w:val="16"/>
                <w:szCs w:val="16"/>
              </w:rPr>
              <w:t>2,665,431</w:t>
            </w:r>
          </w:p>
        </w:tc>
        <w:tc>
          <w:tcPr>
            <w:tcW w:w="400" w:type="pct"/>
            <w:shd w:val="clear" w:color="auto" w:fill="CCEEFF"/>
            <w:vAlign w:val="bottom"/>
            <w:hideMark/>
          </w:tcPr>
          <w:p w14:paraId="4AB3E7C0" w14:textId="77777777" w:rsidR="00000000" w:rsidRDefault="0053651E">
            <w:pPr>
              <w:jc w:val="right"/>
              <w:rPr>
                <w:rFonts w:eastAsia="Times New Roman"/>
                <w:sz w:val="16"/>
                <w:szCs w:val="16"/>
              </w:rPr>
            </w:pPr>
            <w:r>
              <w:rPr>
                <w:rFonts w:eastAsia="Times New Roman"/>
                <w:sz w:val="16"/>
                <w:szCs w:val="16"/>
              </w:rPr>
              <w:t>413,179</w:t>
            </w:r>
          </w:p>
        </w:tc>
        <w:tc>
          <w:tcPr>
            <w:tcW w:w="50" w:type="pct"/>
            <w:shd w:val="clear" w:color="auto" w:fill="CCEEFF"/>
            <w:vAlign w:val="bottom"/>
            <w:hideMark/>
          </w:tcPr>
          <w:p w14:paraId="72CE9D6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B791410" w14:textId="77777777" w:rsidR="00000000" w:rsidRDefault="0053651E">
            <w:pPr>
              <w:jc w:val="right"/>
              <w:rPr>
                <w:rFonts w:eastAsia="Times New Roman"/>
                <w:sz w:val="16"/>
                <w:szCs w:val="16"/>
              </w:rPr>
            </w:pPr>
            <w:r>
              <w:rPr>
                <w:rFonts w:eastAsia="Times New Roman"/>
                <w:sz w:val="16"/>
                <w:szCs w:val="16"/>
              </w:rPr>
              <w:t>2,252,252</w:t>
            </w:r>
          </w:p>
        </w:tc>
        <w:tc>
          <w:tcPr>
            <w:tcW w:w="50" w:type="pct"/>
            <w:shd w:val="clear" w:color="auto" w:fill="CCEEFF"/>
            <w:vAlign w:val="bottom"/>
            <w:hideMark/>
          </w:tcPr>
          <w:p w14:paraId="6F03AB1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AC66B6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912A86E"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F89BE72" w14:textId="77777777">
        <w:trPr>
          <w:tblCellSpacing w:w="0" w:type="dxa"/>
        </w:trPr>
        <w:tc>
          <w:tcPr>
            <w:tcW w:w="50" w:type="pct"/>
            <w:shd w:val="clear" w:color="auto" w:fill="FFFFFF"/>
            <w:vAlign w:val="bottom"/>
            <w:hideMark/>
          </w:tcPr>
          <w:p w14:paraId="2C9B191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51E84DC" w14:textId="77777777" w:rsidR="00000000" w:rsidRDefault="0053651E">
            <w:pPr>
              <w:pStyle w:val="a3"/>
              <w:spacing w:before="0" w:beforeAutospacing="0" w:after="0" w:afterAutospacing="0"/>
              <w:rPr>
                <w:sz w:val="16"/>
                <w:szCs w:val="16"/>
              </w:rPr>
            </w:pPr>
            <w:r>
              <w:rPr>
                <w:sz w:val="16"/>
                <w:szCs w:val="16"/>
              </w:rPr>
              <w:t>KINGS CONTRIVANCE</w:t>
            </w:r>
          </w:p>
        </w:tc>
        <w:tc>
          <w:tcPr>
            <w:tcW w:w="150" w:type="pct"/>
            <w:shd w:val="clear" w:color="auto" w:fill="FFFFFF"/>
            <w:vAlign w:val="bottom"/>
            <w:hideMark/>
          </w:tcPr>
          <w:p w14:paraId="0EDBCF48"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21ABAB17" w14:textId="77777777" w:rsidR="00000000" w:rsidRDefault="0053651E">
            <w:pPr>
              <w:jc w:val="right"/>
              <w:rPr>
                <w:rFonts w:eastAsia="Times New Roman"/>
                <w:sz w:val="16"/>
                <w:szCs w:val="16"/>
              </w:rPr>
            </w:pPr>
            <w:r>
              <w:rPr>
                <w:rFonts w:eastAsia="Times New Roman"/>
                <w:sz w:val="16"/>
                <w:szCs w:val="16"/>
              </w:rPr>
              <w:t>9,308,349</w:t>
            </w:r>
          </w:p>
        </w:tc>
        <w:tc>
          <w:tcPr>
            <w:tcW w:w="550" w:type="pct"/>
            <w:shd w:val="clear" w:color="auto" w:fill="FFFFFF"/>
            <w:vAlign w:val="bottom"/>
            <w:hideMark/>
          </w:tcPr>
          <w:p w14:paraId="51CF5218" w14:textId="77777777" w:rsidR="00000000" w:rsidRDefault="0053651E">
            <w:pPr>
              <w:jc w:val="right"/>
              <w:rPr>
                <w:rFonts w:eastAsia="Times New Roman"/>
                <w:sz w:val="16"/>
                <w:szCs w:val="16"/>
              </w:rPr>
            </w:pPr>
            <w:r>
              <w:rPr>
                <w:rFonts w:eastAsia="Times New Roman"/>
                <w:sz w:val="16"/>
                <w:szCs w:val="16"/>
              </w:rPr>
              <w:t>31,759,940</w:t>
            </w:r>
          </w:p>
        </w:tc>
        <w:tc>
          <w:tcPr>
            <w:tcW w:w="350" w:type="pct"/>
            <w:shd w:val="clear" w:color="auto" w:fill="FFFFFF"/>
            <w:vAlign w:val="bottom"/>
            <w:hideMark/>
          </w:tcPr>
          <w:p w14:paraId="198D3A2A" w14:textId="77777777" w:rsidR="00000000" w:rsidRDefault="0053651E">
            <w:pPr>
              <w:jc w:val="right"/>
              <w:rPr>
                <w:rFonts w:eastAsia="Times New Roman"/>
                <w:sz w:val="16"/>
                <w:szCs w:val="16"/>
              </w:rPr>
            </w:pPr>
            <w:r>
              <w:rPr>
                <w:rFonts w:eastAsia="Times New Roman"/>
                <w:sz w:val="16"/>
                <w:szCs w:val="16"/>
              </w:rPr>
              <w:t>956,829</w:t>
            </w:r>
          </w:p>
        </w:tc>
        <w:tc>
          <w:tcPr>
            <w:tcW w:w="300" w:type="pct"/>
            <w:shd w:val="clear" w:color="auto" w:fill="FFFFFF"/>
            <w:vAlign w:val="bottom"/>
            <w:hideMark/>
          </w:tcPr>
          <w:p w14:paraId="59FD0FC2" w14:textId="77777777" w:rsidR="00000000" w:rsidRDefault="0053651E">
            <w:pPr>
              <w:jc w:val="right"/>
              <w:rPr>
                <w:rFonts w:eastAsia="Times New Roman"/>
                <w:sz w:val="16"/>
                <w:szCs w:val="16"/>
              </w:rPr>
            </w:pPr>
            <w:r>
              <w:rPr>
                <w:rFonts w:eastAsia="Times New Roman"/>
                <w:sz w:val="16"/>
                <w:szCs w:val="16"/>
              </w:rPr>
              <w:t>9,308,349</w:t>
            </w:r>
          </w:p>
        </w:tc>
        <w:tc>
          <w:tcPr>
            <w:tcW w:w="450" w:type="pct"/>
            <w:shd w:val="clear" w:color="auto" w:fill="FFFFFF"/>
            <w:vAlign w:val="bottom"/>
            <w:hideMark/>
          </w:tcPr>
          <w:p w14:paraId="5C526FA6" w14:textId="77777777" w:rsidR="00000000" w:rsidRDefault="0053651E">
            <w:pPr>
              <w:jc w:val="right"/>
              <w:rPr>
                <w:rFonts w:eastAsia="Times New Roman"/>
                <w:sz w:val="16"/>
                <w:szCs w:val="16"/>
              </w:rPr>
            </w:pPr>
            <w:r>
              <w:rPr>
                <w:rFonts w:eastAsia="Times New Roman"/>
                <w:sz w:val="16"/>
                <w:szCs w:val="16"/>
              </w:rPr>
              <w:t>32,716,769</w:t>
            </w:r>
          </w:p>
        </w:tc>
        <w:tc>
          <w:tcPr>
            <w:tcW w:w="350" w:type="pct"/>
            <w:shd w:val="clear" w:color="auto" w:fill="FFFFFF"/>
            <w:vAlign w:val="bottom"/>
            <w:hideMark/>
          </w:tcPr>
          <w:p w14:paraId="61921BE7" w14:textId="77777777" w:rsidR="00000000" w:rsidRDefault="0053651E">
            <w:pPr>
              <w:jc w:val="right"/>
              <w:rPr>
                <w:rFonts w:eastAsia="Times New Roman"/>
                <w:sz w:val="16"/>
                <w:szCs w:val="16"/>
              </w:rPr>
            </w:pPr>
            <w:r>
              <w:rPr>
                <w:rFonts w:eastAsia="Times New Roman"/>
                <w:sz w:val="16"/>
                <w:szCs w:val="16"/>
              </w:rPr>
              <w:t>42,025,118</w:t>
            </w:r>
          </w:p>
        </w:tc>
        <w:tc>
          <w:tcPr>
            <w:tcW w:w="400" w:type="pct"/>
            <w:shd w:val="clear" w:color="auto" w:fill="FFFFFF"/>
            <w:vAlign w:val="bottom"/>
            <w:hideMark/>
          </w:tcPr>
          <w:p w14:paraId="3D455CA3" w14:textId="77777777" w:rsidR="00000000" w:rsidRDefault="0053651E">
            <w:pPr>
              <w:jc w:val="right"/>
              <w:rPr>
                <w:rFonts w:eastAsia="Times New Roman"/>
                <w:sz w:val="16"/>
                <w:szCs w:val="16"/>
              </w:rPr>
            </w:pPr>
            <w:r>
              <w:rPr>
                <w:rFonts w:eastAsia="Times New Roman"/>
                <w:sz w:val="16"/>
                <w:szCs w:val="16"/>
              </w:rPr>
              <w:t>5,801,943</w:t>
            </w:r>
          </w:p>
        </w:tc>
        <w:tc>
          <w:tcPr>
            <w:tcW w:w="50" w:type="pct"/>
            <w:shd w:val="clear" w:color="auto" w:fill="FFFFFF"/>
            <w:vAlign w:val="bottom"/>
            <w:hideMark/>
          </w:tcPr>
          <w:p w14:paraId="28FFAC6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3851D44" w14:textId="77777777" w:rsidR="00000000" w:rsidRDefault="0053651E">
            <w:pPr>
              <w:jc w:val="right"/>
              <w:rPr>
                <w:rFonts w:eastAsia="Times New Roman"/>
                <w:sz w:val="16"/>
                <w:szCs w:val="16"/>
              </w:rPr>
            </w:pPr>
            <w:r>
              <w:rPr>
                <w:rFonts w:eastAsia="Times New Roman"/>
                <w:sz w:val="16"/>
                <w:szCs w:val="16"/>
              </w:rPr>
              <w:t>36,223,175</w:t>
            </w:r>
          </w:p>
        </w:tc>
        <w:tc>
          <w:tcPr>
            <w:tcW w:w="50" w:type="pct"/>
            <w:shd w:val="clear" w:color="auto" w:fill="FFFFFF"/>
            <w:vAlign w:val="bottom"/>
            <w:hideMark/>
          </w:tcPr>
          <w:p w14:paraId="54C0A89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E10C8D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4F53F49"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99438EC" w14:textId="77777777">
        <w:trPr>
          <w:tblCellSpacing w:w="0" w:type="dxa"/>
        </w:trPr>
        <w:tc>
          <w:tcPr>
            <w:tcW w:w="50" w:type="pct"/>
            <w:shd w:val="clear" w:color="auto" w:fill="CCEEFF"/>
            <w:vAlign w:val="bottom"/>
            <w:hideMark/>
          </w:tcPr>
          <w:p w14:paraId="525BD69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844E52E" w14:textId="77777777" w:rsidR="00000000" w:rsidRDefault="0053651E">
            <w:pPr>
              <w:pStyle w:val="a3"/>
              <w:spacing w:before="0" w:beforeAutospacing="0" w:after="0" w:afterAutospacing="0"/>
              <w:rPr>
                <w:sz w:val="16"/>
                <w:szCs w:val="16"/>
              </w:rPr>
            </w:pPr>
            <w:r>
              <w:rPr>
                <w:sz w:val="16"/>
                <w:szCs w:val="16"/>
              </w:rPr>
              <w:t>HARPER'S CHOICE</w:t>
            </w:r>
          </w:p>
        </w:tc>
        <w:tc>
          <w:tcPr>
            <w:tcW w:w="150" w:type="pct"/>
            <w:shd w:val="clear" w:color="auto" w:fill="CCEEFF"/>
            <w:vAlign w:val="bottom"/>
            <w:hideMark/>
          </w:tcPr>
          <w:p w14:paraId="7618ECA0"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353AAAF0" w14:textId="77777777" w:rsidR="00000000" w:rsidRDefault="0053651E">
            <w:pPr>
              <w:jc w:val="right"/>
              <w:rPr>
                <w:rFonts w:eastAsia="Times New Roman"/>
                <w:sz w:val="16"/>
                <w:szCs w:val="16"/>
              </w:rPr>
            </w:pPr>
            <w:r>
              <w:rPr>
                <w:rFonts w:eastAsia="Times New Roman"/>
                <w:sz w:val="16"/>
                <w:szCs w:val="16"/>
              </w:rPr>
              <w:t>8,429,284</w:t>
            </w:r>
          </w:p>
        </w:tc>
        <w:tc>
          <w:tcPr>
            <w:tcW w:w="550" w:type="pct"/>
            <w:shd w:val="clear" w:color="auto" w:fill="CCEEFF"/>
            <w:vAlign w:val="bottom"/>
            <w:hideMark/>
          </w:tcPr>
          <w:p w14:paraId="26BC99EC" w14:textId="77777777" w:rsidR="00000000" w:rsidRDefault="0053651E">
            <w:pPr>
              <w:jc w:val="right"/>
              <w:rPr>
                <w:rFonts w:eastAsia="Times New Roman"/>
                <w:sz w:val="16"/>
                <w:szCs w:val="16"/>
              </w:rPr>
            </w:pPr>
            <w:r>
              <w:rPr>
                <w:rFonts w:eastAsia="Times New Roman"/>
                <w:sz w:val="16"/>
                <w:szCs w:val="16"/>
              </w:rPr>
              <w:t>18,373,994</w:t>
            </w:r>
          </w:p>
        </w:tc>
        <w:tc>
          <w:tcPr>
            <w:tcW w:w="350" w:type="pct"/>
            <w:shd w:val="clear" w:color="auto" w:fill="CCEEFF"/>
            <w:vAlign w:val="bottom"/>
            <w:hideMark/>
          </w:tcPr>
          <w:p w14:paraId="2C69B951" w14:textId="77777777" w:rsidR="00000000" w:rsidRDefault="0053651E">
            <w:pPr>
              <w:jc w:val="right"/>
              <w:rPr>
                <w:rFonts w:eastAsia="Times New Roman"/>
                <w:sz w:val="16"/>
                <w:szCs w:val="16"/>
              </w:rPr>
            </w:pPr>
            <w:r>
              <w:rPr>
                <w:rFonts w:eastAsia="Times New Roman"/>
                <w:sz w:val="16"/>
                <w:szCs w:val="16"/>
              </w:rPr>
              <w:t>888,226</w:t>
            </w:r>
          </w:p>
        </w:tc>
        <w:tc>
          <w:tcPr>
            <w:tcW w:w="300" w:type="pct"/>
            <w:shd w:val="clear" w:color="auto" w:fill="CCEEFF"/>
            <w:vAlign w:val="bottom"/>
            <w:hideMark/>
          </w:tcPr>
          <w:p w14:paraId="6EF7364F" w14:textId="77777777" w:rsidR="00000000" w:rsidRDefault="0053651E">
            <w:pPr>
              <w:jc w:val="right"/>
              <w:rPr>
                <w:rFonts w:eastAsia="Times New Roman"/>
                <w:sz w:val="16"/>
                <w:szCs w:val="16"/>
              </w:rPr>
            </w:pPr>
            <w:r>
              <w:rPr>
                <w:rFonts w:eastAsia="Times New Roman"/>
                <w:sz w:val="16"/>
                <w:szCs w:val="16"/>
              </w:rPr>
              <w:t>8,429,284</w:t>
            </w:r>
          </w:p>
        </w:tc>
        <w:tc>
          <w:tcPr>
            <w:tcW w:w="450" w:type="pct"/>
            <w:shd w:val="clear" w:color="auto" w:fill="CCEEFF"/>
            <w:vAlign w:val="bottom"/>
            <w:hideMark/>
          </w:tcPr>
          <w:p w14:paraId="1CEB6565" w14:textId="77777777" w:rsidR="00000000" w:rsidRDefault="0053651E">
            <w:pPr>
              <w:jc w:val="right"/>
              <w:rPr>
                <w:rFonts w:eastAsia="Times New Roman"/>
                <w:sz w:val="16"/>
                <w:szCs w:val="16"/>
              </w:rPr>
            </w:pPr>
            <w:r>
              <w:rPr>
                <w:rFonts w:eastAsia="Times New Roman"/>
                <w:sz w:val="16"/>
                <w:szCs w:val="16"/>
              </w:rPr>
              <w:t>19,262,220</w:t>
            </w:r>
          </w:p>
        </w:tc>
        <w:tc>
          <w:tcPr>
            <w:tcW w:w="350" w:type="pct"/>
            <w:shd w:val="clear" w:color="auto" w:fill="CCEEFF"/>
            <w:vAlign w:val="bottom"/>
            <w:hideMark/>
          </w:tcPr>
          <w:p w14:paraId="0D9D8E5D" w14:textId="77777777" w:rsidR="00000000" w:rsidRDefault="0053651E">
            <w:pPr>
              <w:jc w:val="right"/>
              <w:rPr>
                <w:rFonts w:eastAsia="Times New Roman"/>
                <w:sz w:val="16"/>
                <w:szCs w:val="16"/>
              </w:rPr>
            </w:pPr>
            <w:r>
              <w:rPr>
                <w:rFonts w:eastAsia="Times New Roman"/>
                <w:sz w:val="16"/>
                <w:szCs w:val="16"/>
              </w:rPr>
              <w:t>27,691,504</w:t>
            </w:r>
          </w:p>
        </w:tc>
        <w:tc>
          <w:tcPr>
            <w:tcW w:w="400" w:type="pct"/>
            <w:shd w:val="clear" w:color="auto" w:fill="CCEEFF"/>
            <w:vAlign w:val="bottom"/>
            <w:hideMark/>
          </w:tcPr>
          <w:p w14:paraId="706B41E0" w14:textId="77777777" w:rsidR="00000000" w:rsidRDefault="0053651E">
            <w:pPr>
              <w:jc w:val="right"/>
              <w:rPr>
                <w:rFonts w:eastAsia="Times New Roman"/>
                <w:sz w:val="16"/>
                <w:szCs w:val="16"/>
              </w:rPr>
            </w:pPr>
            <w:r>
              <w:rPr>
                <w:rFonts w:eastAsia="Times New Roman"/>
                <w:sz w:val="16"/>
                <w:szCs w:val="16"/>
              </w:rPr>
              <w:t>3,232,809</w:t>
            </w:r>
          </w:p>
        </w:tc>
        <w:tc>
          <w:tcPr>
            <w:tcW w:w="50" w:type="pct"/>
            <w:shd w:val="clear" w:color="auto" w:fill="CCEEFF"/>
            <w:vAlign w:val="bottom"/>
            <w:hideMark/>
          </w:tcPr>
          <w:p w14:paraId="5DCB222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4E98AFB" w14:textId="77777777" w:rsidR="00000000" w:rsidRDefault="0053651E">
            <w:pPr>
              <w:jc w:val="right"/>
              <w:rPr>
                <w:rFonts w:eastAsia="Times New Roman"/>
                <w:sz w:val="16"/>
                <w:szCs w:val="16"/>
              </w:rPr>
            </w:pPr>
            <w:r>
              <w:rPr>
                <w:rFonts w:eastAsia="Times New Roman"/>
                <w:sz w:val="16"/>
                <w:szCs w:val="16"/>
              </w:rPr>
              <w:t>24,458,695</w:t>
            </w:r>
          </w:p>
        </w:tc>
        <w:tc>
          <w:tcPr>
            <w:tcW w:w="50" w:type="pct"/>
            <w:shd w:val="clear" w:color="auto" w:fill="CCEEFF"/>
            <w:vAlign w:val="bottom"/>
            <w:hideMark/>
          </w:tcPr>
          <w:p w14:paraId="1E85991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64F2CB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6738A7A"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6F7BB57C" w14:textId="77777777">
        <w:trPr>
          <w:tblCellSpacing w:w="0" w:type="dxa"/>
        </w:trPr>
        <w:tc>
          <w:tcPr>
            <w:tcW w:w="50" w:type="pct"/>
            <w:shd w:val="clear" w:color="auto" w:fill="FFFFFF"/>
            <w:vAlign w:val="bottom"/>
            <w:hideMark/>
          </w:tcPr>
          <w:p w14:paraId="06587DF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BE54A78" w14:textId="77777777" w:rsidR="00000000" w:rsidRDefault="0053651E">
            <w:pPr>
              <w:pStyle w:val="a3"/>
              <w:spacing w:before="0" w:beforeAutospacing="0" w:after="0" w:afterAutospacing="0"/>
              <w:rPr>
                <w:sz w:val="16"/>
                <w:szCs w:val="16"/>
              </w:rPr>
            </w:pPr>
            <w:r>
              <w:rPr>
                <w:sz w:val="16"/>
                <w:szCs w:val="16"/>
              </w:rPr>
              <w:t>WILDE LAKE</w:t>
            </w:r>
          </w:p>
        </w:tc>
        <w:tc>
          <w:tcPr>
            <w:tcW w:w="150" w:type="pct"/>
            <w:shd w:val="clear" w:color="auto" w:fill="FFFFFF"/>
            <w:vAlign w:val="bottom"/>
            <w:hideMark/>
          </w:tcPr>
          <w:p w14:paraId="766699FC"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592E41D2" w14:textId="77777777" w:rsidR="00000000" w:rsidRDefault="0053651E">
            <w:pPr>
              <w:jc w:val="right"/>
              <w:rPr>
                <w:rFonts w:eastAsia="Times New Roman"/>
                <w:sz w:val="16"/>
                <w:szCs w:val="16"/>
              </w:rPr>
            </w:pPr>
            <w:r>
              <w:rPr>
                <w:rFonts w:eastAsia="Times New Roman"/>
                <w:sz w:val="16"/>
                <w:szCs w:val="16"/>
              </w:rPr>
              <w:t>1,468,038</w:t>
            </w:r>
          </w:p>
        </w:tc>
        <w:tc>
          <w:tcPr>
            <w:tcW w:w="550" w:type="pct"/>
            <w:shd w:val="clear" w:color="auto" w:fill="FFFFFF"/>
            <w:vAlign w:val="bottom"/>
            <w:hideMark/>
          </w:tcPr>
          <w:p w14:paraId="5E9FF712" w14:textId="77777777" w:rsidR="00000000" w:rsidRDefault="0053651E">
            <w:pPr>
              <w:jc w:val="right"/>
              <w:rPr>
                <w:rFonts w:eastAsia="Times New Roman"/>
                <w:sz w:val="16"/>
                <w:szCs w:val="16"/>
              </w:rPr>
            </w:pPr>
            <w:r>
              <w:rPr>
                <w:rFonts w:eastAsia="Times New Roman"/>
                <w:sz w:val="16"/>
                <w:szCs w:val="16"/>
              </w:rPr>
              <w:t>5,869,862</w:t>
            </w:r>
          </w:p>
        </w:tc>
        <w:tc>
          <w:tcPr>
            <w:tcW w:w="350" w:type="pct"/>
            <w:shd w:val="clear" w:color="auto" w:fill="FFFFFF"/>
            <w:vAlign w:val="bottom"/>
            <w:hideMark/>
          </w:tcPr>
          <w:p w14:paraId="39D648F4" w14:textId="77777777" w:rsidR="00000000" w:rsidRDefault="0053651E">
            <w:pPr>
              <w:jc w:val="right"/>
              <w:rPr>
                <w:rFonts w:eastAsia="Times New Roman"/>
                <w:sz w:val="16"/>
                <w:szCs w:val="16"/>
              </w:rPr>
            </w:pPr>
            <w:r>
              <w:rPr>
                <w:rFonts w:eastAsia="Times New Roman"/>
                <w:sz w:val="16"/>
                <w:szCs w:val="16"/>
              </w:rPr>
              <w:t>26,110,759</w:t>
            </w:r>
          </w:p>
        </w:tc>
        <w:tc>
          <w:tcPr>
            <w:tcW w:w="300" w:type="pct"/>
            <w:shd w:val="clear" w:color="auto" w:fill="FFFFFF"/>
            <w:vAlign w:val="bottom"/>
            <w:hideMark/>
          </w:tcPr>
          <w:p w14:paraId="6CB98331" w14:textId="77777777" w:rsidR="00000000" w:rsidRDefault="0053651E">
            <w:pPr>
              <w:jc w:val="right"/>
              <w:rPr>
                <w:rFonts w:eastAsia="Times New Roman"/>
                <w:sz w:val="16"/>
                <w:szCs w:val="16"/>
              </w:rPr>
            </w:pPr>
            <w:r>
              <w:rPr>
                <w:rFonts w:eastAsia="Times New Roman"/>
                <w:sz w:val="16"/>
                <w:szCs w:val="16"/>
              </w:rPr>
              <w:t>2,577,073</w:t>
            </w:r>
          </w:p>
        </w:tc>
        <w:tc>
          <w:tcPr>
            <w:tcW w:w="450" w:type="pct"/>
            <w:shd w:val="clear" w:color="auto" w:fill="FFFFFF"/>
            <w:vAlign w:val="bottom"/>
            <w:hideMark/>
          </w:tcPr>
          <w:p w14:paraId="23EAE4BD" w14:textId="77777777" w:rsidR="00000000" w:rsidRDefault="0053651E">
            <w:pPr>
              <w:jc w:val="right"/>
              <w:rPr>
                <w:rFonts w:eastAsia="Times New Roman"/>
                <w:sz w:val="16"/>
                <w:szCs w:val="16"/>
              </w:rPr>
            </w:pPr>
            <w:r>
              <w:rPr>
                <w:rFonts w:eastAsia="Times New Roman"/>
                <w:sz w:val="16"/>
                <w:szCs w:val="16"/>
              </w:rPr>
              <w:t>30,871,586</w:t>
            </w:r>
          </w:p>
        </w:tc>
        <w:tc>
          <w:tcPr>
            <w:tcW w:w="350" w:type="pct"/>
            <w:shd w:val="clear" w:color="auto" w:fill="FFFFFF"/>
            <w:vAlign w:val="bottom"/>
            <w:hideMark/>
          </w:tcPr>
          <w:p w14:paraId="0555FCE8" w14:textId="77777777" w:rsidR="00000000" w:rsidRDefault="0053651E">
            <w:pPr>
              <w:jc w:val="right"/>
              <w:rPr>
                <w:rFonts w:eastAsia="Times New Roman"/>
                <w:sz w:val="16"/>
                <w:szCs w:val="16"/>
              </w:rPr>
            </w:pPr>
            <w:r>
              <w:rPr>
                <w:rFonts w:eastAsia="Times New Roman"/>
                <w:sz w:val="16"/>
                <w:szCs w:val="16"/>
              </w:rPr>
              <w:t>33,448,659</w:t>
            </w:r>
          </w:p>
        </w:tc>
        <w:tc>
          <w:tcPr>
            <w:tcW w:w="400" w:type="pct"/>
            <w:shd w:val="clear" w:color="auto" w:fill="FFFFFF"/>
            <w:vAlign w:val="bottom"/>
            <w:hideMark/>
          </w:tcPr>
          <w:p w14:paraId="4ED40661" w14:textId="77777777" w:rsidR="00000000" w:rsidRDefault="0053651E">
            <w:pPr>
              <w:jc w:val="right"/>
              <w:rPr>
                <w:rFonts w:eastAsia="Times New Roman"/>
                <w:sz w:val="16"/>
                <w:szCs w:val="16"/>
              </w:rPr>
            </w:pPr>
            <w:r>
              <w:rPr>
                <w:rFonts w:eastAsia="Times New Roman"/>
                <w:sz w:val="16"/>
                <w:szCs w:val="16"/>
              </w:rPr>
              <w:t>10,439,013</w:t>
            </w:r>
          </w:p>
        </w:tc>
        <w:tc>
          <w:tcPr>
            <w:tcW w:w="50" w:type="pct"/>
            <w:shd w:val="clear" w:color="auto" w:fill="FFFFFF"/>
            <w:vAlign w:val="bottom"/>
            <w:hideMark/>
          </w:tcPr>
          <w:p w14:paraId="3705969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C70345D" w14:textId="77777777" w:rsidR="00000000" w:rsidRDefault="0053651E">
            <w:pPr>
              <w:jc w:val="right"/>
              <w:rPr>
                <w:rFonts w:eastAsia="Times New Roman"/>
                <w:sz w:val="16"/>
                <w:szCs w:val="16"/>
              </w:rPr>
            </w:pPr>
            <w:r>
              <w:rPr>
                <w:rFonts w:eastAsia="Times New Roman"/>
                <w:sz w:val="16"/>
                <w:szCs w:val="16"/>
              </w:rPr>
              <w:t>23,009,646</w:t>
            </w:r>
          </w:p>
        </w:tc>
        <w:tc>
          <w:tcPr>
            <w:tcW w:w="50" w:type="pct"/>
            <w:shd w:val="clear" w:color="auto" w:fill="FFFFFF"/>
            <w:vAlign w:val="bottom"/>
            <w:hideMark/>
          </w:tcPr>
          <w:p w14:paraId="2795D57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A2BE01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03FED34" w14:textId="77777777" w:rsidR="00000000" w:rsidRDefault="0053651E">
            <w:pPr>
              <w:pStyle w:val="a3"/>
              <w:spacing w:before="0" w:beforeAutospacing="0" w:after="0" w:afterAutospacing="0"/>
              <w:jc w:val="center"/>
              <w:rPr>
                <w:sz w:val="16"/>
                <w:szCs w:val="16"/>
              </w:rPr>
            </w:pPr>
            <w:r>
              <w:rPr>
                <w:rStyle w:val="a6"/>
                <w:i w:val="0"/>
                <w:iCs w:val="0"/>
                <w:sz w:val="16"/>
                <w:szCs w:val="16"/>
              </w:rPr>
              <w:t>2002(A)</w:t>
            </w:r>
          </w:p>
        </w:tc>
      </w:tr>
      <w:tr w:rsidR="00000000" w14:paraId="00322AE2" w14:textId="77777777">
        <w:trPr>
          <w:tblCellSpacing w:w="0" w:type="dxa"/>
        </w:trPr>
        <w:tc>
          <w:tcPr>
            <w:tcW w:w="50" w:type="pct"/>
            <w:shd w:val="clear" w:color="auto" w:fill="CCEEFF"/>
            <w:vAlign w:val="bottom"/>
            <w:hideMark/>
          </w:tcPr>
          <w:p w14:paraId="77EE4ED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C5313BB" w14:textId="77777777" w:rsidR="00000000" w:rsidRDefault="0053651E">
            <w:pPr>
              <w:pStyle w:val="a3"/>
              <w:spacing w:before="0" w:beforeAutospacing="0" w:after="0" w:afterAutospacing="0"/>
              <w:rPr>
                <w:sz w:val="16"/>
                <w:szCs w:val="16"/>
              </w:rPr>
            </w:pPr>
            <w:r>
              <w:rPr>
                <w:sz w:val="16"/>
                <w:szCs w:val="16"/>
              </w:rPr>
              <w:t>RIVERHILL VILLAGE CENTER</w:t>
            </w:r>
          </w:p>
        </w:tc>
        <w:tc>
          <w:tcPr>
            <w:tcW w:w="150" w:type="pct"/>
            <w:shd w:val="clear" w:color="auto" w:fill="CCEEFF"/>
            <w:vAlign w:val="bottom"/>
            <w:hideMark/>
          </w:tcPr>
          <w:p w14:paraId="6A289205"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3176C6A6" w14:textId="77777777" w:rsidR="00000000" w:rsidRDefault="0053651E">
            <w:pPr>
              <w:jc w:val="right"/>
              <w:rPr>
                <w:rFonts w:eastAsia="Times New Roman"/>
                <w:sz w:val="16"/>
                <w:szCs w:val="16"/>
              </w:rPr>
            </w:pPr>
            <w:r>
              <w:rPr>
                <w:rFonts w:eastAsia="Times New Roman"/>
                <w:sz w:val="16"/>
                <w:szCs w:val="16"/>
              </w:rPr>
              <w:t>16,825,496</w:t>
            </w:r>
          </w:p>
        </w:tc>
        <w:tc>
          <w:tcPr>
            <w:tcW w:w="550" w:type="pct"/>
            <w:shd w:val="clear" w:color="auto" w:fill="CCEEFF"/>
            <w:vAlign w:val="bottom"/>
            <w:hideMark/>
          </w:tcPr>
          <w:p w14:paraId="34AF994F" w14:textId="77777777" w:rsidR="00000000" w:rsidRDefault="0053651E">
            <w:pPr>
              <w:jc w:val="right"/>
              <w:rPr>
                <w:rFonts w:eastAsia="Times New Roman"/>
                <w:sz w:val="16"/>
                <w:szCs w:val="16"/>
              </w:rPr>
            </w:pPr>
            <w:r>
              <w:rPr>
                <w:rFonts w:eastAsia="Times New Roman"/>
                <w:sz w:val="16"/>
                <w:szCs w:val="16"/>
              </w:rPr>
              <w:t>23,282,222</w:t>
            </w:r>
          </w:p>
        </w:tc>
        <w:tc>
          <w:tcPr>
            <w:tcW w:w="350" w:type="pct"/>
            <w:shd w:val="clear" w:color="auto" w:fill="CCEEFF"/>
            <w:vAlign w:val="bottom"/>
            <w:hideMark/>
          </w:tcPr>
          <w:p w14:paraId="4F993EB8" w14:textId="77777777" w:rsidR="00000000" w:rsidRDefault="0053651E">
            <w:pPr>
              <w:jc w:val="right"/>
              <w:rPr>
                <w:rFonts w:eastAsia="Times New Roman"/>
                <w:sz w:val="16"/>
                <w:szCs w:val="16"/>
              </w:rPr>
            </w:pPr>
            <w:r>
              <w:rPr>
                <w:rFonts w:eastAsia="Times New Roman"/>
                <w:sz w:val="16"/>
                <w:szCs w:val="16"/>
              </w:rPr>
              <w:t>249,700</w:t>
            </w:r>
          </w:p>
        </w:tc>
        <w:tc>
          <w:tcPr>
            <w:tcW w:w="300" w:type="pct"/>
            <w:shd w:val="clear" w:color="auto" w:fill="CCEEFF"/>
            <w:vAlign w:val="bottom"/>
            <w:hideMark/>
          </w:tcPr>
          <w:p w14:paraId="4507FC93" w14:textId="77777777" w:rsidR="00000000" w:rsidRDefault="0053651E">
            <w:pPr>
              <w:jc w:val="right"/>
              <w:rPr>
                <w:rFonts w:eastAsia="Times New Roman"/>
                <w:sz w:val="16"/>
                <w:szCs w:val="16"/>
              </w:rPr>
            </w:pPr>
            <w:r>
              <w:rPr>
                <w:rFonts w:eastAsia="Times New Roman"/>
                <w:sz w:val="16"/>
                <w:szCs w:val="16"/>
              </w:rPr>
              <w:t>16,825,496</w:t>
            </w:r>
          </w:p>
        </w:tc>
        <w:tc>
          <w:tcPr>
            <w:tcW w:w="450" w:type="pct"/>
            <w:shd w:val="clear" w:color="auto" w:fill="CCEEFF"/>
            <w:vAlign w:val="bottom"/>
            <w:hideMark/>
          </w:tcPr>
          <w:p w14:paraId="5E71642C" w14:textId="77777777" w:rsidR="00000000" w:rsidRDefault="0053651E">
            <w:pPr>
              <w:jc w:val="right"/>
              <w:rPr>
                <w:rFonts w:eastAsia="Times New Roman"/>
                <w:sz w:val="16"/>
                <w:szCs w:val="16"/>
              </w:rPr>
            </w:pPr>
            <w:r>
              <w:rPr>
                <w:rFonts w:eastAsia="Times New Roman"/>
                <w:sz w:val="16"/>
                <w:szCs w:val="16"/>
              </w:rPr>
              <w:t>23,531,922</w:t>
            </w:r>
          </w:p>
        </w:tc>
        <w:tc>
          <w:tcPr>
            <w:tcW w:w="350" w:type="pct"/>
            <w:shd w:val="clear" w:color="auto" w:fill="CCEEFF"/>
            <w:vAlign w:val="bottom"/>
            <w:hideMark/>
          </w:tcPr>
          <w:p w14:paraId="3F1CE4D8" w14:textId="77777777" w:rsidR="00000000" w:rsidRDefault="0053651E">
            <w:pPr>
              <w:jc w:val="right"/>
              <w:rPr>
                <w:rFonts w:eastAsia="Times New Roman"/>
                <w:sz w:val="16"/>
                <w:szCs w:val="16"/>
              </w:rPr>
            </w:pPr>
            <w:r>
              <w:rPr>
                <w:rFonts w:eastAsia="Times New Roman"/>
                <w:sz w:val="16"/>
                <w:szCs w:val="16"/>
              </w:rPr>
              <w:t>40,357,418</w:t>
            </w:r>
          </w:p>
        </w:tc>
        <w:tc>
          <w:tcPr>
            <w:tcW w:w="400" w:type="pct"/>
            <w:shd w:val="clear" w:color="auto" w:fill="CCEEFF"/>
            <w:vAlign w:val="bottom"/>
            <w:hideMark/>
          </w:tcPr>
          <w:p w14:paraId="52840BC8" w14:textId="77777777" w:rsidR="00000000" w:rsidRDefault="0053651E">
            <w:pPr>
              <w:jc w:val="right"/>
              <w:rPr>
                <w:rFonts w:eastAsia="Times New Roman"/>
                <w:sz w:val="16"/>
                <w:szCs w:val="16"/>
              </w:rPr>
            </w:pPr>
            <w:r>
              <w:rPr>
                <w:rFonts w:eastAsia="Times New Roman"/>
                <w:sz w:val="16"/>
                <w:szCs w:val="16"/>
              </w:rPr>
              <w:t>5,095,140</w:t>
            </w:r>
          </w:p>
        </w:tc>
        <w:tc>
          <w:tcPr>
            <w:tcW w:w="50" w:type="pct"/>
            <w:shd w:val="clear" w:color="auto" w:fill="CCEEFF"/>
            <w:vAlign w:val="bottom"/>
            <w:hideMark/>
          </w:tcPr>
          <w:p w14:paraId="2EC4E54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29CA4AA" w14:textId="77777777" w:rsidR="00000000" w:rsidRDefault="0053651E">
            <w:pPr>
              <w:jc w:val="right"/>
              <w:rPr>
                <w:rFonts w:eastAsia="Times New Roman"/>
                <w:sz w:val="16"/>
                <w:szCs w:val="16"/>
              </w:rPr>
            </w:pPr>
            <w:r>
              <w:rPr>
                <w:rFonts w:eastAsia="Times New Roman"/>
                <w:sz w:val="16"/>
                <w:szCs w:val="16"/>
              </w:rPr>
              <w:t>35,262,278</w:t>
            </w:r>
          </w:p>
        </w:tc>
        <w:tc>
          <w:tcPr>
            <w:tcW w:w="50" w:type="pct"/>
            <w:shd w:val="clear" w:color="auto" w:fill="CCEEFF"/>
            <w:vAlign w:val="bottom"/>
            <w:hideMark/>
          </w:tcPr>
          <w:p w14:paraId="5E65FFB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A10409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C8B89CC"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E037E34" w14:textId="77777777">
        <w:trPr>
          <w:tblCellSpacing w:w="0" w:type="dxa"/>
        </w:trPr>
        <w:tc>
          <w:tcPr>
            <w:tcW w:w="50" w:type="pct"/>
            <w:shd w:val="clear" w:color="auto" w:fill="FFFFFF"/>
            <w:vAlign w:val="bottom"/>
            <w:hideMark/>
          </w:tcPr>
          <w:p w14:paraId="1FA3D66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B65E186" w14:textId="77777777" w:rsidR="00000000" w:rsidRDefault="0053651E">
            <w:pPr>
              <w:pStyle w:val="a3"/>
              <w:spacing w:before="0" w:beforeAutospacing="0" w:after="0" w:afterAutospacing="0"/>
              <w:rPr>
                <w:sz w:val="16"/>
                <w:szCs w:val="16"/>
              </w:rPr>
            </w:pPr>
            <w:r>
              <w:rPr>
                <w:sz w:val="16"/>
                <w:szCs w:val="16"/>
              </w:rPr>
              <w:t>COLUMBIA CROSSING OUTPARCELS</w:t>
            </w:r>
          </w:p>
        </w:tc>
        <w:tc>
          <w:tcPr>
            <w:tcW w:w="150" w:type="pct"/>
            <w:shd w:val="clear" w:color="auto" w:fill="FFFFFF"/>
            <w:vAlign w:val="bottom"/>
            <w:hideMark/>
          </w:tcPr>
          <w:p w14:paraId="3E89B64F"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4423CC71" w14:textId="77777777" w:rsidR="00000000" w:rsidRDefault="0053651E">
            <w:pPr>
              <w:jc w:val="right"/>
              <w:rPr>
                <w:rFonts w:eastAsia="Times New Roman"/>
                <w:sz w:val="16"/>
                <w:szCs w:val="16"/>
              </w:rPr>
            </w:pPr>
            <w:r>
              <w:rPr>
                <w:rFonts w:eastAsia="Times New Roman"/>
                <w:sz w:val="16"/>
                <w:szCs w:val="16"/>
              </w:rPr>
              <w:t>1,279,200</w:t>
            </w:r>
          </w:p>
        </w:tc>
        <w:tc>
          <w:tcPr>
            <w:tcW w:w="550" w:type="pct"/>
            <w:shd w:val="clear" w:color="auto" w:fill="FFFFFF"/>
            <w:vAlign w:val="bottom"/>
            <w:hideMark/>
          </w:tcPr>
          <w:p w14:paraId="2C66D96D" w14:textId="77777777" w:rsidR="00000000" w:rsidRDefault="0053651E">
            <w:pPr>
              <w:jc w:val="right"/>
              <w:rPr>
                <w:rFonts w:eastAsia="Times New Roman"/>
                <w:sz w:val="16"/>
                <w:szCs w:val="16"/>
              </w:rPr>
            </w:pPr>
            <w:r>
              <w:rPr>
                <w:rFonts w:eastAsia="Times New Roman"/>
                <w:sz w:val="16"/>
                <w:szCs w:val="16"/>
              </w:rPr>
              <w:t>2,870,800</w:t>
            </w:r>
          </w:p>
        </w:tc>
        <w:tc>
          <w:tcPr>
            <w:tcW w:w="350" w:type="pct"/>
            <w:shd w:val="clear" w:color="auto" w:fill="FFFFFF"/>
            <w:vAlign w:val="bottom"/>
            <w:hideMark/>
          </w:tcPr>
          <w:p w14:paraId="00B0044A" w14:textId="77777777" w:rsidR="00000000" w:rsidRDefault="0053651E">
            <w:pPr>
              <w:jc w:val="right"/>
              <w:rPr>
                <w:rFonts w:eastAsia="Times New Roman"/>
                <w:sz w:val="16"/>
                <w:szCs w:val="16"/>
              </w:rPr>
            </w:pPr>
            <w:r>
              <w:rPr>
                <w:rFonts w:eastAsia="Times New Roman"/>
                <w:sz w:val="16"/>
                <w:szCs w:val="16"/>
              </w:rPr>
              <w:t>20,602,841</w:t>
            </w:r>
          </w:p>
        </w:tc>
        <w:tc>
          <w:tcPr>
            <w:tcW w:w="300" w:type="pct"/>
            <w:shd w:val="clear" w:color="auto" w:fill="FFFFFF"/>
            <w:vAlign w:val="bottom"/>
            <w:hideMark/>
          </w:tcPr>
          <w:p w14:paraId="7BA14E9D" w14:textId="77777777" w:rsidR="00000000" w:rsidRDefault="0053651E">
            <w:pPr>
              <w:jc w:val="right"/>
              <w:rPr>
                <w:rFonts w:eastAsia="Times New Roman"/>
                <w:sz w:val="16"/>
                <w:szCs w:val="16"/>
              </w:rPr>
            </w:pPr>
            <w:r>
              <w:rPr>
                <w:rFonts w:eastAsia="Times New Roman"/>
                <w:sz w:val="16"/>
                <w:szCs w:val="16"/>
              </w:rPr>
              <w:t>6,147,248</w:t>
            </w:r>
          </w:p>
        </w:tc>
        <w:tc>
          <w:tcPr>
            <w:tcW w:w="450" w:type="pct"/>
            <w:shd w:val="clear" w:color="auto" w:fill="FFFFFF"/>
            <w:vAlign w:val="bottom"/>
            <w:hideMark/>
          </w:tcPr>
          <w:p w14:paraId="7651E507" w14:textId="77777777" w:rsidR="00000000" w:rsidRDefault="0053651E">
            <w:pPr>
              <w:jc w:val="right"/>
              <w:rPr>
                <w:rFonts w:eastAsia="Times New Roman"/>
                <w:sz w:val="16"/>
                <w:szCs w:val="16"/>
              </w:rPr>
            </w:pPr>
            <w:r>
              <w:rPr>
                <w:rFonts w:eastAsia="Times New Roman"/>
                <w:sz w:val="16"/>
                <w:szCs w:val="16"/>
              </w:rPr>
              <w:t>18,605,593</w:t>
            </w:r>
          </w:p>
        </w:tc>
        <w:tc>
          <w:tcPr>
            <w:tcW w:w="350" w:type="pct"/>
            <w:shd w:val="clear" w:color="auto" w:fill="FFFFFF"/>
            <w:vAlign w:val="bottom"/>
            <w:hideMark/>
          </w:tcPr>
          <w:p w14:paraId="3ECC3CFF" w14:textId="77777777" w:rsidR="00000000" w:rsidRDefault="0053651E">
            <w:pPr>
              <w:jc w:val="right"/>
              <w:rPr>
                <w:rFonts w:eastAsia="Times New Roman"/>
                <w:sz w:val="16"/>
                <w:szCs w:val="16"/>
              </w:rPr>
            </w:pPr>
            <w:r>
              <w:rPr>
                <w:rFonts w:eastAsia="Times New Roman"/>
                <w:sz w:val="16"/>
                <w:szCs w:val="16"/>
              </w:rPr>
              <w:t>24,752,841</w:t>
            </w:r>
          </w:p>
        </w:tc>
        <w:tc>
          <w:tcPr>
            <w:tcW w:w="400" w:type="pct"/>
            <w:shd w:val="clear" w:color="auto" w:fill="FFFFFF"/>
            <w:vAlign w:val="bottom"/>
            <w:hideMark/>
          </w:tcPr>
          <w:p w14:paraId="3C4CDB6D" w14:textId="77777777" w:rsidR="00000000" w:rsidRDefault="0053651E">
            <w:pPr>
              <w:jc w:val="right"/>
              <w:rPr>
                <w:rFonts w:eastAsia="Times New Roman"/>
                <w:sz w:val="16"/>
                <w:szCs w:val="16"/>
              </w:rPr>
            </w:pPr>
            <w:r>
              <w:rPr>
                <w:rFonts w:eastAsia="Times New Roman"/>
                <w:sz w:val="16"/>
                <w:szCs w:val="16"/>
              </w:rPr>
              <w:t>3,793,940</w:t>
            </w:r>
          </w:p>
        </w:tc>
        <w:tc>
          <w:tcPr>
            <w:tcW w:w="50" w:type="pct"/>
            <w:shd w:val="clear" w:color="auto" w:fill="FFFFFF"/>
            <w:vAlign w:val="bottom"/>
            <w:hideMark/>
          </w:tcPr>
          <w:p w14:paraId="6B8AC7C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61FF032" w14:textId="77777777" w:rsidR="00000000" w:rsidRDefault="0053651E">
            <w:pPr>
              <w:jc w:val="right"/>
              <w:rPr>
                <w:rFonts w:eastAsia="Times New Roman"/>
                <w:sz w:val="16"/>
                <w:szCs w:val="16"/>
              </w:rPr>
            </w:pPr>
            <w:r>
              <w:rPr>
                <w:rFonts w:eastAsia="Times New Roman"/>
                <w:sz w:val="16"/>
                <w:szCs w:val="16"/>
              </w:rPr>
              <w:t>20,958,901</w:t>
            </w:r>
          </w:p>
        </w:tc>
        <w:tc>
          <w:tcPr>
            <w:tcW w:w="50" w:type="pct"/>
            <w:shd w:val="clear" w:color="auto" w:fill="FFFFFF"/>
            <w:vAlign w:val="bottom"/>
            <w:hideMark/>
          </w:tcPr>
          <w:p w14:paraId="524E773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7407D0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0086B26"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28BE875E" w14:textId="77777777">
        <w:trPr>
          <w:tblCellSpacing w:w="0" w:type="dxa"/>
        </w:trPr>
        <w:tc>
          <w:tcPr>
            <w:tcW w:w="50" w:type="pct"/>
            <w:shd w:val="clear" w:color="auto" w:fill="CCEEFF"/>
            <w:vAlign w:val="bottom"/>
            <w:hideMark/>
          </w:tcPr>
          <w:p w14:paraId="370D4BD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4240EE4" w14:textId="77777777" w:rsidR="00000000" w:rsidRDefault="0053651E">
            <w:pPr>
              <w:pStyle w:val="a3"/>
              <w:spacing w:before="0" w:beforeAutospacing="0" w:after="0" w:afterAutospacing="0"/>
              <w:rPr>
                <w:sz w:val="16"/>
                <w:szCs w:val="16"/>
              </w:rPr>
            </w:pPr>
            <w:r>
              <w:rPr>
                <w:sz w:val="16"/>
                <w:szCs w:val="16"/>
              </w:rPr>
              <w:t>COLUMBIA CROSSING II SHOP.CTR.</w:t>
            </w:r>
          </w:p>
        </w:tc>
        <w:tc>
          <w:tcPr>
            <w:tcW w:w="150" w:type="pct"/>
            <w:shd w:val="clear" w:color="auto" w:fill="CCEEFF"/>
            <w:vAlign w:val="bottom"/>
            <w:hideMark/>
          </w:tcPr>
          <w:p w14:paraId="465BFDBF"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522255B6" w14:textId="77777777" w:rsidR="00000000" w:rsidRDefault="0053651E">
            <w:pPr>
              <w:jc w:val="right"/>
              <w:rPr>
                <w:rFonts w:eastAsia="Times New Roman"/>
                <w:sz w:val="16"/>
                <w:szCs w:val="16"/>
              </w:rPr>
            </w:pPr>
            <w:r>
              <w:rPr>
                <w:rFonts w:eastAsia="Times New Roman"/>
                <w:sz w:val="16"/>
                <w:szCs w:val="16"/>
              </w:rPr>
              <w:t>3,137,628</w:t>
            </w:r>
          </w:p>
        </w:tc>
        <w:tc>
          <w:tcPr>
            <w:tcW w:w="550" w:type="pct"/>
            <w:shd w:val="clear" w:color="auto" w:fill="CCEEFF"/>
            <w:vAlign w:val="bottom"/>
            <w:hideMark/>
          </w:tcPr>
          <w:p w14:paraId="0A3F1258" w14:textId="77777777" w:rsidR="00000000" w:rsidRDefault="0053651E">
            <w:pPr>
              <w:jc w:val="right"/>
              <w:rPr>
                <w:rFonts w:eastAsia="Times New Roman"/>
                <w:sz w:val="16"/>
                <w:szCs w:val="16"/>
              </w:rPr>
            </w:pPr>
            <w:r>
              <w:rPr>
                <w:rFonts w:eastAsia="Times New Roman"/>
                <w:sz w:val="16"/>
                <w:szCs w:val="16"/>
              </w:rPr>
              <w:t>19,868,075</w:t>
            </w:r>
          </w:p>
        </w:tc>
        <w:tc>
          <w:tcPr>
            <w:tcW w:w="350" w:type="pct"/>
            <w:shd w:val="clear" w:color="auto" w:fill="CCEEFF"/>
            <w:vAlign w:val="bottom"/>
            <w:hideMark/>
          </w:tcPr>
          <w:p w14:paraId="30AF6AAC" w14:textId="77777777" w:rsidR="00000000" w:rsidRDefault="0053651E">
            <w:pPr>
              <w:jc w:val="right"/>
              <w:rPr>
                <w:rFonts w:eastAsia="Times New Roman"/>
                <w:sz w:val="16"/>
                <w:szCs w:val="16"/>
              </w:rPr>
            </w:pPr>
            <w:r>
              <w:rPr>
                <w:rFonts w:eastAsia="Times New Roman"/>
                <w:sz w:val="16"/>
                <w:szCs w:val="16"/>
              </w:rPr>
              <w:t>4,393,578</w:t>
            </w:r>
          </w:p>
        </w:tc>
        <w:tc>
          <w:tcPr>
            <w:tcW w:w="300" w:type="pct"/>
            <w:shd w:val="clear" w:color="auto" w:fill="CCEEFF"/>
            <w:vAlign w:val="bottom"/>
            <w:hideMark/>
          </w:tcPr>
          <w:p w14:paraId="549C24DF" w14:textId="77777777" w:rsidR="00000000" w:rsidRDefault="0053651E">
            <w:pPr>
              <w:jc w:val="right"/>
              <w:rPr>
                <w:rFonts w:eastAsia="Times New Roman"/>
                <w:sz w:val="16"/>
                <w:szCs w:val="16"/>
              </w:rPr>
            </w:pPr>
            <w:r>
              <w:rPr>
                <w:rFonts w:eastAsia="Times New Roman"/>
                <w:sz w:val="16"/>
                <w:szCs w:val="16"/>
              </w:rPr>
              <w:t>3,137,628</w:t>
            </w:r>
          </w:p>
        </w:tc>
        <w:tc>
          <w:tcPr>
            <w:tcW w:w="450" w:type="pct"/>
            <w:shd w:val="clear" w:color="auto" w:fill="CCEEFF"/>
            <w:vAlign w:val="bottom"/>
            <w:hideMark/>
          </w:tcPr>
          <w:p w14:paraId="053F576E" w14:textId="77777777" w:rsidR="00000000" w:rsidRDefault="0053651E">
            <w:pPr>
              <w:jc w:val="right"/>
              <w:rPr>
                <w:rFonts w:eastAsia="Times New Roman"/>
                <w:sz w:val="16"/>
                <w:szCs w:val="16"/>
              </w:rPr>
            </w:pPr>
            <w:r>
              <w:rPr>
                <w:rFonts w:eastAsia="Times New Roman"/>
                <w:sz w:val="16"/>
                <w:szCs w:val="16"/>
              </w:rPr>
              <w:t>24,261,653</w:t>
            </w:r>
          </w:p>
        </w:tc>
        <w:tc>
          <w:tcPr>
            <w:tcW w:w="350" w:type="pct"/>
            <w:shd w:val="clear" w:color="auto" w:fill="CCEEFF"/>
            <w:vAlign w:val="bottom"/>
            <w:hideMark/>
          </w:tcPr>
          <w:p w14:paraId="6A09D752" w14:textId="77777777" w:rsidR="00000000" w:rsidRDefault="0053651E">
            <w:pPr>
              <w:jc w:val="right"/>
              <w:rPr>
                <w:rFonts w:eastAsia="Times New Roman"/>
                <w:sz w:val="16"/>
                <w:szCs w:val="16"/>
              </w:rPr>
            </w:pPr>
            <w:r>
              <w:rPr>
                <w:rFonts w:eastAsia="Times New Roman"/>
                <w:sz w:val="16"/>
                <w:szCs w:val="16"/>
              </w:rPr>
              <w:t>27,399,281</w:t>
            </w:r>
          </w:p>
        </w:tc>
        <w:tc>
          <w:tcPr>
            <w:tcW w:w="400" w:type="pct"/>
            <w:shd w:val="clear" w:color="auto" w:fill="CCEEFF"/>
            <w:vAlign w:val="bottom"/>
            <w:hideMark/>
          </w:tcPr>
          <w:p w14:paraId="1696661E" w14:textId="77777777" w:rsidR="00000000" w:rsidRDefault="0053651E">
            <w:pPr>
              <w:jc w:val="right"/>
              <w:rPr>
                <w:rFonts w:eastAsia="Times New Roman"/>
                <w:sz w:val="16"/>
                <w:szCs w:val="16"/>
              </w:rPr>
            </w:pPr>
            <w:r>
              <w:rPr>
                <w:rFonts w:eastAsia="Times New Roman"/>
                <w:sz w:val="16"/>
                <w:szCs w:val="16"/>
              </w:rPr>
              <w:t>3,581,753</w:t>
            </w:r>
          </w:p>
        </w:tc>
        <w:tc>
          <w:tcPr>
            <w:tcW w:w="50" w:type="pct"/>
            <w:shd w:val="clear" w:color="auto" w:fill="CCEEFF"/>
            <w:vAlign w:val="bottom"/>
            <w:hideMark/>
          </w:tcPr>
          <w:p w14:paraId="22D8540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01B92A9" w14:textId="77777777" w:rsidR="00000000" w:rsidRDefault="0053651E">
            <w:pPr>
              <w:jc w:val="right"/>
              <w:rPr>
                <w:rFonts w:eastAsia="Times New Roman"/>
                <w:sz w:val="16"/>
                <w:szCs w:val="16"/>
              </w:rPr>
            </w:pPr>
            <w:r>
              <w:rPr>
                <w:rFonts w:eastAsia="Times New Roman"/>
                <w:sz w:val="16"/>
                <w:szCs w:val="16"/>
              </w:rPr>
              <w:t>23,817,528</w:t>
            </w:r>
          </w:p>
        </w:tc>
        <w:tc>
          <w:tcPr>
            <w:tcW w:w="50" w:type="pct"/>
            <w:shd w:val="clear" w:color="auto" w:fill="CCEEFF"/>
            <w:vAlign w:val="bottom"/>
            <w:hideMark/>
          </w:tcPr>
          <w:p w14:paraId="1CD6579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5EB929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963E7C1"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736BEDA2" w14:textId="77777777">
        <w:trPr>
          <w:tblCellSpacing w:w="0" w:type="dxa"/>
        </w:trPr>
        <w:tc>
          <w:tcPr>
            <w:tcW w:w="50" w:type="pct"/>
            <w:shd w:val="clear" w:color="auto" w:fill="FFFFFF"/>
            <w:vAlign w:val="bottom"/>
            <w:hideMark/>
          </w:tcPr>
          <w:p w14:paraId="305BFA1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3960F22" w14:textId="77777777" w:rsidR="00000000" w:rsidRDefault="0053651E">
            <w:pPr>
              <w:pStyle w:val="a3"/>
              <w:spacing w:before="0" w:beforeAutospacing="0" w:after="0" w:afterAutospacing="0"/>
              <w:rPr>
                <w:sz w:val="16"/>
                <w:szCs w:val="16"/>
              </w:rPr>
            </w:pPr>
            <w:r>
              <w:rPr>
                <w:sz w:val="16"/>
                <w:szCs w:val="16"/>
              </w:rPr>
              <w:t>SHOPS AT DISTRICT HEIGHTS</w:t>
            </w:r>
          </w:p>
        </w:tc>
        <w:tc>
          <w:tcPr>
            <w:tcW w:w="150" w:type="pct"/>
            <w:shd w:val="clear" w:color="auto" w:fill="FFFFFF"/>
            <w:vAlign w:val="bottom"/>
            <w:hideMark/>
          </w:tcPr>
          <w:p w14:paraId="3ECF6FD5"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3702081C" w14:textId="77777777" w:rsidR="00000000" w:rsidRDefault="0053651E">
            <w:pPr>
              <w:jc w:val="right"/>
              <w:rPr>
                <w:rFonts w:eastAsia="Times New Roman"/>
                <w:sz w:val="16"/>
                <w:szCs w:val="16"/>
              </w:rPr>
            </w:pPr>
            <w:r>
              <w:rPr>
                <w:rFonts w:eastAsia="Times New Roman"/>
                <w:sz w:val="16"/>
                <w:szCs w:val="16"/>
              </w:rPr>
              <w:t>8,165,638</w:t>
            </w:r>
          </w:p>
        </w:tc>
        <w:tc>
          <w:tcPr>
            <w:tcW w:w="550" w:type="pct"/>
            <w:shd w:val="clear" w:color="auto" w:fill="FFFFFF"/>
            <w:vAlign w:val="bottom"/>
            <w:hideMark/>
          </w:tcPr>
          <w:p w14:paraId="63FDE9D2" w14:textId="77777777" w:rsidR="00000000" w:rsidRDefault="0053651E">
            <w:pPr>
              <w:jc w:val="right"/>
              <w:rPr>
                <w:rFonts w:eastAsia="Times New Roman"/>
                <w:sz w:val="16"/>
                <w:szCs w:val="16"/>
              </w:rPr>
            </w:pPr>
            <w:r>
              <w:rPr>
                <w:rFonts w:eastAsia="Times New Roman"/>
                <w:sz w:val="16"/>
                <w:szCs w:val="16"/>
              </w:rPr>
              <w:t>21,970,661</w:t>
            </w:r>
          </w:p>
        </w:tc>
        <w:tc>
          <w:tcPr>
            <w:tcW w:w="350" w:type="pct"/>
            <w:shd w:val="clear" w:color="auto" w:fill="FFFFFF"/>
            <w:vAlign w:val="bottom"/>
            <w:hideMark/>
          </w:tcPr>
          <w:p w14:paraId="1EFFFA5A" w14:textId="77777777" w:rsidR="00000000" w:rsidRDefault="0053651E">
            <w:pPr>
              <w:jc w:val="right"/>
              <w:rPr>
                <w:rFonts w:eastAsia="Times New Roman"/>
                <w:sz w:val="16"/>
                <w:szCs w:val="16"/>
              </w:rPr>
            </w:pPr>
            <w:r>
              <w:rPr>
                <w:rFonts w:eastAsia="Times New Roman"/>
                <w:sz w:val="16"/>
                <w:szCs w:val="16"/>
              </w:rPr>
              <w:t>(1,330,335)</w:t>
            </w:r>
          </w:p>
        </w:tc>
        <w:tc>
          <w:tcPr>
            <w:tcW w:w="300" w:type="pct"/>
            <w:shd w:val="clear" w:color="auto" w:fill="FFFFFF"/>
            <w:vAlign w:val="bottom"/>
            <w:hideMark/>
          </w:tcPr>
          <w:p w14:paraId="5D341919" w14:textId="77777777" w:rsidR="00000000" w:rsidRDefault="0053651E">
            <w:pPr>
              <w:jc w:val="right"/>
              <w:rPr>
                <w:rFonts w:eastAsia="Times New Roman"/>
                <w:sz w:val="16"/>
                <w:szCs w:val="16"/>
              </w:rPr>
            </w:pPr>
            <w:r>
              <w:rPr>
                <w:rFonts w:eastAsia="Times New Roman"/>
                <w:sz w:val="16"/>
                <w:szCs w:val="16"/>
              </w:rPr>
              <w:t>7,298,215</w:t>
            </w:r>
          </w:p>
        </w:tc>
        <w:tc>
          <w:tcPr>
            <w:tcW w:w="450" w:type="pct"/>
            <w:shd w:val="clear" w:color="auto" w:fill="FFFFFF"/>
            <w:vAlign w:val="bottom"/>
            <w:hideMark/>
          </w:tcPr>
          <w:p w14:paraId="32B3BC15" w14:textId="77777777" w:rsidR="00000000" w:rsidRDefault="0053651E">
            <w:pPr>
              <w:jc w:val="right"/>
              <w:rPr>
                <w:rFonts w:eastAsia="Times New Roman"/>
                <w:sz w:val="16"/>
                <w:szCs w:val="16"/>
              </w:rPr>
            </w:pPr>
            <w:r>
              <w:rPr>
                <w:rFonts w:eastAsia="Times New Roman"/>
                <w:sz w:val="16"/>
                <w:szCs w:val="16"/>
              </w:rPr>
              <w:t>21,507,749</w:t>
            </w:r>
          </w:p>
        </w:tc>
        <w:tc>
          <w:tcPr>
            <w:tcW w:w="350" w:type="pct"/>
            <w:shd w:val="clear" w:color="auto" w:fill="FFFFFF"/>
            <w:vAlign w:val="bottom"/>
            <w:hideMark/>
          </w:tcPr>
          <w:p w14:paraId="34434FF7" w14:textId="77777777" w:rsidR="00000000" w:rsidRDefault="0053651E">
            <w:pPr>
              <w:jc w:val="right"/>
              <w:rPr>
                <w:rFonts w:eastAsia="Times New Roman"/>
                <w:sz w:val="16"/>
                <w:szCs w:val="16"/>
              </w:rPr>
            </w:pPr>
            <w:r>
              <w:rPr>
                <w:rFonts w:eastAsia="Times New Roman"/>
                <w:sz w:val="16"/>
                <w:szCs w:val="16"/>
              </w:rPr>
              <w:t>28,805,964</w:t>
            </w:r>
          </w:p>
        </w:tc>
        <w:tc>
          <w:tcPr>
            <w:tcW w:w="400" w:type="pct"/>
            <w:shd w:val="clear" w:color="auto" w:fill="FFFFFF"/>
            <w:vAlign w:val="bottom"/>
            <w:hideMark/>
          </w:tcPr>
          <w:p w14:paraId="155F8482" w14:textId="77777777" w:rsidR="00000000" w:rsidRDefault="0053651E">
            <w:pPr>
              <w:jc w:val="right"/>
              <w:rPr>
                <w:rFonts w:eastAsia="Times New Roman"/>
                <w:sz w:val="16"/>
                <w:szCs w:val="16"/>
              </w:rPr>
            </w:pPr>
            <w:r>
              <w:rPr>
                <w:rFonts w:eastAsia="Times New Roman"/>
                <w:sz w:val="16"/>
                <w:szCs w:val="16"/>
              </w:rPr>
              <w:t>2,658,063</w:t>
            </w:r>
          </w:p>
        </w:tc>
        <w:tc>
          <w:tcPr>
            <w:tcW w:w="50" w:type="pct"/>
            <w:shd w:val="clear" w:color="auto" w:fill="FFFFFF"/>
            <w:vAlign w:val="bottom"/>
            <w:hideMark/>
          </w:tcPr>
          <w:p w14:paraId="0C6B378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83E411D" w14:textId="77777777" w:rsidR="00000000" w:rsidRDefault="0053651E">
            <w:pPr>
              <w:jc w:val="right"/>
              <w:rPr>
                <w:rFonts w:eastAsia="Times New Roman"/>
                <w:sz w:val="16"/>
                <w:szCs w:val="16"/>
              </w:rPr>
            </w:pPr>
            <w:r>
              <w:rPr>
                <w:rFonts w:eastAsia="Times New Roman"/>
                <w:sz w:val="16"/>
                <w:szCs w:val="16"/>
              </w:rPr>
              <w:t>26,147,901</w:t>
            </w:r>
          </w:p>
        </w:tc>
        <w:tc>
          <w:tcPr>
            <w:tcW w:w="50" w:type="pct"/>
            <w:shd w:val="clear" w:color="auto" w:fill="FFFFFF"/>
            <w:vAlign w:val="bottom"/>
            <w:hideMark/>
          </w:tcPr>
          <w:p w14:paraId="5754ADC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69CA17C" w14:textId="77777777" w:rsidR="00000000" w:rsidRDefault="0053651E">
            <w:pPr>
              <w:jc w:val="right"/>
              <w:rPr>
                <w:rFonts w:eastAsia="Times New Roman"/>
                <w:sz w:val="16"/>
                <w:szCs w:val="16"/>
              </w:rPr>
            </w:pPr>
            <w:r>
              <w:rPr>
                <w:rFonts w:eastAsia="Times New Roman"/>
                <w:sz w:val="16"/>
                <w:szCs w:val="16"/>
              </w:rPr>
              <w:t>12,771,539</w:t>
            </w:r>
          </w:p>
        </w:tc>
        <w:tc>
          <w:tcPr>
            <w:tcW w:w="500" w:type="pct"/>
            <w:shd w:val="clear" w:color="auto" w:fill="FFFFFF"/>
            <w:vAlign w:val="bottom"/>
            <w:hideMark/>
          </w:tcPr>
          <w:p w14:paraId="21EBF03C"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BF21AFC" w14:textId="77777777">
        <w:trPr>
          <w:tblCellSpacing w:w="0" w:type="dxa"/>
        </w:trPr>
        <w:tc>
          <w:tcPr>
            <w:tcW w:w="50" w:type="pct"/>
            <w:shd w:val="clear" w:color="auto" w:fill="CCEEFF"/>
            <w:vAlign w:val="bottom"/>
            <w:hideMark/>
          </w:tcPr>
          <w:p w14:paraId="0E8856C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F755ADF" w14:textId="77777777" w:rsidR="00000000" w:rsidRDefault="0053651E">
            <w:pPr>
              <w:pStyle w:val="a3"/>
              <w:spacing w:before="0" w:beforeAutospacing="0" w:after="0" w:afterAutospacing="0"/>
              <w:rPr>
                <w:sz w:val="16"/>
                <w:szCs w:val="16"/>
              </w:rPr>
            </w:pPr>
            <w:r>
              <w:rPr>
                <w:sz w:val="16"/>
                <w:szCs w:val="16"/>
              </w:rPr>
              <w:t>ENCHANTED FOREST S.C.</w:t>
            </w:r>
          </w:p>
        </w:tc>
        <w:tc>
          <w:tcPr>
            <w:tcW w:w="150" w:type="pct"/>
            <w:shd w:val="clear" w:color="auto" w:fill="CCEEFF"/>
            <w:vAlign w:val="bottom"/>
            <w:hideMark/>
          </w:tcPr>
          <w:p w14:paraId="742BE34B"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52BB9C9F" w14:textId="77777777" w:rsidR="00000000" w:rsidRDefault="0053651E">
            <w:pPr>
              <w:jc w:val="right"/>
              <w:rPr>
                <w:rFonts w:eastAsia="Times New Roman"/>
                <w:sz w:val="16"/>
                <w:szCs w:val="16"/>
              </w:rPr>
            </w:pPr>
            <w:r>
              <w:rPr>
                <w:rFonts w:eastAsia="Times New Roman"/>
                <w:sz w:val="16"/>
                <w:szCs w:val="16"/>
              </w:rPr>
              <w:t>20,123,946</w:t>
            </w:r>
          </w:p>
        </w:tc>
        <w:tc>
          <w:tcPr>
            <w:tcW w:w="550" w:type="pct"/>
            <w:shd w:val="clear" w:color="auto" w:fill="CCEEFF"/>
            <w:vAlign w:val="bottom"/>
            <w:hideMark/>
          </w:tcPr>
          <w:p w14:paraId="02745AA7" w14:textId="77777777" w:rsidR="00000000" w:rsidRDefault="0053651E">
            <w:pPr>
              <w:jc w:val="right"/>
              <w:rPr>
                <w:rFonts w:eastAsia="Times New Roman"/>
                <w:sz w:val="16"/>
                <w:szCs w:val="16"/>
              </w:rPr>
            </w:pPr>
            <w:r>
              <w:rPr>
                <w:rFonts w:eastAsia="Times New Roman"/>
                <w:sz w:val="16"/>
                <w:szCs w:val="16"/>
              </w:rPr>
              <w:t>34,345,102</w:t>
            </w:r>
          </w:p>
        </w:tc>
        <w:tc>
          <w:tcPr>
            <w:tcW w:w="350" w:type="pct"/>
            <w:shd w:val="clear" w:color="auto" w:fill="CCEEFF"/>
            <w:vAlign w:val="bottom"/>
            <w:hideMark/>
          </w:tcPr>
          <w:p w14:paraId="44C678CE" w14:textId="77777777" w:rsidR="00000000" w:rsidRDefault="0053651E">
            <w:pPr>
              <w:jc w:val="right"/>
              <w:rPr>
                <w:rFonts w:eastAsia="Times New Roman"/>
                <w:sz w:val="16"/>
                <w:szCs w:val="16"/>
              </w:rPr>
            </w:pPr>
            <w:r>
              <w:rPr>
                <w:rFonts w:eastAsia="Times New Roman"/>
                <w:sz w:val="16"/>
                <w:szCs w:val="16"/>
              </w:rPr>
              <w:t>902,976</w:t>
            </w:r>
          </w:p>
        </w:tc>
        <w:tc>
          <w:tcPr>
            <w:tcW w:w="300" w:type="pct"/>
            <w:shd w:val="clear" w:color="auto" w:fill="CCEEFF"/>
            <w:vAlign w:val="bottom"/>
            <w:hideMark/>
          </w:tcPr>
          <w:p w14:paraId="0D156343" w14:textId="77777777" w:rsidR="00000000" w:rsidRDefault="0053651E">
            <w:pPr>
              <w:jc w:val="right"/>
              <w:rPr>
                <w:rFonts w:eastAsia="Times New Roman"/>
                <w:sz w:val="16"/>
                <w:szCs w:val="16"/>
              </w:rPr>
            </w:pPr>
            <w:r>
              <w:rPr>
                <w:rFonts w:eastAsia="Times New Roman"/>
                <w:sz w:val="16"/>
                <w:szCs w:val="16"/>
              </w:rPr>
              <w:t>20,123,946</w:t>
            </w:r>
          </w:p>
        </w:tc>
        <w:tc>
          <w:tcPr>
            <w:tcW w:w="450" w:type="pct"/>
            <w:shd w:val="clear" w:color="auto" w:fill="CCEEFF"/>
            <w:vAlign w:val="bottom"/>
            <w:hideMark/>
          </w:tcPr>
          <w:p w14:paraId="088DC574" w14:textId="77777777" w:rsidR="00000000" w:rsidRDefault="0053651E">
            <w:pPr>
              <w:jc w:val="right"/>
              <w:rPr>
                <w:rFonts w:eastAsia="Times New Roman"/>
                <w:sz w:val="16"/>
                <w:szCs w:val="16"/>
              </w:rPr>
            </w:pPr>
            <w:r>
              <w:rPr>
                <w:rFonts w:eastAsia="Times New Roman"/>
                <w:sz w:val="16"/>
                <w:szCs w:val="16"/>
              </w:rPr>
              <w:t>35,248,078</w:t>
            </w:r>
          </w:p>
        </w:tc>
        <w:tc>
          <w:tcPr>
            <w:tcW w:w="350" w:type="pct"/>
            <w:shd w:val="clear" w:color="auto" w:fill="CCEEFF"/>
            <w:vAlign w:val="bottom"/>
            <w:hideMark/>
          </w:tcPr>
          <w:p w14:paraId="41DCAAE3" w14:textId="77777777" w:rsidR="00000000" w:rsidRDefault="0053651E">
            <w:pPr>
              <w:jc w:val="right"/>
              <w:rPr>
                <w:rFonts w:eastAsia="Times New Roman"/>
                <w:sz w:val="16"/>
                <w:szCs w:val="16"/>
              </w:rPr>
            </w:pPr>
            <w:r>
              <w:rPr>
                <w:rFonts w:eastAsia="Times New Roman"/>
                <w:sz w:val="16"/>
                <w:szCs w:val="16"/>
              </w:rPr>
              <w:t>55,372,024</w:t>
            </w:r>
          </w:p>
        </w:tc>
        <w:tc>
          <w:tcPr>
            <w:tcW w:w="400" w:type="pct"/>
            <w:shd w:val="clear" w:color="auto" w:fill="CCEEFF"/>
            <w:vAlign w:val="bottom"/>
            <w:hideMark/>
          </w:tcPr>
          <w:p w14:paraId="4994A5B3" w14:textId="77777777" w:rsidR="00000000" w:rsidRDefault="0053651E">
            <w:pPr>
              <w:jc w:val="right"/>
              <w:rPr>
                <w:rFonts w:eastAsia="Times New Roman"/>
                <w:sz w:val="16"/>
                <w:szCs w:val="16"/>
              </w:rPr>
            </w:pPr>
            <w:r>
              <w:rPr>
                <w:rFonts w:eastAsia="Times New Roman"/>
                <w:sz w:val="16"/>
                <w:szCs w:val="16"/>
              </w:rPr>
              <w:t>6,614,004</w:t>
            </w:r>
          </w:p>
        </w:tc>
        <w:tc>
          <w:tcPr>
            <w:tcW w:w="50" w:type="pct"/>
            <w:shd w:val="clear" w:color="auto" w:fill="CCEEFF"/>
            <w:vAlign w:val="bottom"/>
            <w:hideMark/>
          </w:tcPr>
          <w:p w14:paraId="66A598B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9DFC83E" w14:textId="77777777" w:rsidR="00000000" w:rsidRDefault="0053651E">
            <w:pPr>
              <w:jc w:val="right"/>
              <w:rPr>
                <w:rFonts w:eastAsia="Times New Roman"/>
                <w:sz w:val="16"/>
                <w:szCs w:val="16"/>
              </w:rPr>
            </w:pPr>
            <w:r>
              <w:rPr>
                <w:rFonts w:eastAsia="Times New Roman"/>
                <w:sz w:val="16"/>
                <w:szCs w:val="16"/>
              </w:rPr>
              <w:t>48,758,020</w:t>
            </w:r>
          </w:p>
        </w:tc>
        <w:tc>
          <w:tcPr>
            <w:tcW w:w="50" w:type="pct"/>
            <w:shd w:val="clear" w:color="auto" w:fill="CCEEFF"/>
            <w:vAlign w:val="bottom"/>
            <w:hideMark/>
          </w:tcPr>
          <w:p w14:paraId="1911DBB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D2722F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174767B"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6AC19BB" w14:textId="77777777">
        <w:trPr>
          <w:tblCellSpacing w:w="0" w:type="dxa"/>
        </w:trPr>
        <w:tc>
          <w:tcPr>
            <w:tcW w:w="50" w:type="pct"/>
            <w:shd w:val="clear" w:color="auto" w:fill="FFFFFF"/>
            <w:vAlign w:val="bottom"/>
            <w:hideMark/>
          </w:tcPr>
          <w:p w14:paraId="0202084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30406ED" w14:textId="77777777" w:rsidR="00000000" w:rsidRDefault="0053651E">
            <w:pPr>
              <w:pStyle w:val="a3"/>
              <w:spacing w:before="0" w:beforeAutospacing="0" w:after="0" w:afterAutospacing="0"/>
              <w:rPr>
                <w:sz w:val="16"/>
                <w:szCs w:val="16"/>
              </w:rPr>
            </w:pPr>
            <w:r>
              <w:rPr>
                <w:sz w:val="16"/>
                <w:szCs w:val="16"/>
              </w:rPr>
              <w:t>SHOPPES AT EASTON</w:t>
            </w:r>
          </w:p>
        </w:tc>
        <w:tc>
          <w:tcPr>
            <w:tcW w:w="150" w:type="pct"/>
            <w:shd w:val="clear" w:color="auto" w:fill="FFFFFF"/>
            <w:vAlign w:val="bottom"/>
            <w:hideMark/>
          </w:tcPr>
          <w:p w14:paraId="6C8A6CFE"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15843447" w14:textId="77777777" w:rsidR="00000000" w:rsidRDefault="0053651E">
            <w:pPr>
              <w:jc w:val="right"/>
              <w:rPr>
                <w:rFonts w:eastAsia="Times New Roman"/>
                <w:sz w:val="16"/>
                <w:szCs w:val="16"/>
              </w:rPr>
            </w:pPr>
            <w:r>
              <w:rPr>
                <w:rFonts w:eastAsia="Times New Roman"/>
                <w:sz w:val="16"/>
                <w:szCs w:val="16"/>
              </w:rPr>
              <w:t>6,523,713</w:t>
            </w:r>
          </w:p>
        </w:tc>
        <w:tc>
          <w:tcPr>
            <w:tcW w:w="550" w:type="pct"/>
            <w:shd w:val="clear" w:color="auto" w:fill="FFFFFF"/>
            <w:vAlign w:val="bottom"/>
            <w:hideMark/>
          </w:tcPr>
          <w:p w14:paraId="0BD63FC5" w14:textId="77777777" w:rsidR="00000000" w:rsidRDefault="0053651E">
            <w:pPr>
              <w:jc w:val="right"/>
              <w:rPr>
                <w:rFonts w:eastAsia="Times New Roman"/>
                <w:sz w:val="16"/>
                <w:szCs w:val="16"/>
              </w:rPr>
            </w:pPr>
            <w:r>
              <w:rPr>
                <w:rFonts w:eastAsia="Times New Roman"/>
                <w:sz w:val="16"/>
                <w:szCs w:val="16"/>
              </w:rPr>
              <w:t>16,402,204</w:t>
            </w:r>
          </w:p>
        </w:tc>
        <w:tc>
          <w:tcPr>
            <w:tcW w:w="350" w:type="pct"/>
            <w:shd w:val="clear" w:color="auto" w:fill="FFFFFF"/>
            <w:vAlign w:val="bottom"/>
            <w:hideMark/>
          </w:tcPr>
          <w:p w14:paraId="35590FFB" w14:textId="77777777" w:rsidR="00000000" w:rsidRDefault="0053651E">
            <w:pPr>
              <w:jc w:val="right"/>
              <w:rPr>
                <w:rFonts w:eastAsia="Times New Roman"/>
                <w:sz w:val="16"/>
                <w:szCs w:val="16"/>
              </w:rPr>
            </w:pPr>
            <w:r>
              <w:rPr>
                <w:rFonts w:eastAsia="Times New Roman"/>
                <w:sz w:val="16"/>
                <w:szCs w:val="16"/>
              </w:rPr>
              <w:t>(2,463,057)</w:t>
            </w:r>
          </w:p>
        </w:tc>
        <w:tc>
          <w:tcPr>
            <w:tcW w:w="300" w:type="pct"/>
            <w:shd w:val="clear" w:color="auto" w:fill="FFFFFF"/>
            <w:vAlign w:val="bottom"/>
            <w:hideMark/>
          </w:tcPr>
          <w:p w14:paraId="34C6D87E" w14:textId="77777777" w:rsidR="00000000" w:rsidRDefault="0053651E">
            <w:pPr>
              <w:jc w:val="right"/>
              <w:rPr>
                <w:rFonts w:eastAsia="Times New Roman"/>
                <w:sz w:val="16"/>
                <w:szCs w:val="16"/>
              </w:rPr>
            </w:pPr>
            <w:r>
              <w:rPr>
                <w:rFonts w:eastAsia="Times New Roman"/>
                <w:sz w:val="16"/>
                <w:szCs w:val="16"/>
              </w:rPr>
              <w:t>6,523,713</w:t>
            </w:r>
          </w:p>
        </w:tc>
        <w:tc>
          <w:tcPr>
            <w:tcW w:w="450" w:type="pct"/>
            <w:shd w:val="clear" w:color="auto" w:fill="FFFFFF"/>
            <w:vAlign w:val="bottom"/>
            <w:hideMark/>
          </w:tcPr>
          <w:p w14:paraId="4B6C181D" w14:textId="77777777" w:rsidR="00000000" w:rsidRDefault="0053651E">
            <w:pPr>
              <w:jc w:val="right"/>
              <w:rPr>
                <w:rFonts w:eastAsia="Times New Roman"/>
                <w:sz w:val="16"/>
                <w:szCs w:val="16"/>
              </w:rPr>
            </w:pPr>
            <w:r>
              <w:rPr>
                <w:rFonts w:eastAsia="Times New Roman"/>
                <w:sz w:val="16"/>
                <w:szCs w:val="16"/>
              </w:rPr>
              <w:t>13,939,147</w:t>
            </w:r>
          </w:p>
        </w:tc>
        <w:tc>
          <w:tcPr>
            <w:tcW w:w="350" w:type="pct"/>
            <w:shd w:val="clear" w:color="auto" w:fill="FFFFFF"/>
            <w:vAlign w:val="bottom"/>
            <w:hideMark/>
          </w:tcPr>
          <w:p w14:paraId="0CE5EF2C" w14:textId="77777777" w:rsidR="00000000" w:rsidRDefault="0053651E">
            <w:pPr>
              <w:jc w:val="right"/>
              <w:rPr>
                <w:rFonts w:eastAsia="Times New Roman"/>
                <w:sz w:val="16"/>
                <w:szCs w:val="16"/>
              </w:rPr>
            </w:pPr>
            <w:r>
              <w:rPr>
                <w:rFonts w:eastAsia="Times New Roman"/>
                <w:sz w:val="16"/>
                <w:szCs w:val="16"/>
              </w:rPr>
              <w:t>20,462,860</w:t>
            </w:r>
          </w:p>
        </w:tc>
        <w:tc>
          <w:tcPr>
            <w:tcW w:w="400" w:type="pct"/>
            <w:shd w:val="clear" w:color="auto" w:fill="FFFFFF"/>
            <w:vAlign w:val="bottom"/>
            <w:hideMark/>
          </w:tcPr>
          <w:p w14:paraId="6C152E45" w14:textId="77777777" w:rsidR="00000000" w:rsidRDefault="0053651E">
            <w:pPr>
              <w:jc w:val="right"/>
              <w:rPr>
                <w:rFonts w:eastAsia="Times New Roman"/>
                <w:sz w:val="16"/>
                <w:szCs w:val="16"/>
              </w:rPr>
            </w:pPr>
            <w:r>
              <w:rPr>
                <w:rFonts w:eastAsia="Times New Roman"/>
                <w:sz w:val="16"/>
                <w:szCs w:val="16"/>
              </w:rPr>
              <w:t>2,899,366</w:t>
            </w:r>
          </w:p>
        </w:tc>
        <w:tc>
          <w:tcPr>
            <w:tcW w:w="50" w:type="pct"/>
            <w:shd w:val="clear" w:color="auto" w:fill="FFFFFF"/>
            <w:vAlign w:val="bottom"/>
            <w:hideMark/>
          </w:tcPr>
          <w:p w14:paraId="039CEB4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5F9DC87" w14:textId="77777777" w:rsidR="00000000" w:rsidRDefault="0053651E">
            <w:pPr>
              <w:jc w:val="right"/>
              <w:rPr>
                <w:rFonts w:eastAsia="Times New Roman"/>
                <w:sz w:val="16"/>
                <w:szCs w:val="16"/>
              </w:rPr>
            </w:pPr>
            <w:r>
              <w:rPr>
                <w:rFonts w:eastAsia="Times New Roman"/>
                <w:sz w:val="16"/>
                <w:szCs w:val="16"/>
              </w:rPr>
              <w:t>17,563,494</w:t>
            </w:r>
          </w:p>
        </w:tc>
        <w:tc>
          <w:tcPr>
            <w:tcW w:w="50" w:type="pct"/>
            <w:shd w:val="clear" w:color="auto" w:fill="FFFFFF"/>
            <w:vAlign w:val="bottom"/>
            <w:hideMark/>
          </w:tcPr>
          <w:p w14:paraId="4D8DFE8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B6B93C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91145B5"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F04FD67" w14:textId="77777777">
        <w:trPr>
          <w:tblCellSpacing w:w="0" w:type="dxa"/>
        </w:trPr>
        <w:tc>
          <w:tcPr>
            <w:tcW w:w="50" w:type="pct"/>
            <w:shd w:val="clear" w:color="auto" w:fill="CCEEFF"/>
            <w:vAlign w:val="bottom"/>
            <w:hideMark/>
          </w:tcPr>
          <w:p w14:paraId="0363E0C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9B2A422" w14:textId="77777777" w:rsidR="00000000" w:rsidRDefault="0053651E">
            <w:pPr>
              <w:pStyle w:val="a3"/>
              <w:spacing w:before="0" w:beforeAutospacing="0" w:after="0" w:afterAutospacing="0"/>
              <w:rPr>
                <w:sz w:val="16"/>
                <w:szCs w:val="16"/>
              </w:rPr>
            </w:pPr>
            <w:r>
              <w:rPr>
                <w:sz w:val="16"/>
                <w:szCs w:val="16"/>
              </w:rPr>
              <w:t>VILLAGES AT URBANA</w:t>
            </w:r>
          </w:p>
        </w:tc>
        <w:tc>
          <w:tcPr>
            <w:tcW w:w="150" w:type="pct"/>
            <w:shd w:val="clear" w:color="auto" w:fill="CCEEFF"/>
            <w:vAlign w:val="bottom"/>
            <w:hideMark/>
          </w:tcPr>
          <w:p w14:paraId="454F7987"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14F60D55" w14:textId="77777777" w:rsidR="00000000" w:rsidRDefault="0053651E">
            <w:pPr>
              <w:jc w:val="right"/>
              <w:rPr>
                <w:rFonts w:eastAsia="Times New Roman"/>
                <w:sz w:val="16"/>
                <w:szCs w:val="16"/>
              </w:rPr>
            </w:pPr>
            <w:r>
              <w:rPr>
                <w:rFonts w:eastAsia="Times New Roman"/>
                <w:sz w:val="16"/>
                <w:szCs w:val="16"/>
              </w:rPr>
              <w:t>3,190,074</w:t>
            </w:r>
          </w:p>
        </w:tc>
        <w:tc>
          <w:tcPr>
            <w:tcW w:w="550" w:type="pct"/>
            <w:shd w:val="clear" w:color="auto" w:fill="CCEEFF"/>
            <w:vAlign w:val="bottom"/>
            <w:hideMark/>
          </w:tcPr>
          <w:p w14:paraId="3E6A2ED3" w14:textId="77777777" w:rsidR="00000000" w:rsidRDefault="0053651E">
            <w:pPr>
              <w:jc w:val="right"/>
              <w:rPr>
                <w:rFonts w:eastAsia="Times New Roman"/>
                <w:sz w:val="16"/>
                <w:szCs w:val="16"/>
              </w:rPr>
            </w:pPr>
            <w:r>
              <w:rPr>
                <w:rFonts w:eastAsia="Times New Roman"/>
                <w:sz w:val="16"/>
                <w:szCs w:val="16"/>
              </w:rPr>
              <w:t>6,067</w:t>
            </w:r>
          </w:p>
        </w:tc>
        <w:tc>
          <w:tcPr>
            <w:tcW w:w="350" w:type="pct"/>
            <w:shd w:val="clear" w:color="auto" w:fill="CCEEFF"/>
            <w:vAlign w:val="bottom"/>
            <w:hideMark/>
          </w:tcPr>
          <w:p w14:paraId="0A93304B" w14:textId="77777777" w:rsidR="00000000" w:rsidRDefault="0053651E">
            <w:pPr>
              <w:jc w:val="right"/>
              <w:rPr>
                <w:rFonts w:eastAsia="Times New Roman"/>
                <w:sz w:val="16"/>
                <w:szCs w:val="16"/>
              </w:rPr>
            </w:pPr>
            <w:r>
              <w:rPr>
                <w:rFonts w:eastAsia="Times New Roman"/>
                <w:sz w:val="16"/>
                <w:szCs w:val="16"/>
              </w:rPr>
              <w:t>19,360,692</w:t>
            </w:r>
          </w:p>
        </w:tc>
        <w:tc>
          <w:tcPr>
            <w:tcW w:w="300" w:type="pct"/>
            <w:shd w:val="clear" w:color="auto" w:fill="CCEEFF"/>
            <w:vAlign w:val="bottom"/>
            <w:hideMark/>
          </w:tcPr>
          <w:p w14:paraId="4BB06657" w14:textId="77777777" w:rsidR="00000000" w:rsidRDefault="0053651E">
            <w:pPr>
              <w:jc w:val="right"/>
              <w:rPr>
                <w:rFonts w:eastAsia="Times New Roman"/>
                <w:sz w:val="16"/>
                <w:szCs w:val="16"/>
              </w:rPr>
            </w:pPr>
            <w:r>
              <w:rPr>
                <w:rFonts w:eastAsia="Times New Roman"/>
                <w:sz w:val="16"/>
                <w:szCs w:val="16"/>
              </w:rPr>
              <w:t>4,828,774</w:t>
            </w:r>
          </w:p>
        </w:tc>
        <w:tc>
          <w:tcPr>
            <w:tcW w:w="450" w:type="pct"/>
            <w:shd w:val="clear" w:color="auto" w:fill="CCEEFF"/>
            <w:vAlign w:val="bottom"/>
            <w:hideMark/>
          </w:tcPr>
          <w:p w14:paraId="4953012E" w14:textId="77777777" w:rsidR="00000000" w:rsidRDefault="0053651E">
            <w:pPr>
              <w:jc w:val="right"/>
              <w:rPr>
                <w:rFonts w:eastAsia="Times New Roman"/>
                <w:sz w:val="16"/>
                <w:szCs w:val="16"/>
              </w:rPr>
            </w:pPr>
            <w:r>
              <w:rPr>
                <w:rFonts w:eastAsia="Times New Roman"/>
                <w:sz w:val="16"/>
                <w:szCs w:val="16"/>
              </w:rPr>
              <w:t>17,728,059</w:t>
            </w:r>
          </w:p>
        </w:tc>
        <w:tc>
          <w:tcPr>
            <w:tcW w:w="350" w:type="pct"/>
            <w:shd w:val="clear" w:color="auto" w:fill="CCEEFF"/>
            <w:vAlign w:val="bottom"/>
            <w:hideMark/>
          </w:tcPr>
          <w:p w14:paraId="106118EE" w14:textId="77777777" w:rsidR="00000000" w:rsidRDefault="0053651E">
            <w:pPr>
              <w:jc w:val="right"/>
              <w:rPr>
                <w:rFonts w:eastAsia="Times New Roman"/>
                <w:sz w:val="16"/>
                <w:szCs w:val="16"/>
              </w:rPr>
            </w:pPr>
            <w:r>
              <w:rPr>
                <w:rFonts w:eastAsia="Times New Roman"/>
                <w:sz w:val="16"/>
                <w:szCs w:val="16"/>
              </w:rPr>
              <w:t>22,556,833</w:t>
            </w:r>
          </w:p>
        </w:tc>
        <w:tc>
          <w:tcPr>
            <w:tcW w:w="400" w:type="pct"/>
            <w:shd w:val="clear" w:color="auto" w:fill="CCEEFF"/>
            <w:vAlign w:val="bottom"/>
            <w:hideMark/>
          </w:tcPr>
          <w:p w14:paraId="7806266B" w14:textId="77777777" w:rsidR="00000000" w:rsidRDefault="0053651E">
            <w:pPr>
              <w:jc w:val="right"/>
              <w:rPr>
                <w:rFonts w:eastAsia="Times New Roman"/>
                <w:sz w:val="16"/>
                <w:szCs w:val="16"/>
              </w:rPr>
            </w:pPr>
            <w:r>
              <w:rPr>
                <w:rFonts w:eastAsia="Times New Roman"/>
                <w:sz w:val="16"/>
                <w:szCs w:val="16"/>
              </w:rPr>
              <w:t>2,517,436</w:t>
            </w:r>
          </w:p>
        </w:tc>
        <w:tc>
          <w:tcPr>
            <w:tcW w:w="50" w:type="pct"/>
            <w:shd w:val="clear" w:color="auto" w:fill="CCEEFF"/>
            <w:vAlign w:val="bottom"/>
            <w:hideMark/>
          </w:tcPr>
          <w:p w14:paraId="1EFCCD6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360F668" w14:textId="77777777" w:rsidR="00000000" w:rsidRDefault="0053651E">
            <w:pPr>
              <w:jc w:val="right"/>
              <w:rPr>
                <w:rFonts w:eastAsia="Times New Roman"/>
                <w:sz w:val="16"/>
                <w:szCs w:val="16"/>
              </w:rPr>
            </w:pPr>
            <w:r>
              <w:rPr>
                <w:rFonts w:eastAsia="Times New Roman"/>
                <w:sz w:val="16"/>
                <w:szCs w:val="16"/>
              </w:rPr>
              <w:t>20,039,397</w:t>
            </w:r>
          </w:p>
        </w:tc>
        <w:tc>
          <w:tcPr>
            <w:tcW w:w="50" w:type="pct"/>
            <w:shd w:val="clear" w:color="auto" w:fill="CCEEFF"/>
            <w:vAlign w:val="bottom"/>
            <w:hideMark/>
          </w:tcPr>
          <w:p w14:paraId="19D9D5A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4E5B09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AB4A405"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62D2AAD9" w14:textId="77777777">
        <w:trPr>
          <w:tblCellSpacing w:w="0" w:type="dxa"/>
        </w:trPr>
        <w:tc>
          <w:tcPr>
            <w:tcW w:w="50" w:type="pct"/>
            <w:shd w:val="clear" w:color="auto" w:fill="FFFFFF"/>
            <w:vAlign w:val="bottom"/>
            <w:hideMark/>
          </w:tcPr>
          <w:p w14:paraId="0D7A2AF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2D00C32" w14:textId="77777777" w:rsidR="00000000" w:rsidRDefault="0053651E">
            <w:pPr>
              <w:pStyle w:val="a3"/>
              <w:spacing w:before="0" w:beforeAutospacing="0" w:after="0" w:afterAutospacing="0"/>
              <w:rPr>
                <w:sz w:val="16"/>
                <w:szCs w:val="16"/>
              </w:rPr>
            </w:pPr>
            <w:r>
              <w:rPr>
                <w:sz w:val="16"/>
                <w:szCs w:val="16"/>
              </w:rPr>
              <w:t>GAITHERSBURG S.C.</w:t>
            </w:r>
          </w:p>
        </w:tc>
        <w:tc>
          <w:tcPr>
            <w:tcW w:w="150" w:type="pct"/>
            <w:shd w:val="clear" w:color="auto" w:fill="FFFFFF"/>
            <w:vAlign w:val="bottom"/>
            <w:hideMark/>
          </w:tcPr>
          <w:p w14:paraId="22709D4D"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554F6338" w14:textId="77777777" w:rsidR="00000000" w:rsidRDefault="0053651E">
            <w:pPr>
              <w:jc w:val="right"/>
              <w:rPr>
                <w:rFonts w:eastAsia="Times New Roman"/>
                <w:sz w:val="16"/>
                <w:szCs w:val="16"/>
              </w:rPr>
            </w:pPr>
            <w:r>
              <w:rPr>
                <w:rFonts w:eastAsia="Times New Roman"/>
                <w:sz w:val="16"/>
                <w:szCs w:val="16"/>
              </w:rPr>
              <w:t>244,890</w:t>
            </w:r>
          </w:p>
        </w:tc>
        <w:tc>
          <w:tcPr>
            <w:tcW w:w="550" w:type="pct"/>
            <w:shd w:val="clear" w:color="auto" w:fill="FFFFFF"/>
            <w:vAlign w:val="bottom"/>
            <w:hideMark/>
          </w:tcPr>
          <w:p w14:paraId="619E49C9" w14:textId="77777777" w:rsidR="00000000" w:rsidRDefault="0053651E">
            <w:pPr>
              <w:jc w:val="right"/>
              <w:rPr>
                <w:rFonts w:eastAsia="Times New Roman"/>
                <w:sz w:val="16"/>
                <w:szCs w:val="16"/>
              </w:rPr>
            </w:pPr>
            <w:r>
              <w:rPr>
                <w:rFonts w:eastAsia="Times New Roman"/>
                <w:sz w:val="16"/>
                <w:szCs w:val="16"/>
              </w:rPr>
              <w:t>6,787,534</w:t>
            </w:r>
          </w:p>
        </w:tc>
        <w:tc>
          <w:tcPr>
            <w:tcW w:w="350" w:type="pct"/>
            <w:shd w:val="clear" w:color="auto" w:fill="FFFFFF"/>
            <w:vAlign w:val="bottom"/>
            <w:hideMark/>
          </w:tcPr>
          <w:p w14:paraId="10819A2F" w14:textId="77777777" w:rsidR="00000000" w:rsidRDefault="0053651E">
            <w:pPr>
              <w:jc w:val="right"/>
              <w:rPr>
                <w:rFonts w:eastAsia="Times New Roman"/>
                <w:sz w:val="16"/>
                <w:szCs w:val="16"/>
              </w:rPr>
            </w:pPr>
            <w:r>
              <w:rPr>
                <w:rFonts w:eastAsia="Times New Roman"/>
                <w:sz w:val="16"/>
                <w:szCs w:val="16"/>
              </w:rPr>
              <w:t>1,682,724</w:t>
            </w:r>
          </w:p>
        </w:tc>
        <w:tc>
          <w:tcPr>
            <w:tcW w:w="300" w:type="pct"/>
            <w:shd w:val="clear" w:color="auto" w:fill="FFFFFF"/>
            <w:vAlign w:val="bottom"/>
            <w:hideMark/>
          </w:tcPr>
          <w:p w14:paraId="5704C1B5" w14:textId="77777777" w:rsidR="00000000" w:rsidRDefault="0053651E">
            <w:pPr>
              <w:jc w:val="right"/>
              <w:rPr>
                <w:rFonts w:eastAsia="Times New Roman"/>
                <w:sz w:val="16"/>
                <w:szCs w:val="16"/>
              </w:rPr>
            </w:pPr>
            <w:r>
              <w:rPr>
                <w:rFonts w:eastAsia="Times New Roman"/>
                <w:sz w:val="16"/>
                <w:szCs w:val="16"/>
              </w:rPr>
              <w:t>244,890</w:t>
            </w:r>
          </w:p>
        </w:tc>
        <w:tc>
          <w:tcPr>
            <w:tcW w:w="450" w:type="pct"/>
            <w:shd w:val="clear" w:color="auto" w:fill="FFFFFF"/>
            <w:vAlign w:val="bottom"/>
            <w:hideMark/>
          </w:tcPr>
          <w:p w14:paraId="6C882547" w14:textId="77777777" w:rsidR="00000000" w:rsidRDefault="0053651E">
            <w:pPr>
              <w:jc w:val="right"/>
              <w:rPr>
                <w:rFonts w:eastAsia="Times New Roman"/>
                <w:sz w:val="16"/>
                <w:szCs w:val="16"/>
              </w:rPr>
            </w:pPr>
            <w:r>
              <w:rPr>
                <w:rFonts w:eastAsia="Times New Roman"/>
                <w:sz w:val="16"/>
                <w:szCs w:val="16"/>
              </w:rPr>
              <w:t>8,470,258</w:t>
            </w:r>
          </w:p>
        </w:tc>
        <w:tc>
          <w:tcPr>
            <w:tcW w:w="350" w:type="pct"/>
            <w:shd w:val="clear" w:color="auto" w:fill="FFFFFF"/>
            <w:vAlign w:val="bottom"/>
            <w:hideMark/>
          </w:tcPr>
          <w:p w14:paraId="3E0AFD8B" w14:textId="77777777" w:rsidR="00000000" w:rsidRDefault="0053651E">
            <w:pPr>
              <w:jc w:val="right"/>
              <w:rPr>
                <w:rFonts w:eastAsia="Times New Roman"/>
                <w:sz w:val="16"/>
                <w:szCs w:val="16"/>
              </w:rPr>
            </w:pPr>
            <w:r>
              <w:rPr>
                <w:rFonts w:eastAsia="Times New Roman"/>
                <w:sz w:val="16"/>
                <w:szCs w:val="16"/>
              </w:rPr>
              <w:t>8,715,148</w:t>
            </w:r>
          </w:p>
        </w:tc>
        <w:tc>
          <w:tcPr>
            <w:tcW w:w="400" w:type="pct"/>
            <w:shd w:val="clear" w:color="auto" w:fill="FFFFFF"/>
            <w:vAlign w:val="bottom"/>
            <w:hideMark/>
          </w:tcPr>
          <w:p w14:paraId="46AD94F0" w14:textId="77777777" w:rsidR="00000000" w:rsidRDefault="0053651E">
            <w:pPr>
              <w:jc w:val="right"/>
              <w:rPr>
                <w:rFonts w:eastAsia="Times New Roman"/>
                <w:sz w:val="16"/>
                <w:szCs w:val="16"/>
              </w:rPr>
            </w:pPr>
            <w:r>
              <w:rPr>
                <w:rFonts w:eastAsia="Times New Roman"/>
                <w:sz w:val="16"/>
                <w:szCs w:val="16"/>
              </w:rPr>
              <w:t>4,082,460</w:t>
            </w:r>
          </w:p>
        </w:tc>
        <w:tc>
          <w:tcPr>
            <w:tcW w:w="50" w:type="pct"/>
            <w:shd w:val="clear" w:color="auto" w:fill="FFFFFF"/>
            <w:vAlign w:val="bottom"/>
            <w:hideMark/>
          </w:tcPr>
          <w:p w14:paraId="0C37940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B37A0E5" w14:textId="77777777" w:rsidR="00000000" w:rsidRDefault="0053651E">
            <w:pPr>
              <w:jc w:val="right"/>
              <w:rPr>
                <w:rFonts w:eastAsia="Times New Roman"/>
                <w:sz w:val="16"/>
                <w:szCs w:val="16"/>
              </w:rPr>
            </w:pPr>
            <w:r>
              <w:rPr>
                <w:rFonts w:eastAsia="Times New Roman"/>
                <w:sz w:val="16"/>
                <w:szCs w:val="16"/>
              </w:rPr>
              <w:t>4,632,688</w:t>
            </w:r>
          </w:p>
        </w:tc>
        <w:tc>
          <w:tcPr>
            <w:tcW w:w="50" w:type="pct"/>
            <w:shd w:val="clear" w:color="auto" w:fill="FFFFFF"/>
            <w:vAlign w:val="bottom"/>
            <w:hideMark/>
          </w:tcPr>
          <w:p w14:paraId="302459C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D958A1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CDFDA9D" w14:textId="77777777" w:rsidR="00000000" w:rsidRDefault="0053651E">
            <w:pPr>
              <w:pStyle w:val="a3"/>
              <w:spacing w:before="0" w:beforeAutospacing="0" w:after="0" w:afterAutospacing="0"/>
              <w:jc w:val="center"/>
              <w:rPr>
                <w:sz w:val="16"/>
                <w:szCs w:val="16"/>
              </w:rPr>
            </w:pPr>
            <w:r>
              <w:rPr>
                <w:rStyle w:val="a6"/>
                <w:i w:val="0"/>
                <w:iCs w:val="0"/>
                <w:sz w:val="16"/>
                <w:szCs w:val="16"/>
              </w:rPr>
              <w:t>1999(A)</w:t>
            </w:r>
          </w:p>
        </w:tc>
      </w:tr>
      <w:tr w:rsidR="00000000" w14:paraId="7615FACA" w14:textId="77777777">
        <w:trPr>
          <w:tblCellSpacing w:w="0" w:type="dxa"/>
        </w:trPr>
        <w:tc>
          <w:tcPr>
            <w:tcW w:w="50" w:type="pct"/>
            <w:shd w:val="clear" w:color="auto" w:fill="CCEEFF"/>
            <w:vAlign w:val="bottom"/>
            <w:hideMark/>
          </w:tcPr>
          <w:p w14:paraId="46F143B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0C07BA2" w14:textId="77777777" w:rsidR="00000000" w:rsidRDefault="0053651E">
            <w:pPr>
              <w:pStyle w:val="a3"/>
              <w:spacing w:before="0" w:beforeAutospacing="0" w:after="0" w:afterAutospacing="0"/>
              <w:rPr>
                <w:sz w:val="16"/>
                <w:szCs w:val="16"/>
              </w:rPr>
            </w:pPr>
            <w:r>
              <w:rPr>
                <w:sz w:val="16"/>
                <w:szCs w:val="16"/>
              </w:rPr>
              <w:t>KENTLANDS MARKET SQUARE</w:t>
            </w:r>
          </w:p>
        </w:tc>
        <w:tc>
          <w:tcPr>
            <w:tcW w:w="150" w:type="pct"/>
            <w:shd w:val="clear" w:color="auto" w:fill="CCEEFF"/>
            <w:vAlign w:val="bottom"/>
            <w:hideMark/>
          </w:tcPr>
          <w:p w14:paraId="6353C4C0"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1FAFDDDB" w14:textId="77777777" w:rsidR="00000000" w:rsidRDefault="0053651E">
            <w:pPr>
              <w:jc w:val="right"/>
              <w:rPr>
                <w:rFonts w:eastAsia="Times New Roman"/>
                <w:sz w:val="16"/>
                <w:szCs w:val="16"/>
              </w:rPr>
            </w:pPr>
            <w:r>
              <w:rPr>
                <w:rFonts w:eastAsia="Times New Roman"/>
                <w:sz w:val="16"/>
                <w:szCs w:val="16"/>
              </w:rPr>
              <w:t>20,167,048</w:t>
            </w:r>
          </w:p>
        </w:tc>
        <w:tc>
          <w:tcPr>
            <w:tcW w:w="550" w:type="pct"/>
            <w:shd w:val="clear" w:color="auto" w:fill="CCEEFF"/>
            <w:vAlign w:val="bottom"/>
            <w:hideMark/>
          </w:tcPr>
          <w:p w14:paraId="38DEE7CF" w14:textId="77777777" w:rsidR="00000000" w:rsidRDefault="0053651E">
            <w:pPr>
              <w:jc w:val="right"/>
              <w:rPr>
                <w:rFonts w:eastAsia="Times New Roman"/>
                <w:sz w:val="16"/>
                <w:szCs w:val="16"/>
              </w:rPr>
            </w:pPr>
            <w:r>
              <w:rPr>
                <w:rFonts w:eastAsia="Times New Roman"/>
                <w:sz w:val="16"/>
                <w:szCs w:val="16"/>
              </w:rPr>
              <w:t>84,615,052</w:t>
            </w:r>
          </w:p>
        </w:tc>
        <w:tc>
          <w:tcPr>
            <w:tcW w:w="350" w:type="pct"/>
            <w:shd w:val="clear" w:color="auto" w:fill="CCEEFF"/>
            <w:vAlign w:val="bottom"/>
            <w:hideMark/>
          </w:tcPr>
          <w:p w14:paraId="5A6FD474" w14:textId="77777777" w:rsidR="00000000" w:rsidRDefault="0053651E">
            <w:pPr>
              <w:jc w:val="right"/>
              <w:rPr>
                <w:rFonts w:eastAsia="Times New Roman"/>
                <w:sz w:val="16"/>
                <w:szCs w:val="16"/>
              </w:rPr>
            </w:pPr>
            <w:r>
              <w:rPr>
                <w:rFonts w:eastAsia="Times New Roman"/>
                <w:sz w:val="16"/>
                <w:szCs w:val="16"/>
              </w:rPr>
              <w:t>14,891,942</w:t>
            </w:r>
          </w:p>
        </w:tc>
        <w:tc>
          <w:tcPr>
            <w:tcW w:w="300" w:type="pct"/>
            <w:shd w:val="clear" w:color="auto" w:fill="CCEEFF"/>
            <w:vAlign w:val="bottom"/>
            <w:hideMark/>
          </w:tcPr>
          <w:p w14:paraId="0F364155" w14:textId="77777777" w:rsidR="00000000" w:rsidRDefault="0053651E">
            <w:pPr>
              <w:jc w:val="right"/>
              <w:rPr>
                <w:rFonts w:eastAsia="Times New Roman"/>
                <w:sz w:val="16"/>
                <w:szCs w:val="16"/>
              </w:rPr>
            </w:pPr>
            <w:r>
              <w:rPr>
                <w:rFonts w:eastAsia="Times New Roman"/>
                <w:sz w:val="16"/>
                <w:szCs w:val="16"/>
              </w:rPr>
              <w:t>20,167,048</w:t>
            </w:r>
          </w:p>
        </w:tc>
        <w:tc>
          <w:tcPr>
            <w:tcW w:w="450" w:type="pct"/>
            <w:shd w:val="clear" w:color="auto" w:fill="CCEEFF"/>
            <w:vAlign w:val="bottom"/>
            <w:hideMark/>
          </w:tcPr>
          <w:p w14:paraId="2F750F87" w14:textId="77777777" w:rsidR="00000000" w:rsidRDefault="0053651E">
            <w:pPr>
              <w:jc w:val="right"/>
              <w:rPr>
                <w:rFonts w:eastAsia="Times New Roman"/>
                <w:sz w:val="16"/>
                <w:szCs w:val="16"/>
              </w:rPr>
            </w:pPr>
            <w:r>
              <w:rPr>
                <w:rFonts w:eastAsia="Times New Roman"/>
                <w:sz w:val="16"/>
                <w:szCs w:val="16"/>
              </w:rPr>
              <w:t>99,506,994</w:t>
            </w:r>
          </w:p>
        </w:tc>
        <w:tc>
          <w:tcPr>
            <w:tcW w:w="350" w:type="pct"/>
            <w:shd w:val="clear" w:color="auto" w:fill="CCEEFF"/>
            <w:vAlign w:val="bottom"/>
            <w:hideMark/>
          </w:tcPr>
          <w:p w14:paraId="38E189FB" w14:textId="77777777" w:rsidR="00000000" w:rsidRDefault="0053651E">
            <w:pPr>
              <w:jc w:val="right"/>
              <w:rPr>
                <w:rFonts w:eastAsia="Times New Roman"/>
                <w:sz w:val="16"/>
                <w:szCs w:val="16"/>
              </w:rPr>
            </w:pPr>
            <w:r>
              <w:rPr>
                <w:rFonts w:eastAsia="Times New Roman"/>
                <w:sz w:val="16"/>
                <w:szCs w:val="16"/>
              </w:rPr>
              <w:t>119,674,042</w:t>
            </w:r>
          </w:p>
        </w:tc>
        <w:tc>
          <w:tcPr>
            <w:tcW w:w="400" w:type="pct"/>
            <w:shd w:val="clear" w:color="auto" w:fill="CCEEFF"/>
            <w:vAlign w:val="bottom"/>
            <w:hideMark/>
          </w:tcPr>
          <w:p w14:paraId="3F773727" w14:textId="77777777" w:rsidR="00000000" w:rsidRDefault="0053651E">
            <w:pPr>
              <w:jc w:val="right"/>
              <w:rPr>
                <w:rFonts w:eastAsia="Times New Roman"/>
                <w:sz w:val="16"/>
                <w:szCs w:val="16"/>
              </w:rPr>
            </w:pPr>
            <w:r>
              <w:rPr>
                <w:rFonts w:eastAsia="Times New Roman"/>
                <w:sz w:val="16"/>
                <w:szCs w:val="16"/>
              </w:rPr>
              <w:t>9,413,156</w:t>
            </w:r>
          </w:p>
        </w:tc>
        <w:tc>
          <w:tcPr>
            <w:tcW w:w="50" w:type="pct"/>
            <w:shd w:val="clear" w:color="auto" w:fill="CCEEFF"/>
            <w:vAlign w:val="bottom"/>
            <w:hideMark/>
          </w:tcPr>
          <w:p w14:paraId="5B8BAC4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85C38B2" w14:textId="77777777" w:rsidR="00000000" w:rsidRDefault="0053651E">
            <w:pPr>
              <w:jc w:val="right"/>
              <w:rPr>
                <w:rFonts w:eastAsia="Times New Roman"/>
                <w:sz w:val="16"/>
                <w:szCs w:val="16"/>
              </w:rPr>
            </w:pPr>
            <w:r>
              <w:rPr>
                <w:rFonts w:eastAsia="Times New Roman"/>
                <w:sz w:val="16"/>
                <w:szCs w:val="16"/>
              </w:rPr>
              <w:t>110,260,886</w:t>
            </w:r>
          </w:p>
        </w:tc>
        <w:tc>
          <w:tcPr>
            <w:tcW w:w="50" w:type="pct"/>
            <w:shd w:val="clear" w:color="auto" w:fill="CCEEFF"/>
            <w:vAlign w:val="bottom"/>
            <w:hideMark/>
          </w:tcPr>
          <w:p w14:paraId="24F7BA8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EBC0A9C" w14:textId="77777777" w:rsidR="00000000" w:rsidRDefault="0053651E">
            <w:pPr>
              <w:jc w:val="right"/>
              <w:rPr>
                <w:rFonts w:eastAsia="Times New Roman"/>
                <w:sz w:val="16"/>
                <w:szCs w:val="16"/>
              </w:rPr>
            </w:pPr>
            <w:r>
              <w:rPr>
                <w:rFonts w:eastAsia="Times New Roman"/>
                <w:sz w:val="16"/>
                <w:szCs w:val="16"/>
              </w:rPr>
              <w:t>31,311,666</w:t>
            </w:r>
          </w:p>
        </w:tc>
        <w:tc>
          <w:tcPr>
            <w:tcW w:w="500" w:type="pct"/>
            <w:shd w:val="clear" w:color="auto" w:fill="CCEEFF"/>
            <w:vAlign w:val="bottom"/>
            <w:hideMark/>
          </w:tcPr>
          <w:p w14:paraId="1EEFF1A5"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bl>
    <w:p w14:paraId="44430BE5"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476"/>
        <w:gridCol w:w="258"/>
        <w:gridCol w:w="720"/>
        <w:gridCol w:w="800"/>
        <w:gridCol w:w="747"/>
        <w:gridCol w:w="720"/>
        <w:gridCol w:w="800"/>
        <w:gridCol w:w="800"/>
        <w:gridCol w:w="720"/>
        <w:gridCol w:w="40"/>
        <w:gridCol w:w="800"/>
        <w:gridCol w:w="40"/>
        <w:gridCol w:w="720"/>
        <w:gridCol w:w="543"/>
      </w:tblGrid>
      <w:tr w:rsidR="00000000" w14:paraId="7360250A" w14:textId="77777777">
        <w:trPr>
          <w:tblCellSpacing w:w="0" w:type="dxa"/>
        </w:trPr>
        <w:tc>
          <w:tcPr>
            <w:tcW w:w="50" w:type="pct"/>
            <w:shd w:val="clear" w:color="auto" w:fill="FFFFFF"/>
            <w:vAlign w:val="bottom"/>
            <w:hideMark/>
          </w:tcPr>
          <w:p w14:paraId="5B2C3B6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AF02893" w14:textId="77777777" w:rsidR="00000000" w:rsidRDefault="0053651E">
            <w:pPr>
              <w:pStyle w:val="a3"/>
              <w:spacing w:before="0" w:beforeAutospacing="0" w:after="0" w:afterAutospacing="0"/>
              <w:rPr>
                <w:sz w:val="16"/>
                <w:szCs w:val="16"/>
              </w:rPr>
            </w:pPr>
            <w:r>
              <w:rPr>
                <w:sz w:val="16"/>
                <w:szCs w:val="16"/>
              </w:rPr>
              <w:t>SHAWAN PLAZA</w:t>
            </w:r>
          </w:p>
        </w:tc>
        <w:tc>
          <w:tcPr>
            <w:tcW w:w="150" w:type="pct"/>
            <w:shd w:val="clear" w:color="auto" w:fill="FFFFFF"/>
            <w:vAlign w:val="bottom"/>
            <w:hideMark/>
          </w:tcPr>
          <w:p w14:paraId="7A516BC9"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20A0FCCD" w14:textId="77777777" w:rsidR="00000000" w:rsidRDefault="0053651E">
            <w:pPr>
              <w:jc w:val="right"/>
              <w:rPr>
                <w:rFonts w:eastAsia="Times New Roman"/>
                <w:sz w:val="16"/>
                <w:szCs w:val="16"/>
              </w:rPr>
            </w:pPr>
            <w:r>
              <w:rPr>
                <w:rFonts w:eastAsia="Times New Roman"/>
                <w:sz w:val="16"/>
                <w:szCs w:val="16"/>
              </w:rPr>
              <w:t>4,466,000</w:t>
            </w:r>
          </w:p>
        </w:tc>
        <w:tc>
          <w:tcPr>
            <w:tcW w:w="550" w:type="pct"/>
            <w:shd w:val="clear" w:color="auto" w:fill="FFFFFF"/>
            <w:vAlign w:val="bottom"/>
            <w:hideMark/>
          </w:tcPr>
          <w:p w14:paraId="5B0F04D6" w14:textId="77777777" w:rsidR="00000000" w:rsidRDefault="0053651E">
            <w:pPr>
              <w:jc w:val="right"/>
              <w:rPr>
                <w:rFonts w:eastAsia="Times New Roman"/>
                <w:sz w:val="16"/>
                <w:szCs w:val="16"/>
              </w:rPr>
            </w:pPr>
            <w:r>
              <w:rPr>
                <w:rFonts w:eastAsia="Times New Roman"/>
                <w:sz w:val="16"/>
                <w:szCs w:val="16"/>
              </w:rPr>
              <w:t>20,222,367</w:t>
            </w:r>
          </w:p>
        </w:tc>
        <w:tc>
          <w:tcPr>
            <w:tcW w:w="350" w:type="pct"/>
            <w:shd w:val="clear" w:color="auto" w:fill="FFFFFF"/>
            <w:vAlign w:val="bottom"/>
            <w:hideMark/>
          </w:tcPr>
          <w:p w14:paraId="6A3960B4" w14:textId="77777777" w:rsidR="00000000" w:rsidRDefault="0053651E">
            <w:pPr>
              <w:jc w:val="right"/>
              <w:rPr>
                <w:rFonts w:eastAsia="Times New Roman"/>
                <w:sz w:val="16"/>
                <w:szCs w:val="16"/>
              </w:rPr>
            </w:pPr>
            <w:r>
              <w:rPr>
                <w:rFonts w:eastAsia="Times New Roman"/>
                <w:sz w:val="16"/>
                <w:szCs w:val="16"/>
              </w:rPr>
              <w:t>30,616</w:t>
            </w:r>
          </w:p>
        </w:tc>
        <w:tc>
          <w:tcPr>
            <w:tcW w:w="300" w:type="pct"/>
            <w:shd w:val="clear" w:color="auto" w:fill="FFFFFF"/>
            <w:vAlign w:val="bottom"/>
            <w:hideMark/>
          </w:tcPr>
          <w:p w14:paraId="363FC6DD" w14:textId="77777777" w:rsidR="00000000" w:rsidRDefault="0053651E">
            <w:pPr>
              <w:jc w:val="right"/>
              <w:rPr>
                <w:rFonts w:eastAsia="Times New Roman"/>
                <w:sz w:val="16"/>
                <w:szCs w:val="16"/>
              </w:rPr>
            </w:pPr>
            <w:r>
              <w:rPr>
                <w:rFonts w:eastAsia="Times New Roman"/>
                <w:sz w:val="16"/>
                <w:szCs w:val="16"/>
              </w:rPr>
              <w:t>4,466,000</w:t>
            </w:r>
          </w:p>
        </w:tc>
        <w:tc>
          <w:tcPr>
            <w:tcW w:w="450" w:type="pct"/>
            <w:shd w:val="clear" w:color="auto" w:fill="FFFFFF"/>
            <w:vAlign w:val="bottom"/>
            <w:hideMark/>
          </w:tcPr>
          <w:p w14:paraId="47BCCE39" w14:textId="77777777" w:rsidR="00000000" w:rsidRDefault="0053651E">
            <w:pPr>
              <w:jc w:val="right"/>
              <w:rPr>
                <w:rFonts w:eastAsia="Times New Roman"/>
                <w:sz w:val="16"/>
                <w:szCs w:val="16"/>
              </w:rPr>
            </w:pPr>
            <w:r>
              <w:rPr>
                <w:rFonts w:eastAsia="Times New Roman"/>
                <w:sz w:val="16"/>
                <w:szCs w:val="16"/>
              </w:rPr>
              <w:t>20,252,983</w:t>
            </w:r>
          </w:p>
        </w:tc>
        <w:tc>
          <w:tcPr>
            <w:tcW w:w="350" w:type="pct"/>
            <w:shd w:val="clear" w:color="auto" w:fill="FFFFFF"/>
            <w:vAlign w:val="bottom"/>
            <w:hideMark/>
          </w:tcPr>
          <w:p w14:paraId="3140348E" w14:textId="77777777" w:rsidR="00000000" w:rsidRDefault="0053651E">
            <w:pPr>
              <w:jc w:val="right"/>
              <w:rPr>
                <w:rFonts w:eastAsia="Times New Roman"/>
                <w:sz w:val="16"/>
                <w:szCs w:val="16"/>
              </w:rPr>
            </w:pPr>
            <w:r>
              <w:rPr>
                <w:rFonts w:eastAsia="Times New Roman"/>
                <w:sz w:val="16"/>
                <w:szCs w:val="16"/>
              </w:rPr>
              <w:t>24,718,983</w:t>
            </w:r>
          </w:p>
        </w:tc>
        <w:tc>
          <w:tcPr>
            <w:tcW w:w="400" w:type="pct"/>
            <w:shd w:val="clear" w:color="auto" w:fill="FFFFFF"/>
            <w:vAlign w:val="bottom"/>
            <w:hideMark/>
          </w:tcPr>
          <w:p w14:paraId="072CE8E2" w14:textId="77777777" w:rsidR="00000000" w:rsidRDefault="0053651E">
            <w:pPr>
              <w:jc w:val="right"/>
              <w:rPr>
                <w:rFonts w:eastAsia="Times New Roman"/>
                <w:sz w:val="16"/>
                <w:szCs w:val="16"/>
              </w:rPr>
            </w:pPr>
            <w:r>
              <w:rPr>
                <w:rFonts w:eastAsia="Times New Roman"/>
                <w:sz w:val="16"/>
                <w:szCs w:val="16"/>
              </w:rPr>
              <w:t>12,381,043</w:t>
            </w:r>
          </w:p>
        </w:tc>
        <w:tc>
          <w:tcPr>
            <w:tcW w:w="50" w:type="pct"/>
            <w:shd w:val="clear" w:color="auto" w:fill="FFFFFF"/>
            <w:vAlign w:val="bottom"/>
            <w:hideMark/>
          </w:tcPr>
          <w:p w14:paraId="60EEC98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3B6B01D" w14:textId="77777777" w:rsidR="00000000" w:rsidRDefault="0053651E">
            <w:pPr>
              <w:jc w:val="right"/>
              <w:rPr>
                <w:rFonts w:eastAsia="Times New Roman"/>
                <w:sz w:val="16"/>
                <w:szCs w:val="16"/>
              </w:rPr>
            </w:pPr>
            <w:r>
              <w:rPr>
                <w:rFonts w:eastAsia="Times New Roman"/>
                <w:sz w:val="16"/>
                <w:szCs w:val="16"/>
              </w:rPr>
              <w:t>12,337,940</w:t>
            </w:r>
          </w:p>
        </w:tc>
        <w:tc>
          <w:tcPr>
            <w:tcW w:w="50" w:type="pct"/>
            <w:shd w:val="clear" w:color="auto" w:fill="FFFFFF"/>
            <w:vAlign w:val="bottom"/>
            <w:hideMark/>
          </w:tcPr>
          <w:p w14:paraId="528F217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804101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EEA7390"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1E111E71" w14:textId="77777777">
        <w:trPr>
          <w:tblCellSpacing w:w="0" w:type="dxa"/>
        </w:trPr>
        <w:tc>
          <w:tcPr>
            <w:tcW w:w="50" w:type="pct"/>
            <w:shd w:val="clear" w:color="auto" w:fill="CCEEFF"/>
            <w:vAlign w:val="bottom"/>
            <w:hideMark/>
          </w:tcPr>
          <w:p w14:paraId="4A79E6A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1922514" w14:textId="77777777" w:rsidR="00000000" w:rsidRDefault="0053651E">
            <w:pPr>
              <w:pStyle w:val="a3"/>
              <w:spacing w:before="0" w:beforeAutospacing="0" w:after="0" w:afterAutospacing="0"/>
              <w:rPr>
                <w:sz w:val="16"/>
                <w:szCs w:val="16"/>
              </w:rPr>
            </w:pPr>
            <w:r>
              <w:rPr>
                <w:sz w:val="16"/>
                <w:szCs w:val="16"/>
              </w:rPr>
              <w:t>LAUREL PLAZA</w:t>
            </w:r>
          </w:p>
        </w:tc>
        <w:tc>
          <w:tcPr>
            <w:tcW w:w="150" w:type="pct"/>
            <w:shd w:val="clear" w:color="auto" w:fill="CCEEFF"/>
            <w:vAlign w:val="bottom"/>
            <w:hideMark/>
          </w:tcPr>
          <w:p w14:paraId="1EA541A4"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44D3EE18" w14:textId="77777777" w:rsidR="00000000" w:rsidRDefault="0053651E">
            <w:pPr>
              <w:jc w:val="right"/>
              <w:rPr>
                <w:rFonts w:eastAsia="Times New Roman"/>
                <w:sz w:val="16"/>
                <w:szCs w:val="16"/>
              </w:rPr>
            </w:pPr>
            <w:r>
              <w:rPr>
                <w:rFonts w:eastAsia="Times New Roman"/>
                <w:sz w:val="16"/>
                <w:szCs w:val="16"/>
              </w:rPr>
              <w:t>349,562</w:t>
            </w:r>
          </w:p>
        </w:tc>
        <w:tc>
          <w:tcPr>
            <w:tcW w:w="550" w:type="pct"/>
            <w:shd w:val="clear" w:color="auto" w:fill="CCEEFF"/>
            <w:vAlign w:val="bottom"/>
            <w:hideMark/>
          </w:tcPr>
          <w:p w14:paraId="1161ED6E" w14:textId="77777777" w:rsidR="00000000" w:rsidRDefault="0053651E">
            <w:pPr>
              <w:jc w:val="right"/>
              <w:rPr>
                <w:rFonts w:eastAsia="Times New Roman"/>
                <w:sz w:val="16"/>
                <w:szCs w:val="16"/>
              </w:rPr>
            </w:pPr>
            <w:r>
              <w:rPr>
                <w:rFonts w:eastAsia="Times New Roman"/>
                <w:sz w:val="16"/>
                <w:szCs w:val="16"/>
              </w:rPr>
              <w:t>1,398,250</w:t>
            </w:r>
          </w:p>
        </w:tc>
        <w:tc>
          <w:tcPr>
            <w:tcW w:w="350" w:type="pct"/>
            <w:shd w:val="clear" w:color="auto" w:fill="CCEEFF"/>
            <w:vAlign w:val="bottom"/>
            <w:hideMark/>
          </w:tcPr>
          <w:p w14:paraId="74DE5F36" w14:textId="77777777" w:rsidR="00000000" w:rsidRDefault="0053651E">
            <w:pPr>
              <w:jc w:val="right"/>
              <w:rPr>
                <w:rFonts w:eastAsia="Times New Roman"/>
                <w:sz w:val="16"/>
                <w:szCs w:val="16"/>
              </w:rPr>
            </w:pPr>
            <w:r>
              <w:rPr>
                <w:rFonts w:eastAsia="Times New Roman"/>
                <w:sz w:val="16"/>
                <w:szCs w:val="16"/>
              </w:rPr>
              <w:t>5,257,691</w:t>
            </w:r>
          </w:p>
        </w:tc>
        <w:tc>
          <w:tcPr>
            <w:tcW w:w="300" w:type="pct"/>
            <w:shd w:val="clear" w:color="auto" w:fill="CCEEFF"/>
            <w:vAlign w:val="bottom"/>
            <w:hideMark/>
          </w:tcPr>
          <w:p w14:paraId="11F79B0C" w14:textId="77777777" w:rsidR="00000000" w:rsidRDefault="0053651E">
            <w:pPr>
              <w:jc w:val="right"/>
              <w:rPr>
                <w:rFonts w:eastAsia="Times New Roman"/>
                <w:sz w:val="16"/>
                <w:szCs w:val="16"/>
              </w:rPr>
            </w:pPr>
            <w:r>
              <w:rPr>
                <w:rFonts w:eastAsia="Times New Roman"/>
                <w:sz w:val="16"/>
                <w:szCs w:val="16"/>
              </w:rPr>
              <w:t>1,571,288</w:t>
            </w:r>
          </w:p>
        </w:tc>
        <w:tc>
          <w:tcPr>
            <w:tcW w:w="450" w:type="pct"/>
            <w:shd w:val="clear" w:color="auto" w:fill="CCEEFF"/>
            <w:vAlign w:val="bottom"/>
            <w:hideMark/>
          </w:tcPr>
          <w:p w14:paraId="6303DBB9" w14:textId="77777777" w:rsidR="00000000" w:rsidRDefault="0053651E">
            <w:pPr>
              <w:jc w:val="right"/>
              <w:rPr>
                <w:rFonts w:eastAsia="Times New Roman"/>
                <w:sz w:val="16"/>
                <w:szCs w:val="16"/>
              </w:rPr>
            </w:pPr>
            <w:r>
              <w:rPr>
                <w:rFonts w:eastAsia="Times New Roman"/>
                <w:sz w:val="16"/>
                <w:szCs w:val="16"/>
              </w:rPr>
              <w:t>5,434,215</w:t>
            </w:r>
          </w:p>
        </w:tc>
        <w:tc>
          <w:tcPr>
            <w:tcW w:w="350" w:type="pct"/>
            <w:shd w:val="clear" w:color="auto" w:fill="CCEEFF"/>
            <w:vAlign w:val="bottom"/>
            <w:hideMark/>
          </w:tcPr>
          <w:p w14:paraId="2611232C" w14:textId="77777777" w:rsidR="00000000" w:rsidRDefault="0053651E">
            <w:pPr>
              <w:jc w:val="right"/>
              <w:rPr>
                <w:rFonts w:eastAsia="Times New Roman"/>
                <w:sz w:val="16"/>
                <w:szCs w:val="16"/>
              </w:rPr>
            </w:pPr>
            <w:r>
              <w:rPr>
                <w:rFonts w:eastAsia="Times New Roman"/>
                <w:sz w:val="16"/>
                <w:szCs w:val="16"/>
              </w:rPr>
              <w:t>7,005,503</w:t>
            </w:r>
          </w:p>
        </w:tc>
        <w:tc>
          <w:tcPr>
            <w:tcW w:w="400" w:type="pct"/>
            <w:shd w:val="clear" w:color="auto" w:fill="CCEEFF"/>
            <w:vAlign w:val="bottom"/>
            <w:hideMark/>
          </w:tcPr>
          <w:p w14:paraId="7A7F1617" w14:textId="77777777" w:rsidR="00000000" w:rsidRDefault="0053651E">
            <w:pPr>
              <w:jc w:val="right"/>
              <w:rPr>
                <w:rFonts w:eastAsia="Times New Roman"/>
                <w:sz w:val="16"/>
                <w:szCs w:val="16"/>
              </w:rPr>
            </w:pPr>
            <w:r>
              <w:rPr>
                <w:rFonts w:eastAsia="Times New Roman"/>
                <w:sz w:val="16"/>
                <w:szCs w:val="16"/>
              </w:rPr>
              <w:t>2,351,484</w:t>
            </w:r>
          </w:p>
        </w:tc>
        <w:tc>
          <w:tcPr>
            <w:tcW w:w="50" w:type="pct"/>
            <w:shd w:val="clear" w:color="auto" w:fill="CCEEFF"/>
            <w:vAlign w:val="bottom"/>
            <w:hideMark/>
          </w:tcPr>
          <w:p w14:paraId="787F58A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878F8E0" w14:textId="77777777" w:rsidR="00000000" w:rsidRDefault="0053651E">
            <w:pPr>
              <w:jc w:val="right"/>
              <w:rPr>
                <w:rFonts w:eastAsia="Times New Roman"/>
                <w:sz w:val="16"/>
                <w:szCs w:val="16"/>
              </w:rPr>
            </w:pPr>
            <w:r>
              <w:rPr>
                <w:rFonts w:eastAsia="Times New Roman"/>
                <w:sz w:val="16"/>
                <w:szCs w:val="16"/>
              </w:rPr>
              <w:t>4,654,019</w:t>
            </w:r>
          </w:p>
        </w:tc>
        <w:tc>
          <w:tcPr>
            <w:tcW w:w="50" w:type="pct"/>
            <w:shd w:val="clear" w:color="auto" w:fill="CCEEFF"/>
            <w:vAlign w:val="bottom"/>
            <w:hideMark/>
          </w:tcPr>
          <w:p w14:paraId="63F08D1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E62159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3E2C7A0" w14:textId="77777777" w:rsidR="00000000" w:rsidRDefault="0053651E">
            <w:pPr>
              <w:pStyle w:val="a3"/>
              <w:spacing w:before="0" w:beforeAutospacing="0" w:after="0" w:afterAutospacing="0"/>
              <w:jc w:val="center"/>
              <w:rPr>
                <w:sz w:val="16"/>
                <w:szCs w:val="16"/>
              </w:rPr>
            </w:pPr>
            <w:r>
              <w:rPr>
                <w:rStyle w:val="a6"/>
                <w:i w:val="0"/>
                <w:iCs w:val="0"/>
                <w:sz w:val="16"/>
                <w:szCs w:val="16"/>
              </w:rPr>
              <w:t>1995(A)</w:t>
            </w:r>
          </w:p>
        </w:tc>
      </w:tr>
      <w:tr w:rsidR="00000000" w14:paraId="1D2C0727" w14:textId="77777777">
        <w:trPr>
          <w:tblCellSpacing w:w="0" w:type="dxa"/>
        </w:trPr>
        <w:tc>
          <w:tcPr>
            <w:tcW w:w="50" w:type="pct"/>
            <w:shd w:val="clear" w:color="auto" w:fill="FFFFFF"/>
            <w:vAlign w:val="bottom"/>
            <w:hideMark/>
          </w:tcPr>
          <w:p w14:paraId="11C99C5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E7E5292" w14:textId="77777777" w:rsidR="00000000" w:rsidRDefault="0053651E">
            <w:pPr>
              <w:pStyle w:val="a3"/>
              <w:spacing w:before="0" w:beforeAutospacing="0" w:after="0" w:afterAutospacing="0"/>
              <w:rPr>
                <w:sz w:val="16"/>
                <w:szCs w:val="16"/>
              </w:rPr>
            </w:pPr>
            <w:r>
              <w:rPr>
                <w:sz w:val="16"/>
                <w:szCs w:val="16"/>
              </w:rPr>
              <w:t>LAUREL PLAZA</w:t>
            </w:r>
          </w:p>
        </w:tc>
        <w:tc>
          <w:tcPr>
            <w:tcW w:w="150" w:type="pct"/>
            <w:shd w:val="clear" w:color="auto" w:fill="FFFFFF"/>
            <w:vAlign w:val="bottom"/>
            <w:hideMark/>
          </w:tcPr>
          <w:p w14:paraId="4F329D01"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63BE13D7" w14:textId="77777777" w:rsidR="00000000" w:rsidRDefault="0053651E">
            <w:pPr>
              <w:jc w:val="right"/>
              <w:rPr>
                <w:rFonts w:eastAsia="Times New Roman"/>
                <w:sz w:val="16"/>
                <w:szCs w:val="16"/>
              </w:rPr>
            </w:pPr>
            <w:r>
              <w:rPr>
                <w:rFonts w:eastAsia="Times New Roman"/>
                <w:sz w:val="16"/>
                <w:szCs w:val="16"/>
              </w:rPr>
              <w:t>274,580</w:t>
            </w:r>
          </w:p>
        </w:tc>
        <w:tc>
          <w:tcPr>
            <w:tcW w:w="550" w:type="pct"/>
            <w:shd w:val="clear" w:color="auto" w:fill="FFFFFF"/>
            <w:vAlign w:val="bottom"/>
            <w:hideMark/>
          </w:tcPr>
          <w:p w14:paraId="0E0C0F34" w14:textId="77777777" w:rsidR="00000000" w:rsidRDefault="0053651E">
            <w:pPr>
              <w:jc w:val="right"/>
              <w:rPr>
                <w:rFonts w:eastAsia="Times New Roman"/>
                <w:sz w:val="16"/>
                <w:szCs w:val="16"/>
              </w:rPr>
            </w:pPr>
            <w:r>
              <w:rPr>
                <w:rFonts w:eastAsia="Times New Roman"/>
                <w:sz w:val="16"/>
                <w:szCs w:val="16"/>
              </w:rPr>
              <w:t>1,100,968</w:t>
            </w:r>
          </w:p>
        </w:tc>
        <w:tc>
          <w:tcPr>
            <w:tcW w:w="350" w:type="pct"/>
            <w:shd w:val="clear" w:color="auto" w:fill="FFFFFF"/>
            <w:vAlign w:val="bottom"/>
            <w:hideMark/>
          </w:tcPr>
          <w:p w14:paraId="7FAFE72C" w14:textId="77777777" w:rsidR="00000000" w:rsidRDefault="0053651E">
            <w:pPr>
              <w:jc w:val="right"/>
              <w:rPr>
                <w:rFonts w:eastAsia="Times New Roman"/>
                <w:sz w:val="16"/>
                <w:szCs w:val="16"/>
              </w:rPr>
            </w:pPr>
            <w:r>
              <w:rPr>
                <w:rFonts w:eastAsia="Times New Roman"/>
                <w:sz w:val="16"/>
                <w:szCs w:val="16"/>
              </w:rPr>
              <w:t>173,969</w:t>
            </w:r>
          </w:p>
        </w:tc>
        <w:tc>
          <w:tcPr>
            <w:tcW w:w="300" w:type="pct"/>
            <w:shd w:val="clear" w:color="auto" w:fill="FFFFFF"/>
            <w:vAlign w:val="bottom"/>
            <w:hideMark/>
          </w:tcPr>
          <w:p w14:paraId="1A448669" w14:textId="77777777" w:rsidR="00000000" w:rsidRDefault="0053651E">
            <w:pPr>
              <w:jc w:val="right"/>
              <w:rPr>
                <w:rFonts w:eastAsia="Times New Roman"/>
                <w:sz w:val="16"/>
                <w:szCs w:val="16"/>
              </w:rPr>
            </w:pPr>
            <w:r>
              <w:rPr>
                <w:rFonts w:eastAsia="Times New Roman"/>
                <w:sz w:val="16"/>
                <w:szCs w:val="16"/>
              </w:rPr>
              <w:t>274,580</w:t>
            </w:r>
          </w:p>
        </w:tc>
        <w:tc>
          <w:tcPr>
            <w:tcW w:w="450" w:type="pct"/>
            <w:shd w:val="clear" w:color="auto" w:fill="FFFFFF"/>
            <w:vAlign w:val="bottom"/>
            <w:hideMark/>
          </w:tcPr>
          <w:p w14:paraId="51E534B3" w14:textId="77777777" w:rsidR="00000000" w:rsidRDefault="0053651E">
            <w:pPr>
              <w:jc w:val="right"/>
              <w:rPr>
                <w:rFonts w:eastAsia="Times New Roman"/>
                <w:sz w:val="16"/>
                <w:szCs w:val="16"/>
              </w:rPr>
            </w:pPr>
            <w:r>
              <w:rPr>
                <w:rFonts w:eastAsia="Times New Roman"/>
                <w:sz w:val="16"/>
                <w:szCs w:val="16"/>
              </w:rPr>
              <w:t>1,274,937</w:t>
            </w:r>
          </w:p>
        </w:tc>
        <w:tc>
          <w:tcPr>
            <w:tcW w:w="350" w:type="pct"/>
            <w:shd w:val="clear" w:color="auto" w:fill="FFFFFF"/>
            <w:vAlign w:val="bottom"/>
            <w:hideMark/>
          </w:tcPr>
          <w:p w14:paraId="61238699" w14:textId="77777777" w:rsidR="00000000" w:rsidRDefault="0053651E">
            <w:pPr>
              <w:jc w:val="right"/>
              <w:rPr>
                <w:rFonts w:eastAsia="Times New Roman"/>
                <w:sz w:val="16"/>
                <w:szCs w:val="16"/>
              </w:rPr>
            </w:pPr>
            <w:r>
              <w:rPr>
                <w:rFonts w:eastAsia="Times New Roman"/>
                <w:sz w:val="16"/>
                <w:szCs w:val="16"/>
              </w:rPr>
              <w:t>1,549,517</w:t>
            </w:r>
          </w:p>
        </w:tc>
        <w:tc>
          <w:tcPr>
            <w:tcW w:w="400" w:type="pct"/>
            <w:shd w:val="clear" w:color="auto" w:fill="FFFFFF"/>
            <w:vAlign w:val="bottom"/>
            <w:hideMark/>
          </w:tcPr>
          <w:p w14:paraId="2AEF980A" w14:textId="77777777" w:rsidR="00000000" w:rsidRDefault="0053651E">
            <w:pPr>
              <w:jc w:val="right"/>
              <w:rPr>
                <w:rFonts w:eastAsia="Times New Roman"/>
                <w:sz w:val="16"/>
                <w:szCs w:val="16"/>
              </w:rPr>
            </w:pPr>
            <w:r>
              <w:rPr>
                <w:rFonts w:eastAsia="Times New Roman"/>
                <w:sz w:val="16"/>
                <w:szCs w:val="16"/>
              </w:rPr>
              <w:t>1,207,785</w:t>
            </w:r>
          </w:p>
        </w:tc>
        <w:tc>
          <w:tcPr>
            <w:tcW w:w="50" w:type="pct"/>
            <w:shd w:val="clear" w:color="auto" w:fill="FFFFFF"/>
            <w:vAlign w:val="bottom"/>
            <w:hideMark/>
          </w:tcPr>
          <w:p w14:paraId="44A8862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02F9429" w14:textId="77777777" w:rsidR="00000000" w:rsidRDefault="0053651E">
            <w:pPr>
              <w:jc w:val="right"/>
              <w:rPr>
                <w:rFonts w:eastAsia="Times New Roman"/>
                <w:sz w:val="16"/>
                <w:szCs w:val="16"/>
              </w:rPr>
            </w:pPr>
            <w:r>
              <w:rPr>
                <w:rFonts w:eastAsia="Times New Roman"/>
                <w:sz w:val="16"/>
                <w:szCs w:val="16"/>
              </w:rPr>
              <w:t>341,732</w:t>
            </w:r>
          </w:p>
        </w:tc>
        <w:tc>
          <w:tcPr>
            <w:tcW w:w="50" w:type="pct"/>
            <w:shd w:val="clear" w:color="auto" w:fill="FFFFFF"/>
            <w:vAlign w:val="bottom"/>
            <w:hideMark/>
          </w:tcPr>
          <w:p w14:paraId="0C53A46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FD64C5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B3BB8C3" w14:textId="77777777" w:rsidR="00000000" w:rsidRDefault="0053651E">
            <w:pPr>
              <w:pStyle w:val="a3"/>
              <w:spacing w:before="0" w:beforeAutospacing="0" w:after="0" w:afterAutospacing="0"/>
              <w:jc w:val="center"/>
              <w:rPr>
                <w:sz w:val="16"/>
                <w:szCs w:val="16"/>
              </w:rPr>
            </w:pPr>
            <w:r>
              <w:rPr>
                <w:rStyle w:val="a6"/>
                <w:i w:val="0"/>
                <w:iCs w:val="0"/>
                <w:sz w:val="16"/>
                <w:szCs w:val="16"/>
              </w:rPr>
              <w:t>1972(C)</w:t>
            </w:r>
          </w:p>
        </w:tc>
      </w:tr>
      <w:tr w:rsidR="00000000" w14:paraId="06154E7E" w14:textId="77777777">
        <w:trPr>
          <w:tblCellSpacing w:w="0" w:type="dxa"/>
        </w:trPr>
        <w:tc>
          <w:tcPr>
            <w:tcW w:w="50" w:type="pct"/>
            <w:shd w:val="clear" w:color="auto" w:fill="CCEEFF"/>
            <w:vAlign w:val="bottom"/>
            <w:hideMark/>
          </w:tcPr>
          <w:p w14:paraId="3D1B35B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7E973F1" w14:textId="77777777" w:rsidR="00000000" w:rsidRDefault="0053651E">
            <w:pPr>
              <w:pStyle w:val="a3"/>
              <w:spacing w:before="0" w:beforeAutospacing="0" w:after="0" w:afterAutospacing="0"/>
              <w:rPr>
                <w:sz w:val="16"/>
                <w:szCs w:val="16"/>
              </w:rPr>
            </w:pPr>
            <w:r>
              <w:rPr>
                <w:sz w:val="16"/>
                <w:szCs w:val="16"/>
              </w:rPr>
              <w:t>MILL STATION THEATER/RSTRNTS</w:t>
            </w:r>
          </w:p>
        </w:tc>
        <w:tc>
          <w:tcPr>
            <w:tcW w:w="150" w:type="pct"/>
            <w:shd w:val="clear" w:color="auto" w:fill="CCEEFF"/>
            <w:vAlign w:val="bottom"/>
            <w:hideMark/>
          </w:tcPr>
          <w:p w14:paraId="3211CE0D"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701A98F8" w14:textId="77777777" w:rsidR="00000000" w:rsidRDefault="0053651E">
            <w:pPr>
              <w:jc w:val="right"/>
              <w:rPr>
                <w:rFonts w:eastAsia="Times New Roman"/>
                <w:sz w:val="16"/>
                <w:szCs w:val="16"/>
              </w:rPr>
            </w:pPr>
            <w:r>
              <w:rPr>
                <w:rFonts w:eastAsia="Times New Roman"/>
                <w:sz w:val="16"/>
                <w:szCs w:val="16"/>
              </w:rPr>
              <w:t>23,378,543</w:t>
            </w:r>
          </w:p>
        </w:tc>
        <w:tc>
          <w:tcPr>
            <w:tcW w:w="550" w:type="pct"/>
            <w:shd w:val="clear" w:color="auto" w:fill="CCEEFF"/>
            <w:vAlign w:val="bottom"/>
            <w:hideMark/>
          </w:tcPr>
          <w:p w14:paraId="476B508A" w14:textId="77777777" w:rsidR="00000000" w:rsidRDefault="0053651E">
            <w:pPr>
              <w:jc w:val="right"/>
              <w:rPr>
                <w:rFonts w:eastAsia="Times New Roman"/>
                <w:sz w:val="16"/>
                <w:szCs w:val="16"/>
              </w:rPr>
            </w:pPr>
            <w:r>
              <w:rPr>
                <w:rFonts w:eastAsia="Times New Roman"/>
                <w:sz w:val="16"/>
                <w:szCs w:val="16"/>
              </w:rPr>
              <w:t>1,089,760</w:t>
            </w:r>
          </w:p>
        </w:tc>
        <w:tc>
          <w:tcPr>
            <w:tcW w:w="350" w:type="pct"/>
            <w:shd w:val="clear" w:color="auto" w:fill="CCEEFF"/>
            <w:vAlign w:val="bottom"/>
            <w:hideMark/>
          </w:tcPr>
          <w:p w14:paraId="7AFD8E14" w14:textId="77777777" w:rsidR="00000000" w:rsidRDefault="0053651E">
            <w:pPr>
              <w:jc w:val="right"/>
              <w:rPr>
                <w:rFonts w:eastAsia="Times New Roman"/>
                <w:sz w:val="16"/>
                <w:szCs w:val="16"/>
              </w:rPr>
            </w:pPr>
            <w:r>
              <w:rPr>
                <w:rFonts w:eastAsia="Times New Roman"/>
                <w:sz w:val="16"/>
                <w:szCs w:val="16"/>
              </w:rPr>
              <w:t>(3,672,367)</w:t>
            </w:r>
          </w:p>
        </w:tc>
        <w:tc>
          <w:tcPr>
            <w:tcW w:w="300" w:type="pct"/>
            <w:shd w:val="clear" w:color="auto" w:fill="CCEEFF"/>
            <w:vAlign w:val="bottom"/>
            <w:hideMark/>
          </w:tcPr>
          <w:p w14:paraId="6C408E33" w14:textId="77777777" w:rsidR="00000000" w:rsidRDefault="0053651E">
            <w:pPr>
              <w:jc w:val="right"/>
              <w:rPr>
                <w:rFonts w:eastAsia="Times New Roman"/>
                <w:sz w:val="16"/>
                <w:szCs w:val="16"/>
              </w:rPr>
            </w:pPr>
            <w:r>
              <w:rPr>
                <w:rFonts w:eastAsia="Times New Roman"/>
                <w:sz w:val="16"/>
                <w:szCs w:val="16"/>
              </w:rPr>
              <w:t>14,737,597</w:t>
            </w:r>
          </w:p>
        </w:tc>
        <w:tc>
          <w:tcPr>
            <w:tcW w:w="450" w:type="pct"/>
            <w:shd w:val="clear" w:color="auto" w:fill="CCEEFF"/>
            <w:vAlign w:val="bottom"/>
            <w:hideMark/>
          </w:tcPr>
          <w:p w14:paraId="039C1AF7" w14:textId="77777777" w:rsidR="00000000" w:rsidRDefault="0053651E">
            <w:pPr>
              <w:jc w:val="right"/>
              <w:rPr>
                <w:rFonts w:eastAsia="Times New Roman"/>
                <w:sz w:val="16"/>
                <w:szCs w:val="16"/>
              </w:rPr>
            </w:pPr>
            <w:r>
              <w:rPr>
                <w:rFonts w:eastAsia="Times New Roman"/>
                <w:sz w:val="16"/>
                <w:szCs w:val="16"/>
              </w:rPr>
              <w:t>6,058,339</w:t>
            </w:r>
          </w:p>
        </w:tc>
        <w:tc>
          <w:tcPr>
            <w:tcW w:w="350" w:type="pct"/>
            <w:shd w:val="clear" w:color="auto" w:fill="CCEEFF"/>
            <w:vAlign w:val="bottom"/>
            <w:hideMark/>
          </w:tcPr>
          <w:p w14:paraId="16C32084" w14:textId="77777777" w:rsidR="00000000" w:rsidRDefault="0053651E">
            <w:pPr>
              <w:jc w:val="right"/>
              <w:rPr>
                <w:rFonts w:eastAsia="Times New Roman"/>
                <w:sz w:val="16"/>
                <w:szCs w:val="16"/>
              </w:rPr>
            </w:pPr>
            <w:r>
              <w:rPr>
                <w:rFonts w:eastAsia="Times New Roman"/>
                <w:sz w:val="16"/>
                <w:szCs w:val="16"/>
              </w:rPr>
              <w:t>20,795,936</w:t>
            </w:r>
          </w:p>
        </w:tc>
        <w:tc>
          <w:tcPr>
            <w:tcW w:w="400" w:type="pct"/>
            <w:shd w:val="clear" w:color="auto" w:fill="CCEEFF"/>
            <w:vAlign w:val="bottom"/>
            <w:hideMark/>
          </w:tcPr>
          <w:p w14:paraId="56C336ED" w14:textId="77777777" w:rsidR="00000000" w:rsidRDefault="0053651E">
            <w:pPr>
              <w:jc w:val="right"/>
              <w:rPr>
                <w:rFonts w:eastAsia="Times New Roman"/>
                <w:sz w:val="16"/>
                <w:szCs w:val="16"/>
              </w:rPr>
            </w:pPr>
            <w:r>
              <w:rPr>
                <w:rFonts w:eastAsia="Times New Roman"/>
                <w:sz w:val="16"/>
                <w:szCs w:val="16"/>
              </w:rPr>
              <w:t>601,666</w:t>
            </w:r>
          </w:p>
        </w:tc>
        <w:tc>
          <w:tcPr>
            <w:tcW w:w="50" w:type="pct"/>
            <w:shd w:val="clear" w:color="auto" w:fill="CCEEFF"/>
            <w:vAlign w:val="bottom"/>
            <w:hideMark/>
          </w:tcPr>
          <w:p w14:paraId="1A1F0D2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4491A1E" w14:textId="77777777" w:rsidR="00000000" w:rsidRDefault="0053651E">
            <w:pPr>
              <w:jc w:val="right"/>
              <w:rPr>
                <w:rFonts w:eastAsia="Times New Roman"/>
                <w:sz w:val="16"/>
                <w:szCs w:val="16"/>
              </w:rPr>
            </w:pPr>
            <w:r>
              <w:rPr>
                <w:rFonts w:eastAsia="Times New Roman"/>
                <w:sz w:val="16"/>
                <w:szCs w:val="16"/>
              </w:rPr>
              <w:t>20,194,270</w:t>
            </w:r>
          </w:p>
        </w:tc>
        <w:tc>
          <w:tcPr>
            <w:tcW w:w="50" w:type="pct"/>
            <w:shd w:val="clear" w:color="auto" w:fill="CCEEFF"/>
            <w:vAlign w:val="bottom"/>
            <w:hideMark/>
          </w:tcPr>
          <w:p w14:paraId="737BAF2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AFBB5E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57F0CA7" w14:textId="77777777" w:rsidR="00000000" w:rsidRDefault="0053651E">
            <w:pPr>
              <w:pStyle w:val="a3"/>
              <w:spacing w:before="0" w:beforeAutospacing="0" w:after="0" w:afterAutospacing="0"/>
              <w:jc w:val="center"/>
              <w:rPr>
                <w:sz w:val="16"/>
                <w:szCs w:val="16"/>
              </w:rPr>
            </w:pPr>
            <w:r>
              <w:rPr>
                <w:rStyle w:val="a6"/>
                <w:i w:val="0"/>
                <w:iCs w:val="0"/>
                <w:sz w:val="16"/>
                <w:szCs w:val="16"/>
              </w:rPr>
              <w:t>2016(C)</w:t>
            </w:r>
          </w:p>
        </w:tc>
      </w:tr>
      <w:tr w:rsidR="00000000" w14:paraId="4310E762" w14:textId="77777777">
        <w:trPr>
          <w:tblCellSpacing w:w="0" w:type="dxa"/>
        </w:trPr>
        <w:tc>
          <w:tcPr>
            <w:tcW w:w="50" w:type="pct"/>
            <w:shd w:val="clear" w:color="auto" w:fill="FFFFFF"/>
            <w:vAlign w:val="bottom"/>
            <w:hideMark/>
          </w:tcPr>
          <w:p w14:paraId="7A70F9D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B2E4EB4" w14:textId="77777777" w:rsidR="00000000" w:rsidRDefault="0053651E">
            <w:pPr>
              <w:pStyle w:val="a3"/>
              <w:spacing w:before="0" w:beforeAutospacing="0" w:after="0" w:afterAutospacing="0"/>
              <w:rPr>
                <w:sz w:val="16"/>
                <w:szCs w:val="16"/>
              </w:rPr>
            </w:pPr>
            <w:r>
              <w:rPr>
                <w:sz w:val="16"/>
                <w:szCs w:val="16"/>
              </w:rPr>
              <w:t>MILL STATION DEVELOPMENT</w:t>
            </w:r>
          </w:p>
        </w:tc>
        <w:tc>
          <w:tcPr>
            <w:tcW w:w="150" w:type="pct"/>
            <w:shd w:val="clear" w:color="auto" w:fill="FFFFFF"/>
            <w:vAlign w:val="bottom"/>
            <w:hideMark/>
          </w:tcPr>
          <w:p w14:paraId="1A8E2AE1"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5B0FCB42" w14:textId="77777777" w:rsidR="00000000" w:rsidRDefault="0053651E">
            <w:pPr>
              <w:jc w:val="right"/>
              <w:rPr>
                <w:rFonts w:eastAsia="Times New Roman"/>
                <w:sz w:val="16"/>
                <w:szCs w:val="16"/>
              </w:rPr>
            </w:pPr>
            <w:r>
              <w:rPr>
                <w:rFonts w:eastAsia="Times New Roman"/>
                <w:sz w:val="16"/>
                <w:szCs w:val="16"/>
              </w:rPr>
              <w:t>21,320,924</w:t>
            </w:r>
          </w:p>
        </w:tc>
        <w:tc>
          <w:tcPr>
            <w:tcW w:w="550" w:type="pct"/>
            <w:shd w:val="clear" w:color="auto" w:fill="FFFFFF"/>
            <w:vAlign w:val="bottom"/>
            <w:hideMark/>
          </w:tcPr>
          <w:p w14:paraId="07F594CC"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735A0636" w14:textId="77777777" w:rsidR="00000000" w:rsidRDefault="0053651E">
            <w:pPr>
              <w:jc w:val="right"/>
              <w:rPr>
                <w:rFonts w:eastAsia="Times New Roman"/>
                <w:sz w:val="16"/>
                <w:szCs w:val="16"/>
              </w:rPr>
            </w:pPr>
            <w:r>
              <w:rPr>
                <w:rFonts w:eastAsia="Times New Roman"/>
                <w:sz w:val="16"/>
                <w:szCs w:val="16"/>
              </w:rPr>
              <w:t>61,182,938</w:t>
            </w:r>
          </w:p>
        </w:tc>
        <w:tc>
          <w:tcPr>
            <w:tcW w:w="300" w:type="pct"/>
            <w:shd w:val="clear" w:color="auto" w:fill="FFFFFF"/>
            <w:vAlign w:val="bottom"/>
            <w:hideMark/>
          </w:tcPr>
          <w:p w14:paraId="5FAD36FB" w14:textId="77777777" w:rsidR="00000000" w:rsidRDefault="0053651E">
            <w:pPr>
              <w:jc w:val="right"/>
              <w:rPr>
                <w:rFonts w:eastAsia="Times New Roman"/>
                <w:sz w:val="16"/>
                <w:szCs w:val="16"/>
              </w:rPr>
            </w:pPr>
            <w:r>
              <w:rPr>
                <w:rFonts w:eastAsia="Times New Roman"/>
                <w:sz w:val="16"/>
                <w:szCs w:val="16"/>
              </w:rPr>
              <w:t>16,075,820</w:t>
            </w:r>
          </w:p>
        </w:tc>
        <w:tc>
          <w:tcPr>
            <w:tcW w:w="450" w:type="pct"/>
            <w:shd w:val="clear" w:color="auto" w:fill="FFFFFF"/>
            <w:vAlign w:val="bottom"/>
            <w:hideMark/>
          </w:tcPr>
          <w:p w14:paraId="132334A5" w14:textId="77777777" w:rsidR="00000000" w:rsidRDefault="0053651E">
            <w:pPr>
              <w:jc w:val="right"/>
              <w:rPr>
                <w:rFonts w:eastAsia="Times New Roman"/>
                <w:sz w:val="16"/>
                <w:szCs w:val="16"/>
              </w:rPr>
            </w:pPr>
            <w:r>
              <w:rPr>
                <w:rFonts w:eastAsia="Times New Roman"/>
                <w:sz w:val="16"/>
                <w:szCs w:val="16"/>
              </w:rPr>
              <w:t>66,428,042</w:t>
            </w:r>
          </w:p>
        </w:tc>
        <w:tc>
          <w:tcPr>
            <w:tcW w:w="350" w:type="pct"/>
            <w:shd w:val="clear" w:color="auto" w:fill="FFFFFF"/>
            <w:vAlign w:val="bottom"/>
            <w:hideMark/>
          </w:tcPr>
          <w:p w14:paraId="48A76247" w14:textId="77777777" w:rsidR="00000000" w:rsidRDefault="0053651E">
            <w:pPr>
              <w:jc w:val="right"/>
              <w:rPr>
                <w:rFonts w:eastAsia="Times New Roman"/>
                <w:sz w:val="16"/>
                <w:szCs w:val="16"/>
              </w:rPr>
            </w:pPr>
            <w:r>
              <w:rPr>
                <w:rFonts w:eastAsia="Times New Roman"/>
                <w:sz w:val="16"/>
                <w:szCs w:val="16"/>
              </w:rPr>
              <w:t>82,503,862</w:t>
            </w:r>
          </w:p>
        </w:tc>
        <w:tc>
          <w:tcPr>
            <w:tcW w:w="400" w:type="pct"/>
            <w:shd w:val="clear" w:color="auto" w:fill="FFFFFF"/>
            <w:vAlign w:val="bottom"/>
            <w:hideMark/>
          </w:tcPr>
          <w:p w14:paraId="58720A72"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A078A4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E50E84F" w14:textId="77777777" w:rsidR="00000000" w:rsidRDefault="0053651E">
            <w:pPr>
              <w:jc w:val="right"/>
              <w:rPr>
                <w:rFonts w:eastAsia="Times New Roman"/>
                <w:sz w:val="16"/>
                <w:szCs w:val="16"/>
              </w:rPr>
            </w:pPr>
            <w:r>
              <w:rPr>
                <w:rFonts w:eastAsia="Times New Roman"/>
                <w:sz w:val="16"/>
                <w:szCs w:val="16"/>
              </w:rPr>
              <w:t>82,503,862</w:t>
            </w:r>
          </w:p>
        </w:tc>
        <w:tc>
          <w:tcPr>
            <w:tcW w:w="50" w:type="pct"/>
            <w:shd w:val="clear" w:color="auto" w:fill="FFFFFF"/>
            <w:vAlign w:val="bottom"/>
            <w:hideMark/>
          </w:tcPr>
          <w:p w14:paraId="00ED1E1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3A7B70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424CE72" w14:textId="77777777" w:rsidR="00000000" w:rsidRDefault="0053651E">
            <w:pPr>
              <w:pStyle w:val="a3"/>
              <w:spacing w:before="0" w:beforeAutospacing="0" w:after="0" w:afterAutospacing="0"/>
              <w:jc w:val="center"/>
              <w:rPr>
                <w:sz w:val="16"/>
                <w:szCs w:val="16"/>
              </w:rPr>
            </w:pPr>
            <w:r>
              <w:rPr>
                <w:rStyle w:val="a6"/>
                <w:i w:val="0"/>
                <w:iCs w:val="0"/>
                <w:sz w:val="16"/>
                <w:szCs w:val="16"/>
              </w:rPr>
              <w:t>2015(C)</w:t>
            </w:r>
          </w:p>
        </w:tc>
      </w:tr>
      <w:tr w:rsidR="00000000" w14:paraId="2C92FDBB" w14:textId="77777777">
        <w:trPr>
          <w:tblCellSpacing w:w="0" w:type="dxa"/>
        </w:trPr>
        <w:tc>
          <w:tcPr>
            <w:tcW w:w="50" w:type="pct"/>
            <w:shd w:val="clear" w:color="auto" w:fill="CCEEFF"/>
            <w:vAlign w:val="bottom"/>
            <w:hideMark/>
          </w:tcPr>
          <w:p w14:paraId="7A89757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66D22EA" w14:textId="77777777" w:rsidR="00000000" w:rsidRDefault="0053651E">
            <w:pPr>
              <w:pStyle w:val="a3"/>
              <w:spacing w:before="0" w:beforeAutospacing="0" w:after="0" w:afterAutospacing="0"/>
              <w:rPr>
                <w:sz w:val="16"/>
                <w:szCs w:val="16"/>
              </w:rPr>
            </w:pPr>
            <w:r>
              <w:rPr>
                <w:sz w:val="16"/>
                <w:szCs w:val="16"/>
              </w:rPr>
              <w:t>CENTRE COURT-RETAIL/BANK</w:t>
            </w:r>
          </w:p>
        </w:tc>
        <w:tc>
          <w:tcPr>
            <w:tcW w:w="150" w:type="pct"/>
            <w:shd w:val="clear" w:color="auto" w:fill="CCEEFF"/>
            <w:vAlign w:val="bottom"/>
            <w:hideMark/>
          </w:tcPr>
          <w:p w14:paraId="23E13111"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11242CA6" w14:textId="77777777" w:rsidR="00000000" w:rsidRDefault="0053651E">
            <w:pPr>
              <w:jc w:val="right"/>
              <w:rPr>
                <w:rFonts w:eastAsia="Times New Roman"/>
                <w:sz w:val="16"/>
                <w:szCs w:val="16"/>
              </w:rPr>
            </w:pPr>
            <w:r>
              <w:rPr>
                <w:rFonts w:eastAsia="Times New Roman"/>
                <w:sz w:val="16"/>
                <w:szCs w:val="16"/>
              </w:rPr>
              <w:t>1,035,359</w:t>
            </w:r>
          </w:p>
        </w:tc>
        <w:tc>
          <w:tcPr>
            <w:tcW w:w="550" w:type="pct"/>
            <w:shd w:val="clear" w:color="auto" w:fill="CCEEFF"/>
            <w:vAlign w:val="bottom"/>
            <w:hideMark/>
          </w:tcPr>
          <w:p w14:paraId="33D19D1E" w14:textId="77777777" w:rsidR="00000000" w:rsidRDefault="0053651E">
            <w:pPr>
              <w:jc w:val="right"/>
              <w:rPr>
                <w:rFonts w:eastAsia="Times New Roman"/>
                <w:sz w:val="16"/>
                <w:szCs w:val="16"/>
              </w:rPr>
            </w:pPr>
            <w:r>
              <w:rPr>
                <w:rFonts w:eastAsia="Times New Roman"/>
                <w:sz w:val="16"/>
                <w:szCs w:val="16"/>
              </w:rPr>
              <w:t>7,785,830</w:t>
            </w:r>
          </w:p>
        </w:tc>
        <w:tc>
          <w:tcPr>
            <w:tcW w:w="350" w:type="pct"/>
            <w:shd w:val="clear" w:color="auto" w:fill="CCEEFF"/>
            <w:vAlign w:val="bottom"/>
            <w:hideMark/>
          </w:tcPr>
          <w:p w14:paraId="0B856650" w14:textId="77777777" w:rsidR="00000000" w:rsidRDefault="0053651E">
            <w:pPr>
              <w:jc w:val="right"/>
              <w:rPr>
                <w:rFonts w:eastAsia="Times New Roman"/>
                <w:sz w:val="16"/>
                <w:szCs w:val="16"/>
              </w:rPr>
            </w:pPr>
            <w:r>
              <w:rPr>
                <w:rFonts w:eastAsia="Times New Roman"/>
                <w:sz w:val="16"/>
                <w:szCs w:val="16"/>
              </w:rPr>
              <w:t>139,567</w:t>
            </w:r>
          </w:p>
        </w:tc>
        <w:tc>
          <w:tcPr>
            <w:tcW w:w="300" w:type="pct"/>
            <w:shd w:val="clear" w:color="auto" w:fill="CCEEFF"/>
            <w:vAlign w:val="bottom"/>
            <w:hideMark/>
          </w:tcPr>
          <w:p w14:paraId="17B2B972" w14:textId="77777777" w:rsidR="00000000" w:rsidRDefault="0053651E">
            <w:pPr>
              <w:jc w:val="right"/>
              <w:rPr>
                <w:rFonts w:eastAsia="Times New Roman"/>
                <w:sz w:val="16"/>
                <w:szCs w:val="16"/>
              </w:rPr>
            </w:pPr>
            <w:r>
              <w:rPr>
                <w:rFonts w:eastAsia="Times New Roman"/>
                <w:sz w:val="16"/>
                <w:szCs w:val="16"/>
              </w:rPr>
              <w:t>1,035,359</w:t>
            </w:r>
          </w:p>
        </w:tc>
        <w:tc>
          <w:tcPr>
            <w:tcW w:w="450" w:type="pct"/>
            <w:shd w:val="clear" w:color="auto" w:fill="CCEEFF"/>
            <w:vAlign w:val="bottom"/>
            <w:hideMark/>
          </w:tcPr>
          <w:p w14:paraId="3E810E99" w14:textId="77777777" w:rsidR="00000000" w:rsidRDefault="0053651E">
            <w:pPr>
              <w:jc w:val="right"/>
              <w:rPr>
                <w:rFonts w:eastAsia="Times New Roman"/>
                <w:sz w:val="16"/>
                <w:szCs w:val="16"/>
              </w:rPr>
            </w:pPr>
            <w:r>
              <w:rPr>
                <w:rFonts w:eastAsia="Times New Roman"/>
                <w:sz w:val="16"/>
                <w:szCs w:val="16"/>
              </w:rPr>
              <w:t>7,925,397</w:t>
            </w:r>
          </w:p>
        </w:tc>
        <w:tc>
          <w:tcPr>
            <w:tcW w:w="350" w:type="pct"/>
            <w:shd w:val="clear" w:color="auto" w:fill="CCEEFF"/>
            <w:vAlign w:val="bottom"/>
            <w:hideMark/>
          </w:tcPr>
          <w:p w14:paraId="7819E8A8" w14:textId="77777777" w:rsidR="00000000" w:rsidRDefault="0053651E">
            <w:pPr>
              <w:jc w:val="right"/>
              <w:rPr>
                <w:rFonts w:eastAsia="Times New Roman"/>
                <w:sz w:val="16"/>
                <w:szCs w:val="16"/>
              </w:rPr>
            </w:pPr>
            <w:r>
              <w:rPr>
                <w:rFonts w:eastAsia="Times New Roman"/>
                <w:sz w:val="16"/>
                <w:szCs w:val="16"/>
              </w:rPr>
              <w:t>8,960,756</w:t>
            </w:r>
          </w:p>
        </w:tc>
        <w:tc>
          <w:tcPr>
            <w:tcW w:w="400" w:type="pct"/>
            <w:shd w:val="clear" w:color="auto" w:fill="CCEEFF"/>
            <w:vAlign w:val="bottom"/>
            <w:hideMark/>
          </w:tcPr>
          <w:p w14:paraId="14FF7683" w14:textId="77777777" w:rsidR="00000000" w:rsidRDefault="0053651E">
            <w:pPr>
              <w:jc w:val="right"/>
              <w:rPr>
                <w:rFonts w:eastAsia="Times New Roman"/>
                <w:sz w:val="16"/>
                <w:szCs w:val="16"/>
              </w:rPr>
            </w:pPr>
            <w:r>
              <w:rPr>
                <w:rFonts w:eastAsia="Times New Roman"/>
                <w:sz w:val="16"/>
                <w:szCs w:val="16"/>
              </w:rPr>
              <w:t>1,601,160</w:t>
            </w:r>
          </w:p>
        </w:tc>
        <w:tc>
          <w:tcPr>
            <w:tcW w:w="50" w:type="pct"/>
            <w:shd w:val="clear" w:color="auto" w:fill="CCEEFF"/>
            <w:vAlign w:val="bottom"/>
            <w:hideMark/>
          </w:tcPr>
          <w:p w14:paraId="27722E4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265ED1F" w14:textId="77777777" w:rsidR="00000000" w:rsidRDefault="0053651E">
            <w:pPr>
              <w:jc w:val="right"/>
              <w:rPr>
                <w:rFonts w:eastAsia="Times New Roman"/>
                <w:sz w:val="16"/>
                <w:szCs w:val="16"/>
              </w:rPr>
            </w:pPr>
            <w:r>
              <w:rPr>
                <w:rFonts w:eastAsia="Times New Roman"/>
                <w:sz w:val="16"/>
                <w:szCs w:val="16"/>
              </w:rPr>
              <w:t>7,359,596</w:t>
            </w:r>
          </w:p>
        </w:tc>
        <w:tc>
          <w:tcPr>
            <w:tcW w:w="50" w:type="pct"/>
            <w:shd w:val="clear" w:color="auto" w:fill="CCEEFF"/>
            <w:vAlign w:val="bottom"/>
            <w:hideMark/>
          </w:tcPr>
          <w:p w14:paraId="7B46B93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33C75F4" w14:textId="77777777" w:rsidR="00000000" w:rsidRDefault="0053651E">
            <w:pPr>
              <w:jc w:val="right"/>
              <w:rPr>
                <w:rFonts w:eastAsia="Times New Roman"/>
                <w:sz w:val="16"/>
                <w:szCs w:val="16"/>
              </w:rPr>
            </w:pPr>
            <w:r>
              <w:rPr>
                <w:rFonts w:eastAsia="Times New Roman"/>
                <w:sz w:val="16"/>
                <w:szCs w:val="16"/>
              </w:rPr>
              <w:t>1,259,796</w:t>
            </w:r>
          </w:p>
        </w:tc>
        <w:tc>
          <w:tcPr>
            <w:tcW w:w="500" w:type="pct"/>
            <w:shd w:val="clear" w:color="auto" w:fill="CCEEFF"/>
            <w:vAlign w:val="bottom"/>
            <w:hideMark/>
          </w:tcPr>
          <w:p w14:paraId="2185FEF7"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74302625" w14:textId="77777777">
        <w:trPr>
          <w:tblCellSpacing w:w="0" w:type="dxa"/>
        </w:trPr>
        <w:tc>
          <w:tcPr>
            <w:tcW w:w="50" w:type="pct"/>
            <w:shd w:val="clear" w:color="auto" w:fill="FFFFFF"/>
            <w:vAlign w:val="bottom"/>
            <w:hideMark/>
          </w:tcPr>
          <w:p w14:paraId="1E1CCB0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1A561B9" w14:textId="77777777" w:rsidR="00000000" w:rsidRDefault="0053651E">
            <w:pPr>
              <w:pStyle w:val="a3"/>
              <w:spacing w:before="0" w:beforeAutospacing="0" w:after="0" w:afterAutospacing="0"/>
              <w:rPr>
                <w:sz w:val="16"/>
                <w:szCs w:val="16"/>
              </w:rPr>
            </w:pPr>
            <w:r>
              <w:rPr>
                <w:sz w:val="16"/>
                <w:szCs w:val="16"/>
              </w:rPr>
              <w:t>CENTRE COURT-GIANT</w:t>
            </w:r>
          </w:p>
        </w:tc>
        <w:tc>
          <w:tcPr>
            <w:tcW w:w="150" w:type="pct"/>
            <w:shd w:val="clear" w:color="auto" w:fill="FFFFFF"/>
            <w:vAlign w:val="bottom"/>
            <w:hideMark/>
          </w:tcPr>
          <w:p w14:paraId="50A2C70E"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0FBB3D8E" w14:textId="77777777" w:rsidR="00000000" w:rsidRDefault="0053651E">
            <w:pPr>
              <w:jc w:val="right"/>
              <w:rPr>
                <w:rFonts w:eastAsia="Times New Roman"/>
                <w:sz w:val="16"/>
                <w:szCs w:val="16"/>
              </w:rPr>
            </w:pPr>
            <w:r>
              <w:rPr>
                <w:rFonts w:eastAsia="Times New Roman"/>
                <w:sz w:val="16"/>
                <w:szCs w:val="16"/>
              </w:rPr>
              <w:t>3,854,099</w:t>
            </w:r>
          </w:p>
        </w:tc>
        <w:tc>
          <w:tcPr>
            <w:tcW w:w="550" w:type="pct"/>
            <w:shd w:val="clear" w:color="auto" w:fill="FFFFFF"/>
            <w:vAlign w:val="bottom"/>
            <w:hideMark/>
          </w:tcPr>
          <w:p w14:paraId="1D351F6B" w14:textId="77777777" w:rsidR="00000000" w:rsidRDefault="0053651E">
            <w:pPr>
              <w:jc w:val="right"/>
              <w:rPr>
                <w:rFonts w:eastAsia="Times New Roman"/>
                <w:sz w:val="16"/>
                <w:szCs w:val="16"/>
              </w:rPr>
            </w:pPr>
            <w:r>
              <w:rPr>
                <w:rFonts w:eastAsia="Times New Roman"/>
                <w:sz w:val="16"/>
                <w:szCs w:val="16"/>
              </w:rPr>
              <w:t>12,769,628</w:t>
            </w:r>
          </w:p>
        </w:tc>
        <w:tc>
          <w:tcPr>
            <w:tcW w:w="350" w:type="pct"/>
            <w:shd w:val="clear" w:color="auto" w:fill="FFFFFF"/>
            <w:vAlign w:val="bottom"/>
            <w:hideMark/>
          </w:tcPr>
          <w:p w14:paraId="1A031381" w14:textId="77777777" w:rsidR="00000000" w:rsidRDefault="0053651E">
            <w:pPr>
              <w:jc w:val="right"/>
              <w:rPr>
                <w:rFonts w:eastAsia="Times New Roman"/>
                <w:sz w:val="16"/>
                <w:szCs w:val="16"/>
              </w:rPr>
            </w:pPr>
            <w:r>
              <w:rPr>
                <w:rFonts w:eastAsia="Times New Roman"/>
                <w:sz w:val="16"/>
                <w:szCs w:val="16"/>
              </w:rPr>
              <w:t>95,541</w:t>
            </w:r>
          </w:p>
        </w:tc>
        <w:tc>
          <w:tcPr>
            <w:tcW w:w="300" w:type="pct"/>
            <w:shd w:val="clear" w:color="auto" w:fill="FFFFFF"/>
            <w:vAlign w:val="bottom"/>
            <w:hideMark/>
          </w:tcPr>
          <w:p w14:paraId="03100838" w14:textId="77777777" w:rsidR="00000000" w:rsidRDefault="0053651E">
            <w:pPr>
              <w:jc w:val="right"/>
              <w:rPr>
                <w:rFonts w:eastAsia="Times New Roman"/>
                <w:sz w:val="16"/>
                <w:szCs w:val="16"/>
              </w:rPr>
            </w:pPr>
            <w:r>
              <w:rPr>
                <w:rFonts w:eastAsia="Times New Roman"/>
                <w:sz w:val="16"/>
                <w:szCs w:val="16"/>
              </w:rPr>
              <w:t>3,854,099</w:t>
            </w:r>
          </w:p>
        </w:tc>
        <w:tc>
          <w:tcPr>
            <w:tcW w:w="450" w:type="pct"/>
            <w:shd w:val="clear" w:color="auto" w:fill="FFFFFF"/>
            <w:vAlign w:val="bottom"/>
            <w:hideMark/>
          </w:tcPr>
          <w:p w14:paraId="19180358" w14:textId="77777777" w:rsidR="00000000" w:rsidRDefault="0053651E">
            <w:pPr>
              <w:jc w:val="right"/>
              <w:rPr>
                <w:rFonts w:eastAsia="Times New Roman"/>
                <w:sz w:val="16"/>
                <w:szCs w:val="16"/>
              </w:rPr>
            </w:pPr>
            <w:r>
              <w:rPr>
                <w:rFonts w:eastAsia="Times New Roman"/>
                <w:sz w:val="16"/>
                <w:szCs w:val="16"/>
              </w:rPr>
              <w:t>12,865,169</w:t>
            </w:r>
          </w:p>
        </w:tc>
        <w:tc>
          <w:tcPr>
            <w:tcW w:w="350" w:type="pct"/>
            <w:shd w:val="clear" w:color="auto" w:fill="FFFFFF"/>
            <w:vAlign w:val="bottom"/>
            <w:hideMark/>
          </w:tcPr>
          <w:p w14:paraId="494506E2" w14:textId="77777777" w:rsidR="00000000" w:rsidRDefault="0053651E">
            <w:pPr>
              <w:jc w:val="right"/>
              <w:rPr>
                <w:rFonts w:eastAsia="Times New Roman"/>
                <w:sz w:val="16"/>
                <w:szCs w:val="16"/>
              </w:rPr>
            </w:pPr>
            <w:r>
              <w:rPr>
                <w:rFonts w:eastAsia="Times New Roman"/>
                <w:sz w:val="16"/>
                <w:szCs w:val="16"/>
              </w:rPr>
              <w:t>16,719,268</w:t>
            </w:r>
          </w:p>
        </w:tc>
        <w:tc>
          <w:tcPr>
            <w:tcW w:w="400" w:type="pct"/>
            <w:shd w:val="clear" w:color="auto" w:fill="FFFFFF"/>
            <w:vAlign w:val="bottom"/>
            <w:hideMark/>
          </w:tcPr>
          <w:p w14:paraId="7825FA9E" w14:textId="77777777" w:rsidR="00000000" w:rsidRDefault="0053651E">
            <w:pPr>
              <w:jc w:val="right"/>
              <w:rPr>
                <w:rFonts w:eastAsia="Times New Roman"/>
                <w:sz w:val="16"/>
                <w:szCs w:val="16"/>
              </w:rPr>
            </w:pPr>
            <w:r>
              <w:rPr>
                <w:rFonts w:eastAsia="Times New Roman"/>
                <w:sz w:val="16"/>
                <w:szCs w:val="16"/>
              </w:rPr>
              <w:t>3,103,844</w:t>
            </w:r>
          </w:p>
        </w:tc>
        <w:tc>
          <w:tcPr>
            <w:tcW w:w="50" w:type="pct"/>
            <w:shd w:val="clear" w:color="auto" w:fill="FFFFFF"/>
            <w:vAlign w:val="bottom"/>
            <w:hideMark/>
          </w:tcPr>
          <w:p w14:paraId="640C7C8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E122E12" w14:textId="77777777" w:rsidR="00000000" w:rsidRDefault="0053651E">
            <w:pPr>
              <w:jc w:val="right"/>
              <w:rPr>
                <w:rFonts w:eastAsia="Times New Roman"/>
                <w:sz w:val="16"/>
                <w:szCs w:val="16"/>
              </w:rPr>
            </w:pPr>
            <w:r>
              <w:rPr>
                <w:rFonts w:eastAsia="Times New Roman"/>
                <w:sz w:val="16"/>
                <w:szCs w:val="16"/>
              </w:rPr>
              <w:t>13,615,424</w:t>
            </w:r>
          </w:p>
        </w:tc>
        <w:tc>
          <w:tcPr>
            <w:tcW w:w="50" w:type="pct"/>
            <w:shd w:val="clear" w:color="auto" w:fill="FFFFFF"/>
            <w:vAlign w:val="bottom"/>
            <w:hideMark/>
          </w:tcPr>
          <w:p w14:paraId="2A7E390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75E0513" w14:textId="77777777" w:rsidR="00000000" w:rsidRDefault="0053651E">
            <w:pPr>
              <w:jc w:val="right"/>
              <w:rPr>
                <w:rFonts w:eastAsia="Times New Roman"/>
                <w:sz w:val="16"/>
                <w:szCs w:val="16"/>
              </w:rPr>
            </w:pPr>
            <w:r>
              <w:rPr>
                <w:rFonts w:eastAsia="Times New Roman"/>
                <w:sz w:val="16"/>
                <w:szCs w:val="16"/>
              </w:rPr>
              <w:t>4,987,211</w:t>
            </w:r>
          </w:p>
        </w:tc>
        <w:tc>
          <w:tcPr>
            <w:tcW w:w="500" w:type="pct"/>
            <w:shd w:val="clear" w:color="auto" w:fill="FFFFFF"/>
            <w:vAlign w:val="bottom"/>
            <w:hideMark/>
          </w:tcPr>
          <w:p w14:paraId="7CF593B3"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4731E640" w14:textId="77777777">
        <w:trPr>
          <w:tblCellSpacing w:w="0" w:type="dxa"/>
        </w:trPr>
        <w:tc>
          <w:tcPr>
            <w:tcW w:w="50" w:type="pct"/>
            <w:shd w:val="clear" w:color="auto" w:fill="CCEEFF"/>
            <w:vAlign w:val="bottom"/>
            <w:hideMark/>
          </w:tcPr>
          <w:p w14:paraId="76345DD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200D972" w14:textId="77777777" w:rsidR="00000000" w:rsidRDefault="0053651E">
            <w:pPr>
              <w:pStyle w:val="a3"/>
              <w:spacing w:before="0" w:beforeAutospacing="0" w:after="0" w:afterAutospacing="0"/>
              <w:rPr>
                <w:sz w:val="16"/>
                <w:szCs w:val="16"/>
              </w:rPr>
            </w:pPr>
            <w:r>
              <w:rPr>
                <w:sz w:val="16"/>
                <w:szCs w:val="16"/>
              </w:rPr>
              <w:t>CENTRE COURT-OLD COURT/COURTYD</w:t>
            </w:r>
          </w:p>
        </w:tc>
        <w:tc>
          <w:tcPr>
            <w:tcW w:w="150" w:type="pct"/>
            <w:shd w:val="clear" w:color="auto" w:fill="CCEEFF"/>
            <w:vAlign w:val="bottom"/>
            <w:hideMark/>
          </w:tcPr>
          <w:p w14:paraId="05A2CA40"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5135B8F0" w14:textId="77777777" w:rsidR="00000000" w:rsidRDefault="0053651E">
            <w:pPr>
              <w:jc w:val="right"/>
              <w:rPr>
                <w:rFonts w:eastAsia="Times New Roman"/>
                <w:sz w:val="16"/>
                <w:szCs w:val="16"/>
              </w:rPr>
            </w:pPr>
            <w:r>
              <w:rPr>
                <w:rFonts w:eastAsia="Times New Roman"/>
                <w:sz w:val="16"/>
                <w:szCs w:val="16"/>
              </w:rPr>
              <w:t>2,279,177</w:t>
            </w:r>
          </w:p>
        </w:tc>
        <w:tc>
          <w:tcPr>
            <w:tcW w:w="550" w:type="pct"/>
            <w:shd w:val="clear" w:color="auto" w:fill="CCEEFF"/>
            <w:vAlign w:val="bottom"/>
            <w:hideMark/>
          </w:tcPr>
          <w:p w14:paraId="1504B82A" w14:textId="77777777" w:rsidR="00000000" w:rsidRDefault="0053651E">
            <w:pPr>
              <w:jc w:val="right"/>
              <w:rPr>
                <w:rFonts w:eastAsia="Times New Roman"/>
                <w:sz w:val="16"/>
                <w:szCs w:val="16"/>
              </w:rPr>
            </w:pPr>
            <w:r>
              <w:rPr>
                <w:rFonts w:eastAsia="Times New Roman"/>
                <w:sz w:val="16"/>
                <w:szCs w:val="16"/>
              </w:rPr>
              <w:t>5,284,577</w:t>
            </w:r>
          </w:p>
        </w:tc>
        <w:tc>
          <w:tcPr>
            <w:tcW w:w="350" w:type="pct"/>
            <w:shd w:val="clear" w:color="auto" w:fill="CCEEFF"/>
            <w:vAlign w:val="bottom"/>
            <w:hideMark/>
          </w:tcPr>
          <w:p w14:paraId="7119E917" w14:textId="77777777" w:rsidR="00000000" w:rsidRDefault="0053651E">
            <w:pPr>
              <w:jc w:val="right"/>
              <w:rPr>
                <w:rFonts w:eastAsia="Times New Roman"/>
                <w:sz w:val="16"/>
                <w:szCs w:val="16"/>
              </w:rPr>
            </w:pPr>
            <w:r>
              <w:rPr>
                <w:rFonts w:eastAsia="Times New Roman"/>
                <w:sz w:val="16"/>
                <w:szCs w:val="16"/>
              </w:rPr>
              <w:t>34,036</w:t>
            </w:r>
          </w:p>
        </w:tc>
        <w:tc>
          <w:tcPr>
            <w:tcW w:w="300" w:type="pct"/>
            <w:shd w:val="clear" w:color="auto" w:fill="CCEEFF"/>
            <w:vAlign w:val="bottom"/>
            <w:hideMark/>
          </w:tcPr>
          <w:p w14:paraId="0A0FFC4A" w14:textId="77777777" w:rsidR="00000000" w:rsidRDefault="0053651E">
            <w:pPr>
              <w:jc w:val="right"/>
              <w:rPr>
                <w:rFonts w:eastAsia="Times New Roman"/>
                <w:sz w:val="16"/>
                <w:szCs w:val="16"/>
              </w:rPr>
            </w:pPr>
            <w:r>
              <w:rPr>
                <w:rFonts w:eastAsia="Times New Roman"/>
                <w:sz w:val="16"/>
                <w:szCs w:val="16"/>
              </w:rPr>
              <w:t>2,279,177</w:t>
            </w:r>
          </w:p>
        </w:tc>
        <w:tc>
          <w:tcPr>
            <w:tcW w:w="450" w:type="pct"/>
            <w:shd w:val="clear" w:color="auto" w:fill="CCEEFF"/>
            <w:vAlign w:val="bottom"/>
            <w:hideMark/>
          </w:tcPr>
          <w:p w14:paraId="224E49C6" w14:textId="77777777" w:rsidR="00000000" w:rsidRDefault="0053651E">
            <w:pPr>
              <w:jc w:val="right"/>
              <w:rPr>
                <w:rFonts w:eastAsia="Times New Roman"/>
                <w:sz w:val="16"/>
                <w:szCs w:val="16"/>
              </w:rPr>
            </w:pPr>
            <w:r>
              <w:rPr>
                <w:rFonts w:eastAsia="Times New Roman"/>
                <w:sz w:val="16"/>
                <w:szCs w:val="16"/>
              </w:rPr>
              <w:t>5,318,613</w:t>
            </w:r>
          </w:p>
        </w:tc>
        <w:tc>
          <w:tcPr>
            <w:tcW w:w="350" w:type="pct"/>
            <w:shd w:val="clear" w:color="auto" w:fill="CCEEFF"/>
            <w:vAlign w:val="bottom"/>
            <w:hideMark/>
          </w:tcPr>
          <w:p w14:paraId="3070EED2" w14:textId="77777777" w:rsidR="00000000" w:rsidRDefault="0053651E">
            <w:pPr>
              <w:jc w:val="right"/>
              <w:rPr>
                <w:rFonts w:eastAsia="Times New Roman"/>
                <w:sz w:val="16"/>
                <w:szCs w:val="16"/>
              </w:rPr>
            </w:pPr>
            <w:r>
              <w:rPr>
                <w:rFonts w:eastAsia="Times New Roman"/>
                <w:sz w:val="16"/>
                <w:szCs w:val="16"/>
              </w:rPr>
              <w:t>7,597,790</w:t>
            </w:r>
          </w:p>
        </w:tc>
        <w:tc>
          <w:tcPr>
            <w:tcW w:w="400" w:type="pct"/>
            <w:shd w:val="clear" w:color="auto" w:fill="CCEEFF"/>
            <w:vAlign w:val="bottom"/>
            <w:hideMark/>
          </w:tcPr>
          <w:p w14:paraId="7786C979" w14:textId="77777777" w:rsidR="00000000" w:rsidRDefault="0053651E">
            <w:pPr>
              <w:jc w:val="right"/>
              <w:rPr>
                <w:rFonts w:eastAsia="Times New Roman"/>
                <w:sz w:val="16"/>
                <w:szCs w:val="16"/>
              </w:rPr>
            </w:pPr>
            <w:r>
              <w:rPr>
                <w:rFonts w:eastAsia="Times New Roman"/>
                <w:sz w:val="16"/>
                <w:szCs w:val="16"/>
              </w:rPr>
              <w:t>1,215,445</w:t>
            </w:r>
          </w:p>
        </w:tc>
        <w:tc>
          <w:tcPr>
            <w:tcW w:w="50" w:type="pct"/>
            <w:shd w:val="clear" w:color="auto" w:fill="CCEEFF"/>
            <w:vAlign w:val="bottom"/>
            <w:hideMark/>
          </w:tcPr>
          <w:p w14:paraId="08EC295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6FA7DD0" w14:textId="77777777" w:rsidR="00000000" w:rsidRDefault="0053651E">
            <w:pPr>
              <w:jc w:val="right"/>
              <w:rPr>
                <w:rFonts w:eastAsia="Times New Roman"/>
                <w:sz w:val="16"/>
                <w:szCs w:val="16"/>
              </w:rPr>
            </w:pPr>
            <w:r>
              <w:rPr>
                <w:rFonts w:eastAsia="Times New Roman"/>
                <w:sz w:val="16"/>
                <w:szCs w:val="16"/>
              </w:rPr>
              <w:t>6,382,345</w:t>
            </w:r>
          </w:p>
        </w:tc>
        <w:tc>
          <w:tcPr>
            <w:tcW w:w="50" w:type="pct"/>
            <w:shd w:val="clear" w:color="auto" w:fill="CCEEFF"/>
            <w:vAlign w:val="bottom"/>
            <w:hideMark/>
          </w:tcPr>
          <w:p w14:paraId="32B98FE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3D21D4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EBA2BDE"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6663DCDE" w14:textId="77777777">
        <w:trPr>
          <w:tblCellSpacing w:w="0" w:type="dxa"/>
        </w:trPr>
        <w:tc>
          <w:tcPr>
            <w:tcW w:w="50" w:type="pct"/>
            <w:shd w:val="clear" w:color="auto" w:fill="FFFFFF"/>
            <w:vAlign w:val="bottom"/>
            <w:hideMark/>
          </w:tcPr>
          <w:p w14:paraId="605AEFC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BAE816A" w14:textId="77777777" w:rsidR="00000000" w:rsidRDefault="0053651E">
            <w:pPr>
              <w:pStyle w:val="a3"/>
              <w:spacing w:before="0" w:beforeAutospacing="0" w:after="0" w:afterAutospacing="0"/>
              <w:rPr>
                <w:sz w:val="16"/>
                <w:szCs w:val="16"/>
              </w:rPr>
            </w:pPr>
            <w:r>
              <w:rPr>
                <w:sz w:val="16"/>
                <w:szCs w:val="16"/>
              </w:rPr>
              <w:t>RADCLIFFE CENTER</w:t>
            </w:r>
          </w:p>
        </w:tc>
        <w:tc>
          <w:tcPr>
            <w:tcW w:w="150" w:type="pct"/>
            <w:shd w:val="clear" w:color="auto" w:fill="FFFFFF"/>
            <w:vAlign w:val="bottom"/>
            <w:hideMark/>
          </w:tcPr>
          <w:p w14:paraId="10A76F3E"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026345B0" w14:textId="77777777" w:rsidR="00000000" w:rsidRDefault="0053651E">
            <w:pPr>
              <w:jc w:val="right"/>
              <w:rPr>
                <w:rFonts w:eastAsia="Times New Roman"/>
                <w:sz w:val="16"/>
                <w:szCs w:val="16"/>
              </w:rPr>
            </w:pPr>
            <w:r>
              <w:rPr>
                <w:rFonts w:eastAsia="Times New Roman"/>
                <w:sz w:val="16"/>
                <w:szCs w:val="16"/>
              </w:rPr>
              <w:t>12,042,713</w:t>
            </w:r>
          </w:p>
        </w:tc>
        <w:tc>
          <w:tcPr>
            <w:tcW w:w="550" w:type="pct"/>
            <w:shd w:val="clear" w:color="auto" w:fill="FFFFFF"/>
            <w:vAlign w:val="bottom"/>
            <w:hideMark/>
          </w:tcPr>
          <w:p w14:paraId="35753233" w14:textId="77777777" w:rsidR="00000000" w:rsidRDefault="0053651E">
            <w:pPr>
              <w:jc w:val="right"/>
              <w:rPr>
                <w:rFonts w:eastAsia="Times New Roman"/>
                <w:sz w:val="16"/>
                <w:szCs w:val="16"/>
              </w:rPr>
            </w:pPr>
            <w:r>
              <w:rPr>
                <w:rFonts w:eastAsia="Times New Roman"/>
                <w:sz w:val="16"/>
                <w:szCs w:val="16"/>
              </w:rPr>
              <w:t>21,187,946</w:t>
            </w:r>
          </w:p>
        </w:tc>
        <w:tc>
          <w:tcPr>
            <w:tcW w:w="350" w:type="pct"/>
            <w:shd w:val="clear" w:color="auto" w:fill="FFFFFF"/>
            <w:vAlign w:val="bottom"/>
            <w:hideMark/>
          </w:tcPr>
          <w:p w14:paraId="6C13B062" w14:textId="77777777" w:rsidR="00000000" w:rsidRDefault="0053651E">
            <w:pPr>
              <w:jc w:val="right"/>
              <w:rPr>
                <w:rFonts w:eastAsia="Times New Roman"/>
                <w:sz w:val="16"/>
                <w:szCs w:val="16"/>
              </w:rPr>
            </w:pPr>
            <w:r>
              <w:rPr>
                <w:rFonts w:eastAsia="Times New Roman"/>
                <w:sz w:val="16"/>
                <w:szCs w:val="16"/>
              </w:rPr>
              <w:t>26,723</w:t>
            </w:r>
          </w:p>
        </w:tc>
        <w:tc>
          <w:tcPr>
            <w:tcW w:w="300" w:type="pct"/>
            <w:shd w:val="clear" w:color="auto" w:fill="FFFFFF"/>
            <w:vAlign w:val="bottom"/>
            <w:hideMark/>
          </w:tcPr>
          <w:p w14:paraId="4A6298FC" w14:textId="77777777" w:rsidR="00000000" w:rsidRDefault="0053651E">
            <w:pPr>
              <w:jc w:val="right"/>
              <w:rPr>
                <w:rFonts w:eastAsia="Times New Roman"/>
                <w:sz w:val="16"/>
                <w:szCs w:val="16"/>
              </w:rPr>
            </w:pPr>
            <w:r>
              <w:rPr>
                <w:rFonts w:eastAsia="Times New Roman"/>
                <w:sz w:val="16"/>
                <w:szCs w:val="16"/>
              </w:rPr>
              <w:t>12,042,713</w:t>
            </w:r>
          </w:p>
        </w:tc>
        <w:tc>
          <w:tcPr>
            <w:tcW w:w="450" w:type="pct"/>
            <w:shd w:val="clear" w:color="auto" w:fill="FFFFFF"/>
            <w:vAlign w:val="bottom"/>
            <w:hideMark/>
          </w:tcPr>
          <w:p w14:paraId="4393DF47" w14:textId="77777777" w:rsidR="00000000" w:rsidRDefault="0053651E">
            <w:pPr>
              <w:jc w:val="right"/>
              <w:rPr>
                <w:rFonts w:eastAsia="Times New Roman"/>
                <w:sz w:val="16"/>
                <w:szCs w:val="16"/>
              </w:rPr>
            </w:pPr>
            <w:r>
              <w:rPr>
                <w:rFonts w:eastAsia="Times New Roman"/>
                <w:sz w:val="16"/>
                <w:szCs w:val="16"/>
              </w:rPr>
              <w:t>21,214,669</w:t>
            </w:r>
          </w:p>
        </w:tc>
        <w:tc>
          <w:tcPr>
            <w:tcW w:w="350" w:type="pct"/>
            <w:shd w:val="clear" w:color="auto" w:fill="FFFFFF"/>
            <w:vAlign w:val="bottom"/>
            <w:hideMark/>
          </w:tcPr>
          <w:p w14:paraId="1AE97791" w14:textId="77777777" w:rsidR="00000000" w:rsidRDefault="0053651E">
            <w:pPr>
              <w:jc w:val="right"/>
              <w:rPr>
                <w:rFonts w:eastAsia="Times New Roman"/>
                <w:sz w:val="16"/>
                <w:szCs w:val="16"/>
              </w:rPr>
            </w:pPr>
            <w:r>
              <w:rPr>
                <w:rFonts w:eastAsia="Times New Roman"/>
                <w:sz w:val="16"/>
                <w:szCs w:val="16"/>
              </w:rPr>
              <w:t>33,257,382</w:t>
            </w:r>
          </w:p>
        </w:tc>
        <w:tc>
          <w:tcPr>
            <w:tcW w:w="400" w:type="pct"/>
            <w:shd w:val="clear" w:color="auto" w:fill="FFFFFF"/>
            <w:vAlign w:val="bottom"/>
            <w:hideMark/>
          </w:tcPr>
          <w:p w14:paraId="099CC82D" w14:textId="77777777" w:rsidR="00000000" w:rsidRDefault="0053651E">
            <w:pPr>
              <w:jc w:val="right"/>
              <w:rPr>
                <w:rFonts w:eastAsia="Times New Roman"/>
                <w:sz w:val="16"/>
                <w:szCs w:val="16"/>
              </w:rPr>
            </w:pPr>
            <w:r>
              <w:rPr>
                <w:rFonts w:eastAsia="Times New Roman"/>
                <w:sz w:val="16"/>
                <w:szCs w:val="16"/>
              </w:rPr>
              <w:t>4,040,116</w:t>
            </w:r>
          </w:p>
        </w:tc>
        <w:tc>
          <w:tcPr>
            <w:tcW w:w="50" w:type="pct"/>
            <w:shd w:val="clear" w:color="auto" w:fill="FFFFFF"/>
            <w:vAlign w:val="bottom"/>
            <w:hideMark/>
          </w:tcPr>
          <w:p w14:paraId="5EB8194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7AF663A" w14:textId="77777777" w:rsidR="00000000" w:rsidRDefault="0053651E">
            <w:pPr>
              <w:jc w:val="right"/>
              <w:rPr>
                <w:rFonts w:eastAsia="Times New Roman"/>
                <w:sz w:val="16"/>
                <w:szCs w:val="16"/>
              </w:rPr>
            </w:pPr>
            <w:r>
              <w:rPr>
                <w:rFonts w:eastAsia="Times New Roman"/>
                <w:sz w:val="16"/>
                <w:szCs w:val="16"/>
              </w:rPr>
              <w:t>29,217,266</w:t>
            </w:r>
          </w:p>
        </w:tc>
        <w:tc>
          <w:tcPr>
            <w:tcW w:w="50" w:type="pct"/>
            <w:shd w:val="clear" w:color="auto" w:fill="FFFFFF"/>
            <w:vAlign w:val="bottom"/>
            <w:hideMark/>
          </w:tcPr>
          <w:p w14:paraId="7EF1B54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9C5634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47F6574"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09BC7CF" w14:textId="77777777">
        <w:trPr>
          <w:tblCellSpacing w:w="0" w:type="dxa"/>
        </w:trPr>
        <w:tc>
          <w:tcPr>
            <w:tcW w:w="50" w:type="pct"/>
            <w:shd w:val="clear" w:color="auto" w:fill="CCEEFF"/>
            <w:vAlign w:val="bottom"/>
            <w:hideMark/>
          </w:tcPr>
          <w:p w14:paraId="201D26A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960FE75" w14:textId="77777777" w:rsidR="00000000" w:rsidRDefault="0053651E">
            <w:pPr>
              <w:pStyle w:val="a3"/>
              <w:spacing w:before="0" w:beforeAutospacing="0" w:after="0" w:afterAutospacing="0"/>
              <w:rPr>
                <w:sz w:val="16"/>
                <w:szCs w:val="16"/>
              </w:rPr>
            </w:pPr>
            <w:r>
              <w:rPr>
                <w:sz w:val="16"/>
                <w:szCs w:val="16"/>
              </w:rPr>
              <w:t>TIMONIUM CROSSING</w:t>
            </w:r>
          </w:p>
        </w:tc>
        <w:tc>
          <w:tcPr>
            <w:tcW w:w="150" w:type="pct"/>
            <w:shd w:val="clear" w:color="auto" w:fill="CCEEFF"/>
            <w:vAlign w:val="bottom"/>
            <w:hideMark/>
          </w:tcPr>
          <w:p w14:paraId="390E98E9"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000CE449" w14:textId="77777777" w:rsidR="00000000" w:rsidRDefault="0053651E">
            <w:pPr>
              <w:jc w:val="right"/>
              <w:rPr>
                <w:rFonts w:eastAsia="Times New Roman"/>
                <w:sz w:val="16"/>
                <w:szCs w:val="16"/>
              </w:rPr>
            </w:pPr>
            <w:r>
              <w:rPr>
                <w:rFonts w:eastAsia="Times New Roman"/>
                <w:sz w:val="16"/>
                <w:szCs w:val="16"/>
              </w:rPr>
              <w:t>2,525,377</w:t>
            </w:r>
          </w:p>
        </w:tc>
        <w:tc>
          <w:tcPr>
            <w:tcW w:w="550" w:type="pct"/>
            <w:shd w:val="clear" w:color="auto" w:fill="CCEEFF"/>
            <w:vAlign w:val="bottom"/>
            <w:hideMark/>
          </w:tcPr>
          <w:p w14:paraId="099E7C7F" w14:textId="77777777" w:rsidR="00000000" w:rsidRDefault="0053651E">
            <w:pPr>
              <w:jc w:val="right"/>
              <w:rPr>
                <w:rFonts w:eastAsia="Times New Roman"/>
                <w:sz w:val="16"/>
                <w:szCs w:val="16"/>
              </w:rPr>
            </w:pPr>
            <w:r>
              <w:rPr>
                <w:rFonts w:eastAsia="Times New Roman"/>
                <w:sz w:val="16"/>
                <w:szCs w:val="16"/>
              </w:rPr>
              <w:t>14,862,817</w:t>
            </w:r>
          </w:p>
        </w:tc>
        <w:tc>
          <w:tcPr>
            <w:tcW w:w="350" w:type="pct"/>
            <w:shd w:val="clear" w:color="auto" w:fill="CCEEFF"/>
            <w:vAlign w:val="bottom"/>
            <w:hideMark/>
          </w:tcPr>
          <w:p w14:paraId="201ABB8D" w14:textId="77777777" w:rsidR="00000000" w:rsidRDefault="0053651E">
            <w:pPr>
              <w:jc w:val="right"/>
              <w:rPr>
                <w:rFonts w:eastAsia="Times New Roman"/>
                <w:sz w:val="16"/>
                <w:szCs w:val="16"/>
              </w:rPr>
            </w:pPr>
            <w:r>
              <w:rPr>
                <w:rFonts w:eastAsia="Times New Roman"/>
                <w:sz w:val="16"/>
                <w:szCs w:val="16"/>
              </w:rPr>
              <w:t>467,571</w:t>
            </w:r>
          </w:p>
        </w:tc>
        <w:tc>
          <w:tcPr>
            <w:tcW w:w="300" w:type="pct"/>
            <w:shd w:val="clear" w:color="auto" w:fill="CCEEFF"/>
            <w:vAlign w:val="bottom"/>
            <w:hideMark/>
          </w:tcPr>
          <w:p w14:paraId="3C99E62F" w14:textId="77777777" w:rsidR="00000000" w:rsidRDefault="0053651E">
            <w:pPr>
              <w:jc w:val="right"/>
              <w:rPr>
                <w:rFonts w:eastAsia="Times New Roman"/>
                <w:sz w:val="16"/>
                <w:szCs w:val="16"/>
              </w:rPr>
            </w:pPr>
            <w:r>
              <w:rPr>
                <w:rFonts w:eastAsia="Times New Roman"/>
                <w:sz w:val="16"/>
                <w:szCs w:val="16"/>
              </w:rPr>
              <w:t>2,525,377</w:t>
            </w:r>
          </w:p>
        </w:tc>
        <w:tc>
          <w:tcPr>
            <w:tcW w:w="450" w:type="pct"/>
            <w:shd w:val="clear" w:color="auto" w:fill="CCEEFF"/>
            <w:vAlign w:val="bottom"/>
            <w:hideMark/>
          </w:tcPr>
          <w:p w14:paraId="77207828" w14:textId="77777777" w:rsidR="00000000" w:rsidRDefault="0053651E">
            <w:pPr>
              <w:jc w:val="right"/>
              <w:rPr>
                <w:rFonts w:eastAsia="Times New Roman"/>
                <w:sz w:val="16"/>
                <w:szCs w:val="16"/>
              </w:rPr>
            </w:pPr>
            <w:r>
              <w:rPr>
                <w:rFonts w:eastAsia="Times New Roman"/>
                <w:sz w:val="16"/>
                <w:szCs w:val="16"/>
              </w:rPr>
              <w:t>15,330,388</w:t>
            </w:r>
          </w:p>
        </w:tc>
        <w:tc>
          <w:tcPr>
            <w:tcW w:w="350" w:type="pct"/>
            <w:shd w:val="clear" w:color="auto" w:fill="CCEEFF"/>
            <w:vAlign w:val="bottom"/>
            <w:hideMark/>
          </w:tcPr>
          <w:p w14:paraId="33AE83A1" w14:textId="77777777" w:rsidR="00000000" w:rsidRDefault="0053651E">
            <w:pPr>
              <w:jc w:val="right"/>
              <w:rPr>
                <w:rFonts w:eastAsia="Times New Roman"/>
                <w:sz w:val="16"/>
                <w:szCs w:val="16"/>
              </w:rPr>
            </w:pPr>
            <w:r>
              <w:rPr>
                <w:rFonts w:eastAsia="Times New Roman"/>
                <w:sz w:val="16"/>
                <w:szCs w:val="16"/>
              </w:rPr>
              <w:t>17,855,765</w:t>
            </w:r>
          </w:p>
        </w:tc>
        <w:tc>
          <w:tcPr>
            <w:tcW w:w="400" w:type="pct"/>
            <w:shd w:val="clear" w:color="auto" w:fill="CCEEFF"/>
            <w:vAlign w:val="bottom"/>
            <w:hideMark/>
          </w:tcPr>
          <w:p w14:paraId="48FC7CF2" w14:textId="77777777" w:rsidR="00000000" w:rsidRDefault="0053651E">
            <w:pPr>
              <w:jc w:val="right"/>
              <w:rPr>
                <w:rFonts w:eastAsia="Times New Roman"/>
                <w:sz w:val="16"/>
                <w:szCs w:val="16"/>
              </w:rPr>
            </w:pPr>
            <w:r>
              <w:rPr>
                <w:rFonts w:eastAsia="Times New Roman"/>
                <w:sz w:val="16"/>
                <w:szCs w:val="16"/>
              </w:rPr>
              <w:t>2,640,116</w:t>
            </w:r>
          </w:p>
        </w:tc>
        <w:tc>
          <w:tcPr>
            <w:tcW w:w="50" w:type="pct"/>
            <w:shd w:val="clear" w:color="auto" w:fill="CCEEFF"/>
            <w:vAlign w:val="bottom"/>
            <w:hideMark/>
          </w:tcPr>
          <w:p w14:paraId="1952385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2492992" w14:textId="77777777" w:rsidR="00000000" w:rsidRDefault="0053651E">
            <w:pPr>
              <w:jc w:val="right"/>
              <w:rPr>
                <w:rFonts w:eastAsia="Times New Roman"/>
                <w:sz w:val="16"/>
                <w:szCs w:val="16"/>
              </w:rPr>
            </w:pPr>
            <w:r>
              <w:rPr>
                <w:rFonts w:eastAsia="Times New Roman"/>
                <w:sz w:val="16"/>
                <w:szCs w:val="16"/>
              </w:rPr>
              <w:t>15,215,649</w:t>
            </w:r>
          </w:p>
        </w:tc>
        <w:tc>
          <w:tcPr>
            <w:tcW w:w="50" w:type="pct"/>
            <w:shd w:val="clear" w:color="auto" w:fill="CCEEFF"/>
            <w:vAlign w:val="bottom"/>
            <w:hideMark/>
          </w:tcPr>
          <w:p w14:paraId="4BCC7B1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E9AEBE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8593039"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6E7F0D64" w14:textId="77777777">
        <w:trPr>
          <w:tblCellSpacing w:w="0" w:type="dxa"/>
        </w:trPr>
        <w:tc>
          <w:tcPr>
            <w:tcW w:w="50" w:type="pct"/>
            <w:shd w:val="clear" w:color="auto" w:fill="FFFFFF"/>
            <w:vAlign w:val="bottom"/>
            <w:hideMark/>
          </w:tcPr>
          <w:p w14:paraId="634D268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1CB7963" w14:textId="77777777" w:rsidR="00000000" w:rsidRDefault="0053651E">
            <w:pPr>
              <w:pStyle w:val="a3"/>
              <w:spacing w:before="0" w:beforeAutospacing="0" w:after="0" w:afterAutospacing="0"/>
              <w:rPr>
                <w:sz w:val="16"/>
                <w:szCs w:val="16"/>
              </w:rPr>
            </w:pPr>
            <w:r>
              <w:rPr>
                <w:sz w:val="16"/>
                <w:szCs w:val="16"/>
              </w:rPr>
              <w:t>TIMONIUM SQUARE</w:t>
            </w:r>
          </w:p>
        </w:tc>
        <w:tc>
          <w:tcPr>
            <w:tcW w:w="150" w:type="pct"/>
            <w:shd w:val="clear" w:color="auto" w:fill="FFFFFF"/>
            <w:vAlign w:val="bottom"/>
            <w:hideMark/>
          </w:tcPr>
          <w:p w14:paraId="15FC7FDE"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FFFFFF"/>
            <w:vAlign w:val="bottom"/>
            <w:hideMark/>
          </w:tcPr>
          <w:p w14:paraId="12C22445" w14:textId="77777777" w:rsidR="00000000" w:rsidRDefault="0053651E">
            <w:pPr>
              <w:jc w:val="right"/>
              <w:rPr>
                <w:rFonts w:eastAsia="Times New Roman"/>
                <w:sz w:val="16"/>
                <w:szCs w:val="16"/>
              </w:rPr>
            </w:pPr>
            <w:r>
              <w:rPr>
                <w:rFonts w:eastAsia="Times New Roman"/>
                <w:sz w:val="16"/>
                <w:szCs w:val="16"/>
              </w:rPr>
              <w:t>6,000,000</w:t>
            </w:r>
          </w:p>
        </w:tc>
        <w:tc>
          <w:tcPr>
            <w:tcW w:w="550" w:type="pct"/>
            <w:shd w:val="clear" w:color="auto" w:fill="FFFFFF"/>
            <w:vAlign w:val="bottom"/>
            <w:hideMark/>
          </w:tcPr>
          <w:p w14:paraId="3CF61C85" w14:textId="77777777" w:rsidR="00000000" w:rsidRDefault="0053651E">
            <w:pPr>
              <w:jc w:val="right"/>
              <w:rPr>
                <w:rFonts w:eastAsia="Times New Roman"/>
                <w:sz w:val="16"/>
                <w:szCs w:val="16"/>
              </w:rPr>
            </w:pPr>
            <w:r>
              <w:rPr>
                <w:rFonts w:eastAsia="Times New Roman"/>
                <w:sz w:val="16"/>
                <w:szCs w:val="16"/>
              </w:rPr>
              <w:t>24,282,998</w:t>
            </w:r>
          </w:p>
        </w:tc>
        <w:tc>
          <w:tcPr>
            <w:tcW w:w="350" w:type="pct"/>
            <w:shd w:val="clear" w:color="auto" w:fill="FFFFFF"/>
            <w:vAlign w:val="bottom"/>
            <w:hideMark/>
          </w:tcPr>
          <w:p w14:paraId="48B0EFA9" w14:textId="77777777" w:rsidR="00000000" w:rsidRDefault="0053651E">
            <w:pPr>
              <w:jc w:val="right"/>
              <w:rPr>
                <w:rFonts w:eastAsia="Times New Roman"/>
                <w:sz w:val="16"/>
                <w:szCs w:val="16"/>
              </w:rPr>
            </w:pPr>
            <w:r>
              <w:rPr>
                <w:rFonts w:eastAsia="Times New Roman"/>
                <w:sz w:val="16"/>
                <w:szCs w:val="16"/>
              </w:rPr>
              <w:t>14,192,960</w:t>
            </w:r>
          </w:p>
        </w:tc>
        <w:tc>
          <w:tcPr>
            <w:tcW w:w="300" w:type="pct"/>
            <w:shd w:val="clear" w:color="auto" w:fill="FFFFFF"/>
            <w:vAlign w:val="bottom"/>
            <w:hideMark/>
          </w:tcPr>
          <w:p w14:paraId="46E6FBF6" w14:textId="77777777" w:rsidR="00000000" w:rsidRDefault="0053651E">
            <w:pPr>
              <w:jc w:val="right"/>
              <w:rPr>
                <w:rFonts w:eastAsia="Times New Roman"/>
                <w:sz w:val="16"/>
                <w:szCs w:val="16"/>
              </w:rPr>
            </w:pPr>
            <w:r>
              <w:rPr>
                <w:rFonts w:eastAsia="Times New Roman"/>
                <w:sz w:val="16"/>
                <w:szCs w:val="16"/>
              </w:rPr>
              <w:t>7,331,195</w:t>
            </w:r>
          </w:p>
        </w:tc>
        <w:tc>
          <w:tcPr>
            <w:tcW w:w="450" w:type="pct"/>
            <w:shd w:val="clear" w:color="auto" w:fill="FFFFFF"/>
            <w:vAlign w:val="bottom"/>
            <w:hideMark/>
          </w:tcPr>
          <w:p w14:paraId="265CF6D8" w14:textId="77777777" w:rsidR="00000000" w:rsidRDefault="0053651E">
            <w:pPr>
              <w:jc w:val="right"/>
              <w:rPr>
                <w:rFonts w:eastAsia="Times New Roman"/>
                <w:sz w:val="16"/>
                <w:szCs w:val="16"/>
              </w:rPr>
            </w:pPr>
            <w:r>
              <w:rPr>
                <w:rFonts w:eastAsia="Times New Roman"/>
                <w:sz w:val="16"/>
                <w:szCs w:val="16"/>
              </w:rPr>
              <w:t>37,144,763</w:t>
            </w:r>
          </w:p>
        </w:tc>
        <w:tc>
          <w:tcPr>
            <w:tcW w:w="350" w:type="pct"/>
            <w:shd w:val="clear" w:color="auto" w:fill="FFFFFF"/>
            <w:vAlign w:val="bottom"/>
            <w:hideMark/>
          </w:tcPr>
          <w:p w14:paraId="57767437" w14:textId="77777777" w:rsidR="00000000" w:rsidRDefault="0053651E">
            <w:pPr>
              <w:jc w:val="right"/>
              <w:rPr>
                <w:rFonts w:eastAsia="Times New Roman"/>
                <w:sz w:val="16"/>
                <w:szCs w:val="16"/>
              </w:rPr>
            </w:pPr>
            <w:r>
              <w:rPr>
                <w:rFonts w:eastAsia="Times New Roman"/>
                <w:sz w:val="16"/>
                <w:szCs w:val="16"/>
              </w:rPr>
              <w:t>44,475,958</w:t>
            </w:r>
          </w:p>
        </w:tc>
        <w:tc>
          <w:tcPr>
            <w:tcW w:w="400" w:type="pct"/>
            <w:shd w:val="clear" w:color="auto" w:fill="FFFFFF"/>
            <w:vAlign w:val="bottom"/>
            <w:hideMark/>
          </w:tcPr>
          <w:p w14:paraId="76554136" w14:textId="77777777" w:rsidR="00000000" w:rsidRDefault="0053651E">
            <w:pPr>
              <w:jc w:val="right"/>
              <w:rPr>
                <w:rFonts w:eastAsia="Times New Roman"/>
                <w:sz w:val="16"/>
                <w:szCs w:val="16"/>
              </w:rPr>
            </w:pPr>
            <w:r>
              <w:rPr>
                <w:rFonts w:eastAsia="Times New Roman"/>
                <w:sz w:val="16"/>
                <w:szCs w:val="16"/>
              </w:rPr>
              <w:t>17,499,083</w:t>
            </w:r>
          </w:p>
        </w:tc>
        <w:tc>
          <w:tcPr>
            <w:tcW w:w="50" w:type="pct"/>
            <w:shd w:val="clear" w:color="auto" w:fill="FFFFFF"/>
            <w:vAlign w:val="bottom"/>
            <w:hideMark/>
          </w:tcPr>
          <w:p w14:paraId="3FB3AFA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B665708" w14:textId="77777777" w:rsidR="00000000" w:rsidRDefault="0053651E">
            <w:pPr>
              <w:jc w:val="right"/>
              <w:rPr>
                <w:rFonts w:eastAsia="Times New Roman"/>
                <w:sz w:val="16"/>
                <w:szCs w:val="16"/>
              </w:rPr>
            </w:pPr>
            <w:r>
              <w:rPr>
                <w:rFonts w:eastAsia="Times New Roman"/>
                <w:sz w:val="16"/>
                <w:szCs w:val="16"/>
              </w:rPr>
              <w:t>26,976,875</w:t>
            </w:r>
          </w:p>
        </w:tc>
        <w:tc>
          <w:tcPr>
            <w:tcW w:w="50" w:type="pct"/>
            <w:shd w:val="clear" w:color="auto" w:fill="FFFFFF"/>
            <w:vAlign w:val="bottom"/>
            <w:hideMark/>
          </w:tcPr>
          <w:p w14:paraId="5025C50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0509A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04FBFD4"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08110648" w14:textId="77777777">
        <w:trPr>
          <w:tblCellSpacing w:w="0" w:type="dxa"/>
        </w:trPr>
        <w:tc>
          <w:tcPr>
            <w:tcW w:w="50" w:type="pct"/>
            <w:shd w:val="clear" w:color="auto" w:fill="CCEEFF"/>
            <w:vAlign w:val="bottom"/>
            <w:hideMark/>
          </w:tcPr>
          <w:p w14:paraId="1B31AC5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BAC63FC" w14:textId="77777777" w:rsidR="00000000" w:rsidRDefault="0053651E">
            <w:pPr>
              <w:pStyle w:val="a3"/>
              <w:spacing w:before="0" w:beforeAutospacing="0" w:after="0" w:afterAutospacing="0"/>
              <w:rPr>
                <w:sz w:val="16"/>
                <w:szCs w:val="16"/>
              </w:rPr>
            </w:pPr>
            <w:r>
              <w:rPr>
                <w:sz w:val="16"/>
                <w:szCs w:val="16"/>
              </w:rPr>
              <w:t>TOWSON PLACE</w:t>
            </w:r>
          </w:p>
        </w:tc>
        <w:tc>
          <w:tcPr>
            <w:tcW w:w="150" w:type="pct"/>
            <w:shd w:val="clear" w:color="auto" w:fill="CCEEFF"/>
            <w:vAlign w:val="bottom"/>
            <w:hideMark/>
          </w:tcPr>
          <w:p w14:paraId="7F849C1A" w14:textId="77777777" w:rsidR="00000000" w:rsidRDefault="0053651E">
            <w:pPr>
              <w:pStyle w:val="a3"/>
              <w:spacing w:before="0" w:beforeAutospacing="0" w:after="0" w:afterAutospacing="0"/>
              <w:rPr>
                <w:sz w:val="16"/>
                <w:szCs w:val="16"/>
              </w:rPr>
            </w:pPr>
            <w:r>
              <w:rPr>
                <w:rStyle w:val="a6"/>
                <w:i w:val="0"/>
                <w:iCs w:val="0"/>
                <w:sz w:val="16"/>
                <w:szCs w:val="16"/>
              </w:rPr>
              <w:t>MD</w:t>
            </w:r>
          </w:p>
        </w:tc>
        <w:tc>
          <w:tcPr>
            <w:tcW w:w="300" w:type="pct"/>
            <w:shd w:val="clear" w:color="auto" w:fill="CCEEFF"/>
            <w:vAlign w:val="bottom"/>
            <w:hideMark/>
          </w:tcPr>
          <w:p w14:paraId="1D657E52" w14:textId="77777777" w:rsidR="00000000" w:rsidRDefault="0053651E">
            <w:pPr>
              <w:jc w:val="right"/>
              <w:rPr>
                <w:rFonts w:eastAsia="Times New Roman"/>
                <w:sz w:val="16"/>
                <w:szCs w:val="16"/>
              </w:rPr>
            </w:pPr>
            <w:r>
              <w:rPr>
                <w:rFonts w:eastAsia="Times New Roman"/>
                <w:sz w:val="16"/>
                <w:szCs w:val="16"/>
              </w:rPr>
              <w:t>43,886,876</w:t>
            </w:r>
          </w:p>
        </w:tc>
        <w:tc>
          <w:tcPr>
            <w:tcW w:w="550" w:type="pct"/>
            <w:shd w:val="clear" w:color="auto" w:fill="CCEEFF"/>
            <w:vAlign w:val="bottom"/>
            <w:hideMark/>
          </w:tcPr>
          <w:p w14:paraId="59ABC06B" w14:textId="77777777" w:rsidR="00000000" w:rsidRDefault="0053651E">
            <w:pPr>
              <w:jc w:val="right"/>
              <w:rPr>
                <w:rFonts w:eastAsia="Times New Roman"/>
                <w:sz w:val="16"/>
                <w:szCs w:val="16"/>
              </w:rPr>
            </w:pPr>
            <w:r>
              <w:rPr>
                <w:rFonts w:eastAsia="Times New Roman"/>
                <w:sz w:val="16"/>
                <w:szCs w:val="16"/>
              </w:rPr>
              <w:t>101,764,931</w:t>
            </w:r>
          </w:p>
        </w:tc>
        <w:tc>
          <w:tcPr>
            <w:tcW w:w="350" w:type="pct"/>
            <w:shd w:val="clear" w:color="auto" w:fill="CCEEFF"/>
            <w:vAlign w:val="bottom"/>
            <w:hideMark/>
          </w:tcPr>
          <w:p w14:paraId="2D019E4A" w14:textId="77777777" w:rsidR="00000000" w:rsidRDefault="0053651E">
            <w:pPr>
              <w:jc w:val="right"/>
              <w:rPr>
                <w:rFonts w:eastAsia="Times New Roman"/>
                <w:sz w:val="16"/>
                <w:szCs w:val="16"/>
              </w:rPr>
            </w:pPr>
            <w:r>
              <w:rPr>
                <w:rFonts w:eastAsia="Times New Roman"/>
                <w:sz w:val="16"/>
                <w:szCs w:val="16"/>
              </w:rPr>
              <w:t>4,058,439</w:t>
            </w:r>
          </w:p>
        </w:tc>
        <w:tc>
          <w:tcPr>
            <w:tcW w:w="300" w:type="pct"/>
            <w:shd w:val="clear" w:color="auto" w:fill="CCEEFF"/>
            <w:vAlign w:val="bottom"/>
            <w:hideMark/>
          </w:tcPr>
          <w:p w14:paraId="3222596C" w14:textId="77777777" w:rsidR="00000000" w:rsidRDefault="0053651E">
            <w:pPr>
              <w:jc w:val="right"/>
              <w:rPr>
                <w:rFonts w:eastAsia="Times New Roman"/>
                <w:sz w:val="16"/>
                <w:szCs w:val="16"/>
              </w:rPr>
            </w:pPr>
            <w:r>
              <w:rPr>
                <w:rFonts w:eastAsia="Times New Roman"/>
                <w:sz w:val="16"/>
                <w:szCs w:val="16"/>
              </w:rPr>
              <w:t>43,270,792</w:t>
            </w:r>
          </w:p>
        </w:tc>
        <w:tc>
          <w:tcPr>
            <w:tcW w:w="450" w:type="pct"/>
            <w:shd w:val="clear" w:color="auto" w:fill="CCEEFF"/>
            <w:vAlign w:val="bottom"/>
            <w:hideMark/>
          </w:tcPr>
          <w:p w14:paraId="6ACD4439" w14:textId="77777777" w:rsidR="00000000" w:rsidRDefault="0053651E">
            <w:pPr>
              <w:jc w:val="right"/>
              <w:rPr>
                <w:rFonts w:eastAsia="Times New Roman"/>
                <w:sz w:val="16"/>
                <w:szCs w:val="16"/>
              </w:rPr>
            </w:pPr>
            <w:r>
              <w:rPr>
                <w:rFonts w:eastAsia="Times New Roman"/>
                <w:sz w:val="16"/>
                <w:szCs w:val="16"/>
              </w:rPr>
              <w:t>106,439,454</w:t>
            </w:r>
          </w:p>
        </w:tc>
        <w:tc>
          <w:tcPr>
            <w:tcW w:w="350" w:type="pct"/>
            <w:shd w:val="clear" w:color="auto" w:fill="CCEEFF"/>
            <w:vAlign w:val="bottom"/>
            <w:hideMark/>
          </w:tcPr>
          <w:p w14:paraId="5FBF1D31" w14:textId="77777777" w:rsidR="00000000" w:rsidRDefault="0053651E">
            <w:pPr>
              <w:jc w:val="right"/>
              <w:rPr>
                <w:rFonts w:eastAsia="Times New Roman"/>
                <w:sz w:val="16"/>
                <w:szCs w:val="16"/>
              </w:rPr>
            </w:pPr>
            <w:r>
              <w:rPr>
                <w:rFonts w:eastAsia="Times New Roman"/>
                <w:sz w:val="16"/>
                <w:szCs w:val="16"/>
              </w:rPr>
              <w:t>149,710,246</w:t>
            </w:r>
          </w:p>
        </w:tc>
        <w:tc>
          <w:tcPr>
            <w:tcW w:w="400" w:type="pct"/>
            <w:shd w:val="clear" w:color="auto" w:fill="CCEEFF"/>
            <w:vAlign w:val="bottom"/>
            <w:hideMark/>
          </w:tcPr>
          <w:p w14:paraId="41CFBC97" w14:textId="77777777" w:rsidR="00000000" w:rsidRDefault="0053651E">
            <w:pPr>
              <w:jc w:val="right"/>
              <w:rPr>
                <w:rFonts w:eastAsia="Times New Roman"/>
                <w:sz w:val="16"/>
                <w:szCs w:val="16"/>
              </w:rPr>
            </w:pPr>
            <w:r>
              <w:rPr>
                <w:rFonts w:eastAsia="Times New Roman"/>
                <w:sz w:val="16"/>
                <w:szCs w:val="16"/>
              </w:rPr>
              <w:t>24,823,118</w:t>
            </w:r>
          </w:p>
        </w:tc>
        <w:tc>
          <w:tcPr>
            <w:tcW w:w="50" w:type="pct"/>
            <w:shd w:val="clear" w:color="auto" w:fill="CCEEFF"/>
            <w:vAlign w:val="bottom"/>
            <w:hideMark/>
          </w:tcPr>
          <w:p w14:paraId="5982B3E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63BECCD" w14:textId="77777777" w:rsidR="00000000" w:rsidRDefault="0053651E">
            <w:pPr>
              <w:jc w:val="right"/>
              <w:rPr>
                <w:rFonts w:eastAsia="Times New Roman"/>
                <w:sz w:val="16"/>
                <w:szCs w:val="16"/>
              </w:rPr>
            </w:pPr>
            <w:r>
              <w:rPr>
                <w:rFonts w:eastAsia="Times New Roman"/>
                <w:sz w:val="16"/>
                <w:szCs w:val="16"/>
              </w:rPr>
              <w:t>124,887,128</w:t>
            </w:r>
          </w:p>
        </w:tc>
        <w:tc>
          <w:tcPr>
            <w:tcW w:w="50" w:type="pct"/>
            <w:shd w:val="clear" w:color="auto" w:fill="CCEEFF"/>
            <w:vAlign w:val="bottom"/>
            <w:hideMark/>
          </w:tcPr>
          <w:p w14:paraId="43F8261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1D98A2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196FA67"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5F683C2E" w14:textId="77777777">
        <w:trPr>
          <w:tblCellSpacing w:w="0" w:type="dxa"/>
        </w:trPr>
        <w:tc>
          <w:tcPr>
            <w:tcW w:w="50" w:type="pct"/>
            <w:shd w:val="clear" w:color="auto" w:fill="FFFFFF"/>
            <w:vAlign w:val="bottom"/>
            <w:hideMark/>
          </w:tcPr>
          <w:p w14:paraId="102AA8D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F9CDC4F" w14:textId="77777777" w:rsidR="00000000" w:rsidRDefault="0053651E">
            <w:pPr>
              <w:pStyle w:val="a3"/>
              <w:spacing w:before="0" w:beforeAutospacing="0" w:after="0" w:afterAutospacing="0"/>
              <w:rPr>
                <w:sz w:val="16"/>
                <w:szCs w:val="16"/>
              </w:rPr>
            </w:pPr>
            <w:r>
              <w:rPr>
                <w:sz w:val="16"/>
                <w:szCs w:val="16"/>
              </w:rPr>
              <w:t>CENTURY PLAZA</w:t>
            </w:r>
          </w:p>
        </w:tc>
        <w:tc>
          <w:tcPr>
            <w:tcW w:w="150" w:type="pct"/>
            <w:shd w:val="clear" w:color="auto" w:fill="FFFFFF"/>
            <w:vAlign w:val="bottom"/>
            <w:hideMark/>
          </w:tcPr>
          <w:p w14:paraId="4FBC9B1D" w14:textId="77777777" w:rsidR="00000000" w:rsidRDefault="0053651E">
            <w:pPr>
              <w:pStyle w:val="a3"/>
              <w:spacing w:before="0" w:beforeAutospacing="0" w:after="0" w:afterAutospacing="0"/>
              <w:rPr>
                <w:sz w:val="16"/>
                <w:szCs w:val="16"/>
              </w:rPr>
            </w:pPr>
            <w:r>
              <w:rPr>
                <w:rStyle w:val="a6"/>
                <w:i w:val="0"/>
                <w:iCs w:val="0"/>
                <w:sz w:val="16"/>
                <w:szCs w:val="16"/>
              </w:rPr>
              <w:t>MI</w:t>
            </w:r>
          </w:p>
        </w:tc>
        <w:tc>
          <w:tcPr>
            <w:tcW w:w="300" w:type="pct"/>
            <w:shd w:val="clear" w:color="auto" w:fill="FFFFFF"/>
            <w:vAlign w:val="bottom"/>
            <w:hideMark/>
          </w:tcPr>
          <w:p w14:paraId="11978E44" w14:textId="77777777" w:rsidR="00000000" w:rsidRDefault="0053651E">
            <w:pPr>
              <w:jc w:val="right"/>
              <w:rPr>
                <w:rFonts w:eastAsia="Times New Roman"/>
                <w:sz w:val="16"/>
                <w:szCs w:val="16"/>
              </w:rPr>
            </w:pPr>
            <w:r>
              <w:rPr>
                <w:rFonts w:eastAsia="Times New Roman"/>
                <w:sz w:val="16"/>
                <w:szCs w:val="16"/>
              </w:rPr>
              <w:t>178,785</w:t>
            </w:r>
          </w:p>
        </w:tc>
        <w:tc>
          <w:tcPr>
            <w:tcW w:w="550" w:type="pct"/>
            <w:shd w:val="clear" w:color="auto" w:fill="FFFFFF"/>
            <w:vAlign w:val="bottom"/>
            <w:hideMark/>
          </w:tcPr>
          <w:p w14:paraId="7E397B4D" w14:textId="77777777" w:rsidR="00000000" w:rsidRDefault="0053651E">
            <w:pPr>
              <w:jc w:val="right"/>
              <w:rPr>
                <w:rFonts w:eastAsia="Times New Roman"/>
                <w:sz w:val="16"/>
                <w:szCs w:val="16"/>
              </w:rPr>
            </w:pPr>
            <w:r>
              <w:rPr>
                <w:rFonts w:eastAsia="Times New Roman"/>
                <w:sz w:val="16"/>
                <w:szCs w:val="16"/>
              </w:rPr>
              <w:t>925,818</w:t>
            </w:r>
          </w:p>
        </w:tc>
        <w:tc>
          <w:tcPr>
            <w:tcW w:w="350" w:type="pct"/>
            <w:shd w:val="clear" w:color="auto" w:fill="FFFFFF"/>
            <w:vAlign w:val="bottom"/>
            <w:hideMark/>
          </w:tcPr>
          <w:p w14:paraId="7E3C2670" w14:textId="77777777" w:rsidR="00000000" w:rsidRDefault="0053651E">
            <w:pPr>
              <w:jc w:val="right"/>
              <w:rPr>
                <w:rFonts w:eastAsia="Times New Roman"/>
                <w:sz w:val="16"/>
                <w:szCs w:val="16"/>
              </w:rPr>
            </w:pPr>
            <w:r>
              <w:rPr>
                <w:rFonts w:eastAsia="Times New Roman"/>
                <w:sz w:val="16"/>
                <w:szCs w:val="16"/>
              </w:rPr>
              <w:t>731,597</w:t>
            </w:r>
          </w:p>
        </w:tc>
        <w:tc>
          <w:tcPr>
            <w:tcW w:w="300" w:type="pct"/>
            <w:shd w:val="clear" w:color="auto" w:fill="FFFFFF"/>
            <w:vAlign w:val="bottom"/>
            <w:hideMark/>
          </w:tcPr>
          <w:p w14:paraId="649BA56D" w14:textId="77777777" w:rsidR="00000000" w:rsidRDefault="0053651E">
            <w:pPr>
              <w:jc w:val="right"/>
              <w:rPr>
                <w:rFonts w:eastAsia="Times New Roman"/>
                <w:sz w:val="16"/>
                <w:szCs w:val="16"/>
              </w:rPr>
            </w:pPr>
            <w:r>
              <w:rPr>
                <w:rFonts w:eastAsia="Times New Roman"/>
                <w:sz w:val="16"/>
                <w:szCs w:val="16"/>
              </w:rPr>
              <w:t>95,905</w:t>
            </w:r>
          </w:p>
        </w:tc>
        <w:tc>
          <w:tcPr>
            <w:tcW w:w="450" w:type="pct"/>
            <w:shd w:val="clear" w:color="auto" w:fill="FFFFFF"/>
            <w:vAlign w:val="bottom"/>
            <w:hideMark/>
          </w:tcPr>
          <w:p w14:paraId="4226217C" w14:textId="77777777" w:rsidR="00000000" w:rsidRDefault="0053651E">
            <w:pPr>
              <w:jc w:val="right"/>
              <w:rPr>
                <w:rFonts w:eastAsia="Times New Roman"/>
                <w:sz w:val="16"/>
                <w:szCs w:val="16"/>
              </w:rPr>
            </w:pPr>
            <w:r>
              <w:rPr>
                <w:rFonts w:eastAsia="Times New Roman"/>
                <w:sz w:val="16"/>
                <w:szCs w:val="16"/>
              </w:rPr>
              <w:t>1,740,295</w:t>
            </w:r>
          </w:p>
        </w:tc>
        <w:tc>
          <w:tcPr>
            <w:tcW w:w="350" w:type="pct"/>
            <w:shd w:val="clear" w:color="auto" w:fill="FFFFFF"/>
            <w:vAlign w:val="bottom"/>
            <w:hideMark/>
          </w:tcPr>
          <w:p w14:paraId="4BDF788C" w14:textId="77777777" w:rsidR="00000000" w:rsidRDefault="0053651E">
            <w:pPr>
              <w:jc w:val="right"/>
              <w:rPr>
                <w:rFonts w:eastAsia="Times New Roman"/>
                <w:sz w:val="16"/>
                <w:szCs w:val="16"/>
              </w:rPr>
            </w:pPr>
            <w:r>
              <w:rPr>
                <w:rFonts w:eastAsia="Times New Roman"/>
                <w:sz w:val="16"/>
                <w:szCs w:val="16"/>
              </w:rPr>
              <w:t>1,836,200</w:t>
            </w:r>
          </w:p>
        </w:tc>
        <w:tc>
          <w:tcPr>
            <w:tcW w:w="400" w:type="pct"/>
            <w:shd w:val="clear" w:color="auto" w:fill="FFFFFF"/>
            <w:vAlign w:val="bottom"/>
            <w:hideMark/>
          </w:tcPr>
          <w:p w14:paraId="57207F48" w14:textId="77777777" w:rsidR="00000000" w:rsidRDefault="0053651E">
            <w:pPr>
              <w:jc w:val="right"/>
              <w:rPr>
                <w:rFonts w:eastAsia="Times New Roman"/>
                <w:sz w:val="16"/>
                <w:szCs w:val="16"/>
              </w:rPr>
            </w:pPr>
            <w:r>
              <w:rPr>
                <w:rFonts w:eastAsia="Times New Roman"/>
                <w:sz w:val="16"/>
                <w:szCs w:val="16"/>
              </w:rPr>
              <w:t>832,327</w:t>
            </w:r>
          </w:p>
        </w:tc>
        <w:tc>
          <w:tcPr>
            <w:tcW w:w="50" w:type="pct"/>
            <w:shd w:val="clear" w:color="auto" w:fill="FFFFFF"/>
            <w:vAlign w:val="bottom"/>
            <w:hideMark/>
          </w:tcPr>
          <w:p w14:paraId="14BFC0A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B4DA14E" w14:textId="77777777" w:rsidR="00000000" w:rsidRDefault="0053651E">
            <w:pPr>
              <w:jc w:val="right"/>
              <w:rPr>
                <w:rFonts w:eastAsia="Times New Roman"/>
                <w:sz w:val="16"/>
                <w:szCs w:val="16"/>
              </w:rPr>
            </w:pPr>
            <w:r>
              <w:rPr>
                <w:rFonts w:eastAsia="Times New Roman"/>
                <w:sz w:val="16"/>
                <w:szCs w:val="16"/>
              </w:rPr>
              <w:t>1,003,873</w:t>
            </w:r>
          </w:p>
        </w:tc>
        <w:tc>
          <w:tcPr>
            <w:tcW w:w="50" w:type="pct"/>
            <w:shd w:val="clear" w:color="auto" w:fill="FFFFFF"/>
            <w:vAlign w:val="bottom"/>
            <w:hideMark/>
          </w:tcPr>
          <w:p w14:paraId="0C31E56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139B55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DEEDB84" w14:textId="77777777" w:rsidR="00000000" w:rsidRDefault="0053651E">
            <w:pPr>
              <w:pStyle w:val="a3"/>
              <w:spacing w:before="0" w:beforeAutospacing="0" w:after="0" w:afterAutospacing="0"/>
              <w:jc w:val="center"/>
              <w:rPr>
                <w:sz w:val="16"/>
                <w:szCs w:val="16"/>
              </w:rPr>
            </w:pPr>
            <w:r>
              <w:rPr>
                <w:rStyle w:val="a6"/>
                <w:i w:val="0"/>
                <w:iCs w:val="0"/>
                <w:sz w:val="16"/>
                <w:szCs w:val="16"/>
              </w:rPr>
              <w:t>1968(C)</w:t>
            </w:r>
          </w:p>
        </w:tc>
      </w:tr>
      <w:tr w:rsidR="00000000" w14:paraId="416CE312" w14:textId="77777777">
        <w:trPr>
          <w:tblCellSpacing w:w="0" w:type="dxa"/>
        </w:trPr>
        <w:tc>
          <w:tcPr>
            <w:tcW w:w="50" w:type="pct"/>
            <w:shd w:val="clear" w:color="auto" w:fill="CCEEFF"/>
            <w:vAlign w:val="bottom"/>
            <w:hideMark/>
          </w:tcPr>
          <w:p w14:paraId="3CD999C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2EC9AA5" w14:textId="77777777" w:rsidR="00000000" w:rsidRDefault="0053651E">
            <w:pPr>
              <w:pStyle w:val="a3"/>
              <w:spacing w:before="0" w:beforeAutospacing="0" w:after="0" w:afterAutospacing="0"/>
              <w:rPr>
                <w:sz w:val="16"/>
                <w:szCs w:val="16"/>
              </w:rPr>
            </w:pPr>
            <w:r>
              <w:rPr>
                <w:sz w:val="16"/>
                <w:szCs w:val="16"/>
              </w:rPr>
              <w:t>THE FOUNTAINS AT ARBOR LAKES</w:t>
            </w:r>
          </w:p>
        </w:tc>
        <w:tc>
          <w:tcPr>
            <w:tcW w:w="150" w:type="pct"/>
            <w:shd w:val="clear" w:color="auto" w:fill="CCEEFF"/>
            <w:vAlign w:val="bottom"/>
            <w:hideMark/>
          </w:tcPr>
          <w:p w14:paraId="49F56663" w14:textId="77777777" w:rsidR="00000000" w:rsidRDefault="0053651E">
            <w:pPr>
              <w:pStyle w:val="a3"/>
              <w:spacing w:before="0" w:beforeAutospacing="0" w:after="0" w:afterAutospacing="0"/>
              <w:rPr>
                <w:sz w:val="16"/>
                <w:szCs w:val="16"/>
              </w:rPr>
            </w:pPr>
            <w:r>
              <w:rPr>
                <w:rStyle w:val="a6"/>
                <w:i w:val="0"/>
                <w:iCs w:val="0"/>
                <w:sz w:val="16"/>
                <w:szCs w:val="16"/>
              </w:rPr>
              <w:t>MN</w:t>
            </w:r>
          </w:p>
        </w:tc>
        <w:tc>
          <w:tcPr>
            <w:tcW w:w="300" w:type="pct"/>
            <w:shd w:val="clear" w:color="auto" w:fill="CCEEFF"/>
            <w:vAlign w:val="bottom"/>
            <w:hideMark/>
          </w:tcPr>
          <w:p w14:paraId="6665B184" w14:textId="77777777" w:rsidR="00000000" w:rsidRDefault="0053651E">
            <w:pPr>
              <w:jc w:val="right"/>
              <w:rPr>
                <w:rFonts w:eastAsia="Times New Roman"/>
                <w:sz w:val="16"/>
                <w:szCs w:val="16"/>
              </w:rPr>
            </w:pPr>
            <w:r>
              <w:rPr>
                <w:rFonts w:eastAsia="Times New Roman"/>
                <w:sz w:val="16"/>
                <w:szCs w:val="16"/>
              </w:rPr>
              <w:t>28,585,296</w:t>
            </w:r>
          </w:p>
        </w:tc>
        <w:tc>
          <w:tcPr>
            <w:tcW w:w="550" w:type="pct"/>
            <w:shd w:val="clear" w:color="auto" w:fill="CCEEFF"/>
            <w:vAlign w:val="bottom"/>
            <w:hideMark/>
          </w:tcPr>
          <w:p w14:paraId="665805B8" w14:textId="77777777" w:rsidR="00000000" w:rsidRDefault="0053651E">
            <w:pPr>
              <w:jc w:val="right"/>
              <w:rPr>
                <w:rFonts w:eastAsia="Times New Roman"/>
                <w:sz w:val="16"/>
                <w:szCs w:val="16"/>
              </w:rPr>
            </w:pPr>
            <w:r>
              <w:rPr>
                <w:rFonts w:eastAsia="Times New Roman"/>
                <w:sz w:val="16"/>
                <w:szCs w:val="16"/>
              </w:rPr>
              <w:t>66,699,024</w:t>
            </w:r>
          </w:p>
        </w:tc>
        <w:tc>
          <w:tcPr>
            <w:tcW w:w="350" w:type="pct"/>
            <w:shd w:val="clear" w:color="auto" w:fill="CCEEFF"/>
            <w:vAlign w:val="bottom"/>
            <w:hideMark/>
          </w:tcPr>
          <w:p w14:paraId="59E04BD8" w14:textId="77777777" w:rsidR="00000000" w:rsidRDefault="0053651E">
            <w:pPr>
              <w:jc w:val="right"/>
              <w:rPr>
                <w:rFonts w:eastAsia="Times New Roman"/>
                <w:sz w:val="16"/>
                <w:szCs w:val="16"/>
              </w:rPr>
            </w:pPr>
            <w:r>
              <w:rPr>
                <w:rFonts w:eastAsia="Times New Roman"/>
                <w:sz w:val="16"/>
                <w:szCs w:val="16"/>
              </w:rPr>
              <w:t>14,197,546</w:t>
            </w:r>
          </w:p>
        </w:tc>
        <w:tc>
          <w:tcPr>
            <w:tcW w:w="300" w:type="pct"/>
            <w:shd w:val="clear" w:color="auto" w:fill="CCEEFF"/>
            <w:vAlign w:val="bottom"/>
            <w:hideMark/>
          </w:tcPr>
          <w:p w14:paraId="0CCA7BCF" w14:textId="77777777" w:rsidR="00000000" w:rsidRDefault="0053651E">
            <w:pPr>
              <w:jc w:val="right"/>
              <w:rPr>
                <w:rFonts w:eastAsia="Times New Roman"/>
                <w:sz w:val="16"/>
                <w:szCs w:val="16"/>
              </w:rPr>
            </w:pPr>
            <w:r>
              <w:rPr>
                <w:rFonts w:eastAsia="Times New Roman"/>
                <w:sz w:val="16"/>
                <w:szCs w:val="16"/>
              </w:rPr>
              <w:t>29,485,296</w:t>
            </w:r>
          </w:p>
        </w:tc>
        <w:tc>
          <w:tcPr>
            <w:tcW w:w="450" w:type="pct"/>
            <w:shd w:val="clear" w:color="auto" w:fill="CCEEFF"/>
            <w:vAlign w:val="bottom"/>
            <w:hideMark/>
          </w:tcPr>
          <w:p w14:paraId="4EFC5B9C" w14:textId="77777777" w:rsidR="00000000" w:rsidRDefault="0053651E">
            <w:pPr>
              <w:jc w:val="right"/>
              <w:rPr>
                <w:rFonts w:eastAsia="Times New Roman"/>
                <w:sz w:val="16"/>
                <w:szCs w:val="16"/>
              </w:rPr>
            </w:pPr>
            <w:r>
              <w:rPr>
                <w:rFonts w:eastAsia="Times New Roman"/>
                <w:sz w:val="16"/>
                <w:szCs w:val="16"/>
              </w:rPr>
              <w:t>79,996,570</w:t>
            </w:r>
          </w:p>
        </w:tc>
        <w:tc>
          <w:tcPr>
            <w:tcW w:w="350" w:type="pct"/>
            <w:shd w:val="clear" w:color="auto" w:fill="CCEEFF"/>
            <w:vAlign w:val="bottom"/>
            <w:hideMark/>
          </w:tcPr>
          <w:p w14:paraId="42535E57" w14:textId="77777777" w:rsidR="00000000" w:rsidRDefault="0053651E">
            <w:pPr>
              <w:jc w:val="right"/>
              <w:rPr>
                <w:rFonts w:eastAsia="Times New Roman"/>
                <w:sz w:val="16"/>
                <w:szCs w:val="16"/>
              </w:rPr>
            </w:pPr>
            <w:r>
              <w:rPr>
                <w:rFonts w:eastAsia="Times New Roman"/>
                <w:sz w:val="16"/>
                <w:szCs w:val="16"/>
              </w:rPr>
              <w:t>109,481,866</w:t>
            </w:r>
          </w:p>
        </w:tc>
        <w:tc>
          <w:tcPr>
            <w:tcW w:w="400" w:type="pct"/>
            <w:shd w:val="clear" w:color="auto" w:fill="CCEEFF"/>
            <w:vAlign w:val="bottom"/>
            <w:hideMark/>
          </w:tcPr>
          <w:p w14:paraId="13571450" w14:textId="77777777" w:rsidR="00000000" w:rsidRDefault="0053651E">
            <w:pPr>
              <w:jc w:val="right"/>
              <w:rPr>
                <w:rFonts w:eastAsia="Times New Roman"/>
                <w:sz w:val="16"/>
                <w:szCs w:val="16"/>
              </w:rPr>
            </w:pPr>
            <w:r>
              <w:rPr>
                <w:rFonts w:eastAsia="Times New Roman"/>
                <w:sz w:val="16"/>
                <w:szCs w:val="16"/>
              </w:rPr>
              <w:t>32,150,146</w:t>
            </w:r>
          </w:p>
        </w:tc>
        <w:tc>
          <w:tcPr>
            <w:tcW w:w="50" w:type="pct"/>
            <w:shd w:val="clear" w:color="auto" w:fill="CCEEFF"/>
            <w:vAlign w:val="bottom"/>
            <w:hideMark/>
          </w:tcPr>
          <w:p w14:paraId="0EB2F95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3141B88" w14:textId="77777777" w:rsidR="00000000" w:rsidRDefault="0053651E">
            <w:pPr>
              <w:jc w:val="right"/>
              <w:rPr>
                <w:rFonts w:eastAsia="Times New Roman"/>
                <w:sz w:val="16"/>
                <w:szCs w:val="16"/>
              </w:rPr>
            </w:pPr>
            <w:r>
              <w:rPr>
                <w:rFonts w:eastAsia="Times New Roman"/>
                <w:sz w:val="16"/>
                <w:szCs w:val="16"/>
              </w:rPr>
              <w:t>77,331,720</w:t>
            </w:r>
          </w:p>
        </w:tc>
        <w:tc>
          <w:tcPr>
            <w:tcW w:w="50" w:type="pct"/>
            <w:shd w:val="clear" w:color="auto" w:fill="CCEEFF"/>
            <w:vAlign w:val="bottom"/>
            <w:hideMark/>
          </w:tcPr>
          <w:p w14:paraId="3570E83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789DF4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F4767FC"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1C5F8AD6" w14:textId="77777777">
        <w:trPr>
          <w:tblCellSpacing w:w="0" w:type="dxa"/>
        </w:trPr>
        <w:tc>
          <w:tcPr>
            <w:tcW w:w="50" w:type="pct"/>
            <w:shd w:val="clear" w:color="auto" w:fill="FFFFFF"/>
            <w:vAlign w:val="bottom"/>
            <w:hideMark/>
          </w:tcPr>
          <w:p w14:paraId="0950100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F843C0D" w14:textId="77777777" w:rsidR="00000000" w:rsidRDefault="0053651E">
            <w:pPr>
              <w:pStyle w:val="a3"/>
              <w:spacing w:before="0" w:beforeAutospacing="0" w:after="0" w:afterAutospacing="0"/>
              <w:rPr>
                <w:sz w:val="16"/>
                <w:szCs w:val="16"/>
              </w:rPr>
            </w:pPr>
            <w:r>
              <w:rPr>
                <w:sz w:val="16"/>
                <w:szCs w:val="16"/>
              </w:rPr>
              <w:t>CENTER POINT S.C.</w:t>
            </w:r>
          </w:p>
        </w:tc>
        <w:tc>
          <w:tcPr>
            <w:tcW w:w="150" w:type="pct"/>
            <w:shd w:val="clear" w:color="auto" w:fill="FFFFFF"/>
            <w:vAlign w:val="bottom"/>
            <w:hideMark/>
          </w:tcPr>
          <w:p w14:paraId="6F00B88E" w14:textId="77777777" w:rsidR="00000000" w:rsidRDefault="0053651E">
            <w:pPr>
              <w:pStyle w:val="a3"/>
              <w:spacing w:before="0" w:beforeAutospacing="0" w:after="0" w:afterAutospacing="0"/>
              <w:rPr>
                <w:sz w:val="16"/>
                <w:szCs w:val="16"/>
              </w:rPr>
            </w:pPr>
            <w:r>
              <w:rPr>
                <w:rStyle w:val="a6"/>
                <w:i w:val="0"/>
                <w:iCs w:val="0"/>
                <w:sz w:val="16"/>
                <w:szCs w:val="16"/>
              </w:rPr>
              <w:t>MO</w:t>
            </w:r>
          </w:p>
        </w:tc>
        <w:tc>
          <w:tcPr>
            <w:tcW w:w="300" w:type="pct"/>
            <w:shd w:val="clear" w:color="auto" w:fill="FFFFFF"/>
            <w:vAlign w:val="bottom"/>
            <w:hideMark/>
          </w:tcPr>
          <w:p w14:paraId="09B506C4"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00D14554" w14:textId="77777777" w:rsidR="00000000" w:rsidRDefault="0053651E">
            <w:pPr>
              <w:jc w:val="right"/>
              <w:rPr>
                <w:rFonts w:eastAsia="Times New Roman"/>
                <w:sz w:val="16"/>
                <w:szCs w:val="16"/>
              </w:rPr>
            </w:pPr>
            <w:r>
              <w:rPr>
                <w:rFonts w:eastAsia="Times New Roman"/>
                <w:sz w:val="16"/>
                <w:szCs w:val="16"/>
              </w:rPr>
              <w:t>550,204</w:t>
            </w:r>
          </w:p>
        </w:tc>
        <w:tc>
          <w:tcPr>
            <w:tcW w:w="350" w:type="pct"/>
            <w:shd w:val="clear" w:color="auto" w:fill="FFFFFF"/>
            <w:vAlign w:val="bottom"/>
            <w:hideMark/>
          </w:tcPr>
          <w:p w14:paraId="775D5CDD"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53C070B6"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18B0E730" w14:textId="77777777" w:rsidR="00000000" w:rsidRDefault="0053651E">
            <w:pPr>
              <w:jc w:val="right"/>
              <w:rPr>
                <w:rFonts w:eastAsia="Times New Roman"/>
                <w:sz w:val="16"/>
                <w:szCs w:val="16"/>
              </w:rPr>
            </w:pPr>
            <w:r>
              <w:rPr>
                <w:rFonts w:eastAsia="Times New Roman"/>
                <w:sz w:val="16"/>
                <w:szCs w:val="16"/>
              </w:rPr>
              <w:t>550,204</w:t>
            </w:r>
          </w:p>
        </w:tc>
        <w:tc>
          <w:tcPr>
            <w:tcW w:w="350" w:type="pct"/>
            <w:shd w:val="clear" w:color="auto" w:fill="FFFFFF"/>
            <w:vAlign w:val="bottom"/>
            <w:hideMark/>
          </w:tcPr>
          <w:p w14:paraId="55A1D395" w14:textId="77777777" w:rsidR="00000000" w:rsidRDefault="0053651E">
            <w:pPr>
              <w:jc w:val="right"/>
              <w:rPr>
                <w:rFonts w:eastAsia="Times New Roman"/>
                <w:sz w:val="16"/>
                <w:szCs w:val="16"/>
              </w:rPr>
            </w:pPr>
            <w:r>
              <w:rPr>
                <w:rFonts w:eastAsia="Times New Roman"/>
                <w:sz w:val="16"/>
                <w:szCs w:val="16"/>
              </w:rPr>
              <w:t>550,204</w:t>
            </w:r>
          </w:p>
        </w:tc>
        <w:tc>
          <w:tcPr>
            <w:tcW w:w="400" w:type="pct"/>
            <w:shd w:val="clear" w:color="auto" w:fill="FFFFFF"/>
            <w:vAlign w:val="bottom"/>
            <w:hideMark/>
          </w:tcPr>
          <w:p w14:paraId="3C3EEF58" w14:textId="77777777" w:rsidR="00000000" w:rsidRDefault="0053651E">
            <w:pPr>
              <w:jc w:val="right"/>
              <w:rPr>
                <w:rFonts w:eastAsia="Times New Roman"/>
                <w:sz w:val="16"/>
                <w:szCs w:val="16"/>
              </w:rPr>
            </w:pPr>
            <w:r>
              <w:rPr>
                <w:rFonts w:eastAsia="Times New Roman"/>
                <w:sz w:val="16"/>
                <w:szCs w:val="16"/>
              </w:rPr>
              <w:t>550,203</w:t>
            </w:r>
          </w:p>
        </w:tc>
        <w:tc>
          <w:tcPr>
            <w:tcW w:w="50" w:type="pct"/>
            <w:shd w:val="clear" w:color="auto" w:fill="FFFFFF"/>
            <w:vAlign w:val="bottom"/>
            <w:hideMark/>
          </w:tcPr>
          <w:p w14:paraId="5570D23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43E751B" w14:textId="77777777" w:rsidR="00000000" w:rsidRDefault="0053651E">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4B1F6BD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F78170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D193DAB"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233E5DB4" w14:textId="77777777">
        <w:trPr>
          <w:tblCellSpacing w:w="0" w:type="dxa"/>
        </w:trPr>
        <w:tc>
          <w:tcPr>
            <w:tcW w:w="50" w:type="pct"/>
            <w:shd w:val="clear" w:color="auto" w:fill="CCEEFF"/>
            <w:vAlign w:val="bottom"/>
            <w:hideMark/>
          </w:tcPr>
          <w:p w14:paraId="185DF2A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733ED3A" w14:textId="77777777" w:rsidR="00000000" w:rsidRDefault="0053651E">
            <w:pPr>
              <w:pStyle w:val="a3"/>
              <w:spacing w:before="0" w:beforeAutospacing="0" w:after="0" w:afterAutospacing="0"/>
              <w:rPr>
                <w:sz w:val="16"/>
                <w:szCs w:val="16"/>
              </w:rPr>
            </w:pPr>
            <w:r>
              <w:rPr>
                <w:sz w:val="16"/>
                <w:szCs w:val="16"/>
              </w:rPr>
              <w:t>WOODLAWN MARKETPLACE</w:t>
            </w:r>
          </w:p>
        </w:tc>
        <w:tc>
          <w:tcPr>
            <w:tcW w:w="150" w:type="pct"/>
            <w:shd w:val="clear" w:color="auto" w:fill="CCEEFF"/>
            <w:vAlign w:val="bottom"/>
            <w:hideMark/>
          </w:tcPr>
          <w:p w14:paraId="4E20B91D"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586A6EB7" w14:textId="77777777" w:rsidR="00000000" w:rsidRDefault="0053651E">
            <w:pPr>
              <w:jc w:val="right"/>
              <w:rPr>
                <w:rFonts w:eastAsia="Times New Roman"/>
                <w:sz w:val="16"/>
                <w:szCs w:val="16"/>
              </w:rPr>
            </w:pPr>
            <w:r>
              <w:rPr>
                <w:rFonts w:eastAsia="Times New Roman"/>
                <w:sz w:val="16"/>
                <w:szCs w:val="16"/>
              </w:rPr>
              <w:t>919,251</w:t>
            </w:r>
          </w:p>
        </w:tc>
        <w:tc>
          <w:tcPr>
            <w:tcW w:w="550" w:type="pct"/>
            <w:shd w:val="clear" w:color="auto" w:fill="CCEEFF"/>
            <w:vAlign w:val="bottom"/>
            <w:hideMark/>
          </w:tcPr>
          <w:p w14:paraId="062652E0" w14:textId="77777777" w:rsidR="00000000" w:rsidRDefault="0053651E">
            <w:pPr>
              <w:jc w:val="right"/>
              <w:rPr>
                <w:rFonts w:eastAsia="Times New Roman"/>
                <w:sz w:val="16"/>
                <w:szCs w:val="16"/>
              </w:rPr>
            </w:pPr>
            <w:r>
              <w:rPr>
                <w:rFonts w:eastAsia="Times New Roman"/>
                <w:sz w:val="16"/>
                <w:szCs w:val="16"/>
              </w:rPr>
              <w:t>3,570,981</w:t>
            </w:r>
          </w:p>
        </w:tc>
        <w:tc>
          <w:tcPr>
            <w:tcW w:w="350" w:type="pct"/>
            <w:shd w:val="clear" w:color="auto" w:fill="CCEEFF"/>
            <w:vAlign w:val="bottom"/>
            <w:hideMark/>
          </w:tcPr>
          <w:p w14:paraId="0746208A" w14:textId="77777777" w:rsidR="00000000" w:rsidRDefault="0053651E">
            <w:pPr>
              <w:jc w:val="right"/>
              <w:rPr>
                <w:rFonts w:eastAsia="Times New Roman"/>
                <w:sz w:val="16"/>
                <w:szCs w:val="16"/>
              </w:rPr>
            </w:pPr>
            <w:r>
              <w:rPr>
                <w:rFonts w:eastAsia="Times New Roman"/>
                <w:sz w:val="16"/>
                <w:szCs w:val="16"/>
              </w:rPr>
              <w:t>2,740,450</w:t>
            </w:r>
          </w:p>
        </w:tc>
        <w:tc>
          <w:tcPr>
            <w:tcW w:w="300" w:type="pct"/>
            <w:shd w:val="clear" w:color="auto" w:fill="CCEEFF"/>
            <w:vAlign w:val="bottom"/>
            <w:hideMark/>
          </w:tcPr>
          <w:p w14:paraId="285AF459" w14:textId="77777777" w:rsidR="00000000" w:rsidRDefault="0053651E">
            <w:pPr>
              <w:jc w:val="right"/>
              <w:rPr>
                <w:rFonts w:eastAsia="Times New Roman"/>
                <w:sz w:val="16"/>
                <w:szCs w:val="16"/>
              </w:rPr>
            </w:pPr>
            <w:r>
              <w:rPr>
                <w:rFonts w:eastAsia="Times New Roman"/>
                <w:sz w:val="16"/>
                <w:szCs w:val="16"/>
              </w:rPr>
              <w:t>919,251</w:t>
            </w:r>
          </w:p>
        </w:tc>
        <w:tc>
          <w:tcPr>
            <w:tcW w:w="450" w:type="pct"/>
            <w:shd w:val="clear" w:color="auto" w:fill="CCEEFF"/>
            <w:vAlign w:val="bottom"/>
            <w:hideMark/>
          </w:tcPr>
          <w:p w14:paraId="445CC63C" w14:textId="77777777" w:rsidR="00000000" w:rsidRDefault="0053651E">
            <w:pPr>
              <w:jc w:val="right"/>
              <w:rPr>
                <w:rFonts w:eastAsia="Times New Roman"/>
                <w:sz w:val="16"/>
                <w:szCs w:val="16"/>
              </w:rPr>
            </w:pPr>
            <w:r>
              <w:rPr>
                <w:rFonts w:eastAsia="Times New Roman"/>
                <w:sz w:val="16"/>
                <w:szCs w:val="16"/>
              </w:rPr>
              <w:t>6,311,431</w:t>
            </w:r>
          </w:p>
        </w:tc>
        <w:tc>
          <w:tcPr>
            <w:tcW w:w="350" w:type="pct"/>
            <w:shd w:val="clear" w:color="auto" w:fill="CCEEFF"/>
            <w:vAlign w:val="bottom"/>
            <w:hideMark/>
          </w:tcPr>
          <w:p w14:paraId="362DC5B6" w14:textId="77777777" w:rsidR="00000000" w:rsidRDefault="0053651E">
            <w:pPr>
              <w:jc w:val="right"/>
              <w:rPr>
                <w:rFonts w:eastAsia="Times New Roman"/>
                <w:sz w:val="16"/>
                <w:szCs w:val="16"/>
              </w:rPr>
            </w:pPr>
            <w:r>
              <w:rPr>
                <w:rFonts w:eastAsia="Times New Roman"/>
                <w:sz w:val="16"/>
                <w:szCs w:val="16"/>
              </w:rPr>
              <w:t>7,230,682</w:t>
            </w:r>
          </w:p>
        </w:tc>
        <w:tc>
          <w:tcPr>
            <w:tcW w:w="400" w:type="pct"/>
            <w:shd w:val="clear" w:color="auto" w:fill="CCEEFF"/>
            <w:vAlign w:val="bottom"/>
            <w:hideMark/>
          </w:tcPr>
          <w:p w14:paraId="1506AFC3" w14:textId="77777777" w:rsidR="00000000" w:rsidRDefault="0053651E">
            <w:pPr>
              <w:jc w:val="right"/>
              <w:rPr>
                <w:rFonts w:eastAsia="Times New Roman"/>
                <w:sz w:val="16"/>
                <w:szCs w:val="16"/>
              </w:rPr>
            </w:pPr>
            <w:r>
              <w:rPr>
                <w:rFonts w:eastAsia="Times New Roman"/>
                <w:sz w:val="16"/>
                <w:szCs w:val="16"/>
              </w:rPr>
              <w:t>4,056,057</w:t>
            </w:r>
          </w:p>
        </w:tc>
        <w:tc>
          <w:tcPr>
            <w:tcW w:w="50" w:type="pct"/>
            <w:shd w:val="clear" w:color="auto" w:fill="CCEEFF"/>
            <w:vAlign w:val="bottom"/>
            <w:hideMark/>
          </w:tcPr>
          <w:p w14:paraId="3C917AB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41EBFFD" w14:textId="77777777" w:rsidR="00000000" w:rsidRDefault="0053651E">
            <w:pPr>
              <w:jc w:val="right"/>
              <w:rPr>
                <w:rFonts w:eastAsia="Times New Roman"/>
                <w:sz w:val="16"/>
                <w:szCs w:val="16"/>
              </w:rPr>
            </w:pPr>
            <w:r>
              <w:rPr>
                <w:rFonts w:eastAsia="Times New Roman"/>
                <w:sz w:val="16"/>
                <w:szCs w:val="16"/>
              </w:rPr>
              <w:t>3,174,625</w:t>
            </w:r>
          </w:p>
        </w:tc>
        <w:tc>
          <w:tcPr>
            <w:tcW w:w="50" w:type="pct"/>
            <w:shd w:val="clear" w:color="auto" w:fill="CCEEFF"/>
            <w:vAlign w:val="bottom"/>
            <w:hideMark/>
          </w:tcPr>
          <w:p w14:paraId="1AB8152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30FE3D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3A38552"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7DD74CCB" w14:textId="77777777">
        <w:trPr>
          <w:tblCellSpacing w:w="0" w:type="dxa"/>
        </w:trPr>
        <w:tc>
          <w:tcPr>
            <w:tcW w:w="50" w:type="pct"/>
            <w:shd w:val="clear" w:color="auto" w:fill="FFFFFF"/>
            <w:vAlign w:val="bottom"/>
            <w:hideMark/>
          </w:tcPr>
          <w:p w14:paraId="2A9D7DB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6ED69BD" w14:textId="77777777" w:rsidR="00000000" w:rsidRDefault="0053651E">
            <w:pPr>
              <w:pStyle w:val="a3"/>
              <w:spacing w:before="0" w:beforeAutospacing="0" w:after="0" w:afterAutospacing="0"/>
              <w:rPr>
                <w:sz w:val="16"/>
                <w:szCs w:val="16"/>
              </w:rPr>
            </w:pPr>
            <w:r>
              <w:rPr>
                <w:sz w:val="16"/>
                <w:szCs w:val="16"/>
              </w:rPr>
              <w:t>TYVOLA SQUARE</w:t>
            </w:r>
          </w:p>
        </w:tc>
        <w:tc>
          <w:tcPr>
            <w:tcW w:w="150" w:type="pct"/>
            <w:shd w:val="clear" w:color="auto" w:fill="FFFFFF"/>
            <w:vAlign w:val="bottom"/>
            <w:hideMark/>
          </w:tcPr>
          <w:p w14:paraId="0CFE6CB4"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179CDE61"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780BF06C" w14:textId="77777777" w:rsidR="00000000" w:rsidRDefault="0053651E">
            <w:pPr>
              <w:jc w:val="right"/>
              <w:rPr>
                <w:rFonts w:eastAsia="Times New Roman"/>
                <w:sz w:val="16"/>
                <w:szCs w:val="16"/>
              </w:rPr>
            </w:pPr>
            <w:r>
              <w:rPr>
                <w:rFonts w:eastAsia="Times New Roman"/>
                <w:sz w:val="16"/>
                <w:szCs w:val="16"/>
              </w:rPr>
              <w:t>4,736,345</w:t>
            </w:r>
          </w:p>
        </w:tc>
        <w:tc>
          <w:tcPr>
            <w:tcW w:w="350" w:type="pct"/>
            <w:shd w:val="clear" w:color="auto" w:fill="FFFFFF"/>
            <w:vAlign w:val="bottom"/>
            <w:hideMark/>
          </w:tcPr>
          <w:p w14:paraId="7D13607B" w14:textId="77777777" w:rsidR="00000000" w:rsidRDefault="0053651E">
            <w:pPr>
              <w:jc w:val="right"/>
              <w:rPr>
                <w:rFonts w:eastAsia="Times New Roman"/>
                <w:sz w:val="16"/>
                <w:szCs w:val="16"/>
              </w:rPr>
            </w:pPr>
            <w:r>
              <w:rPr>
                <w:rFonts w:eastAsia="Times New Roman"/>
                <w:sz w:val="16"/>
                <w:szCs w:val="16"/>
              </w:rPr>
              <w:t>8,378,073</w:t>
            </w:r>
          </w:p>
        </w:tc>
        <w:tc>
          <w:tcPr>
            <w:tcW w:w="300" w:type="pct"/>
            <w:shd w:val="clear" w:color="auto" w:fill="FFFFFF"/>
            <w:vAlign w:val="bottom"/>
            <w:hideMark/>
          </w:tcPr>
          <w:p w14:paraId="6B695B9F"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43ECD63A" w14:textId="77777777" w:rsidR="00000000" w:rsidRDefault="0053651E">
            <w:pPr>
              <w:jc w:val="right"/>
              <w:rPr>
                <w:rFonts w:eastAsia="Times New Roman"/>
                <w:sz w:val="16"/>
                <w:szCs w:val="16"/>
              </w:rPr>
            </w:pPr>
            <w:r>
              <w:rPr>
                <w:rFonts w:eastAsia="Times New Roman"/>
                <w:sz w:val="16"/>
                <w:szCs w:val="16"/>
              </w:rPr>
              <w:t>13,114,418</w:t>
            </w:r>
          </w:p>
        </w:tc>
        <w:tc>
          <w:tcPr>
            <w:tcW w:w="350" w:type="pct"/>
            <w:shd w:val="clear" w:color="auto" w:fill="FFFFFF"/>
            <w:vAlign w:val="bottom"/>
            <w:hideMark/>
          </w:tcPr>
          <w:p w14:paraId="6FE34576" w14:textId="77777777" w:rsidR="00000000" w:rsidRDefault="0053651E">
            <w:pPr>
              <w:jc w:val="right"/>
              <w:rPr>
                <w:rFonts w:eastAsia="Times New Roman"/>
                <w:sz w:val="16"/>
                <w:szCs w:val="16"/>
              </w:rPr>
            </w:pPr>
            <w:r>
              <w:rPr>
                <w:rFonts w:eastAsia="Times New Roman"/>
                <w:sz w:val="16"/>
                <w:szCs w:val="16"/>
              </w:rPr>
              <w:t>13,114,418</w:t>
            </w:r>
          </w:p>
        </w:tc>
        <w:tc>
          <w:tcPr>
            <w:tcW w:w="400" w:type="pct"/>
            <w:shd w:val="clear" w:color="auto" w:fill="FFFFFF"/>
            <w:vAlign w:val="bottom"/>
            <w:hideMark/>
          </w:tcPr>
          <w:p w14:paraId="7CECAA43" w14:textId="77777777" w:rsidR="00000000" w:rsidRDefault="0053651E">
            <w:pPr>
              <w:jc w:val="right"/>
              <w:rPr>
                <w:rFonts w:eastAsia="Times New Roman"/>
                <w:sz w:val="16"/>
                <w:szCs w:val="16"/>
              </w:rPr>
            </w:pPr>
            <w:r>
              <w:rPr>
                <w:rFonts w:eastAsia="Times New Roman"/>
                <w:sz w:val="16"/>
                <w:szCs w:val="16"/>
              </w:rPr>
              <w:t>9,792,167</w:t>
            </w:r>
          </w:p>
        </w:tc>
        <w:tc>
          <w:tcPr>
            <w:tcW w:w="50" w:type="pct"/>
            <w:shd w:val="clear" w:color="auto" w:fill="FFFFFF"/>
            <w:vAlign w:val="bottom"/>
            <w:hideMark/>
          </w:tcPr>
          <w:p w14:paraId="1E4CC9D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2E846E7" w14:textId="77777777" w:rsidR="00000000" w:rsidRDefault="0053651E">
            <w:pPr>
              <w:jc w:val="right"/>
              <w:rPr>
                <w:rFonts w:eastAsia="Times New Roman"/>
                <w:sz w:val="16"/>
                <w:szCs w:val="16"/>
              </w:rPr>
            </w:pPr>
            <w:r>
              <w:rPr>
                <w:rFonts w:eastAsia="Times New Roman"/>
                <w:sz w:val="16"/>
                <w:szCs w:val="16"/>
              </w:rPr>
              <w:t>3,322,251</w:t>
            </w:r>
          </w:p>
        </w:tc>
        <w:tc>
          <w:tcPr>
            <w:tcW w:w="50" w:type="pct"/>
            <w:shd w:val="clear" w:color="auto" w:fill="FFFFFF"/>
            <w:vAlign w:val="bottom"/>
            <w:hideMark/>
          </w:tcPr>
          <w:p w14:paraId="23F4C0D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F95F4E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6E1571A" w14:textId="77777777" w:rsidR="00000000" w:rsidRDefault="0053651E">
            <w:pPr>
              <w:pStyle w:val="a3"/>
              <w:spacing w:before="0" w:beforeAutospacing="0" w:after="0" w:afterAutospacing="0"/>
              <w:jc w:val="center"/>
              <w:rPr>
                <w:sz w:val="16"/>
                <w:szCs w:val="16"/>
              </w:rPr>
            </w:pPr>
            <w:r>
              <w:rPr>
                <w:rStyle w:val="a6"/>
                <w:i w:val="0"/>
                <w:iCs w:val="0"/>
                <w:sz w:val="16"/>
                <w:szCs w:val="16"/>
              </w:rPr>
              <w:t>1986(A)</w:t>
            </w:r>
          </w:p>
        </w:tc>
      </w:tr>
      <w:tr w:rsidR="00000000" w14:paraId="12FCEA79" w14:textId="77777777">
        <w:trPr>
          <w:tblCellSpacing w:w="0" w:type="dxa"/>
        </w:trPr>
        <w:tc>
          <w:tcPr>
            <w:tcW w:w="50" w:type="pct"/>
            <w:shd w:val="clear" w:color="auto" w:fill="CCEEFF"/>
            <w:vAlign w:val="bottom"/>
            <w:hideMark/>
          </w:tcPr>
          <w:p w14:paraId="47AA0B7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186E105" w14:textId="77777777" w:rsidR="00000000" w:rsidRDefault="0053651E">
            <w:pPr>
              <w:pStyle w:val="a3"/>
              <w:spacing w:before="0" w:beforeAutospacing="0" w:after="0" w:afterAutospacing="0"/>
              <w:rPr>
                <w:sz w:val="16"/>
                <w:szCs w:val="16"/>
              </w:rPr>
            </w:pPr>
            <w:r>
              <w:rPr>
                <w:sz w:val="16"/>
                <w:szCs w:val="16"/>
              </w:rPr>
              <w:t>CROSSROADS PLAZA</w:t>
            </w:r>
          </w:p>
        </w:tc>
        <w:tc>
          <w:tcPr>
            <w:tcW w:w="150" w:type="pct"/>
            <w:shd w:val="clear" w:color="auto" w:fill="CCEEFF"/>
            <w:vAlign w:val="bottom"/>
            <w:hideMark/>
          </w:tcPr>
          <w:p w14:paraId="0E736246"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7B8DC8A7" w14:textId="77777777" w:rsidR="00000000" w:rsidRDefault="0053651E">
            <w:pPr>
              <w:jc w:val="right"/>
              <w:rPr>
                <w:rFonts w:eastAsia="Times New Roman"/>
                <w:sz w:val="16"/>
                <w:szCs w:val="16"/>
              </w:rPr>
            </w:pPr>
            <w:r>
              <w:rPr>
                <w:rFonts w:eastAsia="Times New Roman"/>
                <w:sz w:val="16"/>
                <w:szCs w:val="16"/>
              </w:rPr>
              <w:t>767,864</w:t>
            </w:r>
          </w:p>
        </w:tc>
        <w:tc>
          <w:tcPr>
            <w:tcW w:w="550" w:type="pct"/>
            <w:shd w:val="clear" w:color="auto" w:fill="CCEEFF"/>
            <w:vAlign w:val="bottom"/>
            <w:hideMark/>
          </w:tcPr>
          <w:p w14:paraId="0957BBD6" w14:textId="77777777" w:rsidR="00000000" w:rsidRDefault="0053651E">
            <w:pPr>
              <w:jc w:val="right"/>
              <w:rPr>
                <w:rFonts w:eastAsia="Times New Roman"/>
                <w:sz w:val="16"/>
                <w:szCs w:val="16"/>
              </w:rPr>
            </w:pPr>
            <w:r>
              <w:rPr>
                <w:rFonts w:eastAsia="Times New Roman"/>
                <w:sz w:val="16"/>
                <w:szCs w:val="16"/>
              </w:rPr>
              <w:t>3,098,881</w:t>
            </w:r>
          </w:p>
        </w:tc>
        <w:tc>
          <w:tcPr>
            <w:tcW w:w="350" w:type="pct"/>
            <w:shd w:val="clear" w:color="auto" w:fill="CCEEFF"/>
            <w:vAlign w:val="bottom"/>
            <w:hideMark/>
          </w:tcPr>
          <w:p w14:paraId="05CDBC50" w14:textId="77777777" w:rsidR="00000000" w:rsidRDefault="0053651E">
            <w:pPr>
              <w:jc w:val="right"/>
              <w:rPr>
                <w:rFonts w:eastAsia="Times New Roman"/>
                <w:sz w:val="16"/>
                <w:szCs w:val="16"/>
              </w:rPr>
            </w:pPr>
            <w:r>
              <w:rPr>
                <w:rFonts w:eastAsia="Times New Roman"/>
                <w:sz w:val="16"/>
                <w:szCs w:val="16"/>
              </w:rPr>
              <w:t>1,233,350</w:t>
            </w:r>
          </w:p>
        </w:tc>
        <w:tc>
          <w:tcPr>
            <w:tcW w:w="300" w:type="pct"/>
            <w:shd w:val="clear" w:color="auto" w:fill="CCEEFF"/>
            <w:vAlign w:val="bottom"/>
            <w:hideMark/>
          </w:tcPr>
          <w:p w14:paraId="40BE0C0C" w14:textId="77777777" w:rsidR="00000000" w:rsidRDefault="0053651E">
            <w:pPr>
              <w:jc w:val="right"/>
              <w:rPr>
                <w:rFonts w:eastAsia="Times New Roman"/>
                <w:sz w:val="16"/>
                <w:szCs w:val="16"/>
              </w:rPr>
            </w:pPr>
            <w:r>
              <w:rPr>
                <w:rFonts w:eastAsia="Times New Roman"/>
                <w:sz w:val="16"/>
                <w:szCs w:val="16"/>
              </w:rPr>
              <w:t>767,864</w:t>
            </w:r>
          </w:p>
        </w:tc>
        <w:tc>
          <w:tcPr>
            <w:tcW w:w="450" w:type="pct"/>
            <w:shd w:val="clear" w:color="auto" w:fill="CCEEFF"/>
            <w:vAlign w:val="bottom"/>
            <w:hideMark/>
          </w:tcPr>
          <w:p w14:paraId="55E11108" w14:textId="77777777" w:rsidR="00000000" w:rsidRDefault="0053651E">
            <w:pPr>
              <w:jc w:val="right"/>
              <w:rPr>
                <w:rFonts w:eastAsia="Times New Roman"/>
                <w:sz w:val="16"/>
                <w:szCs w:val="16"/>
              </w:rPr>
            </w:pPr>
            <w:r>
              <w:rPr>
                <w:rFonts w:eastAsia="Times New Roman"/>
                <w:sz w:val="16"/>
                <w:szCs w:val="16"/>
              </w:rPr>
              <w:t>4,332,231</w:t>
            </w:r>
          </w:p>
        </w:tc>
        <w:tc>
          <w:tcPr>
            <w:tcW w:w="350" w:type="pct"/>
            <w:shd w:val="clear" w:color="auto" w:fill="CCEEFF"/>
            <w:vAlign w:val="bottom"/>
            <w:hideMark/>
          </w:tcPr>
          <w:p w14:paraId="36575698" w14:textId="77777777" w:rsidR="00000000" w:rsidRDefault="0053651E">
            <w:pPr>
              <w:jc w:val="right"/>
              <w:rPr>
                <w:rFonts w:eastAsia="Times New Roman"/>
                <w:sz w:val="16"/>
                <w:szCs w:val="16"/>
              </w:rPr>
            </w:pPr>
            <w:r>
              <w:rPr>
                <w:rFonts w:eastAsia="Times New Roman"/>
                <w:sz w:val="16"/>
                <w:szCs w:val="16"/>
              </w:rPr>
              <w:t>5,100,095</w:t>
            </w:r>
          </w:p>
        </w:tc>
        <w:tc>
          <w:tcPr>
            <w:tcW w:w="400" w:type="pct"/>
            <w:shd w:val="clear" w:color="auto" w:fill="CCEEFF"/>
            <w:vAlign w:val="bottom"/>
            <w:hideMark/>
          </w:tcPr>
          <w:p w14:paraId="4FA1D444" w14:textId="77777777" w:rsidR="00000000" w:rsidRDefault="0053651E">
            <w:pPr>
              <w:jc w:val="right"/>
              <w:rPr>
                <w:rFonts w:eastAsia="Times New Roman"/>
                <w:sz w:val="16"/>
                <w:szCs w:val="16"/>
              </w:rPr>
            </w:pPr>
            <w:r>
              <w:rPr>
                <w:rFonts w:eastAsia="Times New Roman"/>
                <w:sz w:val="16"/>
                <w:szCs w:val="16"/>
              </w:rPr>
              <w:t>2,084,338</w:t>
            </w:r>
          </w:p>
        </w:tc>
        <w:tc>
          <w:tcPr>
            <w:tcW w:w="50" w:type="pct"/>
            <w:shd w:val="clear" w:color="auto" w:fill="CCEEFF"/>
            <w:vAlign w:val="bottom"/>
            <w:hideMark/>
          </w:tcPr>
          <w:p w14:paraId="0E5926B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D303266" w14:textId="77777777" w:rsidR="00000000" w:rsidRDefault="0053651E">
            <w:pPr>
              <w:jc w:val="right"/>
              <w:rPr>
                <w:rFonts w:eastAsia="Times New Roman"/>
                <w:sz w:val="16"/>
                <w:szCs w:val="16"/>
              </w:rPr>
            </w:pPr>
            <w:r>
              <w:rPr>
                <w:rFonts w:eastAsia="Times New Roman"/>
                <w:sz w:val="16"/>
                <w:szCs w:val="16"/>
              </w:rPr>
              <w:t>3,015,757</w:t>
            </w:r>
          </w:p>
        </w:tc>
        <w:tc>
          <w:tcPr>
            <w:tcW w:w="50" w:type="pct"/>
            <w:shd w:val="clear" w:color="auto" w:fill="CCEEFF"/>
            <w:vAlign w:val="bottom"/>
            <w:hideMark/>
          </w:tcPr>
          <w:p w14:paraId="0D0A31B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B214DC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7B2D75E" w14:textId="77777777" w:rsidR="00000000" w:rsidRDefault="0053651E">
            <w:pPr>
              <w:pStyle w:val="a3"/>
              <w:spacing w:before="0" w:beforeAutospacing="0" w:after="0" w:afterAutospacing="0"/>
              <w:jc w:val="center"/>
              <w:rPr>
                <w:sz w:val="16"/>
                <w:szCs w:val="16"/>
              </w:rPr>
            </w:pPr>
            <w:r>
              <w:rPr>
                <w:rStyle w:val="a6"/>
                <w:i w:val="0"/>
                <w:iCs w:val="0"/>
                <w:sz w:val="16"/>
                <w:szCs w:val="16"/>
              </w:rPr>
              <w:t>2000(A)</w:t>
            </w:r>
          </w:p>
        </w:tc>
      </w:tr>
      <w:tr w:rsidR="00000000" w14:paraId="542990B0" w14:textId="77777777">
        <w:trPr>
          <w:tblCellSpacing w:w="0" w:type="dxa"/>
        </w:trPr>
        <w:tc>
          <w:tcPr>
            <w:tcW w:w="50" w:type="pct"/>
            <w:shd w:val="clear" w:color="auto" w:fill="FFFFFF"/>
            <w:vAlign w:val="bottom"/>
            <w:hideMark/>
          </w:tcPr>
          <w:p w14:paraId="0BBBD5B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00271F9" w14:textId="77777777" w:rsidR="00000000" w:rsidRDefault="0053651E">
            <w:pPr>
              <w:pStyle w:val="a3"/>
              <w:spacing w:before="0" w:beforeAutospacing="0" w:after="0" w:afterAutospacing="0"/>
              <w:rPr>
                <w:sz w:val="16"/>
                <w:szCs w:val="16"/>
              </w:rPr>
            </w:pPr>
            <w:r>
              <w:rPr>
                <w:sz w:val="16"/>
                <w:szCs w:val="16"/>
              </w:rPr>
              <w:t>JETTON VILLAGE SHOPPES</w:t>
            </w:r>
          </w:p>
        </w:tc>
        <w:tc>
          <w:tcPr>
            <w:tcW w:w="150" w:type="pct"/>
            <w:shd w:val="clear" w:color="auto" w:fill="FFFFFF"/>
            <w:vAlign w:val="bottom"/>
            <w:hideMark/>
          </w:tcPr>
          <w:p w14:paraId="38DB228B"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49C8F41B" w14:textId="77777777" w:rsidR="00000000" w:rsidRDefault="0053651E">
            <w:pPr>
              <w:jc w:val="right"/>
              <w:rPr>
                <w:rFonts w:eastAsia="Times New Roman"/>
                <w:sz w:val="16"/>
                <w:szCs w:val="16"/>
              </w:rPr>
            </w:pPr>
            <w:r>
              <w:rPr>
                <w:rFonts w:eastAsia="Times New Roman"/>
                <w:sz w:val="16"/>
                <w:szCs w:val="16"/>
              </w:rPr>
              <w:t>3,875,224</w:t>
            </w:r>
          </w:p>
        </w:tc>
        <w:tc>
          <w:tcPr>
            <w:tcW w:w="550" w:type="pct"/>
            <w:shd w:val="clear" w:color="auto" w:fill="FFFFFF"/>
            <w:vAlign w:val="bottom"/>
            <w:hideMark/>
          </w:tcPr>
          <w:p w14:paraId="3D497FD5" w14:textId="77777777" w:rsidR="00000000" w:rsidRDefault="0053651E">
            <w:pPr>
              <w:jc w:val="right"/>
              <w:rPr>
                <w:rFonts w:eastAsia="Times New Roman"/>
                <w:sz w:val="16"/>
                <w:szCs w:val="16"/>
              </w:rPr>
            </w:pPr>
            <w:r>
              <w:rPr>
                <w:rFonts w:eastAsia="Times New Roman"/>
                <w:sz w:val="16"/>
                <w:szCs w:val="16"/>
              </w:rPr>
              <w:t>10,292,231</w:t>
            </w:r>
          </w:p>
        </w:tc>
        <w:tc>
          <w:tcPr>
            <w:tcW w:w="350" w:type="pct"/>
            <w:shd w:val="clear" w:color="auto" w:fill="FFFFFF"/>
            <w:vAlign w:val="bottom"/>
            <w:hideMark/>
          </w:tcPr>
          <w:p w14:paraId="47B9E7EB" w14:textId="77777777" w:rsidR="00000000" w:rsidRDefault="0053651E">
            <w:pPr>
              <w:jc w:val="right"/>
              <w:rPr>
                <w:rFonts w:eastAsia="Times New Roman"/>
                <w:sz w:val="16"/>
                <w:szCs w:val="16"/>
              </w:rPr>
            </w:pPr>
            <w:r>
              <w:rPr>
                <w:rFonts w:eastAsia="Times New Roman"/>
                <w:sz w:val="16"/>
                <w:szCs w:val="16"/>
              </w:rPr>
              <w:t>493,876</w:t>
            </w:r>
          </w:p>
        </w:tc>
        <w:tc>
          <w:tcPr>
            <w:tcW w:w="300" w:type="pct"/>
            <w:shd w:val="clear" w:color="auto" w:fill="FFFFFF"/>
            <w:vAlign w:val="bottom"/>
            <w:hideMark/>
          </w:tcPr>
          <w:p w14:paraId="4202FE88" w14:textId="77777777" w:rsidR="00000000" w:rsidRDefault="0053651E">
            <w:pPr>
              <w:jc w:val="right"/>
              <w:rPr>
                <w:rFonts w:eastAsia="Times New Roman"/>
                <w:sz w:val="16"/>
                <w:szCs w:val="16"/>
              </w:rPr>
            </w:pPr>
            <w:r>
              <w:rPr>
                <w:rFonts w:eastAsia="Times New Roman"/>
                <w:sz w:val="16"/>
                <w:szCs w:val="16"/>
              </w:rPr>
              <w:t>2,143,695</w:t>
            </w:r>
          </w:p>
        </w:tc>
        <w:tc>
          <w:tcPr>
            <w:tcW w:w="450" w:type="pct"/>
            <w:shd w:val="clear" w:color="auto" w:fill="FFFFFF"/>
            <w:vAlign w:val="bottom"/>
            <w:hideMark/>
          </w:tcPr>
          <w:p w14:paraId="07EB9149" w14:textId="77777777" w:rsidR="00000000" w:rsidRDefault="0053651E">
            <w:pPr>
              <w:jc w:val="right"/>
              <w:rPr>
                <w:rFonts w:eastAsia="Times New Roman"/>
                <w:sz w:val="16"/>
                <w:szCs w:val="16"/>
              </w:rPr>
            </w:pPr>
            <w:r>
              <w:rPr>
                <w:rFonts w:eastAsia="Times New Roman"/>
                <w:sz w:val="16"/>
                <w:szCs w:val="16"/>
              </w:rPr>
              <w:t>12,517,636</w:t>
            </w:r>
          </w:p>
        </w:tc>
        <w:tc>
          <w:tcPr>
            <w:tcW w:w="350" w:type="pct"/>
            <w:shd w:val="clear" w:color="auto" w:fill="FFFFFF"/>
            <w:vAlign w:val="bottom"/>
            <w:hideMark/>
          </w:tcPr>
          <w:p w14:paraId="733143E1" w14:textId="77777777" w:rsidR="00000000" w:rsidRDefault="0053651E">
            <w:pPr>
              <w:jc w:val="right"/>
              <w:rPr>
                <w:rFonts w:eastAsia="Times New Roman"/>
                <w:sz w:val="16"/>
                <w:szCs w:val="16"/>
              </w:rPr>
            </w:pPr>
            <w:r>
              <w:rPr>
                <w:rFonts w:eastAsia="Times New Roman"/>
                <w:sz w:val="16"/>
                <w:szCs w:val="16"/>
              </w:rPr>
              <w:t>14,661,331</w:t>
            </w:r>
          </w:p>
        </w:tc>
        <w:tc>
          <w:tcPr>
            <w:tcW w:w="400" w:type="pct"/>
            <w:shd w:val="clear" w:color="auto" w:fill="FFFFFF"/>
            <w:vAlign w:val="bottom"/>
            <w:hideMark/>
          </w:tcPr>
          <w:p w14:paraId="44060EF1" w14:textId="77777777" w:rsidR="00000000" w:rsidRDefault="0053651E">
            <w:pPr>
              <w:jc w:val="right"/>
              <w:rPr>
                <w:rFonts w:eastAsia="Times New Roman"/>
                <w:sz w:val="16"/>
                <w:szCs w:val="16"/>
              </w:rPr>
            </w:pPr>
            <w:r>
              <w:rPr>
                <w:rFonts w:eastAsia="Times New Roman"/>
                <w:sz w:val="16"/>
                <w:szCs w:val="16"/>
              </w:rPr>
              <w:t>2,816,709</w:t>
            </w:r>
          </w:p>
        </w:tc>
        <w:tc>
          <w:tcPr>
            <w:tcW w:w="50" w:type="pct"/>
            <w:shd w:val="clear" w:color="auto" w:fill="FFFFFF"/>
            <w:vAlign w:val="bottom"/>
            <w:hideMark/>
          </w:tcPr>
          <w:p w14:paraId="3778054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27014F8" w14:textId="77777777" w:rsidR="00000000" w:rsidRDefault="0053651E">
            <w:pPr>
              <w:jc w:val="right"/>
              <w:rPr>
                <w:rFonts w:eastAsia="Times New Roman"/>
                <w:sz w:val="16"/>
                <w:szCs w:val="16"/>
              </w:rPr>
            </w:pPr>
            <w:r>
              <w:rPr>
                <w:rFonts w:eastAsia="Times New Roman"/>
                <w:sz w:val="16"/>
                <w:szCs w:val="16"/>
              </w:rPr>
              <w:t>11,844,622</w:t>
            </w:r>
          </w:p>
        </w:tc>
        <w:tc>
          <w:tcPr>
            <w:tcW w:w="50" w:type="pct"/>
            <w:shd w:val="clear" w:color="auto" w:fill="FFFFFF"/>
            <w:vAlign w:val="bottom"/>
            <w:hideMark/>
          </w:tcPr>
          <w:p w14:paraId="70E1383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B35C8A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95F9D7D"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45C3477D" w14:textId="77777777">
        <w:trPr>
          <w:tblCellSpacing w:w="0" w:type="dxa"/>
        </w:trPr>
        <w:tc>
          <w:tcPr>
            <w:tcW w:w="50" w:type="pct"/>
            <w:shd w:val="clear" w:color="auto" w:fill="CCEEFF"/>
            <w:vAlign w:val="bottom"/>
            <w:hideMark/>
          </w:tcPr>
          <w:p w14:paraId="59A0865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E4E2EE9" w14:textId="77777777" w:rsidR="00000000" w:rsidRDefault="0053651E">
            <w:pPr>
              <w:pStyle w:val="a3"/>
              <w:spacing w:before="0" w:beforeAutospacing="0" w:after="0" w:afterAutospacing="0"/>
              <w:rPr>
                <w:sz w:val="16"/>
                <w:szCs w:val="16"/>
              </w:rPr>
            </w:pPr>
            <w:r>
              <w:rPr>
                <w:sz w:val="16"/>
                <w:szCs w:val="16"/>
              </w:rPr>
              <w:t>MOUNTAIN ISLAND MARKETPLACE</w:t>
            </w:r>
          </w:p>
        </w:tc>
        <w:tc>
          <w:tcPr>
            <w:tcW w:w="150" w:type="pct"/>
            <w:shd w:val="clear" w:color="auto" w:fill="CCEEFF"/>
            <w:vAlign w:val="bottom"/>
            <w:hideMark/>
          </w:tcPr>
          <w:p w14:paraId="186A9E27"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4D41FB3C" w14:textId="77777777" w:rsidR="00000000" w:rsidRDefault="0053651E">
            <w:pPr>
              <w:jc w:val="right"/>
              <w:rPr>
                <w:rFonts w:eastAsia="Times New Roman"/>
                <w:sz w:val="16"/>
                <w:szCs w:val="16"/>
              </w:rPr>
            </w:pPr>
            <w:r>
              <w:rPr>
                <w:rFonts w:eastAsia="Times New Roman"/>
                <w:sz w:val="16"/>
                <w:szCs w:val="16"/>
              </w:rPr>
              <w:t>3,318,587</w:t>
            </w:r>
          </w:p>
        </w:tc>
        <w:tc>
          <w:tcPr>
            <w:tcW w:w="550" w:type="pct"/>
            <w:shd w:val="clear" w:color="auto" w:fill="CCEEFF"/>
            <w:vAlign w:val="bottom"/>
            <w:hideMark/>
          </w:tcPr>
          <w:p w14:paraId="7750080E" w14:textId="77777777" w:rsidR="00000000" w:rsidRDefault="0053651E">
            <w:pPr>
              <w:jc w:val="right"/>
              <w:rPr>
                <w:rFonts w:eastAsia="Times New Roman"/>
                <w:sz w:val="16"/>
                <w:szCs w:val="16"/>
              </w:rPr>
            </w:pPr>
            <w:r>
              <w:rPr>
                <w:rFonts w:eastAsia="Times New Roman"/>
                <w:sz w:val="16"/>
                <w:szCs w:val="16"/>
              </w:rPr>
              <w:t>7,331,413</w:t>
            </w:r>
          </w:p>
        </w:tc>
        <w:tc>
          <w:tcPr>
            <w:tcW w:w="350" w:type="pct"/>
            <w:shd w:val="clear" w:color="auto" w:fill="CCEEFF"/>
            <w:vAlign w:val="bottom"/>
            <w:hideMark/>
          </w:tcPr>
          <w:p w14:paraId="54520A6E" w14:textId="77777777" w:rsidR="00000000" w:rsidRDefault="0053651E">
            <w:pPr>
              <w:jc w:val="right"/>
              <w:rPr>
                <w:rFonts w:eastAsia="Times New Roman"/>
                <w:sz w:val="16"/>
                <w:szCs w:val="16"/>
              </w:rPr>
            </w:pPr>
            <w:r>
              <w:rPr>
                <w:rFonts w:eastAsia="Times New Roman"/>
                <w:sz w:val="16"/>
                <w:szCs w:val="16"/>
              </w:rPr>
              <w:t>702,336</w:t>
            </w:r>
          </w:p>
        </w:tc>
        <w:tc>
          <w:tcPr>
            <w:tcW w:w="300" w:type="pct"/>
            <w:shd w:val="clear" w:color="auto" w:fill="CCEEFF"/>
            <w:vAlign w:val="bottom"/>
            <w:hideMark/>
          </w:tcPr>
          <w:p w14:paraId="6A66F5D9" w14:textId="77777777" w:rsidR="00000000" w:rsidRDefault="0053651E">
            <w:pPr>
              <w:jc w:val="right"/>
              <w:rPr>
                <w:rFonts w:eastAsia="Times New Roman"/>
                <w:sz w:val="16"/>
                <w:szCs w:val="16"/>
              </w:rPr>
            </w:pPr>
            <w:r>
              <w:rPr>
                <w:rFonts w:eastAsia="Times New Roman"/>
                <w:sz w:val="16"/>
                <w:szCs w:val="16"/>
              </w:rPr>
              <w:t>3,818,587</w:t>
            </w:r>
          </w:p>
        </w:tc>
        <w:tc>
          <w:tcPr>
            <w:tcW w:w="450" w:type="pct"/>
            <w:shd w:val="clear" w:color="auto" w:fill="CCEEFF"/>
            <w:vAlign w:val="bottom"/>
            <w:hideMark/>
          </w:tcPr>
          <w:p w14:paraId="0AF28883" w14:textId="77777777" w:rsidR="00000000" w:rsidRDefault="0053651E">
            <w:pPr>
              <w:jc w:val="right"/>
              <w:rPr>
                <w:rFonts w:eastAsia="Times New Roman"/>
                <w:sz w:val="16"/>
                <w:szCs w:val="16"/>
              </w:rPr>
            </w:pPr>
            <w:r>
              <w:rPr>
                <w:rFonts w:eastAsia="Times New Roman"/>
                <w:sz w:val="16"/>
                <w:szCs w:val="16"/>
              </w:rPr>
              <w:t>7,533,749</w:t>
            </w:r>
          </w:p>
        </w:tc>
        <w:tc>
          <w:tcPr>
            <w:tcW w:w="350" w:type="pct"/>
            <w:shd w:val="clear" w:color="auto" w:fill="CCEEFF"/>
            <w:vAlign w:val="bottom"/>
            <w:hideMark/>
          </w:tcPr>
          <w:p w14:paraId="156BB4AD" w14:textId="77777777" w:rsidR="00000000" w:rsidRDefault="0053651E">
            <w:pPr>
              <w:jc w:val="right"/>
              <w:rPr>
                <w:rFonts w:eastAsia="Times New Roman"/>
                <w:sz w:val="16"/>
                <w:szCs w:val="16"/>
              </w:rPr>
            </w:pPr>
            <w:r>
              <w:rPr>
                <w:rFonts w:eastAsia="Times New Roman"/>
                <w:sz w:val="16"/>
                <w:szCs w:val="16"/>
              </w:rPr>
              <w:t>11,352,336</w:t>
            </w:r>
          </w:p>
        </w:tc>
        <w:tc>
          <w:tcPr>
            <w:tcW w:w="400" w:type="pct"/>
            <w:shd w:val="clear" w:color="auto" w:fill="CCEEFF"/>
            <w:vAlign w:val="bottom"/>
            <w:hideMark/>
          </w:tcPr>
          <w:p w14:paraId="5FFF1555" w14:textId="77777777" w:rsidR="00000000" w:rsidRDefault="0053651E">
            <w:pPr>
              <w:jc w:val="right"/>
              <w:rPr>
                <w:rFonts w:eastAsia="Times New Roman"/>
                <w:sz w:val="16"/>
                <w:szCs w:val="16"/>
              </w:rPr>
            </w:pPr>
            <w:r>
              <w:rPr>
                <w:rFonts w:eastAsia="Times New Roman"/>
                <w:sz w:val="16"/>
                <w:szCs w:val="16"/>
              </w:rPr>
              <w:t>1,700,111</w:t>
            </w:r>
          </w:p>
        </w:tc>
        <w:tc>
          <w:tcPr>
            <w:tcW w:w="50" w:type="pct"/>
            <w:shd w:val="clear" w:color="auto" w:fill="CCEEFF"/>
            <w:vAlign w:val="bottom"/>
            <w:hideMark/>
          </w:tcPr>
          <w:p w14:paraId="57E2387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C9D1E3A" w14:textId="77777777" w:rsidR="00000000" w:rsidRDefault="0053651E">
            <w:pPr>
              <w:jc w:val="right"/>
              <w:rPr>
                <w:rFonts w:eastAsia="Times New Roman"/>
                <w:sz w:val="16"/>
                <w:szCs w:val="16"/>
              </w:rPr>
            </w:pPr>
            <w:r>
              <w:rPr>
                <w:rFonts w:eastAsia="Times New Roman"/>
                <w:sz w:val="16"/>
                <w:szCs w:val="16"/>
              </w:rPr>
              <w:t>9,652,225</w:t>
            </w:r>
          </w:p>
        </w:tc>
        <w:tc>
          <w:tcPr>
            <w:tcW w:w="50" w:type="pct"/>
            <w:shd w:val="clear" w:color="auto" w:fill="CCEEFF"/>
            <w:vAlign w:val="bottom"/>
            <w:hideMark/>
          </w:tcPr>
          <w:p w14:paraId="529D474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6C3343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9B73D9B"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3E667B6F" w14:textId="77777777">
        <w:trPr>
          <w:tblCellSpacing w:w="0" w:type="dxa"/>
        </w:trPr>
        <w:tc>
          <w:tcPr>
            <w:tcW w:w="50" w:type="pct"/>
            <w:shd w:val="clear" w:color="auto" w:fill="FFFFFF"/>
            <w:vAlign w:val="bottom"/>
            <w:hideMark/>
          </w:tcPr>
          <w:p w14:paraId="6F9A5AA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F93B2A0" w14:textId="77777777" w:rsidR="00000000" w:rsidRDefault="0053651E">
            <w:pPr>
              <w:pStyle w:val="a3"/>
              <w:spacing w:before="0" w:beforeAutospacing="0" w:after="0" w:afterAutospacing="0"/>
              <w:rPr>
                <w:sz w:val="16"/>
                <w:szCs w:val="16"/>
              </w:rPr>
            </w:pPr>
            <w:r>
              <w:rPr>
                <w:sz w:val="16"/>
                <w:szCs w:val="16"/>
              </w:rPr>
              <w:t>WOODLAWN SHOPPING CENTER</w:t>
            </w:r>
          </w:p>
        </w:tc>
        <w:tc>
          <w:tcPr>
            <w:tcW w:w="150" w:type="pct"/>
            <w:shd w:val="clear" w:color="auto" w:fill="FFFFFF"/>
            <w:vAlign w:val="bottom"/>
            <w:hideMark/>
          </w:tcPr>
          <w:p w14:paraId="30385966"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7CCA7D83" w14:textId="77777777" w:rsidR="00000000" w:rsidRDefault="0053651E">
            <w:pPr>
              <w:jc w:val="right"/>
              <w:rPr>
                <w:rFonts w:eastAsia="Times New Roman"/>
                <w:sz w:val="16"/>
                <w:szCs w:val="16"/>
              </w:rPr>
            </w:pPr>
            <w:r>
              <w:rPr>
                <w:rFonts w:eastAsia="Times New Roman"/>
                <w:sz w:val="16"/>
                <w:szCs w:val="16"/>
              </w:rPr>
              <w:t>2,010,725</w:t>
            </w:r>
          </w:p>
        </w:tc>
        <w:tc>
          <w:tcPr>
            <w:tcW w:w="550" w:type="pct"/>
            <w:shd w:val="clear" w:color="auto" w:fill="FFFFFF"/>
            <w:vAlign w:val="bottom"/>
            <w:hideMark/>
          </w:tcPr>
          <w:p w14:paraId="7F3DF429" w14:textId="77777777" w:rsidR="00000000" w:rsidRDefault="0053651E">
            <w:pPr>
              <w:jc w:val="right"/>
              <w:rPr>
                <w:rFonts w:eastAsia="Times New Roman"/>
                <w:sz w:val="16"/>
                <w:szCs w:val="16"/>
              </w:rPr>
            </w:pPr>
            <w:r>
              <w:rPr>
                <w:rFonts w:eastAsia="Times New Roman"/>
                <w:sz w:val="16"/>
                <w:szCs w:val="16"/>
              </w:rPr>
              <w:t>5,833,626</w:t>
            </w:r>
          </w:p>
        </w:tc>
        <w:tc>
          <w:tcPr>
            <w:tcW w:w="350" w:type="pct"/>
            <w:shd w:val="clear" w:color="auto" w:fill="FFFFFF"/>
            <w:vAlign w:val="bottom"/>
            <w:hideMark/>
          </w:tcPr>
          <w:p w14:paraId="06CCC68E" w14:textId="77777777" w:rsidR="00000000" w:rsidRDefault="0053651E">
            <w:pPr>
              <w:jc w:val="right"/>
              <w:rPr>
                <w:rFonts w:eastAsia="Times New Roman"/>
                <w:sz w:val="16"/>
                <w:szCs w:val="16"/>
              </w:rPr>
            </w:pPr>
            <w:r>
              <w:rPr>
                <w:rFonts w:eastAsia="Times New Roman"/>
                <w:sz w:val="16"/>
                <w:szCs w:val="16"/>
              </w:rPr>
              <w:t>2,093,863</w:t>
            </w:r>
          </w:p>
        </w:tc>
        <w:tc>
          <w:tcPr>
            <w:tcW w:w="300" w:type="pct"/>
            <w:shd w:val="clear" w:color="auto" w:fill="FFFFFF"/>
            <w:vAlign w:val="bottom"/>
            <w:hideMark/>
          </w:tcPr>
          <w:p w14:paraId="78E9DA39" w14:textId="77777777" w:rsidR="00000000" w:rsidRDefault="0053651E">
            <w:pPr>
              <w:jc w:val="right"/>
              <w:rPr>
                <w:rFonts w:eastAsia="Times New Roman"/>
                <w:sz w:val="16"/>
                <w:szCs w:val="16"/>
              </w:rPr>
            </w:pPr>
            <w:r>
              <w:rPr>
                <w:rFonts w:eastAsia="Times New Roman"/>
                <w:sz w:val="16"/>
                <w:szCs w:val="16"/>
              </w:rPr>
              <w:t>2,010,725</w:t>
            </w:r>
          </w:p>
        </w:tc>
        <w:tc>
          <w:tcPr>
            <w:tcW w:w="450" w:type="pct"/>
            <w:shd w:val="clear" w:color="auto" w:fill="FFFFFF"/>
            <w:vAlign w:val="bottom"/>
            <w:hideMark/>
          </w:tcPr>
          <w:p w14:paraId="3E65B617" w14:textId="77777777" w:rsidR="00000000" w:rsidRDefault="0053651E">
            <w:pPr>
              <w:jc w:val="right"/>
              <w:rPr>
                <w:rFonts w:eastAsia="Times New Roman"/>
                <w:sz w:val="16"/>
                <w:szCs w:val="16"/>
              </w:rPr>
            </w:pPr>
            <w:r>
              <w:rPr>
                <w:rFonts w:eastAsia="Times New Roman"/>
                <w:sz w:val="16"/>
                <w:szCs w:val="16"/>
              </w:rPr>
              <w:t>7,927,489</w:t>
            </w:r>
          </w:p>
        </w:tc>
        <w:tc>
          <w:tcPr>
            <w:tcW w:w="350" w:type="pct"/>
            <w:shd w:val="clear" w:color="auto" w:fill="FFFFFF"/>
            <w:vAlign w:val="bottom"/>
            <w:hideMark/>
          </w:tcPr>
          <w:p w14:paraId="5F077415" w14:textId="77777777" w:rsidR="00000000" w:rsidRDefault="0053651E">
            <w:pPr>
              <w:jc w:val="right"/>
              <w:rPr>
                <w:rFonts w:eastAsia="Times New Roman"/>
                <w:sz w:val="16"/>
                <w:szCs w:val="16"/>
              </w:rPr>
            </w:pPr>
            <w:r>
              <w:rPr>
                <w:rFonts w:eastAsia="Times New Roman"/>
                <w:sz w:val="16"/>
                <w:szCs w:val="16"/>
              </w:rPr>
              <w:t>9,938,214</w:t>
            </w:r>
          </w:p>
        </w:tc>
        <w:tc>
          <w:tcPr>
            <w:tcW w:w="400" w:type="pct"/>
            <w:shd w:val="clear" w:color="auto" w:fill="FFFFFF"/>
            <w:vAlign w:val="bottom"/>
            <w:hideMark/>
          </w:tcPr>
          <w:p w14:paraId="3BFD40C4" w14:textId="77777777" w:rsidR="00000000" w:rsidRDefault="0053651E">
            <w:pPr>
              <w:jc w:val="right"/>
              <w:rPr>
                <w:rFonts w:eastAsia="Times New Roman"/>
                <w:sz w:val="16"/>
                <w:szCs w:val="16"/>
              </w:rPr>
            </w:pPr>
            <w:r>
              <w:rPr>
                <w:rFonts w:eastAsia="Times New Roman"/>
                <w:sz w:val="16"/>
                <w:szCs w:val="16"/>
              </w:rPr>
              <w:t>1,746,407</w:t>
            </w:r>
          </w:p>
        </w:tc>
        <w:tc>
          <w:tcPr>
            <w:tcW w:w="50" w:type="pct"/>
            <w:shd w:val="clear" w:color="auto" w:fill="FFFFFF"/>
            <w:vAlign w:val="bottom"/>
            <w:hideMark/>
          </w:tcPr>
          <w:p w14:paraId="7DAA71B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ED8B958" w14:textId="77777777" w:rsidR="00000000" w:rsidRDefault="0053651E">
            <w:pPr>
              <w:jc w:val="right"/>
              <w:rPr>
                <w:rFonts w:eastAsia="Times New Roman"/>
                <w:sz w:val="16"/>
                <w:szCs w:val="16"/>
              </w:rPr>
            </w:pPr>
            <w:r>
              <w:rPr>
                <w:rFonts w:eastAsia="Times New Roman"/>
                <w:sz w:val="16"/>
                <w:szCs w:val="16"/>
              </w:rPr>
              <w:t>8,191,807</w:t>
            </w:r>
          </w:p>
        </w:tc>
        <w:tc>
          <w:tcPr>
            <w:tcW w:w="50" w:type="pct"/>
            <w:shd w:val="clear" w:color="auto" w:fill="FFFFFF"/>
            <w:vAlign w:val="bottom"/>
            <w:hideMark/>
          </w:tcPr>
          <w:p w14:paraId="2B4B2C3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DEC7CF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4821B84"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1AA50062" w14:textId="77777777">
        <w:trPr>
          <w:tblCellSpacing w:w="0" w:type="dxa"/>
        </w:trPr>
        <w:tc>
          <w:tcPr>
            <w:tcW w:w="50" w:type="pct"/>
            <w:shd w:val="clear" w:color="auto" w:fill="CCEEFF"/>
            <w:vAlign w:val="bottom"/>
            <w:hideMark/>
          </w:tcPr>
          <w:p w14:paraId="7C9A1B2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F0F979B" w14:textId="77777777" w:rsidR="00000000" w:rsidRDefault="0053651E">
            <w:pPr>
              <w:pStyle w:val="a3"/>
              <w:spacing w:before="0" w:beforeAutospacing="0" w:after="0" w:afterAutospacing="0"/>
              <w:rPr>
                <w:sz w:val="16"/>
                <w:szCs w:val="16"/>
              </w:rPr>
            </w:pPr>
            <w:r>
              <w:rPr>
                <w:sz w:val="16"/>
                <w:szCs w:val="16"/>
              </w:rPr>
              <w:t>CROSSROADS PLAZA</w:t>
            </w:r>
          </w:p>
        </w:tc>
        <w:tc>
          <w:tcPr>
            <w:tcW w:w="150" w:type="pct"/>
            <w:shd w:val="clear" w:color="auto" w:fill="CCEEFF"/>
            <w:vAlign w:val="bottom"/>
            <w:hideMark/>
          </w:tcPr>
          <w:p w14:paraId="5437EE3F"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00BBD808" w14:textId="77777777" w:rsidR="00000000" w:rsidRDefault="0053651E">
            <w:pPr>
              <w:jc w:val="right"/>
              <w:rPr>
                <w:rFonts w:eastAsia="Times New Roman"/>
                <w:sz w:val="16"/>
                <w:szCs w:val="16"/>
              </w:rPr>
            </w:pPr>
            <w:r>
              <w:rPr>
                <w:rFonts w:eastAsia="Times New Roman"/>
                <w:sz w:val="16"/>
                <w:szCs w:val="16"/>
              </w:rPr>
              <w:t>13,405,529</w:t>
            </w:r>
          </w:p>
        </w:tc>
        <w:tc>
          <w:tcPr>
            <w:tcW w:w="550" w:type="pct"/>
            <w:shd w:val="clear" w:color="auto" w:fill="CCEEFF"/>
            <w:vAlign w:val="bottom"/>
            <w:hideMark/>
          </w:tcPr>
          <w:p w14:paraId="415B6906" w14:textId="77777777" w:rsidR="00000000" w:rsidRDefault="0053651E">
            <w:pPr>
              <w:jc w:val="right"/>
              <w:rPr>
                <w:rFonts w:eastAsia="Times New Roman"/>
                <w:sz w:val="16"/>
                <w:szCs w:val="16"/>
              </w:rPr>
            </w:pPr>
            <w:r>
              <w:rPr>
                <w:rFonts w:eastAsia="Times New Roman"/>
                <w:sz w:val="16"/>
                <w:szCs w:val="16"/>
              </w:rPr>
              <w:t>86,455,763</w:t>
            </w:r>
          </w:p>
        </w:tc>
        <w:tc>
          <w:tcPr>
            <w:tcW w:w="350" w:type="pct"/>
            <w:shd w:val="clear" w:color="auto" w:fill="CCEEFF"/>
            <w:vAlign w:val="bottom"/>
            <w:hideMark/>
          </w:tcPr>
          <w:p w14:paraId="6AD8D4E8" w14:textId="77777777" w:rsidR="00000000" w:rsidRDefault="0053651E">
            <w:pPr>
              <w:jc w:val="right"/>
              <w:rPr>
                <w:rFonts w:eastAsia="Times New Roman"/>
                <w:sz w:val="16"/>
                <w:szCs w:val="16"/>
              </w:rPr>
            </w:pPr>
            <w:r>
              <w:rPr>
                <w:rFonts w:eastAsia="Times New Roman"/>
                <w:sz w:val="16"/>
                <w:szCs w:val="16"/>
              </w:rPr>
              <w:t>(822,704)</w:t>
            </w:r>
          </w:p>
        </w:tc>
        <w:tc>
          <w:tcPr>
            <w:tcW w:w="300" w:type="pct"/>
            <w:shd w:val="clear" w:color="auto" w:fill="CCEEFF"/>
            <w:vAlign w:val="bottom"/>
            <w:hideMark/>
          </w:tcPr>
          <w:p w14:paraId="1B6CC9C3" w14:textId="77777777" w:rsidR="00000000" w:rsidRDefault="0053651E">
            <w:pPr>
              <w:jc w:val="right"/>
              <w:rPr>
                <w:rFonts w:eastAsia="Times New Roman"/>
                <w:sz w:val="16"/>
                <w:szCs w:val="16"/>
              </w:rPr>
            </w:pPr>
            <w:r>
              <w:rPr>
                <w:rFonts w:eastAsia="Times New Roman"/>
                <w:sz w:val="16"/>
                <w:szCs w:val="16"/>
              </w:rPr>
              <w:t>13,405,529</w:t>
            </w:r>
          </w:p>
        </w:tc>
        <w:tc>
          <w:tcPr>
            <w:tcW w:w="450" w:type="pct"/>
            <w:shd w:val="clear" w:color="auto" w:fill="CCEEFF"/>
            <w:vAlign w:val="bottom"/>
            <w:hideMark/>
          </w:tcPr>
          <w:p w14:paraId="3784EC85" w14:textId="77777777" w:rsidR="00000000" w:rsidRDefault="0053651E">
            <w:pPr>
              <w:jc w:val="right"/>
              <w:rPr>
                <w:rFonts w:eastAsia="Times New Roman"/>
                <w:sz w:val="16"/>
                <w:szCs w:val="16"/>
              </w:rPr>
            </w:pPr>
            <w:r>
              <w:rPr>
                <w:rFonts w:eastAsia="Times New Roman"/>
                <w:sz w:val="16"/>
                <w:szCs w:val="16"/>
              </w:rPr>
              <w:t>85,633,059</w:t>
            </w:r>
          </w:p>
        </w:tc>
        <w:tc>
          <w:tcPr>
            <w:tcW w:w="350" w:type="pct"/>
            <w:shd w:val="clear" w:color="auto" w:fill="CCEEFF"/>
            <w:vAlign w:val="bottom"/>
            <w:hideMark/>
          </w:tcPr>
          <w:p w14:paraId="01728A61" w14:textId="77777777" w:rsidR="00000000" w:rsidRDefault="0053651E">
            <w:pPr>
              <w:jc w:val="right"/>
              <w:rPr>
                <w:rFonts w:eastAsia="Times New Roman"/>
                <w:sz w:val="16"/>
                <w:szCs w:val="16"/>
              </w:rPr>
            </w:pPr>
            <w:r>
              <w:rPr>
                <w:rFonts w:eastAsia="Times New Roman"/>
                <w:sz w:val="16"/>
                <w:szCs w:val="16"/>
              </w:rPr>
              <w:t>99,038,588</w:t>
            </w:r>
          </w:p>
        </w:tc>
        <w:tc>
          <w:tcPr>
            <w:tcW w:w="400" w:type="pct"/>
            <w:shd w:val="clear" w:color="auto" w:fill="CCEEFF"/>
            <w:vAlign w:val="bottom"/>
            <w:hideMark/>
          </w:tcPr>
          <w:p w14:paraId="22335979" w14:textId="77777777" w:rsidR="00000000" w:rsidRDefault="0053651E">
            <w:pPr>
              <w:jc w:val="right"/>
              <w:rPr>
                <w:rFonts w:eastAsia="Times New Roman"/>
                <w:sz w:val="16"/>
                <w:szCs w:val="16"/>
              </w:rPr>
            </w:pPr>
            <w:r>
              <w:rPr>
                <w:rFonts w:eastAsia="Times New Roman"/>
                <w:sz w:val="16"/>
                <w:szCs w:val="16"/>
              </w:rPr>
              <w:t>17,053,576</w:t>
            </w:r>
          </w:p>
        </w:tc>
        <w:tc>
          <w:tcPr>
            <w:tcW w:w="50" w:type="pct"/>
            <w:shd w:val="clear" w:color="auto" w:fill="CCEEFF"/>
            <w:vAlign w:val="bottom"/>
            <w:hideMark/>
          </w:tcPr>
          <w:p w14:paraId="26FC2D3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35F1CB7" w14:textId="77777777" w:rsidR="00000000" w:rsidRDefault="0053651E">
            <w:pPr>
              <w:jc w:val="right"/>
              <w:rPr>
                <w:rFonts w:eastAsia="Times New Roman"/>
                <w:sz w:val="16"/>
                <w:szCs w:val="16"/>
              </w:rPr>
            </w:pPr>
            <w:r>
              <w:rPr>
                <w:rFonts w:eastAsia="Times New Roman"/>
                <w:sz w:val="16"/>
                <w:szCs w:val="16"/>
              </w:rPr>
              <w:t>81,985,012</w:t>
            </w:r>
          </w:p>
        </w:tc>
        <w:tc>
          <w:tcPr>
            <w:tcW w:w="50" w:type="pct"/>
            <w:shd w:val="clear" w:color="auto" w:fill="CCEEFF"/>
            <w:vAlign w:val="bottom"/>
            <w:hideMark/>
          </w:tcPr>
          <w:p w14:paraId="62DD5B2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0FDDD7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626D423"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7AEF5850" w14:textId="77777777">
        <w:trPr>
          <w:tblCellSpacing w:w="0" w:type="dxa"/>
        </w:trPr>
        <w:tc>
          <w:tcPr>
            <w:tcW w:w="50" w:type="pct"/>
            <w:shd w:val="clear" w:color="auto" w:fill="FFFFFF"/>
            <w:vAlign w:val="bottom"/>
            <w:hideMark/>
          </w:tcPr>
          <w:p w14:paraId="470C75E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413477A" w14:textId="77777777" w:rsidR="00000000" w:rsidRDefault="0053651E">
            <w:pPr>
              <w:pStyle w:val="a3"/>
              <w:spacing w:before="0" w:beforeAutospacing="0" w:after="0" w:afterAutospacing="0"/>
              <w:rPr>
                <w:sz w:val="16"/>
                <w:szCs w:val="16"/>
              </w:rPr>
            </w:pPr>
            <w:r>
              <w:rPr>
                <w:sz w:val="16"/>
                <w:szCs w:val="16"/>
              </w:rPr>
              <w:t>QUAIL CORNERS</w:t>
            </w:r>
          </w:p>
        </w:tc>
        <w:tc>
          <w:tcPr>
            <w:tcW w:w="150" w:type="pct"/>
            <w:shd w:val="clear" w:color="auto" w:fill="FFFFFF"/>
            <w:vAlign w:val="bottom"/>
            <w:hideMark/>
          </w:tcPr>
          <w:p w14:paraId="32A9EE22"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3C216DE3" w14:textId="77777777" w:rsidR="00000000" w:rsidRDefault="0053651E">
            <w:pPr>
              <w:jc w:val="right"/>
              <w:rPr>
                <w:rFonts w:eastAsia="Times New Roman"/>
                <w:sz w:val="16"/>
                <w:szCs w:val="16"/>
              </w:rPr>
            </w:pPr>
            <w:r>
              <w:rPr>
                <w:rFonts w:eastAsia="Times New Roman"/>
                <w:sz w:val="16"/>
                <w:szCs w:val="16"/>
              </w:rPr>
              <w:t>7,318,321</w:t>
            </w:r>
          </w:p>
        </w:tc>
        <w:tc>
          <w:tcPr>
            <w:tcW w:w="550" w:type="pct"/>
            <w:shd w:val="clear" w:color="auto" w:fill="FFFFFF"/>
            <w:vAlign w:val="bottom"/>
            <w:hideMark/>
          </w:tcPr>
          <w:p w14:paraId="698167A4" w14:textId="77777777" w:rsidR="00000000" w:rsidRDefault="0053651E">
            <w:pPr>
              <w:jc w:val="right"/>
              <w:rPr>
                <w:rFonts w:eastAsia="Times New Roman"/>
                <w:sz w:val="16"/>
                <w:szCs w:val="16"/>
              </w:rPr>
            </w:pPr>
            <w:r>
              <w:rPr>
                <w:rFonts w:eastAsia="Times New Roman"/>
                <w:sz w:val="16"/>
                <w:szCs w:val="16"/>
              </w:rPr>
              <w:t>26,675,644</w:t>
            </w:r>
          </w:p>
        </w:tc>
        <w:tc>
          <w:tcPr>
            <w:tcW w:w="350" w:type="pct"/>
            <w:shd w:val="clear" w:color="auto" w:fill="FFFFFF"/>
            <w:vAlign w:val="bottom"/>
            <w:hideMark/>
          </w:tcPr>
          <w:p w14:paraId="2471F80A" w14:textId="77777777" w:rsidR="00000000" w:rsidRDefault="0053651E">
            <w:pPr>
              <w:jc w:val="right"/>
              <w:rPr>
                <w:rFonts w:eastAsia="Times New Roman"/>
                <w:sz w:val="16"/>
                <w:szCs w:val="16"/>
              </w:rPr>
            </w:pPr>
            <w:r>
              <w:rPr>
                <w:rFonts w:eastAsia="Times New Roman"/>
                <w:sz w:val="16"/>
                <w:szCs w:val="16"/>
              </w:rPr>
              <w:t>1,932,338</w:t>
            </w:r>
          </w:p>
        </w:tc>
        <w:tc>
          <w:tcPr>
            <w:tcW w:w="300" w:type="pct"/>
            <w:shd w:val="clear" w:color="auto" w:fill="FFFFFF"/>
            <w:vAlign w:val="bottom"/>
            <w:hideMark/>
          </w:tcPr>
          <w:p w14:paraId="43455BF8" w14:textId="77777777" w:rsidR="00000000" w:rsidRDefault="0053651E">
            <w:pPr>
              <w:jc w:val="right"/>
              <w:rPr>
                <w:rFonts w:eastAsia="Times New Roman"/>
                <w:sz w:val="16"/>
                <w:szCs w:val="16"/>
              </w:rPr>
            </w:pPr>
            <w:r>
              <w:rPr>
                <w:rFonts w:eastAsia="Times New Roman"/>
                <w:sz w:val="16"/>
                <w:szCs w:val="16"/>
              </w:rPr>
              <w:t>7,318,321</w:t>
            </w:r>
          </w:p>
        </w:tc>
        <w:tc>
          <w:tcPr>
            <w:tcW w:w="450" w:type="pct"/>
            <w:shd w:val="clear" w:color="auto" w:fill="FFFFFF"/>
            <w:vAlign w:val="bottom"/>
            <w:hideMark/>
          </w:tcPr>
          <w:p w14:paraId="56E605BF" w14:textId="77777777" w:rsidR="00000000" w:rsidRDefault="0053651E">
            <w:pPr>
              <w:jc w:val="right"/>
              <w:rPr>
                <w:rFonts w:eastAsia="Times New Roman"/>
                <w:sz w:val="16"/>
                <w:szCs w:val="16"/>
              </w:rPr>
            </w:pPr>
            <w:r>
              <w:rPr>
                <w:rFonts w:eastAsia="Times New Roman"/>
                <w:sz w:val="16"/>
                <w:szCs w:val="16"/>
              </w:rPr>
              <w:t>28,607,982</w:t>
            </w:r>
          </w:p>
        </w:tc>
        <w:tc>
          <w:tcPr>
            <w:tcW w:w="350" w:type="pct"/>
            <w:shd w:val="clear" w:color="auto" w:fill="FFFFFF"/>
            <w:vAlign w:val="bottom"/>
            <w:hideMark/>
          </w:tcPr>
          <w:p w14:paraId="51774342" w14:textId="77777777" w:rsidR="00000000" w:rsidRDefault="0053651E">
            <w:pPr>
              <w:jc w:val="right"/>
              <w:rPr>
                <w:rFonts w:eastAsia="Times New Roman"/>
                <w:sz w:val="16"/>
                <w:szCs w:val="16"/>
              </w:rPr>
            </w:pPr>
            <w:r>
              <w:rPr>
                <w:rFonts w:eastAsia="Times New Roman"/>
                <w:sz w:val="16"/>
                <w:szCs w:val="16"/>
              </w:rPr>
              <w:t>35,926,303</w:t>
            </w:r>
          </w:p>
        </w:tc>
        <w:tc>
          <w:tcPr>
            <w:tcW w:w="400" w:type="pct"/>
            <w:shd w:val="clear" w:color="auto" w:fill="FFFFFF"/>
            <w:vAlign w:val="bottom"/>
            <w:hideMark/>
          </w:tcPr>
          <w:p w14:paraId="675C10C4" w14:textId="77777777" w:rsidR="00000000" w:rsidRDefault="0053651E">
            <w:pPr>
              <w:jc w:val="right"/>
              <w:rPr>
                <w:rFonts w:eastAsia="Times New Roman"/>
                <w:sz w:val="16"/>
                <w:szCs w:val="16"/>
              </w:rPr>
            </w:pPr>
            <w:r>
              <w:rPr>
                <w:rFonts w:eastAsia="Times New Roman"/>
                <w:sz w:val="16"/>
                <w:szCs w:val="16"/>
              </w:rPr>
              <w:t>4,694,476</w:t>
            </w:r>
          </w:p>
        </w:tc>
        <w:tc>
          <w:tcPr>
            <w:tcW w:w="50" w:type="pct"/>
            <w:shd w:val="clear" w:color="auto" w:fill="FFFFFF"/>
            <w:vAlign w:val="bottom"/>
            <w:hideMark/>
          </w:tcPr>
          <w:p w14:paraId="51FC2E9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293DBE0" w14:textId="77777777" w:rsidR="00000000" w:rsidRDefault="0053651E">
            <w:pPr>
              <w:jc w:val="right"/>
              <w:rPr>
                <w:rFonts w:eastAsia="Times New Roman"/>
                <w:sz w:val="16"/>
                <w:szCs w:val="16"/>
              </w:rPr>
            </w:pPr>
            <w:r>
              <w:rPr>
                <w:rFonts w:eastAsia="Times New Roman"/>
                <w:sz w:val="16"/>
                <w:szCs w:val="16"/>
              </w:rPr>
              <w:t>31,231,827</w:t>
            </w:r>
          </w:p>
        </w:tc>
        <w:tc>
          <w:tcPr>
            <w:tcW w:w="50" w:type="pct"/>
            <w:shd w:val="clear" w:color="auto" w:fill="FFFFFF"/>
            <w:vAlign w:val="bottom"/>
            <w:hideMark/>
          </w:tcPr>
          <w:p w14:paraId="0D6700B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393F667" w14:textId="77777777" w:rsidR="00000000" w:rsidRDefault="0053651E">
            <w:pPr>
              <w:jc w:val="right"/>
              <w:rPr>
                <w:rFonts w:eastAsia="Times New Roman"/>
                <w:sz w:val="16"/>
                <w:szCs w:val="16"/>
              </w:rPr>
            </w:pPr>
            <w:r>
              <w:rPr>
                <w:rFonts w:eastAsia="Times New Roman"/>
                <w:sz w:val="16"/>
                <w:szCs w:val="16"/>
              </w:rPr>
              <w:t>15,220,049</w:t>
            </w:r>
          </w:p>
        </w:tc>
        <w:tc>
          <w:tcPr>
            <w:tcW w:w="500" w:type="pct"/>
            <w:shd w:val="clear" w:color="auto" w:fill="FFFFFF"/>
            <w:vAlign w:val="bottom"/>
            <w:hideMark/>
          </w:tcPr>
          <w:p w14:paraId="1E60998C"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E5567D6" w14:textId="77777777">
        <w:trPr>
          <w:tblCellSpacing w:w="0" w:type="dxa"/>
        </w:trPr>
        <w:tc>
          <w:tcPr>
            <w:tcW w:w="50" w:type="pct"/>
            <w:shd w:val="clear" w:color="auto" w:fill="CCEEFF"/>
            <w:vAlign w:val="bottom"/>
            <w:hideMark/>
          </w:tcPr>
          <w:p w14:paraId="4B1BE7B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894BAF0" w14:textId="77777777" w:rsidR="00000000" w:rsidRDefault="0053651E">
            <w:pPr>
              <w:pStyle w:val="a3"/>
              <w:spacing w:before="0" w:beforeAutospacing="0" w:after="0" w:afterAutospacing="0"/>
              <w:rPr>
                <w:sz w:val="16"/>
                <w:szCs w:val="16"/>
              </w:rPr>
            </w:pPr>
            <w:r>
              <w:rPr>
                <w:sz w:val="16"/>
                <w:szCs w:val="16"/>
              </w:rPr>
              <w:t>DAVIDSON COMMONS</w:t>
            </w:r>
          </w:p>
        </w:tc>
        <w:tc>
          <w:tcPr>
            <w:tcW w:w="150" w:type="pct"/>
            <w:shd w:val="clear" w:color="auto" w:fill="CCEEFF"/>
            <w:vAlign w:val="bottom"/>
            <w:hideMark/>
          </w:tcPr>
          <w:p w14:paraId="4CD434CC"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03FA4503" w14:textId="77777777" w:rsidR="00000000" w:rsidRDefault="0053651E">
            <w:pPr>
              <w:jc w:val="right"/>
              <w:rPr>
                <w:rFonts w:eastAsia="Times New Roman"/>
                <w:sz w:val="16"/>
                <w:szCs w:val="16"/>
              </w:rPr>
            </w:pPr>
            <w:r>
              <w:rPr>
                <w:rFonts w:eastAsia="Times New Roman"/>
                <w:sz w:val="16"/>
                <w:szCs w:val="16"/>
              </w:rPr>
              <w:t>2,978,533</w:t>
            </w:r>
          </w:p>
        </w:tc>
        <w:tc>
          <w:tcPr>
            <w:tcW w:w="550" w:type="pct"/>
            <w:shd w:val="clear" w:color="auto" w:fill="CCEEFF"/>
            <w:vAlign w:val="bottom"/>
            <w:hideMark/>
          </w:tcPr>
          <w:p w14:paraId="333641D5" w14:textId="77777777" w:rsidR="00000000" w:rsidRDefault="0053651E">
            <w:pPr>
              <w:jc w:val="right"/>
              <w:rPr>
                <w:rFonts w:eastAsia="Times New Roman"/>
                <w:sz w:val="16"/>
                <w:szCs w:val="16"/>
              </w:rPr>
            </w:pPr>
            <w:r>
              <w:rPr>
                <w:rFonts w:eastAsia="Times New Roman"/>
                <w:sz w:val="16"/>
                <w:szCs w:val="16"/>
              </w:rPr>
              <w:t>12,859,867</w:t>
            </w:r>
          </w:p>
        </w:tc>
        <w:tc>
          <w:tcPr>
            <w:tcW w:w="350" w:type="pct"/>
            <w:shd w:val="clear" w:color="auto" w:fill="CCEEFF"/>
            <w:vAlign w:val="bottom"/>
            <w:hideMark/>
          </w:tcPr>
          <w:p w14:paraId="438855A1" w14:textId="77777777" w:rsidR="00000000" w:rsidRDefault="0053651E">
            <w:pPr>
              <w:jc w:val="right"/>
              <w:rPr>
                <w:rFonts w:eastAsia="Times New Roman"/>
                <w:sz w:val="16"/>
                <w:szCs w:val="16"/>
              </w:rPr>
            </w:pPr>
            <w:r>
              <w:rPr>
                <w:rFonts w:eastAsia="Times New Roman"/>
                <w:sz w:val="16"/>
                <w:szCs w:val="16"/>
              </w:rPr>
              <w:t>558,592</w:t>
            </w:r>
          </w:p>
        </w:tc>
        <w:tc>
          <w:tcPr>
            <w:tcW w:w="300" w:type="pct"/>
            <w:shd w:val="clear" w:color="auto" w:fill="CCEEFF"/>
            <w:vAlign w:val="bottom"/>
            <w:hideMark/>
          </w:tcPr>
          <w:p w14:paraId="6049E5BE" w14:textId="77777777" w:rsidR="00000000" w:rsidRDefault="0053651E">
            <w:pPr>
              <w:jc w:val="right"/>
              <w:rPr>
                <w:rFonts w:eastAsia="Times New Roman"/>
                <w:sz w:val="16"/>
                <w:szCs w:val="16"/>
              </w:rPr>
            </w:pPr>
            <w:r>
              <w:rPr>
                <w:rFonts w:eastAsia="Times New Roman"/>
                <w:sz w:val="16"/>
                <w:szCs w:val="16"/>
              </w:rPr>
              <w:t>2,978,533</w:t>
            </w:r>
          </w:p>
        </w:tc>
        <w:tc>
          <w:tcPr>
            <w:tcW w:w="450" w:type="pct"/>
            <w:shd w:val="clear" w:color="auto" w:fill="CCEEFF"/>
            <w:vAlign w:val="bottom"/>
            <w:hideMark/>
          </w:tcPr>
          <w:p w14:paraId="0DFF8537" w14:textId="77777777" w:rsidR="00000000" w:rsidRDefault="0053651E">
            <w:pPr>
              <w:jc w:val="right"/>
              <w:rPr>
                <w:rFonts w:eastAsia="Times New Roman"/>
                <w:sz w:val="16"/>
                <w:szCs w:val="16"/>
              </w:rPr>
            </w:pPr>
            <w:r>
              <w:rPr>
                <w:rFonts w:eastAsia="Times New Roman"/>
                <w:sz w:val="16"/>
                <w:szCs w:val="16"/>
              </w:rPr>
              <w:t>13,418,459</w:t>
            </w:r>
          </w:p>
        </w:tc>
        <w:tc>
          <w:tcPr>
            <w:tcW w:w="350" w:type="pct"/>
            <w:shd w:val="clear" w:color="auto" w:fill="CCEEFF"/>
            <w:vAlign w:val="bottom"/>
            <w:hideMark/>
          </w:tcPr>
          <w:p w14:paraId="1EA644A2" w14:textId="77777777" w:rsidR="00000000" w:rsidRDefault="0053651E">
            <w:pPr>
              <w:jc w:val="right"/>
              <w:rPr>
                <w:rFonts w:eastAsia="Times New Roman"/>
                <w:sz w:val="16"/>
                <w:szCs w:val="16"/>
              </w:rPr>
            </w:pPr>
            <w:r>
              <w:rPr>
                <w:rFonts w:eastAsia="Times New Roman"/>
                <w:sz w:val="16"/>
                <w:szCs w:val="16"/>
              </w:rPr>
              <w:t>16,396,992</w:t>
            </w:r>
          </w:p>
        </w:tc>
        <w:tc>
          <w:tcPr>
            <w:tcW w:w="400" w:type="pct"/>
            <w:shd w:val="clear" w:color="auto" w:fill="CCEEFF"/>
            <w:vAlign w:val="bottom"/>
            <w:hideMark/>
          </w:tcPr>
          <w:p w14:paraId="6BA3B06C" w14:textId="77777777" w:rsidR="00000000" w:rsidRDefault="0053651E">
            <w:pPr>
              <w:jc w:val="right"/>
              <w:rPr>
                <w:rFonts w:eastAsia="Times New Roman"/>
                <w:sz w:val="16"/>
                <w:szCs w:val="16"/>
              </w:rPr>
            </w:pPr>
            <w:r>
              <w:rPr>
                <w:rFonts w:eastAsia="Times New Roman"/>
                <w:sz w:val="16"/>
                <w:szCs w:val="16"/>
              </w:rPr>
              <w:t>2,870,768</w:t>
            </w:r>
          </w:p>
        </w:tc>
        <w:tc>
          <w:tcPr>
            <w:tcW w:w="50" w:type="pct"/>
            <w:shd w:val="clear" w:color="auto" w:fill="CCEEFF"/>
            <w:vAlign w:val="bottom"/>
            <w:hideMark/>
          </w:tcPr>
          <w:p w14:paraId="01B41A9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56C05EA" w14:textId="77777777" w:rsidR="00000000" w:rsidRDefault="0053651E">
            <w:pPr>
              <w:jc w:val="right"/>
              <w:rPr>
                <w:rFonts w:eastAsia="Times New Roman"/>
                <w:sz w:val="16"/>
                <w:szCs w:val="16"/>
              </w:rPr>
            </w:pPr>
            <w:r>
              <w:rPr>
                <w:rFonts w:eastAsia="Times New Roman"/>
                <w:sz w:val="16"/>
                <w:szCs w:val="16"/>
              </w:rPr>
              <w:t>13,526,224</w:t>
            </w:r>
          </w:p>
        </w:tc>
        <w:tc>
          <w:tcPr>
            <w:tcW w:w="50" w:type="pct"/>
            <w:shd w:val="clear" w:color="auto" w:fill="CCEEFF"/>
            <w:vAlign w:val="bottom"/>
            <w:hideMark/>
          </w:tcPr>
          <w:p w14:paraId="4C2BC8A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6BDE67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E3F52B8"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5E231FC2" w14:textId="77777777">
        <w:trPr>
          <w:tblCellSpacing w:w="0" w:type="dxa"/>
        </w:trPr>
        <w:tc>
          <w:tcPr>
            <w:tcW w:w="50" w:type="pct"/>
            <w:shd w:val="clear" w:color="auto" w:fill="FFFFFF"/>
            <w:vAlign w:val="bottom"/>
            <w:hideMark/>
          </w:tcPr>
          <w:p w14:paraId="0D7D547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C1EE76D" w14:textId="77777777" w:rsidR="00000000" w:rsidRDefault="0053651E">
            <w:pPr>
              <w:pStyle w:val="a3"/>
              <w:spacing w:before="0" w:beforeAutospacing="0" w:after="0" w:afterAutospacing="0"/>
              <w:rPr>
                <w:sz w:val="16"/>
                <w:szCs w:val="16"/>
              </w:rPr>
            </w:pPr>
            <w:r>
              <w:rPr>
                <w:sz w:val="16"/>
                <w:szCs w:val="16"/>
              </w:rPr>
              <w:t>PARK PLACE SC</w:t>
            </w:r>
          </w:p>
        </w:tc>
        <w:tc>
          <w:tcPr>
            <w:tcW w:w="150" w:type="pct"/>
            <w:shd w:val="clear" w:color="auto" w:fill="FFFFFF"/>
            <w:vAlign w:val="bottom"/>
            <w:hideMark/>
          </w:tcPr>
          <w:p w14:paraId="68A0F3EC"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01BA8ED6" w14:textId="77777777" w:rsidR="00000000" w:rsidRDefault="0053651E">
            <w:pPr>
              <w:jc w:val="right"/>
              <w:rPr>
                <w:rFonts w:eastAsia="Times New Roman"/>
                <w:sz w:val="16"/>
                <w:szCs w:val="16"/>
              </w:rPr>
            </w:pPr>
            <w:r>
              <w:rPr>
                <w:rFonts w:eastAsia="Times New Roman"/>
                <w:sz w:val="16"/>
                <w:szCs w:val="16"/>
              </w:rPr>
              <w:t>5,461,478</w:t>
            </w:r>
          </w:p>
        </w:tc>
        <w:tc>
          <w:tcPr>
            <w:tcW w:w="550" w:type="pct"/>
            <w:shd w:val="clear" w:color="auto" w:fill="FFFFFF"/>
            <w:vAlign w:val="bottom"/>
            <w:hideMark/>
          </w:tcPr>
          <w:p w14:paraId="6D066302" w14:textId="77777777" w:rsidR="00000000" w:rsidRDefault="0053651E">
            <w:pPr>
              <w:jc w:val="right"/>
              <w:rPr>
                <w:rFonts w:eastAsia="Times New Roman"/>
                <w:sz w:val="16"/>
                <w:szCs w:val="16"/>
              </w:rPr>
            </w:pPr>
            <w:r>
              <w:rPr>
                <w:rFonts w:eastAsia="Times New Roman"/>
                <w:sz w:val="16"/>
                <w:szCs w:val="16"/>
              </w:rPr>
              <w:t>16,163,494</w:t>
            </w:r>
          </w:p>
        </w:tc>
        <w:tc>
          <w:tcPr>
            <w:tcW w:w="350" w:type="pct"/>
            <w:shd w:val="clear" w:color="auto" w:fill="FFFFFF"/>
            <w:vAlign w:val="bottom"/>
            <w:hideMark/>
          </w:tcPr>
          <w:p w14:paraId="29113792" w14:textId="77777777" w:rsidR="00000000" w:rsidRDefault="0053651E">
            <w:pPr>
              <w:jc w:val="right"/>
              <w:rPr>
                <w:rFonts w:eastAsia="Times New Roman"/>
                <w:sz w:val="16"/>
                <w:szCs w:val="16"/>
              </w:rPr>
            </w:pPr>
            <w:r>
              <w:rPr>
                <w:rFonts w:eastAsia="Times New Roman"/>
                <w:sz w:val="16"/>
                <w:szCs w:val="16"/>
              </w:rPr>
              <w:t>4,175,099</w:t>
            </w:r>
          </w:p>
        </w:tc>
        <w:tc>
          <w:tcPr>
            <w:tcW w:w="300" w:type="pct"/>
            <w:shd w:val="clear" w:color="auto" w:fill="FFFFFF"/>
            <w:vAlign w:val="bottom"/>
            <w:hideMark/>
          </w:tcPr>
          <w:p w14:paraId="148D9F8D" w14:textId="77777777" w:rsidR="00000000" w:rsidRDefault="0053651E">
            <w:pPr>
              <w:jc w:val="right"/>
              <w:rPr>
                <w:rFonts w:eastAsia="Times New Roman"/>
                <w:sz w:val="16"/>
                <w:szCs w:val="16"/>
              </w:rPr>
            </w:pPr>
            <w:r>
              <w:rPr>
                <w:rFonts w:eastAsia="Times New Roman"/>
                <w:sz w:val="16"/>
                <w:szCs w:val="16"/>
              </w:rPr>
              <w:t>5,469,809</w:t>
            </w:r>
          </w:p>
        </w:tc>
        <w:tc>
          <w:tcPr>
            <w:tcW w:w="450" w:type="pct"/>
            <w:shd w:val="clear" w:color="auto" w:fill="FFFFFF"/>
            <w:vAlign w:val="bottom"/>
            <w:hideMark/>
          </w:tcPr>
          <w:p w14:paraId="182EB0F4" w14:textId="77777777" w:rsidR="00000000" w:rsidRDefault="0053651E">
            <w:pPr>
              <w:jc w:val="right"/>
              <w:rPr>
                <w:rFonts w:eastAsia="Times New Roman"/>
                <w:sz w:val="16"/>
                <w:szCs w:val="16"/>
              </w:rPr>
            </w:pPr>
            <w:r>
              <w:rPr>
                <w:rFonts w:eastAsia="Times New Roman"/>
                <w:sz w:val="16"/>
                <w:szCs w:val="16"/>
              </w:rPr>
              <w:t>20,330,262</w:t>
            </w:r>
          </w:p>
        </w:tc>
        <w:tc>
          <w:tcPr>
            <w:tcW w:w="350" w:type="pct"/>
            <w:shd w:val="clear" w:color="auto" w:fill="FFFFFF"/>
            <w:vAlign w:val="bottom"/>
            <w:hideMark/>
          </w:tcPr>
          <w:p w14:paraId="5247341E" w14:textId="77777777" w:rsidR="00000000" w:rsidRDefault="0053651E">
            <w:pPr>
              <w:jc w:val="right"/>
              <w:rPr>
                <w:rFonts w:eastAsia="Times New Roman"/>
                <w:sz w:val="16"/>
                <w:szCs w:val="16"/>
              </w:rPr>
            </w:pPr>
            <w:r>
              <w:rPr>
                <w:rFonts w:eastAsia="Times New Roman"/>
                <w:sz w:val="16"/>
                <w:szCs w:val="16"/>
              </w:rPr>
              <w:t>25,800,071</w:t>
            </w:r>
          </w:p>
        </w:tc>
        <w:tc>
          <w:tcPr>
            <w:tcW w:w="400" w:type="pct"/>
            <w:shd w:val="clear" w:color="auto" w:fill="FFFFFF"/>
            <w:vAlign w:val="bottom"/>
            <w:hideMark/>
          </w:tcPr>
          <w:p w14:paraId="10A73493" w14:textId="77777777" w:rsidR="00000000" w:rsidRDefault="0053651E">
            <w:pPr>
              <w:jc w:val="right"/>
              <w:rPr>
                <w:rFonts w:eastAsia="Times New Roman"/>
                <w:sz w:val="16"/>
                <w:szCs w:val="16"/>
              </w:rPr>
            </w:pPr>
            <w:r>
              <w:rPr>
                <w:rFonts w:eastAsia="Times New Roman"/>
                <w:sz w:val="16"/>
                <w:szCs w:val="16"/>
              </w:rPr>
              <w:t>7,536,466</w:t>
            </w:r>
          </w:p>
        </w:tc>
        <w:tc>
          <w:tcPr>
            <w:tcW w:w="50" w:type="pct"/>
            <w:shd w:val="clear" w:color="auto" w:fill="FFFFFF"/>
            <w:vAlign w:val="bottom"/>
            <w:hideMark/>
          </w:tcPr>
          <w:p w14:paraId="79989E6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F02B02F" w14:textId="77777777" w:rsidR="00000000" w:rsidRDefault="0053651E">
            <w:pPr>
              <w:jc w:val="right"/>
              <w:rPr>
                <w:rFonts w:eastAsia="Times New Roman"/>
                <w:sz w:val="16"/>
                <w:szCs w:val="16"/>
              </w:rPr>
            </w:pPr>
            <w:r>
              <w:rPr>
                <w:rFonts w:eastAsia="Times New Roman"/>
                <w:sz w:val="16"/>
                <w:szCs w:val="16"/>
              </w:rPr>
              <w:t>18,263,605</w:t>
            </w:r>
          </w:p>
        </w:tc>
        <w:tc>
          <w:tcPr>
            <w:tcW w:w="50" w:type="pct"/>
            <w:shd w:val="clear" w:color="auto" w:fill="FFFFFF"/>
            <w:vAlign w:val="bottom"/>
            <w:hideMark/>
          </w:tcPr>
          <w:p w14:paraId="552DED3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DF13CD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AB85F0D"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4081F925" w14:textId="77777777">
        <w:trPr>
          <w:tblCellSpacing w:w="0" w:type="dxa"/>
        </w:trPr>
        <w:tc>
          <w:tcPr>
            <w:tcW w:w="50" w:type="pct"/>
            <w:shd w:val="clear" w:color="auto" w:fill="CCEEFF"/>
            <w:vAlign w:val="bottom"/>
            <w:hideMark/>
          </w:tcPr>
          <w:p w14:paraId="04862B8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A3F6EB2" w14:textId="77777777" w:rsidR="00000000" w:rsidRDefault="0053651E">
            <w:pPr>
              <w:pStyle w:val="a3"/>
              <w:spacing w:before="0" w:beforeAutospacing="0" w:after="0" w:afterAutospacing="0"/>
              <w:rPr>
                <w:sz w:val="16"/>
                <w:szCs w:val="16"/>
              </w:rPr>
            </w:pPr>
            <w:r>
              <w:rPr>
                <w:sz w:val="16"/>
                <w:szCs w:val="16"/>
              </w:rPr>
              <w:t>MOORESVILLE CROSSING</w:t>
            </w:r>
          </w:p>
        </w:tc>
        <w:tc>
          <w:tcPr>
            <w:tcW w:w="150" w:type="pct"/>
            <w:shd w:val="clear" w:color="auto" w:fill="CCEEFF"/>
            <w:vAlign w:val="bottom"/>
            <w:hideMark/>
          </w:tcPr>
          <w:p w14:paraId="5E86680C"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655275D7" w14:textId="77777777" w:rsidR="00000000" w:rsidRDefault="0053651E">
            <w:pPr>
              <w:jc w:val="right"/>
              <w:rPr>
                <w:rFonts w:eastAsia="Times New Roman"/>
                <w:sz w:val="16"/>
                <w:szCs w:val="16"/>
              </w:rPr>
            </w:pPr>
            <w:r>
              <w:rPr>
                <w:rFonts w:eastAsia="Times New Roman"/>
                <w:sz w:val="16"/>
                <w:szCs w:val="16"/>
              </w:rPr>
              <w:t>12,013,727</w:t>
            </w:r>
          </w:p>
        </w:tc>
        <w:tc>
          <w:tcPr>
            <w:tcW w:w="550" w:type="pct"/>
            <w:shd w:val="clear" w:color="auto" w:fill="CCEEFF"/>
            <w:vAlign w:val="bottom"/>
            <w:hideMark/>
          </w:tcPr>
          <w:p w14:paraId="277F9F03" w14:textId="77777777" w:rsidR="00000000" w:rsidRDefault="0053651E">
            <w:pPr>
              <w:jc w:val="right"/>
              <w:rPr>
                <w:rFonts w:eastAsia="Times New Roman"/>
                <w:sz w:val="16"/>
                <w:szCs w:val="16"/>
              </w:rPr>
            </w:pPr>
            <w:r>
              <w:rPr>
                <w:rFonts w:eastAsia="Times New Roman"/>
                <w:sz w:val="16"/>
                <w:szCs w:val="16"/>
              </w:rPr>
              <w:t>30,604,173</w:t>
            </w:r>
          </w:p>
        </w:tc>
        <w:tc>
          <w:tcPr>
            <w:tcW w:w="350" w:type="pct"/>
            <w:shd w:val="clear" w:color="auto" w:fill="CCEEFF"/>
            <w:vAlign w:val="bottom"/>
            <w:hideMark/>
          </w:tcPr>
          <w:p w14:paraId="6603EAC3" w14:textId="77777777" w:rsidR="00000000" w:rsidRDefault="0053651E">
            <w:pPr>
              <w:jc w:val="right"/>
              <w:rPr>
                <w:rFonts w:eastAsia="Times New Roman"/>
                <w:sz w:val="16"/>
                <w:szCs w:val="16"/>
              </w:rPr>
            </w:pPr>
            <w:r>
              <w:rPr>
                <w:rFonts w:eastAsia="Times New Roman"/>
                <w:sz w:val="16"/>
                <w:szCs w:val="16"/>
              </w:rPr>
              <w:t>531,732</w:t>
            </w:r>
          </w:p>
        </w:tc>
        <w:tc>
          <w:tcPr>
            <w:tcW w:w="300" w:type="pct"/>
            <w:shd w:val="clear" w:color="auto" w:fill="CCEEFF"/>
            <w:vAlign w:val="bottom"/>
            <w:hideMark/>
          </w:tcPr>
          <w:p w14:paraId="3F522F47" w14:textId="77777777" w:rsidR="00000000" w:rsidRDefault="0053651E">
            <w:pPr>
              <w:jc w:val="right"/>
              <w:rPr>
                <w:rFonts w:eastAsia="Times New Roman"/>
                <w:sz w:val="16"/>
                <w:szCs w:val="16"/>
              </w:rPr>
            </w:pPr>
            <w:r>
              <w:rPr>
                <w:rFonts w:eastAsia="Times New Roman"/>
                <w:sz w:val="16"/>
                <w:szCs w:val="16"/>
              </w:rPr>
              <w:t>11,625,801</w:t>
            </w:r>
          </w:p>
        </w:tc>
        <w:tc>
          <w:tcPr>
            <w:tcW w:w="450" w:type="pct"/>
            <w:shd w:val="clear" w:color="auto" w:fill="CCEEFF"/>
            <w:vAlign w:val="bottom"/>
            <w:hideMark/>
          </w:tcPr>
          <w:p w14:paraId="4EEC9AF9" w14:textId="77777777" w:rsidR="00000000" w:rsidRDefault="0053651E">
            <w:pPr>
              <w:jc w:val="right"/>
              <w:rPr>
                <w:rFonts w:eastAsia="Times New Roman"/>
                <w:sz w:val="16"/>
                <w:szCs w:val="16"/>
              </w:rPr>
            </w:pPr>
            <w:r>
              <w:rPr>
                <w:rFonts w:eastAsia="Times New Roman"/>
                <w:sz w:val="16"/>
                <w:szCs w:val="16"/>
              </w:rPr>
              <w:t>31,523,831</w:t>
            </w:r>
          </w:p>
        </w:tc>
        <w:tc>
          <w:tcPr>
            <w:tcW w:w="350" w:type="pct"/>
            <w:shd w:val="clear" w:color="auto" w:fill="CCEEFF"/>
            <w:vAlign w:val="bottom"/>
            <w:hideMark/>
          </w:tcPr>
          <w:p w14:paraId="660216AD" w14:textId="77777777" w:rsidR="00000000" w:rsidRDefault="0053651E">
            <w:pPr>
              <w:jc w:val="right"/>
              <w:rPr>
                <w:rFonts w:eastAsia="Times New Roman"/>
                <w:sz w:val="16"/>
                <w:szCs w:val="16"/>
              </w:rPr>
            </w:pPr>
            <w:r>
              <w:rPr>
                <w:rFonts w:eastAsia="Times New Roman"/>
                <w:sz w:val="16"/>
                <w:szCs w:val="16"/>
              </w:rPr>
              <w:t>43,149,632</w:t>
            </w:r>
          </w:p>
        </w:tc>
        <w:tc>
          <w:tcPr>
            <w:tcW w:w="400" w:type="pct"/>
            <w:shd w:val="clear" w:color="auto" w:fill="CCEEFF"/>
            <w:vAlign w:val="bottom"/>
            <w:hideMark/>
          </w:tcPr>
          <w:p w14:paraId="792CCAFA" w14:textId="77777777" w:rsidR="00000000" w:rsidRDefault="0053651E">
            <w:pPr>
              <w:jc w:val="right"/>
              <w:rPr>
                <w:rFonts w:eastAsia="Times New Roman"/>
                <w:sz w:val="16"/>
                <w:szCs w:val="16"/>
              </w:rPr>
            </w:pPr>
            <w:r>
              <w:rPr>
                <w:rFonts w:eastAsia="Times New Roman"/>
                <w:sz w:val="16"/>
                <w:szCs w:val="16"/>
              </w:rPr>
              <w:t>12,597,563</w:t>
            </w:r>
          </w:p>
        </w:tc>
        <w:tc>
          <w:tcPr>
            <w:tcW w:w="50" w:type="pct"/>
            <w:shd w:val="clear" w:color="auto" w:fill="CCEEFF"/>
            <w:vAlign w:val="bottom"/>
            <w:hideMark/>
          </w:tcPr>
          <w:p w14:paraId="4673DAB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59BAA06" w14:textId="77777777" w:rsidR="00000000" w:rsidRDefault="0053651E">
            <w:pPr>
              <w:jc w:val="right"/>
              <w:rPr>
                <w:rFonts w:eastAsia="Times New Roman"/>
                <w:sz w:val="16"/>
                <w:szCs w:val="16"/>
              </w:rPr>
            </w:pPr>
            <w:r>
              <w:rPr>
                <w:rFonts w:eastAsia="Times New Roman"/>
                <w:sz w:val="16"/>
                <w:szCs w:val="16"/>
              </w:rPr>
              <w:t>30,552,069</w:t>
            </w:r>
          </w:p>
        </w:tc>
        <w:tc>
          <w:tcPr>
            <w:tcW w:w="50" w:type="pct"/>
            <w:shd w:val="clear" w:color="auto" w:fill="CCEEFF"/>
            <w:vAlign w:val="bottom"/>
            <w:hideMark/>
          </w:tcPr>
          <w:p w14:paraId="1FD6A3D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857312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405E07E"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383A03B8" w14:textId="77777777">
        <w:trPr>
          <w:tblCellSpacing w:w="0" w:type="dxa"/>
        </w:trPr>
        <w:tc>
          <w:tcPr>
            <w:tcW w:w="50" w:type="pct"/>
            <w:shd w:val="clear" w:color="auto" w:fill="FFFFFF"/>
            <w:vAlign w:val="bottom"/>
            <w:hideMark/>
          </w:tcPr>
          <w:p w14:paraId="553FE33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EFBDE71" w14:textId="77777777" w:rsidR="00000000" w:rsidRDefault="0053651E">
            <w:pPr>
              <w:pStyle w:val="a3"/>
              <w:spacing w:before="0" w:beforeAutospacing="0" w:after="0" w:afterAutospacing="0"/>
              <w:rPr>
                <w:sz w:val="16"/>
                <w:szCs w:val="16"/>
              </w:rPr>
            </w:pPr>
            <w:r>
              <w:rPr>
                <w:sz w:val="16"/>
                <w:szCs w:val="16"/>
              </w:rPr>
              <w:t>PLEASANT VALLEY PROMENADE</w:t>
            </w:r>
          </w:p>
        </w:tc>
        <w:tc>
          <w:tcPr>
            <w:tcW w:w="150" w:type="pct"/>
            <w:shd w:val="clear" w:color="auto" w:fill="FFFFFF"/>
            <w:vAlign w:val="bottom"/>
            <w:hideMark/>
          </w:tcPr>
          <w:p w14:paraId="6F915064"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34C60723" w14:textId="77777777" w:rsidR="00000000" w:rsidRDefault="0053651E">
            <w:pPr>
              <w:jc w:val="right"/>
              <w:rPr>
                <w:rFonts w:eastAsia="Times New Roman"/>
                <w:sz w:val="16"/>
                <w:szCs w:val="16"/>
              </w:rPr>
            </w:pPr>
            <w:r>
              <w:rPr>
                <w:rFonts w:eastAsia="Times New Roman"/>
                <w:sz w:val="16"/>
                <w:szCs w:val="16"/>
              </w:rPr>
              <w:t>5,208,885</w:t>
            </w:r>
          </w:p>
        </w:tc>
        <w:tc>
          <w:tcPr>
            <w:tcW w:w="550" w:type="pct"/>
            <w:shd w:val="clear" w:color="auto" w:fill="FFFFFF"/>
            <w:vAlign w:val="bottom"/>
            <w:hideMark/>
          </w:tcPr>
          <w:p w14:paraId="2C0C9877" w14:textId="77777777" w:rsidR="00000000" w:rsidRDefault="0053651E">
            <w:pPr>
              <w:jc w:val="right"/>
              <w:rPr>
                <w:rFonts w:eastAsia="Times New Roman"/>
                <w:sz w:val="16"/>
                <w:szCs w:val="16"/>
              </w:rPr>
            </w:pPr>
            <w:r>
              <w:rPr>
                <w:rFonts w:eastAsia="Times New Roman"/>
                <w:sz w:val="16"/>
                <w:szCs w:val="16"/>
              </w:rPr>
              <w:t>20,885,792</w:t>
            </w:r>
          </w:p>
        </w:tc>
        <w:tc>
          <w:tcPr>
            <w:tcW w:w="350" w:type="pct"/>
            <w:shd w:val="clear" w:color="auto" w:fill="FFFFFF"/>
            <w:vAlign w:val="bottom"/>
            <w:hideMark/>
          </w:tcPr>
          <w:p w14:paraId="7A41E365" w14:textId="77777777" w:rsidR="00000000" w:rsidRDefault="0053651E">
            <w:pPr>
              <w:jc w:val="right"/>
              <w:rPr>
                <w:rFonts w:eastAsia="Times New Roman"/>
                <w:sz w:val="16"/>
                <w:szCs w:val="16"/>
              </w:rPr>
            </w:pPr>
            <w:r>
              <w:rPr>
                <w:rFonts w:eastAsia="Times New Roman"/>
                <w:sz w:val="16"/>
                <w:szCs w:val="16"/>
              </w:rPr>
              <w:t>22,010,083</w:t>
            </w:r>
          </w:p>
        </w:tc>
        <w:tc>
          <w:tcPr>
            <w:tcW w:w="300" w:type="pct"/>
            <w:shd w:val="clear" w:color="auto" w:fill="FFFFFF"/>
            <w:vAlign w:val="bottom"/>
            <w:hideMark/>
          </w:tcPr>
          <w:p w14:paraId="4CBD958C" w14:textId="77777777" w:rsidR="00000000" w:rsidRDefault="0053651E">
            <w:pPr>
              <w:jc w:val="right"/>
              <w:rPr>
                <w:rFonts w:eastAsia="Times New Roman"/>
                <w:sz w:val="16"/>
                <w:szCs w:val="16"/>
              </w:rPr>
            </w:pPr>
            <w:r>
              <w:rPr>
                <w:rFonts w:eastAsia="Times New Roman"/>
                <w:sz w:val="16"/>
                <w:szCs w:val="16"/>
              </w:rPr>
              <w:t>5,208,885</w:t>
            </w:r>
          </w:p>
        </w:tc>
        <w:tc>
          <w:tcPr>
            <w:tcW w:w="450" w:type="pct"/>
            <w:shd w:val="clear" w:color="auto" w:fill="FFFFFF"/>
            <w:vAlign w:val="bottom"/>
            <w:hideMark/>
          </w:tcPr>
          <w:p w14:paraId="201EFF71" w14:textId="77777777" w:rsidR="00000000" w:rsidRDefault="0053651E">
            <w:pPr>
              <w:jc w:val="right"/>
              <w:rPr>
                <w:rFonts w:eastAsia="Times New Roman"/>
                <w:sz w:val="16"/>
                <w:szCs w:val="16"/>
              </w:rPr>
            </w:pPr>
            <w:r>
              <w:rPr>
                <w:rFonts w:eastAsia="Times New Roman"/>
                <w:sz w:val="16"/>
                <w:szCs w:val="16"/>
              </w:rPr>
              <w:t>42,895,875</w:t>
            </w:r>
          </w:p>
        </w:tc>
        <w:tc>
          <w:tcPr>
            <w:tcW w:w="350" w:type="pct"/>
            <w:shd w:val="clear" w:color="auto" w:fill="FFFFFF"/>
            <w:vAlign w:val="bottom"/>
            <w:hideMark/>
          </w:tcPr>
          <w:p w14:paraId="603A54E3" w14:textId="77777777" w:rsidR="00000000" w:rsidRDefault="0053651E">
            <w:pPr>
              <w:jc w:val="right"/>
              <w:rPr>
                <w:rFonts w:eastAsia="Times New Roman"/>
                <w:sz w:val="16"/>
                <w:szCs w:val="16"/>
              </w:rPr>
            </w:pPr>
            <w:r>
              <w:rPr>
                <w:rFonts w:eastAsia="Times New Roman"/>
                <w:sz w:val="16"/>
                <w:szCs w:val="16"/>
              </w:rPr>
              <w:t>48,104,760</w:t>
            </w:r>
          </w:p>
        </w:tc>
        <w:tc>
          <w:tcPr>
            <w:tcW w:w="400" w:type="pct"/>
            <w:shd w:val="clear" w:color="auto" w:fill="FFFFFF"/>
            <w:vAlign w:val="bottom"/>
            <w:hideMark/>
          </w:tcPr>
          <w:p w14:paraId="38D76334" w14:textId="77777777" w:rsidR="00000000" w:rsidRDefault="0053651E">
            <w:pPr>
              <w:jc w:val="right"/>
              <w:rPr>
                <w:rFonts w:eastAsia="Times New Roman"/>
                <w:sz w:val="16"/>
                <w:szCs w:val="16"/>
              </w:rPr>
            </w:pPr>
            <w:r>
              <w:rPr>
                <w:rFonts w:eastAsia="Times New Roman"/>
                <w:sz w:val="16"/>
                <w:szCs w:val="16"/>
              </w:rPr>
              <w:t>21,500,267</w:t>
            </w:r>
          </w:p>
        </w:tc>
        <w:tc>
          <w:tcPr>
            <w:tcW w:w="50" w:type="pct"/>
            <w:shd w:val="clear" w:color="auto" w:fill="FFFFFF"/>
            <w:vAlign w:val="bottom"/>
            <w:hideMark/>
          </w:tcPr>
          <w:p w14:paraId="3A059A7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40348CF" w14:textId="77777777" w:rsidR="00000000" w:rsidRDefault="0053651E">
            <w:pPr>
              <w:jc w:val="right"/>
              <w:rPr>
                <w:rFonts w:eastAsia="Times New Roman"/>
                <w:sz w:val="16"/>
                <w:szCs w:val="16"/>
              </w:rPr>
            </w:pPr>
            <w:r>
              <w:rPr>
                <w:rFonts w:eastAsia="Times New Roman"/>
                <w:sz w:val="16"/>
                <w:szCs w:val="16"/>
              </w:rPr>
              <w:t>26,604,493</w:t>
            </w:r>
          </w:p>
        </w:tc>
        <w:tc>
          <w:tcPr>
            <w:tcW w:w="50" w:type="pct"/>
            <w:shd w:val="clear" w:color="auto" w:fill="FFFFFF"/>
            <w:vAlign w:val="bottom"/>
            <w:hideMark/>
          </w:tcPr>
          <w:p w14:paraId="0D0CD98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1030AC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CC26218" w14:textId="77777777" w:rsidR="00000000" w:rsidRDefault="0053651E">
            <w:pPr>
              <w:pStyle w:val="a3"/>
              <w:spacing w:before="0" w:beforeAutospacing="0" w:after="0" w:afterAutospacing="0"/>
              <w:jc w:val="center"/>
              <w:rPr>
                <w:sz w:val="16"/>
                <w:szCs w:val="16"/>
              </w:rPr>
            </w:pPr>
            <w:r>
              <w:rPr>
                <w:rStyle w:val="a6"/>
                <w:i w:val="0"/>
                <w:iCs w:val="0"/>
                <w:sz w:val="16"/>
                <w:szCs w:val="16"/>
              </w:rPr>
              <w:t>1993(A)</w:t>
            </w:r>
          </w:p>
        </w:tc>
      </w:tr>
      <w:tr w:rsidR="00000000" w14:paraId="7F9EE32A" w14:textId="77777777">
        <w:trPr>
          <w:tblCellSpacing w:w="0" w:type="dxa"/>
        </w:trPr>
        <w:tc>
          <w:tcPr>
            <w:tcW w:w="50" w:type="pct"/>
            <w:shd w:val="clear" w:color="auto" w:fill="CCEEFF"/>
            <w:vAlign w:val="bottom"/>
            <w:hideMark/>
          </w:tcPr>
          <w:p w14:paraId="24AD6AE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BEA2D0E" w14:textId="77777777" w:rsidR="00000000" w:rsidRDefault="0053651E">
            <w:pPr>
              <w:pStyle w:val="a3"/>
              <w:spacing w:before="0" w:beforeAutospacing="0" w:after="0" w:afterAutospacing="0"/>
              <w:rPr>
                <w:sz w:val="16"/>
                <w:szCs w:val="16"/>
              </w:rPr>
            </w:pPr>
            <w:r>
              <w:rPr>
                <w:sz w:val="16"/>
                <w:szCs w:val="16"/>
              </w:rPr>
              <w:t>BRENNAN STATION</w:t>
            </w:r>
          </w:p>
        </w:tc>
        <w:tc>
          <w:tcPr>
            <w:tcW w:w="150" w:type="pct"/>
            <w:shd w:val="clear" w:color="auto" w:fill="CCEEFF"/>
            <w:vAlign w:val="bottom"/>
            <w:hideMark/>
          </w:tcPr>
          <w:p w14:paraId="51CF3A77"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1602D2E8" w14:textId="77777777" w:rsidR="00000000" w:rsidRDefault="0053651E">
            <w:pPr>
              <w:jc w:val="right"/>
              <w:rPr>
                <w:rFonts w:eastAsia="Times New Roman"/>
                <w:sz w:val="16"/>
                <w:szCs w:val="16"/>
              </w:rPr>
            </w:pPr>
            <w:r>
              <w:rPr>
                <w:rFonts w:eastAsia="Times New Roman"/>
                <w:sz w:val="16"/>
                <w:szCs w:val="16"/>
              </w:rPr>
              <w:t>7,749,751</w:t>
            </w:r>
          </w:p>
        </w:tc>
        <w:tc>
          <w:tcPr>
            <w:tcW w:w="550" w:type="pct"/>
            <w:shd w:val="clear" w:color="auto" w:fill="CCEEFF"/>
            <w:vAlign w:val="bottom"/>
            <w:hideMark/>
          </w:tcPr>
          <w:p w14:paraId="0561C26F" w14:textId="77777777" w:rsidR="00000000" w:rsidRDefault="0053651E">
            <w:pPr>
              <w:jc w:val="right"/>
              <w:rPr>
                <w:rFonts w:eastAsia="Times New Roman"/>
                <w:sz w:val="16"/>
                <w:szCs w:val="16"/>
              </w:rPr>
            </w:pPr>
            <w:r>
              <w:rPr>
                <w:rFonts w:eastAsia="Times New Roman"/>
                <w:sz w:val="16"/>
                <w:szCs w:val="16"/>
              </w:rPr>
              <w:t>20,556,891</w:t>
            </w:r>
          </w:p>
        </w:tc>
        <w:tc>
          <w:tcPr>
            <w:tcW w:w="350" w:type="pct"/>
            <w:shd w:val="clear" w:color="auto" w:fill="CCEEFF"/>
            <w:vAlign w:val="bottom"/>
            <w:hideMark/>
          </w:tcPr>
          <w:p w14:paraId="126CDFFD" w14:textId="77777777" w:rsidR="00000000" w:rsidRDefault="0053651E">
            <w:pPr>
              <w:jc w:val="right"/>
              <w:rPr>
                <w:rFonts w:eastAsia="Times New Roman"/>
                <w:sz w:val="16"/>
                <w:szCs w:val="16"/>
              </w:rPr>
            </w:pPr>
            <w:r>
              <w:rPr>
                <w:rFonts w:eastAsia="Times New Roman"/>
                <w:sz w:val="16"/>
                <w:szCs w:val="16"/>
              </w:rPr>
              <w:t>(327,874)</w:t>
            </w:r>
          </w:p>
        </w:tc>
        <w:tc>
          <w:tcPr>
            <w:tcW w:w="300" w:type="pct"/>
            <w:shd w:val="clear" w:color="auto" w:fill="CCEEFF"/>
            <w:vAlign w:val="bottom"/>
            <w:hideMark/>
          </w:tcPr>
          <w:p w14:paraId="75D9A135" w14:textId="77777777" w:rsidR="00000000" w:rsidRDefault="0053651E">
            <w:pPr>
              <w:jc w:val="right"/>
              <w:rPr>
                <w:rFonts w:eastAsia="Times New Roman"/>
                <w:sz w:val="16"/>
                <w:szCs w:val="16"/>
              </w:rPr>
            </w:pPr>
            <w:r>
              <w:rPr>
                <w:rFonts w:eastAsia="Times New Roman"/>
                <w:sz w:val="16"/>
                <w:szCs w:val="16"/>
              </w:rPr>
              <w:t>6,321,923</w:t>
            </w:r>
          </w:p>
        </w:tc>
        <w:tc>
          <w:tcPr>
            <w:tcW w:w="450" w:type="pct"/>
            <w:shd w:val="clear" w:color="auto" w:fill="CCEEFF"/>
            <w:vAlign w:val="bottom"/>
            <w:hideMark/>
          </w:tcPr>
          <w:p w14:paraId="390A6637" w14:textId="77777777" w:rsidR="00000000" w:rsidRDefault="0053651E">
            <w:pPr>
              <w:jc w:val="right"/>
              <w:rPr>
                <w:rFonts w:eastAsia="Times New Roman"/>
                <w:sz w:val="16"/>
                <w:szCs w:val="16"/>
              </w:rPr>
            </w:pPr>
            <w:r>
              <w:rPr>
                <w:rFonts w:eastAsia="Times New Roman"/>
                <w:sz w:val="16"/>
                <w:szCs w:val="16"/>
              </w:rPr>
              <w:t>21,656,845</w:t>
            </w:r>
          </w:p>
        </w:tc>
        <w:tc>
          <w:tcPr>
            <w:tcW w:w="350" w:type="pct"/>
            <w:shd w:val="clear" w:color="auto" w:fill="CCEEFF"/>
            <w:vAlign w:val="bottom"/>
            <w:hideMark/>
          </w:tcPr>
          <w:p w14:paraId="5F001E7A" w14:textId="77777777" w:rsidR="00000000" w:rsidRDefault="0053651E">
            <w:pPr>
              <w:jc w:val="right"/>
              <w:rPr>
                <w:rFonts w:eastAsia="Times New Roman"/>
                <w:sz w:val="16"/>
                <w:szCs w:val="16"/>
              </w:rPr>
            </w:pPr>
            <w:r>
              <w:rPr>
                <w:rFonts w:eastAsia="Times New Roman"/>
                <w:sz w:val="16"/>
                <w:szCs w:val="16"/>
              </w:rPr>
              <w:t>27,978,768</w:t>
            </w:r>
          </w:p>
        </w:tc>
        <w:tc>
          <w:tcPr>
            <w:tcW w:w="400" w:type="pct"/>
            <w:shd w:val="clear" w:color="auto" w:fill="CCEEFF"/>
            <w:vAlign w:val="bottom"/>
            <w:hideMark/>
          </w:tcPr>
          <w:p w14:paraId="229E07A3" w14:textId="77777777" w:rsidR="00000000" w:rsidRDefault="0053651E">
            <w:pPr>
              <w:jc w:val="right"/>
              <w:rPr>
                <w:rFonts w:eastAsia="Times New Roman"/>
                <w:sz w:val="16"/>
                <w:szCs w:val="16"/>
              </w:rPr>
            </w:pPr>
            <w:r>
              <w:rPr>
                <w:rFonts w:eastAsia="Times New Roman"/>
                <w:sz w:val="16"/>
                <w:szCs w:val="16"/>
              </w:rPr>
              <w:t>6,222,776</w:t>
            </w:r>
          </w:p>
        </w:tc>
        <w:tc>
          <w:tcPr>
            <w:tcW w:w="50" w:type="pct"/>
            <w:shd w:val="clear" w:color="auto" w:fill="CCEEFF"/>
            <w:vAlign w:val="bottom"/>
            <w:hideMark/>
          </w:tcPr>
          <w:p w14:paraId="2397BF7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F9954D5" w14:textId="77777777" w:rsidR="00000000" w:rsidRDefault="0053651E">
            <w:pPr>
              <w:jc w:val="right"/>
              <w:rPr>
                <w:rFonts w:eastAsia="Times New Roman"/>
                <w:sz w:val="16"/>
                <w:szCs w:val="16"/>
              </w:rPr>
            </w:pPr>
            <w:r>
              <w:rPr>
                <w:rFonts w:eastAsia="Times New Roman"/>
                <w:sz w:val="16"/>
                <w:szCs w:val="16"/>
              </w:rPr>
              <w:t>21,755,992</w:t>
            </w:r>
          </w:p>
        </w:tc>
        <w:tc>
          <w:tcPr>
            <w:tcW w:w="50" w:type="pct"/>
            <w:shd w:val="clear" w:color="auto" w:fill="CCEEFF"/>
            <w:vAlign w:val="bottom"/>
            <w:hideMark/>
          </w:tcPr>
          <w:p w14:paraId="08583AF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BDB939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1B9CA9D"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3520A013" w14:textId="77777777">
        <w:trPr>
          <w:tblCellSpacing w:w="0" w:type="dxa"/>
        </w:trPr>
        <w:tc>
          <w:tcPr>
            <w:tcW w:w="50" w:type="pct"/>
            <w:shd w:val="clear" w:color="auto" w:fill="FFFFFF"/>
            <w:vAlign w:val="bottom"/>
            <w:hideMark/>
          </w:tcPr>
          <w:p w14:paraId="0D7DC57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D0CF571" w14:textId="77777777" w:rsidR="00000000" w:rsidRDefault="0053651E">
            <w:pPr>
              <w:pStyle w:val="a3"/>
              <w:spacing w:before="0" w:beforeAutospacing="0" w:after="0" w:afterAutospacing="0"/>
              <w:rPr>
                <w:sz w:val="16"/>
                <w:szCs w:val="16"/>
              </w:rPr>
            </w:pPr>
            <w:r>
              <w:rPr>
                <w:sz w:val="16"/>
                <w:szCs w:val="16"/>
              </w:rPr>
              <w:t>BRENNAN STATION OUTPARCEL</w:t>
            </w:r>
          </w:p>
        </w:tc>
        <w:tc>
          <w:tcPr>
            <w:tcW w:w="150" w:type="pct"/>
            <w:shd w:val="clear" w:color="auto" w:fill="FFFFFF"/>
            <w:vAlign w:val="bottom"/>
            <w:hideMark/>
          </w:tcPr>
          <w:p w14:paraId="6530C504"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1B0329E9" w14:textId="77777777" w:rsidR="00000000" w:rsidRDefault="0053651E">
            <w:pPr>
              <w:jc w:val="right"/>
              <w:rPr>
                <w:rFonts w:eastAsia="Times New Roman"/>
                <w:sz w:val="16"/>
                <w:szCs w:val="16"/>
              </w:rPr>
            </w:pPr>
            <w:r>
              <w:rPr>
                <w:rFonts w:eastAsia="Times New Roman"/>
                <w:sz w:val="16"/>
                <w:szCs w:val="16"/>
              </w:rPr>
              <w:t>627,906</w:t>
            </w:r>
          </w:p>
        </w:tc>
        <w:tc>
          <w:tcPr>
            <w:tcW w:w="550" w:type="pct"/>
            <w:shd w:val="clear" w:color="auto" w:fill="FFFFFF"/>
            <w:vAlign w:val="bottom"/>
            <w:hideMark/>
          </w:tcPr>
          <w:p w14:paraId="636B81FF" w14:textId="77777777" w:rsidR="00000000" w:rsidRDefault="0053651E">
            <w:pPr>
              <w:jc w:val="right"/>
              <w:rPr>
                <w:rFonts w:eastAsia="Times New Roman"/>
                <w:sz w:val="16"/>
                <w:szCs w:val="16"/>
              </w:rPr>
            </w:pPr>
            <w:r>
              <w:rPr>
                <w:rFonts w:eastAsia="Times New Roman"/>
                <w:sz w:val="16"/>
                <w:szCs w:val="16"/>
              </w:rPr>
              <w:t>1,665,576</w:t>
            </w:r>
          </w:p>
        </w:tc>
        <w:tc>
          <w:tcPr>
            <w:tcW w:w="350" w:type="pct"/>
            <w:shd w:val="clear" w:color="auto" w:fill="FFFFFF"/>
            <w:vAlign w:val="bottom"/>
            <w:hideMark/>
          </w:tcPr>
          <w:p w14:paraId="2E66EFE0" w14:textId="77777777" w:rsidR="00000000" w:rsidRDefault="0053651E">
            <w:pPr>
              <w:jc w:val="right"/>
              <w:rPr>
                <w:rFonts w:eastAsia="Times New Roman"/>
                <w:sz w:val="16"/>
                <w:szCs w:val="16"/>
              </w:rPr>
            </w:pPr>
            <w:r>
              <w:rPr>
                <w:rFonts w:eastAsia="Times New Roman"/>
                <w:sz w:val="16"/>
                <w:szCs w:val="16"/>
              </w:rPr>
              <w:t>(186,984)</w:t>
            </w:r>
          </w:p>
        </w:tc>
        <w:tc>
          <w:tcPr>
            <w:tcW w:w="300" w:type="pct"/>
            <w:shd w:val="clear" w:color="auto" w:fill="FFFFFF"/>
            <w:vAlign w:val="bottom"/>
            <w:hideMark/>
          </w:tcPr>
          <w:p w14:paraId="3E0D2EDB" w14:textId="77777777" w:rsidR="00000000" w:rsidRDefault="0053651E">
            <w:pPr>
              <w:jc w:val="right"/>
              <w:rPr>
                <w:rFonts w:eastAsia="Times New Roman"/>
                <w:sz w:val="16"/>
                <w:szCs w:val="16"/>
              </w:rPr>
            </w:pPr>
            <w:r>
              <w:rPr>
                <w:rFonts w:eastAsia="Times New Roman"/>
                <w:sz w:val="16"/>
                <w:szCs w:val="16"/>
              </w:rPr>
              <w:t>450,232</w:t>
            </w:r>
          </w:p>
        </w:tc>
        <w:tc>
          <w:tcPr>
            <w:tcW w:w="450" w:type="pct"/>
            <w:shd w:val="clear" w:color="auto" w:fill="FFFFFF"/>
            <w:vAlign w:val="bottom"/>
            <w:hideMark/>
          </w:tcPr>
          <w:p w14:paraId="1ACB502B" w14:textId="77777777" w:rsidR="00000000" w:rsidRDefault="0053651E">
            <w:pPr>
              <w:jc w:val="right"/>
              <w:rPr>
                <w:rFonts w:eastAsia="Times New Roman"/>
                <w:sz w:val="16"/>
                <w:szCs w:val="16"/>
              </w:rPr>
            </w:pPr>
            <w:r>
              <w:rPr>
                <w:rFonts w:eastAsia="Times New Roman"/>
                <w:sz w:val="16"/>
                <w:szCs w:val="16"/>
              </w:rPr>
              <w:t>1,656,266</w:t>
            </w:r>
          </w:p>
        </w:tc>
        <w:tc>
          <w:tcPr>
            <w:tcW w:w="350" w:type="pct"/>
            <w:shd w:val="clear" w:color="auto" w:fill="FFFFFF"/>
            <w:vAlign w:val="bottom"/>
            <w:hideMark/>
          </w:tcPr>
          <w:p w14:paraId="04CF357A" w14:textId="77777777" w:rsidR="00000000" w:rsidRDefault="0053651E">
            <w:pPr>
              <w:jc w:val="right"/>
              <w:rPr>
                <w:rFonts w:eastAsia="Times New Roman"/>
                <w:sz w:val="16"/>
                <w:szCs w:val="16"/>
              </w:rPr>
            </w:pPr>
            <w:r>
              <w:rPr>
                <w:rFonts w:eastAsia="Times New Roman"/>
                <w:sz w:val="16"/>
                <w:szCs w:val="16"/>
              </w:rPr>
              <w:t>2,106,498</w:t>
            </w:r>
          </w:p>
        </w:tc>
        <w:tc>
          <w:tcPr>
            <w:tcW w:w="400" w:type="pct"/>
            <w:shd w:val="clear" w:color="auto" w:fill="FFFFFF"/>
            <w:vAlign w:val="bottom"/>
            <w:hideMark/>
          </w:tcPr>
          <w:p w14:paraId="1C43311C" w14:textId="77777777" w:rsidR="00000000" w:rsidRDefault="0053651E">
            <w:pPr>
              <w:jc w:val="right"/>
              <w:rPr>
                <w:rFonts w:eastAsia="Times New Roman"/>
                <w:sz w:val="16"/>
                <w:szCs w:val="16"/>
              </w:rPr>
            </w:pPr>
            <w:r>
              <w:rPr>
                <w:rFonts w:eastAsia="Times New Roman"/>
                <w:sz w:val="16"/>
                <w:szCs w:val="16"/>
              </w:rPr>
              <w:t>374,808</w:t>
            </w:r>
          </w:p>
        </w:tc>
        <w:tc>
          <w:tcPr>
            <w:tcW w:w="50" w:type="pct"/>
            <w:shd w:val="clear" w:color="auto" w:fill="FFFFFF"/>
            <w:vAlign w:val="bottom"/>
            <w:hideMark/>
          </w:tcPr>
          <w:p w14:paraId="58BFC3F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FCD5E1A" w14:textId="77777777" w:rsidR="00000000" w:rsidRDefault="0053651E">
            <w:pPr>
              <w:jc w:val="right"/>
              <w:rPr>
                <w:rFonts w:eastAsia="Times New Roman"/>
                <w:sz w:val="16"/>
                <w:szCs w:val="16"/>
              </w:rPr>
            </w:pPr>
            <w:r>
              <w:rPr>
                <w:rFonts w:eastAsia="Times New Roman"/>
                <w:sz w:val="16"/>
                <w:szCs w:val="16"/>
              </w:rPr>
              <w:t>1,731,690</w:t>
            </w:r>
          </w:p>
        </w:tc>
        <w:tc>
          <w:tcPr>
            <w:tcW w:w="50" w:type="pct"/>
            <w:shd w:val="clear" w:color="auto" w:fill="FFFFFF"/>
            <w:vAlign w:val="bottom"/>
            <w:hideMark/>
          </w:tcPr>
          <w:p w14:paraId="149FEBF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62BC7A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8984875"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28E066BD" w14:textId="77777777">
        <w:trPr>
          <w:tblCellSpacing w:w="0" w:type="dxa"/>
        </w:trPr>
        <w:tc>
          <w:tcPr>
            <w:tcW w:w="50" w:type="pct"/>
            <w:shd w:val="clear" w:color="auto" w:fill="CCEEFF"/>
            <w:vAlign w:val="bottom"/>
            <w:hideMark/>
          </w:tcPr>
          <w:p w14:paraId="3FA9BE2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DF01842" w14:textId="77777777" w:rsidR="00000000" w:rsidRDefault="0053651E">
            <w:pPr>
              <w:pStyle w:val="a3"/>
              <w:spacing w:before="0" w:beforeAutospacing="0" w:after="0" w:afterAutospacing="0"/>
              <w:rPr>
                <w:sz w:val="16"/>
                <w:szCs w:val="16"/>
              </w:rPr>
            </w:pPr>
            <w:r>
              <w:rPr>
                <w:sz w:val="16"/>
                <w:szCs w:val="16"/>
              </w:rPr>
              <w:t>CLOVERDALE PLAZA</w:t>
            </w:r>
          </w:p>
        </w:tc>
        <w:tc>
          <w:tcPr>
            <w:tcW w:w="150" w:type="pct"/>
            <w:shd w:val="clear" w:color="auto" w:fill="CCEEFF"/>
            <w:vAlign w:val="bottom"/>
            <w:hideMark/>
          </w:tcPr>
          <w:p w14:paraId="2EDF8A1F"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50C2A1B3" w14:textId="77777777" w:rsidR="00000000" w:rsidRDefault="0053651E">
            <w:pPr>
              <w:jc w:val="right"/>
              <w:rPr>
                <w:rFonts w:eastAsia="Times New Roman"/>
                <w:sz w:val="16"/>
                <w:szCs w:val="16"/>
              </w:rPr>
            </w:pPr>
            <w:r>
              <w:rPr>
                <w:rFonts w:eastAsia="Times New Roman"/>
                <w:sz w:val="16"/>
                <w:szCs w:val="16"/>
              </w:rPr>
              <w:t>540,667</w:t>
            </w:r>
          </w:p>
        </w:tc>
        <w:tc>
          <w:tcPr>
            <w:tcW w:w="550" w:type="pct"/>
            <w:shd w:val="clear" w:color="auto" w:fill="CCEEFF"/>
            <w:vAlign w:val="bottom"/>
            <w:hideMark/>
          </w:tcPr>
          <w:p w14:paraId="55C23315" w14:textId="77777777" w:rsidR="00000000" w:rsidRDefault="0053651E">
            <w:pPr>
              <w:jc w:val="right"/>
              <w:rPr>
                <w:rFonts w:eastAsia="Times New Roman"/>
                <w:sz w:val="16"/>
                <w:szCs w:val="16"/>
              </w:rPr>
            </w:pPr>
            <w:r>
              <w:rPr>
                <w:rFonts w:eastAsia="Times New Roman"/>
                <w:sz w:val="16"/>
                <w:szCs w:val="16"/>
              </w:rPr>
              <w:t>719,655</w:t>
            </w:r>
          </w:p>
        </w:tc>
        <w:tc>
          <w:tcPr>
            <w:tcW w:w="350" w:type="pct"/>
            <w:shd w:val="clear" w:color="auto" w:fill="CCEEFF"/>
            <w:vAlign w:val="bottom"/>
            <w:hideMark/>
          </w:tcPr>
          <w:p w14:paraId="162E8B6B" w14:textId="77777777" w:rsidR="00000000" w:rsidRDefault="0053651E">
            <w:pPr>
              <w:jc w:val="right"/>
              <w:rPr>
                <w:rFonts w:eastAsia="Times New Roman"/>
                <w:sz w:val="16"/>
                <w:szCs w:val="16"/>
              </w:rPr>
            </w:pPr>
            <w:r>
              <w:rPr>
                <w:rFonts w:eastAsia="Times New Roman"/>
                <w:sz w:val="16"/>
                <w:szCs w:val="16"/>
              </w:rPr>
              <w:t>7,554,126</w:t>
            </w:r>
          </w:p>
        </w:tc>
        <w:tc>
          <w:tcPr>
            <w:tcW w:w="300" w:type="pct"/>
            <w:shd w:val="clear" w:color="auto" w:fill="CCEEFF"/>
            <w:vAlign w:val="bottom"/>
            <w:hideMark/>
          </w:tcPr>
          <w:p w14:paraId="12A732BC" w14:textId="77777777" w:rsidR="00000000" w:rsidRDefault="0053651E">
            <w:pPr>
              <w:jc w:val="right"/>
              <w:rPr>
                <w:rFonts w:eastAsia="Times New Roman"/>
                <w:sz w:val="16"/>
                <w:szCs w:val="16"/>
              </w:rPr>
            </w:pPr>
            <w:r>
              <w:rPr>
                <w:rFonts w:eastAsia="Times New Roman"/>
                <w:sz w:val="16"/>
                <w:szCs w:val="16"/>
              </w:rPr>
              <w:t>540,667</w:t>
            </w:r>
          </w:p>
        </w:tc>
        <w:tc>
          <w:tcPr>
            <w:tcW w:w="450" w:type="pct"/>
            <w:shd w:val="clear" w:color="auto" w:fill="CCEEFF"/>
            <w:vAlign w:val="bottom"/>
            <w:hideMark/>
          </w:tcPr>
          <w:p w14:paraId="335205E1" w14:textId="77777777" w:rsidR="00000000" w:rsidRDefault="0053651E">
            <w:pPr>
              <w:jc w:val="right"/>
              <w:rPr>
                <w:rFonts w:eastAsia="Times New Roman"/>
                <w:sz w:val="16"/>
                <w:szCs w:val="16"/>
              </w:rPr>
            </w:pPr>
            <w:r>
              <w:rPr>
                <w:rFonts w:eastAsia="Times New Roman"/>
                <w:sz w:val="16"/>
                <w:szCs w:val="16"/>
              </w:rPr>
              <w:t>8,273,781</w:t>
            </w:r>
          </w:p>
        </w:tc>
        <w:tc>
          <w:tcPr>
            <w:tcW w:w="350" w:type="pct"/>
            <w:shd w:val="clear" w:color="auto" w:fill="CCEEFF"/>
            <w:vAlign w:val="bottom"/>
            <w:hideMark/>
          </w:tcPr>
          <w:p w14:paraId="6CB84953" w14:textId="77777777" w:rsidR="00000000" w:rsidRDefault="0053651E">
            <w:pPr>
              <w:jc w:val="right"/>
              <w:rPr>
                <w:rFonts w:eastAsia="Times New Roman"/>
                <w:sz w:val="16"/>
                <w:szCs w:val="16"/>
              </w:rPr>
            </w:pPr>
            <w:r>
              <w:rPr>
                <w:rFonts w:eastAsia="Times New Roman"/>
                <w:sz w:val="16"/>
                <w:szCs w:val="16"/>
              </w:rPr>
              <w:t>8,814,448</w:t>
            </w:r>
          </w:p>
        </w:tc>
        <w:tc>
          <w:tcPr>
            <w:tcW w:w="400" w:type="pct"/>
            <w:shd w:val="clear" w:color="auto" w:fill="CCEEFF"/>
            <w:vAlign w:val="bottom"/>
            <w:hideMark/>
          </w:tcPr>
          <w:p w14:paraId="74E1E504" w14:textId="77777777" w:rsidR="00000000" w:rsidRDefault="0053651E">
            <w:pPr>
              <w:jc w:val="right"/>
              <w:rPr>
                <w:rFonts w:eastAsia="Times New Roman"/>
                <w:sz w:val="16"/>
                <w:szCs w:val="16"/>
              </w:rPr>
            </w:pPr>
            <w:r>
              <w:rPr>
                <w:rFonts w:eastAsia="Times New Roman"/>
                <w:sz w:val="16"/>
                <w:szCs w:val="16"/>
              </w:rPr>
              <w:t>3,997,454</w:t>
            </w:r>
          </w:p>
        </w:tc>
        <w:tc>
          <w:tcPr>
            <w:tcW w:w="50" w:type="pct"/>
            <w:shd w:val="clear" w:color="auto" w:fill="CCEEFF"/>
            <w:vAlign w:val="bottom"/>
            <w:hideMark/>
          </w:tcPr>
          <w:p w14:paraId="191BD20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B54141A" w14:textId="77777777" w:rsidR="00000000" w:rsidRDefault="0053651E">
            <w:pPr>
              <w:jc w:val="right"/>
              <w:rPr>
                <w:rFonts w:eastAsia="Times New Roman"/>
                <w:sz w:val="16"/>
                <w:szCs w:val="16"/>
              </w:rPr>
            </w:pPr>
            <w:r>
              <w:rPr>
                <w:rFonts w:eastAsia="Times New Roman"/>
                <w:sz w:val="16"/>
                <w:szCs w:val="16"/>
              </w:rPr>
              <w:t>4,816,994</w:t>
            </w:r>
          </w:p>
        </w:tc>
        <w:tc>
          <w:tcPr>
            <w:tcW w:w="50" w:type="pct"/>
            <w:shd w:val="clear" w:color="auto" w:fill="CCEEFF"/>
            <w:vAlign w:val="bottom"/>
            <w:hideMark/>
          </w:tcPr>
          <w:p w14:paraId="43941BF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4008EA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46D1C38" w14:textId="77777777" w:rsidR="00000000" w:rsidRDefault="0053651E">
            <w:pPr>
              <w:pStyle w:val="a3"/>
              <w:spacing w:before="0" w:beforeAutospacing="0" w:after="0" w:afterAutospacing="0"/>
              <w:jc w:val="center"/>
              <w:rPr>
                <w:sz w:val="16"/>
                <w:szCs w:val="16"/>
              </w:rPr>
            </w:pPr>
            <w:r>
              <w:rPr>
                <w:rStyle w:val="a6"/>
                <w:i w:val="0"/>
                <w:iCs w:val="0"/>
                <w:sz w:val="16"/>
                <w:szCs w:val="16"/>
              </w:rPr>
              <w:t>1969(C)</w:t>
            </w:r>
          </w:p>
        </w:tc>
      </w:tr>
      <w:tr w:rsidR="00000000" w14:paraId="4B4CEF2A" w14:textId="77777777">
        <w:trPr>
          <w:tblCellSpacing w:w="0" w:type="dxa"/>
        </w:trPr>
        <w:tc>
          <w:tcPr>
            <w:tcW w:w="50" w:type="pct"/>
            <w:shd w:val="clear" w:color="auto" w:fill="FFFFFF"/>
            <w:vAlign w:val="bottom"/>
            <w:hideMark/>
          </w:tcPr>
          <w:p w14:paraId="43D224B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FD697CE" w14:textId="77777777" w:rsidR="00000000" w:rsidRDefault="0053651E">
            <w:pPr>
              <w:pStyle w:val="a3"/>
              <w:spacing w:before="0" w:beforeAutospacing="0" w:after="0" w:afterAutospacing="0"/>
              <w:rPr>
                <w:sz w:val="16"/>
                <w:szCs w:val="16"/>
              </w:rPr>
            </w:pPr>
            <w:r>
              <w:rPr>
                <w:sz w:val="16"/>
                <w:szCs w:val="16"/>
              </w:rPr>
              <w:t>WEBSTER SQUARE</w:t>
            </w:r>
          </w:p>
        </w:tc>
        <w:tc>
          <w:tcPr>
            <w:tcW w:w="150" w:type="pct"/>
            <w:shd w:val="clear" w:color="auto" w:fill="FFFFFF"/>
            <w:vAlign w:val="bottom"/>
            <w:hideMark/>
          </w:tcPr>
          <w:p w14:paraId="168A9D32" w14:textId="77777777" w:rsidR="00000000" w:rsidRDefault="0053651E">
            <w:pPr>
              <w:pStyle w:val="a3"/>
              <w:spacing w:before="0" w:beforeAutospacing="0" w:after="0" w:afterAutospacing="0"/>
              <w:rPr>
                <w:sz w:val="16"/>
                <w:szCs w:val="16"/>
              </w:rPr>
            </w:pPr>
            <w:r>
              <w:rPr>
                <w:rStyle w:val="a6"/>
                <w:i w:val="0"/>
                <w:iCs w:val="0"/>
                <w:sz w:val="16"/>
                <w:szCs w:val="16"/>
              </w:rPr>
              <w:t>NH</w:t>
            </w:r>
          </w:p>
        </w:tc>
        <w:tc>
          <w:tcPr>
            <w:tcW w:w="300" w:type="pct"/>
            <w:shd w:val="clear" w:color="auto" w:fill="FFFFFF"/>
            <w:vAlign w:val="bottom"/>
            <w:hideMark/>
          </w:tcPr>
          <w:p w14:paraId="5EBD353E" w14:textId="77777777" w:rsidR="00000000" w:rsidRDefault="0053651E">
            <w:pPr>
              <w:jc w:val="right"/>
              <w:rPr>
                <w:rFonts w:eastAsia="Times New Roman"/>
                <w:sz w:val="16"/>
                <w:szCs w:val="16"/>
              </w:rPr>
            </w:pPr>
            <w:r>
              <w:rPr>
                <w:rFonts w:eastAsia="Times New Roman"/>
                <w:sz w:val="16"/>
                <w:szCs w:val="16"/>
              </w:rPr>
              <w:t>11,683,145</w:t>
            </w:r>
          </w:p>
        </w:tc>
        <w:tc>
          <w:tcPr>
            <w:tcW w:w="550" w:type="pct"/>
            <w:shd w:val="clear" w:color="auto" w:fill="FFFFFF"/>
            <w:vAlign w:val="bottom"/>
            <w:hideMark/>
          </w:tcPr>
          <w:p w14:paraId="1BB08090" w14:textId="77777777" w:rsidR="00000000" w:rsidRDefault="0053651E">
            <w:pPr>
              <w:jc w:val="right"/>
              <w:rPr>
                <w:rFonts w:eastAsia="Times New Roman"/>
                <w:sz w:val="16"/>
                <w:szCs w:val="16"/>
              </w:rPr>
            </w:pPr>
            <w:r>
              <w:rPr>
                <w:rFonts w:eastAsia="Times New Roman"/>
                <w:sz w:val="16"/>
                <w:szCs w:val="16"/>
              </w:rPr>
              <w:t>41,708,383</w:t>
            </w:r>
          </w:p>
        </w:tc>
        <w:tc>
          <w:tcPr>
            <w:tcW w:w="350" w:type="pct"/>
            <w:shd w:val="clear" w:color="auto" w:fill="FFFFFF"/>
            <w:vAlign w:val="bottom"/>
            <w:hideMark/>
          </w:tcPr>
          <w:p w14:paraId="5D40E383" w14:textId="77777777" w:rsidR="00000000" w:rsidRDefault="0053651E">
            <w:pPr>
              <w:jc w:val="right"/>
              <w:rPr>
                <w:rFonts w:eastAsia="Times New Roman"/>
                <w:sz w:val="16"/>
                <w:szCs w:val="16"/>
              </w:rPr>
            </w:pPr>
            <w:r>
              <w:rPr>
                <w:rFonts w:eastAsia="Times New Roman"/>
                <w:sz w:val="16"/>
                <w:szCs w:val="16"/>
              </w:rPr>
              <w:t>7,437,545</w:t>
            </w:r>
          </w:p>
        </w:tc>
        <w:tc>
          <w:tcPr>
            <w:tcW w:w="300" w:type="pct"/>
            <w:shd w:val="clear" w:color="auto" w:fill="FFFFFF"/>
            <w:vAlign w:val="bottom"/>
            <w:hideMark/>
          </w:tcPr>
          <w:p w14:paraId="1D64F235" w14:textId="77777777" w:rsidR="00000000" w:rsidRDefault="0053651E">
            <w:pPr>
              <w:jc w:val="right"/>
              <w:rPr>
                <w:rFonts w:eastAsia="Times New Roman"/>
                <w:sz w:val="16"/>
                <w:szCs w:val="16"/>
              </w:rPr>
            </w:pPr>
            <w:r>
              <w:rPr>
                <w:rFonts w:eastAsia="Times New Roman"/>
                <w:sz w:val="16"/>
                <w:szCs w:val="16"/>
              </w:rPr>
              <w:t>11,683,145</w:t>
            </w:r>
          </w:p>
        </w:tc>
        <w:tc>
          <w:tcPr>
            <w:tcW w:w="450" w:type="pct"/>
            <w:shd w:val="clear" w:color="auto" w:fill="FFFFFF"/>
            <w:vAlign w:val="bottom"/>
            <w:hideMark/>
          </w:tcPr>
          <w:p w14:paraId="44AC9805" w14:textId="77777777" w:rsidR="00000000" w:rsidRDefault="0053651E">
            <w:pPr>
              <w:jc w:val="right"/>
              <w:rPr>
                <w:rFonts w:eastAsia="Times New Roman"/>
                <w:sz w:val="16"/>
                <w:szCs w:val="16"/>
              </w:rPr>
            </w:pPr>
            <w:r>
              <w:rPr>
                <w:rFonts w:eastAsia="Times New Roman"/>
                <w:sz w:val="16"/>
                <w:szCs w:val="16"/>
              </w:rPr>
              <w:t>49,145,928</w:t>
            </w:r>
          </w:p>
        </w:tc>
        <w:tc>
          <w:tcPr>
            <w:tcW w:w="350" w:type="pct"/>
            <w:shd w:val="clear" w:color="auto" w:fill="FFFFFF"/>
            <w:vAlign w:val="bottom"/>
            <w:hideMark/>
          </w:tcPr>
          <w:p w14:paraId="2C50DD92" w14:textId="77777777" w:rsidR="00000000" w:rsidRDefault="0053651E">
            <w:pPr>
              <w:jc w:val="right"/>
              <w:rPr>
                <w:rFonts w:eastAsia="Times New Roman"/>
                <w:sz w:val="16"/>
                <w:szCs w:val="16"/>
              </w:rPr>
            </w:pPr>
            <w:r>
              <w:rPr>
                <w:rFonts w:eastAsia="Times New Roman"/>
                <w:sz w:val="16"/>
                <w:szCs w:val="16"/>
              </w:rPr>
              <w:t>60,829,073</w:t>
            </w:r>
          </w:p>
        </w:tc>
        <w:tc>
          <w:tcPr>
            <w:tcW w:w="400" w:type="pct"/>
            <w:shd w:val="clear" w:color="auto" w:fill="FFFFFF"/>
            <w:vAlign w:val="bottom"/>
            <w:hideMark/>
          </w:tcPr>
          <w:p w14:paraId="3550F724" w14:textId="77777777" w:rsidR="00000000" w:rsidRDefault="0053651E">
            <w:pPr>
              <w:jc w:val="right"/>
              <w:rPr>
                <w:rFonts w:eastAsia="Times New Roman"/>
                <w:sz w:val="16"/>
                <w:szCs w:val="16"/>
              </w:rPr>
            </w:pPr>
            <w:r>
              <w:rPr>
                <w:rFonts w:eastAsia="Times New Roman"/>
                <w:sz w:val="16"/>
                <w:szCs w:val="16"/>
              </w:rPr>
              <w:t>9,061,478</w:t>
            </w:r>
          </w:p>
        </w:tc>
        <w:tc>
          <w:tcPr>
            <w:tcW w:w="50" w:type="pct"/>
            <w:shd w:val="clear" w:color="auto" w:fill="FFFFFF"/>
            <w:vAlign w:val="bottom"/>
            <w:hideMark/>
          </w:tcPr>
          <w:p w14:paraId="7E25F66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16A6420" w14:textId="77777777" w:rsidR="00000000" w:rsidRDefault="0053651E">
            <w:pPr>
              <w:jc w:val="right"/>
              <w:rPr>
                <w:rFonts w:eastAsia="Times New Roman"/>
                <w:sz w:val="16"/>
                <w:szCs w:val="16"/>
              </w:rPr>
            </w:pPr>
            <w:r>
              <w:rPr>
                <w:rFonts w:eastAsia="Times New Roman"/>
                <w:sz w:val="16"/>
                <w:szCs w:val="16"/>
              </w:rPr>
              <w:t>51,767,595</w:t>
            </w:r>
          </w:p>
        </w:tc>
        <w:tc>
          <w:tcPr>
            <w:tcW w:w="50" w:type="pct"/>
            <w:shd w:val="clear" w:color="auto" w:fill="FFFFFF"/>
            <w:vAlign w:val="bottom"/>
            <w:hideMark/>
          </w:tcPr>
          <w:p w14:paraId="398FD49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DDBDB8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681C41A"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00E0A786" w14:textId="77777777">
        <w:trPr>
          <w:tblCellSpacing w:w="0" w:type="dxa"/>
        </w:trPr>
        <w:tc>
          <w:tcPr>
            <w:tcW w:w="50" w:type="pct"/>
            <w:shd w:val="clear" w:color="auto" w:fill="CCEEFF"/>
            <w:vAlign w:val="bottom"/>
            <w:hideMark/>
          </w:tcPr>
          <w:p w14:paraId="617FF04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432B635" w14:textId="77777777" w:rsidR="00000000" w:rsidRDefault="0053651E">
            <w:pPr>
              <w:pStyle w:val="a3"/>
              <w:spacing w:before="0" w:beforeAutospacing="0" w:after="0" w:afterAutospacing="0"/>
              <w:rPr>
                <w:sz w:val="16"/>
                <w:szCs w:val="16"/>
              </w:rPr>
            </w:pPr>
            <w:r>
              <w:rPr>
                <w:sz w:val="16"/>
                <w:szCs w:val="16"/>
              </w:rPr>
              <w:t>WEBSTER SQUARE - DSW</w:t>
            </w:r>
          </w:p>
        </w:tc>
        <w:tc>
          <w:tcPr>
            <w:tcW w:w="150" w:type="pct"/>
            <w:shd w:val="clear" w:color="auto" w:fill="CCEEFF"/>
            <w:vAlign w:val="bottom"/>
            <w:hideMark/>
          </w:tcPr>
          <w:p w14:paraId="2884C8E0" w14:textId="77777777" w:rsidR="00000000" w:rsidRDefault="0053651E">
            <w:pPr>
              <w:pStyle w:val="a3"/>
              <w:spacing w:before="0" w:beforeAutospacing="0" w:after="0" w:afterAutospacing="0"/>
              <w:rPr>
                <w:sz w:val="16"/>
                <w:szCs w:val="16"/>
              </w:rPr>
            </w:pPr>
            <w:r>
              <w:rPr>
                <w:rStyle w:val="a6"/>
                <w:i w:val="0"/>
                <w:iCs w:val="0"/>
                <w:sz w:val="16"/>
                <w:szCs w:val="16"/>
              </w:rPr>
              <w:t>NH</w:t>
            </w:r>
          </w:p>
        </w:tc>
        <w:tc>
          <w:tcPr>
            <w:tcW w:w="300" w:type="pct"/>
            <w:shd w:val="clear" w:color="auto" w:fill="CCEEFF"/>
            <w:vAlign w:val="bottom"/>
            <w:hideMark/>
          </w:tcPr>
          <w:p w14:paraId="091B0701" w14:textId="77777777" w:rsidR="00000000" w:rsidRDefault="0053651E">
            <w:pPr>
              <w:jc w:val="right"/>
              <w:rPr>
                <w:rFonts w:eastAsia="Times New Roman"/>
                <w:sz w:val="16"/>
                <w:szCs w:val="16"/>
              </w:rPr>
            </w:pPr>
            <w:r>
              <w:rPr>
                <w:rFonts w:eastAsia="Times New Roman"/>
                <w:sz w:val="16"/>
                <w:szCs w:val="16"/>
              </w:rPr>
              <w:t>1,346,391</w:t>
            </w:r>
          </w:p>
        </w:tc>
        <w:tc>
          <w:tcPr>
            <w:tcW w:w="550" w:type="pct"/>
            <w:shd w:val="clear" w:color="auto" w:fill="CCEEFF"/>
            <w:vAlign w:val="bottom"/>
            <w:hideMark/>
          </w:tcPr>
          <w:p w14:paraId="6CE86BBB" w14:textId="77777777" w:rsidR="00000000" w:rsidRDefault="0053651E">
            <w:pPr>
              <w:jc w:val="right"/>
              <w:rPr>
                <w:rFonts w:eastAsia="Times New Roman"/>
                <w:sz w:val="16"/>
                <w:szCs w:val="16"/>
              </w:rPr>
            </w:pPr>
            <w:r>
              <w:rPr>
                <w:rFonts w:eastAsia="Times New Roman"/>
                <w:sz w:val="16"/>
                <w:szCs w:val="16"/>
              </w:rPr>
              <w:t>3,638,397</w:t>
            </w:r>
          </w:p>
        </w:tc>
        <w:tc>
          <w:tcPr>
            <w:tcW w:w="350" w:type="pct"/>
            <w:shd w:val="clear" w:color="auto" w:fill="CCEEFF"/>
            <w:vAlign w:val="bottom"/>
            <w:hideMark/>
          </w:tcPr>
          <w:p w14:paraId="2B79D1E2" w14:textId="77777777" w:rsidR="00000000" w:rsidRDefault="0053651E">
            <w:pPr>
              <w:jc w:val="right"/>
              <w:rPr>
                <w:rFonts w:eastAsia="Times New Roman"/>
                <w:sz w:val="16"/>
                <w:szCs w:val="16"/>
              </w:rPr>
            </w:pPr>
            <w:r>
              <w:rPr>
                <w:rFonts w:eastAsia="Times New Roman"/>
                <w:sz w:val="16"/>
                <w:szCs w:val="16"/>
              </w:rPr>
              <w:t>131,388</w:t>
            </w:r>
          </w:p>
        </w:tc>
        <w:tc>
          <w:tcPr>
            <w:tcW w:w="300" w:type="pct"/>
            <w:shd w:val="clear" w:color="auto" w:fill="CCEEFF"/>
            <w:vAlign w:val="bottom"/>
            <w:hideMark/>
          </w:tcPr>
          <w:p w14:paraId="7B7582C5" w14:textId="77777777" w:rsidR="00000000" w:rsidRDefault="0053651E">
            <w:pPr>
              <w:jc w:val="right"/>
              <w:rPr>
                <w:rFonts w:eastAsia="Times New Roman"/>
                <w:sz w:val="16"/>
                <w:szCs w:val="16"/>
              </w:rPr>
            </w:pPr>
            <w:r>
              <w:rPr>
                <w:rFonts w:eastAsia="Times New Roman"/>
                <w:sz w:val="16"/>
                <w:szCs w:val="16"/>
              </w:rPr>
              <w:t>1,346,391</w:t>
            </w:r>
          </w:p>
        </w:tc>
        <w:tc>
          <w:tcPr>
            <w:tcW w:w="450" w:type="pct"/>
            <w:shd w:val="clear" w:color="auto" w:fill="CCEEFF"/>
            <w:vAlign w:val="bottom"/>
            <w:hideMark/>
          </w:tcPr>
          <w:p w14:paraId="6626BE31" w14:textId="77777777" w:rsidR="00000000" w:rsidRDefault="0053651E">
            <w:pPr>
              <w:jc w:val="right"/>
              <w:rPr>
                <w:rFonts w:eastAsia="Times New Roman"/>
                <w:sz w:val="16"/>
                <w:szCs w:val="16"/>
              </w:rPr>
            </w:pPr>
            <w:r>
              <w:rPr>
                <w:rFonts w:eastAsia="Times New Roman"/>
                <w:sz w:val="16"/>
                <w:szCs w:val="16"/>
              </w:rPr>
              <w:t>3,769,785</w:t>
            </w:r>
          </w:p>
        </w:tc>
        <w:tc>
          <w:tcPr>
            <w:tcW w:w="350" w:type="pct"/>
            <w:shd w:val="clear" w:color="auto" w:fill="CCEEFF"/>
            <w:vAlign w:val="bottom"/>
            <w:hideMark/>
          </w:tcPr>
          <w:p w14:paraId="775B5D1A" w14:textId="77777777" w:rsidR="00000000" w:rsidRDefault="0053651E">
            <w:pPr>
              <w:jc w:val="right"/>
              <w:rPr>
                <w:rFonts w:eastAsia="Times New Roman"/>
                <w:sz w:val="16"/>
                <w:szCs w:val="16"/>
              </w:rPr>
            </w:pPr>
            <w:r>
              <w:rPr>
                <w:rFonts w:eastAsia="Times New Roman"/>
                <w:sz w:val="16"/>
                <w:szCs w:val="16"/>
              </w:rPr>
              <w:t>5,116,176</w:t>
            </w:r>
          </w:p>
        </w:tc>
        <w:tc>
          <w:tcPr>
            <w:tcW w:w="400" w:type="pct"/>
            <w:shd w:val="clear" w:color="auto" w:fill="CCEEFF"/>
            <w:vAlign w:val="bottom"/>
            <w:hideMark/>
          </w:tcPr>
          <w:p w14:paraId="070F9F97" w14:textId="77777777" w:rsidR="00000000" w:rsidRDefault="0053651E">
            <w:pPr>
              <w:jc w:val="right"/>
              <w:rPr>
                <w:rFonts w:eastAsia="Times New Roman"/>
                <w:sz w:val="16"/>
                <w:szCs w:val="16"/>
              </w:rPr>
            </w:pPr>
            <w:r>
              <w:rPr>
                <w:rFonts w:eastAsia="Times New Roman"/>
                <w:sz w:val="16"/>
                <w:szCs w:val="16"/>
              </w:rPr>
              <w:t>447,893</w:t>
            </w:r>
          </w:p>
        </w:tc>
        <w:tc>
          <w:tcPr>
            <w:tcW w:w="50" w:type="pct"/>
            <w:shd w:val="clear" w:color="auto" w:fill="CCEEFF"/>
            <w:vAlign w:val="bottom"/>
            <w:hideMark/>
          </w:tcPr>
          <w:p w14:paraId="7D6A221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BABD6ED" w14:textId="77777777" w:rsidR="00000000" w:rsidRDefault="0053651E">
            <w:pPr>
              <w:jc w:val="right"/>
              <w:rPr>
                <w:rFonts w:eastAsia="Times New Roman"/>
                <w:sz w:val="16"/>
                <w:szCs w:val="16"/>
              </w:rPr>
            </w:pPr>
            <w:r>
              <w:rPr>
                <w:rFonts w:eastAsia="Times New Roman"/>
                <w:sz w:val="16"/>
                <w:szCs w:val="16"/>
              </w:rPr>
              <w:t>4,668,283</w:t>
            </w:r>
          </w:p>
        </w:tc>
        <w:tc>
          <w:tcPr>
            <w:tcW w:w="50" w:type="pct"/>
            <w:shd w:val="clear" w:color="auto" w:fill="CCEEFF"/>
            <w:vAlign w:val="bottom"/>
            <w:hideMark/>
          </w:tcPr>
          <w:p w14:paraId="3A61300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D7BF54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77D66E1"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04CA9289" w14:textId="77777777">
        <w:trPr>
          <w:tblCellSpacing w:w="0" w:type="dxa"/>
        </w:trPr>
        <w:tc>
          <w:tcPr>
            <w:tcW w:w="50" w:type="pct"/>
            <w:shd w:val="clear" w:color="auto" w:fill="FFFFFF"/>
            <w:vAlign w:val="bottom"/>
            <w:hideMark/>
          </w:tcPr>
          <w:p w14:paraId="458774B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895F47C" w14:textId="77777777" w:rsidR="00000000" w:rsidRDefault="0053651E">
            <w:pPr>
              <w:pStyle w:val="a3"/>
              <w:spacing w:before="0" w:beforeAutospacing="0" w:after="0" w:afterAutospacing="0"/>
              <w:rPr>
                <w:sz w:val="16"/>
                <w:szCs w:val="16"/>
              </w:rPr>
            </w:pPr>
            <w:r>
              <w:rPr>
                <w:sz w:val="16"/>
                <w:szCs w:val="16"/>
              </w:rPr>
              <w:t>WEBSTER SQUARE NORTH</w:t>
            </w:r>
          </w:p>
        </w:tc>
        <w:tc>
          <w:tcPr>
            <w:tcW w:w="150" w:type="pct"/>
            <w:shd w:val="clear" w:color="auto" w:fill="FFFFFF"/>
            <w:vAlign w:val="bottom"/>
            <w:hideMark/>
          </w:tcPr>
          <w:p w14:paraId="2BD13A73" w14:textId="77777777" w:rsidR="00000000" w:rsidRDefault="0053651E">
            <w:pPr>
              <w:pStyle w:val="a3"/>
              <w:spacing w:before="0" w:beforeAutospacing="0" w:after="0" w:afterAutospacing="0"/>
              <w:rPr>
                <w:sz w:val="16"/>
                <w:szCs w:val="16"/>
              </w:rPr>
            </w:pPr>
            <w:r>
              <w:rPr>
                <w:rStyle w:val="a6"/>
                <w:i w:val="0"/>
                <w:iCs w:val="0"/>
                <w:sz w:val="16"/>
                <w:szCs w:val="16"/>
              </w:rPr>
              <w:t>NH</w:t>
            </w:r>
          </w:p>
        </w:tc>
        <w:tc>
          <w:tcPr>
            <w:tcW w:w="300" w:type="pct"/>
            <w:shd w:val="clear" w:color="auto" w:fill="FFFFFF"/>
            <w:vAlign w:val="bottom"/>
            <w:hideMark/>
          </w:tcPr>
          <w:p w14:paraId="14BC1BEE" w14:textId="77777777" w:rsidR="00000000" w:rsidRDefault="0053651E">
            <w:pPr>
              <w:jc w:val="right"/>
              <w:rPr>
                <w:rFonts w:eastAsia="Times New Roman"/>
                <w:sz w:val="16"/>
                <w:szCs w:val="16"/>
              </w:rPr>
            </w:pPr>
            <w:r>
              <w:rPr>
                <w:rFonts w:eastAsia="Times New Roman"/>
                <w:sz w:val="16"/>
                <w:szCs w:val="16"/>
              </w:rPr>
              <w:t>2,163,138</w:t>
            </w:r>
          </w:p>
        </w:tc>
        <w:tc>
          <w:tcPr>
            <w:tcW w:w="550" w:type="pct"/>
            <w:shd w:val="clear" w:color="auto" w:fill="FFFFFF"/>
            <w:vAlign w:val="bottom"/>
            <w:hideMark/>
          </w:tcPr>
          <w:p w14:paraId="0F883E40" w14:textId="77777777" w:rsidR="00000000" w:rsidRDefault="0053651E">
            <w:pPr>
              <w:jc w:val="right"/>
              <w:rPr>
                <w:rFonts w:eastAsia="Times New Roman"/>
                <w:sz w:val="16"/>
                <w:szCs w:val="16"/>
              </w:rPr>
            </w:pPr>
            <w:r>
              <w:rPr>
                <w:rFonts w:eastAsia="Times New Roman"/>
                <w:sz w:val="16"/>
                <w:szCs w:val="16"/>
              </w:rPr>
              <w:t>6,511,424</w:t>
            </w:r>
          </w:p>
        </w:tc>
        <w:tc>
          <w:tcPr>
            <w:tcW w:w="350" w:type="pct"/>
            <w:shd w:val="clear" w:color="auto" w:fill="FFFFFF"/>
            <w:vAlign w:val="bottom"/>
            <w:hideMark/>
          </w:tcPr>
          <w:p w14:paraId="78C8C6FB" w14:textId="77777777" w:rsidR="00000000" w:rsidRDefault="0053651E">
            <w:pPr>
              <w:jc w:val="right"/>
              <w:rPr>
                <w:rFonts w:eastAsia="Times New Roman"/>
                <w:sz w:val="16"/>
                <w:szCs w:val="16"/>
              </w:rPr>
            </w:pPr>
            <w:r>
              <w:rPr>
                <w:rFonts w:eastAsia="Times New Roman"/>
                <w:sz w:val="16"/>
                <w:szCs w:val="16"/>
              </w:rPr>
              <w:t>131,176</w:t>
            </w:r>
          </w:p>
        </w:tc>
        <w:tc>
          <w:tcPr>
            <w:tcW w:w="300" w:type="pct"/>
            <w:shd w:val="clear" w:color="auto" w:fill="FFFFFF"/>
            <w:vAlign w:val="bottom"/>
            <w:hideMark/>
          </w:tcPr>
          <w:p w14:paraId="4986920E" w14:textId="77777777" w:rsidR="00000000" w:rsidRDefault="0053651E">
            <w:pPr>
              <w:jc w:val="right"/>
              <w:rPr>
                <w:rFonts w:eastAsia="Times New Roman"/>
                <w:sz w:val="16"/>
                <w:szCs w:val="16"/>
              </w:rPr>
            </w:pPr>
            <w:r>
              <w:rPr>
                <w:rFonts w:eastAsia="Times New Roman"/>
                <w:sz w:val="16"/>
                <w:szCs w:val="16"/>
              </w:rPr>
              <w:t>2,163,138</w:t>
            </w:r>
          </w:p>
        </w:tc>
        <w:tc>
          <w:tcPr>
            <w:tcW w:w="450" w:type="pct"/>
            <w:shd w:val="clear" w:color="auto" w:fill="FFFFFF"/>
            <w:vAlign w:val="bottom"/>
            <w:hideMark/>
          </w:tcPr>
          <w:p w14:paraId="4A9DFB20" w14:textId="77777777" w:rsidR="00000000" w:rsidRDefault="0053651E">
            <w:pPr>
              <w:jc w:val="right"/>
              <w:rPr>
                <w:rFonts w:eastAsia="Times New Roman"/>
                <w:sz w:val="16"/>
                <w:szCs w:val="16"/>
              </w:rPr>
            </w:pPr>
            <w:r>
              <w:rPr>
                <w:rFonts w:eastAsia="Times New Roman"/>
                <w:sz w:val="16"/>
                <w:szCs w:val="16"/>
              </w:rPr>
              <w:t>6,642,600</w:t>
            </w:r>
          </w:p>
        </w:tc>
        <w:tc>
          <w:tcPr>
            <w:tcW w:w="350" w:type="pct"/>
            <w:shd w:val="clear" w:color="auto" w:fill="FFFFFF"/>
            <w:vAlign w:val="bottom"/>
            <w:hideMark/>
          </w:tcPr>
          <w:p w14:paraId="29B7E4E0" w14:textId="77777777" w:rsidR="00000000" w:rsidRDefault="0053651E">
            <w:pPr>
              <w:jc w:val="right"/>
              <w:rPr>
                <w:rFonts w:eastAsia="Times New Roman"/>
                <w:sz w:val="16"/>
                <w:szCs w:val="16"/>
              </w:rPr>
            </w:pPr>
            <w:r>
              <w:rPr>
                <w:rFonts w:eastAsia="Times New Roman"/>
                <w:sz w:val="16"/>
                <w:szCs w:val="16"/>
              </w:rPr>
              <w:t>8,805,738</w:t>
            </w:r>
          </w:p>
        </w:tc>
        <w:tc>
          <w:tcPr>
            <w:tcW w:w="400" w:type="pct"/>
            <w:shd w:val="clear" w:color="auto" w:fill="FFFFFF"/>
            <w:vAlign w:val="bottom"/>
            <w:hideMark/>
          </w:tcPr>
          <w:p w14:paraId="0ED42E95" w14:textId="77777777" w:rsidR="00000000" w:rsidRDefault="0053651E">
            <w:pPr>
              <w:jc w:val="right"/>
              <w:rPr>
                <w:rFonts w:eastAsia="Times New Roman"/>
                <w:sz w:val="16"/>
                <w:szCs w:val="16"/>
              </w:rPr>
            </w:pPr>
            <w:r>
              <w:rPr>
                <w:rFonts w:eastAsia="Times New Roman"/>
                <w:sz w:val="16"/>
                <w:szCs w:val="16"/>
              </w:rPr>
              <w:t>1,234,333</w:t>
            </w:r>
          </w:p>
        </w:tc>
        <w:tc>
          <w:tcPr>
            <w:tcW w:w="50" w:type="pct"/>
            <w:shd w:val="clear" w:color="auto" w:fill="FFFFFF"/>
            <w:vAlign w:val="bottom"/>
            <w:hideMark/>
          </w:tcPr>
          <w:p w14:paraId="7D0BCF5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91EF654" w14:textId="77777777" w:rsidR="00000000" w:rsidRDefault="0053651E">
            <w:pPr>
              <w:jc w:val="right"/>
              <w:rPr>
                <w:rFonts w:eastAsia="Times New Roman"/>
                <w:sz w:val="16"/>
                <w:szCs w:val="16"/>
              </w:rPr>
            </w:pPr>
            <w:r>
              <w:rPr>
                <w:rFonts w:eastAsia="Times New Roman"/>
                <w:sz w:val="16"/>
                <w:szCs w:val="16"/>
              </w:rPr>
              <w:t>7,571,405</w:t>
            </w:r>
          </w:p>
        </w:tc>
        <w:tc>
          <w:tcPr>
            <w:tcW w:w="50" w:type="pct"/>
            <w:shd w:val="clear" w:color="auto" w:fill="FFFFFF"/>
            <w:vAlign w:val="bottom"/>
            <w:hideMark/>
          </w:tcPr>
          <w:p w14:paraId="43DCE2B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BF3278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A414396"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0F650D1D" w14:textId="77777777">
        <w:trPr>
          <w:tblCellSpacing w:w="0" w:type="dxa"/>
        </w:trPr>
        <w:tc>
          <w:tcPr>
            <w:tcW w:w="50" w:type="pct"/>
            <w:shd w:val="clear" w:color="auto" w:fill="CCEEFF"/>
            <w:vAlign w:val="bottom"/>
            <w:hideMark/>
          </w:tcPr>
          <w:p w14:paraId="6A64385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1D2E9CE" w14:textId="77777777" w:rsidR="00000000" w:rsidRDefault="0053651E">
            <w:pPr>
              <w:pStyle w:val="a3"/>
              <w:spacing w:before="0" w:beforeAutospacing="0" w:after="0" w:afterAutospacing="0"/>
              <w:rPr>
                <w:sz w:val="16"/>
                <w:szCs w:val="16"/>
              </w:rPr>
            </w:pPr>
            <w:r>
              <w:rPr>
                <w:sz w:val="16"/>
                <w:szCs w:val="16"/>
              </w:rPr>
              <w:t>ROCKINGHAM PLAZA</w:t>
            </w:r>
          </w:p>
        </w:tc>
        <w:tc>
          <w:tcPr>
            <w:tcW w:w="150" w:type="pct"/>
            <w:shd w:val="clear" w:color="auto" w:fill="CCEEFF"/>
            <w:vAlign w:val="bottom"/>
            <w:hideMark/>
          </w:tcPr>
          <w:p w14:paraId="33604925" w14:textId="77777777" w:rsidR="00000000" w:rsidRDefault="0053651E">
            <w:pPr>
              <w:pStyle w:val="a3"/>
              <w:spacing w:before="0" w:beforeAutospacing="0" w:after="0" w:afterAutospacing="0"/>
              <w:rPr>
                <w:sz w:val="16"/>
                <w:szCs w:val="16"/>
              </w:rPr>
            </w:pPr>
            <w:r>
              <w:rPr>
                <w:rStyle w:val="a6"/>
                <w:i w:val="0"/>
                <w:iCs w:val="0"/>
                <w:sz w:val="16"/>
                <w:szCs w:val="16"/>
              </w:rPr>
              <w:t>NH</w:t>
            </w:r>
          </w:p>
        </w:tc>
        <w:tc>
          <w:tcPr>
            <w:tcW w:w="300" w:type="pct"/>
            <w:shd w:val="clear" w:color="auto" w:fill="CCEEFF"/>
            <w:vAlign w:val="bottom"/>
            <w:hideMark/>
          </w:tcPr>
          <w:p w14:paraId="0FE2EAF5" w14:textId="77777777" w:rsidR="00000000" w:rsidRDefault="0053651E">
            <w:pPr>
              <w:jc w:val="right"/>
              <w:rPr>
                <w:rFonts w:eastAsia="Times New Roman"/>
                <w:sz w:val="16"/>
                <w:szCs w:val="16"/>
              </w:rPr>
            </w:pPr>
            <w:r>
              <w:rPr>
                <w:rFonts w:eastAsia="Times New Roman"/>
                <w:sz w:val="16"/>
                <w:szCs w:val="16"/>
              </w:rPr>
              <w:t>2,660,915</w:t>
            </w:r>
          </w:p>
        </w:tc>
        <w:tc>
          <w:tcPr>
            <w:tcW w:w="550" w:type="pct"/>
            <w:shd w:val="clear" w:color="auto" w:fill="CCEEFF"/>
            <w:vAlign w:val="bottom"/>
            <w:hideMark/>
          </w:tcPr>
          <w:p w14:paraId="0F5C7CAB" w14:textId="77777777" w:rsidR="00000000" w:rsidRDefault="0053651E">
            <w:pPr>
              <w:jc w:val="right"/>
              <w:rPr>
                <w:rFonts w:eastAsia="Times New Roman"/>
                <w:sz w:val="16"/>
                <w:szCs w:val="16"/>
              </w:rPr>
            </w:pPr>
            <w:r>
              <w:rPr>
                <w:rFonts w:eastAsia="Times New Roman"/>
                <w:sz w:val="16"/>
                <w:szCs w:val="16"/>
              </w:rPr>
              <w:t>10,643,660</w:t>
            </w:r>
          </w:p>
        </w:tc>
        <w:tc>
          <w:tcPr>
            <w:tcW w:w="350" w:type="pct"/>
            <w:shd w:val="clear" w:color="auto" w:fill="CCEEFF"/>
            <w:vAlign w:val="bottom"/>
            <w:hideMark/>
          </w:tcPr>
          <w:p w14:paraId="6A27606B" w14:textId="77777777" w:rsidR="00000000" w:rsidRDefault="0053651E">
            <w:pPr>
              <w:jc w:val="right"/>
              <w:rPr>
                <w:rFonts w:eastAsia="Times New Roman"/>
                <w:sz w:val="16"/>
                <w:szCs w:val="16"/>
              </w:rPr>
            </w:pPr>
            <w:r>
              <w:rPr>
                <w:rFonts w:eastAsia="Times New Roman"/>
                <w:sz w:val="16"/>
                <w:szCs w:val="16"/>
              </w:rPr>
              <w:t>23,910,947</w:t>
            </w:r>
          </w:p>
        </w:tc>
        <w:tc>
          <w:tcPr>
            <w:tcW w:w="300" w:type="pct"/>
            <w:shd w:val="clear" w:color="auto" w:fill="CCEEFF"/>
            <w:vAlign w:val="bottom"/>
            <w:hideMark/>
          </w:tcPr>
          <w:p w14:paraId="03AAE0D6" w14:textId="77777777" w:rsidR="00000000" w:rsidRDefault="0053651E">
            <w:pPr>
              <w:jc w:val="right"/>
              <w:rPr>
                <w:rFonts w:eastAsia="Times New Roman"/>
                <w:sz w:val="16"/>
                <w:szCs w:val="16"/>
              </w:rPr>
            </w:pPr>
            <w:r>
              <w:rPr>
                <w:rFonts w:eastAsia="Times New Roman"/>
                <w:sz w:val="16"/>
                <w:szCs w:val="16"/>
              </w:rPr>
              <w:t>3,148,715</w:t>
            </w:r>
          </w:p>
        </w:tc>
        <w:tc>
          <w:tcPr>
            <w:tcW w:w="450" w:type="pct"/>
            <w:shd w:val="clear" w:color="auto" w:fill="CCEEFF"/>
            <w:vAlign w:val="bottom"/>
            <w:hideMark/>
          </w:tcPr>
          <w:p w14:paraId="4D801DCD" w14:textId="77777777" w:rsidR="00000000" w:rsidRDefault="0053651E">
            <w:pPr>
              <w:jc w:val="right"/>
              <w:rPr>
                <w:rFonts w:eastAsia="Times New Roman"/>
                <w:sz w:val="16"/>
                <w:szCs w:val="16"/>
              </w:rPr>
            </w:pPr>
            <w:r>
              <w:rPr>
                <w:rFonts w:eastAsia="Times New Roman"/>
                <w:sz w:val="16"/>
                <w:szCs w:val="16"/>
              </w:rPr>
              <w:t>34,066,807</w:t>
            </w:r>
          </w:p>
        </w:tc>
        <w:tc>
          <w:tcPr>
            <w:tcW w:w="350" w:type="pct"/>
            <w:shd w:val="clear" w:color="auto" w:fill="CCEEFF"/>
            <w:vAlign w:val="bottom"/>
            <w:hideMark/>
          </w:tcPr>
          <w:p w14:paraId="470413D2" w14:textId="77777777" w:rsidR="00000000" w:rsidRDefault="0053651E">
            <w:pPr>
              <w:jc w:val="right"/>
              <w:rPr>
                <w:rFonts w:eastAsia="Times New Roman"/>
                <w:sz w:val="16"/>
                <w:szCs w:val="16"/>
              </w:rPr>
            </w:pPr>
            <w:r>
              <w:rPr>
                <w:rFonts w:eastAsia="Times New Roman"/>
                <w:sz w:val="16"/>
                <w:szCs w:val="16"/>
              </w:rPr>
              <w:t>37,215,522</w:t>
            </w:r>
          </w:p>
        </w:tc>
        <w:tc>
          <w:tcPr>
            <w:tcW w:w="400" w:type="pct"/>
            <w:shd w:val="clear" w:color="auto" w:fill="CCEEFF"/>
            <w:vAlign w:val="bottom"/>
            <w:hideMark/>
          </w:tcPr>
          <w:p w14:paraId="02792AAC" w14:textId="77777777" w:rsidR="00000000" w:rsidRDefault="0053651E">
            <w:pPr>
              <w:jc w:val="right"/>
              <w:rPr>
                <w:rFonts w:eastAsia="Times New Roman"/>
                <w:sz w:val="16"/>
                <w:szCs w:val="16"/>
              </w:rPr>
            </w:pPr>
            <w:r>
              <w:rPr>
                <w:rFonts w:eastAsia="Times New Roman"/>
                <w:sz w:val="16"/>
                <w:szCs w:val="16"/>
              </w:rPr>
              <w:t>13,671,663</w:t>
            </w:r>
          </w:p>
        </w:tc>
        <w:tc>
          <w:tcPr>
            <w:tcW w:w="50" w:type="pct"/>
            <w:shd w:val="clear" w:color="auto" w:fill="CCEEFF"/>
            <w:vAlign w:val="bottom"/>
            <w:hideMark/>
          </w:tcPr>
          <w:p w14:paraId="7D66B19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7B8EFE3" w14:textId="77777777" w:rsidR="00000000" w:rsidRDefault="0053651E">
            <w:pPr>
              <w:jc w:val="right"/>
              <w:rPr>
                <w:rFonts w:eastAsia="Times New Roman"/>
                <w:sz w:val="16"/>
                <w:szCs w:val="16"/>
              </w:rPr>
            </w:pPr>
            <w:r>
              <w:rPr>
                <w:rFonts w:eastAsia="Times New Roman"/>
                <w:sz w:val="16"/>
                <w:szCs w:val="16"/>
              </w:rPr>
              <w:t>23,543,859</w:t>
            </w:r>
          </w:p>
        </w:tc>
        <w:tc>
          <w:tcPr>
            <w:tcW w:w="50" w:type="pct"/>
            <w:shd w:val="clear" w:color="auto" w:fill="CCEEFF"/>
            <w:vAlign w:val="bottom"/>
            <w:hideMark/>
          </w:tcPr>
          <w:p w14:paraId="3CD7C13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C1B339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A9709EF"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7C06F9FA" w14:textId="77777777">
        <w:trPr>
          <w:tblCellSpacing w:w="0" w:type="dxa"/>
        </w:trPr>
        <w:tc>
          <w:tcPr>
            <w:tcW w:w="50" w:type="pct"/>
            <w:shd w:val="clear" w:color="auto" w:fill="FFFFFF"/>
            <w:vAlign w:val="bottom"/>
            <w:hideMark/>
          </w:tcPr>
          <w:p w14:paraId="32B4CB9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CF3CA61" w14:textId="77777777" w:rsidR="00000000" w:rsidRDefault="0053651E">
            <w:pPr>
              <w:pStyle w:val="a3"/>
              <w:spacing w:before="0" w:beforeAutospacing="0" w:after="0" w:afterAutospacing="0"/>
              <w:rPr>
                <w:sz w:val="16"/>
                <w:szCs w:val="16"/>
              </w:rPr>
            </w:pPr>
            <w:r>
              <w:rPr>
                <w:sz w:val="16"/>
                <w:szCs w:val="16"/>
              </w:rPr>
              <w:t>SHOP RITE PLAZA</w:t>
            </w:r>
          </w:p>
        </w:tc>
        <w:tc>
          <w:tcPr>
            <w:tcW w:w="150" w:type="pct"/>
            <w:shd w:val="clear" w:color="auto" w:fill="FFFFFF"/>
            <w:vAlign w:val="bottom"/>
            <w:hideMark/>
          </w:tcPr>
          <w:p w14:paraId="0FA7D99C"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3553FE81" w14:textId="77777777" w:rsidR="00000000" w:rsidRDefault="0053651E">
            <w:pPr>
              <w:jc w:val="right"/>
              <w:rPr>
                <w:rFonts w:eastAsia="Times New Roman"/>
                <w:sz w:val="16"/>
                <w:szCs w:val="16"/>
              </w:rPr>
            </w:pPr>
            <w:r>
              <w:rPr>
                <w:rFonts w:eastAsia="Times New Roman"/>
                <w:sz w:val="16"/>
                <w:szCs w:val="16"/>
              </w:rPr>
              <w:t>2,417,583</w:t>
            </w:r>
          </w:p>
        </w:tc>
        <w:tc>
          <w:tcPr>
            <w:tcW w:w="550" w:type="pct"/>
            <w:shd w:val="clear" w:color="auto" w:fill="FFFFFF"/>
            <w:vAlign w:val="bottom"/>
            <w:hideMark/>
          </w:tcPr>
          <w:p w14:paraId="7257639E" w14:textId="77777777" w:rsidR="00000000" w:rsidRDefault="0053651E">
            <w:pPr>
              <w:jc w:val="right"/>
              <w:rPr>
                <w:rFonts w:eastAsia="Times New Roman"/>
                <w:sz w:val="16"/>
                <w:szCs w:val="16"/>
              </w:rPr>
            </w:pPr>
            <w:r>
              <w:rPr>
                <w:rFonts w:eastAsia="Times New Roman"/>
                <w:sz w:val="16"/>
                <w:szCs w:val="16"/>
              </w:rPr>
              <w:t>6,364,094</w:t>
            </w:r>
          </w:p>
        </w:tc>
        <w:tc>
          <w:tcPr>
            <w:tcW w:w="350" w:type="pct"/>
            <w:shd w:val="clear" w:color="auto" w:fill="FFFFFF"/>
            <w:vAlign w:val="bottom"/>
            <w:hideMark/>
          </w:tcPr>
          <w:p w14:paraId="1D958C8D" w14:textId="77777777" w:rsidR="00000000" w:rsidRDefault="0053651E">
            <w:pPr>
              <w:jc w:val="right"/>
              <w:rPr>
                <w:rFonts w:eastAsia="Times New Roman"/>
                <w:sz w:val="16"/>
                <w:szCs w:val="16"/>
              </w:rPr>
            </w:pPr>
            <w:r>
              <w:rPr>
                <w:rFonts w:eastAsia="Times New Roman"/>
                <w:sz w:val="16"/>
                <w:szCs w:val="16"/>
              </w:rPr>
              <w:t>1,595,616</w:t>
            </w:r>
          </w:p>
        </w:tc>
        <w:tc>
          <w:tcPr>
            <w:tcW w:w="300" w:type="pct"/>
            <w:shd w:val="clear" w:color="auto" w:fill="FFFFFF"/>
            <w:vAlign w:val="bottom"/>
            <w:hideMark/>
          </w:tcPr>
          <w:p w14:paraId="0D3DC349" w14:textId="77777777" w:rsidR="00000000" w:rsidRDefault="0053651E">
            <w:pPr>
              <w:jc w:val="right"/>
              <w:rPr>
                <w:rFonts w:eastAsia="Times New Roman"/>
                <w:sz w:val="16"/>
                <w:szCs w:val="16"/>
              </w:rPr>
            </w:pPr>
            <w:r>
              <w:rPr>
                <w:rFonts w:eastAsia="Times New Roman"/>
                <w:sz w:val="16"/>
                <w:szCs w:val="16"/>
              </w:rPr>
              <w:t>2,417,583</w:t>
            </w:r>
          </w:p>
        </w:tc>
        <w:tc>
          <w:tcPr>
            <w:tcW w:w="450" w:type="pct"/>
            <w:shd w:val="clear" w:color="auto" w:fill="FFFFFF"/>
            <w:vAlign w:val="bottom"/>
            <w:hideMark/>
          </w:tcPr>
          <w:p w14:paraId="157974A1" w14:textId="77777777" w:rsidR="00000000" w:rsidRDefault="0053651E">
            <w:pPr>
              <w:jc w:val="right"/>
              <w:rPr>
                <w:rFonts w:eastAsia="Times New Roman"/>
                <w:sz w:val="16"/>
                <w:szCs w:val="16"/>
              </w:rPr>
            </w:pPr>
            <w:r>
              <w:rPr>
                <w:rFonts w:eastAsia="Times New Roman"/>
                <w:sz w:val="16"/>
                <w:szCs w:val="16"/>
              </w:rPr>
              <w:t>7,959,710</w:t>
            </w:r>
          </w:p>
        </w:tc>
        <w:tc>
          <w:tcPr>
            <w:tcW w:w="350" w:type="pct"/>
            <w:shd w:val="clear" w:color="auto" w:fill="FFFFFF"/>
            <w:vAlign w:val="bottom"/>
            <w:hideMark/>
          </w:tcPr>
          <w:p w14:paraId="6F7C054C" w14:textId="77777777" w:rsidR="00000000" w:rsidRDefault="0053651E">
            <w:pPr>
              <w:jc w:val="right"/>
              <w:rPr>
                <w:rFonts w:eastAsia="Times New Roman"/>
                <w:sz w:val="16"/>
                <w:szCs w:val="16"/>
              </w:rPr>
            </w:pPr>
            <w:r>
              <w:rPr>
                <w:rFonts w:eastAsia="Times New Roman"/>
                <w:sz w:val="16"/>
                <w:szCs w:val="16"/>
              </w:rPr>
              <w:t>10,377,293</w:t>
            </w:r>
          </w:p>
        </w:tc>
        <w:tc>
          <w:tcPr>
            <w:tcW w:w="400" w:type="pct"/>
            <w:shd w:val="clear" w:color="auto" w:fill="FFFFFF"/>
            <w:vAlign w:val="bottom"/>
            <w:hideMark/>
          </w:tcPr>
          <w:p w14:paraId="03E43963" w14:textId="77777777" w:rsidR="00000000" w:rsidRDefault="0053651E">
            <w:pPr>
              <w:jc w:val="right"/>
              <w:rPr>
                <w:rFonts w:eastAsia="Times New Roman"/>
                <w:sz w:val="16"/>
                <w:szCs w:val="16"/>
              </w:rPr>
            </w:pPr>
            <w:r>
              <w:rPr>
                <w:rFonts w:eastAsia="Times New Roman"/>
                <w:sz w:val="16"/>
                <w:szCs w:val="16"/>
              </w:rPr>
              <w:t>7,402,608</w:t>
            </w:r>
          </w:p>
        </w:tc>
        <w:tc>
          <w:tcPr>
            <w:tcW w:w="50" w:type="pct"/>
            <w:shd w:val="clear" w:color="auto" w:fill="FFFFFF"/>
            <w:vAlign w:val="bottom"/>
            <w:hideMark/>
          </w:tcPr>
          <w:p w14:paraId="657A395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CF6CF85" w14:textId="77777777" w:rsidR="00000000" w:rsidRDefault="0053651E">
            <w:pPr>
              <w:jc w:val="right"/>
              <w:rPr>
                <w:rFonts w:eastAsia="Times New Roman"/>
                <w:sz w:val="16"/>
                <w:szCs w:val="16"/>
              </w:rPr>
            </w:pPr>
            <w:r>
              <w:rPr>
                <w:rFonts w:eastAsia="Times New Roman"/>
                <w:sz w:val="16"/>
                <w:szCs w:val="16"/>
              </w:rPr>
              <w:t>2,974,685</w:t>
            </w:r>
          </w:p>
        </w:tc>
        <w:tc>
          <w:tcPr>
            <w:tcW w:w="50" w:type="pct"/>
            <w:shd w:val="clear" w:color="auto" w:fill="FFFFFF"/>
            <w:vAlign w:val="bottom"/>
            <w:hideMark/>
          </w:tcPr>
          <w:p w14:paraId="4383E00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5366E0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4278ADD" w14:textId="77777777" w:rsidR="00000000" w:rsidRDefault="0053651E">
            <w:pPr>
              <w:pStyle w:val="a3"/>
              <w:spacing w:before="0" w:beforeAutospacing="0" w:after="0" w:afterAutospacing="0"/>
              <w:jc w:val="center"/>
              <w:rPr>
                <w:sz w:val="16"/>
                <w:szCs w:val="16"/>
              </w:rPr>
            </w:pPr>
            <w:r>
              <w:rPr>
                <w:rStyle w:val="a6"/>
                <w:i w:val="0"/>
                <w:iCs w:val="0"/>
                <w:sz w:val="16"/>
                <w:szCs w:val="16"/>
              </w:rPr>
              <w:t>1985(C)</w:t>
            </w:r>
          </w:p>
        </w:tc>
      </w:tr>
      <w:tr w:rsidR="00000000" w14:paraId="2143A4E8" w14:textId="77777777">
        <w:trPr>
          <w:tblCellSpacing w:w="0" w:type="dxa"/>
        </w:trPr>
        <w:tc>
          <w:tcPr>
            <w:tcW w:w="50" w:type="pct"/>
            <w:shd w:val="clear" w:color="auto" w:fill="CCEEFF"/>
            <w:vAlign w:val="bottom"/>
            <w:hideMark/>
          </w:tcPr>
          <w:p w14:paraId="32B0E6C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7923CFB" w14:textId="77777777" w:rsidR="00000000" w:rsidRDefault="0053651E">
            <w:pPr>
              <w:pStyle w:val="a3"/>
              <w:spacing w:before="0" w:beforeAutospacing="0" w:after="0" w:afterAutospacing="0"/>
              <w:rPr>
                <w:sz w:val="16"/>
                <w:szCs w:val="16"/>
              </w:rPr>
            </w:pPr>
            <w:r>
              <w:rPr>
                <w:sz w:val="16"/>
                <w:szCs w:val="16"/>
              </w:rPr>
              <w:t>MARLTON PLAZA</w:t>
            </w:r>
          </w:p>
        </w:tc>
        <w:tc>
          <w:tcPr>
            <w:tcW w:w="150" w:type="pct"/>
            <w:shd w:val="clear" w:color="auto" w:fill="CCEEFF"/>
            <w:vAlign w:val="bottom"/>
            <w:hideMark/>
          </w:tcPr>
          <w:p w14:paraId="503A371C"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6461036A"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CCEEFF"/>
            <w:vAlign w:val="bottom"/>
            <w:hideMark/>
          </w:tcPr>
          <w:p w14:paraId="78CCD5F7" w14:textId="77777777" w:rsidR="00000000" w:rsidRDefault="0053651E">
            <w:pPr>
              <w:jc w:val="right"/>
              <w:rPr>
                <w:rFonts w:eastAsia="Times New Roman"/>
                <w:sz w:val="16"/>
                <w:szCs w:val="16"/>
              </w:rPr>
            </w:pPr>
            <w:r>
              <w:rPr>
                <w:rFonts w:eastAsia="Times New Roman"/>
                <w:sz w:val="16"/>
                <w:szCs w:val="16"/>
              </w:rPr>
              <w:t>4,318,534</w:t>
            </w:r>
          </w:p>
        </w:tc>
        <w:tc>
          <w:tcPr>
            <w:tcW w:w="350" w:type="pct"/>
            <w:shd w:val="clear" w:color="auto" w:fill="CCEEFF"/>
            <w:vAlign w:val="bottom"/>
            <w:hideMark/>
          </w:tcPr>
          <w:p w14:paraId="65396A7A" w14:textId="77777777" w:rsidR="00000000" w:rsidRDefault="0053651E">
            <w:pPr>
              <w:jc w:val="right"/>
              <w:rPr>
                <w:rFonts w:eastAsia="Times New Roman"/>
                <w:sz w:val="16"/>
                <w:szCs w:val="16"/>
              </w:rPr>
            </w:pPr>
            <w:r>
              <w:rPr>
                <w:rFonts w:eastAsia="Times New Roman"/>
                <w:sz w:val="16"/>
                <w:szCs w:val="16"/>
              </w:rPr>
              <w:t>153,375</w:t>
            </w:r>
          </w:p>
        </w:tc>
        <w:tc>
          <w:tcPr>
            <w:tcW w:w="300" w:type="pct"/>
            <w:shd w:val="clear" w:color="auto" w:fill="CCEEFF"/>
            <w:vAlign w:val="bottom"/>
            <w:hideMark/>
          </w:tcPr>
          <w:p w14:paraId="66B6AD00"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CCEEFF"/>
            <w:vAlign w:val="bottom"/>
            <w:hideMark/>
          </w:tcPr>
          <w:p w14:paraId="0917BB4F" w14:textId="77777777" w:rsidR="00000000" w:rsidRDefault="0053651E">
            <w:pPr>
              <w:jc w:val="right"/>
              <w:rPr>
                <w:rFonts w:eastAsia="Times New Roman"/>
                <w:sz w:val="16"/>
                <w:szCs w:val="16"/>
              </w:rPr>
            </w:pPr>
            <w:r>
              <w:rPr>
                <w:rFonts w:eastAsia="Times New Roman"/>
                <w:sz w:val="16"/>
                <w:szCs w:val="16"/>
              </w:rPr>
              <w:t>4,471,909</w:t>
            </w:r>
          </w:p>
        </w:tc>
        <w:tc>
          <w:tcPr>
            <w:tcW w:w="350" w:type="pct"/>
            <w:shd w:val="clear" w:color="auto" w:fill="CCEEFF"/>
            <w:vAlign w:val="bottom"/>
            <w:hideMark/>
          </w:tcPr>
          <w:p w14:paraId="6E798529" w14:textId="77777777" w:rsidR="00000000" w:rsidRDefault="0053651E">
            <w:pPr>
              <w:jc w:val="right"/>
              <w:rPr>
                <w:rFonts w:eastAsia="Times New Roman"/>
                <w:sz w:val="16"/>
                <w:szCs w:val="16"/>
              </w:rPr>
            </w:pPr>
            <w:r>
              <w:rPr>
                <w:rFonts w:eastAsia="Times New Roman"/>
                <w:sz w:val="16"/>
                <w:szCs w:val="16"/>
              </w:rPr>
              <w:t>4,471,909</w:t>
            </w:r>
          </w:p>
        </w:tc>
        <w:tc>
          <w:tcPr>
            <w:tcW w:w="400" w:type="pct"/>
            <w:shd w:val="clear" w:color="auto" w:fill="CCEEFF"/>
            <w:vAlign w:val="bottom"/>
            <w:hideMark/>
          </w:tcPr>
          <w:p w14:paraId="46F67054" w14:textId="77777777" w:rsidR="00000000" w:rsidRDefault="0053651E">
            <w:pPr>
              <w:jc w:val="right"/>
              <w:rPr>
                <w:rFonts w:eastAsia="Times New Roman"/>
                <w:sz w:val="16"/>
                <w:szCs w:val="16"/>
              </w:rPr>
            </w:pPr>
            <w:r>
              <w:rPr>
                <w:rFonts w:eastAsia="Times New Roman"/>
                <w:sz w:val="16"/>
                <w:szCs w:val="16"/>
              </w:rPr>
              <w:t>2,610,173</w:t>
            </w:r>
          </w:p>
        </w:tc>
        <w:tc>
          <w:tcPr>
            <w:tcW w:w="50" w:type="pct"/>
            <w:shd w:val="clear" w:color="auto" w:fill="CCEEFF"/>
            <w:vAlign w:val="bottom"/>
            <w:hideMark/>
          </w:tcPr>
          <w:p w14:paraId="774018D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106A1A9" w14:textId="77777777" w:rsidR="00000000" w:rsidRDefault="0053651E">
            <w:pPr>
              <w:jc w:val="right"/>
              <w:rPr>
                <w:rFonts w:eastAsia="Times New Roman"/>
                <w:sz w:val="16"/>
                <w:szCs w:val="16"/>
              </w:rPr>
            </w:pPr>
            <w:r>
              <w:rPr>
                <w:rFonts w:eastAsia="Times New Roman"/>
                <w:sz w:val="16"/>
                <w:szCs w:val="16"/>
              </w:rPr>
              <w:t>1,861,736</w:t>
            </w:r>
          </w:p>
        </w:tc>
        <w:tc>
          <w:tcPr>
            <w:tcW w:w="50" w:type="pct"/>
            <w:shd w:val="clear" w:color="auto" w:fill="CCEEFF"/>
            <w:vAlign w:val="bottom"/>
            <w:hideMark/>
          </w:tcPr>
          <w:p w14:paraId="2674C66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8EC60E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F4EE8BE"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2E35C153" w14:textId="77777777">
        <w:trPr>
          <w:tblCellSpacing w:w="0" w:type="dxa"/>
        </w:trPr>
        <w:tc>
          <w:tcPr>
            <w:tcW w:w="50" w:type="pct"/>
            <w:shd w:val="clear" w:color="auto" w:fill="FFFFFF"/>
            <w:vAlign w:val="bottom"/>
            <w:hideMark/>
          </w:tcPr>
          <w:p w14:paraId="3B1A10A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1FCBABD" w14:textId="77777777" w:rsidR="00000000" w:rsidRDefault="0053651E">
            <w:pPr>
              <w:pStyle w:val="a3"/>
              <w:spacing w:before="0" w:beforeAutospacing="0" w:after="0" w:afterAutospacing="0"/>
              <w:rPr>
                <w:sz w:val="16"/>
                <w:szCs w:val="16"/>
              </w:rPr>
            </w:pPr>
            <w:r>
              <w:rPr>
                <w:sz w:val="16"/>
                <w:szCs w:val="16"/>
              </w:rPr>
              <w:t>HILLVIEW SHOPPING CENTER</w:t>
            </w:r>
          </w:p>
        </w:tc>
        <w:tc>
          <w:tcPr>
            <w:tcW w:w="150" w:type="pct"/>
            <w:shd w:val="clear" w:color="auto" w:fill="FFFFFF"/>
            <w:vAlign w:val="bottom"/>
            <w:hideMark/>
          </w:tcPr>
          <w:p w14:paraId="0794E517"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762563B7" w14:textId="77777777" w:rsidR="00000000" w:rsidRDefault="0053651E">
            <w:pPr>
              <w:jc w:val="right"/>
              <w:rPr>
                <w:rFonts w:eastAsia="Times New Roman"/>
                <w:sz w:val="16"/>
                <w:szCs w:val="16"/>
              </w:rPr>
            </w:pPr>
            <w:r>
              <w:rPr>
                <w:rFonts w:eastAsia="Times New Roman"/>
                <w:sz w:val="16"/>
                <w:szCs w:val="16"/>
              </w:rPr>
              <w:t>16,007,647</w:t>
            </w:r>
          </w:p>
        </w:tc>
        <w:tc>
          <w:tcPr>
            <w:tcW w:w="550" w:type="pct"/>
            <w:shd w:val="clear" w:color="auto" w:fill="FFFFFF"/>
            <w:vAlign w:val="bottom"/>
            <w:hideMark/>
          </w:tcPr>
          <w:p w14:paraId="136F64CF" w14:textId="77777777" w:rsidR="00000000" w:rsidRDefault="0053651E">
            <w:pPr>
              <w:jc w:val="right"/>
              <w:rPr>
                <w:rFonts w:eastAsia="Times New Roman"/>
                <w:sz w:val="16"/>
                <w:szCs w:val="16"/>
              </w:rPr>
            </w:pPr>
            <w:r>
              <w:rPr>
                <w:rFonts w:eastAsia="Times New Roman"/>
                <w:sz w:val="16"/>
                <w:szCs w:val="16"/>
              </w:rPr>
              <w:t>32,607,423</w:t>
            </w:r>
          </w:p>
        </w:tc>
        <w:tc>
          <w:tcPr>
            <w:tcW w:w="350" w:type="pct"/>
            <w:shd w:val="clear" w:color="auto" w:fill="FFFFFF"/>
            <w:vAlign w:val="bottom"/>
            <w:hideMark/>
          </w:tcPr>
          <w:p w14:paraId="337B2075" w14:textId="77777777" w:rsidR="00000000" w:rsidRDefault="0053651E">
            <w:pPr>
              <w:jc w:val="right"/>
              <w:rPr>
                <w:rFonts w:eastAsia="Times New Roman"/>
                <w:sz w:val="16"/>
                <w:szCs w:val="16"/>
              </w:rPr>
            </w:pPr>
            <w:r>
              <w:rPr>
                <w:rFonts w:eastAsia="Times New Roman"/>
                <w:sz w:val="16"/>
                <w:szCs w:val="16"/>
              </w:rPr>
              <w:t>(330,854)</w:t>
            </w:r>
          </w:p>
        </w:tc>
        <w:tc>
          <w:tcPr>
            <w:tcW w:w="300" w:type="pct"/>
            <w:shd w:val="clear" w:color="auto" w:fill="FFFFFF"/>
            <w:vAlign w:val="bottom"/>
            <w:hideMark/>
          </w:tcPr>
          <w:p w14:paraId="1598F861" w14:textId="77777777" w:rsidR="00000000" w:rsidRDefault="0053651E">
            <w:pPr>
              <w:jc w:val="right"/>
              <w:rPr>
                <w:rFonts w:eastAsia="Times New Roman"/>
                <w:sz w:val="16"/>
                <w:szCs w:val="16"/>
              </w:rPr>
            </w:pPr>
            <w:r>
              <w:rPr>
                <w:rFonts w:eastAsia="Times New Roman"/>
                <w:sz w:val="16"/>
                <w:szCs w:val="16"/>
              </w:rPr>
              <w:t>16,007,647</w:t>
            </w:r>
          </w:p>
        </w:tc>
        <w:tc>
          <w:tcPr>
            <w:tcW w:w="450" w:type="pct"/>
            <w:shd w:val="clear" w:color="auto" w:fill="FFFFFF"/>
            <w:vAlign w:val="bottom"/>
            <w:hideMark/>
          </w:tcPr>
          <w:p w14:paraId="287D6CD8" w14:textId="77777777" w:rsidR="00000000" w:rsidRDefault="0053651E">
            <w:pPr>
              <w:jc w:val="right"/>
              <w:rPr>
                <w:rFonts w:eastAsia="Times New Roman"/>
                <w:sz w:val="16"/>
                <w:szCs w:val="16"/>
              </w:rPr>
            </w:pPr>
            <w:r>
              <w:rPr>
                <w:rFonts w:eastAsia="Times New Roman"/>
                <w:sz w:val="16"/>
                <w:szCs w:val="16"/>
              </w:rPr>
              <w:t>32,276,569</w:t>
            </w:r>
          </w:p>
        </w:tc>
        <w:tc>
          <w:tcPr>
            <w:tcW w:w="350" w:type="pct"/>
            <w:shd w:val="clear" w:color="auto" w:fill="FFFFFF"/>
            <w:vAlign w:val="bottom"/>
            <w:hideMark/>
          </w:tcPr>
          <w:p w14:paraId="6EC55882" w14:textId="77777777" w:rsidR="00000000" w:rsidRDefault="0053651E">
            <w:pPr>
              <w:jc w:val="right"/>
              <w:rPr>
                <w:rFonts w:eastAsia="Times New Roman"/>
                <w:sz w:val="16"/>
                <w:szCs w:val="16"/>
              </w:rPr>
            </w:pPr>
            <w:r>
              <w:rPr>
                <w:rFonts w:eastAsia="Times New Roman"/>
                <w:sz w:val="16"/>
                <w:szCs w:val="16"/>
              </w:rPr>
              <w:t>48,284,216</w:t>
            </w:r>
          </w:p>
        </w:tc>
        <w:tc>
          <w:tcPr>
            <w:tcW w:w="400" w:type="pct"/>
            <w:shd w:val="clear" w:color="auto" w:fill="FFFFFF"/>
            <w:vAlign w:val="bottom"/>
            <w:hideMark/>
          </w:tcPr>
          <w:p w14:paraId="23E15C5A" w14:textId="77777777" w:rsidR="00000000" w:rsidRDefault="0053651E">
            <w:pPr>
              <w:jc w:val="right"/>
              <w:rPr>
                <w:rFonts w:eastAsia="Times New Roman"/>
                <w:sz w:val="16"/>
                <w:szCs w:val="16"/>
              </w:rPr>
            </w:pPr>
            <w:r>
              <w:rPr>
                <w:rFonts w:eastAsia="Times New Roman"/>
                <w:sz w:val="16"/>
                <w:szCs w:val="16"/>
              </w:rPr>
              <w:t>5,693,981</w:t>
            </w:r>
          </w:p>
        </w:tc>
        <w:tc>
          <w:tcPr>
            <w:tcW w:w="50" w:type="pct"/>
            <w:shd w:val="clear" w:color="auto" w:fill="FFFFFF"/>
            <w:vAlign w:val="bottom"/>
            <w:hideMark/>
          </w:tcPr>
          <w:p w14:paraId="17A0BC8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C6DDDCA" w14:textId="77777777" w:rsidR="00000000" w:rsidRDefault="0053651E">
            <w:pPr>
              <w:jc w:val="right"/>
              <w:rPr>
                <w:rFonts w:eastAsia="Times New Roman"/>
                <w:sz w:val="16"/>
                <w:szCs w:val="16"/>
              </w:rPr>
            </w:pPr>
            <w:r>
              <w:rPr>
                <w:rFonts w:eastAsia="Times New Roman"/>
                <w:sz w:val="16"/>
                <w:szCs w:val="16"/>
              </w:rPr>
              <w:t>42,590,235</w:t>
            </w:r>
          </w:p>
        </w:tc>
        <w:tc>
          <w:tcPr>
            <w:tcW w:w="50" w:type="pct"/>
            <w:shd w:val="clear" w:color="auto" w:fill="FFFFFF"/>
            <w:vAlign w:val="bottom"/>
            <w:hideMark/>
          </w:tcPr>
          <w:p w14:paraId="6DE2582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F5E000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434F20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754CB11" w14:textId="77777777">
        <w:trPr>
          <w:tblCellSpacing w:w="0" w:type="dxa"/>
        </w:trPr>
        <w:tc>
          <w:tcPr>
            <w:tcW w:w="50" w:type="pct"/>
            <w:shd w:val="clear" w:color="auto" w:fill="CCEEFF"/>
            <w:vAlign w:val="bottom"/>
            <w:hideMark/>
          </w:tcPr>
          <w:p w14:paraId="5F464B6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6C81F8A" w14:textId="77777777" w:rsidR="00000000" w:rsidRDefault="0053651E">
            <w:pPr>
              <w:pStyle w:val="a3"/>
              <w:spacing w:before="0" w:beforeAutospacing="0" w:after="0" w:afterAutospacing="0"/>
              <w:rPr>
                <w:sz w:val="16"/>
                <w:szCs w:val="16"/>
              </w:rPr>
            </w:pPr>
            <w:r>
              <w:rPr>
                <w:sz w:val="16"/>
                <w:szCs w:val="16"/>
              </w:rPr>
              <w:t>GARDEN STATE PAVILIONS</w:t>
            </w:r>
          </w:p>
        </w:tc>
        <w:tc>
          <w:tcPr>
            <w:tcW w:w="150" w:type="pct"/>
            <w:shd w:val="clear" w:color="auto" w:fill="CCEEFF"/>
            <w:vAlign w:val="bottom"/>
            <w:hideMark/>
          </w:tcPr>
          <w:p w14:paraId="666EB88A"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40AA63F1" w14:textId="77777777" w:rsidR="00000000" w:rsidRDefault="0053651E">
            <w:pPr>
              <w:jc w:val="right"/>
              <w:rPr>
                <w:rFonts w:eastAsia="Times New Roman"/>
                <w:sz w:val="16"/>
                <w:szCs w:val="16"/>
              </w:rPr>
            </w:pPr>
            <w:r>
              <w:rPr>
                <w:rFonts w:eastAsia="Times New Roman"/>
                <w:sz w:val="16"/>
                <w:szCs w:val="16"/>
              </w:rPr>
              <w:t>7,530,709</w:t>
            </w:r>
          </w:p>
        </w:tc>
        <w:tc>
          <w:tcPr>
            <w:tcW w:w="550" w:type="pct"/>
            <w:shd w:val="clear" w:color="auto" w:fill="CCEEFF"/>
            <w:vAlign w:val="bottom"/>
            <w:hideMark/>
          </w:tcPr>
          <w:p w14:paraId="63C8FE46" w14:textId="77777777" w:rsidR="00000000" w:rsidRDefault="0053651E">
            <w:pPr>
              <w:jc w:val="right"/>
              <w:rPr>
                <w:rFonts w:eastAsia="Times New Roman"/>
                <w:sz w:val="16"/>
                <w:szCs w:val="16"/>
              </w:rPr>
            </w:pPr>
            <w:r>
              <w:rPr>
                <w:rFonts w:eastAsia="Times New Roman"/>
                <w:sz w:val="16"/>
                <w:szCs w:val="16"/>
              </w:rPr>
              <w:t>10,801,949</w:t>
            </w:r>
          </w:p>
        </w:tc>
        <w:tc>
          <w:tcPr>
            <w:tcW w:w="350" w:type="pct"/>
            <w:shd w:val="clear" w:color="auto" w:fill="CCEEFF"/>
            <w:vAlign w:val="bottom"/>
            <w:hideMark/>
          </w:tcPr>
          <w:p w14:paraId="30CFA896" w14:textId="77777777" w:rsidR="00000000" w:rsidRDefault="0053651E">
            <w:pPr>
              <w:jc w:val="right"/>
              <w:rPr>
                <w:rFonts w:eastAsia="Times New Roman"/>
                <w:sz w:val="16"/>
                <w:szCs w:val="16"/>
              </w:rPr>
            </w:pPr>
            <w:r>
              <w:rPr>
                <w:rFonts w:eastAsia="Times New Roman"/>
                <w:sz w:val="16"/>
                <w:szCs w:val="16"/>
              </w:rPr>
              <w:t>20,841,974</w:t>
            </w:r>
          </w:p>
        </w:tc>
        <w:tc>
          <w:tcPr>
            <w:tcW w:w="300" w:type="pct"/>
            <w:shd w:val="clear" w:color="auto" w:fill="CCEEFF"/>
            <w:vAlign w:val="bottom"/>
            <w:hideMark/>
          </w:tcPr>
          <w:p w14:paraId="29833E36" w14:textId="77777777" w:rsidR="00000000" w:rsidRDefault="0053651E">
            <w:pPr>
              <w:jc w:val="right"/>
              <w:rPr>
                <w:rFonts w:eastAsia="Times New Roman"/>
                <w:sz w:val="16"/>
                <w:szCs w:val="16"/>
              </w:rPr>
            </w:pPr>
            <w:r>
              <w:rPr>
                <w:rFonts w:eastAsia="Times New Roman"/>
                <w:sz w:val="16"/>
                <w:szCs w:val="16"/>
              </w:rPr>
              <w:t>12,203,841</w:t>
            </w:r>
          </w:p>
        </w:tc>
        <w:tc>
          <w:tcPr>
            <w:tcW w:w="450" w:type="pct"/>
            <w:shd w:val="clear" w:color="auto" w:fill="CCEEFF"/>
            <w:vAlign w:val="bottom"/>
            <w:hideMark/>
          </w:tcPr>
          <w:p w14:paraId="2AF66E8B" w14:textId="77777777" w:rsidR="00000000" w:rsidRDefault="0053651E">
            <w:pPr>
              <w:jc w:val="right"/>
              <w:rPr>
                <w:rFonts w:eastAsia="Times New Roman"/>
                <w:sz w:val="16"/>
                <w:szCs w:val="16"/>
              </w:rPr>
            </w:pPr>
            <w:r>
              <w:rPr>
                <w:rFonts w:eastAsia="Times New Roman"/>
                <w:sz w:val="16"/>
                <w:szCs w:val="16"/>
              </w:rPr>
              <w:t>26,970,791</w:t>
            </w:r>
          </w:p>
        </w:tc>
        <w:tc>
          <w:tcPr>
            <w:tcW w:w="350" w:type="pct"/>
            <w:shd w:val="clear" w:color="auto" w:fill="CCEEFF"/>
            <w:vAlign w:val="bottom"/>
            <w:hideMark/>
          </w:tcPr>
          <w:p w14:paraId="4AFB8491" w14:textId="77777777" w:rsidR="00000000" w:rsidRDefault="0053651E">
            <w:pPr>
              <w:jc w:val="right"/>
              <w:rPr>
                <w:rFonts w:eastAsia="Times New Roman"/>
                <w:sz w:val="16"/>
                <w:szCs w:val="16"/>
              </w:rPr>
            </w:pPr>
            <w:r>
              <w:rPr>
                <w:rFonts w:eastAsia="Times New Roman"/>
                <w:sz w:val="16"/>
                <w:szCs w:val="16"/>
              </w:rPr>
              <w:t>39,174,632</w:t>
            </w:r>
          </w:p>
        </w:tc>
        <w:tc>
          <w:tcPr>
            <w:tcW w:w="400" w:type="pct"/>
            <w:shd w:val="clear" w:color="auto" w:fill="CCEEFF"/>
            <w:vAlign w:val="bottom"/>
            <w:hideMark/>
          </w:tcPr>
          <w:p w14:paraId="2E197FC0" w14:textId="77777777" w:rsidR="00000000" w:rsidRDefault="0053651E">
            <w:pPr>
              <w:jc w:val="right"/>
              <w:rPr>
                <w:rFonts w:eastAsia="Times New Roman"/>
                <w:sz w:val="16"/>
                <w:szCs w:val="16"/>
              </w:rPr>
            </w:pPr>
            <w:r>
              <w:rPr>
                <w:rFonts w:eastAsia="Times New Roman"/>
                <w:sz w:val="16"/>
                <w:szCs w:val="16"/>
              </w:rPr>
              <w:t>8,213,444</w:t>
            </w:r>
          </w:p>
        </w:tc>
        <w:tc>
          <w:tcPr>
            <w:tcW w:w="50" w:type="pct"/>
            <w:shd w:val="clear" w:color="auto" w:fill="CCEEFF"/>
            <w:vAlign w:val="bottom"/>
            <w:hideMark/>
          </w:tcPr>
          <w:p w14:paraId="2346B0C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9F7CB4E" w14:textId="77777777" w:rsidR="00000000" w:rsidRDefault="0053651E">
            <w:pPr>
              <w:jc w:val="right"/>
              <w:rPr>
                <w:rFonts w:eastAsia="Times New Roman"/>
                <w:sz w:val="16"/>
                <w:szCs w:val="16"/>
              </w:rPr>
            </w:pPr>
            <w:r>
              <w:rPr>
                <w:rFonts w:eastAsia="Times New Roman"/>
                <w:sz w:val="16"/>
                <w:szCs w:val="16"/>
              </w:rPr>
              <w:t>30,961,188</w:t>
            </w:r>
          </w:p>
        </w:tc>
        <w:tc>
          <w:tcPr>
            <w:tcW w:w="50" w:type="pct"/>
            <w:shd w:val="clear" w:color="auto" w:fill="CCEEFF"/>
            <w:vAlign w:val="bottom"/>
            <w:hideMark/>
          </w:tcPr>
          <w:p w14:paraId="623F5E7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417704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23BB329"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7564BDBA" w14:textId="77777777">
        <w:trPr>
          <w:tblCellSpacing w:w="0" w:type="dxa"/>
        </w:trPr>
        <w:tc>
          <w:tcPr>
            <w:tcW w:w="50" w:type="pct"/>
            <w:shd w:val="clear" w:color="auto" w:fill="FFFFFF"/>
            <w:vAlign w:val="bottom"/>
            <w:hideMark/>
          </w:tcPr>
          <w:p w14:paraId="1AFF143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6B81019" w14:textId="77777777" w:rsidR="00000000" w:rsidRDefault="0053651E">
            <w:pPr>
              <w:pStyle w:val="a3"/>
              <w:spacing w:before="0" w:beforeAutospacing="0" w:after="0" w:afterAutospacing="0"/>
              <w:rPr>
                <w:sz w:val="16"/>
                <w:szCs w:val="16"/>
              </w:rPr>
            </w:pPr>
            <w:r>
              <w:rPr>
                <w:sz w:val="16"/>
                <w:szCs w:val="16"/>
              </w:rPr>
              <w:t>CLARK SHOPRITE 70 CENTRAL AVE</w:t>
            </w:r>
          </w:p>
        </w:tc>
        <w:tc>
          <w:tcPr>
            <w:tcW w:w="150" w:type="pct"/>
            <w:shd w:val="clear" w:color="auto" w:fill="FFFFFF"/>
            <w:vAlign w:val="bottom"/>
            <w:hideMark/>
          </w:tcPr>
          <w:p w14:paraId="1E4E61CE"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400AE3B1" w14:textId="77777777" w:rsidR="00000000" w:rsidRDefault="0053651E">
            <w:pPr>
              <w:jc w:val="right"/>
              <w:rPr>
                <w:rFonts w:eastAsia="Times New Roman"/>
                <w:sz w:val="16"/>
                <w:szCs w:val="16"/>
              </w:rPr>
            </w:pPr>
            <w:r>
              <w:rPr>
                <w:rFonts w:eastAsia="Times New Roman"/>
                <w:sz w:val="16"/>
                <w:szCs w:val="16"/>
              </w:rPr>
              <w:t>3,496,673</w:t>
            </w:r>
          </w:p>
        </w:tc>
        <w:tc>
          <w:tcPr>
            <w:tcW w:w="550" w:type="pct"/>
            <w:shd w:val="clear" w:color="auto" w:fill="FFFFFF"/>
            <w:vAlign w:val="bottom"/>
            <w:hideMark/>
          </w:tcPr>
          <w:p w14:paraId="7CCDDE8E" w14:textId="77777777" w:rsidR="00000000" w:rsidRDefault="0053651E">
            <w:pPr>
              <w:jc w:val="right"/>
              <w:rPr>
                <w:rFonts w:eastAsia="Times New Roman"/>
                <w:sz w:val="16"/>
                <w:szCs w:val="16"/>
              </w:rPr>
            </w:pPr>
            <w:r>
              <w:rPr>
                <w:rFonts w:eastAsia="Times New Roman"/>
                <w:sz w:val="16"/>
                <w:szCs w:val="16"/>
              </w:rPr>
              <w:t>11,693,769</w:t>
            </w:r>
          </w:p>
        </w:tc>
        <w:tc>
          <w:tcPr>
            <w:tcW w:w="350" w:type="pct"/>
            <w:shd w:val="clear" w:color="auto" w:fill="FFFFFF"/>
            <w:vAlign w:val="bottom"/>
            <w:hideMark/>
          </w:tcPr>
          <w:p w14:paraId="00DFE4F3" w14:textId="77777777" w:rsidR="00000000" w:rsidRDefault="0053651E">
            <w:pPr>
              <w:jc w:val="right"/>
              <w:rPr>
                <w:rFonts w:eastAsia="Times New Roman"/>
                <w:sz w:val="16"/>
                <w:szCs w:val="16"/>
              </w:rPr>
            </w:pPr>
            <w:r>
              <w:rPr>
                <w:rFonts w:eastAsia="Times New Roman"/>
                <w:sz w:val="16"/>
                <w:szCs w:val="16"/>
              </w:rPr>
              <w:t>994,829</w:t>
            </w:r>
          </w:p>
        </w:tc>
        <w:tc>
          <w:tcPr>
            <w:tcW w:w="300" w:type="pct"/>
            <w:shd w:val="clear" w:color="auto" w:fill="FFFFFF"/>
            <w:vAlign w:val="bottom"/>
            <w:hideMark/>
          </w:tcPr>
          <w:p w14:paraId="285EFF64" w14:textId="77777777" w:rsidR="00000000" w:rsidRDefault="0053651E">
            <w:pPr>
              <w:jc w:val="right"/>
              <w:rPr>
                <w:rFonts w:eastAsia="Times New Roman"/>
                <w:sz w:val="16"/>
                <w:szCs w:val="16"/>
              </w:rPr>
            </w:pPr>
            <w:r>
              <w:rPr>
                <w:rFonts w:eastAsia="Times New Roman"/>
                <w:sz w:val="16"/>
                <w:szCs w:val="16"/>
              </w:rPr>
              <w:t>13,959,593</w:t>
            </w:r>
          </w:p>
        </w:tc>
        <w:tc>
          <w:tcPr>
            <w:tcW w:w="450" w:type="pct"/>
            <w:shd w:val="clear" w:color="auto" w:fill="FFFFFF"/>
            <w:vAlign w:val="bottom"/>
            <w:hideMark/>
          </w:tcPr>
          <w:p w14:paraId="5F78733F" w14:textId="77777777" w:rsidR="00000000" w:rsidRDefault="0053651E">
            <w:pPr>
              <w:jc w:val="right"/>
              <w:rPr>
                <w:rFonts w:eastAsia="Times New Roman"/>
                <w:sz w:val="16"/>
                <w:szCs w:val="16"/>
              </w:rPr>
            </w:pPr>
            <w:r>
              <w:rPr>
                <w:rFonts w:eastAsia="Times New Roman"/>
                <w:sz w:val="16"/>
                <w:szCs w:val="16"/>
              </w:rPr>
              <w:t>2,225,678</w:t>
            </w:r>
          </w:p>
        </w:tc>
        <w:tc>
          <w:tcPr>
            <w:tcW w:w="350" w:type="pct"/>
            <w:shd w:val="clear" w:color="auto" w:fill="FFFFFF"/>
            <w:vAlign w:val="bottom"/>
            <w:hideMark/>
          </w:tcPr>
          <w:p w14:paraId="2AEA2E03" w14:textId="77777777" w:rsidR="00000000" w:rsidRDefault="0053651E">
            <w:pPr>
              <w:jc w:val="right"/>
              <w:rPr>
                <w:rFonts w:eastAsia="Times New Roman"/>
                <w:sz w:val="16"/>
                <w:szCs w:val="16"/>
              </w:rPr>
            </w:pPr>
            <w:r>
              <w:rPr>
                <w:rFonts w:eastAsia="Times New Roman"/>
                <w:sz w:val="16"/>
                <w:szCs w:val="16"/>
              </w:rPr>
              <w:t>16,185,271</w:t>
            </w:r>
          </w:p>
        </w:tc>
        <w:tc>
          <w:tcPr>
            <w:tcW w:w="400" w:type="pct"/>
            <w:shd w:val="clear" w:color="auto" w:fill="FFFFFF"/>
            <w:vAlign w:val="bottom"/>
            <w:hideMark/>
          </w:tcPr>
          <w:p w14:paraId="74F3FD75" w14:textId="77777777" w:rsidR="00000000" w:rsidRDefault="0053651E">
            <w:pPr>
              <w:jc w:val="right"/>
              <w:rPr>
                <w:rFonts w:eastAsia="Times New Roman"/>
                <w:sz w:val="16"/>
                <w:szCs w:val="16"/>
              </w:rPr>
            </w:pPr>
            <w:r>
              <w:rPr>
                <w:rFonts w:eastAsia="Times New Roman"/>
                <w:sz w:val="16"/>
                <w:szCs w:val="16"/>
              </w:rPr>
              <w:t>1,004,269</w:t>
            </w:r>
          </w:p>
        </w:tc>
        <w:tc>
          <w:tcPr>
            <w:tcW w:w="50" w:type="pct"/>
            <w:shd w:val="clear" w:color="auto" w:fill="FFFFFF"/>
            <w:vAlign w:val="bottom"/>
            <w:hideMark/>
          </w:tcPr>
          <w:p w14:paraId="4F4F5F9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3125DCC" w14:textId="77777777" w:rsidR="00000000" w:rsidRDefault="0053651E">
            <w:pPr>
              <w:jc w:val="right"/>
              <w:rPr>
                <w:rFonts w:eastAsia="Times New Roman"/>
                <w:sz w:val="16"/>
                <w:szCs w:val="16"/>
              </w:rPr>
            </w:pPr>
            <w:r>
              <w:rPr>
                <w:rFonts w:eastAsia="Times New Roman"/>
                <w:sz w:val="16"/>
                <w:szCs w:val="16"/>
              </w:rPr>
              <w:t>15,181,002</w:t>
            </w:r>
          </w:p>
        </w:tc>
        <w:tc>
          <w:tcPr>
            <w:tcW w:w="50" w:type="pct"/>
            <w:shd w:val="clear" w:color="auto" w:fill="FFFFFF"/>
            <w:vAlign w:val="bottom"/>
            <w:hideMark/>
          </w:tcPr>
          <w:p w14:paraId="62A53B5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7E174F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F50AF60"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633A60D4" w14:textId="77777777">
        <w:trPr>
          <w:tblCellSpacing w:w="0" w:type="dxa"/>
        </w:trPr>
        <w:tc>
          <w:tcPr>
            <w:tcW w:w="50" w:type="pct"/>
            <w:shd w:val="clear" w:color="auto" w:fill="CCEEFF"/>
            <w:vAlign w:val="bottom"/>
            <w:hideMark/>
          </w:tcPr>
          <w:p w14:paraId="34CF903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9DB78F3" w14:textId="77777777" w:rsidR="00000000" w:rsidRDefault="0053651E">
            <w:pPr>
              <w:pStyle w:val="a3"/>
              <w:spacing w:before="0" w:beforeAutospacing="0" w:after="0" w:afterAutospacing="0"/>
              <w:rPr>
                <w:sz w:val="16"/>
                <w:szCs w:val="16"/>
              </w:rPr>
            </w:pPr>
            <w:r>
              <w:rPr>
                <w:sz w:val="16"/>
                <w:szCs w:val="16"/>
              </w:rPr>
              <w:t>COMMERCE CENTER WEST</w:t>
            </w:r>
          </w:p>
        </w:tc>
        <w:tc>
          <w:tcPr>
            <w:tcW w:w="150" w:type="pct"/>
            <w:shd w:val="clear" w:color="auto" w:fill="CCEEFF"/>
            <w:vAlign w:val="bottom"/>
            <w:hideMark/>
          </w:tcPr>
          <w:p w14:paraId="13BBD141"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27576F53" w14:textId="77777777" w:rsidR="00000000" w:rsidRDefault="0053651E">
            <w:pPr>
              <w:jc w:val="right"/>
              <w:rPr>
                <w:rFonts w:eastAsia="Times New Roman"/>
                <w:sz w:val="16"/>
                <w:szCs w:val="16"/>
              </w:rPr>
            </w:pPr>
            <w:r>
              <w:rPr>
                <w:rFonts w:eastAsia="Times New Roman"/>
                <w:sz w:val="16"/>
                <w:szCs w:val="16"/>
              </w:rPr>
              <w:t>385,760</w:t>
            </w:r>
          </w:p>
        </w:tc>
        <w:tc>
          <w:tcPr>
            <w:tcW w:w="550" w:type="pct"/>
            <w:shd w:val="clear" w:color="auto" w:fill="CCEEFF"/>
            <w:vAlign w:val="bottom"/>
            <w:hideMark/>
          </w:tcPr>
          <w:p w14:paraId="60568C48" w14:textId="77777777" w:rsidR="00000000" w:rsidRDefault="0053651E">
            <w:pPr>
              <w:jc w:val="right"/>
              <w:rPr>
                <w:rFonts w:eastAsia="Times New Roman"/>
                <w:sz w:val="16"/>
                <w:szCs w:val="16"/>
              </w:rPr>
            </w:pPr>
            <w:r>
              <w:rPr>
                <w:rFonts w:eastAsia="Times New Roman"/>
                <w:sz w:val="16"/>
                <w:szCs w:val="16"/>
              </w:rPr>
              <w:t>1,290,080</w:t>
            </w:r>
          </w:p>
        </w:tc>
        <w:tc>
          <w:tcPr>
            <w:tcW w:w="350" w:type="pct"/>
            <w:shd w:val="clear" w:color="auto" w:fill="CCEEFF"/>
            <w:vAlign w:val="bottom"/>
            <w:hideMark/>
          </w:tcPr>
          <w:p w14:paraId="73508AC8" w14:textId="77777777" w:rsidR="00000000" w:rsidRDefault="0053651E">
            <w:pPr>
              <w:jc w:val="right"/>
              <w:rPr>
                <w:rFonts w:eastAsia="Times New Roman"/>
                <w:sz w:val="16"/>
                <w:szCs w:val="16"/>
              </w:rPr>
            </w:pPr>
            <w:r>
              <w:rPr>
                <w:rFonts w:eastAsia="Times New Roman"/>
                <w:sz w:val="16"/>
                <w:szCs w:val="16"/>
              </w:rPr>
              <w:t>160,534</w:t>
            </w:r>
          </w:p>
        </w:tc>
        <w:tc>
          <w:tcPr>
            <w:tcW w:w="300" w:type="pct"/>
            <w:shd w:val="clear" w:color="auto" w:fill="CCEEFF"/>
            <w:vAlign w:val="bottom"/>
            <w:hideMark/>
          </w:tcPr>
          <w:p w14:paraId="73E918AF" w14:textId="77777777" w:rsidR="00000000" w:rsidRDefault="0053651E">
            <w:pPr>
              <w:jc w:val="right"/>
              <w:rPr>
                <w:rFonts w:eastAsia="Times New Roman"/>
                <w:sz w:val="16"/>
                <w:szCs w:val="16"/>
              </w:rPr>
            </w:pPr>
            <w:r>
              <w:rPr>
                <w:rFonts w:eastAsia="Times New Roman"/>
                <w:sz w:val="16"/>
                <w:szCs w:val="16"/>
              </w:rPr>
              <w:t>793,595</w:t>
            </w:r>
          </w:p>
        </w:tc>
        <w:tc>
          <w:tcPr>
            <w:tcW w:w="450" w:type="pct"/>
            <w:shd w:val="clear" w:color="auto" w:fill="CCEEFF"/>
            <w:vAlign w:val="bottom"/>
            <w:hideMark/>
          </w:tcPr>
          <w:p w14:paraId="5064DF7E" w14:textId="77777777" w:rsidR="00000000" w:rsidRDefault="0053651E">
            <w:pPr>
              <w:jc w:val="right"/>
              <w:rPr>
                <w:rFonts w:eastAsia="Times New Roman"/>
                <w:sz w:val="16"/>
                <w:szCs w:val="16"/>
              </w:rPr>
            </w:pPr>
            <w:r>
              <w:rPr>
                <w:rFonts w:eastAsia="Times New Roman"/>
                <w:sz w:val="16"/>
                <w:szCs w:val="16"/>
              </w:rPr>
              <w:t>1,042,779</w:t>
            </w:r>
          </w:p>
        </w:tc>
        <w:tc>
          <w:tcPr>
            <w:tcW w:w="350" w:type="pct"/>
            <w:shd w:val="clear" w:color="auto" w:fill="CCEEFF"/>
            <w:vAlign w:val="bottom"/>
            <w:hideMark/>
          </w:tcPr>
          <w:p w14:paraId="48DED098" w14:textId="77777777" w:rsidR="00000000" w:rsidRDefault="0053651E">
            <w:pPr>
              <w:jc w:val="right"/>
              <w:rPr>
                <w:rFonts w:eastAsia="Times New Roman"/>
                <w:sz w:val="16"/>
                <w:szCs w:val="16"/>
              </w:rPr>
            </w:pPr>
            <w:r>
              <w:rPr>
                <w:rFonts w:eastAsia="Times New Roman"/>
                <w:sz w:val="16"/>
                <w:szCs w:val="16"/>
              </w:rPr>
              <w:t>1,836,374</w:t>
            </w:r>
          </w:p>
        </w:tc>
        <w:tc>
          <w:tcPr>
            <w:tcW w:w="400" w:type="pct"/>
            <w:shd w:val="clear" w:color="auto" w:fill="CCEEFF"/>
            <w:vAlign w:val="bottom"/>
            <w:hideMark/>
          </w:tcPr>
          <w:p w14:paraId="26F53FAC" w14:textId="77777777" w:rsidR="00000000" w:rsidRDefault="0053651E">
            <w:pPr>
              <w:jc w:val="right"/>
              <w:rPr>
                <w:rFonts w:eastAsia="Times New Roman"/>
                <w:sz w:val="16"/>
                <w:szCs w:val="16"/>
              </w:rPr>
            </w:pPr>
            <w:r>
              <w:rPr>
                <w:rFonts w:eastAsia="Times New Roman"/>
                <w:sz w:val="16"/>
                <w:szCs w:val="16"/>
              </w:rPr>
              <w:t>272,544</w:t>
            </w:r>
          </w:p>
        </w:tc>
        <w:tc>
          <w:tcPr>
            <w:tcW w:w="50" w:type="pct"/>
            <w:shd w:val="clear" w:color="auto" w:fill="CCEEFF"/>
            <w:vAlign w:val="bottom"/>
            <w:hideMark/>
          </w:tcPr>
          <w:p w14:paraId="299864E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663CD54" w14:textId="77777777" w:rsidR="00000000" w:rsidRDefault="0053651E">
            <w:pPr>
              <w:jc w:val="right"/>
              <w:rPr>
                <w:rFonts w:eastAsia="Times New Roman"/>
                <w:sz w:val="16"/>
                <w:szCs w:val="16"/>
              </w:rPr>
            </w:pPr>
            <w:r>
              <w:rPr>
                <w:rFonts w:eastAsia="Times New Roman"/>
                <w:sz w:val="16"/>
                <w:szCs w:val="16"/>
              </w:rPr>
              <w:t>1,563,830</w:t>
            </w:r>
          </w:p>
        </w:tc>
        <w:tc>
          <w:tcPr>
            <w:tcW w:w="50" w:type="pct"/>
            <w:shd w:val="clear" w:color="auto" w:fill="CCEEFF"/>
            <w:vAlign w:val="bottom"/>
            <w:hideMark/>
          </w:tcPr>
          <w:p w14:paraId="4DC9006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32271E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B785AA6"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4AC41EBC" w14:textId="77777777">
        <w:trPr>
          <w:tblCellSpacing w:w="0" w:type="dxa"/>
        </w:trPr>
        <w:tc>
          <w:tcPr>
            <w:tcW w:w="50" w:type="pct"/>
            <w:shd w:val="clear" w:color="auto" w:fill="FFFFFF"/>
            <w:vAlign w:val="bottom"/>
            <w:hideMark/>
          </w:tcPr>
          <w:p w14:paraId="51A18CA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D9D516F" w14:textId="77777777" w:rsidR="00000000" w:rsidRDefault="0053651E">
            <w:pPr>
              <w:pStyle w:val="a3"/>
              <w:spacing w:before="0" w:beforeAutospacing="0" w:after="0" w:afterAutospacing="0"/>
              <w:rPr>
                <w:sz w:val="16"/>
                <w:szCs w:val="16"/>
              </w:rPr>
            </w:pPr>
            <w:r>
              <w:rPr>
                <w:sz w:val="16"/>
                <w:szCs w:val="16"/>
              </w:rPr>
              <w:t>COMMERCE CENTER EAST</w:t>
            </w:r>
          </w:p>
        </w:tc>
        <w:tc>
          <w:tcPr>
            <w:tcW w:w="150" w:type="pct"/>
            <w:shd w:val="clear" w:color="auto" w:fill="FFFFFF"/>
            <w:vAlign w:val="bottom"/>
            <w:hideMark/>
          </w:tcPr>
          <w:p w14:paraId="5749F1B4"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4ACA7330" w14:textId="77777777" w:rsidR="00000000" w:rsidRDefault="0053651E">
            <w:pPr>
              <w:jc w:val="right"/>
              <w:rPr>
                <w:rFonts w:eastAsia="Times New Roman"/>
                <w:sz w:val="16"/>
                <w:szCs w:val="16"/>
              </w:rPr>
            </w:pPr>
            <w:r>
              <w:rPr>
                <w:rFonts w:eastAsia="Times New Roman"/>
                <w:sz w:val="16"/>
                <w:szCs w:val="16"/>
              </w:rPr>
              <w:t>1,518,930</w:t>
            </w:r>
          </w:p>
        </w:tc>
        <w:tc>
          <w:tcPr>
            <w:tcW w:w="550" w:type="pct"/>
            <w:shd w:val="clear" w:color="auto" w:fill="FFFFFF"/>
            <w:vAlign w:val="bottom"/>
            <w:hideMark/>
          </w:tcPr>
          <w:p w14:paraId="53B1C863" w14:textId="77777777" w:rsidR="00000000" w:rsidRDefault="0053651E">
            <w:pPr>
              <w:jc w:val="right"/>
              <w:rPr>
                <w:rFonts w:eastAsia="Times New Roman"/>
                <w:sz w:val="16"/>
                <w:szCs w:val="16"/>
              </w:rPr>
            </w:pPr>
            <w:r>
              <w:rPr>
                <w:rFonts w:eastAsia="Times New Roman"/>
                <w:sz w:val="16"/>
                <w:szCs w:val="16"/>
              </w:rPr>
              <w:t>5,079,690</w:t>
            </w:r>
          </w:p>
        </w:tc>
        <w:tc>
          <w:tcPr>
            <w:tcW w:w="350" w:type="pct"/>
            <w:shd w:val="clear" w:color="auto" w:fill="FFFFFF"/>
            <w:vAlign w:val="bottom"/>
            <w:hideMark/>
          </w:tcPr>
          <w:p w14:paraId="66615089" w14:textId="77777777" w:rsidR="00000000" w:rsidRDefault="0053651E">
            <w:pPr>
              <w:jc w:val="right"/>
              <w:rPr>
                <w:rFonts w:eastAsia="Times New Roman"/>
                <w:sz w:val="16"/>
                <w:szCs w:val="16"/>
              </w:rPr>
            </w:pPr>
            <w:r>
              <w:rPr>
                <w:rFonts w:eastAsia="Times New Roman"/>
                <w:sz w:val="16"/>
                <w:szCs w:val="16"/>
              </w:rPr>
              <w:t>1,753,865</w:t>
            </w:r>
          </w:p>
        </w:tc>
        <w:tc>
          <w:tcPr>
            <w:tcW w:w="300" w:type="pct"/>
            <w:shd w:val="clear" w:color="auto" w:fill="FFFFFF"/>
            <w:vAlign w:val="bottom"/>
            <w:hideMark/>
          </w:tcPr>
          <w:p w14:paraId="3E5B780E" w14:textId="77777777" w:rsidR="00000000" w:rsidRDefault="0053651E">
            <w:pPr>
              <w:jc w:val="right"/>
              <w:rPr>
                <w:rFonts w:eastAsia="Times New Roman"/>
                <w:sz w:val="16"/>
                <w:szCs w:val="16"/>
              </w:rPr>
            </w:pPr>
            <w:r>
              <w:rPr>
                <w:rFonts w:eastAsia="Times New Roman"/>
                <w:sz w:val="16"/>
                <w:szCs w:val="16"/>
              </w:rPr>
              <w:t>7,235,196</w:t>
            </w:r>
          </w:p>
        </w:tc>
        <w:tc>
          <w:tcPr>
            <w:tcW w:w="450" w:type="pct"/>
            <w:shd w:val="clear" w:color="auto" w:fill="FFFFFF"/>
            <w:vAlign w:val="bottom"/>
            <w:hideMark/>
          </w:tcPr>
          <w:p w14:paraId="56197438" w14:textId="77777777" w:rsidR="00000000" w:rsidRDefault="0053651E">
            <w:pPr>
              <w:jc w:val="right"/>
              <w:rPr>
                <w:rFonts w:eastAsia="Times New Roman"/>
                <w:sz w:val="16"/>
                <w:szCs w:val="16"/>
              </w:rPr>
            </w:pPr>
            <w:r>
              <w:rPr>
                <w:rFonts w:eastAsia="Times New Roman"/>
                <w:sz w:val="16"/>
                <w:szCs w:val="16"/>
              </w:rPr>
              <w:t>1,117,289</w:t>
            </w:r>
          </w:p>
        </w:tc>
        <w:tc>
          <w:tcPr>
            <w:tcW w:w="350" w:type="pct"/>
            <w:shd w:val="clear" w:color="auto" w:fill="FFFFFF"/>
            <w:vAlign w:val="bottom"/>
            <w:hideMark/>
          </w:tcPr>
          <w:p w14:paraId="298C7EF5" w14:textId="77777777" w:rsidR="00000000" w:rsidRDefault="0053651E">
            <w:pPr>
              <w:jc w:val="right"/>
              <w:rPr>
                <w:rFonts w:eastAsia="Times New Roman"/>
                <w:sz w:val="16"/>
                <w:szCs w:val="16"/>
              </w:rPr>
            </w:pPr>
            <w:r>
              <w:rPr>
                <w:rFonts w:eastAsia="Times New Roman"/>
                <w:sz w:val="16"/>
                <w:szCs w:val="16"/>
              </w:rPr>
              <w:t>8,352,485</w:t>
            </w:r>
          </w:p>
        </w:tc>
        <w:tc>
          <w:tcPr>
            <w:tcW w:w="400" w:type="pct"/>
            <w:shd w:val="clear" w:color="auto" w:fill="FFFFFF"/>
            <w:vAlign w:val="bottom"/>
            <w:hideMark/>
          </w:tcPr>
          <w:p w14:paraId="0DEF4517" w14:textId="77777777" w:rsidR="00000000" w:rsidRDefault="0053651E">
            <w:pPr>
              <w:jc w:val="right"/>
              <w:rPr>
                <w:rFonts w:eastAsia="Times New Roman"/>
                <w:sz w:val="16"/>
                <w:szCs w:val="16"/>
              </w:rPr>
            </w:pPr>
            <w:r>
              <w:rPr>
                <w:rFonts w:eastAsia="Times New Roman"/>
                <w:sz w:val="16"/>
                <w:szCs w:val="16"/>
              </w:rPr>
              <w:t>526,620</w:t>
            </w:r>
          </w:p>
        </w:tc>
        <w:tc>
          <w:tcPr>
            <w:tcW w:w="50" w:type="pct"/>
            <w:shd w:val="clear" w:color="auto" w:fill="FFFFFF"/>
            <w:vAlign w:val="bottom"/>
            <w:hideMark/>
          </w:tcPr>
          <w:p w14:paraId="2F3A2CC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5D52C61" w14:textId="77777777" w:rsidR="00000000" w:rsidRDefault="0053651E">
            <w:pPr>
              <w:jc w:val="right"/>
              <w:rPr>
                <w:rFonts w:eastAsia="Times New Roman"/>
                <w:sz w:val="16"/>
                <w:szCs w:val="16"/>
              </w:rPr>
            </w:pPr>
            <w:r>
              <w:rPr>
                <w:rFonts w:eastAsia="Times New Roman"/>
                <w:sz w:val="16"/>
                <w:szCs w:val="16"/>
              </w:rPr>
              <w:t>7,825,865</w:t>
            </w:r>
          </w:p>
        </w:tc>
        <w:tc>
          <w:tcPr>
            <w:tcW w:w="50" w:type="pct"/>
            <w:shd w:val="clear" w:color="auto" w:fill="FFFFFF"/>
            <w:vAlign w:val="bottom"/>
            <w:hideMark/>
          </w:tcPr>
          <w:p w14:paraId="3E146DC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0C3BA9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FDA0A25"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bl>
    <w:p w14:paraId="60DBDE59"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387"/>
        <w:gridCol w:w="232"/>
        <w:gridCol w:w="720"/>
        <w:gridCol w:w="800"/>
        <w:gridCol w:w="720"/>
        <w:gridCol w:w="720"/>
        <w:gridCol w:w="800"/>
        <w:gridCol w:w="800"/>
        <w:gridCol w:w="720"/>
        <w:gridCol w:w="40"/>
        <w:gridCol w:w="800"/>
        <w:gridCol w:w="40"/>
        <w:gridCol w:w="720"/>
        <w:gridCol w:w="543"/>
      </w:tblGrid>
      <w:tr w:rsidR="00000000" w14:paraId="614DA2AF" w14:textId="77777777">
        <w:trPr>
          <w:tblCellSpacing w:w="0" w:type="dxa"/>
        </w:trPr>
        <w:tc>
          <w:tcPr>
            <w:tcW w:w="50" w:type="pct"/>
            <w:shd w:val="clear" w:color="auto" w:fill="CCEEFF"/>
            <w:vAlign w:val="bottom"/>
            <w:hideMark/>
          </w:tcPr>
          <w:p w14:paraId="6DEDE42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A57AF79" w14:textId="77777777" w:rsidR="00000000" w:rsidRDefault="0053651E">
            <w:pPr>
              <w:pStyle w:val="a3"/>
              <w:spacing w:before="0" w:beforeAutospacing="0" w:after="0" w:afterAutospacing="0"/>
              <w:rPr>
                <w:sz w:val="16"/>
                <w:szCs w:val="16"/>
              </w:rPr>
            </w:pPr>
            <w:r>
              <w:rPr>
                <w:sz w:val="16"/>
                <w:szCs w:val="16"/>
              </w:rPr>
              <w:t>CENTRAL PLAZA</w:t>
            </w:r>
          </w:p>
        </w:tc>
        <w:tc>
          <w:tcPr>
            <w:tcW w:w="150" w:type="pct"/>
            <w:shd w:val="clear" w:color="auto" w:fill="CCEEFF"/>
            <w:vAlign w:val="bottom"/>
            <w:hideMark/>
          </w:tcPr>
          <w:p w14:paraId="70F38B0C"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4A2A403F" w14:textId="77777777" w:rsidR="00000000" w:rsidRDefault="0053651E">
            <w:pPr>
              <w:jc w:val="right"/>
              <w:rPr>
                <w:rFonts w:eastAsia="Times New Roman"/>
                <w:sz w:val="16"/>
                <w:szCs w:val="16"/>
              </w:rPr>
            </w:pPr>
            <w:r>
              <w:rPr>
                <w:rFonts w:eastAsia="Times New Roman"/>
                <w:sz w:val="16"/>
                <w:szCs w:val="16"/>
              </w:rPr>
              <w:t>3,170,465</w:t>
            </w:r>
          </w:p>
        </w:tc>
        <w:tc>
          <w:tcPr>
            <w:tcW w:w="550" w:type="pct"/>
            <w:shd w:val="clear" w:color="auto" w:fill="CCEEFF"/>
            <w:vAlign w:val="bottom"/>
            <w:hideMark/>
          </w:tcPr>
          <w:p w14:paraId="51EF9883" w14:textId="77777777" w:rsidR="00000000" w:rsidRDefault="0053651E">
            <w:pPr>
              <w:jc w:val="right"/>
              <w:rPr>
                <w:rFonts w:eastAsia="Times New Roman"/>
                <w:sz w:val="16"/>
                <w:szCs w:val="16"/>
              </w:rPr>
            </w:pPr>
            <w:r>
              <w:rPr>
                <w:rFonts w:eastAsia="Times New Roman"/>
                <w:sz w:val="16"/>
                <w:szCs w:val="16"/>
              </w:rPr>
              <w:t>10,602,845</w:t>
            </w:r>
          </w:p>
        </w:tc>
        <w:tc>
          <w:tcPr>
            <w:tcW w:w="350" w:type="pct"/>
            <w:shd w:val="clear" w:color="auto" w:fill="CCEEFF"/>
            <w:vAlign w:val="bottom"/>
            <w:hideMark/>
          </w:tcPr>
          <w:p w14:paraId="6FBABB72" w14:textId="77777777" w:rsidR="00000000" w:rsidRDefault="0053651E">
            <w:pPr>
              <w:jc w:val="right"/>
              <w:rPr>
                <w:rFonts w:eastAsia="Times New Roman"/>
                <w:sz w:val="16"/>
                <w:szCs w:val="16"/>
              </w:rPr>
            </w:pPr>
            <w:r>
              <w:rPr>
                <w:rFonts w:eastAsia="Times New Roman"/>
                <w:sz w:val="16"/>
                <w:szCs w:val="16"/>
              </w:rPr>
              <w:t>34,941</w:t>
            </w:r>
          </w:p>
        </w:tc>
        <w:tc>
          <w:tcPr>
            <w:tcW w:w="300" w:type="pct"/>
            <w:shd w:val="clear" w:color="auto" w:fill="CCEEFF"/>
            <w:vAlign w:val="bottom"/>
            <w:hideMark/>
          </w:tcPr>
          <w:p w14:paraId="69B5E6CB" w14:textId="77777777" w:rsidR="00000000" w:rsidRDefault="0053651E">
            <w:pPr>
              <w:jc w:val="right"/>
              <w:rPr>
                <w:rFonts w:eastAsia="Times New Roman"/>
                <w:sz w:val="16"/>
                <w:szCs w:val="16"/>
              </w:rPr>
            </w:pPr>
            <w:r>
              <w:rPr>
                <w:rFonts w:eastAsia="Times New Roman"/>
                <w:sz w:val="16"/>
                <w:szCs w:val="16"/>
              </w:rPr>
              <w:t>5,145,167</w:t>
            </w:r>
          </w:p>
        </w:tc>
        <w:tc>
          <w:tcPr>
            <w:tcW w:w="450" w:type="pct"/>
            <w:shd w:val="clear" w:color="auto" w:fill="CCEEFF"/>
            <w:vAlign w:val="bottom"/>
            <w:hideMark/>
          </w:tcPr>
          <w:p w14:paraId="0263E69F" w14:textId="77777777" w:rsidR="00000000" w:rsidRDefault="0053651E">
            <w:pPr>
              <w:jc w:val="right"/>
              <w:rPr>
                <w:rFonts w:eastAsia="Times New Roman"/>
                <w:sz w:val="16"/>
                <w:szCs w:val="16"/>
              </w:rPr>
            </w:pPr>
            <w:r>
              <w:rPr>
                <w:rFonts w:eastAsia="Times New Roman"/>
                <w:sz w:val="16"/>
                <w:szCs w:val="16"/>
              </w:rPr>
              <w:t>8,663,084</w:t>
            </w:r>
          </w:p>
        </w:tc>
        <w:tc>
          <w:tcPr>
            <w:tcW w:w="350" w:type="pct"/>
            <w:shd w:val="clear" w:color="auto" w:fill="CCEEFF"/>
            <w:vAlign w:val="bottom"/>
            <w:hideMark/>
          </w:tcPr>
          <w:p w14:paraId="4D931251" w14:textId="77777777" w:rsidR="00000000" w:rsidRDefault="0053651E">
            <w:pPr>
              <w:jc w:val="right"/>
              <w:rPr>
                <w:rFonts w:eastAsia="Times New Roman"/>
                <w:sz w:val="16"/>
                <w:szCs w:val="16"/>
              </w:rPr>
            </w:pPr>
            <w:r>
              <w:rPr>
                <w:rFonts w:eastAsia="Times New Roman"/>
                <w:sz w:val="16"/>
                <w:szCs w:val="16"/>
              </w:rPr>
              <w:t>13,808,251</w:t>
            </w:r>
          </w:p>
        </w:tc>
        <w:tc>
          <w:tcPr>
            <w:tcW w:w="400" w:type="pct"/>
            <w:shd w:val="clear" w:color="auto" w:fill="CCEEFF"/>
            <w:vAlign w:val="bottom"/>
            <w:hideMark/>
          </w:tcPr>
          <w:p w14:paraId="1E327BE1" w14:textId="77777777" w:rsidR="00000000" w:rsidRDefault="0053651E">
            <w:pPr>
              <w:jc w:val="right"/>
              <w:rPr>
                <w:rFonts w:eastAsia="Times New Roman"/>
                <w:sz w:val="16"/>
                <w:szCs w:val="16"/>
              </w:rPr>
            </w:pPr>
            <w:r>
              <w:rPr>
                <w:rFonts w:eastAsia="Times New Roman"/>
                <w:sz w:val="16"/>
                <w:szCs w:val="16"/>
              </w:rPr>
              <w:t>2,647,579</w:t>
            </w:r>
          </w:p>
        </w:tc>
        <w:tc>
          <w:tcPr>
            <w:tcW w:w="50" w:type="pct"/>
            <w:shd w:val="clear" w:color="auto" w:fill="CCEEFF"/>
            <w:vAlign w:val="bottom"/>
            <w:hideMark/>
          </w:tcPr>
          <w:p w14:paraId="11C7380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2BD8E2F" w14:textId="77777777" w:rsidR="00000000" w:rsidRDefault="0053651E">
            <w:pPr>
              <w:jc w:val="right"/>
              <w:rPr>
                <w:rFonts w:eastAsia="Times New Roman"/>
                <w:sz w:val="16"/>
                <w:szCs w:val="16"/>
              </w:rPr>
            </w:pPr>
            <w:r>
              <w:rPr>
                <w:rFonts w:eastAsia="Times New Roman"/>
                <w:sz w:val="16"/>
                <w:szCs w:val="16"/>
              </w:rPr>
              <w:t>11,160,672</w:t>
            </w:r>
          </w:p>
        </w:tc>
        <w:tc>
          <w:tcPr>
            <w:tcW w:w="50" w:type="pct"/>
            <w:shd w:val="clear" w:color="auto" w:fill="CCEEFF"/>
            <w:vAlign w:val="bottom"/>
            <w:hideMark/>
          </w:tcPr>
          <w:p w14:paraId="5D045D8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B85676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7DBAB77"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57C70B74" w14:textId="77777777">
        <w:trPr>
          <w:tblCellSpacing w:w="0" w:type="dxa"/>
        </w:trPr>
        <w:tc>
          <w:tcPr>
            <w:tcW w:w="50" w:type="pct"/>
            <w:shd w:val="clear" w:color="auto" w:fill="FFFFFF"/>
            <w:vAlign w:val="bottom"/>
            <w:hideMark/>
          </w:tcPr>
          <w:p w14:paraId="7A67051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D3B2450" w14:textId="77777777" w:rsidR="00000000" w:rsidRDefault="0053651E">
            <w:pPr>
              <w:pStyle w:val="a3"/>
              <w:spacing w:before="0" w:beforeAutospacing="0" w:after="0" w:afterAutospacing="0"/>
              <w:rPr>
                <w:sz w:val="16"/>
                <w:szCs w:val="16"/>
              </w:rPr>
            </w:pPr>
            <w:r>
              <w:rPr>
                <w:sz w:val="16"/>
                <w:szCs w:val="16"/>
              </w:rPr>
              <w:t>EAST WINDSOR VILLAGE</w:t>
            </w:r>
          </w:p>
        </w:tc>
        <w:tc>
          <w:tcPr>
            <w:tcW w:w="150" w:type="pct"/>
            <w:shd w:val="clear" w:color="auto" w:fill="FFFFFF"/>
            <w:vAlign w:val="bottom"/>
            <w:hideMark/>
          </w:tcPr>
          <w:p w14:paraId="40ECECB3"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5C416E7C" w14:textId="77777777" w:rsidR="00000000" w:rsidRDefault="0053651E">
            <w:pPr>
              <w:jc w:val="right"/>
              <w:rPr>
                <w:rFonts w:eastAsia="Times New Roman"/>
                <w:sz w:val="16"/>
                <w:szCs w:val="16"/>
              </w:rPr>
            </w:pPr>
            <w:r>
              <w:rPr>
                <w:rFonts w:eastAsia="Times New Roman"/>
                <w:sz w:val="16"/>
                <w:szCs w:val="16"/>
              </w:rPr>
              <w:t>9,335,011</w:t>
            </w:r>
          </w:p>
        </w:tc>
        <w:tc>
          <w:tcPr>
            <w:tcW w:w="550" w:type="pct"/>
            <w:shd w:val="clear" w:color="auto" w:fill="FFFFFF"/>
            <w:vAlign w:val="bottom"/>
            <w:hideMark/>
          </w:tcPr>
          <w:p w14:paraId="5538749F" w14:textId="77777777" w:rsidR="00000000" w:rsidRDefault="0053651E">
            <w:pPr>
              <w:jc w:val="right"/>
              <w:rPr>
                <w:rFonts w:eastAsia="Times New Roman"/>
                <w:sz w:val="16"/>
                <w:szCs w:val="16"/>
              </w:rPr>
            </w:pPr>
            <w:r>
              <w:rPr>
                <w:rFonts w:eastAsia="Times New Roman"/>
                <w:sz w:val="16"/>
                <w:szCs w:val="16"/>
              </w:rPr>
              <w:t>23,777,978</w:t>
            </w:r>
          </w:p>
        </w:tc>
        <w:tc>
          <w:tcPr>
            <w:tcW w:w="350" w:type="pct"/>
            <w:shd w:val="clear" w:color="auto" w:fill="FFFFFF"/>
            <w:vAlign w:val="bottom"/>
            <w:hideMark/>
          </w:tcPr>
          <w:p w14:paraId="71DECEFA" w14:textId="77777777" w:rsidR="00000000" w:rsidRDefault="0053651E">
            <w:pPr>
              <w:jc w:val="right"/>
              <w:rPr>
                <w:rFonts w:eastAsia="Times New Roman"/>
                <w:sz w:val="16"/>
                <w:szCs w:val="16"/>
              </w:rPr>
            </w:pPr>
            <w:r>
              <w:rPr>
                <w:rFonts w:eastAsia="Times New Roman"/>
                <w:sz w:val="16"/>
                <w:szCs w:val="16"/>
              </w:rPr>
              <w:t>249,699</w:t>
            </w:r>
          </w:p>
        </w:tc>
        <w:tc>
          <w:tcPr>
            <w:tcW w:w="300" w:type="pct"/>
            <w:shd w:val="clear" w:color="auto" w:fill="FFFFFF"/>
            <w:vAlign w:val="bottom"/>
            <w:hideMark/>
          </w:tcPr>
          <w:p w14:paraId="0BB73726" w14:textId="77777777" w:rsidR="00000000" w:rsidRDefault="0053651E">
            <w:pPr>
              <w:jc w:val="right"/>
              <w:rPr>
                <w:rFonts w:eastAsia="Times New Roman"/>
                <w:sz w:val="16"/>
                <w:szCs w:val="16"/>
              </w:rPr>
            </w:pPr>
            <w:r>
              <w:rPr>
                <w:rFonts w:eastAsia="Times New Roman"/>
                <w:sz w:val="16"/>
                <w:szCs w:val="16"/>
              </w:rPr>
              <w:t>9,335,011</w:t>
            </w:r>
          </w:p>
        </w:tc>
        <w:tc>
          <w:tcPr>
            <w:tcW w:w="450" w:type="pct"/>
            <w:shd w:val="clear" w:color="auto" w:fill="FFFFFF"/>
            <w:vAlign w:val="bottom"/>
            <w:hideMark/>
          </w:tcPr>
          <w:p w14:paraId="0ECB56B1" w14:textId="77777777" w:rsidR="00000000" w:rsidRDefault="0053651E">
            <w:pPr>
              <w:jc w:val="right"/>
              <w:rPr>
                <w:rFonts w:eastAsia="Times New Roman"/>
                <w:sz w:val="16"/>
                <w:szCs w:val="16"/>
              </w:rPr>
            </w:pPr>
            <w:r>
              <w:rPr>
                <w:rFonts w:eastAsia="Times New Roman"/>
                <w:sz w:val="16"/>
                <w:szCs w:val="16"/>
              </w:rPr>
              <w:t>24,027,677</w:t>
            </w:r>
          </w:p>
        </w:tc>
        <w:tc>
          <w:tcPr>
            <w:tcW w:w="350" w:type="pct"/>
            <w:shd w:val="clear" w:color="auto" w:fill="FFFFFF"/>
            <w:vAlign w:val="bottom"/>
            <w:hideMark/>
          </w:tcPr>
          <w:p w14:paraId="29C98C62" w14:textId="77777777" w:rsidR="00000000" w:rsidRDefault="0053651E">
            <w:pPr>
              <w:jc w:val="right"/>
              <w:rPr>
                <w:rFonts w:eastAsia="Times New Roman"/>
                <w:sz w:val="16"/>
                <w:szCs w:val="16"/>
              </w:rPr>
            </w:pPr>
            <w:r>
              <w:rPr>
                <w:rFonts w:eastAsia="Times New Roman"/>
                <w:sz w:val="16"/>
                <w:szCs w:val="16"/>
              </w:rPr>
              <w:t>33,362,688</w:t>
            </w:r>
          </w:p>
        </w:tc>
        <w:tc>
          <w:tcPr>
            <w:tcW w:w="400" w:type="pct"/>
            <w:shd w:val="clear" w:color="auto" w:fill="FFFFFF"/>
            <w:vAlign w:val="bottom"/>
            <w:hideMark/>
          </w:tcPr>
          <w:p w14:paraId="341B5B67" w14:textId="77777777" w:rsidR="00000000" w:rsidRDefault="0053651E">
            <w:pPr>
              <w:jc w:val="right"/>
              <w:rPr>
                <w:rFonts w:eastAsia="Times New Roman"/>
                <w:sz w:val="16"/>
                <w:szCs w:val="16"/>
              </w:rPr>
            </w:pPr>
            <w:r>
              <w:rPr>
                <w:rFonts w:eastAsia="Times New Roman"/>
                <w:sz w:val="16"/>
                <w:szCs w:val="16"/>
              </w:rPr>
              <w:t>7,442,802</w:t>
            </w:r>
          </w:p>
        </w:tc>
        <w:tc>
          <w:tcPr>
            <w:tcW w:w="50" w:type="pct"/>
            <w:shd w:val="clear" w:color="auto" w:fill="FFFFFF"/>
            <w:vAlign w:val="bottom"/>
            <w:hideMark/>
          </w:tcPr>
          <w:p w14:paraId="188E430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4AF3240" w14:textId="77777777" w:rsidR="00000000" w:rsidRDefault="0053651E">
            <w:pPr>
              <w:jc w:val="right"/>
              <w:rPr>
                <w:rFonts w:eastAsia="Times New Roman"/>
                <w:sz w:val="16"/>
                <w:szCs w:val="16"/>
              </w:rPr>
            </w:pPr>
            <w:r>
              <w:rPr>
                <w:rFonts w:eastAsia="Times New Roman"/>
                <w:sz w:val="16"/>
                <w:szCs w:val="16"/>
              </w:rPr>
              <w:t>25,919,886</w:t>
            </w:r>
          </w:p>
        </w:tc>
        <w:tc>
          <w:tcPr>
            <w:tcW w:w="50" w:type="pct"/>
            <w:shd w:val="clear" w:color="auto" w:fill="FFFFFF"/>
            <w:vAlign w:val="bottom"/>
            <w:hideMark/>
          </w:tcPr>
          <w:p w14:paraId="702783A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6F1DB8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77ED53A"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2774708C" w14:textId="77777777">
        <w:trPr>
          <w:tblCellSpacing w:w="0" w:type="dxa"/>
        </w:trPr>
        <w:tc>
          <w:tcPr>
            <w:tcW w:w="50" w:type="pct"/>
            <w:shd w:val="clear" w:color="auto" w:fill="CCEEFF"/>
            <w:vAlign w:val="bottom"/>
            <w:hideMark/>
          </w:tcPr>
          <w:p w14:paraId="0A0F44E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6D1EFCA" w14:textId="77777777" w:rsidR="00000000" w:rsidRDefault="0053651E">
            <w:pPr>
              <w:pStyle w:val="a3"/>
              <w:spacing w:before="0" w:beforeAutospacing="0" w:after="0" w:afterAutospacing="0"/>
              <w:rPr>
                <w:sz w:val="16"/>
                <w:szCs w:val="16"/>
              </w:rPr>
            </w:pPr>
            <w:r>
              <w:rPr>
                <w:sz w:val="16"/>
                <w:szCs w:val="16"/>
              </w:rPr>
              <w:t>HOLMDEL TOWNE CENTER</w:t>
            </w:r>
          </w:p>
        </w:tc>
        <w:tc>
          <w:tcPr>
            <w:tcW w:w="150" w:type="pct"/>
            <w:shd w:val="clear" w:color="auto" w:fill="CCEEFF"/>
            <w:vAlign w:val="bottom"/>
            <w:hideMark/>
          </w:tcPr>
          <w:p w14:paraId="3EE8C484"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02C7D546" w14:textId="77777777" w:rsidR="00000000" w:rsidRDefault="0053651E">
            <w:pPr>
              <w:jc w:val="right"/>
              <w:rPr>
                <w:rFonts w:eastAsia="Times New Roman"/>
                <w:sz w:val="16"/>
                <w:szCs w:val="16"/>
              </w:rPr>
            </w:pPr>
            <w:r>
              <w:rPr>
                <w:rFonts w:eastAsia="Times New Roman"/>
                <w:sz w:val="16"/>
                <w:szCs w:val="16"/>
              </w:rPr>
              <w:t>10,824,624</w:t>
            </w:r>
          </w:p>
        </w:tc>
        <w:tc>
          <w:tcPr>
            <w:tcW w:w="550" w:type="pct"/>
            <w:shd w:val="clear" w:color="auto" w:fill="CCEEFF"/>
            <w:vAlign w:val="bottom"/>
            <w:hideMark/>
          </w:tcPr>
          <w:p w14:paraId="474D7F53" w14:textId="77777777" w:rsidR="00000000" w:rsidRDefault="0053651E">
            <w:pPr>
              <w:jc w:val="right"/>
              <w:rPr>
                <w:rFonts w:eastAsia="Times New Roman"/>
                <w:sz w:val="16"/>
                <w:szCs w:val="16"/>
              </w:rPr>
            </w:pPr>
            <w:r>
              <w:rPr>
                <w:rFonts w:eastAsia="Times New Roman"/>
                <w:sz w:val="16"/>
                <w:szCs w:val="16"/>
              </w:rPr>
              <w:t>43,301,494</w:t>
            </w:r>
          </w:p>
        </w:tc>
        <w:tc>
          <w:tcPr>
            <w:tcW w:w="350" w:type="pct"/>
            <w:shd w:val="clear" w:color="auto" w:fill="CCEEFF"/>
            <w:vAlign w:val="bottom"/>
            <w:hideMark/>
          </w:tcPr>
          <w:p w14:paraId="031A6308" w14:textId="77777777" w:rsidR="00000000" w:rsidRDefault="0053651E">
            <w:pPr>
              <w:jc w:val="right"/>
              <w:rPr>
                <w:rFonts w:eastAsia="Times New Roman"/>
                <w:sz w:val="16"/>
                <w:szCs w:val="16"/>
              </w:rPr>
            </w:pPr>
            <w:r>
              <w:rPr>
                <w:rFonts w:eastAsia="Times New Roman"/>
                <w:sz w:val="16"/>
                <w:szCs w:val="16"/>
              </w:rPr>
              <w:t>10,776,136</w:t>
            </w:r>
          </w:p>
        </w:tc>
        <w:tc>
          <w:tcPr>
            <w:tcW w:w="300" w:type="pct"/>
            <w:shd w:val="clear" w:color="auto" w:fill="CCEEFF"/>
            <w:vAlign w:val="bottom"/>
            <w:hideMark/>
          </w:tcPr>
          <w:p w14:paraId="2655E627" w14:textId="77777777" w:rsidR="00000000" w:rsidRDefault="0053651E">
            <w:pPr>
              <w:jc w:val="right"/>
              <w:rPr>
                <w:rFonts w:eastAsia="Times New Roman"/>
                <w:sz w:val="16"/>
                <w:szCs w:val="16"/>
              </w:rPr>
            </w:pPr>
            <w:r>
              <w:rPr>
                <w:rFonts w:eastAsia="Times New Roman"/>
                <w:sz w:val="16"/>
                <w:szCs w:val="16"/>
              </w:rPr>
              <w:t>10,824,624</w:t>
            </w:r>
          </w:p>
        </w:tc>
        <w:tc>
          <w:tcPr>
            <w:tcW w:w="450" w:type="pct"/>
            <w:shd w:val="clear" w:color="auto" w:fill="CCEEFF"/>
            <w:vAlign w:val="bottom"/>
            <w:hideMark/>
          </w:tcPr>
          <w:p w14:paraId="486B1B25" w14:textId="77777777" w:rsidR="00000000" w:rsidRDefault="0053651E">
            <w:pPr>
              <w:jc w:val="right"/>
              <w:rPr>
                <w:rFonts w:eastAsia="Times New Roman"/>
                <w:sz w:val="16"/>
                <w:szCs w:val="16"/>
              </w:rPr>
            </w:pPr>
            <w:r>
              <w:rPr>
                <w:rFonts w:eastAsia="Times New Roman"/>
                <w:sz w:val="16"/>
                <w:szCs w:val="16"/>
              </w:rPr>
              <w:t>54,077,630</w:t>
            </w:r>
          </w:p>
        </w:tc>
        <w:tc>
          <w:tcPr>
            <w:tcW w:w="350" w:type="pct"/>
            <w:shd w:val="clear" w:color="auto" w:fill="CCEEFF"/>
            <w:vAlign w:val="bottom"/>
            <w:hideMark/>
          </w:tcPr>
          <w:p w14:paraId="4FFD3507" w14:textId="77777777" w:rsidR="00000000" w:rsidRDefault="0053651E">
            <w:pPr>
              <w:jc w:val="right"/>
              <w:rPr>
                <w:rFonts w:eastAsia="Times New Roman"/>
                <w:sz w:val="16"/>
                <w:szCs w:val="16"/>
              </w:rPr>
            </w:pPr>
            <w:r>
              <w:rPr>
                <w:rFonts w:eastAsia="Times New Roman"/>
                <w:sz w:val="16"/>
                <w:szCs w:val="16"/>
              </w:rPr>
              <w:t>64,902,254</w:t>
            </w:r>
          </w:p>
        </w:tc>
        <w:tc>
          <w:tcPr>
            <w:tcW w:w="400" w:type="pct"/>
            <w:shd w:val="clear" w:color="auto" w:fill="CCEEFF"/>
            <w:vAlign w:val="bottom"/>
            <w:hideMark/>
          </w:tcPr>
          <w:p w14:paraId="3FE83E89" w14:textId="77777777" w:rsidR="00000000" w:rsidRDefault="0053651E">
            <w:pPr>
              <w:jc w:val="right"/>
              <w:rPr>
                <w:rFonts w:eastAsia="Times New Roman"/>
                <w:sz w:val="16"/>
                <w:szCs w:val="16"/>
              </w:rPr>
            </w:pPr>
            <w:r>
              <w:rPr>
                <w:rFonts w:eastAsia="Times New Roman"/>
                <w:sz w:val="16"/>
                <w:szCs w:val="16"/>
              </w:rPr>
              <w:t>23,625,835</w:t>
            </w:r>
          </w:p>
        </w:tc>
        <w:tc>
          <w:tcPr>
            <w:tcW w:w="50" w:type="pct"/>
            <w:shd w:val="clear" w:color="auto" w:fill="CCEEFF"/>
            <w:vAlign w:val="bottom"/>
            <w:hideMark/>
          </w:tcPr>
          <w:p w14:paraId="4BB3E45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F4AA309" w14:textId="77777777" w:rsidR="00000000" w:rsidRDefault="0053651E">
            <w:pPr>
              <w:jc w:val="right"/>
              <w:rPr>
                <w:rFonts w:eastAsia="Times New Roman"/>
                <w:sz w:val="16"/>
                <w:szCs w:val="16"/>
              </w:rPr>
            </w:pPr>
            <w:r>
              <w:rPr>
                <w:rFonts w:eastAsia="Times New Roman"/>
                <w:sz w:val="16"/>
                <w:szCs w:val="16"/>
              </w:rPr>
              <w:t>41,276,419</w:t>
            </w:r>
          </w:p>
        </w:tc>
        <w:tc>
          <w:tcPr>
            <w:tcW w:w="50" w:type="pct"/>
            <w:shd w:val="clear" w:color="auto" w:fill="CCEEFF"/>
            <w:vAlign w:val="bottom"/>
            <w:hideMark/>
          </w:tcPr>
          <w:p w14:paraId="7D5D5F2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218D8B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E3F24D3" w14:textId="77777777" w:rsidR="00000000" w:rsidRDefault="0053651E">
            <w:pPr>
              <w:pStyle w:val="a3"/>
              <w:spacing w:before="0" w:beforeAutospacing="0" w:after="0" w:afterAutospacing="0"/>
              <w:jc w:val="center"/>
              <w:rPr>
                <w:sz w:val="16"/>
                <w:szCs w:val="16"/>
              </w:rPr>
            </w:pPr>
            <w:r>
              <w:rPr>
                <w:rStyle w:val="a6"/>
                <w:i w:val="0"/>
                <w:iCs w:val="0"/>
                <w:sz w:val="16"/>
                <w:szCs w:val="16"/>
              </w:rPr>
              <w:t>2002(A)</w:t>
            </w:r>
          </w:p>
        </w:tc>
      </w:tr>
      <w:tr w:rsidR="00000000" w14:paraId="698EE4D8" w14:textId="77777777">
        <w:trPr>
          <w:tblCellSpacing w:w="0" w:type="dxa"/>
        </w:trPr>
        <w:tc>
          <w:tcPr>
            <w:tcW w:w="50" w:type="pct"/>
            <w:shd w:val="clear" w:color="auto" w:fill="FFFFFF"/>
            <w:vAlign w:val="bottom"/>
            <w:hideMark/>
          </w:tcPr>
          <w:p w14:paraId="390E76B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AEC10E1" w14:textId="77777777" w:rsidR="00000000" w:rsidRDefault="0053651E">
            <w:pPr>
              <w:pStyle w:val="a3"/>
              <w:spacing w:before="0" w:beforeAutospacing="0" w:after="0" w:afterAutospacing="0"/>
              <w:rPr>
                <w:sz w:val="16"/>
                <w:szCs w:val="16"/>
              </w:rPr>
            </w:pPr>
            <w:r>
              <w:rPr>
                <w:sz w:val="16"/>
                <w:szCs w:val="16"/>
              </w:rPr>
              <w:t>COMMONS AT HOLMDEL</w:t>
            </w:r>
          </w:p>
        </w:tc>
        <w:tc>
          <w:tcPr>
            <w:tcW w:w="150" w:type="pct"/>
            <w:shd w:val="clear" w:color="auto" w:fill="FFFFFF"/>
            <w:vAlign w:val="bottom"/>
            <w:hideMark/>
          </w:tcPr>
          <w:p w14:paraId="4D508ADD"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25EC1555" w14:textId="77777777" w:rsidR="00000000" w:rsidRDefault="0053651E">
            <w:pPr>
              <w:jc w:val="right"/>
              <w:rPr>
                <w:rFonts w:eastAsia="Times New Roman"/>
                <w:sz w:val="16"/>
                <w:szCs w:val="16"/>
              </w:rPr>
            </w:pPr>
            <w:r>
              <w:rPr>
                <w:rFonts w:eastAsia="Times New Roman"/>
                <w:sz w:val="16"/>
                <w:szCs w:val="16"/>
              </w:rPr>
              <w:t>16,537,556</w:t>
            </w:r>
          </w:p>
        </w:tc>
        <w:tc>
          <w:tcPr>
            <w:tcW w:w="550" w:type="pct"/>
            <w:shd w:val="clear" w:color="auto" w:fill="FFFFFF"/>
            <w:vAlign w:val="bottom"/>
            <w:hideMark/>
          </w:tcPr>
          <w:p w14:paraId="6CFB1792" w14:textId="77777777" w:rsidR="00000000" w:rsidRDefault="0053651E">
            <w:pPr>
              <w:jc w:val="right"/>
              <w:rPr>
                <w:rFonts w:eastAsia="Times New Roman"/>
                <w:sz w:val="16"/>
                <w:szCs w:val="16"/>
              </w:rPr>
            </w:pPr>
            <w:r>
              <w:rPr>
                <w:rFonts w:eastAsia="Times New Roman"/>
                <w:sz w:val="16"/>
                <w:szCs w:val="16"/>
              </w:rPr>
              <w:t>38,759,952</w:t>
            </w:r>
          </w:p>
        </w:tc>
        <w:tc>
          <w:tcPr>
            <w:tcW w:w="350" w:type="pct"/>
            <w:shd w:val="clear" w:color="auto" w:fill="FFFFFF"/>
            <w:vAlign w:val="bottom"/>
            <w:hideMark/>
          </w:tcPr>
          <w:p w14:paraId="77C436FE" w14:textId="77777777" w:rsidR="00000000" w:rsidRDefault="0053651E">
            <w:pPr>
              <w:jc w:val="right"/>
              <w:rPr>
                <w:rFonts w:eastAsia="Times New Roman"/>
                <w:sz w:val="16"/>
                <w:szCs w:val="16"/>
              </w:rPr>
            </w:pPr>
            <w:r>
              <w:rPr>
                <w:rFonts w:eastAsia="Times New Roman"/>
                <w:sz w:val="16"/>
                <w:szCs w:val="16"/>
              </w:rPr>
              <w:t>4,219,623</w:t>
            </w:r>
          </w:p>
        </w:tc>
        <w:tc>
          <w:tcPr>
            <w:tcW w:w="300" w:type="pct"/>
            <w:shd w:val="clear" w:color="auto" w:fill="FFFFFF"/>
            <w:vAlign w:val="bottom"/>
            <w:hideMark/>
          </w:tcPr>
          <w:p w14:paraId="3D7EB153" w14:textId="77777777" w:rsidR="00000000" w:rsidRDefault="0053651E">
            <w:pPr>
              <w:jc w:val="right"/>
              <w:rPr>
                <w:rFonts w:eastAsia="Times New Roman"/>
                <w:sz w:val="16"/>
                <w:szCs w:val="16"/>
              </w:rPr>
            </w:pPr>
            <w:r>
              <w:rPr>
                <w:rFonts w:eastAsia="Times New Roman"/>
                <w:sz w:val="16"/>
                <w:szCs w:val="16"/>
              </w:rPr>
              <w:t>16,537,556</w:t>
            </w:r>
          </w:p>
        </w:tc>
        <w:tc>
          <w:tcPr>
            <w:tcW w:w="450" w:type="pct"/>
            <w:shd w:val="clear" w:color="auto" w:fill="FFFFFF"/>
            <w:vAlign w:val="bottom"/>
            <w:hideMark/>
          </w:tcPr>
          <w:p w14:paraId="40658B27" w14:textId="77777777" w:rsidR="00000000" w:rsidRDefault="0053651E">
            <w:pPr>
              <w:jc w:val="right"/>
              <w:rPr>
                <w:rFonts w:eastAsia="Times New Roman"/>
                <w:sz w:val="16"/>
                <w:szCs w:val="16"/>
              </w:rPr>
            </w:pPr>
            <w:r>
              <w:rPr>
                <w:rFonts w:eastAsia="Times New Roman"/>
                <w:sz w:val="16"/>
                <w:szCs w:val="16"/>
              </w:rPr>
              <w:t>42,979,575</w:t>
            </w:r>
          </w:p>
        </w:tc>
        <w:tc>
          <w:tcPr>
            <w:tcW w:w="350" w:type="pct"/>
            <w:shd w:val="clear" w:color="auto" w:fill="FFFFFF"/>
            <w:vAlign w:val="bottom"/>
            <w:hideMark/>
          </w:tcPr>
          <w:p w14:paraId="12983462" w14:textId="77777777" w:rsidR="00000000" w:rsidRDefault="0053651E">
            <w:pPr>
              <w:jc w:val="right"/>
              <w:rPr>
                <w:rFonts w:eastAsia="Times New Roman"/>
                <w:sz w:val="16"/>
                <w:szCs w:val="16"/>
              </w:rPr>
            </w:pPr>
            <w:r>
              <w:rPr>
                <w:rFonts w:eastAsia="Times New Roman"/>
                <w:sz w:val="16"/>
                <w:szCs w:val="16"/>
              </w:rPr>
              <w:t>59,517,131</w:t>
            </w:r>
          </w:p>
        </w:tc>
        <w:tc>
          <w:tcPr>
            <w:tcW w:w="400" w:type="pct"/>
            <w:shd w:val="clear" w:color="auto" w:fill="FFFFFF"/>
            <w:vAlign w:val="bottom"/>
            <w:hideMark/>
          </w:tcPr>
          <w:p w14:paraId="741E4593" w14:textId="77777777" w:rsidR="00000000" w:rsidRDefault="0053651E">
            <w:pPr>
              <w:jc w:val="right"/>
              <w:rPr>
                <w:rFonts w:eastAsia="Times New Roman"/>
                <w:sz w:val="16"/>
                <w:szCs w:val="16"/>
              </w:rPr>
            </w:pPr>
            <w:r>
              <w:rPr>
                <w:rFonts w:eastAsia="Times New Roman"/>
                <w:sz w:val="16"/>
                <w:szCs w:val="16"/>
              </w:rPr>
              <w:t>18,321,594</w:t>
            </w:r>
          </w:p>
        </w:tc>
        <w:tc>
          <w:tcPr>
            <w:tcW w:w="50" w:type="pct"/>
            <w:shd w:val="clear" w:color="auto" w:fill="FFFFFF"/>
            <w:vAlign w:val="bottom"/>
            <w:hideMark/>
          </w:tcPr>
          <w:p w14:paraId="48601E8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A7FD9EA" w14:textId="77777777" w:rsidR="00000000" w:rsidRDefault="0053651E">
            <w:pPr>
              <w:jc w:val="right"/>
              <w:rPr>
                <w:rFonts w:eastAsia="Times New Roman"/>
                <w:sz w:val="16"/>
                <w:szCs w:val="16"/>
              </w:rPr>
            </w:pPr>
            <w:r>
              <w:rPr>
                <w:rFonts w:eastAsia="Times New Roman"/>
                <w:sz w:val="16"/>
                <w:szCs w:val="16"/>
              </w:rPr>
              <w:t>41,195,537</w:t>
            </w:r>
          </w:p>
        </w:tc>
        <w:tc>
          <w:tcPr>
            <w:tcW w:w="50" w:type="pct"/>
            <w:shd w:val="clear" w:color="auto" w:fill="FFFFFF"/>
            <w:vAlign w:val="bottom"/>
            <w:hideMark/>
          </w:tcPr>
          <w:p w14:paraId="05D7BAA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021626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BC9D8CC"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27DE0459" w14:textId="77777777">
        <w:trPr>
          <w:tblCellSpacing w:w="0" w:type="dxa"/>
        </w:trPr>
        <w:tc>
          <w:tcPr>
            <w:tcW w:w="50" w:type="pct"/>
            <w:shd w:val="clear" w:color="auto" w:fill="CCEEFF"/>
            <w:vAlign w:val="bottom"/>
            <w:hideMark/>
          </w:tcPr>
          <w:p w14:paraId="29EE316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1E9E45B" w14:textId="77777777" w:rsidR="00000000" w:rsidRDefault="0053651E">
            <w:pPr>
              <w:pStyle w:val="a3"/>
              <w:spacing w:before="0" w:beforeAutospacing="0" w:after="0" w:afterAutospacing="0"/>
              <w:rPr>
                <w:sz w:val="16"/>
                <w:szCs w:val="16"/>
              </w:rPr>
            </w:pPr>
            <w:r>
              <w:rPr>
                <w:sz w:val="16"/>
                <w:szCs w:val="16"/>
              </w:rPr>
              <w:t>PLAZA AT HILLSDALE</w:t>
            </w:r>
          </w:p>
        </w:tc>
        <w:tc>
          <w:tcPr>
            <w:tcW w:w="150" w:type="pct"/>
            <w:shd w:val="clear" w:color="auto" w:fill="CCEEFF"/>
            <w:vAlign w:val="bottom"/>
            <w:hideMark/>
          </w:tcPr>
          <w:p w14:paraId="74EA49C7"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5B1D4583" w14:textId="77777777" w:rsidR="00000000" w:rsidRDefault="0053651E">
            <w:pPr>
              <w:jc w:val="right"/>
              <w:rPr>
                <w:rFonts w:eastAsia="Times New Roman"/>
                <w:sz w:val="16"/>
                <w:szCs w:val="16"/>
              </w:rPr>
            </w:pPr>
            <w:r>
              <w:rPr>
                <w:rFonts w:eastAsia="Times New Roman"/>
                <w:sz w:val="16"/>
                <w:szCs w:val="16"/>
              </w:rPr>
              <w:t>7,601,596</w:t>
            </w:r>
          </w:p>
        </w:tc>
        <w:tc>
          <w:tcPr>
            <w:tcW w:w="550" w:type="pct"/>
            <w:shd w:val="clear" w:color="auto" w:fill="CCEEFF"/>
            <w:vAlign w:val="bottom"/>
            <w:hideMark/>
          </w:tcPr>
          <w:p w14:paraId="0D0093ED" w14:textId="77777777" w:rsidR="00000000" w:rsidRDefault="0053651E">
            <w:pPr>
              <w:jc w:val="right"/>
              <w:rPr>
                <w:rFonts w:eastAsia="Times New Roman"/>
                <w:sz w:val="16"/>
                <w:szCs w:val="16"/>
              </w:rPr>
            </w:pPr>
            <w:r>
              <w:rPr>
                <w:rFonts w:eastAsia="Times New Roman"/>
                <w:sz w:val="16"/>
                <w:szCs w:val="16"/>
              </w:rPr>
              <w:t>6,994,196</w:t>
            </w:r>
          </w:p>
        </w:tc>
        <w:tc>
          <w:tcPr>
            <w:tcW w:w="350" w:type="pct"/>
            <w:shd w:val="clear" w:color="auto" w:fill="CCEEFF"/>
            <w:vAlign w:val="bottom"/>
            <w:hideMark/>
          </w:tcPr>
          <w:p w14:paraId="6A379CB3" w14:textId="77777777" w:rsidR="00000000" w:rsidRDefault="0053651E">
            <w:pPr>
              <w:jc w:val="right"/>
              <w:rPr>
                <w:rFonts w:eastAsia="Times New Roman"/>
                <w:sz w:val="16"/>
                <w:szCs w:val="16"/>
              </w:rPr>
            </w:pPr>
            <w:r>
              <w:rPr>
                <w:rFonts w:eastAsia="Times New Roman"/>
                <w:sz w:val="16"/>
                <w:szCs w:val="16"/>
              </w:rPr>
              <w:t>1,564,519</w:t>
            </w:r>
          </w:p>
        </w:tc>
        <w:tc>
          <w:tcPr>
            <w:tcW w:w="300" w:type="pct"/>
            <w:shd w:val="clear" w:color="auto" w:fill="CCEEFF"/>
            <w:vAlign w:val="bottom"/>
            <w:hideMark/>
          </w:tcPr>
          <w:p w14:paraId="7283624E" w14:textId="77777777" w:rsidR="00000000" w:rsidRDefault="0053651E">
            <w:pPr>
              <w:jc w:val="right"/>
              <w:rPr>
                <w:rFonts w:eastAsia="Times New Roman"/>
                <w:sz w:val="16"/>
                <w:szCs w:val="16"/>
              </w:rPr>
            </w:pPr>
            <w:r>
              <w:rPr>
                <w:rFonts w:eastAsia="Times New Roman"/>
                <w:sz w:val="16"/>
                <w:szCs w:val="16"/>
              </w:rPr>
              <w:t>7,601,596</w:t>
            </w:r>
          </w:p>
        </w:tc>
        <w:tc>
          <w:tcPr>
            <w:tcW w:w="450" w:type="pct"/>
            <w:shd w:val="clear" w:color="auto" w:fill="CCEEFF"/>
            <w:vAlign w:val="bottom"/>
            <w:hideMark/>
          </w:tcPr>
          <w:p w14:paraId="355F3E07" w14:textId="77777777" w:rsidR="00000000" w:rsidRDefault="0053651E">
            <w:pPr>
              <w:jc w:val="right"/>
              <w:rPr>
                <w:rFonts w:eastAsia="Times New Roman"/>
                <w:sz w:val="16"/>
                <w:szCs w:val="16"/>
              </w:rPr>
            </w:pPr>
            <w:r>
              <w:rPr>
                <w:rFonts w:eastAsia="Times New Roman"/>
                <w:sz w:val="16"/>
                <w:szCs w:val="16"/>
              </w:rPr>
              <w:t>8,558,715</w:t>
            </w:r>
          </w:p>
        </w:tc>
        <w:tc>
          <w:tcPr>
            <w:tcW w:w="350" w:type="pct"/>
            <w:shd w:val="clear" w:color="auto" w:fill="CCEEFF"/>
            <w:vAlign w:val="bottom"/>
            <w:hideMark/>
          </w:tcPr>
          <w:p w14:paraId="21DB5767" w14:textId="77777777" w:rsidR="00000000" w:rsidRDefault="0053651E">
            <w:pPr>
              <w:jc w:val="right"/>
              <w:rPr>
                <w:rFonts w:eastAsia="Times New Roman"/>
                <w:sz w:val="16"/>
                <w:szCs w:val="16"/>
              </w:rPr>
            </w:pPr>
            <w:r>
              <w:rPr>
                <w:rFonts w:eastAsia="Times New Roman"/>
                <w:sz w:val="16"/>
                <w:szCs w:val="16"/>
              </w:rPr>
              <w:t>16,160,311</w:t>
            </w:r>
          </w:p>
        </w:tc>
        <w:tc>
          <w:tcPr>
            <w:tcW w:w="400" w:type="pct"/>
            <w:shd w:val="clear" w:color="auto" w:fill="CCEEFF"/>
            <w:vAlign w:val="bottom"/>
            <w:hideMark/>
          </w:tcPr>
          <w:p w14:paraId="76B4E17B" w14:textId="77777777" w:rsidR="00000000" w:rsidRDefault="0053651E">
            <w:pPr>
              <w:jc w:val="right"/>
              <w:rPr>
                <w:rFonts w:eastAsia="Times New Roman"/>
                <w:sz w:val="16"/>
                <w:szCs w:val="16"/>
              </w:rPr>
            </w:pPr>
            <w:r>
              <w:rPr>
                <w:rFonts w:eastAsia="Times New Roman"/>
                <w:sz w:val="16"/>
                <w:szCs w:val="16"/>
              </w:rPr>
              <w:t>1,728,385</w:t>
            </w:r>
          </w:p>
        </w:tc>
        <w:tc>
          <w:tcPr>
            <w:tcW w:w="50" w:type="pct"/>
            <w:shd w:val="clear" w:color="auto" w:fill="CCEEFF"/>
            <w:vAlign w:val="bottom"/>
            <w:hideMark/>
          </w:tcPr>
          <w:p w14:paraId="143B2E7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D7130D1" w14:textId="77777777" w:rsidR="00000000" w:rsidRDefault="0053651E">
            <w:pPr>
              <w:jc w:val="right"/>
              <w:rPr>
                <w:rFonts w:eastAsia="Times New Roman"/>
                <w:sz w:val="16"/>
                <w:szCs w:val="16"/>
              </w:rPr>
            </w:pPr>
            <w:r>
              <w:rPr>
                <w:rFonts w:eastAsia="Times New Roman"/>
                <w:sz w:val="16"/>
                <w:szCs w:val="16"/>
              </w:rPr>
              <w:t>14,431,926</w:t>
            </w:r>
          </w:p>
        </w:tc>
        <w:tc>
          <w:tcPr>
            <w:tcW w:w="50" w:type="pct"/>
            <w:shd w:val="clear" w:color="auto" w:fill="CCEEFF"/>
            <w:vAlign w:val="bottom"/>
            <w:hideMark/>
          </w:tcPr>
          <w:p w14:paraId="3A6A894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4207FD2" w14:textId="77777777" w:rsidR="00000000" w:rsidRDefault="0053651E">
            <w:pPr>
              <w:jc w:val="right"/>
              <w:rPr>
                <w:rFonts w:eastAsia="Times New Roman"/>
                <w:sz w:val="16"/>
                <w:szCs w:val="16"/>
              </w:rPr>
            </w:pPr>
            <w:r>
              <w:rPr>
                <w:rFonts w:eastAsia="Times New Roman"/>
                <w:sz w:val="16"/>
                <w:szCs w:val="16"/>
              </w:rPr>
              <w:t>5,449,532</w:t>
            </w:r>
          </w:p>
        </w:tc>
        <w:tc>
          <w:tcPr>
            <w:tcW w:w="500" w:type="pct"/>
            <w:shd w:val="clear" w:color="auto" w:fill="CCEEFF"/>
            <w:vAlign w:val="bottom"/>
            <w:hideMark/>
          </w:tcPr>
          <w:p w14:paraId="0DD462C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3839C894" w14:textId="77777777">
        <w:trPr>
          <w:tblCellSpacing w:w="0" w:type="dxa"/>
        </w:trPr>
        <w:tc>
          <w:tcPr>
            <w:tcW w:w="50" w:type="pct"/>
            <w:shd w:val="clear" w:color="auto" w:fill="FFFFFF"/>
            <w:vAlign w:val="bottom"/>
            <w:hideMark/>
          </w:tcPr>
          <w:p w14:paraId="0B59899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4FF8B92" w14:textId="77777777" w:rsidR="00000000" w:rsidRDefault="0053651E">
            <w:pPr>
              <w:pStyle w:val="a3"/>
              <w:spacing w:before="0" w:beforeAutospacing="0" w:after="0" w:afterAutospacing="0"/>
              <w:rPr>
                <w:sz w:val="16"/>
                <w:szCs w:val="16"/>
              </w:rPr>
            </w:pPr>
            <w:r>
              <w:rPr>
                <w:sz w:val="16"/>
                <w:szCs w:val="16"/>
              </w:rPr>
              <w:t>MAPLE SHADE</w:t>
            </w:r>
          </w:p>
        </w:tc>
        <w:tc>
          <w:tcPr>
            <w:tcW w:w="150" w:type="pct"/>
            <w:shd w:val="clear" w:color="auto" w:fill="FFFFFF"/>
            <w:vAlign w:val="bottom"/>
            <w:hideMark/>
          </w:tcPr>
          <w:p w14:paraId="5A9A183C"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64A0987A"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000662A1" w14:textId="77777777" w:rsidR="00000000" w:rsidRDefault="0053651E">
            <w:pPr>
              <w:jc w:val="right"/>
              <w:rPr>
                <w:rFonts w:eastAsia="Times New Roman"/>
                <w:sz w:val="16"/>
                <w:szCs w:val="16"/>
              </w:rPr>
            </w:pPr>
            <w:r>
              <w:rPr>
                <w:rFonts w:eastAsia="Times New Roman"/>
                <w:sz w:val="16"/>
                <w:szCs w:val="16"/>
              </w:rPr>
              <w:t>9,957,611</w:t>
            </w:r>
          </w:p>
        </w:tc>
        <w:tc>
          <w:tcPr>
            <w:tcW w:w="350" w:type="pct"/>
            <w:shd w:val="clear" w:color="auto" w:fill="FFFFFF"/>
            <w:vAlign w:val="bottom"/>
            <w:hideMark/>
          </w:tcPr>
          <w:p w14:paraId="100279F5" w14:textId="77777777" w:rsidR="00000000" w:rsidRDefault="0053651E">
            <w:pPr>
              <w:jc w:val="right"/>
              <w:rPr>
                <w:rFonts w:eastAsia="Times New Roman"/>
                <w:sz w:val="16"/>
                <w:szCs w:val="16"/>
              </w:rPr>
            </w:pPr>
            <w:r>
              <w:rPr>
                <w:rFonts w:eastAsia="Times New Roman"/>
                <w:sz w:val="16"/>
                <w:szCs w:val="16"/>
              </w:rPr>
              <w:t>2,247,570</w:t>
            </w:r>
          </w:p>
        </w:tc>
        <w:tc>
          <w:tcPr>
            <w:tcW w:w="300" w:type="pct"/>
            <w:shd w:val="clear" w:color="auto" w:fill="FFFFFF"/>
            <w:vAlign w:val="bottom"/>
            <w:hideMark/>
          </w:tcPr>
          <w:p w14:paraId="4A0D59B6"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7D377AF7" w14:textId="77777777" w:rsidR="00000000" w:rsidRDefault="0053651E">
            <w:pPr>
              <w:jc w:val="right"/>
              <w:rPr>
                <w:rFonts w:eastAsia="Times New Roman"/>
                <w:sz w:val="16"/>
                <w:szCs w:val="16"/>
              </w:rPr>
            </w:pPr>
            <w:r>
              <w:rPr>
                <w:rFonts w:eastAsia="Times New Roman"/>
                <w:sz w:val="16"/>
                <w:szCs w:val="16"/>
              </w:rPr>
              <w:t>12,205,181</w:t>
            </w:r>
          </w:p>
        </w:tc>
        <w:tc>
          <w:tcPr>
            <w:tcW w:w="350" w:type="pct"/>
            <w:shd w:val="clear" w:color="auto" w:fill="FFFFFF"/>
            <w:vAlign w:val="bottom"/>
            <w:hideMark/>
          </w:tcPr>
          <w:p w14:paraId="54755A47" w14:textId="77777777" w:rsidR="00000000" w:rsidRDefault="0053651E">
            <w:pPr>
              <w:jc w:val="right"/>
              <w:rPr>
                <w:rFonts w:eastAsia="Times New Roman"/>
                <w:sz w:val="16"/>
                <w:szCs w:val="16"/>
              </w:rPr>
            </w:pPr>
            <w:r>
              <w:rPr>
                <w:rFonts w:eastAsia="Times New Roman"/>
                <w:sz w:val="16"/>
                <w:szCs w:val="16"/>
              </w:rPr>
              <w:t>12,205,181</w:t>
            </w:r>
          </w:p>
        </w:tc>
        <w:tc>
          <w:tcPr>
            <w:tcW w:w="400" w:type="pct"/>
            <w:shd w:val="clear" w:color="auto" w:fill="FFFFFF"/>
            <w:vAlign w:val="bottom"/>
            <w:hideMark/>
          </w:tcPr>
          <w:p w14:paraId="35153C12" w14:textId="77777777" w:rsidR="00000000" w:rsidRDefault="0053651E">
            <w:pPr>
              <w:jc w:val="right"/>
              <w:rPr>
                <w:rFonts w:eastAsia="Times New Roman"/>
                <w:sz w:val="16"/>
                <w:szCs w:val="16"/>
              </w:rPr>
            </w:pPr>
            <w:r>
              <w:rPr>
                <w:rFonts w:eastAsia="Times New Roman"/>
                <w:sz w:val="16"/>
                <w:szCs w:val="16"/>
              </w:rPr>
              <w:t>3,154,532</w:t>
            </w:r>
          </w:p>
        </w:tc>
        <w:tc>
          <w:tcPr>
            <w:tcW w:w="50" w:type="pct"/>
            <w:shd w:val="clear" w:color="auto" w:fill="FFFFFF"/>
            <w:vAlign w:val="bottom"/>
            <w:hideMark/>
          </w:tcPr>
          <w:p w14:paraId="0AAE560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D2836EB" w14:textId="77777777" w:rsidR="00000000" w:rsidRDefault="0053651E">
            <w:pPr>
              <w:jc w:val="right"/>
              <w:rPr>
                <w:rFonts w:eastAsia="Times New Roman"/>
                <w:sz w:val="16"/>
                <w:szCs w:val="16"/>
              </w:rPr>
            </w:pPr>
            <w:r>
              <w:rPr>
                <w:rFonts w:eastAsia="Times New Roman"/>
                <w:sz w:val="16"/>
                <w:szCs w:val="16"/>
              </w:rPr>
              <w:t>9,050,649</w:t>
            </w:r>
          </w:p>
        </w:tc>
        <w:tc>
          <w:tcPr>
            <w:tcW w:w="50" w:type="pct"/>
            <w:shd w:val="clear" w:color="auto" w:fill="FFFFFF"/>
            <w:vAlign w:val="bottom"/>
            <w:hideMark/>
          </w:tcPr>
          <w:p w14:paraId="6ACFBB6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E56073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55F6887"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765B85A8" w14:textId="77777777">
        <w:trPr>
          <w:tblCellSpacing w:w="0" w:type="dxa"/>
        </w:trPr>
        <w:tc>
          <w:tcPr>
            <w:tcW w:w="50" w:type="pct"/>
            <w:shd w:val="clear" w:color="auto" w:fill="CCEEFF"/>
            <w:vAlign w:val="bottom"/>
            <w:hideMark/>
          </w:tcPr>
          <w:p w14:paraId="1BD09ED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D69BBF3" w14:textId="77777777" w:rsidR="00000000" w:rsidRDefault="0053651E">
            <w:pPr>
              <w:pStyle w:val="a3"/>
              <w:spacing w:before="0" w:beforeAutospacing="0" w:after="0" w:afterAutospacing="0"/>
              <w:rPr>
                <w:sz w:val="16"/>
                <w:szCs w:val="16"/>
              </w:rPr>
            </w:pPr>
            <w:r>
              <w:rPr>
                <w:sz w:val="16"/>
                <w:szCs w:val="16"/>
              </w:rPr>
              <w:t>PLAZA AT SHORT HILLS</w:t>
            </w:r>
          </w:p>
        </w:tc>
        <w:tc>
          <w:tcPr>
            <w:tcW w:w="150" w:type="pct"/>
            <w:shd w:val="clear" w:color="auto" w:fill="CCEEFF"/>
            <w:vAlign w:val="bottom"/>
            <w:hideMark/>
          </w:tcPr>
          <w:p w14:paraId="4C5C3510"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086C9436" w14:textId="77777777" w:rsidR="00000000" w:rsidRDefault="0053651E">
            <w:pPr>
              <w:jc w:val="right"/>
              <w:rPr>
                <w:rFonts w:eastAsia="Times New Roman"/>
                <w:sz w:val="16"/>
                <w:szCs w:val="16"/>
              </w:rPr>
            </w:pPr>
            <w:r>
              <w:rPr>
                <w:rFonts w:eastAsia="Times New Roman"/>
                <w:sz w:val="16"/>
                <w:szCs w:val="16"/>
              </w:rPr>
              <w:t>20,155,471</w:t>
            </w:r>
          </w:p>
        </w:tc>
        <w:tc>
          <w:tcPr>
            <w:tcW w:w="550" w:type="pct"/>
            <w:shd w:val="clear" w:color="auto" w:fill="CCEEFF"/>
            <w:vAlign w:val="bottom"/>
            <w:hideMark/>
          </w:tcPr>
          <w:p w14:paraId="487E9696" w14:textId="77777777" w:rsidR="00000000" w:rsidRDefault="0053651E">
            <w:pPr>
              <w:jc w:val="right"/>
              <w:rPr>
                <w:rFonts w:eastAsia="Times New Roman"/>
                <w:sz w:val="16"/>
                <w:szCs w:val="16"/>
              </w:rPr>
            </w:pPr>
            <w:r>
              <w:rPr>
                <w:rFonts w:eastAsia="Times New Roman"/>
                <w:sz w:val="16"/>
                <w:szCs w:val="16"/>
              </w:rPr>
              <w:t>11,061,984</w:t>
            </w:r>
          </w:p>
        </w:tc>
        <w:tc>
          <w:tcPr>
            <w:tcW w:w="350" w:type="pct"/>
            <w:shd w:val="clear" w:color="auto" w:fill="CCEEFF"/>
            <w:vAlign w:val="bottom"/>
            <w:hideMark/>
          </w:tcPr>
          <w:p w14:paraId="3B63D075" w14:textId="77777777" w:rsidR="00000000" w:rsidRDefault="0053651E">
            <w:pPr>
              <w:jc w:val="right"/>
              <w:rPr>
                <w:rFonts w:eastAsia="Times New Roman"/>
                <w:sz w:val="16"/>
                <w:szCs w:val="16"/>
              </w:rPr>
            </w:pPr>
            <w:r>
              <w:rPr>
                <w:rFonts w:eastAsia="Times New Roman"/>
                <w:sz w:val="16"/>
                <w:szCs w:val="16"/>
              </w:rPr>
              <w:t>741,742</w:t>
            </w:r>
          </w:p>
        </w:tc>
        <w:tc>
          <w:tcPr>
            <w:tcW w:w="300" w:type="pct"/>
            <w:shd w:val="clear" w:color="auto" w:fill="CCEEFF"/>
            <w:vAlign w:val="bottom"/>
            <w:hideMark/>
          </w:tcPr>
          <w:p w14:paraId="7F40FBC8" w14:textId="77777777" w:rsidR="00000000" w:rsidRDefault="0053651E">
            <w:pPr>
              <w:jc w:val="right"/>
              <w:rPr>
                <w:rFonts w:eastAsia="Times New Roman"/>
                <w:sz w:val="16"/>
                <w:szCs w:val="16"/>
              </w:rPr>
            </w:pPr>
            <w:r>
              <w:rPr>
                <w:rFonts w:eastAsia="Times New Roman"/>
                <w:sz w:val="16"/>
                <w:szCs w:val="16"/>
              </w:rPr>
              <w:t>20,155,471</w:t>
            </w:r>
          </w:p>
        </w:tc>
        <w:tc>
          <w:tcPr>
            <w:tcW w:w="450" w:type="pct"/>
            <w:shd w:val="clear" w:color="auto" w:fill="CCEEFF"/>
            <w:vAlign w:val="bottom"/>
            <w:hideMark/>
          </w:tcPr>
          <w:p w14:paraId="7B081B58" w14:textId="77777777" w:rsidR="00000000" w:rsidRDefault="0053651E">
            <w:pPr>
              <w:jc w:val="right"/>
              <w:rPr>
                <w:rFonts w:eastAsia="Times New Roman"/>
                <w:sz w:val="16"/>
                <w:szCs w:val="16"/>
              </w:rPr>
            </w:pPr>
            <w:r>
              <w:rPr>
                <w:rFonts w:eastAsia="Times New Roman"/>
                <w:sz w:val="16"/>
                <w:szCs w:val="16"/>
              </w:rPr>
              <w:t>11,803,726</w:t>
            </w:r>
          </w:p>
        </w:tc>
        <w:tc>
          <w:tcPr>
            <w:tcW w:w="350" w:type="pct"/>
            <w:shd w:val="clear" w:color="auto" w:fill="CCEEFF"/>
            <w:vAlign w:val="bottom"/>
            <w:hideMark/>
          </w:tcPr>
          <w:p w14:paraId="010DEA32" w14:textId="77777777" w:rsidR="00000000" w:rsidRDefault="0053651E">
            <w:pPr>
              <w:jc w:val="right"/>
              <w:rPr>
                <w:rFonts w:eastAsia="Times New Roman"/>
                <w:sz w:val="16"/>
                <w:szCs w:val="16"/>
              </w:rPr>
            </w:pPr>
            <w:r>
              <w:rPr>
                <w:rFonts w:eastAsia="Times New Roman"/>
                <w:sz w:val="16"/>
                <w:szCs w:val="16"/>
              </w:rPr>
              <w:t>31,959,197</w:t>
            </w:r>
          </w:p>
        </w:tc>
        <w:tc>
          <w:tcPr>
            <w:tcW w:w="400" w:type="pct"/>
            <w:shd w:val="clear" w:color="auto" w:fill="CCEEFF"/>
            <w:vAlign w:val="bottom"/>
            <w:hideMark/>
          </w:tcPr>
          <w:p w14:paraId="0DDE30F2" w14:textId="77777777" w:rsidR="00000000" w:rsidRDefault="0053651E">
            <w:pPr>
              <w:jc w:val="right"/>
              <w:rPr>
                <w:rFonts w:eastAsia="Times New Roman"/>
                <w:sz w:val="16"/>
                <w:szCs w:val="16"/>
              </w:rPr>
            </w:pPr>
            <w:r>
              <w:rPr>
                <w:rFonts w:eastAsia="Times New Roman"/>
                <w:sz w:val="16"/>
                <w:szCs w:val="16"/>
              </w:rPr>
              <w:t>2,720,127</w:t>
            </w:r>
          </w:p>
        </w:tc>
        <w:tc>
          <w:tcPr>
            <w:tcW w:w="50" w:type="pct"/>
            <w:shd w:val="clear" w:color="auto" w:fill="CCEEFF"/>
            <w:vAlign w:val="bottom"/>
            <w:hideMark/>
          </w:tcPr>
          <w:p w14:paraId="200870E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EE05413" w14:textId="77777777" w:rsidR="00000000" w:rsidRDefault="0053651E">
            <w:pPr>
              <w:jc w:val="right"/>
              <w:rPr>
                <w:rFonts w:eastAsia="Times New Roman"/>
                <w:sz w:val="16"/>
                <w:szCs w:val="16"/>
              </w:rPr>
            </w:pPr>
            <w:r>
              <w:rPr>
                <w:rFonts w:eastAsia="Times New Roman"/>
                <w:sz w:val="16"/>
                <w:szCs w:val="16"/>
              </w:rPr>
              <w:t>29,239,070</w:t>
            </w:r>
          </w:p>
        </w:tc>
        <w:tc>
          <w:tcPr>
            <w:tcW w:w="50" w:type="pct"/>
            <w:shd w:val="clear" w:color="auto" w:fill="CCEEFF"/>
            <w:vAlign w:val="bottom"/>
            <w:hideMark/>
          </w:tcPr>
          <w:p w14:paraId="7F0652A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09DA88F" w14:textId="77777777" w:rsidR="00000000" w:rsidRDefault="0053651E">
            <w:pPr>
              <w:jc w:val="right"/>
              <w:rPr>
                <w:rFonts w:eastAsia="Times New Roman"/>
                <w:sz w:val="16"/>
                <w:szCs w:val="16"/>
              </w:rPr>
            </w:pPr>
            <w:r>
              <w:rPr>
                <w:rFonts w:eastAsia="Times New Roman"/>
                <w:sz w:val="16"/>
                <w:szCs w:val="16"/>
              </w:rPr>
              <w:t>8,603,595</w:t>
            </w:r>
          </w:p>
        </w:tc>
        <w:tc>
          <w:tcPr>
            <w:tcW w:w="500" w:type="pct"/>
            <w:shd w:val="clear" w:color="auto" w:fill="CCEEFF"/>
            <w:vAlign w:val="bottom"/>
            <w:hideMark/>
          </w:tcPr>
          <w:p w14:paraId="2B585256"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1F8A52B0" w14:textId="77777777">
        <w:trPr>
          <w:tblCellSpacing w:w="0" w:type="dxa"/>
        </w:trPr>
        <w:tc>
          <w:tcPr>
            <w:tcW w:w="50" w:type="pct"/>
            <w:shd w:val="clear" w:color="auto" w:fill="FFFFFF"/>
            <w:vAlign w:val="bottom"/>
            <w:hideMark/>
          </w:tcPr>
          <w:p w14:paraId="302364C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8DD4183" w14:textId="77777777" w:rsidR="00000000" w:rsidRDefault="0053651E">
            <w:pPr>
              <w:pStyle w:val="a3"/>
              <w:spacing w:before="0" w:beforeAutospacing="0" w:after="0" w:afterAutospacing="0"/>
              <w:rPr>
                <w:sz w:val="16"/>
                <w:szCs w:val="16"/>
              </w:rPr>
            </w:pPr>
            <w:r>
              <w:rPr>
                <w:sz w:val="16"/>
                <w:szCs w:val="16"/>
              </w:rPr>
              <w:t>NORTH BRUNSWICK PLAZA</w:t>
            </w:r>
          </w:p>
        </w:tc>
        <w:tc>
          <w:tcPr>
            <w:tcW w:w="150" w:type="pct"/>
            <w:shd w:val="clear" w:color="auto" w:fill="FFFFFF"/>
            <w:vAlign w:val="bottom"/>
            <w:hideMark/>
          </w:tcPr>
          <w:p w14:paraId="3B273307"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69DD77B8" w14:textId="77777777" w:rsidR="00000000" w:rsidRDefault="0053651E">
            <w:pPr>
              <w:jc w:val="right"/>
              <w:rPr>
                <w:rFonts w:eastAsia="Times New Roman"/>
                <w:sz w:val="16"/>
                <w:szCs w:val="16"/>
              </w:rPr>
            </w:pPr>
            <w:r>
              <w:rPr>
                <w:rFonts w:eastAsia="Times New Roman"/>
                <w:sz w:val="16"/>
                <w:szCs w:val="16"/>
              </w:rPr>
              <w:t>3,204,978</w:t>
            </w:r>
          </w:p>
        </w:tc>
        <w:tc>
          <w:tcPr>
            <w:tcW w:w="550" w:type="pct"/>
            <w:shd w:val="clear" w:color="auto" w:fill="FFFFFF"/>
            <w:vAlign w:val="bottom"/>
            <w:hideMark/>
          </w:tcPr>
          <w:p w14:paraId="7046C86C" w14:textId="77777777" w:rsidR="00000000" w:rsidRDefault="0053651E">
            <w:pPr>
              <w:jc w:val="right"/>
              <w:rPr>
                <w:rFonts w:eastAsia="Times New Roman"/>
                <w:sz w:val="16"/>
                <w:szCs w:val="16"/>
              </w:rPr>
            </w:pPr>
            <w:r>
              <w:rPr>
                <w:rFonts w:eastAsia="Times New Roman"/>
                <w:sz w:val="16"/>
                <w:szCs w:val="16"/>
              </w:rPr>
              <w:t>12,819,912</w:t>
            </w:r>
          </w:p>
        </w:tc>
        <w:tc>
          <w:tcPr>
            <w:tcW w:w="350" w:type="pct"/>
            <w:shd w:val="clear" w:color="auto" w:fill="FFFFFF"/>
            <w:vAlign w:val="bottom"/>
            <w:hideMark/>
          </w:tcPr>
          <w:p w14:paraId="6683DDBB" w14:textId="77777777" w:rsidR="00000000" w:rsidRDefault="0053651E">
            <w:pPr>
              <w:jc w:val="right"/>
              <w:rPr>
                <w:rFonts w:eastAsia="Times New Roman"/>
                <w:sz w:val="16"/>
                <w:szCs w:val="16"/>
              </w:rPr>
            </w:pPr>
            <w:r>
              <w:rPr>
                <w:rFonts w:eastAsia="Times New Roman"/>
                <w:sz w:val="16"/>
                <w:szCs w:val="16"/>
              </w:rPr>
              <w:t>27,583,563</w:t>
            </w:r>
          </w:p>
        </w:tc>
        <w:tc>
          <w:tcPr>
            <w:tcW w:w="300" w:type="pct"/>
            <w:shd w:val="clear" w:color="auto" w:fill="FFFFFF"/>
            <w:vAlign w:val="bottom"/>
            <w:hideMark/>
          </w:tcPr>
          <w:p w14:paraId="6BDE2A92" w14:textId="77777777" w:rsidR="00000000" w:rsidRDefault="0053651E">
            <w:pPr>
              <w:jc w:val="right"/>
              <w:rPr>
                <w:rFonts w:eastAsia="Times New Roman"/>
                <w:sz w:val="16"/>
                <w:szCs w:val="16"/>
              </w:rPr>
            </w:pPr>
            <w:r>
              <w:rPr>
                <w:rFonts w:eastAsia="Times New Roman"/>
                <w:sz w:val="16"/>
                <w:szCs w:val="16"/>
              </w:rPr>
              <w:t>3,204,978</w:t>
            </w:r>
          </w:p>
        </w:tc>
        <w:tc>
          <w:tcPr>
            <w:tcW w:w="450" w:type="pct"/>
            <w:shd w:val="clear" w:color="auto" w:fill="FFFFFF"/>
            <w:vAlign w:val="bottom"/>
            <w:hideMark/>
          </w:tcPr>
          <w:p w14:paraId="4514027F" w14:textId="77777777" w:rsidR="00000000" w:rsidRDefault="0053651E">
            <w:pPr>
              <w:jc w:val="right"/>
              <w:rPr>
                <w:rFonts w:eastAsia="Times New Roman"/>
                <w:sz w:val="16"/>
                <w:szCs w:val="16"/>
              </w:rPr>
            </w:pPr>
            <w:r>
              <w:rPr>
                <w:rFonts w:eastAsia="Times New Roman"/>
                <w:sz w:val="16"/>
                <w:szCs w:val="16"/>
              </w:rPr>
              <w:t>40,403,475</w:t>
            </w:r>
          </w:p>
        </w:tc>
        <w:tc>
          <w:tcPr>
            <w:tcW w:w="350" w:type="pct"/>
            <w:shd w:val="clear" w:color="auto" w:fill="FFFFFF"/>
            <w:vAlign w:val="bottom"/>
            <w:hideMark/>
          </w:tcPr>
          <w:p w14:paraId="2BB0ABDD" w14:textId="77777777" w:rsidR="00000000" w:rsidRDefault="0053651E">
            <w:pPr>
              <w:jc w:val="right"/>
              <w:rPr>
                <w:rFonts w:eastAsia="Times New Roman"/>
                <w:sz w:val="16"/>
                <w:szCs w:val="16"/>
              </w:rPr>
            </w:pPr>
            <w:r>
              <w:rPr>
                <w:rFonts w:eastAsia="Times New Roman"/>
                <w:sz w:val="16"/>
                <w:szCs w:val="16"/>
              </w:rPr>
              <w:t>43,608,453</w:t>
            </w:r>
          </w:p>
        </w:tc>
        <w:tc>
          <w:tcPr>
            <w:tcW w:w="400" w:type="pct"/>
            <w:shd w:val="clear" w:color="auto" w:fill="FFFFFF"/>
            <w:vAlign w:val="bottom"/>
            <w:hideMark/>
          </w:tcPr>
          <w:p w14:paraId="33BDFC13" w14:textId="77777777" w:rsidR="00000000" w:rsidRDefault="0053651E">
            <w:pPr>
              <w:jc w:val="right"/>
              <w:rPr>
                <w:rFonts w:eastAsia="Times New Roman"/>
                <w:sz w:val="16"/>
                <w:szCs w:val="16"/>
              </w:rPr>
            </w:pPr>
            <w:r>
              <w:rPr>
                <w:rFonts w:eastAsia="Times New Roman"/>
                <w:sz w:val="16"/>
                <w:szCs w:val="16"/>
              </w:rPr>
              <w:t>21,614,149</w:t>
            </w:r>
          </w:p>
        </w:tc>
        <w:tc>
          <w:tcPr>
            <w:tcW w:w="50" w:type="pct"/>
            <w:shd w:val="clear" w:color="auto" w:fill="FFFFFF"/>
            <w:vAlign w:val="bottom"/>
            <w:hideMark/>
          </w:tcPr>
          <w:p w14:paraId="1A7C46F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CBC0279" w14:textId="77777777" w:rsidR="00000000" w:rsidRDefault="0053651E">
            <w:pPr>
              <w:jc w:val="right"/>
              <w:rPr>
                <w:rFonts w:eastAsia="Times New Roman"/>
                <w:sz w:val="16"/>
                <w:szCs w:val="16"/>
              </w:rPr>
            </w:pPr>
            <w:r>
              <w:rPr>
                <w:rFonts w:eastAsia="Times New Roman"/>
                <w:sz w:val="16"/>
                <w:szCs w:val="16"/>
              </w:rPr>
              <w:t>21,994,304</w:t>
            </w:r>
          </w:p>
        </w:tc>
        <w:tc>
          <w:tcPr>
            <w:tcW w:w="50" w:type="pct"/>
            <w:shd w:val="clear" w:color="auto" w:fill="FFFFFF"/>
            <w:vAlign w:val="bottom"/>
            <w:hideMark/>
          </w:tcPr>
          <w:p w14:paraId="43B7960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5035B9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CDE8468" w14:textId="77777777" w:rsidR="00000000" w:rsidRDefault="0053651E">
            <w:pPr>
              <w:pStyle w:val="a3"/>
              <w:spacing w:before="0" w:beforeAutospacing="0" w:after="0" w:afterAutospacing="0"/>
              <w:jc w:val="center"/>
              <w:rPr>
                <w:sz w:val="16"/>
                <w:szCs w:val="16"/>
              </w:rPr>
            </w:pPr>
            <w:r>
              <w:rPr>
                <w:rStyle w:val="a6"/>
                <w:i w:val="0"/>
                <w:iCs w:val="0"/>
                <w:sz w:val="16"/>
                <w:szCs w:val="16"/>
              </w:rPr>
              <w:t>1994(A)</w:t>
            </w:r>
          </w:p>
        </w:tc>
      </w:tr>
      <w:tr w:rsidR="00000000" w14:paraId="4A26B5AB" w14:textId="77777777">
        <w:trPr>
          <w:tblCellSpacing w:w="0" w:type="dxa"/>
        </w:trPr>
        <w:tc>
          <w:tcPr>
            <w:tcW w:w="50" w:type="pct"/>
            <w:shd w:val="clear" w:color="auto" w:fill="CCEEFF"/>
            <w:vAlign w:val="bottom"/>
            <w:hideMark/>
          </w:tcPr>
          <w:p w14:paraId="1892F9A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980AC6C" w14:textId="77777777" w:rsidR="00000000" w:rsidRDefault="0053651E">
            <w:pPr>
              <w:pStyle w:val="a3"/>
              <w:spacing w:before="0" w:beforeAutospacing="0" w:after="0" w:afterAutospacing="0"/>
              <w:rPr>
                <w:sz w:val="16"/>
                <w:szCs w:val="16"/>
              </w:rPr>
            </w:pPr>
            <w:r>
              <w:rPr>
                <w:sz w:val="16"/>
                <w:szCs w:val="16"/>
              </w:rPr>
              <w:t>PISCATAWAY TOWN CENTER</w:t>
            </w:r>
          </w:p>
        </w:tc>
        <w:tc>
          <w:tcPr>
            <w:tcW w:w="150" w:type="pct"/>
            <w:shd w:val="clear" w:color="auto" w:fill="CCEEFF"/>
            <w:vAlign w:val="bottom"/>
            <w:hideMark/>
          </w:tcPr>
          <w:p w14:paraId="386397E2"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5FC67B1D" w14:textId="77777777" w:rsidR="00000000" w:rsidRDefault="0053651E">
            <w:pPr>
              <w:jc w:val="right"/>
              <w:rPr>
                <w:rFonts w:eastAsia="Times New Roman"/>
                <w:sz w:val="16"/>
                <w:szCs w:val="16"/>
              </w:rPr>
            </w:pPr>
            <w:r>
              <w:rPr>
                <w:rFonts w:eastAsia="Times New Roman"/>
                <w:sz w:val="16"/>
                <w:szCs w:val="16"/>
              </w:rPr>
              <w:t>3,851,839</w:t>
            </w:r>
          </w:p>
        </w:tc>
        <w:tc>
          <w:tcPr>
            <w:tcW w:w="550" w:type="pct"/>
            <w:shd w:val="clear" w:color="auto" w:fill="CCEEFF"/>
            <w:vAlign w:val="bottom"/>
            <w:hideMark/>
          </w:tcPr>
          <w:p w14:paraId="5C6DE259" w14:textId="77777777" w:rsidR="00000000" w:rsidRDefault="0053651E">
            <w:pPr>
              <w:jc w:val="right"/>
              <w:rPr>
                <w:rFonts w:eastAsia="Times New Roman"/>
                <w:sz w:val="16"/>
                <w:szCs w:val="16"/>
              </w:rPr>
            </w:pPr>
            <w:r>
              <w:rPr>
                <w:rFonts w:eastAsia="Times New Roman"/>
                <w:sz w:val="16"/>
                <w:szCs w:val="16"/>
              </w:rPr>
              <w:t>15,410,851</w:t>
            </w:r>
          </w:p>
        </w:tc>
        <w:tc>
          <w:tcPr>
            <w:tcW w:w="350" w:type="pct"/>
            <w:shd w:val="clear" w:color="auto" w:fill="CCEEFF"/>
            <w:vAlign w:val="bottom"/>
            <w:hideMark/>
          </w:tcPr>
          <w:p w14:paraId="7E914FDD" w14:textId="77777777" w:rsidR="00000000" w:rsidRDefault="0053651E">
            <w:pPr>
              <w:jc w:val="right"/>
              <w:rPr>
                <w:rFonts w:eastAsia="Times New Roman"/>
                <w:sz w:val="16"/>
                <w:szCs w:val="16"/>
              </w:rPr>
            </w:pPr>
            <w:r>
              <w:rPr>
                <w:rFonts w:eastAsia="Times New Roman"/>
                <w:sz w:val="16"/>
                <w:szCs w:val="16"/>
              </w:rPr>
              <w:t>1,739,905</w:t>
            </w:r>
          </w:p>
        </w:tc>
        <w:tc>
          <w:tcPr>
            <w:tcW w:w="300" w:type="pct"/>
            <w:shd w:val="clear" w:color="auto" w:fill="CCEEFF"/>
            <w:vAlign w:val="bottom"/>
            <w:hideMark/>
          </w:tcPr>
          <w:p w14:paraId="27B1C1D4" w14:textId="77777777" w:rsidR="00000000" w:rsidRDefault="0053651E">
            <w:pPr>
              <w:jc w:val="right"/>
              <w:rPr>
                <w:rFonts w:eastAsia="Times New Roman"/>
                <w:sz w:val="16"/>
                <w:szCs w:val="16"/>
              </w:rPr>
            </w:pPr>
            <w:r>
              <w:rPr>
                <w:rFonts w:eastAsia="Times New Roman"/>
                <w:sz w:val="16"/>
                <w:szCs w:val="16"/>
              </w:rPr>
              <w:t>3,851,839</w:t>
            </w:r>
          </w:p>
        </w:tc>
        <w:tc>
          <w:tcPr>
            <w:tcW w:w="450" w:type="pct"/>
            <w:shd w:val="clear" w:color="auto" w:fill="CCEEFF"/>
            <w:vAlign w:val="bottom"/>
            <w:hideMark/>
          </w:tcPr>
          <w:p w14:paraId="6965B542" w14:textId="77777777" w:rsidR="00000000" w:rsidRDefault="0053651E">
            <w:pPr>
              <w:jc w:val="right"/>
              <w:rPr>
                <w:rFonts w:eastAsia="Times New Roman"/>
                <w:sz w:val="16"/>
                <w:szCs w:val="16"/>
              </w:rPr>
            </w:pPr>
            <w:r>
              <w:rPr>
                <w:rFonts w:eastAsia="Times New Roman"/>
                <w:sz w:val="16"/>
                <w:szCs w:val="16"/>
              </w:rPr>
              <w:t>17,150,756</w:t>
            </w:r>
          </w:p>
        </w:tc>
        <w:tc>
          <w:tcPr>
            <w:tcW w:w="350" w:type="pct"/>
            <w:shd w:val="clear" w:color="auto" w:fill="CCEEFF"/>
            <w:vAlign w:val="bottom"/>
            <w:hideMark/>
          </w:tcPr>
          <w:p w14:paraId="7DE79D9C" w14:textId="77777777" w:rsidR="00000000" w:rsidRDefault="0053651E">
            <w:pPr>
              <w:jc w:val="right"/>
              <w:rPr>
                <w:rFonts w:eastAsia="Times New Roman"/>
                <w:sz w:val="16"/>
                <w:szCs w:val="16"/>
              </w:rPr>
            </w:pPr>
            <w:r>
              <w:rPr>
                <w:rFonts w:eastAsia="Times New Roman"/>
                <w:sz w:val="16"/>
                <w:szCs w:val="16"/>
              </w:rPr>
              <w:t>21,002,595</w:t>
            </w:r>
          </w:p>
        </w:tc>
        <w:tc>
          <w:tcPr>
            <w:tcW w:w="400" w:type="pct"/>
            <w:shd w:val="clear" w:color="auto" w:fill="CCEEFF"/>
            <w:vAlign w:val="bottom"/>
            <w:hideMark/>
          </w:tcPr>
          <w:p w14:paraId="39965472" w14:textId="77777777" w:rsidR="00000000" w:rsidRDefault="0053651E">
            <w:pPr>
              <w:jc w:val="right"/>
              <w:rPr>
                <w:rFonts w:eastAsia="Times New Roman"/>
                <w:sz w:val="16"/>
                <w:szCs w:val="16"/>
              </w:rPr>
            </w:pPr>
            <w:r>
              <w:rPr>
                <w:rFonts w:eastAsia="Times New Roman"/>
                <w:sz w:val="16"/>
                <w:szCs w:val="16"/>
              </w:rPr>
              <w:t>9,432,153</w:t>
            </w:r>
          </w:p>
        </w:tc>
        <w:tc>
          <w:tcPr>
            <w:tcW w:w="50" w:type="pct"/>
            <w:shd w:val="clear" w:color="auto" w:fill="CCEEFF"/>
            <w:vAlign w:val="bottom"/>
            <w:hideMark/>
          </w:tcPr>
          <w:p w14:paraId="57326D1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490A0E4" w14:textId="77777777" w:rsidR="00000000" w:rsidRDefault="0053651E">
            <w:pPr>
              <w:jc w:val="right"/>
              <w:rPr>
                <w:rFonts w:eastAsia="Times New Roman"/>
                <w:sz w:val="16"/>
                <w:szCs w:val="16"/>
              </w:rPr>
            </w:pPr>
            <w:r>
              <w:rPr>
                <w:rFonts w:eastAsia="Times New Roman"/>
                <w:sz w:val="16"/>
                <w:szCs w:val="16"/>
              </w:rPr>
              <w:t>11,570,442</w:t>
            </w:r>
          </w:p>
        </w:tc>
        <w:tc>
          <w:tcPr>
            <w:tcW w:w="50" w:type="pct"/>
            <w:shd w:val="clear" w:color="auto" w:fill="CCEEFF"/>
            <w:vAlign w:val="bottom"/>
            <w:hideMark/>
          </w:tcPr>
          <w:p w14:paraId="7B791CD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055933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DFE91A9"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0B650128" w14:textId="77777777">
        <w:trPr>
          <w:tblCellSpacing w:w="0" w:type="dxa"/>
        </w:trPr>
        <w:tc>
          <w:tcPr>
            <w:tcW w:w="50" w:type="pct"/>
            <w:shd w:val="clear" w:color="auto" w:fill="FFFFFF"/>
            <w:vAlign w:val="bottom"/>
            <w:hideMark/>
          </w:tcPr>
          <w:p w14:paraId="4A14409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5FE5758" w14:textId="77777777" w:rsidR="00000000" w:rsidRDefault="0053651E">
            <w:pPr>
              <w:pStyle w:val="a3"/>
              <w:spacing w:before="0" w:beforeAutospacing="0" w:after="0" w:afterAutospacing="0"/>
              <w:rPr>
                <w:sz w:val="16"/>
                <w:szCs w:val="16"/>
              </w:rPr>
            </w:pPr>
            <w:r>
              <w:rPr>
                <w:sz w:val="16"/>
                <w:szCs w:val="16"/>
              </w:rPr>
              <w:t>RIDGEWOOD S.C.</w:t>
            </w:r>
          </w:p>
        </w:tc>
        <w:tc>
          <w:tcPr>
            <w:tcW w:w="150" w:type="pct"/>
            <w:shd w:val="clear" w:color="auto" w:fill="FFFFFF"/>
            <w:vAlign w:val="bottom"/>
            <w:hideMark/>
          </w:tcPr>
          <w:p w14:paraId="09697BD3"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2EC0119D" w14:textId="77777777" w:rsidR="00000000" w:rsidRDefault="0053651E">
            <w:pPr>
              <w:jc w:val="right"/>
              <w:rPr>
                <w:rFonts w:eastAsia="Times New Roman"/>
                <w:sz w:val="16"/>
                <w:szCs w:val="16"/>
              </w:rPr>
            </w:pPr>
            <w:r>
              <w:rPr>
                <w:rFonts w:eastAsia="Times New Roman"/>
                <w:sz w:val="16"/>
                <w:szCs w:val="16"/>
              </w:rPr>
              <w:t>450,000</w:t>
            </w:r>
          </w:p>
        </w:tc>
        <w:tc>
          <w:tcPr>
            <w:tcW w:w="550" w:type="pct"/>
            <w:shd w:val="clear" w:color="auto" w:fill="FFFFFF"/>
            <w:vAlign w:val="bottom"/>
            <w:hideMark/>
          </w:tcPr>
          <w:p w14:paraId="19708436" w14:textId="77777777" w:rsidR="00000000" w:rsidRDefault="0053651E">
            <w:pPr>
              <w:jc w:val="right"/>
              <w:rPr>
                <w:rFonts w:eastAsia="Times New Roman"/>
                <w:sz w:val="16"/>
                <w:szCs w:val="16"/>
              </w:rPr>
            </w:pPr>
            <w:r>
              <w:rPr>
                <w:rFonts w:eastAsia="Times New Roman"/>
                <w:sz w:val="16"/>
                <w:szCs w:val="16"/>
              </w:rPr>
              <w:t>2,106,566</w:t>
            </w:r>
          </w:p>
        </w:tc>
        <w:tc>
          <w:tcPr>
            <w:tcW w:w="350" w:type="pct"/>
            <w:shd w:val="clear" w:color="auto" w:fill="FFFFFF"/>
            <w:vAlign w:val="bottom"/>
            <w:hideMark/>
          </w:tcPr>
          <w:p w14:paraId="0C8CCCBC" w14:textId="77777777" w:rsidR="00000000" w:rsidRDefault="0053651E">
            <w:pPr>
              <w:jc w:val="right"/>
              <w:rPr>
                <w:rFonts w:eastAsia="Times New Roman"/>
                <w:sz w:val="16"/>
                <w:szCs w:val="16"/>
              </w:rPr>
            </w:pPr>
            <w:r>
              <w:rPr>
                <w:rFonts w:eastAsia="Times New Roman"/>
                <w:sz w:val="16"/>
                <w:szCs w:val="16"/>
              </w:rPr>
              <w:t>1,241,414</w:t>
            </w:r>
          </w:p>
        </w:tc>
        <w:tc>
          <w:tcPr>
            <w:tcW w:w="300" w:type="pct"/>
            <w:shd w:val="clear" w:color="auto" w:fill="FFFFFF"/>
            <w:vAlign w:val="bottom"/>
            <w:hideMark/>
          </w:tcPr>
          <w:p w14:paraId="1096F5DB" w14:textId="77777777" w:rsidR="00000000" w:rsidRDefault="0053651E">
            <w:pPr>
              <w:jc w:val="right"/>
              <w:rPr>
                <w:rFonts w:eastAsia="Times New Roman"/>
                <w:sz w:val="16"/>
                <w:szCs w:val="16"/>
              </w:rPr>
            </w:pPr>
            <w:r>
              <w:rPr>
                <w:rFonts w:eastAsia="Times New Roman"/>
                <w:sz w:val="16"/>
                <w:szCs w:val="16"/>
              </w:rPr>
              <w:t>450,000</w:t>
            </w:r>
          </w:p>
        </w:tc>
        <w:tc>
          <w:tcPr>
            <w:tcW w:w="450" w:type="pct"/>
            <w:shd w:val="clear" w:color="auto" w:fill="FFFFFF"/>
            <w:vAlign w:val="bottom"/>
            <w:hideMark/>
          </w:tcPr>
          <w:p w14:paraId="0A6296D2" w14:textId="77777777" w:rsidR="00000000" w:rsidRDefault="0053651E">
            <w:pPr>
              <w:jc w:val="right"/>
              <w:rPr>
                <w:rFonts w:eastAsia="Times New Roman"/>
                <w:sz w:val="16"/>
                <w:szCs w:val="16"/>
              </w:rPr>
            </w:pPr>
            <w:r>
              <w:rPr>
                <w:rFonts w:eastAsia="Times New Roman"/>
                <w:sz w:val="16"/>
                <w:szCs w:val="16"/>
              </w:rPr>
              <w:t>3,347,980</w:t>
            </w:r>
          </w:p>
        </w:tc>
        <w:tc>
          <w:tcPr>
            <w:tcW w:w="350" w:type="pct"/>
            <w:shd w:val="clear" w:color="auto" w:fill="FFFFFF"/>
            <w:vAlign w:val="bottom"/>
            <w:hideMark/>
          </w:tcPr>
          <w:p w14:paraId="0340BBFA" w14:textId="77777777" w:rsidR="00000000" w:rsidRDefault="0053651E">
            <w:pPr>
              <w:jc w:val="right"/>
              <w:rPr>
                <w:rFonts w:eastAsia="Times New Roman"/>
                <w:sz w:val="16"/>
                <w:szCs w:val="16"/>
              </w:rPr>
            </w:pPr>
            <w:r>
              <w:rPr>
                <w:rFonts w:eastAsia="Times New Roman"/>
                <w:sz w:val="16"/>
                <w:szCs w:val="16"/>
              </w:rPr>
              <w:t>3,797,980</w:t>
            </w:r>
          </w:p>
        </w:tc>
        <w:tc>
          <w:tcPr>
            <w:tcW w:w="400" w:type="pct"/>
            <w:shd w:val="clear" w:color="auto" w:fill="FFFFFF"/>
            <w:vAlign w:val="bottom"/>
            <w:hideMark/>
          </w:tcPr>
          <w:p w14:paraId="65781672" w14:textId="77777777" w:rsidR="00000000" w:rsidRDefault="0053651E">
            <w:pPr>
              <w:jc w:val="right"/>
              <w:rPr>
                <w:rFonts w:eastAsia="Times New Roman"/>
                <w:sz w:val="16"/>
                <w:szCs w:val="16"/>
              </w:rPr>
            </w:pPr>
            <w:r>
              <w:rPr>
                <w:rFonts w:eastAsia="Times New Roman"/>
                <w:sz w:val="16"/>
                <w:szCs w:val="16"/>
              </w:rPr>
              <w:t>1,926,707</w:t>
            </w:r>
          </w:p>
        </w:tc>
        <w:tc>
          <w:tcPr>
            <w:tcW w:w="50" w:type="pct"/>
            <w:shd w:val="clear" w:color="auto" w:fill="FFFFFF"/>
            <w:vAlign w:val="bottom"/>
            <w:hideMark/>
          </w:tcPr>
          <w:p w14:paraId="4B020F3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90DE4B5" w14:textId="77777777" w:rsidR="00000000" w:rsidRDefault="0053651E">
            <w:pPr>
              <w:jc w:val="right"/>
              <w:rPr>
                <w:rFonts w:eastAsia="Times New Roman"/>
                <w:sz w:val="16"/>
                <w:szCs w:val="16"/>
              </w:rPr>
            </w:pPr>
            <w:r>
              <w:rPr>
                <w:rFonts w:eastAsia="Times New Roman"/>
                <w:sz w:val="16"/>
                <w:szCs w:val="16"/>
              </w:rPr>
              <w:t>1,871,273</w:t>
            </w:r>
          </w:p>
        </w:tc>
        <w:tc>
          <w:tcPr>
            <w:tcW w:w="50" w:type="pct"/>
            <w:shd w:val="clear" w:color="auto" w:fill="FFFFFF"/>
            <w:vAlign w:val="bottom"/>
            <w:hideMark/>
          </w:tcPr>
          <w:p w14:paraId="150BAAA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B9F8E2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31D702B" w14:textId="77777777" w:rsidR="00000000" w:rsidRDefault="0053651E">
            <w:pPr>
              <w:pStyle w:val="a3"/>
              <w:spacing w:before="0" w:beforeAutospacing="0" w:after="0" w:afterAutospacing="0"/>
              <w:jc w:val="center"/>
              <w:rPr>
                <w:sz w:val="16"/>
                <w:szCs w:val="16"/>
              </w:rPr>
            </w:pPr>
            <w:r>
              <w:rPr>
                <w:rStyle w:val="a6"/>
                <w:i w:val="0"/>
                <w:iCs w:val="0"/>
                <w:sz w:val="16"/>
                <w:szCs w:val="16"/>
              </w:rPr>
              <w:t>1993(A)</w:t>
            </w:r>
          </w:p>
        </w:tc>
      </w:tr>
      <w:tr w:rsidR="00000000" w14:paraId="56633AED" w14:textId="77777777">
        <w:trPr>
          <w:tblCellSpacing w:w="0" w:type="dxa"/>
        </w:trPr>
        <w:tc>
          <w:tcPr>
            <w:tcW w:w="50" w:type="pct"/>
            <w:shd w:val="clear" w:color="auto" w:fill="CCEEFF"/>
            <w:vAlign w:val="bottom"/>
            <w:hideMark/>
          </w:tcPr>
          <w:p w14:paraId="3CEA25B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DB58A36" w14:textId="77777777" w:rsidR="00000000" w:rsidRDefault="0053651E">
            <w:pPr>
              <w:pStyle w:val="a3"/>
              <w:spacing w:before="0" w:beforeAutospacing="0" w:after="0" w:afterAutospacing="0"/>
              <w:rPr>
                <w:sz w:val="16"/>
                <w:szCs w:val="16"/>
              </w:rPr>
            </w:pPr>
            <w:r>
              <w:rPr>
                <w:sz w:val="16"/>
                <w:szCs w:val="16"/>
              </w:rPr>
              <w:t>UNION CRESCENT III</w:t>
            </w:r>
          </w:p>
        </w:tc>
        <w:tc>
          <w:tcPr>
            <w:tcW w:w="150" w:type="pct"/>
            <w:shd w:val="clear" w:color="auto" w:fill="CCEEFF"/>
            <w:vAlign w:val="bottom"/>
            <w:hideMark/>
          </w:tcPr>
          <w:p w14:paraId="38842451"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40720414" w14:textId="77777777" w:rsidR="00000000" w:rsidRDefault="0053651E">
            <w:pPr>
              <w:jc w:val="right"/>
              <w:rPr>
                <w:rFonts w:eastAsia="Times New Roman"/>
                <w:sz w:val="16"/>
                <w:szCs w:val="16"/>
              </w:rPr>
            </w:pPr>
            <w:r>
              <w:rPr>
                <w:rFonts w:eastAsia="Times New Roman"/>
                <w:sz w:val="16"/>
                <w:szCs w:val="16"/>
              </w:rPr>
              <w:t>7,895,483</w:t>
            </w:r>
          </w:p>
        </w:tc>
        <w:tc>
          <w:tcPr>
            <w:tcW w:w="550" w:type="pct"/>
            <w:shd w:val="clear" w:color="auto" w:fill="CCEEFF"/>
            <w:vAlign w:val="bottom"/>
            <w:hideMark/>
          </w:tcPr>
          <w:p w14:paraId="71134622" w14:textId="77777777" w:rsidR="00000000" w:rsidRDefault="0053651E">
            <w:pPr>
              <w:jc w:val="right"/>
              <w:rPr>
                <w:rFonts w:eastAsia="Times New Roman"/>
                <w:sz w:val="16"/>
                <w:szCs w:val="16"/>
              </w:rPr>
            </w:pPr>
            <w:r>
              <w:rPr>
                <w:rFonts w:eastAsia="Times New Roman"/>
                <w:sz w:val="16"/>
                <w:szCs w:val="16"/>
              </w:rPr>
              <w:t>3,010,640</w:t>
            </w:r>
          </w:p>
        </w:tc>
        <w:tc>
          <w:tcPr>
            <w:tcW w:w="350" w:type="pct"/>
            <w:shd w:val="clear" w:color="auto" w:fill="CCEEFF"/>
            <w:vAlign w:val="bottom"/>
            <w:hideMark/>
          </w:tcPr>
          <w:p w14:paraId="0B768283" w14:textId="77777777" w:rsidR="00000000" w:rsidRDefault="0053651E">
            <w:pPr>
              <w:jc w:val="right"/>
              <w:rPr>
                <w:rFonts w:eastAsia="Times New Roman"/>
                <w:sz w:val="16"/>
                <w:szCs w:val="16"/>
              </w:rPr>
            </w:pPr>
            <w:r>
              <w:rPr>
                <w:rFonts w:eastAsia="Times New Roman"/>
                <w:sz w:val="16"/>
                <w:szCs w:val="16"/>
              </w:rPr>
              <w:t>28,965,399</w:t>
            </w:r>
          </w:p>
        </w:tc>
        <w:tc>
          <w:tcPr>
            <w:tcW w:w="300" w:type="pct"/>
            <w:shd w:val="clear" w:color="auto" w:fill="CCEEFF"/>
            <w:vAlign w:val="bottom"/>
            <w:hideMark/>
          </w:tcPr>
          <w:p w14:paraId="5C798E51" w14:textId="77777777" w:rsidR="00000000" w:rsidRDefault="0053651E">
            <w:pPr>
              <w:jc w:val="right"/>
              <w:rPr>
                <w:rFonts w:eastAsia="Times New Roman"/>
                <w:sz w:val="16"/>
                <w:szCs w:val="16"/>
              </w:rPr>
            </w:pPr>
            <w:r>
              <w:rPr>
                <w:rFonts w:eastAsia="Times New Roman"/>
                <w:sz w:val="16"/>
                <w:szCs w:val="16"/>
              </w:rPr>
              <w:t>8,696,579</w:t>
            </w:r>
          </w:p>
        </w:tc>
        <w:tc>
          <w:tcPr>
            <w:tcW w:w="450" w:type="pct"/>
            <w:shd w:val="clear" w:color="auto" w:fill="CCEEFF"/>
            <w:vAlign w:val="bottom"/>
            <w:hideMark/>
          </w:tcPr>
          <w:p w14:paraId="3E559224" w14:textId="77777777" w:rsidR="00000000" w:rsidRDefault="0053651E">
            <w:pPr>
              <w:jc w:val="right"/>
              <w:rPr>
                <w:rFonts w:eastAsia="Times New Roman"/>
                <w:sz w:val="16"/>
                <w:szCs w:val="16"/>
              </w:rPr>
            </w:pPr>
            <w:r>
              <w:rPr>
                <w:rFonts w:eastAsia="Times New Roman"/>
                <w:sz w:val="16"/>
                <w:szCs w:val="16"/>
              </w:rPr>
              <w:t>31,174,943</w:t>
            </w:r>
          </w:p>
        </w:tc>
        <w:tc>
          <w:tcPr>
            <w:tcW w:w="350" w:type="pct"/>
            <w:shd w:val="clear" w:color="auto" w:fill="CCEEFF"/>
            <w:vAlign w:val="bottom"/>
            <w:hideMark/>
          </w:tcPr>
          <w:p w14:paraId="73D44B50" w14:textId="77777777" w:rsidR="00000000" w:rsidRDefault="0053651E">
            <w:pPr>
              <w:jc w:val="right"/>
              <w:rPr>
                <w:rFonts w:eastAsia="Times New Roman"/>
                <w:sz w:val="16"/>
                <w:szCs w:val="16"/>
              </w:rPr>
            </w:pPr>
            <w:r>
              <w:rPr>
                <w:rFonts w:eastAsia="Times New Roman"/>
                <w:sz w:val="16"/>
                <w:szCs w:val="16"/>
              </w:rPr>
              <w:t>39,871,522</w:t>
            </w:r>
          </w:p>
        </w:tc>
        <w:tc>
          <w:tcPr>
            <w:tcW w:w="400" w:type="pct"/>
            <w:shd w:val="clear" w:color="auto" w:fill="CCEEFF"/>
            <w:vAlign w:val="bottom"/>
            <w:hideMark/>
          </w:tcPr>
          <w:p w14:paraId="325A2CE8" w14:textId="77777777" w:rsidR="00000000" w:rsidRDefault="0053651E">
            <w:pPr>
              <w:jc w:val="right"/>
              <w:rPr>
                <w:rFonts w:eastAsia="Times New Roman"/>
                <w:sz w:val="16"/>
                <w:szCs w:val="16"/>
              </w:rPr>
            </w:pPr>
            <w:r>
              <w:rPr>
                <w:rFonts w:eastAsia="Times New Roman"/>
                <w:sz w:val="16"/>
                <w:szCs w:val="16"/>
              </w:rPr>
              <w:t>17,736,590</w:t>
            </w:r>
          </w:p>
        </w:tc>
        <w:tc>
          <w:tcPr>
            <w:tcW w:w="50" w:type="pct"/>
            <w:shd w:val="clear" w:color="auto" w:fill="CCEEFF"/>
            <w:vAlign w:val="bottom"/>
            <w:hideMark/>
          </w:tcPr>
          <w:p w14:paraId="4879890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98B066B" w14:textId="77777777" w:rsidR="00000000" w:rsidRDefault="0053651E">
            <w:pPr>
              <w:jc w:val="right"/>
              <w:rPr>
                <w:rFonts w:eastAsia="Times New Roman"/>
                <w:sz w:val="16"/>
                <w:szCs w:val="16"/>
              </w:rPr>
            </w:pPr>
            <w:r>
              <w:rPr>
                <w:rFonts w:eastAsia="Times New Roman"/>
                <w:sz w:val="16"/>
                <w:szCs w:val="16"/>
              </w:rPr>
              <w:t>22,134,932</w:t>
            </w:r>
          </w:p>
        </w:tc>
        <w:tc>
          <w:tcPr>
            <w:tcW w:w="50" w:type="pct"/>
            <w:shd w:val="clear" w:color="auto" w:fill="CCEEFF"/>
            <w:vAlign w:val="bottom"/>
            <w:hideMark/>
          </w:tcPr>
          <w:p w14:paraId="6582232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C8B080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CC0AAC0"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04E5FEE5" w14:textId="77777777">
        <w:trPr>
          <w:tblCellSpacing w:w="0" w:type="dxa"/>
        </w:trPr>
        <w:tc>
          <w:tcPr>
            <w:tcW w:w="50" w:type="pct"/>
            <w:shd w:val="clear" w:color="auto" w:fill="FFFFFF"/>
            <w:vAlign w:val="bottom"/>
            <w:hideMark/>
          </w:tcPr>
          <w:p w14:paraId="37D8724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5A437DB" w14:textId="77777777" w:rsidR="00000000" w:rsidRDefault="0053651E">
            <w:pPr>
              <w:pStyle w:val="a3"/>
              <w:spacing w:before="0" w:beforeAutospacing="0" w:after="0" w:afterAutospacing="0"/>
              <w:rPr>
                <w:sz w:val="16"/>
                <w:szCs w:val="16"/>
              </w:rPr>
            </w:pPr>
            <w:r>
              <w:rPr>
                <w:sz w:val="16"/>
                <w:szCs w:val="16"/>
              </w:rPr>
              <w:t>WESTMONT PLAZA</w:t>
            </w:r>
          </w:p>
        </w:tc>
        <w:tc>
          <w:tcPr>
            <w:tcW w:w="150" w:type="pct"/>
            <w:shd w:val="clear" w:color="auto" w:fill="FFFFFF"/>
            <w:vAlign w:val="bottom"/>
            <w:hideMark/>
          </w:tcPr>
          <w:p w14:paraId="07FF72ED"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6DE8A192" w14:textId="77777777" w:rsidR="00000000" w:rsidRDefault="0053651E">
            <w:pPr>
              <w:jc w:val="right"/>
              <w:rPr>
                <w:rFonts w:eastAsia="Times New Roman"/>
                <w:sz w:val="16"/>
                <w:szCs w:val="16"/>
              </w:rPr>
            </w:pPr>
            <w:r>
              <w:rPr>
                <w:rFonts w:eastAsia="Times New Roman"/>
                <w:sz w:val="16"/>
                <w:szCs w:val="16"/>
              </w:rPr>
              <w:t>601,655</w:t>
            </w:r>
          </w:p>
        </w:tc>
        <w:tc>
          <w:tcPr>
            <w:tcW w:w="550" w:type="pct"/>
            <w:shd w:val="clear" w:color="auto" w:fill="FFFFFF"/>
            <w:vAlign w:val="bottom"/>
            <w:hideMark/>
          </w:tcPr>
          <w:p w14:paraId="108B5614" w14:textId="77777777" w:rsidR="00000000" w:rsidRDefault="0053651E">
            <w:pPr>
              <w:jc w:val="right"/>
              <w:rPr>
                <w:rFonts w:eastAsia="Times New Roman"/>
                <w:sz w:val="16"/>
                <w:szCs w:val="16"/>
              </w:rPr>
            </w:pPr>
            <w:r>
              <w:rPr>
                <w:rFonts w:eastAsia="Times New Roman"/>
                <w:sz w:val="16"/>
                <w:szCs w:val="16"/>
              </w:rPr>
              <w:t>2,404,604</w:t>
            </w:r>
          </w:p>
        </w:tc>
        <w:tc>
          <w:tcPr>
            <w:tcW w:w="350" w:type="pct"/>
            <w:shd w:val="clear" w:color="auto" w:fill="FFFFFF"/>
            <w:vAlign w:val="bottom"/>
            <w:hideMark/>
          </w:tcPr>
          <w:p w14:paraId="4C71F071" w14:textId="77777777" w:rsidR="00000000" w:rsidRDefault="0053651E">
            <w:pPr>
              <w:jc w:val="right"/>
              <w:rPr>
                <w:rFonts w:eastAsia="Times New Roman"/>
                <w:sz w:val="16"/>
                <w:szCs w:val="16"/>
              </w:rPr>
            </w:pPr>
            <w:r>
              <w:rPr>
                <w:rFonts w:eastAsia="Times New Roman"/>
                <w:sz w:val="16"/>
                <w:szCs w:val="16"/>
              </w:rPr>
              <w:t>13,669,028</w:t>
            </w:r>
          </w:p>
        </w:tc>
        <w:tc>
          <w:tcPr>
            <w:tcW w:w="300" w:type="pct"/>
            <w:shd w:val="clear" w:color="auto" w:fill="FFFFFF"/>
            <w:vAlign w:val="bottom"/>
            <w:hideMark/>
          </w:tcPr>
          <w:p w14:paraId="4A21FB36" w14:textId="77777777" w:rsidR="00000000" w:rsidRDefault="0053651E">
            <w:pPr>
              <w:jc w:val="right"/>
              <w:rPr>
                <w:rFonts w:eastAsia="Times New Roman"/>
                <w:sz w:val="16"/>
                <w:szCs w:val="16"/>
              </w:rPr>
            </w:pPr>
            <w:r>
              <w:rPr>
                <w:rFonts w:eastAsia="Times New Roman"/>
                <w:sz w:val="16"/>
                <w:szCs w:val="16"/>
              </w:rPr>
              <w:t>601,655</w:t>
            </w:r>
          </w:p>
        </w:tc>
        <w:tc>
          <w:tcPr>
            <w:tcW w:w="450" w:type="pct"/>
            <w:shd w:val="clear" w:color="auto" w:fill="FFFFFF"/>
            <w:vAlign w:val="bottom"/>
            <w:hideMark/>
          </w:tcPr>
          <w:p w14:paraId="14AF307E" w14:textId="77777777" w:rsidR="00000000" w:rsidRDefault="0053651E">
            <w:pPr>
              <w:jc w:val="right"/>
              <w:rPr>
                <w:rFonts w:eastAsia="Times New Roman"/>
                <w:sz w:val="16"/>
                <w:szCs w:val="16"/>
              </w:rPr>
            </w:pPr>
            <w:r>
              <w:rPr>
                <w:rFonts w:eastAsia="Times New Roman"/>
                <w:sz w:val="16"/>
                <w:szCs w:val="16"/>
              </w:rPr>
              <w:t>16,073,632</w:t>
            </w:r>
          </w:p>
        </w:tc>
        <w:tc>
          <w:tcPr>
            <w:tcW w:w="350" w:type="pct"/>
            <w:shd w:val="clear" w:color="auto" w:fill="FFFFFF"/>
            <w:vAlign w:val="bottom"/>
            <w:hideMark/>
          </w:tcPr>
          <w:p w14:paraId="1FE41E81" w14:textId="77777777" w:rsidR="00000000" w:rsidRDefault="0053651E">
            <w:pPr>
              <w:jc w:val="right"/>
              <w:rPr>
                <w:rFonts w:eastAsia="Times New Roman"/>
                <w:sz w:val="16"/>
                <w:szCs w:val="16"/>
              </w:rPr>
            </w:pPr>
            <w:r>
              <w:rPr>
                <w:rFonts w:eastAsia="Times New Roman"/>
                <w:sz w:val="16"/>
                <w:szCs w:val="16"/>
              </w:rPr>
              <w:t>16,675,287</w:t>
            </w:r>
          </w:p>
        </w:tc>
        <w:tc>
          <w:tcPr>
            <w:tcW w:w="400" w:type="pct"/>
            <w:shd w:val="clear" w:color="auto" w:fill="FFFFFF"/>
            <w:vAlign w:val="bottom"/>
            <w:hideMark/>
          </w:tcPr>
          <w:p w14:paraId="0D72EE58" w14:textId="77777777" w:rsidR="00000000" w:rsidRDefault="0053651E">
            <w:pPr>
              <w:jc w:val="right"/>
              <w:rPr>
                <w:rFonts w:eastAsia="Times New Roman"/>
                <w:sz w:val="16"/>
                <w:szCs w:val="16"/>
              </w:rPr>
            </w:pPr>
            <w:r>
              <w:rPr>
                <w:rFonts w:eastAsia="Times New Roman"/>
                <w:sz w:val="16"/>
                <w:szCs w:val="16"/>
              </w:rPr>
              <w:t>7,625,888</w:t>
            </w:r>
          </w:p>
        </w:tc>
        <w:tc>
          <w:tcPr>
            <w:tcW w:w="50" w:type="pct"/>
            <w:shd w:val="clear" w:color="auto" w:fill="FFFFFF"/>
            <w:vAlign w:val="bottom"/>
            <w:hideMark/>
          </w:tcPr>
          <w:p w14:paraId="0D2E514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4F0EA2F" w14:textId="77777777" w:rsidR="00000000" w:rsidRDefault="0053651E">
            <w:pPr>
              <w:jc w:val="right"/>
              <w:rPr>
                <w:rFonts w:eastAsia="Times New Roman"/>
                <w:sz w:val="16"/>
                <w:szCs w:val="16"/>
              </w:rPr>
            </w:pPr>
            <w:r>
              <w:rPr>
                <w:rFonts w:eastAsia="Times New Roman"/>
                <w:sz w:val="16"/>
                <w:szCs w:val="16"/>
              </w:rPr>
              <w:t>9,049,399</w:t>
            </w:r>
          </w:p>
        </w:tc>
        <w:tc>
          <w:tcPr>
            <w:tcW w:w="50" w:type="pct"/>
            <w:shd w:val="clear" w:color="auto" w:fill="FFFFFF"/>
            <w:vAlign w:val="bottom"/>
            <w:hideMark/>
          </w:tcPr>
          <w:p w14:paraId="6954DB4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76DE4B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DEC7F8C" w14:textId="77777777" w:rsidR="00000000" w:rsidRDefault="0053651E">
            <w:pPr>
              <w:pStyle w:val="a3"/>
              <w:spacing w:before="0" w:beforeAutospacing="0" w:after="0" w:afterAutospacing="0"/>
              <w:jc w:val="center"/>
              <w:rPr>
                <w:sz w:val="16"/>
                <w:szCs w:val="16"/>
              </w:rPr>
            </w:pPr>
            <w:r>
              <w:rPr>
                <w:rStyle w:val="a6"/>
                <w:i w:val="0"/>
                <w:iCs w:val="0"/>
                <w:sz w:val="16"/>
                <w:szCs w:val="16"/>
              </w:rPr>
              <w:t>1994(A)</w:t>
            </w:r>
          </w:p>
        </w:tc>
      </w:tr>
      <w:tr w:rsidR="00000000" w14:paraId="5A9AA93D" w14:textId="77777777">
        <w:trPr>
          <w:tblCellSpacing w:w="0" w:type="dxa"/>
        </w:trPr>
        <w:tc>
          <w:tcPr>
            <w:tcW w:w="50" w:type="pct"/>
            <w:shd w:val="clear" w:color="auto" w:fill="CCEEFF"/>
            <w:vAlign w:val="bottom"/>
            <w:hideMark/>
          </w:tcPr>
          <w:p w14:paraId="0670534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E37E4EC" w14:textId="77777777" w:rsidR="00000000" w:rsidRDefault="0053651E">
            <w:pPr>
              <w:pStyle w:val="a3"/>
              <w:spacing w:before="0" w:beforeAutospacing="0" w:after="0" w:afterAutospacing="0"/>
              <w:rPr>
                <w:sz w:val="16"/>
                <w:szCs w:val="16"/>
              </w:rPr>
            </w:pPr>
            <w:r>
              <w:rPr>
                <w:sz w:val="16"/>
                <w:szCs w:val="16"/>
              </w:rPr>
              <w:t>WILLOWBROOK PLAZA</w:t>
            </w:r>
          </w:p>
        </w:tc>
        <w:tc>
          <w:tcPr>
            <w:tcW w:w="150" w:type="pct"/>
            <w:shd w:val="clear" w:color="auto" w:fill="CCEEFF"/>
            <w:vAlign w:val="bottom"/>
            <w:hideMark/>
          </w:tcPr>
          <w:p w14:paraId="6155FD8F"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CCEEFF"/>
            <w:vAlign w:val="bottom"/>
            <w:hideMark/>
          </w:tcPr>
          <w:p w14:paraId="3AED5042" w14:textId="77777777" w:rsidR="00000000" w:rsidRDefault="0053651E">
            <w:pPr>
              <w:jc w:val="right"/>
              <w:rPr>
                <w:rFonts w:eastAsia="Times New Roman"/>
                <w:sz w:val="16"/>
                <w:szCs w:val="16"/>
              </w:rPr>
            </w:pPr>
            <w:r>
              <w:rPr>
                <w:rFonts w:eastAsia="Times New Roman"/>
                <w:sz w:val="16"/>
                <w:szCs w:val="16"/>
              </w:rPr>
              <w:t>15,320,436</w:t>
            </w:r>
          </w:p>
        </w:tc>
        <w:tc>
          <w:tcPr>
            <w:tcW w:w="550" w:type="pct"/>
            <w:shd w:val="clear" w:color="auto" w:fill="CCEEFF"/>
            <w:vAlign w:val="bottom"/>
            <w:hideMark/>
          </w:tcPr>
          <w:p w14:paraId="3D2CD0BD" w14:textId="77777777" w:rsidR="00000000" w:rsidRDefault="0053651E">
            <w:pPr>
              <w:jc w:val="right"/>
              <w:rPr>
                <w:rFonts w:eastAsia="Times New Roman"/>
                <w:sz w:val="16"/>
                <w:szCs w:val="16"/>
              </w:rPr>
            </w:pPr>
            <w:r>
              <w:rPr>
                <w:rFonts w:eastAsia="Times New Roman"/>
                <w:sz w:val="16"/>
                <w:szCs w:val="16"/>
              </w:rPr>
              <w:t>40,996,874</w:t>
            </w:r>
          </w:p>
        </w:tc>
        <w:tc>
          <w:tcPr>
            <w:tcW w:w="350" w:type="pct"/>
            <w:shd w:val="clear" w:color="auto" w:fill="CCEEFF"/>
            <w:vAlign w:val="bottom"/>
            <w:hideMark/>
          </w:tcPr>
          <w:p w14:paraId="7B50B78D" w14:textId="77777777" w:rsidR="00000000" w:rsidRDefault="0053651E">
            <w:pPr>
              <w:jc w:val="right"/>
              <w:rPr>
                <w:rFonts w:eastAsia="Times New Roman"/>
                <w:sz w:val="16"/>
                <w:szCs w:val="16"/>
              </w:rPr>
            </w:pPr>
            <w:r>
              <w:rPr>
                <w:rFonts w:eastAsia="Times New Roman"/>
                <w:sz w:val="16"/>
                <w:szCs w:val="16"/>
              </w:rPr>
              <w:t>10,547,715</w:t>
            </w:r>
          </w:p>
        </w:tc>
        <w:tc>
          <w:tcPr>
            <w:tcW w:w="300" w:type="pct"/>
            <w:shd w:val="clear" w:color="auto" w:fill="CCEEFF"/>
            <w:vAlign w:val="bottom"/>
            <w:hideMark/>
          </w:tcPr>
          <w:p w14:paraId="629E94B5" w14:textId="77777777" w:rsidR="00000000" w:rsidRDefault="0053651E">
            <w:pPr>
              <w:jc w:val="right"/>
              <w:rPr>
                <w:rFonts w:eastAsia="Times New Roman"/>
                <w:sz w:val="16"/>
                <w:szCs w:val="16"/>
              </w:rPr>
            </w:pPr>
            <w:r>
              <w:rPr>
                <w:rFonts w:eastAsia="Times New Roman"/>
                <w:sz w:val="16"/>
                <w:szCs w:val="16"/>
              </w:rPr>
              <w:t>15,320,436</w:t>
            </w:r>
          </w:p>
        </w:tc>
        <w:tc>
          <w:tcPr>
            <w:tcW w:w="450" w:type="pct"/>
            <w:shd w:val="clear" w:color="auto" w:fill="CCEEFF"/>
            <w:vAlign w:val="bottom"/>
            <w:hideMark/>
          </w:tcPr>
          <w:p w14:paraId="78BBC096" w14:textId="77777777" w:rsidR="00000000" w:rsidRDefault="0053651E">
            <w:pPr>
              <w:jc w:val="right"/>
              <w:rPr>
                <w:rFonts w:eastAsia="Times New Roman"/>
                <w:sz w:val="16"/>
                <w:szCs w:val="16"/>
              </w:rPr>
            </w:pPr>
            <w:r>
              <w:rPr>
                <w:rFonts w:eastAsia="Times New Roman"/>
                <w:sz w:val="16"/>
                <w:szCs w:val="16"/>
              </w:rPr>
              <w:t>51,544,589</w:t>
            </w:r>
          </w:p>
        </w:tc>
        <w:tc>
          <w:tcPr>
            <w:tcW w:w="350" w:type="pct"/>
            <w:shd w:val="clear" w:color="auto" w:fill="CCEEFF"/>
            <w:vAlign w:val="bottom"/>
            <w:hideMark/>
          </w:tcPr>
          <w:p w14:paraId="55D83CB7" w14:textId="77777777" w:rsidR="00000000" w:rsidRDefault="0053651E">
            <w:pPr>
              <w:jc w:val="right"/>
              <w:rPr>
                <w:rFonts w:eastAsia="Times New Roman"/>
                <w:sz w:val="16"/>
                <w:szCs w:val="16"/>
              </w:rPr>
            </w:pPr>
            <w:r>
              <w:rPr>
                <w:rFonts w:eastAsia="Times New Roman"/>
                <w:sz w:val="16"/>
                <w:szCs w:val="16"/>
              </w:rPr>
              <w:t>66,865,025</w:t>
            </w:r>
          </w:p>
        </w:tc>
        <w:tc>
          <w:tcPr>
            <w:tcW w:w="400" w:type="pct"/>
            <w:shd w:val="clear" w:color="auto" w:fill="CCEEFF"/>
            <w:vAlign w:val="bottom"/>
            <w:hideMark/>
          </w:tcPr>
          <w:p w14:paraId="639E2CFE" w14:textId="77777777" w:rsidR="00000000" w:rsidRDefault="0053651E">
            <w:pPr>
              <w:jc w:val="right"/>
              <w:rPr>
                <w:rFonts w:eastAsia="Times New Roman"/>
                <w:sz w:val="16"/>
                <w:szCs w:val="16"/>
              </w:rPr>
            </w:pPr>
            <w:r>
              <w:rPr>
                <w:rFonts w:eastAsia="Times New Roman"/>
                <w:sz w:val="16"/>
                <w:szCs w:val="16"/>
              </w:rPr>
              <w:t>8,361,323</w:t>
            </w:r>
          </w:p>
        </w:tc>
        <w:tc>
          <w:tcPr>
            <w:tcW w:w="50" w:type="pct"/>
            <w:shd w:val="clear" w:color="auto" w:fill="CCEEFF"/>
            <w:vAlign w:val="bottom"/>
            <w:hideMark/>
          </w:tcPr>
          <w:p w14:paraId="4630F76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F90BA55" w14:textId="77777777" w:rsidR="00000000" w:rsidRDefault="0053651E">
            <w:pPr>
              <w:jc w:val="right"/>
              <w:rPr>
                <w:rFonts w:eastAsia="Times New Roman"/>
                <w:sz w:val="16"/>
                <w:szCs w:val="16"/>
              </w:rPr>
            </w:pPr>
            <w:r>
              <w:rPr>
                <w:rFonts w:eastAsia="Times New Roman"/>
                <w:sz w:val="16"/>
                <w:szCs w:val="16"/>
              </w:rPr>
              <w:t>58,503,702</w:t>
            </w:r>
          </w:p>
        </w:tc>
        <w:tc>
          <w:tcPr>
            <w:tcW w:w="50" w:type="pct"/>
            <w:shd w:val="clear" w:color="auto" w:fill="CCEEFF"/>
            <w:vAlign w:val="bottom"/>
            <w:hideMark/>
          </w:tcPr>
          <w:p w14:paraId="4E492F6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8ABC10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0182D9D"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4B1E8CB9" w14:textId="77777777">
        <w:trPr>
          <w:tblCellSpacing w:w="0" w:type="dxa"/>
        </w:trPr>
        <w:tc>
          <w:tcPr>
            <w:tcW w:w="50" w:type="pct"/>
            <w:shd w:val="clear" w:color="auto" w:fill="FFFFFF"/>
            <w:vAlign w:val="bottom"/>
            <w:hideMark/>
          </w:tcPr>
          <w:p w14:paraId="7A5B74C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19B0A06" w14:textId="77777777" w:rsidR="00000000" w:rsidRDefault="0053651E">
            <w:pPr>
              <w:pStyle w:val="a3"/>
              <w:spacing w:before="0" w:beforeAutospacing="0" w:after="0" w:afterAutospacing="0"/>
              <w:rPr>
                <w:sz w:val="16"/>
                <w:szCs w:val="16"/>
              </w:rPr>
            </w:pPr>
            <w:r>
              <w:rPr>
                <w:sz w:val="16"/>
                <w:szCs w:val="16"/>
              </w:rPr>
              <w:t>DEL MONTE PLAZA</w:t>
            </w:r>
          </w:p>
        </w:tc>
        <w:tc>
          <w:tcPr>
            <w:tcW w:w="150" w:type="pct"/>
            <w:shd w:val="clear" w:color="auto" w:fill="FFFFFF"/>
            <w:vAlign w:val="bottom"/>
            <w:hideMark/>
          </w:tcPr>
          <w:p w14:paraId="53DC5009"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FFFFFF"/>
            <w:vAlign w:val="bottom"/>
            <w:hideMark/>
          </w:tcPr>
          <w:p w14:paraId="45F74A87" w14:textId="77777777" w:rsidR="00000000" w:rsidRDefault="0053651E">
            <w:pPr>
              <w:jc w:val="right"/>
              <w:rPr>
                <w:rFonts w:eastAsia="Times New Roman"/>
                <w:sz w:val="16"/>
                <w:szCs w:val="16"/>
              </w:rPr>
            </w:pPr>
            <w:r>
              <w:rPr>
                <w:rFonts w:eastAsia="Times New Roman"/>
                <w:sz w:val="16"/>
                <w:szCs w:val="16"/>
              </w:rPr>
              <w:t>2,489,429</w:t>
            </w:r>
          </w:p>
        </w:tc>
        <w:tc>
          <w:tcPr>
            <w:tcW w:w="550" w:type="pct"/>
            <w:shd w:val="clear" w:color="auto" w:fill="FFFFFF"/>
            <w:vAlign w:val="bottom"/>
            <w:hideMark/>
          </w:tcPr>
          <w:p w14:paraId="3AF2EE0B" w14:textId="77777777" w:rsidR="00000000" w:rsidRDefault="0053651E">
            <w:pPr>
              <w:jc w:val="right"/>
              <w:rPr>
                <w:rFonts w:eastAsia="Times New Roman"/>
                <w:sz w:val="16"/>
                <w:szCs w:val="16"/>
              </w:rPr>
            </w:pPr>
            <w:r>
              <w:rPr>
                <w:rFonts w:eastAsia="Times New Roman"/>
                <w:sz w:val="16"/>
                <w:szCs w:val="16"/>
              </w:rPr>
              <w:t>5,590,415</w:t>
            </w:r>
          </w:p>
        </w:tc>
        <w:tc>
          <w:tcPr>
            <w:tcW w:w="350" w:type="pct"/>
            <w:shd w:val="clear" w:color="auto" w:fill="FFFFFF"/>
            <w:vAlign w:val="bottom"/>
            <w:hideMark/>
          </w:tcPr>
          <w:p w14:paraId="14A2DD09" w14:textId="77777777" w:rsidR="00000000" w:rsidRDefault="0053651E">
            <w:pPr>
              <w:jc w:val="right"/>
              <w:rPr>
                <w:rFonts w:eastAsia="Times New Roman"/>
                <w:sz w:val="16"/>
                <w:szCs w:val="16"/>
              </w:rPr>
            </w:pPr>
            <w:r>
              <w:rPr>
                <w:rFonts w:eastAsia="Times New Roman"/>
                <w:sz w:val="16"/>
                <w:szCs w:val="16"/>
              </w:rPr>
              <w:t>535,415</w:t>
            </w:r>
          </w:p>
        </w:tc>
        <w:tc>
          <w:tcPr>
            <w:tcW w:w="300" w:type="pct"/>
            <w:shd w:val="clear" w:color="auto" w:fill="FFFFFF"/>
            <w:vAlign w:val="bottom"/>
            <w:hideMark/>
          </w:tcPr>
          <w:p w14:paraId="47066F39" w14:textId="77777777" w:rsidR="00000000" w:rsidRDefault="0053651E">
            <w:pPr>
              <w:jc w:val="right"/>
              <w:rPr>
                <w:rFonts w:eastAsia="Times New Roman"/>
                <w:sz w:val="16"/>
                <w:szCs w:val="16"/>
              </w:rPr>
            </w:pPr>
            <w:r>
              <w:rPr>
                <w:rFonts w:eastAsia="Times New Roman"/>
                <w:sz w:val="16"/>
                <w:szCs w:val="16"/>
              </w:rPr>
              <w:t>2,210,000</w:t>
            </w:r>
          </w:p>
        </w:tc>
        <w:tc>
          <w:tcPr>
            <w:tcW w:w="450" w:type="pct"/>
            <w:shd w:val="clear" w:color="auto" w:fill="FFFFFF"/>
            <w:vAlign w:val="bottom"/>
            <w:hideMark/>
          </w:tcPr>
          <w:p w14:paraId="5CE5A616" w14:textId="77777777" w:rsidR="00000000" w:rsidRDefault="0053651E">
            <w:pPr>
              <w:jc w:val="right"/>
              <w:rPr>
                <w:rFonts w:eastAsia="Times New Roman"/>
                <w:sz w:val="16"/>
                <w:szCs w:val="16"/>
              </w:rPr>
            </w:pPr>
            <w:r>
              <w:rPr>
                <w:rFonts w:eastAsia="Times New Roman"/>
                <w:sz w:val="16"/>
                <w:szCs w:val="16"/>
              </w:rPr>
              <w:t>6,405,259</w:t>
            </w:r>
          </w:p>
        </w:tc>
        <w:tc>
          <w:tcPr>
            <w:tcW w:w="350" w:type="pct"/>
            <w:shd w:val="clear" w:color="auto" w:fill="FFFFFF"/>
            <w:vAlign w:val="bottom"/>
            <w:hideMark/>
          </w:tcPr>
          <w:p w14:paraId="712185A9" w14:textId="77777777" w:rsidR="00000000" w:rsidRDefault="0053651E">
            <w:pPr>
              <w:jc w:val="right"/>
              <w:rPr>
                <w:rFonts w:eastAsia="Times New Roman"/>
                <w:sz w:val="16"/>
                <w:szCs w:val="16"/>
              </w:rPr>
            </w:pPr>
            <w:r>
              <w:rPr>
                <w:rFonts w:eastAsia="Times New Roman"/>
                <w:sz w:val="16"/>
                <w:szCs w:val="16"/>
              </w:rPr>
              <w:t>8,615,259</w:t>
            </w:r>
          </w:p>
        </w:tc>
        <w:tc>
          <w:tcPr>
            <w:tcW w:w="400" w:type="pct"/>
            <w:shd w:val="clear" w:color="auto" w:fill="FFFFFF"/>
            <w:vAlign w:val="bottom"/>
            <w:hideMark/>
          </w:tcPr>
          <w:p w14:paraId="2E11A546" w14:textId="77777777" w:rsidR="00000000" w:rsidRDefault="0053651E">
            <w:pPr>
              <w:jc w:val="right"/>
              <w:rPr>
                <w:rFonts w:eastAsia="Times New Roman"/>
                <w:sz w:val="16"/>
                <w:szCs w:val="16"/>
              </w:rPr>
            </w:pPr>
            <w:r>
              <w:rPr>
                <w:rFonts w:eastAsia="Times New Roman"/>
                <w:sz w:val="16"/>
                <w:szCs w:val="16"/>
              </w:rPr>
              <w:t>3,613,396</w:t>
            </w:r>
          </w:p>
        </w:tc>
        <w:tc>
          <w:tcPr>
            <w:tcW w:w="50" w:type="pct"/>
            <w:shd w:val="clear" w:color="auto" w:fill="FFFFFF"/>
            <w:vAlign w:val="bottom"/>
            <w:hideMark/>
          </w:tcPr>
          <w:p w14:paraId="75FE321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3D47705" w14:textId="77777777" w:rsidR="00000000" w:rsidRDefault="0053651E">
            <w:pPr>
              <w:jc w:val="right"/>
              <w:rPr>
                <w:rFonts w:eastAsia="Times New Roman"/>
                <w:sz w:val="16"/>
                <w:szCs w:val="16"/>
              </w:rPr>
            </w:pPr>
            <w:r>
              <w:rPr>
                <w:rFonts w:eastAsia="Times New Roman"/>
                <w:sz w:val="16"/>
                <w:szCs w:val="16"/>
              </w:rPr>
              <w:t>5,001,863</w:t>
            </w:r>
          </w:p>
        </w:tc>
        <w:tc>
          <w:tcPr>
            <w:tcW w:w="50" w:type="pct"/>
            <w:shd w:val="clear" w:color="auto" w:fill="FFFFFF"/>
            <w:vAlign w:val="bottom"/>
            <w:hideMark/>
          </w:tcPr>
          <w:p w14:paraId="78E6CC8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94290AC" w14:textId="77777777" w:rsidR="00000000" w:rsidRDefault="0053651E">
            <w:pPr>
              <w:jc w:val="right"/>
              <w:rPr>
                <w:rFonts w:eastAsia="Times New Roman"/>
                <w:sz w:val="16"/>
                <w:szCs w:val="16"/>
              </w:rPr>
            </w:pPr>
            <w:r>
              <w:rPr>
                <w:rFonts w:eastAsia="Times New Roman"/>
                <w:sz w:val="16"/>
                <w:szCs w:val="16"/>
              </w:rPr>
              <w:t>1,657,182</w:t>
            </w:r>
          </w:p>
        </w:tc>
        <w:tc>
          <w:tcPr>
            <w:tcW w:w="500" w:type="pct"/>
            <w:shd w:val="clear" w:color="auto" w:fill="FFFFFF"/>
            <w:vAlign w:val="bottom"/>
            <w:hideMark/>
          </w:tcPr>
          <w:p w14:paraId="19B4E0BE"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3746AB72" w14:textId="77777777">
        <w:trPr>
          <w:tblCellSpacing w:w="0" w:type="dxa"/>
        </w:trPr>
        <w:tc>
          <w:tcPr>
            <w:tcW w:w="50" w:type="pct"/>
            <w:shd w:val="clear" w:color="auto" w:fill="CCEEFF"/>
            <w:vAlign w:val="bottom"/>
            <w:hideMark/>
          </w:tcPr>
          <w:p w14:paraId="6E097BC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CDE9B0B" w14:textId="77777777" w:rsidR="00000000" w:rsidRDefault="0053651E">
            <w:pPr>
              <w:pStyle w:val="a3"/>
              <w:spacing w:before="0" w:beforeAutospacing="0" w:after="0" w:afterAutospacing="0"/>
              <w:rPr>
                <w:sz w:val="16"/>
                <w:szCs w:val="16"/>
              </w:rPr>
            </w:pPr>
            <w:r>
              <w:rPr>
                <w:sz w:val="16"/>
                <w:szCs w:val="16"/>
              </w:rPr>
              <w:t>DEL MONTE PLAZA ANCHOR PARCEL</w:t>
            </w:r>
          </w:p>
        </w:tc>
        <w:tc>
          <w:tcPr>
            <w:tcW w:w="150" w:type="pct"/>
            <w:shd w:val="clear" w:color="auto" w:fill="CCEEFF"/>
            <w:vAlign w:val="bottom"/>
            <w:hideMark/>
          </w:tcPr>
          <w:p w14:paraId="02EEEAB6"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CCEEFF"/>
            <w:vAlign w:val="bottom"/>
            <w:hideMark/>
          </w:tcPr>
          <w:p w14:paraId="22AF0962" w14:textId="77777777" w:rsidR="00000000" w:rsidRDefault="0053651E">
            <w:pPr>
              <w:jc w:val="right"/>
              <w:rPr>
                <w:rFonts w:eastAsia="Times New Roman"/>
                <w:sz w:val="16"/>
                <w:szCs w:val="16"/>
              </w:rPr>
            </w:pPr>
            <w:r>
              <w:rPr>
                <w:rFonts w:eastAsia="Times New Roman"/>
                <w:sz w:val="16"/>
                <w:szCs w:val="16"/>
              </w:rPr>
              <w:t>6,512,745</w:t>
            </w:r>
          </w:p>
        </w:tc>
        <w:tc>
          <w:tcPr>
            <w:tcW w:w="550" w:type="pct"/>
            <w:shd w:val="clear" w:color="auto" w:fill="CCEEFF"/>
            <w:vAlign w:val="bottom"/>
            <w:hideMark/>
          </w:tcPr>
          <w:p w14:paraId="3007B019" w14:textId="77777777" w:rsidR="00000000" w:rsidRDefault="0053651E">
            <w:pPr>
              <w:jc w:val="right"/>
              <w:rPr>
                <w:rFonts w:eastAsia="Times New Roman"/>
                <w:sz w:val="16"/>
                <w:szCs w:val="16"/>
              </w:rPr>
            </w:pPr>
            <w:r>
              <w:rPr>
                <w:rFonts w:eastAsia="Times New Roman"/>
                <w:sz w:val="16"/>
                <w:szCs w:val="16"/>
              </w:rPr>
              <w:t>17,599,602</w:t>
            </w:r>
          </w:p>
        </w:tc>
        <w:tc>
          <w:tcPr>
            <w:tcW w:w="350" w:type="pct"/>
            <w:shd w:val="clear" w:color="auto" w:fill="CCEEFF"/>
            <w:vAlign w:val="bottom"/>
            <w:hideMark/>
          </w:tcPr>
          <w:p w14:paraId="31FB821B" w14:textId="77777777" w:rsidR="00000000" w:rsidRDefault="0053651E">
            <w:pPr>
              <w:jc w:val="right"/>
              <w:rPr>
                <w:rFonts w:eastAsia="Times New Roman"/>
                <w:sz w:val="16"/>
                <w:szCs w:val="16"/>
              </w:rPr>
            </w:pPr>
            <w:r>
              <w:rPr>
                <w:rFonts w:eastAsia="Times New Roman"/>
                <w:sz w:val="16"/>
                <w:szCs w:val="16"/>
              </w:rPr>
              <w:t>135,899</w:t>
            </w:r>
          </w:p>
        </w:tc>
        <w:tc>
          <w:tcPr>
            <w:tcW w:w="300" w:type="pct"/>
            <w:shd w:val="clear" w:color="auto" w:fill="CCEEFF"/>
            <w:vAlign w:val="bottom"/>
            <w:hideMark/>
          </w:tcPr>
          <w:p w14:paraId="18BB032D" w14:textId="77777777" w:rsidR="00000000" w:rsidRDefault="0053651E">
            <w:pPr>
              <w:jc w:val="right"/>
              <w:rPr>
                <w:rFonts w:eastAsia="Times New Roman"/>
                <w:sz w:val="16"/>
                <w:szCs w:val="16"/>
              </w:rPr>
            </w:pPr>
            <w:r>
              <w:rPr>
                <w:rFonts w:eastAsia="Times New Roman"/>
                <w:sz w:val="16"/>
                <w:szCs w:val="16"/>
              </w:rPr>
              <w:t>6,520,017</w:t>
            </w:r>
          </w:p>
        </w:tc>
        <w:tc>
          <w:tcPr>
            <w:tcW w:w="450" w:type="pct"/>
            <w:shd w:val="clear" w:color="auto" w:fill="CCEEFF"/>
            <w:vAlign w:val="bottom"/>
            <w:hideMark/>
          </w:tcPr>
          <w:p w14:paraId="5975A61E" w14:textId="77777777" w:rsidR="00000000" w:rsidRDefault="0053651E">
            <w:pPr>
              <w:jc w:val="right"/>
              <w:rPr>
                <w:rFonts w:eastAsia="Times New Roman"/>
                <w:sz w:val="16"/>
                <w:szCs w:val="16"/>
              </w:rPr>
            </w:pPr>
            <w:r>
              <w:rPr>
                <w:rFonts w:eastAsia="Times New Roman"/>
                <w:sz w:val="16"/>
                <w:szCs w:val="16"/>
              </w:rPr>
              <w:t>17,728,229</w:t>
            </w:r>
          </w:p>
        </w:tc>
        <w:tc>
          <w:tcPr>
            <w:tcW w:w="350" w:type="pct"/>
            <w:shd w:val="clear" w:color="auto" w:fill="CCEEFF"/>
            <w:vAlign w:val="bottom"/>
            <w:hideMark/>
          </w:tcPr>
          <w:p w14:paraId="1172C5C3" w14:textId="77777777" w:rsidR="00000000" w:rsidRDefault="0053651E">
            <w:pPr>
              <w:jc w:val="right"/>
              <w:rPr>
                <w:rFonts w:eastAsia="Times New Roman"/>
                <w:sz w:val="16"/>
                <w:szCs w:val="16"/>
              </w:rPr>
            </w:pPr>
            <w:r>
              <w:rPr>
                <w:rFonts w:eastAsia="Times New Roman"/>
                <w:sz w:val="16"/>
                <w:szCs w:val="16"/>
              </w:rPr>
              <w:t>24,248,246</w:t>
            </w:r>
          </w:p>
        </w:tc>
        <w:tc>
          <w:tcPr>
            <w:tcW w:w="400" w:type="pct"/>
            <w:shd w:val="clear" w:color="auto" w:fill="CCEEFF"/>
            <w:vAlign w:val="bottom"/>
            <w:hideMark/>
          </w:tcPr>
          <w:p w14:paraId="7B197CCA" w14:textId="77777777" w:rsidR="00000000" w:rsidRDefault="0053651E">
            <w:pPr>
              <w:jc w:val="right"/>
              <w:rPr>
                <w:rFonts w:eastAsia="Times New Roman"/>
                <w:sz w:val="16"/>
                <w:szCs w:val="16"/>
              </w:rPr>
            </w:pPr>
            <w:r>
              <w:rPr>
                <w:rFonts w:eastAsia="Times New Roman"/>
                <w:sz w:val="16"/>
                <w:szCs w:val="16"/>
              </w:rPr>
              <w:t>1,542,524</w:t>
            </w:r>
          </w:p>
        </w:tc>
        <w:tc>
          <w:tcPr>
            <w:tcW w:w="50" w:type="pct"/>
            <w:shd w:val="clear" w:color="auto" w:fill="CCEEFF"/>
            <w:vAlign w:val="bottom"/>
            <w:hideMark/>
          </w:tcPr>
          <w:p w14:paraId="1BD53F0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EDED94F" w14:textId="77777777" w:rsidR="00000000" w:rsidRDefault="0053651E">
            <w:pPr>
              <w:jc w:val="right"/>
              <w:rPr>
                <w:rFonts w:eastAsia="Times New Roman"/>
                <w:sz w:val="16"/>
                <w:szCs w:val="16"/>
              </w:rPr>
            </w:pPr>
            <w:r>
              <w:rPr>
                <w:rFonts w:eastAsia="Times New Roman"/>
                <w:sz w:val="16"/>
                <w:szCs w:val="16"/>
              </w:rPr>
              <w:t>22,705,722</w:t>
            </w:r>
          </w:p>
        </w:tc>
        <w:tc>
          <w:tcPr>
            <w:tcW w:w="50" w:type="pct"/>
            <w:shd w:val="clear" w:color="auto" w:fill="CCEEFF"/>
            <w:vAlign w:val="bottom"/>
            <w:hideMark/>
          </w:tcPr>
          <w:p w14:paraId="2643A4A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C0FBB2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28AF0DA"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7523305F" w14:textId="77777777">
        <w:trPr>
          <w:tblCellSpacing w:w="0" w:type="dxa"/>
        </w:trPr>
        <w:tc>
          <w:tcPr>
            <w:tcW w:w="50" w:type="pct"/>
            <w:shd w:val="clear" w:color="auto" w:fill="FFFFFF"/>
            <w:vAlign w:val="bottom"/>
            <w:hideMark/>
          </w:tcPr>
          <w:p w14:paraId="2D2BFC7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B8263F0" w14:textId="77777777" w:rsidR="00000000" w:rsidRDefault="0053651E">
            <w:pPr>
              <w:pStyle w:val="a3"/>
              <w:spacing w:before="0" w:beforeAutospacing="0" w:after="0" w:afterAutospacing="0"/>
              <w:rPr>
                <w:sz w:val="16"/>
                <w:szCs w:val="16"/>
              </w:rPr>
            </w:pPr>
            <w:r>
              <w:rPr>
                <w:sz w:val="16"/>
                <w:szCs w:val="16"/>
              </w:rPr>
              <w:t>REDFIELD PROMENADE</w:t>
            </w:r>
          </w:p>
        </w:tc>
        <w:tc>
          <w:tcPr>
            <w:tcW w:w="150" w:type="pct"/>
            <w:shd w:val="clear" w:color="auto" w:fill="FFFFFF"/>
            <w:vAlign w:val="bottom"/>
            <w:hideMark/>
          </w:tcPr>
          <w:p w14:paraId="2440B2D3"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FFFFFF"/>
            <w:vAlign w:val="bottom"/>
            <w:hideMark/>
          </w:tcPr>
          <w:p w14:paraId="61190AD0" w14:textId="77777777" w:rsidR="00000000" w:rsidRDefault="0053651E">
            <w:pPr>
              <w:jc w:val="right"/>
              <w:rPr>
                <w:rFonts w:eastAsia="Times New Roman"/>
                <w:sz w:val="16"/>
                <w:szCs w:val="16"/>
              </w:rPr>
            </w:pPr>
            <w:r>
              <w:rPr>
                <w:rFonts w:eastAsia="Times New Roman"/>
                <w:sz w:val="16"/>
                <w:szCs w:val="16"/>
              </w:rPr>
              <w:t>4,415,339</w:t>
            </w:r>
          </w:p>
        </w:tc>
        <w:tc>
          <w:tcPr>
            <w:tcW w:w="550" w:type="pct"/>
            <w:shd w:val="clear" w:color="auto" w:fill="FFFFFF"/>
            <w:vAlign w:val="bottom"/>
            <w:hideMark/>
          </w:tcPr>
          <w:p w14:paraId="18C0B651" w14:textId="77777777" w:rsidR="00000000" w:rsidRDefault="0053651E">
            <w:pPr>
              <w:jc w:val="right"/>
              <w:rPr>
                <w:rFonts w:eastAsia="Times New Roman"/>
                <w:sz w:val="16"/>
                <w:szCs w:val="16"/>
              </w:rPr>
            </w:pPr>
            <w:r>
              <w:rPr>
                <w:rFonts w:eastAsia="Times New Roman"/>
                <w:sz w:val="16"/>
                <w:szCs w:val="16"/>
              </w:rPr>
              <w:t>32,035,192</w:t>
            </w:r>
          </w:p>
        </w:tc>
        <w:tc>
          <w:tcPr>
            <w:tcW w:w="350" w:type="pct"/>
            <w:shd w:val="clear" w:color="auto" w:fill="FFFFFF"/>
            <w:vAlign w:val="bottom"/>
            <w:hideMark/>
          </w:tcPr>
          <w:p w14:paraId="341EF25B" w14:textId="77777777" w:rsidR="00000000" w:rsidRDefault="0053651E">
            <w:pPr>
              <w:jc w:val="right"/>
              <w:rPr>
                <w:rFonts w:eastAsia="Times New Roman"/>
                <w:sz w:val="16"/>
                <w:szCs w:val="16"/>
              </w:rPr>
            </w:pPr>
            <w:r>
              <w:rPr>
                <w:rFonts w:eastAsia="Times New Roman"/>
                <w:sz w:val="16"/>
                <w:szCs w:val="16"/>
              </w:rPr>
              <w:t>724,982</w:t>
            </w:r>
          </w:p>
        </w:tc>
        <w:tc>
          <w:tcPr>
            <w:tcW w:w="300" w:type="pct"/>
            <w:shd w:val="clear" w:color="auto" w:fill="FFFFFF"/>
            <w:vAlign w:val="bottom"/>
            <w:hideMark/>
          </w:tcPr>
          <w:p w14:paraId="224457FD" w14:textId="77777777" w:rsidR="00000000" w:rsidRDefault="0053651E">
            <w:pPr>
              <w:jc w:val="right"/>
              <w:rPr>
                <w:rFonts w:eastAsia="Times New Roman"/>
                <w:sz w:val="16"/>
                <w:szCs w:val="16"/>
              </w:rPr>
            </w:pPr>
            <w:r>
              <w:rPr>
                <w:rFonts w:eastAsia="Times New Roman"/>
                <w:sz w:val="16"/>
                <w:szCs w:val="16"/>
              </w:rPr>
              <w:t>4,415,339</w:t>
            </w:r>
          </w:p>
        </w:tc>
        <w:tc>
          <w:tcPr>
            <w:tcW w:w="450" w:type="pct"/>
            <w:shd w:val="clear" w:color="auto" w:fill="FFFFFF"/>
            <w:vAlign w:val="bottom"/>
            <w:hideMark/>
          </w:tcPr>
          <w:p w14:paraId="32F050F7" w14:textId="77777777" w:rsidR="00000000" w:rsidRDefault="0053651E">
            <w:pPr>
              <w:jc w:val="right"/>
              <w:rPr>
                <w:rFonts w:eastAsia="Times New Roman"/>
                <w:sz w:val="16"/>
                <w:szCs w:val="16"/>
              </w:rPr>
            </w:pPr>
            <w:r>
              <w:rPr>
                <w:rFonts w:eastAsia="Times New Roman"/>
                <w:sz w:val="16"/>
                <w:szCs w:val="16"/>
              </w:rPr>
              <w:t>32,760,174</w:t>
            </w:r>
          </w:p>
        </w:tc>
        <w:tc>
          <w:tcPr>
            <w:tcW w:w="350" w:type="pct"/>
            <w:shd w:val="clear" w:color="auto" w:fill="FFFFFF"/>
            <w:vAlign w:val="bottom"/>
            <w:hideMark/>
          </w:tcPr>
          <w:p w14:paraId="485ED538" w14:textId="77777777" w:rsidR="00000000" w:rsidRDefault="0053651E">
            <w:pPr>
              <w:jc w:val="right"/>
              <w:rPr>
                <w:rFonts w:eastAsia="Times New Roman"/>
                <w:sz w:val="16"/>
                <w:szCs w:val="16"/>
              </w:rPr>
            </w:pPr>
            <w:r>
              <w:rPr>
                <w:rFonts w:eastAsia="Times New Roman"/>
                <w:sz w:val="16"/>
                <w:szCs w:val="16"/>
              </w:rPr>
              <w:t>37,175,513</w:t>
            </w:r>
          </w:p>
        </w:tc>
        <w:tc>
          <w:tcPr>
            <w:tcW w:w="400" w:type="pct"/>
            <w:shd w:val="clear" w:color="auto" w:fill="FFFFFF"/>
            <w:vAlign w:val="bottom"/>
            <w:hideMark/>
          </w:tcPr>
          <w:p w14:paraId="792695BD" w14:textId="77777777" w:rsidR="00000000" w:rsidRDefault="0053651E">
            <w:pPr>
              <w:jc w:val="right"/>
              <w:rPr>
                <w:rFonts w:eastAsia="Times New Roman"/>
                <w:sz w:val="16"/>
                <w:szCs w:val="16"/>
              </w:rPr>
            </w:pPr>
            <w:r>
              <w:rPr>
                <w:rFonts w:eastAsia="Times New Roman"/>
                <w:sz w:val="16"/>
                <w:szCs w:val="16"/>
              </w:rPr>
              <w:t>7,946,397</w:t>
            </w:r>
          </w:p>
        </w:tc>
        <w:tc>
          <w:tcPr>
            <w:tcW w:w="50" w:type="pct"/>
            <w:shd w:val="clear" w:color="auto" w:fill="FFFFFF"/>
            <w:vAlign w:val="bottom"/>
            <w:hideMark/>
          </w:tcPr>
          <w:p w14:paraId="584B700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1161D8D" w14:textId="77777777" w:rsidR="00000000" w:rsidRDefault="0053651E">
            <w:pPr>
              <w:jc w:val="right"/>
              <w:rPr>
                <w:rFonts w:eastAsia="Times New Roman"/>
                <w:sz w:val="16"/>
                <w:szCs w:val="16"/>
              </w:rPr>
            </w:pPr>
            <w:r>
              <w:rPr>
                <w:rFonts w:eastAsia="Times New Roman"/>
                <w:sz w:val="16"/>
                <w:szCs w:val="16"/>
              </w:rPr>
              <w:t>29,229,116</w:t>
            </w:r>
          </w:p>
        </w:tc>
        <w:tc>
          <w:tcPr>
            <w:tcW w:w="50" w:type="pct"/>
            <w:shd w:val="clear" w:color="auto" w:fill="FFFFFF"/>
            <w:vAlign w:val="bottom"/>
            <w:hideMark/>
          </w:tcPr>
          <w:p w14:paraId="287895F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51E2C9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1A0E94E"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31C8295" w14:textId="77777777">
        <w:trPr>
          <w:tblCellSpacing w:w="0" w:type="dxa"/>
        </w:trPr>
        <w:tc>
          <w:tcPr>
            <w:tcW w:w="50" w:type="pct"/>
            <w:shd w:val="clear" w:color="auto" w:fill="CCEEFF"/>
            <w:vAlign w:val="bottom"/>
            <w:hideMark/>
          </w:tcPr>
          <w:p w14:paraId="6203A0F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0426E9B" w14:textId="77777777" w:rsidR="00000000" w:rsidRDefault="0053651E">
            <w:pPr>
              <w:pStyle w:val="a3"/>
              <w:spacing w:before="0" w:beforeAutospacing="0" w:after="0" w:afterAutospacing="0"/>
              <w:rPr>
                <w:sz w:val="16"/>
                <w:szCs w:val="16"/>
              </w:rPr>
            </w:pPr>
            <w:r>
              <w:rPr>
                <w:sz w:val="16"/>
                <w:szCs w:val="16"/>
              </w:rPr>
              <w:t>MCQUEEN CROSSINGS</w:t>
            </w:r>
          </w:p>
        </w:tc>
        <w:tc>
          <w:tcPr>
            <w:tcW w:w="150" w:type="pct"/>
            <w:shd w:val="clear" w:color="auto" w:fill="CCEEFF"/>
            <w:vAlign w:val="bottom"/>
            <w:hideMark/>
          </w:tcPr>
          <w:p w14:paraId="4F9A1277"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CCEEFF"/>
            <w:vAlign w:val="bottom"/>
            <w:hideMark/>
          </w:tcPr>
          <w:p w14:paraId="64C3371F" w14:textId="77777777" w:rsidR="00000000" w:rsidRDefault="0053651E">
            <w:pPr>
              <w:jc w:val="right"/>
              <w:rPr>
                <w:rFonts w:eastAsia="Times New Roman"/>
                <w:sz w:val="16"/>
                <w:szCs w:val="16"/>
              </w:rPr>
            </w:pPr>
            <w:r>
              <w:rPr>
                <w:rFonts w:eastAsia="Times New Roman"/>
                <w:sz w:val="16"/>
                <w:szCs w:val="16"/>
              </w:rPr>
              <w:t>5,017,431</w:t>
            </w:r>
          </w:p>
        </w:tc>
        <w:tc>
          <w:tcPr>
            <w:tcW w:w="550" w:type="pct"/>
            <w:shd w:val="clear" w:color="auto" w:fill="CCEEFF"/>
            <w:vAlign w:val="bottom"/>
            <w:hideMark/>
          </w:tcPr>
          <w:p w14:paraId="30267C93" w14:textId="77777777" w:rsidR="00000000" w:rsidRDefault="0053651E">
            <w:pPr>
              <w:jc w:val="right"/>
              <w:rPr>
                <w:rFonts w:eastAsia="Times New Roman"/>
                <w:sz w:val="16"/>
                <w:szCs w:val="16"/>
              </w:rPr>
            </w:pPr>
            <w:r>
              <w:rPr>
                <w:rFonts w:eastAsia="Times New Roman"/>
                <w:sz w:val="16"/>
                <w:szCs w:val="16"/>
              </w:rPr>
              <w:t>20,779,024</w:t>
            </w:r>
          </w:p>
        </w:tc>
        <w:tc>
          <w:tcPr>
            <w:tcW w:w="350" w:type="pct"/>
            <w:shd w:val="clear" w:color="auto" w:fill="CCEEFF"/>
            <w:vAlign w:val="bottom"/>
            <w:hideMark/>
          </w:tcPr>
          <w:p w14:paraId="4F85E4D9" w14:textId="77777777" w:rsidR="00000000" w:rsidRDefault="0053651E">
            <w:pPr>
              <w:jc w:val="right"/>
              <w:rPr>
                <w:rFonts w:eastAsia="Times New Roman"/>
                <w:sz w:val="16"/>
                <w:szCs w:val="16"/>
              </w:rPr>
            </w:pPr>
            <w:r>
              <w:rPr>
                <w:rFonts w:eastAsia="Times New Roman"/>
                <w:sz w:val="16"/>
                <w:szCs w:val="16"/>
              </w:rPr>
              <w:t>326,357</w:t>
            </w:r>
          </w:p>
        </w:tc>
        <w:tc>
          <w:tcPr>
            <w:tcW w:w="300" w:type="pct"/>
            <w:shd w:val="clear" w:color="auto" w:fill="CCEEFF"/>
            <w:vAlign w:val="bottom"/>
            <w:hideMark/>
          </w:tcPr>
          <w:p w14:paraId="5EA943AE" w14:textId="77777777" w:rsidR="00000000" w:rsidRDefault="0053651E">
            <w:pPr>
              <w:jc w:val="right"/>
              <w:rPr>
                <w:rFonts w:eastAsia="Times New Roman"/>
                <w:sz w:val="16"/>
                <w:szCs w:val="16"/>
              </w:rPr>
            </w:pPr>
            <w:r>
              <w:rPr>
                <w:rFonts w:eastAsia="Times New Roman"/>
                <w:sz w:val="16"/>
                <w:szCs w:val="16"/>
              </w:rPr>
              <w:t>5,017,431</w:t>
            </w:r>
          </w:p>
        </w:tc>
        <w:tc>
          <w:tcPr>
            <w:tcW w:w="450" w:type="pct"/>
            <w:shd w:val="clear" w:color="auto" w:fill="CCEEFF"/>
            <w:vAlign w:val="bottom"/>
            <w:hideMark/>
          </w:tcPr>
          <w:p w14:paraId="1E9644CD" w14:textId="77777777" w:rsidR="00000000" w:rsidRDefault="0053651E">
            <w:pPr>
              <w:jc w:val="right"/>
              <w:rPr>
                <w:rFonts w:eastAsia="Times New Roman"/>
                <w:sz w:val="16"/>
                <w:szCs w:val="16"/>
              </w:rPr>
            </w:pPr>
            <w:r>
              <w:rPr>
                <w:rFonts w:eastAsia="Times New Roman"/>
                <w:sz w:val="16"/>
                <w:szCs w:val="16"/>
              </w:rPr>
              <w:t>21,105,381</w:t>
            </w:r>
          </w:p>
        </w:tc>
        <w:tc>
          <w:tcPr>
            <w:tcW w:w="350" w:type="pct"/>
            <w:shd w:val="clear" w:color="auto" w:fill="CCEEFF"/>
            <w:vAlign w:val="bottom"/>
            <w:hideMark/>
          </w:tcPr>
          <w:p w14:paraId="05DA371B" w14:textId="77777777" w:rsidR="00000000" w:rsidRDefault="0053651E">
            <w:pPr>
              <w:jc w:val="right"/>
              <w:rPr>
                <w:rFonts w:eastAsia="Times New Roman"/>
                <w:sz w:val="16"/>
                <w:szCs w:val="16"/>
              </w:rPr>
            </w:pPr>
            <w:r>
              <w:rPr>
                <w:rFonts w:eastAsia="Times New Roman"/>
                <w:sz w:val="16"/>
                <w:szCs w:val="16"/>
              </w:rPr>
              <w:t>26,122,812</w:t>
            </w:r>
          </w:p>
        </w:tc>
        <w:tc>
          <w:tcPr>
            <w:tcW w:w="400" w:type="pct"/>
            <w:shd w:val="clear" w:color="auto" w:fill="CCEEFF"/>
            <w:vAlign w:val="bottom"/>
            <w:hideMark/>
          </w:tcPr>
          <w:p w14:paraId="1F80B6FD" w14:textId="77777777" w:rsidR="00000000" w:rsidRDefault="0053651E">
            <w:pPr>
              <w:jc w:val="right"/>
              <w:rPr>
                <w:rFonts w:eastAsia="Times New Roman"/>
                <w:sz w:val="16"/>
                <w:szCs w:val="16"/>
              </w:rPr>
            </w:pPr>
            <w:r>
              <w:rPr>
                <w:rFonts w:eastAsia="Times New Roman"/>
                <w:sz w:val="16"/>
                <w:szCs w:val="16"/>
              </w:rPr>
              <w:t>5,030,679</w:t>
            </w:r>
          </w:p>
        </w:tc>
        <w:tc>
          <w:tcPr>
            <w:tcW w:w="50" w:type="pct"/>
            <w:shd w:val="clear" w:color="auto" w:fill="CCEEFF"/>
            <w:vAlign w:val="bottom"/>
            <w:hideMark/>
          </w:tcPr>
          <w:p w14:paraId="27F8D9E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0CB8201" w14:textId="77777777" w:rsidR="00000000" w:rsidRDefault="0053651E">
            <w:pPr>
              <w:jc w:val="right"/>
              <w:rPr>
                <w:rFonts w:eastAsia="Times New Roman"/>
                <w:sz w:val="16"/>
                <w:szCs w:val="16"/>
              </w:rPr>
            </w:pPr>
            <w:r>
              <w:rPr>
                <w:rFonts w:eastAsia="Times New Roman"/>
                <w:sz w:val="16"/>
                <w:szCs w:val="16"/>
              </w:rPr>
              <w:t>21,092,133</w:t>
            </w:r>
          </w:p>
        </w:tc>
        <w:tc>
          <w:tcPr>
            <w:tcW w:w="50" w:type="pct"/>
            <w:shd w:val="clear" w:color="auto" w:fill="CCEEFF"/>
            <w:vAlign w:val="bottom"/>
            <w:hideMark/>
          </w:tcPr>
          <w:p w14:paraId="6A471E1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55ABF0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56086B4"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2659DCA" w14:textId="77777777">
        <w:trPr>
          <w:tblCellSpacing w:w="0" w:type="dxa"/>
        </w:trPr>
        <w:tc>
          <w:tcPr>
            <w:tcW w:w="50" w:type="pct"/>
            <w:shd w:val="clear" w:color="auto" w:fill="FFFFFF"/>
            <w:vAlign w:val="bottom"/>
            <w:hideMark/>
          </w:tcPr>
          <w:p w14:paraId="17CA43C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597053B" w14:textId="77777777" w:rsidR="00000000" w:rsidRDefault="0053651E">
            <w:pPr>
              <w:pStyle w:val="a3"/>
              <w:spacing w:before="0" w:beforeAutospacing="0" w:after="0" w:afterAutospacing="0"/>
              <w:rPr>
                <w:sz w:val="16"/>
                <w:szCs w:val="16"/>
              </w:rPr>
            </w:pPr>
            <w:r>
              <w:rPr>
                <w:sz w:val="16"/>
                <w:szCs w:val="16"/>
              </w:rPr>
              <w:t>GALENA JUNCTION</w:t>
            </w:r>
          </w:p>
        </w:tc>
        <w:tc>
          <w:tcPr>
            <w:tcW w:w="150" w:type="pct"/>
            <w:shd w:val="clear" w:color="auto" w:fill="FFFFFF"/>
            <w:vAlign w:val="bottom"/>
            <w:hideMark/>
          </w:tcPr>
          <w:p w14:paraId="4DB07D67"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FFFFFF"/>
            <w:vAlign w:val="bottom"/>
            <w:hideMark/>
          </w:tcPr>
          <w:p w14:paraId="06C7B183" w14:textId="77777777" w:rsidR="00000000" w:rsidRDefault="0053651E">
            <w:pPr>
              <w:jc w:val="right"/>
              <w:rPr>
                <w:rFonts w:eastAsia="Times New Roman"/>
                <w:sz w:val="16"/>
                <w:szCs w:val="16"/>
              </w:rPr>
            </w:pPr>
            <w:r>
              <w:rPr>
                <w:rFonts w:eastAsia="Times New Roman"/>
                <w:sz w:val="16"/>
                <w:szCs w:val="16"/>
              </w:rPr>
              <w:t>8,931,027</w:t>
            </w:r>
          </w:p>
        </w:tc>
        <w:tc>
          <w:tcPr>
            <w:tcW w:w="550" w:type="pct"/>
            <w:shd w:val="clear" w:color="auto" w:fill="FFFFFF"/>
            <w:vAlign w:val="bottom"/>
            <w:hideMark/>
          </w:tcPr>
          <w:p w14:paraId="35F1A0F1" w14:textId="77777777" w:rsidR="00000000" w:rsidRDefault="0053651E">
            <w:pPr>
              <w:jc w:val="right"/>
              <w:rPr>
                <w:rFonts w:eastAsia="Times New Roman"/>
                <w:sz w:val="16"/>
                <w:szCs w:val="16"/>
              </w:rPr>
            </w:pPr>
            <w:r>
              <w:rPr>
                <w:rFonts w:eastAsia="Times New Roman"/>
                <w:sz w:val="16"/>
                <w:szCs w:val="16"/>
              </w:rPr>
              <w:t>17,503,387</w:t>
            </w:r>
          </w:p>
        </w:tc>
        <w:tc>
          <w:tcPr>
            <w:tcW w:w="350" w:type="pct"/>
            <w:shd w:val="clear" w:color="auto" w:fill="FFFFFF"/>
            <w:vAlign w:val="bottom"/>
            <w:hideMark/>
          </w:tcPr>
          <w:p w14:paraId="11B819CA" w14:textId="77777777" w:rsidR="00000000" w:rsidRDefault="0053651E">
            <w:pPr>
              <w:jc w:val="right"/>
              <w:rPr>
                <w:rFonts w:eastAsia="Times New Roman"/>
                <w:sz w:val="16"/>
                <w:szCs w:val="16"/>
              </w:rPr>
            </w:pPr>
            <w:r>
              <w:rPr>
                <w:rFonts w:eastAsia="Times New Roman"/>
                <w:sz w:val="16"/>
                <w:szCs w:val="16"/>
              </w:rPr>
              <w:t>223,293</w:t>
            </w:r>
          </w:p>
        </w:tc>
        <w:tc>
          <w:tcPr>
            <w:tcW w:w="300" w:type="pct"/>
            <w:shd w:val="clear" w:color="auto" w:fill="FFFFFF"/>
            <w:vAlign w:val="bottom"/>
            <w:hideMark/>
          </w:tcPr>
          <w:p w14:paraId="5EC224DC" w14:textId="77777777" w:rsidR="00000000" w:rsidRDefault="0053651E">
            <w:pPr>
              <w:jc w:val="right"/>
              <w:rPr>
                <w:rFonts w:eastAsia="Times New Roman"/>
                <w:sz w:val="16"/>
                <w:szCs w:val="16"/>
              </w:rPr>
            </w:pPr>
            <w:r>
              <w:rPr>
                <w:rFonts w:eastAsia="Times New Roman"/>
                <w:sz w:val="16"/>
                <w:szCs w:val="16"/>
              </w:rPr>
              <w:t>8,931,027</w:t>
            </w:r>
          </w:p>
        </w:tc>
        <w:tc>
          <w:tcPr>
            <w:tcW w:w="450" w:type="pct"/>
            <w:shd w:val="clear" w:color="auto" w:fill="FFFFFF"/>
            <w:vAlign w:val="bottom"/>
            <w:hideMark/>
          </w:tcPr>
          <w:p w14:paraId="590CFAE4" w14:textId="77777777" w:rsidR="00000000" w:rsidRDefault="0053651E">
            <w:pPr>
              <w:jc w:val="right"/>
              <w:rPr>
                <w:rFonts w:eastAsia="Times New Roman"/>
                <w:sz w:val="16"/>
                <w:szCs w:val="16"/>
              </w:rPr>
            </w:pPr>
            <w:r>
              <w:rPr>
                <w:rFonts w:eastAsia="Times New Roman"/>
                <w:sz w:val="16"/>
                <w:szCs w:val="16"/>
              </w:rPr>
              <w:t>17,726,680</w:t>
            </w:r>
          </w:p>
        </w:tc>
        <w:tc>
          <w:tcPr>
            <w:tcW w:w="350" w:type="pct"/>
            <w:shd w:val="clear" w:color="auto" w:fill="FFFFFF"/>
            <w:vAlign w:val="bottom"/>
            <w:hideMark/>
          </w:tcPr>
          <w:p w14:paraId="6201D70A" w14:textId="77777777" w:rsidR="00000000" w:rsidRDefault="0053651E">
            <w:pPr>
              <w:jc w:val="right"/>
              <w:rPr>
                <w:rFonts w:eastAsia="Times New Roman"/>
                <w:sz w:val="16"/>
                <w:szCs w:val="16"/>
              </w:rPr>
            </w:pPr>
            <w:r>
              <w:rPr>
                <w:rFonts w:eastAsia="Times New Roman"/>
                <w:sz w:val="16"/>
                <w:szCs w:val="16"/>
              </w:rPr>
              <w:t>26,657,707</w:t>
            </w:r>
          </w:p>
        </w:tc>
        <w:tc>
          <w:tcPr>
            <w:tcW w:w="400" w:type="pct"/>
            <w:shd w:val="clear" w:color="auto" w:fill="FFFFFF"/>
            <w:vAlign w:val="bottom"/>
            <w:hideMark/>
          </w:tcPr>
          <w:p w14:paraId="7BA38F25" w14:textId="77777777" w:rsidR="00000000" w:rsidRDefault="0053651E">
            <w:pPr>
              <w:jc w:val="right"/>
              <w:rPr>
                <w:rFonts w:eastAsia="Times New Roman"/>
                <w:sz w:val="16"/>
                <w:szCs w:val="16"/>
              </w:rPr>
            </w:pPr>
            <w:r>
              <w:rPr>
                <w:rFonts w:eastAsia="Times New Roman"/>
                <w:sz w:val="16"/>
                <w:szCs w:val="16"/>
              </w:rPr>
              <w:t>3,682,910</w:t>
            </w:r>
          </w:p>
        </w:tc>
        <w:tc>
          <w:tcPr>
            <w:tcW w:w="50" w:type="pct"/>
            <w:shd w:val="clear" w:color="auto" w:fill="FFFFFF"/>
            <w:vAlign w:val="bottom"/>
            <w:hideMark/>
          </w:tcPr>
          <w:p w14:paraId="4CB7699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35A961B" w14:textId="77777777" w:rsidR="00000000" w:rsidRDefault="0053651E">
            <w:pPr>
              <w:jc w:val="right"/>
              <w:rPr>
                <w:rFonts w:eastAsia="Times New Roman"/>
                <w:sz w:val="16"/>
                <w:szCs w:val="16"/>
              </w:rPr>
            </w:pPr>
            <w:r>
              <w:rPr>
                <w:rFonts w:eastAsia="Times New Roman"/>
                <w:sz w:val="16"/>
                <w:szCs w:val="16"/>
              </w:rPr>
              <w:t>22,974,797</w:t>
            </w:r>
          </w:p>
        </w:tc>
        <w:tc>
          <w:tcPr>
            <w:tcW w:w="50" w:type="pct"/>
            <w:shd w:val="clear" w:color="auto" w:fill="FFFFFF"/>
            <w:vAlign w:val="bottom"/>
            <w:hideMark/>
          </w:tcPr>
          <w:p w14:paraId="353D51E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C7B67A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543501F"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B7A3092" w14:textId="77777777">
        <w:trPr>
          <w:tblCellSpacing w:w="0" w:type="dxa"/>
        </w:trPr>
        <w:tc>
          <w:tcPr>
            <w:tcW w:w="50" w:type="pct"/>
            <w:shd w:val="clear" w:color="auto" w:fill="CCEEFF"/>
            <w:vAlign w:val="bottom"/>
            <w:hideMark/>
          </w:tcPr>
          <w:p w14:paraId="7F6310D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68A0CBB" w14:textId="77777777" w:rsidR="00000000" w:rsidRDefault="0053651E">
            <w:pPr>
              <w:pStyle w:val="a3"/>
              <w:spacing w:before="0" w:beforeAutospacing="0" w:after="0" w:afterAutospacing="0"/>
              <w:rPr>
                <w:sz w:val="16"/>
                <w:szCs w:val="16"/>
              </w:rPr>
            </w:pPr>
            <w:r>
              <w:rPr>
                <w:sz w:val="16"/>
                <w:szCs w:val="16"/>
              </w:rPr>
              <w:t>D'ANDREA MARKETPLACE</w:t>
            </w:r>
          </w:p>
        </w:tc>
        <w:tc>
          <w:tcPr>
            <w:tcW w:w="150" w:type="pct"/>
            <w:shd w:val="clear" w:color="auto" w:fill="CCEEFF"/>
            <w:vAlign w:val="bottom"/>
            <w:hideMark/>
          </w:tcPr>
          <w:p w14:paraId="491728E4"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CCEEFF"/>
            <w:vAlign w:val="bottom"/>
            <w:hideMark/>
          </w:tcPr>
          <w:p w14:paraId="18888D32" w14:textId="77777777" w:rsidR="00000000" w:rsidRDefault="0053651E">
            <w:pPr>
              <w:jc w:val="right"/>
              <w:rPr>
                <w:rFonts w:eastAsia="Times New Roman"/>
                <w:sz w:val="16"/>
                <w:szCs w:val="16"/>
              </w:rPr>
            </w:pPr>
            <w:r>
              <w:rPr>
                <w:rFonts w:eastAsia="Times New Roman"/>
                <w:sz w:val="16"/>
                <w:szCs w:val="16"/>
              </w:rPr>
              <w:t>11,556,067</w:t>
            </w:r>
          </w:p>
        </w:tc>
        <w:tc>
          <w:tcPr>
            <w:tcW w:w="550" w:type="pct"/>
            <w:shd w:val="clear" w:color="auto" w:fill="CCEEFF"/>
            <w:vAlign w:val="bottom"/>
            <w:hideMark/>
          </w:tcPr>
          <w:p w14:paraId="499D6CE3" w14:textId="77777777" w:rsidR="00000000" w:rsidRDefault="0053651E">
            <w:pPr>
              <w:jc w:val="right"/>
              <w:rPr>
                <w:rFonts w:eastAsia="Times New Roman"/>
                <w:sz w:val="16"/>
                <w:szCs w:val="16"/>
              </w:rPr>
            </w:pPr>
            <w:r>
              <w:rPr>
                <w:rFonts w:eastAsia="Times New Roman"/>
                <w:sz w:val="16"/>
                <w:szCs w:val="16"/>
              </w:rPr>
              <w:t>29,435,364</w:t>
            </w:r>
          </w:p>
        </w:tc>
        <w:tc>
          <w:tcPr>
            <w:tcW w:w="350" w:type="pct"/>
            <w:shd w:val="clear" w:color="auto" w:fill="CCEEFF"/>
            <w:vAlign w:val="bottom"/>
            <w:hideMark/>
          </w:tcPr>
          <w:p w14:paraId="3767235F" w14:textId="77777777" w:rsidR="00000000" w:rsidRDefault="0053651E">
            <w:pPr>
              <w:jc w:val="right"/>
              <w:rPr>
                <w:rFonts w:eastAsia="Times New Roman"/>
                <w:sz w:val="16"/>
                <w:szCs w:val="16"/>
              </w:rPr>
            </w:pPr>
            <w:r>
              <w:rPr>
                <w:rFonts w:eastAsia="Times New Roman"/>
                <w:sz w:val="16"/>
                <w:szCs w:val="16"/>
              </w:rPr>
              <w:t>564,122</w:t>
            </w:r>
          </w:p>
        </w:tc>
        <w:tc>
          <w:tcPr>
            <w:tcW w:w="300" w:type="pct"/>
            <w:shd w:val="clear" w:color="auto" w:fill="CCEEFF"/>
            <w:vAlign w:val="bottom"/>
            <w:hideMark/>
          </w:tcPr>
          <w:p w14:paraId="0AC4C45D" w14:textId="77777777" w:rsidR="00000000" w:rsidRDefault="0053651E">
            <w:pPr>
              <w:jc w:val="right"/>
              <w:rPr>
                <w:rFonts w:eastAsia="Times New Roman"/>
                <w:sz w:val="16"/>
                <w:szCs w:val="16"/>
              </w:rPr>
            </w:pPr>
            <w:r>
              <w:rPr>
                <w:rFonts w:eastAsia="Times New Roman"/>
                <w:sz w:val="16"/>
                <w:szCs w:val="16"/>
              </w:rPr>
              <w:t>11,556,067</w:t>
            </w:r>
          </w:p>
        </w:tc>
        <w:tc>
          <w:tcPr>
            <w:tcW w:w="450" w:type="pct"/>
            <w:shd w:val="clear" w:color="auto" w:fill="CCEEFF"/>
            <w:vAlign w:val="bottom"/>
            <w:hideMark/>
          </w:tcPr>
          <w:p w14:paraId="39ADD6E3" w14:textId="77777777" w:rsidR="00000000" w:rsidRDefault="0053651E">
            <w:pPr>
              <w:jc w:val="right"/>
              <w:rPr>
                <w:rFonts w:eastAsia="Times New Roman"/>
                <w:sz w:val="16"/>
                <w:szCs w:val="16"/>
              </w:rPr>
            </w:pPr>
            <w:r>
              <w:rPr>
                <w:rFonts w:eastAsia="Times New Roman"/>
                <w:sz w:val="16"/>
                <w:szCs w:val="16"/>
              </w:rPr>
              <w:t>29,999,486</w:t>
            </w:r>
          </w:p>
        </w:tc>
        <w:tc>
          <w:tcPr>
            <w:tcW w:w="350" w:type="pct"/>
            <w:shd w:val="clear" w:color="auto" w:fill="CCEEFF"/>
            <w:vAlign w:val="bottom"/>
            <w:hideMark/>
          </w:tcPr>
          <w:p w14:paraId="5D1997A8" w14:textId="77777777" w:rsidR="00000000" w:rsidRDefault="0053651E">
            <w:pPr>
              <w:jc w:val="right"/>
              <w:rPr>
                <w:rFonts w:eastAsia="Times New Roman"/>
                <w:sz w:val="16"/>
                <w:szCs w:val="16"/>
              </w:rPr>
            </w:pPr>
            <w:r>
              <w:rPr>
                <w:rFonts w:eastAsia="Times New Roman"/>
                <w:sz w:val="16"/>
                <w:szCs w:val="16"/>
              </w:rPr>
              <w:t>41,555,553</w:t>
            </w:r>
          </w:p>
        </w:tc>
        <w:tc>
          <w:tcPr>
            <w:tcW w:w="400" w:type="pct"/>
            <w:shd w:val="clear" w:color="auto" w:fill="CCEEFF"/>
            <w:vAlign w:val="bottom"/>
            <w:hideMark/>
          </w:tcPr>
          <w:p w14:paraId="39DBF607" w14:textId="77777777" w:rsidR="00000000" w:rsidRDefault="0053651E">
            <w:pPr>
              <w:jc w:val="right"/>
              <w:rPr>
                <w:rFonts w:eastAsia="Times New Roman"/>
                <w:sz w:val="16"/>
                <w:szCs w:val="16"/>
              </w:rPr>
            </w:pPr>
            <w:r>
              <w:rPr>
                <w:rFonts w:eastAsia="Times New Roman"/>
                <w:sz w:val="16"/>
                <w:szCs w:val="16"/>
              </w:rPr>
              <w:t>9,693,650</w:t>
            </w:r>
          </w:p>
        </w:tc>
        <w:tc>
          <w:tcPr>
            <w:tcW w:w="50" w:type="pct"/>
            <w:shd w:val="clear" w:color="auto" w:fill="CCEEFF"/>
            <w:vAlign w:val="bottom"/>
            <w:hideMark/>
          </w:tcPr>
          <w:p w14:paraId="467A36E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998CC8D" w14:textId="77777777" w:rsidR="00000000" w:rsidRDefault="0053651E">
            <w:pPr>
              <w:jc w:val="right"/>
              <w:rPr>
                <w:rFonts w:eastAsia="Times New Roman"/>
                <w:sz w:val="16"/>
                <w:szCs w:val="16"/>
              </w:rPr>
            </w:pPr>
            <w:r>
              <w:rPr>
                <w:rFonts w:eastAsia="Times New Roman"/>
                <w:sz w:val="16"/>
                <w:szCs w:val="16"/>
              </w:rPr>
              <w:t>31,861,903</w:t>
            </w:r>
          </w:p>
        </w:tc>
        <w:tc>
          <w:tcPr>
            <w:tcW w:w="50" w:type="pct"/>
            <w:shd w:val="clear" w:color="auto" w:fill="CCEEFF"/>
            <w:vAlign w:val="bottom"/>
            <w:hideMark/>
          </w:tcPr>
          <w:p w14:paraId="55EC238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F1ABD0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FD2224A"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0543A142" w14:textId="77777777">
        <w:trPr>
          <w:tblCellSpacing w:w="0" w:type="dxa"/>
        </w:trPr>
        <w:tc>
          <w:tcPr>
            <w:tcW w:w="50" w:type="pct"/>
            <w:shd w:val="clear" w:color="auto" w:fill="FFFFFF"/>
            <w:vAlign w:val="bottom"/>
            <w:hideMark/>
          </w:tcPr>
          <w:p w14:paraId="79A63A0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90C7148" w14:textId="77777777" w:rsidR="00000000" w:rsidRDefault="0053651E">
            <w:pPr>
              <w:pStyle w:val="a3"/>
              <w:spacing w:before="0" w:beforeAutospacing="0" w:after="0" w:afterAutospacing="0"/>
              <w:rPr>
                <w:sz w:val="16"/>
                <w:szCs w:val="16"/>
              </w:rPr>
            </w:pPr>
            <w:r>
              <w:rPr>
                <w:sz w:val="16"/>
                <w:szCs w:val="16"/>
              </w:rPr>
              <w:t>SPARKS MERCANTILE</w:t>
            </w:r>
          </w:p>
        </w:tc>
        <w:tc>
          <w:tcPr>
            <w:tcW w:w="150" w:type="pct"/>
            <w:shd w:val="clear" w:color="auto" w:fill="FFFFFF"/>
            <w:vAlign w:val="bottom"/>
            <w:hideMark/>
          </w:tcPr>
          <w:p w14:paraId="6D62E272" w14:textId="77777777" w:rsidR="00000000" w:rsidRDefault="0053651E">
            <w:pPr>
              <w:pStyle w:val="a3"/>
              <w:spacing w:before="0" w:beforeAutospacing="0" w:after="0" w:afterAutospacing="0"/>
              <w:rPr>
                <w:sz w:val="16"/>
                <w:szCs w:val="16"/>
              </w:rPr>
            </w:pPr>
            <w:r>
              <w:rPr>
                <w:rStyle w:val="a6"/>
                <w:i w:val="0"/>
                <w:iCs w:val="0"/>
                <w:sz w:val="16"/>
                <w:szCs w:val="16"/>
              </w:rPr>
              <w:t>NV</w:t>
            </w:r>
          </w:p>
        </w:tc>
        <w:tc>
          <w:tcPr>
            <w:tcW w:w="300" w:type="pct"/>
            <w:shd w:val="clear" w:color="auto" w:fill="FFFFFF"/>
            <w:vAlign w:val="bottom"/>
            <w:hideMark/>
          </w:tcPr>
          <w:p w14:paraId="05962308" w14:textId="77777777" w:rsidR="00000000" w:rsidRDefault="0053651E">
            <w:pPr>
              <w:jc w:val="right"/>
              <w:rPr>
                <w:rFonts w:eastAsia="Times New Roman"/>
                <w:sz w:val="16"/>
                <w:szCs w:val="16"/>
              </w:rPr>
            </w:pPr>
            <w:r>
              <w:rPr>
                <w:rFonts w:eastAsia="Times New Roman"/>
                <w:sz w:val="16"/>
                <w:szCs w:val="16"/>
              </w:rPr>
              <w:t>6,221,614</w:t>
            </w:r>
          </w:p>
        </w:tc>
        <w:tc>
          <w:tcPr>
            <w:tcW w:w="550" w:type="pct"/>
            <w:shd w:val="clear" w:color="auto" w:fill="FFFFFF"/>
            <w:vAlign w:val="bottom"/>
            <w:hideMark/>
          </w:tcPr>
          <w:p w14:paraId="6BCAA7DF" w14:textId="77777777" w:rsidR="00000000" w:rsidRDefault="0053651E">
            <w:pPr>
              <w:jc w:val="right"/>
              <w:rPr>
                <w:rFonts w:eastAsia="Times New Roman"/>
                <w:sz w:val="16"/>
                <w:szCs w:val="16"/>
              </w:rPr>
            </w:pPr>
            <w:r>
              <w:rPr>
                <w:rFonts w:eastAsia="Times New Roman"/>
                <w:sz w:val="16"/>
                <w:szCs w:val="16"/>
              </w:rPr>
              <w:t>17,069,172</w:t>
            </w:r>
          </w:p>
        </w:tc>
        <w:tc>
          <w:tcPr>
            <w:tcW w:w="350" w:type="pct"/>
            <w:shd w:val="clear" w:color="auto" w:fill="FFFFFF"/>
            <w:vAlign w:val="bottom"/>
            <w:hideMark/>
          </w:tcPr>
          <w:p w14:paraId="5896F82B" w14:textId="77777777" w:rsidR="00000000" w:rsidRDefault="0053651E">
            <w:pPr>
              <w:jc w:val="right"/>
              <w:rPr>
                <w:rFonts w:eastAsia="Times New Roman"/>
                <w:sz w:val="16"/>
                <w:szCs w:val="16"/>
              </w:rPr>
            </w:pPr>
            <w:r>
              <w:rPr>
                <w:rFonts w:eastAsia="Times New Roman"/>
                <w:sz w:val="16"/>
                <w:szCs w:val="16"/>
              </w:rPr>
              <w:t>137,785</w:t>
            </w:r>
          </w:p>
        </w:tc>
        <w:tc>
          <w:tcPr>
            <w:tcW w:w="300" w:type="pct"/>
            <w:shd w:val="clear" w:color="auto" w:fill="FFFFFF"/>
            <w:vAlign w:val="bottom"/>
            <w:hideMark/>
          </w:tcPr>
          <w:p w14:paraId="32BB61AA" w14:textId="77777777" w:rsidR="00000000" w:rsidRDefault="0053651E">
            <w:pPr>
              <w:jc w:val="right"/>
              <w:rPr>
                <w:rFonts w:eastAsia="Times New Roman"/>
                <w:sz w:val="16"/>
                <w:szCs w:val="16"/>
              </w:rPr>
            </w:pPr>
            <w:r>
              <w:rPr>
                <w:rFonts w:eastAsia="Times New Roman"/>
                <w:sz w:val="16"/>
                <w:szCs w:val="16"/>
              </w:rPr>
              <w:t>6,221,614</w:t>
            </w:r>
          </w:p>
        </w:tc>
        <w:tc>
          <w:tcPr>
            <w:tcW w:w="450" w:type="pct"/>
            <w:shd w:val="clear" w:color="auto" w:fill="FFFFFF"/>
            <w:vAlign w:val="bottom"/>
            <w:hideMark/>
          </w:tcPr>
          <w:p w14:paraId="599E7AA4" w14:textId="77777777" w:rsidR="00000000" w:rsidRDefault="0053651E">
            <w:pPr>
              <w:jc w:val="right"/>
              <w:rPr>
                <w:rFonts w:eastAsia="Times New Roman"/>
                <w:sz w:val="16"/>
                <w:szCs w:val="16"/>
              </w:rPr>
            </w:pPr>
            <w:r>
              <w:rPr>
                <w:rFonts w:eastAsia="Times New Roman"/>
                <w:sz w:val="16"/>
                <w:szCs w:val="16"/>
              </w:rPr>
              <w:t>17,206,957</w:t>
            </w:r>
          </w:p>
        </w:tc>
        <w:tc>
          <w:tcPr>
            <w:tcW w:w="350" w:type="pct"/>
            <w:shd w:val="clear" w:color="auto" w:fill="FFFFFF"/>
            <w:vAlign w:val="bottom"/>
            <w:hideMark/>
          </w:tcPr>
          <w:p w14:paraId="2FD3D526" w14:textId="77777777" w:rsidR="00000000" w:rsidRDefault="0053651E">
            <w:pPr>
              <w:jc w:val="right"/>
              <w:rPr>
                <w:rFonts w:eastAsia="Times New Roman"/>
                <w:sz w:val="16"/>
                <w:szCs w:val="16"/>
              </w:rPr>
            </w:pPr>
            <w:r>
              <w:rPr>
                <w:rFonts w:eastAsia="Times New Roman"/>
                <w:sz w:val="16"/>
                <w:szCs w:val="16"/>
              </w:rPr>
              <w:t>23,428,571</w:t>
            </w:r>
          </w:p>
        </w:tc>
        <w:tc>
          <w:tcPr>
            <w:tcW w:w="400" w:type="pct"/>
            <w:shd w:val="clear" w:color="auto" w:fill="FFFFFF"/>
            <w:vAlign w:val="bottom"/>
            <w:hideMark/>
          </w:tcPr>
          <w:p w14:paraId="6CA4D809" w14:textId="77777777" w:rsidR="00000000" w:rsidRDefault="0053651E">
            <w:pPr>
              <w:jc w:val="right"/>
              <w:rPr>
                <w:rFonts w:eastAsia="Times New Roman"/>
                <w:sz w:val="16"/>
                <w:szCs w:val="16"/>
              </w:rPr>
            </w:pPr>
            <w:r>
              <w:rPr>
                <w:rFonts w:eastAsia="Times New Roman"/>
                <w:sz w:val="16"/>
                <w:szCs w:val="16"/>
              </w:rPr>
              <w:t>3,508,976</w:t>
            </w:r>
          </w:p>
        </w:tc>
        <w:tc>
          <w:tcPr>
            <w:tcW w:w="50" w:type="pct"/>
            <w:shd w:val="clear" w:color="auto" w:fill="FFFFFF"/>
            <w:vAlign w:val="bottom"/>
            <w:hideMark/>
          </w:tcPr>
          <w:p w14:paraId="0B00CB2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87F6B91" w14:textId="77777777" w:rsidR="00000000" w:rsidRDefault="0053651E">
            <w:pPr>
              <w:jc w:val="right"/>
              <w:rPr>
                <w:rFonts w:eastAsia="Times New Roman"/>
                <w:sz w:val="16"/>
                <w:szCs w:val="16"/>
              </w:rPr>
            </w:pPr>
            <w:r>
              <w:rPr>
                <w:rFonts w:eastAsia="Times New Roman"/>
                <w:sz w:val="16"/>
                <w:szCs w:val="16"/>
              </w:rPr>
              <w:t>19,919,595</w:t>
            </w:r>
          </w:p>
        </w:tc>
        <w:tc>
          <w:tcPr>
            <w:tcW w:w="50" w:type="pct"/>
            <w:shd w:val="clear" w:color="auto" w:fill="FFFFFF"/>
            <w:vAlign w:val="bottom"/>
            <w:hideMark/>
          </w:tcPr>
          <w:p w14:paraId="0B4E7AF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CCEF3D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A6CA6B2"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BF65C01" w14:textId="77777777">
        <w:trPr>
          <w:tblCellSpacing w:w="0" w:type="dxa"/>
        </w:trPr>
        <w:tc>
          <w:tcPr>
            <w:tcW w:w="50" w:type="pct"/>
            <w:shd w:val="clear" w:color="auto" w:fill="CCEEFF"/>
            <w:vAlign w:val="bottom"/>
            <w:hideMark/>
          </w:tcPr>
          <w:p w14:paraId="0E8E02F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915B5F1" w14:textId="77777777" w:rsidR="00000000" w:rsidRDefault="0053651E">
            <w:pPr>
              <w:pStyle w:val="a3"/>
              <w:spacing w:before="0" w:beforeAutospacing="0" w:after="0" w:afterAutospacing="0"/>
              <w:rPr>
                <w:sz w:val="16"/>
                <w:szCs w:val="16"/>
              </w:rPr>
            </w:pPr>
            <w:r>
              <w:rPr>
                <w:sz w:val="16"/>
                <w:szCs w:val="16"/>
              </w:rPr>
              <w:t>BRIDGEHAMPTON COMMONS-W&amp;E SIDE</w:t>
            </w:r>
          </w:p>
        </w:tc>
        <w:tc>
          <w:tcPr>
            <w:tcW w:w="150" w:type="pct"/>
            <w:shd w:val="clear" w:color="auto" w:fill="CCEEFF"/>
            <w:vAlign w:val="bottom"/>
            <w:hideMark/>
          </w:tcPr>
          <w:p w14:paraId="50F1DF6D"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A15429E" w14:textId="77777777" w:rsidR="00000000" w:rsidRDefault="0053651E">
            <w:pPr>
              <w:jc w:val="right"/>
              <w:rPr>
                <w:rFonts w:eastAsia="Times New Roman"/>
                <w:sz w:val="16"/>
                <w:szCs w:val="16"/>
              </w:rPr>
            </w:pPr>
            <w:r>
              <w:rPr>
                <w:rFonts w:eastAsia="Times New Roman"/>
                <w:sz w:val="16"/>
                <w:szCs w:val="16"/>
              </w:rPr>
              <w:t>1,811,752</w:t>
            </w:r>
          </w:p>
        </w:tc>
        <w:tc>
          <w:tcPr>
            <w:tcW w:w="550" w:type="pct"/>
            <w:shd w:val="clear" w:color="auto" w:fill="CCEEFF"/>
            <w:vAlign w:val="bottom"/>
            <w:hideMark/>
          </w:tcPr>
          <w:p w14:paraId="4CA9A86D" w14:textId="77777777" w:rsidR="00000000" w:rsidRDefault="0053651E">
            <w:pPr>
              <w:jc w:val="right"/>
              <w:rPr>
                <w:rFonts w:eastAsia="Times New Roman"/>
                <w:sz w:val="16"/>
                <w:szCs w:val="16"/>
              </w:rPr>
            </w:pPr>
            <w:r>
              <w:rPr>
                <w:rFonts w:eastAsia="Times New Roman"/>
                <w:sz w:val="16"/>
                <w:szCs w:val="16"/>
              </w:rPr>
              <w:t>3,107,232</w:t>
            </w:r>
          </w:p>
        </w:tc>
        <w:tc>
          <w:tcPr>
            <w:tcW w:w="350" w:type="pct"/>
            <w:shd w:val="clear" w:color="auto" w:fill="CCEEFF"/>
            <w:vAlign w:val="bottom"/>
            <w:hideMark/>
          </w:tcPr>
          <w:p w14:paraId="23AF2F32" w14:textId="77777777" w:rsidR="00000000" w:rsidRDefault="0053651E">
            <w:pPr>
              <w:jc w:val="right"/>
              <w:rPr>
                <w:rFonts w:eastAsia="Times New Roman"/>
                <w:sz w:val="16"/>
                <w:szCs w:val="16"/>
              </w:rPr>
            </w:pPr>
            <w:r>
              <w:rPr>
                <w:rFonts w:eastAsia="Times New Roman"/>
                <w:sz w:val="16"/>
                <w:szCs w:val="16"/>
              </w:rPr>
              <w:t>34,209,472</w:t>
            </w:r>
          </w:p>
        </w:tc>
        <w:tc>
          <w:tcPr>
            <w:tcW w:w="300" w:type="pct"/>
            <w:shd w:val="clear" w:color="auto" w:fill="CCEEFF"/>
            <w:vAlign w:val="bottom"/>
            <w:hideMark/>
          </w:tcPr>
          <w:p w14:paraId="12B26397" w14:textId="77777777" w:rsidR="00000000" w:rsidRDefault="0053651E">
            <w:pPr>
              <w:jc w:val="right"/>
              <w:rPr>
                <w:rFonts w:eastAsia="Times New Roman"/>
                <w:sz w:val="16"/>
                <w:szCs w:val="16"/>
              </w:rPr>
            </w:pPr>
            <w:r>
              <w:rPr>
                <w:rFonts w:eastAsia="Times New Roman"/>
                <w:sz w:val="16"/>
                <w:szCs w:val="16"/>
              </w:rPr>
              <w:t>1,858,188</w:t>
            </w:r>
          </w:p>
        </w:tc>
        <w:tc>
          <w:tcPr>
            <w:tcW w:w="450" w:type="pct"/>
            <w:shd w:val="clear" w:color="auto" w:fill="CCEEFF"/>
            <w:vAlign w:val="bottom"/>
            <w:hideMark/>
          </w:tcPr>
          <w:p w14:paraId="60A343D6" w14:textId="77777777" w:rsidR="00000000" w:rsidRDefault="0053651E">
            <w:pPr>
              <w:jc w:val="right"/>
              <w:rPr>
                <w:rFonts w:eastAsia="Times New Roman"/>
                <w:sz w:val="16"/>
                <w:szCs w:val="16"/>
              </w:rPr>
            </w:pPr>
            <w:r>
              <w:rPr>
                <w:rFonts w:eastAsia="Times New Roman"/>
                <w:sz w:val="16"/>
                <w:szCs w:val="16"/>
              </w:rPr>
              <w:t>37,270,268</w:t>
            </w:r>
          </w:p>
        </w:tc>
        <w:tc>
          <w:tcPr>
            <w:tcW w:w="350" w:type="pct"/>
            <w:shd w:val="clear" w:color="auto" w:fill="CCEEFF"/>
            <w:vAlign w:val="bottom"/>
            <w:hideMark/>
          </w:tcPr>
          <w:p w14:paraId="726E5A7B" w14:textId="77777777" w:rsidR="00000000" w:rsidRDefault="0053651E">
            <w:pPr>
              <w:jc w:val="right"/>
              <w:rPr>
                <w:rFonts w:eastAsia="Times New Roman"/>
                <w:sz w:val="16"/>
                <w:szCs w:val="16"/>
              </w:rPr>
            </w:pPr>
            <w:r>
              <w:rPr>
                <w:rFonts w:eastAsia="Times New Roman"/>
                <w:sz w:val="16"/>
                <w:szCs w:val="16"/>
              </w:rPr>
              <w:t>39,128,456</w:t>
            </w:r>
          </w:p>
        </w:tc>
        <w:tc>
          <w:tcPr>
            <w:tcW w:w="400" w:type="pct"/>
            <w:shd w:val="clear" w:color="auto" w:fill="CCEEFF"/>
            <w:vAlign w:val="bottom"/>
            <w:hideMark/>
          </w:tcPr>
          <w:p w14:paraId="0E92168D" w14:textId="77777777" w:rsidR="00000000" w:rsidRDefault="0053651E">
            <w:pPr>
              <w:jc w:val="right"/>
              <w:rPr>
                <w:rFonts w:eastAsia="Times New Roman"/>
                <w:sz w:val="16"/>
                <w:szCs w:val="16"/>
              </w:rPr>
            </w:pPr>
            <w:r>
              <w:rPr>
                <w:rFonts w:eastAsia="Times New Roman"/>
                <w:sz w:val="16"/>
                <w:szCs w:val="16"/>
              </w:rPr>
              <w:t>22,584,128</w:t>
            </w:r>
          </w:p>
        </w:tc>
        <w:tc>
          <w:tcPr>
            <w:tcW w:w="50" w:type="pct"/>
            <w:shd w:val="clear" w:color="auto" w:fill="CCEEFF"/>
            <w:vAlign w:val="bottom"/>
            <w:hideMark/>
          </w:tcPr>
          <w:p w14:paraId="1577C81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F42C111" w14:textId="77777777" w:rsidR="00000000" w:rsidRDefault="0053651E">
            <w:pPr>
              <w:jc w:val="right"/>
              <w:rPr>
                <w:rFonts w:eastAsia="Times New Roman"/>
                <w:sz w:val="16"/>
                <w:szCs w:val="16"/>
              </w:rPr>
            </w:pPr>
            <w:r>
              <w:rPr>
                <w:rFonts w:eastAsia="Times New Roman"/>
                <w:sz w:val="16"/>
                <w:szCs w:val="16"/>
              </w:rPr>
              <w:t>16,544,328</w:t>
            </w:r>
          </w:p>
        </w:tc>
        <w:tc>
          <w:tcPr>
            <w:tcW w:w="50" w:type="pct"/>
            <w:shd w:val="clear" w:color="auto" w:fill="CCEEFF"/>
            <w:vAlign w:val="bottom"/>
            <w:hideMark/>
          </w:tcPr>
          <w:p w14:paraId="2EF565F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754B44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795E170" w14:textId="77777777" w:rsidR="00000000" w:rsidRDefault="0053651E">
            <w:pPr>
              <w:pStyle w:val="a3"/>
              <w:spacing w:before="0" w:beforeAutospacing="0" w:after="0" w:afterAutospacing="0"/>
              <w:jc w:val="center"/>
              <w:rPr>
                <w:sz w:val="16"/>
                <w:szCs w:val="16"/>
              </w:rPr>
            </w:pPr>
            <w:r>
              <w:rPr>
                <w:rStyle w:val="a6"/>
                <w:i w:val="0"/>
                <w:iCs w:val="0"/>
                <w:sz w:val="16"/>
                <w:szCs w:val="16"/>
              </w:rPr>
              <w:t>1972(C)</w:t>
            </w:r>
          </w:p>
        </w:tc>
      </w:tr>
      <w:tr w:rsidR="00000000" w14:paraId="303AF3C1" w14:textId="77777777">
        <w:trPr>
          <w:tblCellSpacing w:w="0" w:type="dxa"/>
        </w:trPr>
        <w:tc>
          <w:tcPr>
            <w:tcW w:w="50" w:type="pct"/>
            <w:shd w:val="clear" w:color="auto" w:fill="FFFFFF"/>
            <w:vAlign w:val="bottom"/>
            <w:hideMark/>
          </w:tcPr>
          <w:p w14:paraId="753475C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897C801" w14:textId="77777777" w:rsidR="00000000" w:rsidRDefault="0053651E">
            <w:pPr>
              <w:pStyle w:val="a3"/>
              <w:spacing w:before="0" w:beforeAutospacing="0" w:after="0" w:afterAutospacing="0"/>
              <w:rPr>
                <w:sz w:val="16"/>
                <w:szCs w:val="16"/>
              </w:rPr>
            </w:pPr>
            <w:r>
              <w:rPr>
                <w:sz w:val="16"/>
                <w:szCs w:val="16"/>
              </w:rPr>
              <w:t>OCEAN PLAZA</w:t>
            </w:r>
          </w:p>
        </w:tc>
        <w:tc>
          <w:tcPr>
            <w:tcW w:w="150" w:type="pct"/>
            <w:shd w:val="clear" w:color="auto" w:fill="FFFFFF"/>
            <w:vAlign w:val="bottom"/>
            <w:hideMark/>
          </w:tcPr>
          <w:p w14:paraId="71E0D7DB"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59C5D263" w14:textId="77777777" w:rsidR="00000000" w:rsidRDefault="0053651E">
            <w:pPr>
              <w:jc w:val="right"/>
              <w:rPr>
                <w:rFonts w:eastAsia="Times New Roman"/>
                <w:sz w:val="16"/>
                <w:szCs w:val="16"/>
              </w:rPr>
            </w:pPr>
            <w:r>
              <w:rPr>
                <w:rFonts w:eastAsia="Times New Roman"/>
                <w:sz w:val="16"/>
                <w:szCs w:val="16"/>
              </w:rPr>
              <w:t>564,097</w:t>
            </w:r>
          </w:p>
        </w:tc>
        <w:tc>
          <w:tcPr>
            <w:tcW w:w="550" w:type="pct"/>
            <w:shd w:val="clear" w:color="auto" w:fill="FFFFFF"/>
            <w:vAlign w:val="bottom"/>
            <w:hideMark/>
          </w:tcPr>
          <w:p w14:paraId="1524F41D" w14:textId="77777777" w:rsidR="00000000" w:rsidRDefault="0053651E">
            <w:pPr>
              <w:jc w:val="right"/>
              <w:rPr>
                <w:rFonts w:eastAsia="Times New Roman"/>
                <w:sz w:val="16"/>
                <w:szCs w:val="16"/>
              </w:rPr>
            </w:pPr>
            <w:r>
              <w:rPr>
                <w:rFonts w:eastAsia="Times New Roman"/>
                <w:sz w:val="16"/>
                <w:szCs w:val="16"/>
              </w:rPr>
              <w:t>2,268,768</w:t>
            </w:r>
          </w:p>
        </w:tc>
        <w:tc>
          <w:tcPr>
            <w:tcW w:w="350" w:type="pct"/>
            <w:shd w:val="clear" w:color="auto" w:fill="FFFFFF"/>
            <w:vAlign w:val="bottom"/>
            <w:hideMark/>
          </w:tcPr>
          <w:p w14:paraId="45B5AF56" w14:textId="77777777" w:rsidR="00000000" w:rsidRDefault="0053651E">
            <w:pPr>
              <w:jc w:val="right"/>
              <w:rPr>
                <w:rFonts w:eastAsia="Times New Roman"/>
                <w:sz w:val="16"/>
                <w:szCs w:val="16"/>
              </w:rPr>
            </w:pPr>
            <w:r>
              <w:rPr>
                <w:rFonts w:eastAsia="Times New Roman"/>
                <w:sz w:val="16"/>
                <w:szCs w:val="16"/>
              </w:rPr>
              <w:t>19,003</w:t>
            </w:r>
          </w:p>
        </w:tc>
        <w:tc>
          <w:tcPr>
            <w:tcW w:w="300" w:type="pct"/>
            <w:shd w:val="clear" w:color="auto" w:fill="FFFFFF"/>
            <w:vAlign w:val="bottom"/>
            <w:hideMark/>
          </w:tcPr>
          <w:p w14:paraId="661455EC" w14:textId="77777777" w:rsidR="00000000" w:rsidRDefault="0053651E">
            <w:pPr>
              <w:jc w:val="right"/>
              <w:rPr>
                <w:rFonts w:eastAsia="Times New Roman"/>
                <w:sz w:val="16"/>
                <w:szCs w:val="16"/>
              </w:rPr>
            </w:pPr>
            <w:r>
              <w:rPr>
                <w:rFonts w:eastAsia="Times New Roman"/>
                <w:sz w:val="16"/>
                <w:szCs w:val="16"/>
              </w:rPr>
              <w:t>564,097</w:t>
            </w:r>
          </w:p>
        </w:tc>
        <w:tc>
          <w:tcPr>
            <w:tcW w:w="450" w:type="pct"/>
            <w:shd w:val="clear" w:color="auto" w:fill="FFFFFF"/>
            <w:vAlign w:val="bottom"/>
            <w:hideMark/>
          </w:tcPr>
          <w:p w14:paraId="35313D37" w14:textId="77777777" w:rsidR="00000000" w:rsidRDefault="0053651E">
            <w:pPr>
              <w:jc w:val="right"/>
              <w:rPr>
                <w:rFonts w:eastAsia="Times New Roman"/>
                <w:sz w:val="16"/>
                <w:szCs w:val="16"/>
              </w:rPr>
            </w:pPr>
            <w:r>
              <w:rPr>
                <w:rFonts w:eastAsia="Times New Roman"/>
                <w:sz w:val="16"/>
                <w:szCs w:val="16"/>
              </w:rPr>
              <w:t>2,287,771</w:t>
            </w:r>
          </w:p>
        </w:tc>
        <w:tc>
          <w:tcPr>
            <w:tcW w:w="350" w:type="pct"/>
            <w:shd w:val="clear" w:color="auto" w:fill="FFFFFF"/>
            <w:vAlign w:val="bottom"/>
            <w:hideMark/>
          </w:tcPr>
          <w:p w14:paraId="3D0631D6" w14:textId="77777777" w:rsidR="00000000" w:rsidRDefault="0053651E">
            <w:pPr>
              <w:jc w:val="right"/>
              <w:rPr>
                <w:rFonts w:eastAsia="Times New Roman"/>
                <w:sz w:val="16"/>
                <w:szCs w:val="16"/>
              </w:rPr>
            </w:pPr>
            <w:r>
              <w:rPr>
                <w:rFonts w:eastAsia="Times New Roman"/>
                <w:sz w:val="16"/>
                <w:szCs w:val="16"/>
              </w:rPr>
              <w:t>2,851,868</w:t>
            </w:r>
          </w:p>
        </w:tc>
        <w:tc>
          <w:tcPr>
            <w:tcW w:w="400" w:type="pct"/>
            <w:shd w:val="clear" w:color="auto" w:fill="FFFFFF"/>
            <w:vAlign w:val="bottom"/>
            <w:hideMark/>
          </w:tcPr>
          <w:p w14:paraId="31B2A3D4" w14:textId="77777777" w:rsidR="00000000" w:rsidRDefault="0053651E">
            <w:pPr>
              <w:jc w:val="right"/>
              <w:rPr>
                <w:rFonts w:eastAsia="Times New Roman"/>
                <w:sz w:val="16"/>
                <w:szCs w:val="16"/>
              </w:rPr>
            </w:pPr>
            <w:r>
              <w:rPr>
                <w:rFonts w:eastAsia="Times New Roman"/>
                <w:sz w:val="16"/>
                <w:szCs w:val="16"/>
              </w:rPr>
              <w:t>978,043</w:t>
            </w:r>
          </w:p>
        </w:tc>
        <w:tc>
          <w:tcPr>
            <w:tcW w:w="50" w:type="pct"/>
            <w:shd w:val="clear" w:color="auto" w:fill="FFFFFF"/>
            <w:vAlign w:val="bottom"/>
            <w:hideMark/>
          </w:tcPr>
          <w:p w14:paraId="2D43C1A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B67E727" w14:textId="77777777" w:rsidR="00000000" w:rsidRDefault="0053651E">
            <w:pPr>
              <w:jc w:val="right"/>
              <w:rPr>
                <w:rFonts w:eastAsia="Times New Roman"/>
                <w:sz w:val="16"/>
                <w:szCs w:val="16"/>
              </w:rPr>
            </w:pPr>
            <w:r>
              <w:rPr>
                <w:rFonts w:eastAsia="Times New Roman"/>
                <w:sz w:val="16"/>
                <w:szCs w:val="16"/>
              </w:rPr>
              <w:t>1,873,825</w:t>
            </w:r>
          </w:p>
        </w:tc>
        <w:tc>
          <w:tcPr>
            <w:tcW w:w="50" w:type="pct"/>
            <w:shd w:val="clear" w:color="auto" w:fill="FFFFFF"/>
            <w:vAlign w:val="bottom"/>
            <w:hideMark/>
          </w:tcPr>
          <w:p w14:paraId="7C1B765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497EA2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2FDDE04"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2C78D181" w14:textId="77777777">
        <w:trPr>
          <w:tblCellSpacing w:w="0" w:type="dxa"/>
        </w:trPr>
        <w:tc>
          <w:tcPr>
            <w:tcW w:w="50" w:type="pct"/>
            <w:shd w:val="clear" w:color="auto" w:fill="CCEEFF"/>
            <w:vAlign w:val="bottom"/>
            <w:hideMark/>
          </w:tcPr>
          <w:p w14:paraId="60A604B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C0F8C89" w14:textId="77777777" w:rsidR="00000000" w:rsidRDefault="0053651E">
            <w:pPr>
              <w:pStyle w:val="a3"/>
              <w:spacing w:before="0" w:beforeAutospacing="0" w:after="0" w:afterAutospacing="0"/>
              <w:rPr>
                <w:sz w:val="16"/>
                <w:szCs w:val="16"/>
              </w:rPr>
            </w:pPr>
            <w:r>
              <w:rPr>
                <w:sz w:val="16"/>
                <w:szCs w:val="16"/>
              </w:rPr>
              <w:t>KINGS HIGHWAY</w:t>
            </w:r>
          </w:p>
        </w:tc>
        <w:tc>
          <w:tcPr>
            <w:tcW w:w="150" w:type="pct"/>
            <w:shd w:val="clear" w:color="auto" w:fill="CCEEFF"/>
            <w:vAlign w:val="bottom"/>
            <w:hideMark/>
          </w:tcPr>
          <w:p w14:paraId="5B8F5C7A"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25DBA610" w14:textId="77777777" w:rsidR="00000000" w:rsidRDefault="0053651E">
            <w:pPr>
              <w:jc w:val="right"/>
              <w:rPr>
                <w:rFonts w:eastAsia="Times New Roman"/>
                <w:sz w:val="16"/>
                <w:szCs w:val="16"/>
              </w:rPr>
            </w:pPr>
            <w:r>
              <w:rPr>
                <w:rFonts w:eastAsia="Times New Roman"/>
                <w:sz w:val="16"/>
                <w:szCs w:val="16"/>
              </w:rPr>
              <w:t>2,743,820</w:t>
            </w:r>
          </w:p>
        </w:tc>
        <w:tc>
          <w:tcPr>
            <w:tcW w:w="550" w:type="pct"/>
            <w:shd w:val="clear" w:color="auto" w:fill="CCEEFF"/>
            <w:vAlign w:val="bottom"/>
            <w:hideMark/>
          </w:tcPr>
          <w:p w14:paraId="767E834F" w14:textId="77777777" w:rsidR="00000000" w:rsidRDefault="0053651E">
            <w:pPr>
              <w:jc w:val="right"/>
              <w:rPr>
                <w:rFonts w:eastAsia="Times New Roman"/>
                <w:sz w:val="16"/>
                <w:szCs w:val="16"/>
              </w:rPr>
            </w:pPr>
            <w:r>
              <w:rPr>
                <w:rFonts w:eastAsia="Times New Roman"/>
                <w:sz w:val="16"/>
                <w:szCs w:val="16"/>
              </w:rPr>
              <w:t>6,811,268</w:t>
            </w:r>
          </w:p>
        </w:tc>
        <w:tc>
          <w:tcPr>
            <w:tcW w:w="350" w:type="pct"/>
            <w:shd w:val="clear" w:color="auto" w:fill="CCEEFF"/>
            <w:vAlign w:val="bottom"/>
            <w:hideMark/>
          </w:tcPr>
          <w:p w14:paraId="6E80632F" w14:textId="77777777" w:rsidR="00000000" w:rsidRDefault="0053651E">
            <w:pPr>
              <w:jc w:val="right"/>
              <w:rPr>
                <w:rFonts w:eastAsia="Times New Roman"/>
                <w:sz w:val="16"/>
                <w:szCs w:val="16"/>
              </w:rPr>
            </w:pPr>
            <w:r>
              <w:rPr>
                <w:rFonts w:eastAsia="Times New Roman"/>
                <w:sz w:val="16"/>
                <w:szCs w:val="16"/>
              </w:rPr>
              <w:t>2,235,709</w:t>
            </w:r>
          </w:p>
        </w:tc>
        <w:tc>
          <w:tcPr>
            <w:tcW w:w="300" w:type="pct"/>
            <w:shd w:val="clear" w:color="auto" w:fill="CCEEFF"/>
            <w:vAlign w:val="bottom"/>
            <w:hideMark/>
          </w:tcPr>
          <w:p w14:paraId="4E69FB15" w14:textId="77777777" w:rsidR="00000000" w:rsidRDefault="0053651E">
            <w:pPr>
              <w:jc w:val="right"/>
              <w:rPr>
                <w:rFonts w:eastAsia="Times New Roman"/>
                <w:sz w:val="16"/>
                <w:szCs w:val="16"/>
              </w:rPr>
            </w:pPr>
            <w:r>
              <w:rPr>
                <w:rFonts w:eastAsia="Times New Roman"/>
                <w:sz w:val="16"/>
                <w:szCs w:val="16"/>
              </w:rPr>
              <w:t>2,743,820</w:t>
            </w:r>
          </w:p>
        </w:tc>
        <w:tc>
          <w:tcPr>
            <w:tcW w:w="450" w:type="pct"/>
            <w:shd w:val="clear" w:color="auto" w:fill="CCEEFF"/>
            <w:vAlign w:val="bottom"/>
            <w:hideMark/>
          </w:tcPr>
          <w:p w14:paraId="52D23BF4" w14:textId="77777777" w:rsidR="00000000" w:rsidRDefault="0053651E">
            <w:pPr>
              <w:jc w:val="right"/>
              <w:rPr>
                <w:rFonts w:eastAsia="Times New Roman"/>
                <w:sz w:val="16"/>
                <w:szCs w:val="16"/>
              </w:rPr>
            </w:pPr>
            <w:r>
              <w:rPr>
                <w:rFonts w:eastAsia="Times New Roman"/>
                <w:sz w:val="16"/>
                <w:szCs w:val="16"/>
              </w:rPr>
              <w:t>9,046,977</w:t>
            </w:r>
          </w:p>
        </w:tc>
        <w:tc>
          <w:tcPr>
            <w:tcW w:w="350" w:type="pct"/>
            <w:shd w:val="clear" w:color="auto" w:fill="CCEEFF"/>
            <w:vAlign w:val="bottom"/>
            <w:hideMark/>
          </w:tcPr>
          <w:p w14:paraId="6652EBFC" w14:textId="77777777" w:rsidR="00000000" w:rsidRDefault="0053651E">
            <w:pPr>
              <w:jc w:val="right"/>
              <w:rPr>
                <w:rFonts w:eastAsia="Times New Roman"/>
                <w:sz w:val="16"/>
                <w:szCs w:val="16"/>
              </w:rPr>
            </w:pPr>
            <w:r>
              <w:rPr>
                <w:rFonts w:eastAsia="Times New Roman"/>
                <w:sz w:val="16"/>
                <w:szCs w:val="16"/>
              </w:rPr>
              <w:t>11,790,797</w:t>
            </w:r>
          </w:p>
        </w:tc>
        <w:tc>
          <w:tcPr>
            <w:tcW w:w="400" w:type="pct"/>
            <w:shd w:val="clear" w:color="auto" w:fill="CCEEFF"/>
            <w:vAlign w:val="bottom"/>
            <w:hideMark/>
          </w:tcPr>
          <w:p w14:paraId="1634156A" w14:textId="77777777" w:rsidR="00000000" w:rsidRDefault="0053651E">
            <w:pPr>
              <w:jc w:val="right"/>
              <w:rPr>
                <w:rFonts w:eastAsia="Times New Roman"/>
                <w:sz w:val="16"/>
                <w:szCs w:val="16"/>
              </w:rPr>
            </w:pPr>
            <w:r>
              <w:rPr>
                <w:rFonts w:eastAsia="Times New Roman"/>
                <w:sz w:val="16"/>
                <w:szCs w:val="16"/>
              </w:rPr>
              <w:t>3,875,659</w:t>
            </w:r>
          </w:p>
        </w:tc>
        <w:tc>
          <w:tcPr>
            <w:tcW w:w="50" w:type="pct"/>
            <w:shd w:val="clear" w:color="auto" w:fill="CCEEFF"/>
            <w:vAlign w:val="bottom"/>
            <w:hideMark/>
          </w:tcPr>
          <w:p w14:paraId="6726487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2B5F516" w14:textId="77777777" w:rsidR="00000000" w:rsidRDefault="0053651E">
            <w:pPr>
              <w:jc w:val="right"/>
              <w:rPr>
                <w:rFonts w:eastAsia="Times New Roman"/>
                <w:sz w:val="16"/>
                <w:szCs w:val="16"/>
              </w:rPr>
            </w:pPr>
            <w:r>
              <w:rPr>
                <w:rFonts w:eastAsia="Times New Roman"/>
                <w:sz w:val="16"/>
                <w:szCs w:val="16"/>
              </w:rPr>
              <w:t>7,915,138</w:t>
            </w:r>
          </w:p>
        </w:tc>
        <w:tc>
          <w:tcPr>
            <w:tcW w:w="50" w:type="pct"/>
            <w:shd w:val="clear" w:color="auto" w:fill="CCEEFF"/>
            <w:vAlign w:val="bottom"/>
            <w:hideMark/>
          </w:tcPr>
          <w:p w14:paraId="5988254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70A2DC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C8A9B69"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7EB7DFE1" w14:textId="77777777">
        <w:trPr>
          <w:tblCellSpacing w:w="0" w:type="dxa"/>
        </w:trPr>
        <w:tc>
          <w:tcPr>
            <w:tcW w:w="50" w:type="pct"/>
            <w:shd w:val="clear" w:color="auto" w:fill="FFFFFF"/>
            <w:vAlign w:val="bottom"/>
            <w:hideMark/>
          </w:tcPr>
          <w:p w14:paraId="320A0AD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64ED729" w14:textId="77777777" w:rsidR="00000000" w:rsidRDefault="0053651E">
            <w:pPr>
              <w:pStyle w:val="a3"/>
              <w:spacing w:before="0" w:beforeAutospacing="0" w:after="0" w:afterAutospacing="0"/>
              <w:rPr>
                <w:sz w:val="16"/>
                <w:szCs w:val="16"/>
              </w:rPr>
            </w:pPr>
            <w:r>
              <w:rPr>
                <w:sz w:val="16"/>
                <w:szCs w:val="16"/>
              </w:rPr>
              <w:t>RALPH AVENUE PLAZA</w:t>
            </w:r>
          </w:p>
        </w:tc>
        <w:tc>
          <w:tcPr>
            <w:tcW w:w="150" w:type="pct"/>
            <w:shd w:val="clear" w:color="auto" w:fill="FFFFFF"/>
            <w:vAlign w:val="bottom"/>
            <w:hideMark/>
          </w:tcPr>
          <w:p w14:paraId="59A11FCD"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154DE87F" w14:textId="77777777" w:rsidR="00000000" w:rsidRDefault="0053651E">
            <w:pPr>
              <w:jc w:val="right"/>
              <w:rPr>
                <w:rFonts w:eastAsia="Times New Roman"/>
                <w:sz w:val="16"/>
                <w:szCs w:val="16"/>
              </w:rPr>
            </w:pPr>
            <w:r>
              <w:rPr>
                <w:rFonts w:eastAsia="Times New Roman"/>
                <w:sz w:val="16"/>
                <w:szCs w:val="16"/>
              </w:rPr>
              <w:t>4,414,466</w:t>
            </w:r>
          </w:p>
        </w:tc>
        <w:tc>
          <w:tcPr>
            <w:tcW w:w="550" w:type="pct"/>
            <w:shd w:val="clear" w:color="auto" w:fill="FFFFFF"/>
            <w:vAlign w:val="bottom"/>
            <w:hideMark/>
          </w:tcPr>
          <w:p w14:paraId="68DD0EA0" w14:textId="77777777" w:rsidR="00000000" w:rsidRDefault="0053651E">
            <w:pPr>
              <w:jc w:val="right"/>
              <w:rPr>
                <w:rFonts w:eastAsia="Times New Roman"/>
                <w:sz w:val="16"/>
                <w:szCs w:val="16"/>
              </w:rPr>
            </w:pPr>
            <w:r>
              <w:rPr>
                <w:rFonts w:eastAsia="Times New Roman"/>
                <w:sz w:val="16"/>
                <w:szCs w:val="16"/>
              </w:rPr>
              <w:t>11,339,857</w:t>
            </w:r>
          </w:p>
        </w:tc>
        <w:tc>
          <w:tcPr>
            <w:tcW w:w="350" w:type="pct"/>
            <w:shd w:val="clear" w:color="auto" w:fill="FFFFFF"/>
            <w:vAlign w:val="bottom"/>
            <w:hideMark/>
          </w:tcPr>
          <w:p w14:paraId="0386FCB3" w14:textId="77777777" w:rsidR="00000000" w:rsidRDefault="0053651E">
            <w:pPr>
              <w:jc w:val="right"/>
              <w:rPr>
                <w:rFonts w:eastAsia="Times New Roman"/>
                <w:sz w:val="16"/>
                <w:szCs w:val="16"/>
              </w:rPr>
            </w:pPr>
            <w:r>
              <w:rPr>
                <w:rFonts w:eastAsia="Times New Roman"/>
                <w:sz w:val="16"/>
                <w:szCs w:val="16"/>
              </w:rPr>
              <w:t>3,912,149</w:t>
            </w:r>
          </w:p>
        </w:tc>
        <w:tc>
          <w:tcPr>
            <w:tcW w:w="300" w:type="pct"/>
            <w:shd w:val="clear" w:color="auto" w:fill="FFFFFF"/>
            <w:vAlign w:val="bottom"/>
            <w:hideMark/>
          </w:tcPr>
          <w:p w14:paraId="6C991A12" w14:textId="77777777" w:rsidR="00000000" w:rsidRDefault="0053651E">
            <w:pPr>
              <w:jc w:val="right"/>
              <w:rPr>
                <w:rFonts w:eastAsia="Times New Roman"/>
                <w:sz w:val="16"/>
                <w:szCs w:val="16"/>
              </w:rPr>
            </w:pPr>
            <w:r>
              <w:rPr>
                <w:rFonts w:eastAsia="Times New Roman"/>
                <w:sz w:val="16"/>
                <w:szCs w:val="16"/>
              </w:rPr>
              <w:t>4,414,467</w:t>
            </w:r>
          </w:p>
        </w:tc>
        <w:tc>
          <w:tcPr>
            <w:tcW w:w="450" w:type="pct"/>
            <w:shd w:val="clear" w:color="auto" w:fill="FFFFFF"/>
            <w:vAlign w:val="bottom"/>
            <w:hideMark/>
          </w:tcPr>
          <w:p w14:paraId="488A0379" w14:textId="77777777" w:rsidR="00000000" w:rsidRDefault="0053651E">
            <w:pPr>
              <w:jc w:val="right"/>
              <w:rPr>
                <w:rFonts w:eastAsia="Times New Roman"/>
                <w:sz w:val="16"/>
                <w:szCs w:val="16"/>
              </w:rPr>
            </w:pPr>
            <w:r>
              <w:rPr>
                <w:rFonts w:eastAsia="Times New Roman"/>
                <w:sz w:val="16"/>
                <w:szCs w:val="16"/>
              </w:rPr>
              <w:t>15,252,005</w:t>
            </w:r>
          </w:p>
        </w:tc>
        <w:tc>
          <w:tcPr>
            <w:tcW w:w="350" w:type="pct"/>
            <w:shd w:val="clear" w:color="auto" w:fill="FFFFFF"/>
            <w:vAlign w:val="bottom"/>
            <w:hideMark/>
          </w:tcPr>
          <w:p w14:paraId="71B41830" w14:textId="77777777" w:rsidR="00000000" w:rsidRDefault="0053651E">
            <w:pPr>
              <w:jc w:val="right"/>
              <w:rPr>
                <w:rFonts w:eastAsia="Times New Roman"/>
                <w:sz w:val="16"/>
                <w:szCs w:val="16"/>
              </w:rPr>
            </w:pPr>
            <w:r>
              <w:rPr>
                <w:rFonts w:eastAsia="Times New Roman"/>
                <w:sz w:val="16"/>
                <w:szCs w:val="16"/>
              </w:rPr>
              <w:t>19,666,472</w:t>
            </w:r>
          </w:p>
        </w:tc>
        <w:tc>
          <w:tcPr>
            <w:tcW w:w="400" w:type="pct"/>
            <w:shd w:val="clear" w:color="auto" w:fill="FFFFFF"/>
            <w:vAlign w:val="bottom"/>
            <w:hideMark/>
          </w:tcPr>
          <w:p w14:paraId="2510E479" w14:textId="77777777" w:rsidR="00000000" w:rsidRDefault="0053651E">
            <w:pPr>
              <w:jc w:val="right"/>
              <w:rPr>
                <w:rFonts w:eastAsia="Times New Roman"/>
                <w:sz w:val="16"/>
                <w:szCs w:val="16"/>
              </w:rPr>
            </w:pPr>
            <w:r>
              <w:rPr>
                <w:rFonts w:eastAsia="Times New Roman"/>
                <w:sz w:val="16"/>
                <w:szCs w:val="16"/>
              </w:rPr>
              <w:t>5,848,083</w:t>
            </w:r>
          </w:p>
        </w:tc>
        <w:tc>
          <w:tcPr>
            <w:tcW w:w="50" w:type="pct"/>
            <w:shd w:val="clear" w:color="auto" w:fill="FFFFFF"/>
            <w:vAlign w:val="bottom"/>
            <w:hideMark/>
          </w:tcPr>
          <w:p w14:paraId="1419B35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90147ED" w14:textId="77777777" w:rsidR="00000000" w:rsidRDefault="0053651E">
            <w:pPr>
              <w:jc w:val="right"/>
              <w:rPr>
                <w:rFonts w:eastAsia="Times New Roman"/>
                <w:sz w:val="16"/>
                <w:szCs w:val="16"/>
              </w:rPr>
            </w:pPr>
            <w:r>
              <w:rPr>
                <w:rFonts w:eastAsia="Times New Roman"/>
                <w:sz w:val="16"/>
                <w:szCs w:val="16"/>
              </w:rPr>
              <w:t>13,818,389</w:t>
            </w:r>
          </w:p>
        </w:tc>
        <w:tc>
          <w:tcPr>
            <w:tcW w:w="50" w:type="pct"/>
            <w:shd w:val="clear" w:color="auto" w:fill="FFFFFF"/>
            <w:vAlign w:val="bottom"/>
            <w:hideMark/>
          </w:tcPr>
          <w:p w14:paraId="0131219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4E29D8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4C25808"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4C61084E" w14:textId="77777777">
        <w:trPr>
          <w:tblCellSpacing w:w="0" w:type="dxa"/>
        </w:trPr>
        <w:tc>
          <w:tcPr>
            <w:tcW w:w="50" w:type="pct"/>
            <w:shd w:val="clear" w:color="auto" w:fill="CCEEFF"/>
            <w:vAlign w:val="bottom"/>
            <w:hideMark/>
          </w:tcPr>
          <w:p w14:paraId="6F14A4A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5FEC7C9" w14:textId="77777777" w:rsidR="00000000" w:rsidRDefault="0053651E">
            <w:pPr>
              <w:pStyle w:val="a3"/>
              <w:spacing w:before="0" w:beforeAutospacing="0" w:after="0" w:afterAutospacing="0"/>
              <w:rPr>
                <w:sz w:val="16"/>
                <w:szCs w:val="16"/>
              </w:rPr>
            </w:pPr>
            <w:r>
              <w:rPr>
                <w:sz w:val="16"/>
                <w:szCs w:val="16"/>
              </w:rPr>
              <w:t>BELLMORE S.C.</w:t>
            </w:r>
          </w:p>
        </w:tc>
        <w:tc>
          <w:tcPr>
            <w:tcW w:w="150" w:type="pct"/>
            <w:shd w:val="clear" w:color="auto" w:fill="CCEEFF"/>
            <w:vAlign w:val="bottom"/>
            <w:hideMark/>
          </w:tcPr>
          <w:p w14:paraId="1A432763"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1D4AD1BD" w14:textId="77777777" w:rsidR="00000000" w:rsidRDefault="0053651E">
            <w:pPr>
              <w:jc w:val="right"/>
              <w:rPr>
                <w:rFonts w:eastAsia="Times New Roman"/>
                <w:sz w:val="16"/>
                <w:szCs w:val="16"/>
              </w:rPr>
            </w:pPr>
            <w:r>
              <w:rPr>
                <w:rFonts w:eastAsia="Times New Roman"/>
                <w:sz w:val="16"/>
                <w:szCs w:val="16"/>
              </w:rPr>
              <w:t>1,272,269</w:t>
            </w:r>
          </w:p>
        </w:tc>
        <w:tc>
          <w:tcPr>
            <w:tcW w:w="550" w:type="pct"/>
            <w:shd w:val="clear" w:color="auto" w:fill="CCEEFF"/>
            <w:vAlign w:val="bottom"/>
            <w:hideMark/>
          </w:tcPr>
          <w:p w14:paraId="5A5D1228" w14:textId="77777777" w:rsidR="00000000" w:rsidRDefault="0053651E">
            <w:pPr>
              <w:jc w:val="right"/>
              <w:rPr>
                <w:rFonts w:eastAsia="Times New Roman"/>
                <w:sz w:val="16"/>
                <w:szCs w:val="16"/>
              </w:rPr>
            </w:pPr>
            <w:r>
              <w:rPr>
                <w:rFonts w:eastAsia="Times New Roman"/>
                <w:sz w:val="16"/>
                <w:szCs w:val="16"/>
              </w:rPr>
              <w:t>3,183,547</w:t>
            </w:r>
          </w:p>
        </w:tc>
        <w:tc>
          <w:tcPr>
            <w:tcW w:w="350" w:type="pct"/>
            <w:shd w:val="clear" w:color="auto" w:fill="CCEEFF"/>
            <w:vAlign w:val="bottom"/>
            <w:hideMark/>
          </w:tcPr>
          <w:p w14:paraId="3F8E61D9" w14:textId="77777777" w:rsidR="00000000" w:rsidRDefault="0053651E">
            <w:pPr>
              <w:jc w:val="right"/>
              <w:rPr>
                <w:rFonts w:eastAsia="Times New Roman"/>
                <w:sz w:val="16"/>
                <w:szCs w:val="16"/>
              </w:rPr>
            </w:pPr>
            <w:r>
              <w:rPr>
                <w:rFonts w:eastAsia="Times New Roman"/>
                <w:sz w:val="16"/>
                <w:szCs w:val="16"/>
              </w:rPr>
              <w:t>1,590,605</w:t>
            </w:r>
          </w:p>
        </w:tc>
        <w:tc>
          <w:tcPr>
            <w:tcW w:w="300" w:type="pct"/>
            <w:shd w:val="clear" w:color="auto" w:fill="CCEEFF"/>
            <w:vAlign w:val="bottom"/>
            <w:hideMark/>
          </w:tcPr>
          <w:p w14:paraId="544C8917" w14:textId="77777777" w:rsidR="00000000" w:rsidRDefault="0053651E">
            <w:pPr>
              <w:jc w:val="right"/>
              <w:rPr>
                <w:rFonts w:eastAsia="Times New Roman"/>
                <w:sz w:val="16"/>
                <w:szCs w:val="16"/>
              </w:rPr>
            </w:pPr>
            <w:r>
              <w:rPr>
                <w:rFonts w:eastAsia="Times New Roman"/>
                <w:sz w:val="16"/>
                <w:szCs w:val="16"/>
              </w:rPr>
              <w:t>1,272,269</w:t>
            </w:r>
          </w:p>
        </w:tc>
        <w:tc>
          <w:tcPr>
            <w:tcW w:w="450" w:type="pct"/>
            <w:shd w:val="clear" w:color="auto" w:fill="CCEEFF"/>
            <w:vAlign w:val="bottom"/>
            <w:hideMark/>
          </w:tcPr>
          <w:p w14:paraId="1734073B" w14:textId="77777777" w:rsidR="00000000" w:rsidRDefault="0053651E">
            <w:pPr>
              <w:jc w:val="right"/>
              <w:rPr>
                <w:rFonts w:eastAsia="Times New Roman"/>
                <w:sz w:val="16"/>
                <w:szCs w:val="16"/>
              </w:rPr>
            </w:pPr>
            <w:r>
              <w:rPr>
                <w:rFonts w:eastAsia="Times New Roman"/>
                <w:sz w:val="16"/>
                <w:szCs w:val="16"/>
              </w:rPr>
              <w:t>4,774,152</w:t>
            </w:r>
          </w:p>
        </w:tc>
        <w:tc>
          <w:tcPr>
            <w:tcW w:w="350" w:type="pct"/>
            <w:shd w:val="clear" w:color="auto" w:fill="CCEEFF"/>
            <w:vAlign w:val="bottom"/>
            <w:hideMark/>
          </w:tcPr>
          <w:p w14:paraId="42062E09" w14:textId="77777777" w:rsidR="00000000" w:rsidRDefault="0053651E">
            <w:pPr>
              <w:jc w:val="right"/>
              <w:rPr>
                <w:rFonts w:eastAsia="Times New Roman"/>
                <w:sz w:val="16"/>
                <w:szCs w:val="16"/>
              </w:rPr>
            </w:pPr>
            <w:r>
              <w:rPr>
                <w:rFonts w:eastAsia="Times New Roman"/>
                <w:sz w:val="16"/>
                <w:szCs w:val="16"/>
              </w:rPr>
              <w:t>6,046,421</w:t>
            </w:r>
          </w:p>
        </w:tc>
        <w:tc>
          <w:tcPr>
            <w:tcW w:w="400" w:type="pct"/>
            <w:shd w:val="clear" w:color="auto" w:fill="CCEEFF"/>
            <w:vAlign w:val="bottom"/>
            <w:hideMark/>
          </w:tcPr>
          <w:p w14:paraId="0220F3AD" w14:textId="77777777" w:rsidR="00000000" w:rsidRDefault="0053651E">
            <w:pPr>
              <w:jc w:val="right"/>
              <w:rPr>
                <w:rFonts w:eastAsia="Times New Roman"/>
                <w:sz w:val="16"/>
                <w:szCs w:val="16"/>
              </w:rPr>
            </w:pPr>
            <w:r>
              <w:rPr>
                <w:rFonts w:eastAsia="Times New Roman"/>
                <w:sz w:val="16"/>
                <w:szCs w:val="16"/>
              </w:rPr>
              <w:t>2,106,726</w:t>
            </w:r>
          </w:p>
        </w:tc>
        <w:tc>
          <w:tcPr>
            <w:tcW w:w="50" w:type="pct"/>
            <w:shd w:val="clear" w:color="auto" w:fill="CCEEFF"/>
            <w:vAlign w:val="bottom"/>
            <w:hideMark/>
          </w:tcPr>
          <w:p w14:paraId="4530F69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2719273" w14:textId="77777777" w:rsidR="00000000" w:rsidRDefault="0053651E">
            <w:pPr>
              <w:jc w:val="right"/>
              <w:rPr>
                <w:rFonts w:eastAsia="Times New Roman"/>
                <w:sz w:val="16"/>
                <w:szCs w:val="16"/>
              </w:rPr>
            </w:pPr>
            <w:r>
              <w:rPr>
                <w:rFonts w:eastAsia="Times New Roman"/>
                <w:sz w:val="16"/>
                <w:szCs w:val="16"/>
              </w:rPr>
              <w:t>3,939,695</w:t>
            </w:r>
          </w:p>
        </w:tc>
        <w:tc>
          <w:tcPr>
            <w:tcW w:w="50" w:type="pct"/>
            <w:shd w:val="clear" w:color="auto" w:fill="CCEEFF"/>
            <w:vAlign w:val="bottom"/>
            <w:hideMark/>
          </w:tcPr>
          <w:p w14:paraId="5A0BECB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685F9E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CD0412C"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752B37F9" w14:textId="77777777">
        <w:trPr>
          <w:tblCellSpacing w:w="0" w:type="dxa"/>
        </w:trPr>
        <w:tc>
          <w:tcPr>
            <w:tcW w:w="50" w:type="pct"/>
            <w:shd w:val="clear" w:color="auto" w:fill="FFFFFF"/>
            <w:vAlign w:val="bottom"/>
            <w:hideMark/>
          </w:tcPr>
          <w:p w14:paraId="4188719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A79FB0E" w14:textId="77777777" w:rsidR="00000000" w:rsidRDefault="0053651E">
            <w:pPr>
              <w:pStyle w:val="a3"/>
              <w:spacing w:before="0" w:beforeAutospacing="0" w:after="0" w:afterAutospacing="0"/>
              <w:rPr>
                <w:sz w:val="16"/>
                <w:szCs w:val="16"/>
              </w:rPr>
            </w:pPr>
            <w:r>
              <w:rPr>
                <w:sz w:val="16"/>
                <w:szCs w:val="16"/>
              </w:rPr>
              <w:t>MARKET AT BAY SHORE</w:t>
            </w:r>
          </w:p>
        </w:tc>
        <w:tc>
          <w:tcPr>
            <w:tcW w:w="150" w:type="pct"/>
            <w:shd w:val="clear" w:color="auto" w:fill="FFFFFF"/>
            <w:vAlign w:val="bottom"/>
            <w:hideMark/>
          </w:tcPr>
          <w:p w14:paraId="24A11C15"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53BF1CDB" w14:textId="77777777" w:rsidR="00000000" w:rsidRDefault="0053651E">
            <w:pPr>
              <w:jc w:val="right"/>
              <w:rPr>
                <w:rFonts w:eastAsia="Times New Roman"/>
                <w:sz w:val="16"/>
                <w:szCs w:val="16"/>
              </w:rPr>
            </w:pPr>
            <w:r>
              <w:rPr>
                <w:rFonts w:eastAsia="Times New Roman"/>
                <w:sz w:val="16"/>
                <w:szCs w:val="16"/>
              </w:rPr>
              <w:t>12,359,621</w:t>
            </w:r>
          </w:p>
        </w:tc>
        <w:tc>
          <w:tcPr>
            <w:tcW w:w="550" w:type="pct"/>
            <w:shd w:val="clear" w:color="auto" w:fill="FFFFFF"/>
            <w:vAlign w:val="bottom"/>
            <w:hideMark/>
          </w:tcPr>
          <w:p w14:paraId="65C2E57B" w14:textId="77777777" w:rsidR="00000000" w:rsidRDefault="0053651E">
            <w:pPr>
              <w:jc w:val="right"/>
              <w:rPr>
                <w:rFonts w:eastAsia="Times New Roman"/>
                <w:sz w:val="16"/>
                <w:szCs w:val="16"/>
              </w:rPr>
            </w:pPr>
            <w:r>
              <w:rPr>
                <w:rFonts w:eastAsia="Times New Roman"/>
                <w:sz w:val="16"/>
                <w:szCs w:val="16"/>
              </w:rPr>
              <w:t>30,707,802</w:t>
            </w:r>
          </w:p>
        </w:tc>
        <w:tc>
          <w:tcPr>
            <w:tcW w:w="350" w:type="pct"/>
            <w:shd w:val="clear" w:color="auto" w:fill="FFFFFF"/>
            <w:vAlign w:val="bottom"/>
            <w:hideMark/>
          </w:tcPr>
          <w:p w14:paraId="00EA9D6B" w14:textId="77777777" w:rsidR="00000000" w:rsidRDefault="0053651E">
            <w:pPr>
              <w:jc w:val="right"/>
              <w:rPr>
                <w:rFonts w:eastAsia="Times New Roman"/>
                <w:sz w:val="16"/>
                <w:szCs w:val="16"/>
              </w:rPr>
            </w:pPr>
            <w:r>
              <w:rPr>
                <w:rFonts w:eastAsia="Times New Roman"/>
                <w:sz w:val="16"/>
                <w:szCs w:val="16"/>
              </w:rPr>
              <w:t>6,324,935</w:t>
            </w:r>
          </w:p>
        </w:tc>
        <w:tc>
          <w:tcPr>
            <w:tcW w:w="300" w:type="pct"/>
            <w:shd w:val="clear" w:color="auto" w:fill="FFFFFF"/>
            <w:vAlign w:val="bottom"/>
            <w:hideMark/>
          </w:tcPr>
          <w:p w14:paraId="43A5BD68" w14:textId="77777777" w:rsidR="00000000" w:rsidRDefault="0053651E">
            <w:pPr>
              <w:jc w:val="right"/>
              <w:rPr>
                <w:rFonts w:eastAsia="Times New Roman"/>
                <w:sz w:val="16"/>
                <w:szCs w:val="16"/>
              </w:rPr>
            </w:pPr>
            <w:r>
              <w:rPr>
                <w:rFonts w:eastAsia="Times New Roman"/>
                <w:sz w:val="16"/>
                <w:szCs w:val="16"/>
              </w:rPr>
              <w:t>12,359,621</w:t>
            </w:r>
          </w:p>
        </w:tc>
        <w:tc>
          <w:tcPr>
            <w:tcW w:w="450" w:type="pct"/>
            <w:shd w:val="clear" w:color="auto" w:fill="FFFFFF"/>
            <w:vAlign w:val="bottom"/>
            <w:hideMark/>
          </w:tcPr>
          <w:p w14:paraId="486006B7" w14:textId="77777777" w:rsidR="00000000" w:rsidRDefault="0053651E">
            <w:pPr>
              <w:jc w:val="right"/>
              <w:rPr>
                <w:rFonts w:eastAsia="Times New Roman"/>
                <w:sz w:val="16"/>
                <w:szCs w:val="16"/>
              </w:rPr>
            </w:pPr>
            <w:r>
              <w:rPr>
                <w:rFonts w:eastAsia="Times New Roman"/>
                <w:sz w:val="16"/>
                <w:szCs w:val="16"/>
              </w:rPr>
              <w:t>37,032,737</w:t>
            </w:r>
          </w:p>
        </w:tc>
        <w:tc>
          <w:tcPr>
            <w:tcW w:w="350" w:type="pct"/>
            <w:shd w:val="clear" w:color="auto" w:fill="FFFFFF"/>
            <w:vAlign w:val="bottom"/>
            <w:hideMark/>
          </w:tcPr>
          <w:p w14:paraId="26EE67CF" w14:textId="77777777" w:rsidR="00000000" w:rsidRDefault="0053651E">
            <w:pPr>
              <w:jc w:val="right"/>
              <w:rPr>
                <w:rFonts w:eastAsia="Times New Roman"/>
                <w:sz w:val="16"/>
                <w:szCs w:val="16"/>
              </w:rPr>
            </w:pPr>
            <w:r>
              <w:rPr>
                <w:rFonts w:eastAsia="Times New Roman"/>
                <w:sz w:val="16"/>
                <w:szCs w:val="16"/>
              </w:rPr>
              <w:t>49,392,358</w:t>
            </w:r>
          </w:p>
        </w:tc>
        <w:tc>
          <w:tcPr>
            <w:tcW w:w="400" w:type="pct"/>
            <w:shd w:val="clear" w:color="auto" w:fill="FFFFFF"/>
            <w:vAlign w:val="bottom"/>
            <w:hideMark/>
          </w:tcPr>
          <w:p w14:paraId="2311350F" w14:textId="77777777" w:rsidR="00000000" w:rsidRDefault="0053651E">
            <w:pPr>
              <w:jc w:val="right"/>
              <w:rPr>
                <w:rFonts w:eastAsia="Times New Roman"/>
                <w:sz w:val="16"/>
                <w:szCs w:val="16"/>
              </w:rPr>
            </w:pPr>
            <w:r>
              <w:rPr>
                <w:rFonts w:eastAsia="Times New Roman"/>
                <w:sz w:val="16"/>
                <w:szCs w:val="16"/>
              </w:rPr>
              <w:t>14,679,424</w:t>
            </w:r>
          </w:p>
        </w:tc>
        <w:tc>
          <w:tcPr>
            <w:tcW w:w="50" w:type="pct"/>
            <w:shd w:val="clear" w:color="auto" w:fill="FFFFFF"/>
            <w:vAlign w:val="bottom"/>
            <w:hideMark/>
          </w:tcPr>
          <w:p w14:paraId="662D578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4833F56" w14:textId="77777777" w:rsidR="00000000" w:rsidRDefault="0053651E">
            <w:pPr>
              <w:jc w:val="right"/>
              <w:rPr>
                <w:rFonts w:eastAsia="Times New Roman"/>
                <w:sz w:val="16"/>
                <w:szCs w:val="16"/>
              </w:rPr>
            </w:pPr>
            <w:r>
              <w:rPr>
                <w:rFonts w:eastAsia="Times New Roman"/>
                <w:sz w:val="16"/>
                <w:szCs w:val="16"/>
              </w:rPr>
              <w:t>34,712,934</w:t>
            </w:r>
          </w:p>
        </w:tc>
        <w:tc>
          <w:tcPr>
            <w:tcW w:w="50" w:type="pct"/>
            <w:shd w:val="clear" w:color="auto" w:fill="FFFFFF"/>
            <w:vAlign w:val="bottom"/>
            <w:hideMark/>
          </w:tcPr>
          <w:p w14:paraId="6A21C50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C90378B" w14:textId="77777777" w:rsidR="00000000" w:rsidRDefault="0053651E">
            <w:pPr>
              <w:jc w:val="right"/>
              <w:rPr>
                <w:rFonts w:eastAsia="Times New Roman"/>
                <w:sz w:val="16"/>
                <w:szCs w:val="16"/>
              </w:rPr>
            </w:pPr>
            <w:r>
              <w:rPr>
                <w:rFonts w:eastAsia="Times New Roman"/>
                <w:sz w:val="16"/>
                <w:szCs w:val="16"/>
              </w:rPr>
              <w:t>11,947,237</w:t>
            </w:r>
          </w:p>
        </w:tc>
        <w:tc>
          <w:tcPr>
            <w:tcW w:w="500" w:type="pct"/>
            <w:shd w:val="clear" w:color="auto" w:fill="FFFFFF"/>
            <w:vAlign w:val="bottom"/>
            <w:hideMark/>
          </w:tcPr>
          <w:p w14:paraId="33AFAA76"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6B5C203D" w14:textId="77777777">
        <w:trPr>
          <w:tblCellSpacing w:w="0" w:type="dxa"/>
        </w:trPr>
        <w:tc>
          <w:tcPr>
            <w:tcW w:w="50" w:type="pct"/>
            <w:shd w:val="clear" w:color="auto" w:fill="CCEEFF"/>
            <w:vAlign w:val="bottom"/>
            <w:hideMark/>
          </w:tcPr>
          <w:p w14:paraId="160F33C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0416D52" w14:textId="77777777" w:rsidR="00000000" w:rsidRDefault="0053651E">
            <w:pPr>
              <w:pStyle w:val="a3"/>
              <w:spacing w:before="0" w:beforeAutospacing="0" w:after="0" w:afterAutospacing="0"/>
              <w:rPr>
                <w:sz w:val="16"/>
                <w:szCs w:val="16"/>
              </w:rPr>
            </w:pPr>
            <w:r>
              <w:rPr>
                <w:sz w:val="16"/>
                <w:szCs w:val="16"/>
              </w:rPr>
              <w:t>KEY FOOD - ATLANTIC AVE</w:t>
            </w:r>
          </w:p>
        </w:tc>
        <w:tc>
          <w:tcPr>
            <w:tcW w:w="150" w:type="pct"/>
            <w:shd w:val="clear" w:color="auto" w:fill="CCEEFF"/>
            <w:vAlign w:val="bottom"/>
            <w:hideMark/>
          </w:tcPr>
          <w:p w14:paraId="490BC672"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3C8CD37" w14:textId="77777777" w:rsidR="00000000" w:rsidRDefault="0053651E">
            <w:pPr>
              <w:jc w:val="right"/>
              <w:rPr>
                <w:rFonts w:eastAsia="Times New Roman"/>
                <w:sz w:val="16"/>
                <w:szCs w:val="16"/>
              </w:rPr>
            </w:pPr>
            <w:r>
              <w:rPr>
                <w:rFonts w:eastAsia="Times New Roman"/>
                <w:sz w:val="16"/>
                <w:szCs w:val="16"/>
              </w:rPr>
              <w:t>2,272,500</w:t>
            </w:r>
          </w:p>
        </w:tc>
        <w:tc>
          <w:tcPr>
            <w:tcW w:w="550" w:type="pct"/>
            <w:shd w:val="clear" w:color="auto" w:fill="CCEEFF"/>
            <w:vAlign w:val="bottom"/>
            <w:hideMark/>
          </w:tcPr>
          <w:p w14:paraId="2975B3F6" w14:textId="77777777" w:rsidR="00000000" w:rsidRDefault="0053651E">
            <w:pPr>
              <w:jc w:val="right"/>
              <w:rPr>
                <w:rFonts w:eastAsia="Times New Roman"/>
                <w:sz w:val="16"/>
                <w:szCs w:val="16"/>
              </w:rPr>
            </w:pPr>
            <w:r>
              <w:rPr>
                <w:rFonts w:eastAsia="Times New Roman"/>
                <w:sz w:val="16"/>
                <w:szCs w:val="16"/>
              </w:rPr>
              <w:t>5,624,589</w:t>
            </w:r>
          </w:p>
        </w:tc>
        <w:tc>
          <w:tcPr>
            <w:tcW w:w="350" w:type="pct"/>
            <w:shd w:val="clear" w:color="auto" w:fill="CCEEFF"/>
            <w:vAlign w:val="bottom"/>
            <w:hideMark/>
          </w:tcPr>
          <w:p w14:paraId="2385BD4F" w14:textId="77777777" w:rsidR="00000000" w:rsidRDefault="0053651E">
            <w:pPr>
              <w:jc w:val="right"/>
              <w:rPr>
                <w:rFonts w:eastAsia="Times New Roman"/>
                <w:sz w:val="16"/>
                <w:szCs w:val="16"/>
              </w:rPr>
            </w:pPr>
            <w:r>
              <w:rPr>
                <w:rFonts w:eastAsia="Times New Roman"/>
                <w:sz w:val="16"/>
                <w:szCs w:val="16"/>
              </w:rPr>
              <w:t>509,260</w:t>
            </w:r>
          </w:p>
        </w:tc>
        <w:tc>
          <w:tcPr>
            <w:tcW w:w="300" w:type="pct"/>
            <w:shd w:val="clear" w:color="auto" w:fill="CCEEFF"/>
            <w:vAlign w:val="bottom"/>
            <w:hideMark/>
          </w:tcPr>
          <w:p w14:paraId="5CBC4A7A" w14:textId="77777777" w:rsidR="00000000" w:rsidRDefault="0053651E">
            <w:pPr>
              <w:jc w:val="right"/>
              <w:rPr>
                <w:rFonts w:eastAsia="Times New Roman"/>
                <w:sz w:val="16"/>
                <w:szCs w:val="16"/>
              </w:rPr>
            </w:pPr>
            <w:r>
              <w:rPr>
                <w:rFonts w:eastAsia="Times New Roman"/>
                <w:sz w:val="16"/>
                <w:szCs w:val="16"/>
              </w:rPr>
              <w:t>4,808,822</w:t>
            </w:r>
          </w:p>
        </w:tc>
        <w:tc>
          <w:tcPr>
            <w:tcW w:w="450" w:type="pct"/>
            <w:shd w:val="clear" w:color="auto" w:fill="CCEEFF"/>
            <w:vAlign w:val="bottom"/>
            <w:hideMark/>
          </w:tcPr>
          <w:p w14:paraId="3E820ECD" w14:textId="77777777" w:rsidR="00000000" w:rsidRDefault="0053651E">
            <w:pPr>
              <w:jc w:val="right"/>
              <w:rPr>
                <w:rFonts w:eastAsia="Times New Roman"/>
                <w:sz w:val="16"/>
                <w:szCs w:val="16"/>
              </w:rPr>
            </w:pPr>
            <w:r>
              <w:rPr>
                <w:rFonts w:eastAsia="Times New Roman"/>
                <w:sz w:val="16"/>
                <w:szCs w:val="16"/>
              </w:rPr>
              <w:t>3,597,527</w:t>
            </w:r>
          </w:p>
        </w:tc>
        <w:tc>
          <w:tcPr>
            <w:tcW w:w="350" w:type="pct"/>
            <w:shd w:val="clear" w:color="auto" w:fill="CCEEFF"/>
            <w:vAlign w:val="bottom"/>
            <w:hideMark/>
          </w:tcPr>
          <w:p w14:paraId="1E7E9834" w14:textId="77777777" w:rsidR="00000000" w:rsidRDefault="0053651E">
            <w:pPr>
              <w:jc w:val="right"/>
              <w:rPr>
                <w:rFonts w:eastAsia="Times New Roman"/>
                <w:sz w:val="16"/>
                <w:szCs w:val="16"/>
              </w:rPr>
            </w:pPr>
            <w:r>
              <w:rPr>
                <w:rFonts w:eastAsia="Times New Roman"/>
                <w:sz w:val="16"/>
                <w:szCs w:val="16"/>
              </w:rPr>
              <w:t>8,406,349</w:t>
            </w:r>
          </w:p>
        </w:tc>
        <w:tc>
          <w:tcPr>
            <w:tcW w:w="400" w:type="pct"/>
            <w:shd w:val="clear" w:color="auto" w:fill="CCEEFF"/>
            <w:vAlign w:val="bottom"/>
            <w:hideMark/>
          </w:tcPr>
          <w:p w14:paraId="79A1D289" w14:textId="77777777" w:rsidR="00000000" w:rsidRDefault="0053651E">
            <w:pPr>
              <w:jc w:val="right"/>
              <w:rPr>
                <w:rFonts w:eastAsia="Times New Roman"/>
                <w:sz w:val="16"/>
                <w:szCs w:val="16"/>
              </w:rPr>
            </w:pPr>
            <w:r>
              <w:rPr>
                <w:rFonts w:eastAsia="Times New Roman"/>
                <w:sz w:val="16"/>
                <w:szCs w:val="16"/>
              </w:rPr>
              <w:t>825,449</w:t>
            </w:r>
          </w:p>
        </w:tc>
        <w:tc>
          <w:tcPr>
            <w:tcW w:w="50" w:type="pct"/>
            <w:shd w:val="clear" w:color="auto" w:fill="CCEEFF"/>
            <w:vAlign w:val="bottom"/>
            <w:hideMark/>
          </w:tcPr>
          <w:p w14:paraId="5016D53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6FDA9B8" w14:textId="77777777" w:rsidR="00000000" w:rsidRDefault="0053651E">
            <w:pPr>
              <w:jc w:val="right"/>
              <w:rPr>
                <w:rFonts w:eastAsia="Times New Roman"/>
                <w:sz w:val="16"/>
                <w:szCs w:val="16"/>
              </w:rPr>
            </w:pPr>
            <w:r>
              <w:rPr>
                <w:rFonts w:eastAsia="Times New Roman"/>
                <w:sz w:val="16"/>
                <w:szCs w:val="16"/>
              </w:rPr>
              <w:t>7,580,900</w:t>
            </w:r>
          </w:p>
        </w:tc>
        <w:tc>
          <w:tcPr>
            <w:tcW w:w="50" w:type="pct"/>
            <w:shd w:val="clear" w:color="auto" w:fill="CCEEFF"/>
            <w:vAlign w:val="bottom"/>
            <w:hideMark/>
          </w:tcPr>
          <w:p w14:paraId="1C64C76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14329F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8ADB741"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6368C35C" w14:textId="77777777">
        <w:trPr>
          <w:tblCellSpacing w:w="0" w:type="dxa"/>
        </w:trPr>
        <w:tc>
          <w:tcPr>
            <w:tcW w:w="50" w:type="pct"/>
            <w:shd w:val="clear" w:color="auto" w:fill="FFFFFF"/>
            <w:vAlign w:val="bottom"/>
            <w:hideMark/>
          </w:tcPr>
          <w:p w14:paraId="484DA60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5E6C9FB" w14:textId="77777777" w:rsidR="00000000" w:rsidRDefault="0053651E">
            <w:pPr>
              <w:pStyle w:val="a3"/>
              <w:spacing w:before="0" w:beforeAutospacing="0" w:after="0" w:afterAutospacing="0"/>
              <w:rPr>
                <w:sz w:val="16"/>
                <w:szCs w:val="16"/>
              </w:rPr>
            </w:pPr>
            <w:r>
              <w:rPr>
                <w:sz w:val="16"/>
                <w:szCs w:val="16"/>
              </w:rPr>
              <w:t>VETERANS MEMORIAL PLAZA</w:t>
            </w:r>
          </w:p>
        </w:tc>
        <w:tc>
          <w:tcPr>
            <w:tcW w:w="150" w:type="pct"/>
            <w:shd w:val="clear" w:color="auto" w:fill="FFFFFF"/>
            <w:vAlign w:val="bottom"/>
            <w:hideMark/>
          </w:tcPr>
          <w:p w14:paraId="61DF9CEA"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5A93AB14" w14:textId="77777777" w:rsidR="00000000" w:rsidRDefault="0053651E">
            <w:pPr>
              <w:jc w:val="right"/>
              <w:rPr>
                <w:rFonts w:eastAsia="Times New Roman"/>
                <w:sz w:val="16"/>
                <w:szCs w:val="16"/>
              </w:rPr>
            </w:pPr>
            <w:r>
              <w:rPr>
                <w:rFonts w:eastAsia="Times New Roman"/>
                <w:sz w:val="16"/>
                <w:szCs w:val="16"/>
              </w:rPr>
              <w:t>5,968,082</w:t>
            </w:r>
          </w:p>
        </w:tc>
        <w:tc>
          <w:tcPr>
            <w:tcW w:w="550" w:type="pct"/>
            <w:shd w:val="clear" w:color="auto" w:fill="FFFFFF"/>
            <w:vAlign w:val="bottom"/>
            <w:hideMark/>
          </w:tcPr>
          <w:p w14:paraId="6E16F195" w14:textId="77777777" w:rsidR="00000000" w:rsidRDefault="0053651E">
            <w:pPr>
              <w:jc w:val="right"/>
              <w:rPr>
                <w:rFonts w:eastAsia="Times New Roman"/>
                <w:sz w:val="16"/>
                <w:szCs w:val="16"/>
              </w:rPr>
            </w:pPr>
            <w:r>
              <w:rPr>
                <w:rFonts w:eastAsia="Times New Roman"/>
                <w:sz w:val="16"/>
                <w:szCs w:val="16"/>
              </w:rPr>
              <w:t>23,243,404</w:t>
            </w:r>
          </w:p>
        </w:tc>
        <w:tc>
          <w:tcPr>
            <w:tcW w:w="350" w:type="pct"/>
            <w:shd w:val="clear" w:color="auto" w:fill="FFFFFF"/>
            <w:vAlign w:val="bottom"/>
            <w:hideMark/>
          </w:tcPr>
          <w:p w14:paraId="013EE0BC" w14:textId="77777777" w:rsidR="00000000" w:rsidRDefault="0053651E">
            <w:pPr>
              <w:jc w:val="right"/>
              <w:rPr>
                <w:rFonts w:eastAsia="Times New Roman"/>
                <w:sz w:val="16"/>
                <w:szCs w:val="16"/>
              </w:rPr>
            </w:pPr>
            <w:r>
              <w:rPr>
                <w:rFonts w:eastAsia="Times New Roman"/>
                <w:sz w:val="16"/>
                <w:szCs w:val="16"/>
              </w:rPr>
              <w:t>19,513,618</w:t>
            </w:r>
          </w:p>
        </w:tc>
        <w:tc>
          <w:tcPr>
            <w:tcW w:w="300" w:type="pct"/>
            <w:shd w:val="clear" w:color="auto" w:fill="FFFFFF"/>
            <w:vAlign w:val="bottom"/>
            <w:hideMark/>
          </w:tcPr>
          <w:p w14:paraId="64404CA9" w14:textId="77777777" w:rsidR="00000000" w:rsidRDefault="0053651E">
            <w:pPr>
              <w:jc w:val="right"/>
              <w:rPr>
                <w:rFonts w:eastAsia="Times New Roman"/>
                <w:sz w:val="16"/>
                <w:szCs w:val="16"/>
              </w:rPr>
            </w:pPr>
            <w:r>
              <w:rPr>
                <w:rFonts w:eastAsia="Times New Roman"/>
                <w:sz w:val="16"/>
                <w:szCs w:val="16"/>
              </w:rPr>
              <w:t>5,980,130</w:t>
            </w:r>
          </w:p>
        </w:tc>
        <w:tc>
          <w:tcPr>
            <w:tcW w:w="450" w:type="pct"/>
            <w:shd w:val="clear" w:color="auto" w:fill="FFFFFF"/>
            <w:vAlign w:val="bottom"/>
            <w:hideMark/>
          </w:tcPr>
          <w:p w14:paraId="11C9CA5D" w14:textId="77777777" w:rsidR="00000000" w:rsidRDefault="0053651E">
            <w:pPr>
              <w:jc w:val="right"/>
              <w:rPr>
                <w:rFonts w:eastAsia="Times New Roman"/>
                <w:sz w:val="16"/>
                <w:szCs w:val="16"/>
              </w:rPr>
            </w:pPr>
            <w:r>
              <w:rPr>
                <w:rFonts w:eastAsia="Times New Roman"/>
                <w:sz w:val="16"/>
                <w:szCs w:val="16"/>
              </w:rPr>
              <w:t>42,744,974</w:t>
            </w:r>
          </w:p>
        </w:tc>
        <w:tc>
          <w:tcPr>
            <w:tcW w:w="350" w:type="pct"/>
            <w:shd w:val="clear" w:color="auto" w:fill="FFFFFF"/>
            <w:vAlign w:val="bottom"/>
            <w:hideMark/>
          </w:tcPr>
          <w:p w14:paraId="0564FDFF" w14:textId="77777777" w:rsidR="00000000" w:rsidRDefault="0053651E">
            <w:pPr>
              <w:jc w:val="right"/>
              <w:rPr>
                <w:rFonts w:eastAsia="Times New Roman"/>
                <w:sz w:val="16"/>
                <w:szCs w:val="16"/>
              </w:rPr>
            </w:pPr>
            <w:r>
              <w:rPr>
                <w:rFonts w:eastAsia="Times New Roman"/>
                <w:sz w:val="16"/>
                <w:szCs w:val="16"/>
              </w:rPr>
              <w:t>48,725,104</w:t>
            </w:r>
          </w:p>
        </w:tc>
        <w:tc>
          <w:tcPr>
            <w:tcW w:w="400" w:type="pct"/>
            <w:shd w:val="clear" w:color="auto" w:fill="FFFFFF"/>
            <w:vAlign w:val="bottom"/>
            <w:hideMark/>
          </w:tcPr>
          <w:p w14:paraId="0E70D98F" w14:textId="77777777" w:rsidR="00000000" w:rsidRDefault="0053651E">
            <w:pPr>
              <w:jc w:val="right"/>
              <w:rPr>
                <w:rFonts w:eastAsia="Times New Roman"/>
                <w:sz w:val="16"/>
                <w:szCs w:val="16"/>
              </w:rPr>
            </w:pPr>
            <w:r>
              <w:rPr>
                <w:rFonts w:eastAsia="Times New Roman"/>
                <w:sz w:val="16"/>
                <w:szCs w:val="16"/>
              </w:rPr>
              <w:t>16,101,074</w:t>
            </w:r>
          </w:p>
        </w:tc>
        <w:tc>
          <w:tcPr>
            <w:tcW w:w="50" w:type="pct"/>
            <w:shd w:val="clear" w:color="auto" w:fill="FFFFFF"/>
            <w:vAlign w:val="bottom"/>
            <w:hideMark/>
          </w:tcPr>
          <w:p w14:paraId="1A57061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7914A3E" w14:textId="77777777" w:rsidR="00000000" w:rsidRDefault="0053651E">
            <w:pPr>
              <w:jc w:val="right"/>
              <w:rPr>
                <w:rFonts w:eastAsia="Times New Roman"/>
                <w:sz w:val="16"/>
                <w:szCs w:val="16"/>
              </w:rPr>
            </w:pPr>
            <w:r>
              <w:rPr>
                <w:rFonts w:eastAsia="Times New Roman"/>
                <w:sz w:val="16"/>
                <w:szCs w:val="16"/>
              </w:rPr>
              <w:t>32,624,030</w:t>
            </w:r>
          </w:p>
        </w:tc>
        <w:tc>
          <w:tcPr>
            <w:tcW w:w="50" w:type="pct"/>
            <w:shd w:val="clear" w:color="auto" w:fill="FFFFFF"/>
            <w:vAlign w:val="bottom"/>
            <w:hideMark/>
          </w:tcPr>
          <w:p w14:paraId="3BD9F49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389AE1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3E92CCE"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632C5EE1" w14:textId="77777777">
        <w:trPr>
          <w:tblCellSpacing w:w="0" w:type="dxa"/>
        </w:trPr>
        <w:tc>
          <w:tcPr>
            <w:tcW w:w="50" w:type="pct"/>
            <w:shd w:val="clear" w:color="auto" w:fill="CCEEFF"/>
            <w:vAlign w:val="bottom"/>
            <w:hideMark/>
          </w:tcPr>
          <w:p w14:paraId="451B892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C6A3447" w14:textId="77777777" w:rsidR="00000000" w:rsidRDefault="0053651E">
            <w:pPr>
              <w:pStyle w:val="a3"/>
              <w:spacing w:before="0" w:beforeAutospacing="0" w:after="0" w:afterAutospacing="0"/>
              <w:rPr>
                <w:sz w:val="16"/>
                <w:szCs w:val="16"/>
              </w:rPr>
            </w:pPr>
            <w:r>
              <w:rPr>
                <w:sz w:val="16"/>
                <w:szCs w:val="16"/>
              </w:rPr>
              <w:t>BIRCHWOOD PLAZA COMMACK</w:t>
            </w:r>
          </w:p>
        </w:tc>
        <w:tc>
          <w:tcPr>
            <w:tcW w:w="150" w:type="pct"/>
            <w:shd w:val="clear" w:color="auto" w:fill="CCEEFF"/>
            <w:vAlign w:val="bottom"/>
            <w:hideMark/>
          </w:tcPr>
          <w:p w14:paraId="216452B9"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20C64F43" w14:textId="77777777" w:rsidR="00000000" w:rsidRDefault="0053651E">
            <w:pPr>
              <w:jc w:val="right"/>
              <w:rPr>
                <w:rFonts w:eastAsia="Times New Roman"/>
                <w:sz w:val="16"/>
                <w:szCs w:val="16"/>
              </w:rPr>
            </w:pPr>
            <w:r>
              <w:rPr>
                <w:rFonts w:eastAsia="Times New Roman"/>
                <w:sz w:val="16"/>
                <w:szCs w:val="16"/>
              </w:rPr>
              <w:t>3,630,000</w:t>
            </w:r>
          </w:p>
        </w:tc>
        <w:tc>
          <w:tcPr>
            <w:tcW w:w="550" w:type="pct"/>
            <w:shd w:val="clear" w:color="auto" w:fill="CCEEFF"/>
            <w:vAlign w:val="bottom"/>
            <w:hideMark/>
          </w:tcPr>
          <w:p w14:paraId="72DB7ED3" w14:textId="77777777" w:rsidR="00000000" w:rsidRDefault="0053651E">
            <w:pPr>
              <w:jc w:val="right"/>
              <w:rPr>
                <w:rFonts w:eastAsia="Times New Roman"/>
                <w:sz w:val="16"/>
                <w:szCs w:val="16"/>
              </w:rPr>
            </w:pPr>
            <w:r>
              <w:rPr>
                <w:rFonts w:eastAsia="Times New Roman"/>
                <w:sz w:val="16"/>
                <w:szCs w:val="16"/>
              </w:rPr>
              <w:t>4,774,791</w:t>
            </w:r>
          </w:p>
        </w:tc>
        <w:tc>
          <w:tcPr>
            <w:tcW w:w="350" w:type="pct"/>
            <w:shd w:val="clear" w:color="auto" w:fill="CCEEFF"/>
            <w:vAlign w:val="bottom"/>
            <w:hideMark/>
          </w:tcPr>
          <w:p w14:paraId="699D5B69" w14:textId="77777777" w:rsidR="00000000" w:rsidRDefault="0053651E">
            <w:pPr>
              <w:jc w:val="right"/>
              <w:rPr>
                <w:rFonts w:eastAsia="Times New Roman"/>
                <w:sz w:val="16"/>
                <w:szCs w:val="16"/>
              </w:rPr>
            </w:pPr>
            <w:r>
              <w:rPr>
                <w:rFonts w:eastAsia="Times New Roman"/>
                <w:sz w:val="16"/>
                <w:szCs w:val="16"/>
              </w:rPr>
              <w:t>1,240,489</w:t>
            </w:r>
          </w:p>
        </w:tc>
        <w:tc>
          <w:tcPr>
            <w:tcW w:w="300" w:type="pct"/>
            <w:shd w:val="clear" w:color="auto" w:fill="CCEEFF"/>
            <w:vAlign w:val="bottom"/>
            <w:hideMark/>
          </w:tcPr>
          <w:p w14:paraId="54C8C799" w14:textId="77777777" w:rsidR="00000000" w:rsidRDefault="0053651E">
            <w:pPr>
              <w:jc w:val="right"/>
              <w:rPr>
                <w:rFonts w:eastAsia="Times New Roman"/>
                <w:sz w:val="16"/>
                <w:szCs w:val="16"/>
              </w:rPr>
            </w:pPr>
            <w:r>
              <w:rPr>
                <w:rFonts w:eastAsia="Times New Roman"/>
                <w:sz w:val="16"/>
                <w:szCs w:val="16"/>
              </w:rPr>
              <w:t>3,630,000</w:t>
            </w:r>
          </w:p>
        </w:tc>
        <w:tc>
          <w:tcPr>
            <w:tcW w:w="450" w:type="pct"/>
            <w:shd w:val="clear" w:color="auto" w:fill="CCEEFF"/>
            <w:vAlign w:val="bottom"/>
            <w:hideMark/>
          </w:tcPr>
          <w:p w14:paraId="359E2D79" w14:textId="77777777" w:rsidR="00000000" w:rsidRDefault="0053651E">
            <w:pPr>
              <w:jc w:val="right"/>
              <w:rPr>
                <w:rFonts w:eastAsia="Times New Roman"/>
                <w:sz w:val="16"/>
                <w:szCs w:val="16"/>
              </w:rPr>
            </w:pPr>
            <w:r>
              <w:rPr>
                <w:rFonts w:eastAsia="Times New Roman"/>
                <w:sz w:val="16"/>
                <w:szCs w:val="16"/>
              </w:rPr>
              <w:t>6,015,280</w:t>
            </w:r>
          </w:p>
        </w:tc>
        <w:tc>
          <w:tcPr>
            <w:tcW w:w="350" w:type="pct"/>
            <w:shd w:val="clear" w:color="auto" w:fill="CCEEFF"/>
            <w:vAlign w:val="bottom"/>
            <w:hideMark/>
          </w:tcPr>
          <w:p w14:paraId="10433C39" w14:textId="77777777" w:rsidR="00000000" w:rsidRDefault="0053651E">
            <w:pPr>
              <w:jc w:val="right"/>
              <w:rPr>
                <w:rFonts w:eastAsia="Times New Roman"/>
                <w:sz w:val="16"/>
                <w:szCs w:val="16"/>
              </w:rPr>
            </w:pPr>
            <w:r>
              <w:rPr>
                <w:rFonts w:eastAsia="Times New Roman"/>
                <w:sz w:val="16"/>
                <w:szCs w:val="16"/>
              </w:rPr>
              <w:t>9,645,280</w:t>
            </w:r>
          </w:p>
        </w:tc>
        <w:tc>
          <w:tcPr>
            <w:tcW w:w="400" w:type="pct"/>
            <w:shd w:val="clear" w:color="auto" w:fill="CCEEFF"/>
            <w:vAlign w:val="bottom"/>
            <w:hideMark/>
          </w:tcPr>
          <w:p w14:paraId="7E6A1232" w14:textId="77777777" w:rsidR="00000000" w:rsidRDefault="0053651E">
            <w:pPr>
              <w:jc w:val="right"/>
              <w:rPr>
                <w:rFonts w:eastAsia="Times New Roman"/>
                <w:sz w:val="16"/>
                <w:szCs w:val="16"/>
              </w:rPr>
            </w:pPr>
            <w:r>
              <w:rPr>
                <w:rFonts w:eastAsia="Times New Roman"/>
                <w:sz w:val="16"/>
                <w:szCs w:val="16"/>
              </w:rPr>
              <w:t>2,147,985</w:t>
            </w:r>
          </w:p>
        </w:tc>
        <w:tc>
          <w:tcPr>
            <w:tcW w:w="50" w:type="pct"/>
            <w:shd w:val="clear" w:color="auto" w:fill="CCEEFF"/>
            <w:vAlign w:val="bottom"/>
            <w:hideMark/>
          </w:tcPr>
          <w:p w14:paraId="464910E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C1A8126" w14:textId="77777777" w:rsidR="00000000" w:rsidRDefault="0053651E">
            <w:pPr>
              <w:jc w:val="right"/>
              <w:rPr>
                <w:rFonts w:eastAsia="Times New Roman"/>
                <w:sz w:val="16"/>
                <w:szCs w:val="16"/>
              </w:rPr>
            </w:pPr>
            <w:r>
              <w:rPr>
                <w:rFonts w:eastAsia="Times New Roman"/>
                <w:sz w:val="16"/>
                <w:szCs w:val="16"/>
              </w:rPr>
              <w:t>7,497,295</w:t>
            </w:r>
          </w:p>
        </w:tc>
        <w:tc>
          <w:tcPr>
            <w:tcW w:w="50" w:type="pct"/>
            <w:shd w:val="clear" w:color="auto" w:fill="CCEEFF"/>
            <w:vAlign w:val="bottom"/>
            <w:hideMark/>
          </w:tcPr>
          <w:p w14:paraId="1FD98C1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7DFF67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5FE2DB5"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19CDB3B1" w14:textId="77777777">
        <w:trPr>
          <w:tblCellSpacing w:w="0" w:type="dxa"/>
        </w:trPr>
        <w:tc>
          <w:tcPr>
            <w:tcW w:w="50" w:type="pct"/>
            <w:shd w:val="clear" w:color="auto" w:fill="FFFFFF"/>
            <w:vAlign w:val="bottom"/>
            <w:hideMark/>
          </w:tcPr>
          <w:p w14:paraId="3840CDA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91F744A" w14:textId="77777777" w:rsidR="00000000" w:rsidRDefault="0053651E">
            <w:pPr>
              <w:pStyle w:val="a3"/>
              <w:spacing w:before="0" w:beforeAutospacing="0" w:after="0" w:afterAutospacing="0"/>
              <w:rPr>
                <w:sz w:val="16"/>
                <w:szCs w:val="16"/>
              </w:rPr>
            </w:pPr>
            <w:r>
              <w:rPr>
                <w:sz w:val="16"/>
                <w:szCs w:val="16"/>
              </w:rPr>
              <w:t>ELMONT S.C.</w:t>
            </w:r>
          </w:p>
        </w:tc>
        <w:tc>
          <w:tcPr>
            <w:tcW w:w="150" w:type="pct"/>
            <w:shd w:val="clear" w:color="auto" w:fill="FFFFFF"/>
            <w:vAlign w:val="bottom"/>
            <w:hideMark/>
          </w:tcPr>
          <w:p w14:paraId="36BCF9D3"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0AC8DD4F" w14:textId="77777777" w:rsidR="00000000" w:rsidRDefault="0053651E">
            <w:pPr>
              <w:jc w:val="right"/>
              <w:rPr>
                <w:rFonts w:eastAsia="Times New Roman"/>
                <w:sz w:val="16"/>
                <w:szCs w:val="16"/>
              </w:rPr>
            </w:pPr>
            <w:r>
              <w:rPr>
                <w:rFonts w:eastAsia="Times New Roman"/>
                <w:sz w:val="16"/>
                <w:szCs w:val="16"/>
              </w:rPr>
              <w:t>3,011,658</w:t>
            </w:r>
          </w:p>
        </w:tc>
        <w:tc>
          <w:tcPr>
            <w:tcW w:w="550" w:type="pct"/>
            <w:shd w:val="clear" w:color="auto" w:fill="FFFFFF"/>
            <w:vAlign w:val="bottom"/>
            <w:hideMark/>
          </w:tcPr>
          <w:p w14:paraId="56DEE861" w14:textId="77777777" w:rsidR="00000000" w:rsidRDefault="0053651E">
            <w:pPr>
              <w:jc w:val="right"/>
              <w:rPr>
                <w:rFonts w:eastAsia="Times New Roman"/>
                <w:sz w:val="16"/>
                <w:szCs w:val="16"/>
              </w:rPr>
            </w:pPr>
            <w:r>
              <w:rPr>
                <w:rFonts w:eastAsia="Times New Roman"/>
                <w:sz w:val="16"/>
                <w:szCs w:val="16"/>
              </w:rPr>
              <w:t>7,606,066</w:t>
            </w:r>
          </w:p>
        </w:tc>
        <w:tc>
          <w:tcPr>
            <w:tcW w:w="350" w:type="pct"/>
            <w:shd w:val="clear" w:color="auto" w:fill="FFFFFF"/>
            <w:vAlign w:val="bottom"/>
            <w:hideMark/>
          </w:tcPr>
          <w:p w14:paraId="4085B26C" w14:textId="77777777" w:rsidR="00000000" w:rsidRDefault="0053651E">
            <w:pPr>
              <w:jc w:val="right"/>
              <w:rPr>
                <w:rFonts w:eastAsia="Times New Roman"/>
                <w:sz w:val="16"/>
                <w:szCs w:val="16"/>
              </w:rPr>
            </w:pPr>
            <w:r>
              <w:rPr>
                <w:rFonts w:eastAsia="Times New Roman"/>
                <w:sz w:val="16"/>
                <w:szCs w:val="16"/>
              </w:rPr>
              <w:t>6,171,045</w:t>
            </w:r>
          </w:p>
        </w:tc>
        <w:tc>
          <w:tcPr>
            <w:tcW w:w="300" w:type="pct"/>
            <w:shd w:val="clear" w:color="auto" w:fill="FFFFFF"/>
            <w:vAlign w:val="bottom"/>
            <w:hideMark/>
          </w:tcPr>
          <w:p w14:paraId="641AA343" w14:textId="77777777" w:rsidR="00000000" w:rsidRDefault="0053651E">
            <w:pPr>
              <w:jc w:val="right"/>
              <w:rPr>
                <w:rFonts w:eastAsia="Times New Roman"/>
                <w:sz w:val="16"/>
                <w:szCs w:val="16"/>
              </w:rPr>
            </w:pPr>
            <w:r>
              <w:rPr>
                <w:rFonts w:eastAsia="Times New Roman"/>
                <w:sz w:val="16"/>
                <w:szCs w:val="16"/>
              </w:rPr>
              <w:t>3,011,658</w:t>
            </w:r>
          </w:p>
        </w:tc>
        <w:tc>
          <w:tcPr>
            <w:tcW w:w="450" w:type="pct"/>
            <w:shd w:val="clear" w:color="auto" w:fill="FFFFFF"/>
            <w:vAlign w:val="bottom"/>
            <w:hideMark/>
          </w:tcPr>
          <w:p w14:paraId="6CF62CDC" w14:textId="77777777" w:rsidR="00000000" w:rsidRDefault="0053651E">
            <w:pPr>
              <w:jc w:val="right"/>
              <w:rPr>
                <w:rFonts w:eastAsia="Times New Roman"/>
                <w:sz w:val="16"/>
                <w:szCs w:val="16"/>
              </w:rPr>
            </w:pPr>
            <w:r>
              <w:rPr>
                <w:rFonts w:eastAsia="Times New Roman"/>
                <w:sz w:val="16"/>
                <w:szCs w:val="16"/>
              </w:rPr>
              <w:t>13,777,111</w:t>
            </w:r>
          </w:p>
        </w:tc>
        <w:tc>
          <w:tcPr>
            <w:tcW w:w="350" w:type="pct"/>
            <w:shd w:val="clear" w:color="auto" w:fill="FFFFFF"/>
            <w:vAlign w:val="bottom"/>
            <w:hideMark/>
          </w:tcPr>
          <w:p w14:paraId="3B23E6DD" w14:textId="77777777" w:rsidR="00000000" w:rsidRDefault="0053651E">
            <w:pPr>
              <w:jc w:val="right"/>
              <w:rPr>
                <w:rFonts w:eastAsia="Times New Roman"/>
                <w:sz w:val="16"/>
                <w:szCs w:val="16"/>
              </w:rPr>
            </w:pPr>
            <w:r>
              <w:rPr>
                <w:rFonts w:eastAsia="Times New Roman"/>
                <w:sz w:val="16"/>
                <w:szCs w:val="16"/>
              </w:rPr>
              <w:t>16,788,769</w:t>
            </w:r>
          </w:p>
        </w:tc>
        <w:tc>
          <w:tcPr>
            <w:tcW w:w="400" w:type="pct"/>
            <w:shd w:val="clear" w:color="auto" w:fill="FFFFFF"/>
            <w:vAlign w:val="bottom"/>
            <w:hideMark/>
          </w:tcPr>
          <w:p w14:paraId="6B5C7856" w14:textId="77777777" w:rsidR="00000000" w:rsidRDefault="0053651E">
            <w:pPr>
              <w:jc w:val="right"/>
              <w:rPr>
                <w:rFonts w:eastAsia="Times New Roman"/>
                <w:sz w:val="16"/>
                <w:szCs w:val="16"/>
              </w:rPr>
            </w:pPr>
            <w:r>
              <w:rPr>
                <w:rFonts w:eastAsia="Times New Roman"/>
                <w:sz w:val="16"/>
                <w:szCs w:val="16"/>
              </w:rPr>
              <w:t>4,209,847</w:t>
            </w:r>
          </w:p>
        </w:tc>
        <w:tc>
          <w:tcPr>
            <w:tcW w:w="50" w:type="pct"/>
            <w:shd w:val="clear" w:color="auto" w:fill="FFFFFF"/>
            <w:vAlign w:val="bottom"/>
            <w:hideMark/>
          </w:tcPr>
          <w:p w14:paraId="5581631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FC36044" w14:textId="77777777" w:rsidR="00000000" w:rsidRDefault="0053651E">
            <w:pPr>
              <w:jc w:val="right"/>
              <w:rPr>
                <w:rFonts w:eastAsia="Times New Roman"/>
                <w:sz w:val="16"/>
                <w:szCs w:val="16"/>
              </w:rPr>
            </w:pPr>
            <w:r>
              <w:rPr>
                <w:rFonts w:eastAsia="Times New Roman"/>
                <w:sz w:val="16"/>
                <w:szCs w:val="16"/>
              </w:rPr>
              <w:t>12,578,922</w:t>
            </w:r>
          </w:p>
        </w:tc>
        <w:tc>
          <w:tcPr>
            <w:tcW w:w="50" w:type="pct"/>
            <w:shd w:val="clear" w:color="auto" w:fill="FFFFFF"/>
            <w:vAlign w:val="bottom"/>
            <w:hideMark/>
          </w:tcPr>
          <w:p w14:paraId="6550F4A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DC6B6B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B5C2A3F"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30C24EFF" w14:textId="77777777">
        <w:trPr>
          <w:tblCellSpacing w:w="0" w:type="dxa"/>
        </w:trPr>
        <w:tc>
          <w:tcPr>
            <w:tcW w:w="50" w:type="pct"/>
            <w:shd w:val="clear" w:color="auto" w:fill="CCEEFF"/>
            <w:vAlign w:val="bottom"/>
            <w:hideMark/>
          </w:tcPr>
          <w:p w14:paraId="03734A1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8ED53ED" w14:textId="77777777" w:rsidR="00000000" w:rsidRDefault="0053651E">
            <w:pPr>
              <w:pStyle w:val="a3"/>
              <w:spacing w:before="0" w:beforeAutospacing="0" w:after="0" w:afterAutospacing="0"/>
              <w:rPr>
                <w:sz w:val="16"/>
                <w:szCs w:val="16"/>
              </w:rPr>
            </w:pPr>
            <w:r>
              <w:rPr>
                <w:sz w:val="16"/>
                <w:szCs w:val="16"/>
              </w:rPr>
              <w:t>ELMSFORD CENTER 1</w:t>
            </w:r>
          </w:p>
        </w:tc>
        <w:tc>
          <w:tcPr>
            <w:tcW w:w="150" w:type="pct"/>
            <w:shd w:val="clear" w:color="auto" w:fill="CCEEFF"/>
            <w:vAlign w:val="bottom"/>
            <w:hideMark/>
          </w:tcPr>
          <w:p w14:paraId="43B99E90"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4304D0B4" w14:textId="77777777" w:rsidR="00000000" w:rsidRDefault="0053651E">
            <w:pPr>
              <w:jc w:val="right"/>
              <w:rPr>
                <w:rFonts w:eastAsia="Times New Roman"/>
                <w:sz w:val="16"/>
                <w:szCs w:val="16"/>
              </w:rPr>
            </w:pPr>
            <w:r>
              <w:rPr>
                <w:rFonts w:eastAsia="Times New Roman"/>
                <w:sz w:val="16"/>
                <w:szCs w:val="16"/>
              </w:rPr>
              <w:t>4,134,273</w:t>
            </w:r>
          </w:p>
        </w:tc>
        <w:tc>
          <w:tcPr>
            <w:tcW w:w="550" w:type="pct"/>
            <w:shd w:val="clear" w:color="auto" w:fill="CCEEFF"/>
            <w:vAlign w:val="bottom"/>
            <w:hideMark/>
          </w:tcPr>
          <w:p w14:paraId="2AC773CA" w14:textId="77777777" w:rsidR="00000000" w:rsidRDefault="0053651E">
            <w:pPr>
              <w:jc w:val="right"/>
              <w:rPr>
                <w:rFonts w:eastAsia="Times New Roman"/>
                <w:sz w:val="16"/>
                <w:szCs w:val="16"/>
              </w:rPr>
            </w:pPr>
            <w:r>
              <w:rPr>
                <w:rFonts w:eastAsia="Times New Roman"/>
                <w:sz w:val="16"/>
                <w:szCs w:val="16"/>
              </w:rPr>
              <w:t>1,193,084</w:t>
            </w:r>
          </w:p>
        </w:tc>
        <w:tc>
          <w:tcPr>
            <w:tcW w:w="350" w:type="pct"/>
            <w:shd w:val="clear" w:color="auto" w:fill="CCEEFF"/>
            <w:vAlign w:val="bottom"/>
            <w:hideMark/>
          </w:tcPr>
          <w:p w14:paraId="40B1E386"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03726F0A" w14:textId="77777777" w:rsidR="00000000" w:rsidRDefault="0053651E">
            <w:pPr>
              <w:jc w:val="right"/>
              <w:rPr>
                <w:rFonts w:eastAsia="Times New Roman"/>
                <w:sz w:val="16"/>
                <w:szCs w:val="16"/>
              </w:rPr>
            </w:pPr>
            <w:r>
              <w:rPr>
                <w:rFonts w:eastAsia="Times New Roman"/>
                <w:sz w:val="16"/>
                <w:szCs w:val="16"/>
              </w:rPr>
              <w:t>4,134,273</w:t>
            </w:r>
          </w:p>
        </w:tc>
        <w:tc>
          <w:tcPr>
            <w:tcW w:w="450" w:type="pct"/>
            <w:shd w:val="clear" w:color="auto" w:fill="CCEEFF"/>
            <w:vAlign w:val="bottom"/>
            <w:hideMark/>
          </w:tcPr>
          <w:p w14:paraId="581A8090" w14:textId="77777777" w:rsidR="00000000" w:rsidRDefault="0053651E">
            <w:pPr>
              <w:jc w:val="right"/>
              <w:rPr>
                <w:rFonts w:eastAsia="Times New Roman"/>
                <w:sz w:val="16"/>
                <w:szCs w:val="16"/>
              </w:rPr>
            </w:pPr>
            <w:r>
              <w:rPr>
                <w:rFonts w:eastAsia="Times New Roman"/>
                <w:sz w:val="16"/>
                <w:szCs w:val="16"/>
              </w:rPr>
              <w:t>1,193,084</w:t>
            </w:r>
          </w:p>
        </w:tc>
        <w:tc>
          <w:tcPr>
            <w:tcW w:w="350" w:type="pct"/>
            <w:shd w:val="clear" w:color="auto" w:fill="CCEEFF"/>
            <w:vAlign w:val="bottom"/>
            <w:hideMark/>
          </w:tcPr>
          <w:p w14:paraId="0BC2FB6B" w14:textId="77777777" w:rsidR="00000000" w:rsidRDefault="0053651E">
            <w:pPr>
              <w:jc w:val="right"/>
              <w:rPr>
                <w:rFonts w:eastAsia="Times New Roman"/>
                <w:sz w:val="16"/>
                <w:szCs w:val="16"/>
              </w:rPr>
            </w:pPr>
            <w:r>
              <w:rPr>
                <w:rFonts w:eastAsia="Times New Roman"/>
                <w:sz w:val="16"/>
                <w:szCs w:val="16"/>
              </w:rPr>
              <w:t>5,327,357</w:t>
            </w:r>
          </w:p>
        </w:tc>
        <w:tc>
          <w:tcPr>
            <w:tcW w:w="400" w:type="pct"/>
            <w:shd w:val="clear" w:color="auto" w:fill="CCEEFF"/>
            <w:vAlign w:val="bottom"/>
            <w:hideMark/>
          </w:tcPr>
          <w:p w14:paraId="5233E8F3" w14:textId="77777777" w:rsidR="00000000" w:rsidRDefault="0053651E">
            <w:pPr>
              <w:jc w:val="right"/>
              <w:rPr>
                <w:rFonts w:eastAsia="Times New Roman"/>
                <w:sz w:val="16"/>
                <w:szCs w:val="16"/>
              </w:rPr>
            </w:pPr>
            <w:r>
              <w:rPr>
                <w:rFonts w:eastAsia="Times New Roman"/>
                <w:sz w:val="16"/>
                <w:szCs w:val="16"/>
              </w:rPr>
              <w:t>224,999</w:t>
            </w:r>
          </w:p>
        </w:tc>
        <w:tc>
          <w:tcPr>
            <w:tcW w:w="50" w:type="pct"/>
            <w:shd w:val="clear" w:color="auto" w:fill="CCEEFF"/>
            <w:vAlign w:val="bottom"/>
            <w:hideMark/>
          </w:tcPr>
          <w:p w14:paraId="2C7C8B2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0F2CE40" w14:textId="77777777" w:rsidR="00000000" w:rsidRDefault="0053651E">
            <w:pPr>
              <w:jc w:val="right"/>
              <w:rPr>
                <w:rFonts w:eastAsia="Times New Roman"/>
                <w:sz w:val="16"/>
                <w:szCs w:val="16"/>
              </w:rPr>
            </w:pPr>
            <w:r>
              <w:rPr>
                <w:rFonts w:eastAsia="Times New Roman"/>
                <w:sz w:val="16"/>
                <w:szCs w:val="16"/>
              </w:rPr>
              <w:t>5,102,358</w:t>
            </w:r>
          </w:p>
        </w:tc>
        <w:tc>
          <w:tcPr>
            <w:tcW w:w="50" w:type="pct"/>
            <w:shd w:val="clear" w:color="auto" w:fill="CCEEFF"/>
            <w:vAlign w:val="bottom"/>
            <w:hideMark/>
          </w:tcPr>
          <w:p w14:paraId="3DDF55D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BED558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AF7D565"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53478CAF" w14:textId="77777777">
        <w:trPr>
          <w:tblCellSpacing w:w="0" w:type="dxa"/>
        </w:trPr>
        <w:tc>
          <w:tcPr>
            <w:tcW w:w="50" w:type="pct"/>
            <w:shd w:val="clear" w:color="auto" w:fill="FFFFFF"/>
            <w:vAlign w:val="bottom"/>
            <w:hideMark/>
          </w:tcPr>
          <w:p w14:paraId="295D552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C9925DD" w14:textId="77777777" w:rsidR="00000000" w:rsidRDefault="0053651E">
            <w:pPr>
              <w:pStyle w:val="a3"/>
              <w:spacing w:before="0" w:beforeAutospacing="0" w:after="0" w:afterAutospacing="0"/>
              <w:rPr>
                <w:sz w:val="16"/>
                <w:szCs w:val="16"/>
              </w:rPr>
            </w:pPr>
            <w:r>
              <w:rPr>
                <w:sz w:val="16"/>
                <w:szCs w:val="16"/>
              </w:rPr>
              <w:t>ELMSFORD CENTER 2</w:t>
            </w:r>
          </w:p>
        </w:tc>
        <w:tc>
          <w:tcPr>
            <w:tcW w:w="150" w:type="pct"/>
            <w:shd w:val="clear" w:color="auto" w:fill="FFFFFF"/>
            <w:vAlign w:val="bottom"/>
            <w:hideMark/>
          </w:tcPr>
          <w:p w14:paraId="1A4E87EC"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51C12D4B" w14:textId="77777777" w:rsidR="00000000" w:rsidRDefault="0053651E">
            <w:pPr>
              <w:jc w:val="right"/>
              <w:rPr>
                <w:rFonts w:eastAsia="Times New Roman"/>
                <w:sz w:val="16"/>
                <w:szCs w:val="16"/>
              </w:rPr>
            </w:pPr>
            <w:r>
              <w:rPr>
                <w:rFonts w:eastAsia="Times New Roman"/>
                <w:sz w:val="16"/>
                <w:szCs w:val="16"/>
              </w:rPr>
              <w:t>4,076,403</w:t>
            </w:r>
          </w:p>
        </w:tc>
        <w:tc>
          <w:tcPr>
            <w:tcW w:w="550" w:type="pct"/>
            <w:shd w:val="clear" w:color="auto" w:fill="FFFFFF"/>
            <w:vAlign w:val="bottom"/>
            <w:hideMark/>
          </w:tcPr>
          <w:p w14:paraId="7AF377CD" w14:textId="77777777" w:rsidR="00000000" w:rsidRDefault="0053651E">
            <w:pPr>
              <w:jc w:val="right"/>
              <w:rPr>
                <w:rFonts w:eastAsia="Times New Roman"/>
                <w:sz w:val="16"/>
                <w:szCs w:val="16"/>
              </w:rPr>
            </w:pPr>
            <w:r>
              <w:rPr>
                <w:rFonts w:eastAsia="Times New Roman"/>
                <w:sz w:val="16"/>
                <w:szCs w:val="16"/>
              </w:rPr>
              <w:t>15,598,504</w:t>
            </w:r>
          </w:p>
        </w:tc>
        <w:tc>
          <w:tcPr>
            <w:tcW w:w="350" w:type="pct"/>
            <w:shd w:val="clear" w:color="auto" w:fill="FFFFFF"/>
            <w:vAlign w:val="bottom"/>
            <w:hideMark/>
          </w:tcPr>
          <w:p w14:paraId="6947E057" w14:textId="77777777" w:rsidR="00000000" w:rsidRDefault="0053651E">
            <w:pPr>
              <w:jc w:val="right"/>
              <w:rPr>
                <w:rFonts w:eastAsia="Times New Roman"/>
                <w:sz w:val="16"/>
                <w:szCs w:val="16"/>
              </w:rPr>
            </w:pPr>
            <w:r>
              <w:rPr>
                <w:rFonts w:eastAsia="Times New Roman"/>
                <w:sz w:val="16"/>
                <w:szCs w:val="16"/>
              </w:rPr>
              <w:t>1,118,941</w:t>
            </w:r>
          </w:p>
        </w:tc>
        <w:tc>
          <w:tcPr>
            <w:tcW w:w="300" w:type="pct"/>
            <w:shd w:val="clear" w:color="auto" w:fill="FFFFFF"/>
            <w:vAlign w:val="bottom"/>
            <w:hideMark/>
          </w:tcPr>
          <w:p w14:paraId="057666F7" w14:textId="77777777" w:rsidR="00000000" w:rsidRDefault="0053651E">
            <w:pPr>
              <w:jc w:val="right"/>
              <w:rPr>
                <w:rFonts w:eastAsia="Times New Roman"/>
                <w:sz w:val="16"/>
                <w:szCs w:val="16"/>
              </w:rPr>
            </w:pPr>
            <w:r>
              <w:rPr>
                <w:rFonts w:eastAsia="Times New Roman"/>
                <w:sz w:val="16"/>
                <w:szCs w:val="16"/>
              </w:rPr>
              <w:t>4,245,442</w:t>
            </w:r>
          </w:p>
        </w:tc>
        <w:tc>
          <w:tcPr>
            <w:tcW w:w="450" w:type="pct"/>
            <w:shd w:val="clear" w:color="auto" w:fill="FFFFFF"/>
            <w:vAlign w:val="bottom"/>
            <w:hideMark/>
          </w:tcPr>
          <w:p w14:paraId="2A58C0C9" w14:textId="77777777" w:rsidR="00000000" w:rsidRDefault="0053651E">
            <w:pPr>
              <w:jc w:val="right"/>
              <w:rPr>
                <w:rFonts w:eastAsia="Times New Roman"/>
                <w:sz w:val="16"/>
                <w:szCs w:val="16"/>
              </w:rPr>
            </w:pPr>
            <w:r>
              <w:rPr>
                <w:rFonts w:eastAsia="Times New Roman"/>
                <w:sz w:val="16"/>
                <w:szCs w:val="16"/>
              </w:rPr>
              <w:t>16,548,406</w:t>
            </w:r>
          </w:p>
        </w:tc>
        <w:tc>
          <w:tcPr>
            <w:tcW w:w="350" w:type="pct"/>
            <w:shd w:val="clear" w:color="auto" w:fill="FFFFFF"/>
            <w:vAlign w:val="bottom"/>
            <w:hideMark/>
          </w:tcPr>
          <w:p w14:paraId="29E8BB8F" w14:textId="77777777" w:rsidR="00000000" w:rsidRDefault="0053651E">
            <w:pPr>
              <w:jc w:val="right"/>
              <w:rPr>
                <w:rFonts w:eastAsia="Times New Roman"/>
                <w:sz w:val="16"/>
                <w:szCs w:val="16"/>
              </w:rPr>
            </w:pPr>
            <w:r>
              <w:rPr>
                <w:rFonts w:eastAsia="Times New Roman"/>
                <w:sz w:val="16"/>
                <w:szCs w:val="16"/>
              </w:rPr>
              <w:t>20,793,848</w:t>
            </w:r>
          </w:p>
        </w:tc>
        <w:tc>
          <w:tcPr>
            <w:tcW w:w="400" w:type="pct"/>
            <w:shd w:val="clear" w:color="auto" w:fill="FFFFFF"/>
            <w:vAlign w:val="bottom"/>
            <w:hideMark/>
          </w:tcPr>
          <w:p w14:paraId="60701CF0" w14:textId="77777777" w:rsidR="00000000" w:rsidRDefault="0053651E">
            <w:pPr>
              <w:jc w:val="right"/>
              <w:rPr>
                <w:rFonts w:eastAsia="Times New Roman"/>
                <w:sz w:val="16"/>
                <w:szCs w:val="16"/>
              </w:rPr>
            </w:pPr>
            <w:r>
              <w:rPr>
                <w:rFonts w:eastAsia="Times New Roman"/>
                <w:sz w:val="16"/>
                <w:szCs w:val="16"/>
              </w:rPr>
              <w:t>3,619,110</w:t>
            </w:r>
          </w:p>
        </w:tc>
        <w:tc>
          <w:tcPr>
            <w:tcW w:w="50" w:type="pct"/>
            <w:shd w:val="clear" w:color="auto" w:fill="FFFFFF"/>
            <w:vAlign w:val="bottom"/>
            <w:hideMark/>
          </w:tcPr>
          <w:p w14:paraId="481301A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C33FF33" w14:textId="77777777" w:rsidR="00000000" w:rsidRDefault="0053651E">
            <w:pPr>
              <w:jc w:val="right"/>
              <w:rPr>
                <w:rFonts w:eastAsia="Times New Roman"/>
                <w:sz w:val="16"/>
                <w:szCs w:val="16"/>
              </w:rPr>
            </w:pPr>
            <w:r>
              <w:rPr>
                <w:rFonts w:eastAsia="Times New Roman"/>
                <w:sz w:val="16"/>
                <w:szCs w:val="16"/>
              </w:rPr>
              <w:t>17,174,738</w:t>
            </w:r>
          </w:p>
        </w:tc>
        <w:tc>
          <w:tcPr>
            <w:tcW w:w="50" w:type="pct"/>
            <w:shd w:val="clear" w:color="auto" w:fill="FFFFFF"/>
            <w:vAlign w:val="bottom"/>
            <w:hideMark/>
          </w:tcPr>
          <w:p w14:paraId="11D2079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17A114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2F6DB4B"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5A98CFA0" w14:textId="77777777">
        <w:trPr>
          <w:tblCellSpacing w:w="0" w:type="dxa"/>
        </w:trPr>
        <w:tc>
          <w:tcPr>
            <w:tcW w:w="50" w:type="pct"/>
            <w:shd w:val="clear" w:color="auto" w:fill="CCEEFF"/>
            <w:vAlign w:val="bottom"/>
            <w:hideMark/>
          </w:tcPr>
          <w:p w14:paraId="7AECF78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FE01036" w14:textId="77777777" w:rsidR="00000000" w:rsidRDefault="0053651E">
            <w:pPr>
              <w:pStyle w:val="a3"/>
              <w:spacing w:before="0" w:beforeAutospacing="0" w:after="0" w:afterAutospacing="0"/>
              <w:rPr>
                <w:sz w:val="16"/>
                <w:szCs w:val="16"/>
              </w:rPr>
            </w:pPr>
            <w:r>
              <w:rPr>
                <w:sz w:val="16"/>
                <w:szCs w:val="16"/>
              </w:rPr>
              <w:t>FRANKLIN SQUARE S.C.</w:t>
            </w:r>
          </w:p>
        </w:tc>
        <w:tc>
          <w:tcPr>
            <w:tcW w:w="150" w:type="pct"/>
            <w:shd w:val="clear" w:color="auto" w:fill="CCEEFF"/>
            <w:vAlign w:val="bottom"/>
            <w:hideMark/>
          </w:tcPr>
          <w:p w14:paraId="01DAEDAB"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46DC6AF3" w14:textId="77777777" w:rsidR="00000000" w:rsidRDefault="0053651E">
            <w:pPr>
              <w:jc w:val="right"/>
              <w:rPr>
                <w:rFonts w:eastAsia="Times New Roman"/>
                <w:sz w:val="16"/>
                <w:szCs w:val="16"/>
              </w:rPr>
            </w:pPr>
            <w:r>
              <w:rPr>
                <w:rFonts w:eastAsia="Times New Roman"/>
                <w:sz w:val="16"/>
                <w:szCs w:val="16"/>
              </w:rPr>
              <w:t>1,078,541</w:t>
            </w:r>
          </w:p>
        </w:tc>
        <w:tc>
          <w:tcPr>
            <w:tcW w:w="550" w:type="pct"/>
            <w:shd w:val="clear" w:color="auto" w:fill="CCEEFF"/>
            <w:vAlign w:val="bottom"/>
            <w:hideMark/>
          </w:tcPr>
          <w:p w14:paraId="10FFBE1B" w14:textId="77777777" w:rsidR="00000000" w:rsidRDefault="0053651E">
            <w:pPr>
              <w:jc w:val="right"/>
              <w:rPr>
                <w:rFonts w:eastAsia="Times New Roman"/>
                <w:sz w:val="16"/>
                <w:szCs w:val="16"/>
              </w:rPr>
            </w:pPr>
            <w:r>
              <w:rPr>
                <w:rFonts w:eastAsia="Times New Roman"/>
                <w:sz w:val="16"/>
                <w:szCs w:val="16"/>
              </w:rPr>
              <w:t>2,516,581</w:t>
            </w:r>
          </w:p>
        </w:tc>
        <w:tc>
          <w:tcPr>
            <w:tcW w:w="350" w:type="pct"/>
            <w:shd w:val="clear" w:color="auto" w:fill="CCEEFF"/>
            <w:vAlign w:val="bottom"/>
            <w:hideMark/>
          </w:tcPr>
          <w:p w14:paraId="3E2CC369" w14:textId="77777777" w:rsidR="00000000" w:rsidRDefault="0053651E">
            <w:pPr>
              <w:jc w:val="right"/>
              <w:rPr>
                <w:rFonts w:eastAsia="Times New Roman"/>
                <w:sz w:val="16"/>
                <w:szCs w:val="16"/>
              </w:rPr>
            </w:pPr>
            <w:r>
              <w:rPr>
                <w:rFonts w:eastAsia="Times New Roman"/>
                <w:sz w:val="16"/>
                <w:szCs w:val="16"/>
              </w:rPr>
              <w:t>4,164,568</w:t>
            </w:r>
          </w:p>
        </w:tc>
        <w:tc>
          <w:tcPr>
            <w:tcW w:w="300" w:type="pct"/>
            <w:shd w:val="clear" w:color="auto" w:fill="CCEEFF"/>
            <w:vAlign w:val="bottom"/>
            <w:hideMark/>
          </w:tcPr>
          <w:p w14:paraId="5651766C" w14:textId="77777777" w:rsidR="00000000" w:rsidRDefault="0053651E">
            <w:pPr>
              <w:jc w:val="right"/>
              <w:rPr>
                <w:rFonts w:eastAsia="Times New Roman"/>
                <w:sz w:val="16"/>
                <w:szCs w:val="16"/>
              </w:rPr>
            </w:pPr>
            <w:r>
              <w:rPr>
                <w:rFonts w:eastAsia="Times New Roman"/>
                <w:sz w:val="16"/>
                <w:szCs w:val="16"/>
              </w:rPr>
              <w:t>1,078,541</w:t>
            </w:r>
          </w:p>
        </w:tc>
        <w:tc>
          <w:tcPr>
            <w:tcW w:w="450" w:type="pct"/>
            <w:shd w:val="clear" w:color="auto" w:fill="CCEEFF"/>
            <w:vAlign w:val="bottom"/>
            <w:hideMark/>
          </w:tcPr>
          <w:p w14:paraId="0E3900ED" w14:textId="77777777" w:rsidR="00000000" w:rsidRDefault="0053651E">
            <w:pPr>
              <w:jc w:val="right"/>
              <w:rPr>
                <w:rFonts w:eastAsia="Times New Roman"/>
                <w:sz w:val="16"/>
                <w:szCs w:val="16"/>
              </w:rPr>
            </w:pPr>
            <w:r>
              <w:rPr>
                <w:rFonts w:eastAsia="Times New Roman"/>
                <w:sz w:val="16"/>
                <w:szCs w:val="16"/>
              </w:rPr>
              <w:t>6,681,149</w:t>
            </w:r>
          </w:p>
        </w:tc>
        <w:tc>
          <w:tcPr>
            <w:tcW w:w="350" w:type="pct"/>
            <w:shd w:val="clear" w:color="auto" w:fill="CCEEFF"/>
            <w:vAlign w:val="bottom"/>
            <w:hideMark/>
          </w:tcPr>
          <w:p w14:paraId="3BE548F5" w14:textId="77777777" w:rsidR="00000000" w:rsidRDefault="0053651E">
            <w:pPr>
              <w:jc w:val="right"/>
              <w:rPr>
                <w:rFonts w:eastAsia="Times New Roman"/>
                <w:sz w:val="16"/>
                <w:szCs w:val="16"/>
              </w:rPr>
            </w:pPr>
            <w:r>
              <w:rPr>
                <w:rFonts w:eastAsia="Times New Roman"/>
                <w:sz w:val="16"/>
                <w:szCs w:val="16"/>
              </w:rPr>
              <w:t>7,759,690</w:t>
            </w:r>
          </w:p>
        </w:tc>
        <w:tc>
          <w:tcPr>
            <w:tcW w:w="400" w:type="pct"/>
            <w:shd w:val="clear" w:color="auto" w:fill="CCEEFF"/>
            <w:vAlign w:val="bottom"/>
            <w:hideMark/>
          </w:tcPr>
          <w:p w14:paraId="662CB612" w14:textId="77777777" w:rsidR="00000000" w:rsidRDefault="0053651E">
            <w:pPr>
              <w:jc w:val="right"/>
              <w:rPr>
                <w:rFonts w:eastAsia="Times New Roman"/>
                <w:sz w:val="16"/>
                <w:szCs w:val="16"/>
              </w:rPr>
            </w:pPr>
            <w:r>
              <w:rPr>
                <w:rFonts w:eastAsia="Times New Roman"/>
                <w:sz w:val="16"/>
                <w:szCs w:val="16"/>
              </w:rPr>
              <w:t>2,951,140</w:t>
            </w:r>
          </w:p>
        </w:tc>
        <w:tc>
          <w:tcPr>
            <w:tcW w:w="50" w:type="pct"/>
            <w:shd w:val="clear" w:color="auto" w:fill="CCEEFF"/>
            <w:vAlign w:val="bottom"/>
            <w:hideMark/>
          </w:tcPr>
          <w:p w14:paraId="5C51ACE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463D883" w14:textId="77777777" w:rsidR="00000000" w:rsidRDefault="0053651E">
            <w:pPr>
              <w:jc w:val="right"/>
              <w:rPr>
                <w:rFonts w:eastAsia="Times New Roman"/>
                <w:sz w:val="16"/>
                <w:szCs w:val="16"/>
              </w:rPr>
            </w:pPr>
            <w:r>
              <w:rPr>
                <w:rFonts w:eastAsia="Times New Roman"/>
                <w:sz w:val="16"/>
                <w:szCs w:val="16"/>
              </w:rPr>
              <w:t>4,808,550</w:t>
            </w:r>
          </w:p>
        </w:tc>
        <w:tc>
          <w:tcPr>
            <w:tcW w:w="50" w:type="pct"/>
            <w:shd w:val="clear" w:color="auto" w:fill="CCEEFF"/>
            <w:vAlign w:val="bottom"/>
            <w:hideMark/>
          </w:tcPr>
          <w:p w14:paraId="4576005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AF6FE6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08A096F"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1BC72301" w14:textId="77777777">
        <w:trPr>
          <w:tblCellSpacing w:w="0" w:type="dxa"/>
        </w:trPr>
        <w:tc>
          <w:tcPr>
            <w:tcW w:w="50" w:type="pct"/>
            <w:shd w:val="clear" w:color="auto" w:fill="FFFFFF"/>
            <w:vAlign w:val="bottom"/>
            <w:hideMark/>
          </w:tcPr>
          <w:p w14:paraId="336200F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1CC0DBF" w14:textId="77777777" w:rsidR="00000000" w:rsidRDefault="0053651E">
            <w:pPr>
              <w:pStyle w:val="a3"/>
              <w:spacing w:before="0" w:beforeAutospacing="0" w:after="0" w:afterAutospacing="0"/>
              <w:rPr>
                <w:sz w:val="16"/>
                <w:szCs w:val="16"/>
              </w:rPr>
            </w:pPr>
            <w:r>
              <w:rPr>
                <w:sz w:val="16"/>
                <w:szCs w:val="16"/>
              </w:rPr>
              <w:t>AIRPORT PLAZA</w:t>
            </w:r>
          </w:p>
        </w:tc>
        <w:tc>
          <w:tcPr>
            <w:tcW w:w="150" w:type="pct"/>
            <w:shd w:val="clear" w:color="auto" w:fill="FFFFFF"/>
            <w:vAlign w:val="bottom"/>
            <w:hideMark/>
          </w:tcPr>
          <w:p w14:paraId="1C38488F"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36444634" w14:textId="77777777" w:rsidR="00000000" w:rsidRDefault="0053651E">
            <w:pPr>
              <w:jc w:val="right"/>
              <w:rPr>
                <w:rFonts w:eastAsia="Times New Roman"/>
                <w:sz w:val="16"/>
                <w:szCs w:val="16"/>
              </w:rPr>
            </w:pPr>
            <w:r>
              <w:rPr>
                <w:rFonts w:eastAsia="Times New Roman"/>
                <w:sz w:val="16"/>
                <w:szCs w:val="16"/>
              </w:rPr>
              <w:t>22,711,189</w:t>
            </w:r>
          </w:p>
        </w:tc>
        <w:tc>
          <w:tcPr>
            <w:tcW w:w="550" w:type="pct"/>
            <w:shd w:val="clear" w:color="auto" w:fill="FFFFFF"/>
            <w:vAlign w:val="bottom"/>
            <w:hideMark/>
          </w:tcPr>
          <w:p w14:paraId="744611D4" w14:textId="77777777" w:rsidR="00000000" w:rsidRDefault="0053651E">
            <w:pPr>
              <w:jc w:val="right"/>
              <w:rPr>
                <w:rFonts w:eastAsia="Times New Roman"/>
                <w:sz w:val="16"/>
                <w:szCs w:val="16"/>
              </w:rPr>
            </w:pPr>
            <w:r>
              <w:rPr>
                <w:rFonts w:eastAsia="Times New Roman"/>
                <w:sz w:val="16"/>
                <w:szCs w:val="16"/>
              </w:rPr>
              <w:t>107,011,500</w:t>
            </w:r>
          </w:p>
        </w:tc>
        <w:tc>
          <w:tcPr>
            <w:tcW w:w="350" w:type="pct"/>
            <w:shd w:val="clear" w:color="auto" w:fill="FFFFFF"/>
            <w:vAlign w:val="bottom"/>
            <w:hideMark/>
          </w:tcPr>
          <w:p w14:paraId="3F26E328" w14:textId="77777777" w:rsidR="00000000" w:rsidRDefault="0053651E">
            <w:pPr>
              <w:jc w:val="right"/>
              <w:rPr>
                <w:rFonts w:eastAsia="Times New Roman"/>
                <w:sz w:val="16"/>
                <w:szCs w:val="16"/>
              </w:rPr>
            </w:pPr>
            <w:r>
              <w:rPr>
                <w:rFonts w:eastAsia="Times New Roman"/>
                <w:sz w:val="16"/>
                <w:szCs w:val="16"/>
              </w:rPr>
              <w:t>3,428,747</w:t>
            </w:r>
          </w:p>
        </w:tc>
        <w:tc>
          <w:tcPr>
            <w:tcW w:w="300" w:type="pct"/>
            <w:shd w:val="clear" w:color="auto" w:fill="FFFFFF"/>
            <w:vAlign w:val="bottom"/>
            <w:hideMark/>
          </w:tcPr>
          <w:p w14:paraId="51E55A29" w14:textId="77777777" w:rsidR="00000000" w:rsidRDefault="0053651E">
            <w:pPr>
              <w:jc w:val="right"/>
              <w:rPr>
                <w:rFonts w:eastAsia="Times New Roman"/>
                <w:sz w:val="16"/>
                <w:szCs w:val="16"/>
              </w:rPr>
            </w:pPr>
            <w:r>
              <w:rPr>
                <w:rFonts w:eastAsia="Times New Roman"/>
                <w:sz w:val="16"/>
                <w:szCs w:val="16"/>
              </w:rPr>
              <w:t>22,711,189</w:t>
            </w:r>
          </w:p>
        </w:tc>
        <w:tc>
          <w:tcPr>
            <w:tcW w:w="450" w:type="pct"/>
            <w:shd w:val="clear" w:color="auto" w:fill="FFFFFF"/>
            <w:vAlign w:val="bottom"/>
            <w:hideMark/>
          </w:tcPr>
          <w:p w14:paraId="66C0AE8F" w14:textId="77777777" w:rsidR="00000000" w:rsidRDefault="0053651E">
            <w:pPr>
              <w:jc w:val="right"/>
              <w:rPr>
                <w:rFonts w:eastAsia="Times New Roman"/>
                <w:sz w:val="16"/>
                <w:szCs w:val="16"/>
              </w:rPr>
            </w:pPr>
            <w:r>
              <w:rPr>
                <w:rFonts w:eastAsia="Times New Roman"/>
                <w:sz w:val="16"/>
                <w:szCs w:val="16"/>
              </w:rPr>
              <w:t>110,440,247</w:t>
            </w:r>
          </w:p>
        </w:tc>
        <w:tc>
          <w:tcPr>
            <w:tcW w:w="350" w:type="pct"/>
            <w:shd w:val="clear" w:color="auto" w:fill="FFFFFF"/>
            <w:vAlign w:val="bottom"/>
            <w:hideMark/>
          </w:tcPr>
          <w:p w14:paraId="08F591B9" w14:textId="77777777" w:rsidR="00000000" w:rsidRDefault="0053651E">
            <w:pPr>
              <w:jc w:val="right"/>
              <w:rPr>
                <w:rFonts w:eastAsia="Times New Roman"/>
                <w:sz w:val="16"/>
                <w:szCs w:val="16"/>
              </w:rPr>
            </w:pPr>
            <w:r>
              <w:rPr>
                <w:rFonts w:eastAsia="Times New Roman"/>
                <w:sz w:val="16"/>
                <w:szCs w:val="16"/>
              </w:rPr>
              <w:t>133,151,436</w:t>
            </w:r>
          </w:p>
        </w:tc>
        <w:tc>
          <w:tcPr>
            <w:tcW w:w="400" w:type="pct"/>
            <w:shd w:val="clear" w:color="auto" w:fill="FFFFFF"/>
            <w:vAlign w:val="bottom"/>
            <w:hideMark/>
          </w:tcPr>
          <w:p w14:paraId="4FE41DA7" w14:textId="77777777" w:rsidR="00000000" w:rsidRDefault="0053651E">
            <w:pPr>
              <w:jc w:val="right"/>
              <w:rPr>
                <w:rFonts w:eastAsia="Times New Roman"/>
                <w:sz w:val="16"/>
                <w:szCs w:val="16"/>
              </w:rPr>
            </w:pPr>
            <w:r>
              <w:rPr>
                <w:rFonts w:eastAsia="Times New Roman"/>
                <w:sz w:val="16"/>
                <w:szCs w:val="16"/>
              </w:rPr>
              <w:t>19,869,415</w:t>
            </w:r>
          </w:p>
        </w:tc>
        <w:tc>
          <w:tcPr>
            <w:tcW w:w="50" w:type="pct"/>
            <w:shd w:val="clear" w:color="auto" w:fill="FFFFFF"/>
            <w:vAlign w:val="bottom"/>
            <w:hideMark/>
          </w:tcPr>
          <w:p w14:paraId="7D52796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007D67B" w14:textId="77777777" w:rsidR="00000000" w:rsidRDefault="0053651E">
            <w:pPr>
              <w:jc w:val="right"/>
              <w:rPr>
                <w:rFonts w:eastAsia="Times New Roman"/>
                <w:sz w:val="16"/>
                <w:szCs w:val="16"/>
              </w:rPr>
            </w:pPr>
            <w:r>
              <w:rPr>
                <w:rFonts w:eastAsia="Times New Roman"/>
                <w:sz w:val="16"/>
                <w:szCs w:val="16"/>
              </w:rPr>
              <w:t>113,282,021</w:t>
            </w:r>
          </w:p>
        </w:tc>
        <w:tc>
          <w:tcPr>
            <w:tcW w:w="50" w:type="pct"/>
            <w:shd w:val="clear" w:color="auto" w:fill="FFFFFF"/>
            <w:vAlign w:val="bottom"/>
            <w:hideMark/>
          </w:tcPr>
          <w:p w14:paraId="27BC0EE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49505D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40EEDD8"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C3F3309" w14:textId="77777777">
        <w:trPr>
          <w:tblCellSpacing w:w="0" w:type="dxa"/>
        </w:trPr>
        <w:tc>
          <w:tcPr>
            <w:tcW w:w="50" w:type="pct"/>
            <w:shd w:val="clear" w:color="auto" w:fill="CCEEFF"/>
            <w:vAlign w:val="bottom"/>
            <w:hideMark/>
          </w:tcPr>
          <w:p w14:paraId="4196A54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B501679" w14:textId="77777777" w:rsidR="00000000" w:rsidRDefault="0053651E">
            <w:pPr>
              <w:pStyle w:val="a3"/>
              <w:spacing w:before="0" w:beforeAutospacing="0" w:after="0" w:afterAutospacing="0"/>
              <w:rPr>
                <w:sz w:val="16"/>
                <w:szCs w:val="16"/>
              </w:rPr>
            </w:pPr>
            <w:r>
              <w:rPr>
                <w:sz w:val="16"/>
                <w:szCs w:val="16"/>
              </w:rPr>
              <w:t>KISSENA BOULEVARD SHOPPING CTR</w:t>
            </w:r>
          </w:p>
        </w:tc>
        <w:tc>
          <w:tcPr>
            <w:tcW w:w="150" w:type="pct"/>
            <w:shd w:val="clear" w:color="auto" w:fill="CCEEFF"/>
            <w:vAlign w:val="bottom"/>
            <w:hideMark/>
          </w:tcPr>
          <w:p w14:paraId="5A7AECD5"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38DC8F28" w14:textId="77777777" w:rsidR="00000000" w:rsidRDefault="0053651E">
            <w:pPr>
              <w:jc w:val="right"/>
              <w:rPr>
                <w:rFonts w:eastAsia="Times New Roman"/>
                <w:sz w:val="16"/>
                <w:szCs w:val="16"/>
              </w:rPr>
            </w:pPr>
            <w:r>
              <w:rPr>
                <w:rFonts w:eastAsia="Times New Roman"/>
                <w:sz w:val="16"/>
                <w:szCs w:val="16"/>
              </w:rPr>
              <w:t>11,610,000</w:t>
            </w:r>
          </w:p>
        </w:tc>
        <w:tc>
          <w:tcPr>
            <w:tcW w:w="550" w:type="pct"/>
            <w:shd w:val="clear" w:color="auto" w:fill="CCEEFF"/>
            <w:vAlign w:val="bottom"/>
            <w:hideMark/>
          </w:tcPr>
          <w:p w14:paraId="006CBAF7" w14:textId="77777777" w:rsidR="00000000" w:rsidRDefault="0053651E">
            <w:pPr>
              <w:jc w:val="right"/>
              <w:rPr>
                <w:rFonts w:eastAsia="Times New Roman"/>
                <w:sz w:val="16"/>
                <w:szCs w:val="16"/>
              </w:rPr>
            </w:pPr>
            <w:r>
              <w:rPr>
                <w:rFonts w:eastAsia="Times New Roman"/>
                <w:sz w:val="16"/>
                <w:szCs w:val="16"/>
              </w:rPr>
              <w:t>2,933,487</w:t>
            </w:r>
          </w:p>
        </w:tc>
        <w:tc>
          <w:tcPr>
            <w:tcW w:w="350" w:type="pct"/>
            <w:shd w:val="clear" w:color="auto" w:fill="CCEEFF"/>
            <w:vAlign w:val="bottom"/>
            <w:hideMark/>
          </w:tcPr>
          <w:p w14:paraId="664D4981" w14:textId="77777777" w:rsidR="00000000" w:rsidRDefault="0053651E">
            <w:pPr>
              <w:jc w:val="right"/>
              <w:rPr>
                <w:rFonts w:eastAsia="Times New Roman"/>
                <w:sz w:val="16"/>
                <w:szCs w:val="16"/>
              </w:rPr>
            </w:pPr>
            <w:r>
              <w:rPr>
                <w:rFonts w:eastAsia="Times New Roman"/>
                <w:sz w:val="16"/>
                <w:szCs w:val="16"/>
              </w:rPr>
              <w:t>1,333,988</w:t>
            </w:r>
          </w:p>
        </w:tc>
        <w:tc>
          <w:tcPr>
            <w:tcW w:w="300" w:type="pct"/>
            <w:shd w:val="clear" w:color="auto" w:fill="CCEEFF"/>
            <w:vAlign w:val="bottom"/>
            <w:hideMark/>
          </w:tcPr>
          <w:p w14:paraId="3E09C769" w14:textId="77777777" w:rsidR="00000000" w:rsidRDefault="0053651E">
            <w:pPr>
              <w:jc w:val="right"/>
              <w:rPr>
                <w:rFonts w:eastAsia="Times New Roman"/>
                <w:sz w:val="16"/>
                <w:szCs w:val="16"/>
              </w:rPr>
            </w:pPr>
            <w:r>
              <w:rPr>
                <w:rFonts w:eastAsia="Times New Roman"/>
                <w:sz w:val="16"/>
                <w:szCs w:val="16"/>
              </w:rPr>
              <w:t>11,610,000</w:t>
            </w:r>
          </w:p>
        </w:tc>
        <w:tc>
          <w:tcPr>
            <w:tcW w:w="450" w:type="pct"/>
            <w:shd w:val="clear" w:color="auto" w:fill="CCEEFF"/>
            <w:vAlign w:val="bottom"/>
            <w:hideMark/>
          </w:tcPr>
          <w:p w14:paraId="1833DB84" w14:textId="77777777" w:rsidR="00000000" w:rsidRDefault="0053651E">
            <w:pPr>
              <w:jc w:val="right"/>
              <w:rPr>
                <w:rFonts w:eastAsia="Times New Roman"/>
                <w:sz w:val="16"/>
                <w:szCs w:val="16"/>
              </w:rPr>
            </w:pPr>
            <w:r>
              <w:rPr>
                <w:rFonts w:eastAsia="Times New Roman"/>
                <w:sz w:val="16"/>
                <w:szCs w:val="16"/>
              </w:rPr>
              <w:t>4,267,475</w:t>
            </w:r>
          </w:p>
        </w:tc>
        <w:tc>
          <w:tcPr>
            <w:tcW w:w="350" w:type="pct"/>
            <w:shd w:val="clear" w:color="auto" w:fill="CCEEFF"/>
            <w:vAlign w:val="bottom"/>
            <w:hideMark/>
          </w:tcPr>
          <w:p w14:paraId="18791EAA" w14:textId="77777777" w:rsidR="00000000" w:rsidRDefault="0053651E">
            <w:pPr>
              <w:jc w:val="right"/>
              <w:rPr>
                <w:rFonts w:eastAsia="Times New Roman"/>
                <w:sz w:val="16"/>
                <w:szCs w:val="16"/>
              </w:rPr>
            </w:pPr>
            <w:r>
              <w:rPr>
                <w:rFonts w:eastAsia="Times New Roman"/>
                <w:sz w:val="16"/>
                <w:szCs w:val="16"/>
              </w:rPr>
              <w:t>15,877,475</w:t>
            </w:r>
          </w:p>
        </w:tc>
        <w:tc>
          <w:tcPr>
            <w:tcW w:w="400" w:type="pct"/>
            <w:shd w:val="clear" w:color="auto" w:fill="CCEEFF"/>
            <w:vAlign w:val="bottom"/>
            <w:hideMark/>
          </w:tcPr>
          <w:p w14:paraId="799A0CB6" w14:textId="77777777" w:rsidR="00000000" w:rsidRDefault="0053651E">
            <w:pPr>
              <w:jc w:val="right"/>
              <w:rPr>
                <w:rFonts w:eastAsia="Times New Roman"/>
                <w:sz w:val="16"/>
                <w:szCs w:val="16"/>
              </w:rPr>
            </w:pPr>
            <w:r>
              <w:rPr>
                <w:rFonts w:eastAsia="Times New Roman"/>
                <w:sz w:val="16"/>
                <w:szCs w:val="16"/>
              </w:rPr>
              <w:t>1,172,285</w:t>
            </w:r>
          </w:p>
        </w:tc>
        <w:tc>
          <w:tcPr>
            <w:tcW w:w="50" w:type="pct"/>
            <w:shd w:val="clear" w:color="auto" w:fill="CCEEFF"/>
            <w:vAlign w:val="bottom"/>
            <w:hideMark/>
          </w:tcPr>
          <w:p w14:paraId="25E6A1B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BD6F693" w14:textId="77777777" w:rsidR="00000000" w:rsidRDefault="0053651E">
            <w:pPr>
              <w:jc w:val="right"/>
              <w:rPr>
                <w:rFonts w:eastAsia="Times New Roman"/>
                <w:sz w:val="16"/>
                <w:szCs w:val="16"/>
              </w:rPr>
            </w:pPr>
            <w:r>
              <w:rPr>
                <w:rFonts w:eastAsia="Times New Roman"/>
                <w:sz w:val="16"/>
                <w:szCs w:val="16"/>
              </w:rPr>
              <w:t>14,705,190</w:t>
            </w:r>
          </w:p>
        </w:tc>
        <w:tc>
          <w:tcPr>
            <w:tcW w:w="50" w:type="pct"/>
            <w:shd w:val="clear" w:color="auto" w:fill="CCEEFF"/>
            <w:vAlign w:val="bottom"/>
            <w:hideMark/>
          </w:tcPr>
          <w:p w14:paraId="20BE1A0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7F85F7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E7366E5"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20F8C2E6" w14:textId="77777777">
        <w:trPr>
          <w:tblCellSpacing w:w="0" w:type="dxa"/>
        </w:trPr>
        <w:tc>
          <w:tcPr>
            <w:tcW w:w="50" w:type="pct"/>
            <w:shd w:val="clear" w:color="auto" w:fill="FFFFFF"/>
            <w:vAlign w:val="bottom"/>
            <w:hideMark/>
          </w:tcPr>
          <w:p w14:paraId="5F95C3E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F8A24E8" w14:textId="77777777" w:rsidR="00000000" w:rsidRDefault="0053651E">
            <w:pPr>
              <w:pStyle w:val="a3"/>
              <w:spacing w:before="0" w:beforeAutospacing="0" w:after="0" w:afterAutospacing="0"/>
              <w:rPr>
                <w:sz w:val="16"/>
                <w:szCs w:val="16"/>
              </w:rPr>
            </w:pPr>
            <w:r>
              <w:rPr>
                <w:sz w:val="16"/>
                <w:szCs w:val="16"/>
              </w:rPr>
              <w:t>HAMPTON BAYS PLAZA</w:t>
            </w:r>
          </w:p>
        </w:tc>
        <w:tc>
          <w:tcPr>
            <w:tcW w:w="150" w:type="pct"/>
            <w:shd w:val="clear" w:color="auto" w:fill="FFFFFF"/>
            <w:vAlign w:val="bottom"/>
            <w:hideMark/>
          </w:tcPr>
          <w:p w14:paraId="41B68889"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12A0C8B6" w14:textId="77777777" w:rsidR="00000000" w:rsidRDefault="0053651E">
            <w:pPr>
              <w:jc w:val="right"/>
              <w:rPr>
                <w:rFonts w:eastAsia="Times New Roman"/>
                <w:sz w:val="16"/>
                <w:szCs w:val="16"/>
              </w:rPr>
            </w:pPr>
            <w:r>
              <w:rPr>
                <w:rFonts w:eastAsia="Times New Roman"/>
                <w:sz w:val="16"/>
                <w:szCs w:val="16"/>
              </w:rPr>
              <w:t>1,495,105</w:t>
            </w:r>
          </w:p>
        </w:tc>
        <w:tc>
          <w:tcPr>
            <w:tcW w:w="550" w:type="pct"/>
            <w:shd w:val="clear" w:color="auto" w:fill="FFFFFF"/>
            <w:vAlign w:val="bottom"/>
            <w:hideMark/>
          </w:tcPr>
          <w:p w14:paraId="3D40B8E5" w14:textId="77777777" w:rsidR="00000000" w:rsidRDefault="0053651E">
            <w:pPr>
              <w:jc w:val="right"/>
              <w:rPr>
                <w:rFonts w:eastAsia="Times New Roman"/>
                <w:sz w:val="16"/>
                <w:szCs w:val="16"/>
              </w:rPr>
            </w:pPr>
            <w:r>
              <w:rPr>
                <w:rFonts w:eastAsia="Times New Roman"/>
                <w:sz w:val="16"/>
                <w:szCs w:val="16"/>
              </w:rPr>
              <w:t>5,979,320</w:t>
            </w:r>
          </w:p>
        </w:tc>
        <w:tc>
          <w:tcPr>
            <w:tcW w:w="350" w:type="pct"/>
            <w:shd w:val="clear" w:color="auto" w:fill="FFFFFF"/>
            <w:vAlign w:val="bottom"/>
            <w:hideMark/>
          </w:tcPr>
          <w:p w14:paraId="77020DAB" w14:textId="77777777" w:rsidR="00000000" w:rsidRDefault="0053651E">
            <w:pPr>
              <w:jc w:val="right"/>
              <w:rPr>
                <w:rFonts w:eastAsia="Times New Roman"/>
                <w:sz w:val="16"/>
                <w:szCs w:val="16"/>
              </w:rPr>
            </w:pPr>
            <w:r>
              <w:rPr>
                <w:rFonts w:eastAsia="Times New Roman"/>
                <w:sz w:val="16"/>
                <w:szCs w:val="16"/>
              </w:rPr>
              <w:t>3,369,604</w:t>
            </w:r>
          </w:p>
        </w:tc>
        <w:tc>
          <w:tcPr>
            <w:tcW w:w="300" w:type="pct"/>
            <w:shd w:val="clear" w:color="auto" w:fill="FFFFFF"/>
            <w:vAlign w:val="bottom"/>
            <w:hideMark/>
          </w:tcPr>
          <w:p w14:paraId="24D34937" w14:textId="77777777" w:rsidR="00000000" w:rsidRDefault="0053651E">
            <w:pPr>
              <w:jc w:val="right"/>
              <w:rPr>
                <w:rFonts w:eastAsia="Times New Roman"/>
                <w:sz w:val="16"/>
                <w:szCs w:val="16"/>
              </w:rPr>
            </w:pPr>
            <w:r>
              <w:rPr>
                <w:rFonts w:eastAsia="Times New Roman"/>
                <w:sz w:val="16"/>
                <w:szCs w:val="16"/>
              </w:rPr>
              <w:t>1,495,105</w:t>
            </w:r>
          </w:p>
        </w:tc>
        <w:tc>
          <w:tcPr>
            <w:tcW w:w="450" w:type="pct"/>
            <w:shd w:val="clear" w:color="auto" w:fill="FFFFFF"/>
            <w:vAlign w:val="bottom"/>
            <w:hideMark/>
          </w:tcPr>
          <w:p w14:paraId="58AC92A1" w14:textId="77777777" w:rsidR="00000000" w:rsidRDefault="0053651E">
            <w:pPr>
              <w:jc w:val="right"/>
              <w:rPr>
                <w:rFonts w:eastAsia="Times New Roman"/>
                <w:sz w:val="16"/>
                <w:szCs w:val="16"/>
              </w:rPr>
            </w:pPr>
            <w:r>
              <w:rPr>
                <w:rFonts w:eastAsia="Times New Roman"/>
                <w:sz w:val="16"/>
                <w:szCs w:val="16"/>
              </w:rPr>
              <w:t>9,348,924</w:t>
            </w:r>
          </w:p>
        </w:tc>
        <w:tc>
          <w:tcPr>
            <w:tcW w:w="350" w:type="pct"/>
            <w:shd w:val="clear" w:color="auto" w:fill="FFFFFF"/>
            <w:vAlign w:val="bottom"/>
            <w:hideMark/>
          </w:tcPr>
          <w:p w14:paraId="6F82078C" w14:textId="77777777" w:rsidR="00000000" w:rsidRDefault="0053651E">
            <w:pPr>
              <w:jc w:val="right"/>
              <w:rPr>
                <w:rFonts w:eastAsia="Times New Roman"/>
                <w:sz w:val="16"/>
                <w:szCs w:val="16"/>
              </w:rPr>
            </w:pPr>
            <w:r>
              <w:rPr>
                <w:rFonts w:eastAsia="Times New Roman"/>
                <w:sz w:val="16"/>
                <w:szCs w:val="16"/>
              </w:rPr>
              <w:t>10,844,029</w:t>
            </w:r>
          </w:p>
        </w:tc>
        <w:tc>
          <w:tcPr>
            <w:tcW w:w="400" w:type="pct"/>
            <w:shd w:val="clear" w:color="auto" w:fill="FFFFFF"/>
            <w:vAlign w:val="bottom"/>
            <w:hideMark/>
          </w:tcPr>
          <w:p w14:paraId="6A6876A0" w14:textId="77777777" w:rsidR="00000000" w:rsidRDefault="0053651E">
            <w:pPr>
              <w:jc w:val="right"/>
              <w:rPr>
                <w:rFonts w:eastAsia="Times New Roman"/>
                <w:sz w:val="16"/>
                <w:szCs w:val="16"/>
              </w:rPr>
            </w:pPr>
            <w:r>
              <w:rPr>
                <w:rFonts w:eastAsia="Times New Roman"/>
                <w:sz w:val="16"/>
                <w:szCs w:val="16"/>
              </w:rPr>
              <w:t>7,953,033</w:t>
            </w:r>
          </w:p>
        </w:tc>
        <w:tc>
          <w:tcPr>
            <w:tcW w:w="50" w:type="pct"/>
            <w:shd w:val="clear" w:color="auto" w:fill="FFFFFF"/>
            <w:vAlign w:val="bottom"/>
            <w:hideMark/>
          </w:tcPr>
          <w:p w14:paraId="449BC03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62949D5" w14:textId="77777777" w:rsidR="00000000" w:rsidRDefault="0053651E">
            <w:pPr>
              <w:jc w:val="right"/>
              <w:rPr>
                <w:rFonts w:eastAsia="Times New Roman"/>
                <w:sz w:val="16"/>
                <w:szCs w:val="16"/>
              </w:rPr>
            </w:pPr>
            <w:r>
              <w:rPr>
                <w:rFonts w:eastAsia="Times New Roman"/>
                <w:sz w:val="16"/>
                <w:szCs w:val="16"/>
              </w:rPr>
              <w:t>2,890,996</w:t>
            </w:r>
          </w:p>
        </w:tc>
        <w:tc>
          <w:tcPr>
            <w:tcW w:w="50" w:type="pct"/>
            <w:shd w:val="clear" w:color="auto" w:fill="FFFFFF"/>
            <w:vAlign w:val="bottom"/>
            <w:hideMark/>
          </w:tcPr>
          <w:p w14:paraId="19023A0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57933F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5CAD276" w14:textId="77777777" w:rsidR="00000000" w:rsidRDefault="0053651E">
            <w:pPr>
              <w:pStyle w:val="a3"/>
              <w:spacing w:before="0" w:beforeAutospacing="0" w:after="0" w:afterAutospacing="0"/>
              <w:jc w:val="center"/>
              <w:rPr>
                <w:sz w:val="16"/>
                <w:szCs w:val="16"/>
              </w:rPr>
            </w:pPr>
            <w:r>
              <w:rPr>
                <w:rStyle w:val="a6"/>
                <w:i w:val="0"/>
                <w:iCs w:val="0"/>
                <w:sz w:val="16"/>
                <w:szCs w:val="16"/>
              </w:rPr>
              <w:t>1989(A)</w:t>
            </w:r>
          </w:p>
        </w:tc>
      </w:tr>
      <w:tr w:rsidR="00000000" w14:paraId="5D323A42" w14:textId="77777777">
        <w:trPr>
          <w:tblCellSpacing w:w="0" w:type="dxa"/>
        </w:trPr>
        <w:tc>
          <w:tcPr>
            <w:tcW w:w="50" w:type="pct"/>
            <w:shd w:val="clear" w:color="auto" w:fill="CCEEFF"/>
            <w:vAlign w:val="bottom"/>
            <w:hideMark/>
          </w:tcPr>
          <w:p w14:paraId="0259B6B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6C3570F" w14:textId="77777777" w:rsidR="00000000" w:rsidRDefault="0053651E">
            <w:pPr>
              <w:pStyle w:val="a3"/>
              <w:spacing w:before="0" w:beforeAutospacing="0" w:after="0" w:afterAutospacing="0"/>
              <w:rPr>
                <w:sz w:val="16"/>
                <w:szCs w:val="16"/>
              </w:rPr>
            </w:pPr>
            <w:r>
              <w:rPr>
                <w:sz w:val="16"/>
                <w:szCs w:val="16"/>
              </w:rPr>
              <w:t>HICKSVILLE PLAZA</w:t>
            </w:r>
          </w:p>
        </w:tc>
        <w:tc>
          <w:tcPr>
            <w:tcW w:w="150" w:type="pct"/>
            <w:shd w:val="clear" w:color="auto" w:fill="CCEEFF"/>
            <w:vAlign w:val="bottom"/>
            <w:hideMark/>
          </w:tcPr>
          <w:p w14:paraId="4EEFA65A"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5ACDBB9C" w14:textId="77777777" w:rsidR="00000000" w:rsidRDefault="0053651E">
            <w:pPr>
              <w:jc w:val="right"/>
              <w:rPr>
                <w:rFonts w:eastAsia="Times New Roman"/>
                <w:sz w:val="16"/>
                <w:szCs w:val="16"/>
              </w:rPr>
            </w:pPr>
            <w:r>
              <w:rPr>
                <w:rFonts w:eastAsia="Times New Roman"/>
                <w:sz w:val="16"/>
                <w:szCs w:val="16"/>
              </w:rPr>
              <w:t>3,542,739</w:t>
            </w:r>
          </w:p>
        </w:tc>
        <w:tc>
          <w:tcPr>
            <w:tcW w:w="550" w:type="pct"/>
            <w:shd w:val="clear" w:color="auto" w:fill="CCEEFF"/>
            <w:vAlign w:val="bottom"/>
            <w:hideMark/>
          </w:tcPr>
          <w:p w14:paraId="21A3459C" w14:textId="77777777" w:rsidR="00000000" w:rsidRDefault="0053651E">
            <w:pPr>
              <w:jc w:val="right"/>
              <w:rPr>
                <w:rFonts w:eastAsia="Times New Roman"/>
                <w:sz w:val="16"/>
                <w:szCs w:val="16"/>
              </w:rPr>
            </w:pPr>
            <w:r>
              <w:rPr>
                <w:rFonts w:eastAsia="Times New Roman"/>
                <w:sz w:val="16"/>
                <w:szCs w:val="16"/>
              </w:rPr>
              <w:t>8,266,375</w:t>
            </w:r>
          </w:p>
        </w:tc>
        <w:tc>
          <w:tcPr>
            <w:tcW w:w="350" w:type="pct"/>
            <w:shd w:val="clear" w:color="auto" w:fill="CCEEFF"/>
            <w:vAlign w:val="bottom"/>
            <w:hideMark/>
          </w:tcPr>
          <w:p w14:paraId="0FB247C5" w14:textId="77777777" w:rsidR="00000000" w:rsidRDefault="0053651E">
            <w:pPr>
              <w:jc w:val="right"/>
              <w:rPr>
                <w:rFonts w:eastAsia="Times New Roman"/>
                <w:sz w:val="16"/>
                <w:szCs w:val="16"/>
              </w:rPr>
            </w:pPr>
            <w:r>
              <w:rPr>
                <w:rFonts w:eastAsia="Times New Roman"/>
                <w:sz w:val="16"/>
                <w:szCs w:val="16"/>
              </w:rPr>
              <w:t>2,505,434</w:t>
            </w:r>
          </w:p>
        </w:tc>
        <w:tc>
          <w:tcPr>
            <w:tcW w:w="300" w:type="pct"/>
            <w:shd w:val="clear" w:color="auto" w:fill="CCEEFF"/>
            <w:vAlign w:val="bottom"/>
            <w:hideMark/>
          </w:tcPr>
          <w:p w14:paraId="4577F8BA" w14:textId="77777777" w:rsidR="00000000" w:rsidRDefault="0053651E">
            <w:pPr>
              <w:jc w:val="right"/>
              <w:rPr>
                <w:rFonts w:eastAsia="Times New Roman"/>
                <w:sz w:val="16"/>
                <w:szCs w:val="16"/>
              </w:rPr>
            </w:pPr>
            <w:r>
              <w:rPr>
                <w:rFonts w:eastAsia="Times New Roman"/>
                <w:sz w:val="16"/>
                <w:szCs w:val="16"/>
              </w:rPr>
              <w:t>3,542,739</w:t>
            </w:r>
          </w:p>
        </w:tc>
        <w:tc>
          <w:tcPr>
            <w:tcW w:w="450" w:type="pct"/>
            <w:shd w:val="clear" w:color="auto" w:fill="CCEEFF"/>
            <w:vAlign w:val="bottom"/>
            <w:hideMark/>
          </w:tcPr>
          <w:p w14:paraId="268DDF33" w14:textId="77777777" w:rsidR="00000000" w:rsidRDefault="0053651E">
            <w:pPr>
              <w:jc w:val="right"/>
              <w:rPr>
                <w:rFonts w:eastAsia="Times New Roman"/>
                <w:sz w:val="16"/>
                <w:szCs w:val="16"/>
              </w:rPr>
            </w:pPr>
            <w:r>
              <w:rPr>
                <w:rFonts w:eastAsia="Times New Roman"/>
                <w:sz w:val="16"/>
                <w:szCs w:val="16"/>
              </w:rPr>
              <w:t>10,771,809</w:t>
            </w:r>
          </w:p>
        </w:tc>
        <w:tc>
          <w:tcPr>
            <w:tcW w:w="350" w:type="pct"/>
            <w:shd w:val="clear" w:color="auto" w:fill="CCEEFF"/>
            <w:vAlign w:val="bottom"/>
            <w:hideMark/>
          </w:tcPr>
          <w:p w14:paraId="2BB86306" w14:textId="77777777" w:rsidR="00000000" w:rsidRDefault="0053651E">
            <w:pPr>
              <w:jc w:val="right"/>
              <w:rPr>
                <w:rFonts w:eastAsia="Times New Roman"/>
                <w:sz w:val="16"/>
                <w:szCs w:val="16"/>
              </w:rPr>
            </w:pPr>
            <w:r>
              <w:rPr>
                <w:rFonts w:eastAsia="Times New Roman"/>
                <w:sz w:val="16"/>
                <w:szCs w:val="16"/>
              </w:rPr>
              <w:t>14,314,548</w:t>
            </w:r>
          </w:p>
        </w:tc>
        <w:tc>
          <w:tcPr>
            <w:tcW w:w="400" w:type="pct"/>
            <w:shd w:val="clear" w:color="auto" w:fill="CCEEFF"/>
            <w:vAlign w:val="bottom"/>
            <w:hideMark/>
          </w:tcPr>
          <w:p w14:paraId="5BBB9932" w14:textId="77777777" w:rsidR="00000000" w:rsidRDefault="0053651E">
            <w:pPr>
              <w:jc w:val="right"/>
              <w:rPr>
                <w:rFonts w:eastAsia="Times New Roman"/>
                <w:sz w:val="16"/>
                <w:szCs w:val="16"/>
              </w:rPr>
            </w:pPr>
            <w:r>
              <w:rPr>
                <w:rFonts w:eastAsia="Times New Roman"/>
                <w:sz w:val="16"/>
                <w:szCs w:val="16"/>
              </w:rPr>
              <w:t>4,005,114</w:t>
            </w:r>
          </w:p>
        </w:tc>
        <w:tc>
          <w:tcPr>
            <w:tcW w:w="50" w:type="pct"/>
            <w:shd w:val="clear" w:color="auto" w:fill="CCEEFF"/>
            <w:vAlign w:val="bottom"/>
            <w:hideMark/>
          </w:tcPr>
          <w:p w14:paraId="46F0FFF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6985051" w14:textId="77777777" w:rsidR="00000000" w:rsidRDefault="0053651E">
            <w:pPr>
              <w:jc w:val="right"/>
              <w:rPr>
                <w:rFonts w:eastAsia="Times New Roman"/>
                <w:sz w:val="16"/>
                <w:szCs w:val="16"/>
              </w:rPr>
            </w:pPr>
            <w:r>
              <w:rPr>
                <w:rFonts w:eastAsia="Times New Roman"/>
                <w:sz w:val="16"/>
                <w:szCs w:val="16"/>
              </w:rPr>
              <w:t>10,309,434</w:t>
            </w:r>
          </w:p>
        </w:tc>
        <w:tc>
          <w:tcPr>
            <w:tcW w:w="50" w:type="pct"/>
            <w:shd w:val="clear" w:color="auto" w:fill="CCEEFF"/>
            <w:vAlign w:val="bottom"/>
            <w:hideMark/>
          </w:tcPr>
          <w:p w14:paraId="3C4E05F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848E7E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FF60BDF"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7D623518" w14:textId="77777777">
        <w:trPr>
          <w:tblCellSpacing w:w="0" w:type="dxa"/>
        </w:trPr>
        <w:tc>
          <w:tcPr>
            <w:tcW w:w="50" w:type="pct"/>
            <w:shd w:val="clear" w:color="auto" w:fill="FFFFFF"/>
            <w:vAlign w:val="bottom"/>
            <w:hideMark/>
          </w:tcPr>
          <w:p w14:paraId="6AF1E46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CD4D308" w14:textId="77777777" w:rsidR="00000000" w:rsidRDefault="0053651E">
            <w:pPr>
              <w:pStyle w:val="a3"/>
              <w:spacing w:before="0" w:beforeAutospacing="0" w:after="0" w:afterAutospacing="0"/>
              <w:rPr>
                <w:sz w:val="16"/>
                <w:szCs w:val="16"/>
              </w:rPr>
            </w:pPr>
            <w:r>
              <w:rPr>
                <w:sz w:val="16"/>
                <w:szCs w:val="16"/>
              </w:rPr>
              <w:t>TURNPIKE PLAZA</w:t>
            </w:r>
          </w:p>
        </w:tc>
        <w:tc>
          <w:tcPr>
            <w:tcW w:w="150" w:type="pct"/>
            <w:shd w:val="clear" w:color="auto" w:fill="FFFFFF"/>
            <w:vAlign w:val="bottom"/>
            <w:hideMark/>
          </w:tcPr>
          <w:p w14:paraId="6BB0C4FA"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77819A4F" w14:textId="77777777" w:rsidR="00000000" w:rsidRDefault="0053651E">
            <w:pPr>
              <w:jc w:val="right"/>
              <w:rPr>
                <w:rFonts w:eastAsia="Times New Roman"/>
                <w:sz w:val="16"/>
                <w:szCs w:val="16"/>
              </w:rPr>
            </w:pPr>
            <w:r>
              <w:rPr>
                <w:rFonts w:eastAsia="Times New Roman"/>
                <w:sz w:val="16"/>
                <w:szCs w:val="16"/>
              </w:rPr>
              <w:t>2,471,832</w:t>
            </w:r>
          </w:p>
        </w:tc>
        <w:tc>
          <w:tcPr>
            <w:tcW w:w="550" w:type="pct"/>
            <w:shd w:val="clear" w:color="auto" w:fill="FFFFFF"/>
            <w:vAlign w:val="bottom"/>
            <w:hideMark/>
          </w:tcPr>
          <w:p w14:paraId="4209D3B1" w14:textId="77777777" w:rsidR="00000000" w:rsidRDefault="0053651E">
            <w:pPr>
              <w:jc w:val="right"/>
              <w:rPr>
                <w:rFonts w:eastAsia="Times New Roman"/>
                <w:sz w:val="16"/>
                <w:szCs w:val="16"/>
              </w:rPr>
            </w:pPr>
            <w:r>
              <w:rPr>
                <w:rFonts w:eastAsia="Times New Roman"/>
                <w:sz w:val="16"/>
                <w:szCs w:val="16"/>
              </w:rPr>
              <w:t>5,839,416</w:t>
            </w:r>
          </w:p>
        </w:tc>
        <w:tc>
          <w:tcPr>
            <w:tcW w:w="350" w:type="pct"/>
            <w:shd w:val="clear" w:color="auto" w:fill="FFFFFF"/>
            <w:vAlign w:val="bottom"/>
            <w:hideMark/>
          </w:tcPr>
          <w:p w14:paraId="0E0B050C" w14:textId="77777777" w:rsidR="00000000" w:rsidRDefault="0053651E">
            <w:pPr>
              <w:jc w:val="right"/>
              <w:rPr>
                <w:rFonts w:eastAsia="Times New Roman"/>
                <w:sz w:val="16"/>
                <w:szCs w:val="16"/>
              </w:rPr>
            </w:pPr>
            <w:r>
              <w:rPr>
                <w:rFonts w:eastAsia="Times New Roman"/>
                <w:sz w:val="16"/>
                <w:szCs w:val="16"/>
              </w:rPr>
              <w:t>809,085</w:t>
            </w:r>
          </w:p>
        </w:tc>
        <w:tc>
          <w:tcPr>
            <w:tcW w:w="300" w:type="pct"/>
            <w:shd w:val="clear" w:color="auto" w:fill="FFFFFF"/>
            <w:vAlign w:val="bottom"/>
            <w:hideMark/>
          </w:tcPr>
          <w:p w14:paraId="57CD455F" w14:textId="77777777" w:rsidR="00000000" w:rsidRDefault="0053651E">
            <w:pPr>
              <w:jc w:val="right"/>
              <w:rPr>
                <w:rFonts w:eastAsia="Times New Roman"/>
                <w:sz w:val="16"/>
                <w:szCs w:val="16"/>
              </w:rPr>
            </w:pPr>
            <w:r>
              <w:rPr>
                <w:rFonts w:eastAsia="Times New Roman"/>
                <w:sz w:val="16"/>
                <w:szCs w:val="16"/>
              </w:rPr>
              <w:t>2,471,832</w:t>
            </w:r>
          </w:p>
        </w:tc>
        <w:tc>
          <w:tcPr>
            <w:tcW w:w="450" w:type="pct"/>
            <w:shd w:val="clear" w:color="auto" w:fill="FFFFFF"/>
            <w:vAlign w:val="bottom"/>
            <w:hideMark/>
          </w:tcPr>
          <w:p w14:paraId="78EB2733" w14:textId="77777777" w:rsidR="00000000" w:rsidRDefault="0053651E">
            <w:pPr>
              <w:jc w:val="right"/>
              <w:rPr>
                <w:rFonts w:eastAsia="Times New Roman"/>
                <w:sz w:val="16"/>
                <w:szCs w:val="16"/>
              </w:rPr>
            </w:pPr>
            <w:r>
              <w:rPr>
                <w:rFonts w:eastAsia="Times New Roman"/>
                <w:sz w:val="16"/>
                <w:szCs w:val="16"/>
              </w:rPr>
              <w:t>6,648,501</w:t>
            </w:r>
          </w:p>
        </w:tc>
        <w:tc>
          <w:tcPr>
            <w:tcW w:w="350" w:type="pct"/>
            <w:shd w:val="clear" w:color="auto" w:fill="FFFFFF"/>
            <w:vAlign w:val="bottom"/>
            <w:hideMark/>
          </w:tcPr>
          <w:p w14:paraId="704BB9A0" w14:textId="77777777" w:rsidR="00000000" w:rsidRDefault="0053651E">
            <w:pPr>
              <w:jc w:val="right"/>
              <w:rPr>
                <w:rFonts w:eastAsia="Times New Roman"/>
                <w:sz w:val="16"/>
                <w:szCs w:val="16"/>
              </w:rPr>
            </w:pPr>
            <w:r>
              <w:rPr>
                <w:rFonts w:eastAsia="Times New Roman"/>
                <w:sz w:val="16"/>
                <w:szCs w:val="16"/>
              </w:rPr>
              <w:t>9,120,333</w:t>
            </w:r>
          </w:p>
        </w:tc>
        <w:tc>
          <w:tcPr>
            <w:tcW w:w="400" w:type="pct"/>
            <w:shd w:val="clear" w:color="auto" w:fill="FFFFFF"/>
            <w:vAlign w:val="bottom"/>
            <w:hideMark/>
          </w:tcPr>
          <w:p w14:paraId="241D10C2" w14:textId="77777777" w:rsidR="00000000" w:rsidRDefault="0053651E">
            <w:pPr>
              <w:jc w:val="right"/>
              <w:rPr>
                <w:rFonts w:eastAsia="Times New Roman"/>
                <w:sz w:val="16"/>
                <w:szCs w:val="16"/>
              </w:rPr>
            </w:pPr>
            <w:r>
              <w:rPr>
                <w:rFonts w:eastAsia="Times New Roman"/>
                <w:sz w:val="16"/>
                <w:szCs w:val="16"/>
              </w:rPr>
              <w:t>2,001,327</w:t>
            </w:r>
          </w:p>
        </w:tc>
        <w:tc>
          <w:tcPr>
            <w:tcW w:w="50" w:type="pct"/>
            <w:shd w:val="clear" w:color="auto" w:fill="FFFFFF"/>
            <w:vAlign w:val="bottom"/>
            <w:hideMark/>
          </w:tcPr>
          <w:p w14:paraId="0A18B00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025D64E" w14:textId="77777777" w:rsidR="00000000" w:rsidRDefault="0053651E">
            <w:pPr>
              <w:jc w:val="right"/>
              <w:rPr>
                <w:rFonts w:eastAsia="Times New Roman"/>
                <w:sz w:val="16"/>
                <w:szCs w:val="16"/>
              </w:rPr>
            </w:pPr>
            <w:r>
              <w:rPr>
                <w:rFonts w:eastAsia="Times New Roman"/>
                <w:sz w:val="16"/>
                <w:szCs w:val="16"/>
              </w:rPr>
              <w:t>7,119,006</w:t>
            </w:r>
          </w:p>
        </w:tc>
        <w:tc>
          <w:tcPr>
            <w:tcW w:w="50" w:type="pct"/>
            <w:shd w:val="clear" w:color="auto" w:fill="FFFFFF"/>
            <w:vAlign w:val="bottom"/>
            <w:hideMark/>
          </w:tcPr>
          <w:p w14:paraId="769B5F6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1A7D00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DE38B41"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4ECCF380" w14:textId="77777777">
        <w:trPr>
          <w:tblCellSpacing w:w="0" w:type="dxa"/>
        </w:trPr>
        <w:tc>
          <w:tcPr>
            <w:tcW w:w="50" w:type="pct"/>
            <w:shd w:val="clear" w:color="auto" w:fill="CCEEFF"/>
            <w:vAlign w:val="bottom"/>
            <w:hideMark/>
          </w:tcPr>
          <w:p w14:paraId="3B9BDCE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576FF4E" w14:textId="77777777" w:rsidR="00000000" w:rsidRDefault="0053651E">
            <w:pPr>
              <w:pStyle w:val="a3"/>
              <w:spacing w:before="0" w:beforeAutospacing="0" w:after="0" w:afterAutospacing="0"/>
              <w:rPr>
                <w:sz w:val="16"/>
                <w:szCs w:val="16"/>
              </w:rPr>
            </w:pPr>
            <w:r>
              <w:rPr>
                <w:sz w:val="16"/>
                <w:szCs w:val="16"/>
              </w:rPr>
              <w:t>JERICHO COMMONS SOUTH</w:t>
            </w:r>
          </w:p>
        </w:tc>
        <w:tc>
          <w:tcPr>
            <w:tcW w:w="150" w:type="pct"/>
            <w:shd w:val="clear" w:color="auto" w:fill="CCEEFF"/>
            <w:vAlign w:val="bottom"/>
            <w:hideMark/>
          </w:tcPr>
          <w:p w14:paraId="212D4EAC"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22FCF36" w14:textId="77777777" w:rsidR="00000000" w:rsidRDefault="0053651E">
            <w:pPr>
              <w:jc w:val="right"/>
              <w:rPr>
                <w:rFonts w:eastAsia="Times New Roman"/>
                <w:sz w:val="16"/>
                <w:szCs w:val="16"/>
              </w:rPr>
            </w:pPr>
            <w:r>
              <w:rPr>
                <w:rFonts w:eastAsia="Times New Roman"/>
                <w:sz w:val="16"/>
                <w:szCs w:val="16"/>
              </w:rPr>
              <w:t>12,368,330</w:t>
            </w:r>
          </w:p>
        </w:tc>
        <w:tc>
          <w:tcPr>
            <w:tcW w:w="550" w:type="pct"/>
            <w:shd w:val="clear" w:color="auto" w:fill="CCEEFF"/>
            <w:vAlign w:val="bottom"/>
            <w:hideMark/>
          </w:tcPr>
          <w:p w14:paraId="5F2D2355" w14:textId="77777777" w:rsidR="00000000" w:rsidRDefault="0053651E">
            <w:pPr>
              <w:jc w:val="right"/>
              <w:rPr>
                <w:rFonts w:eastAsia="Times New Roman"/>
                <w:sz w:val="16"/>
                <w:szCs w:val="16"/>
              </w:rPr>
            </w:pPr>
            <w:r>
              <w:rPr>
                <w:rFonts w:eastAsia="Times New Roman"/>
                <w:sz w:val="16"/>
                <w:szCs w:val="16"/>
              </w:rPr>
              <w:t>33,071,495</w:t>
            </w:r>
          </w:p>
        </w:tc>
        <w:tc>
          <w:tcPr>
            <w:tcW w:w="350" w:type="pct"/>
            <w:shd w:val="clear" w:color="auto" w:fill="CCEEFF"/>
            <w:vAlign w:val="bottom"/>
            <w:hideMark/>
          </w:tcPr>
          <w:p w14:paraId="61B1501D" w14:textId="77777777" w:rsidR="00000000" w:rsidRDefault="0053651E">
            <w:pPr>
              <w:jc w:val="right"/>
              <w:rPr>
                <w:rFonts w:eastAsia="Times New Roman"/>
                <w:sz w:val="16"/>
                <w:szCs w:val="16"/>
              </w:rPr>
            </w:pPr>
            <w:r>
              <w:rPr>
                <w:rFonts w:eastAsia="Times New Roman"/>
                <w:sz w:val="16"/>
                <w:szCs w:val="16"/>
              </w:rPr>
              <w:t>3,475,118</w:t>
            </w:r>
          </w:p>
        </w:tc>
        <w:tc>
          <w:tcPr>
            <w:tcW w:w="300" w:type="pct"/>
            <w:shd w:val="clear" w:color="auto" w:fill="CCEEFF"/>
            <w:vAlign w:val="bottom"/>
            <w:hideMark/>
          </w:tcPr>
          <w:p w14:paraId="6A5B5960" w14:textId="77777777" w:rsidR="00000000" w:rsidRDefault="0053651E">
            <w:pPr>
              <w:jc w:val="right"/>
              <w:rPr>
                <w:rFonts w:eastAsia="Times New Roman"/>
                <w:sz w:val="16"/>
                <w:szCs w:val="16"/>
              </w:rPr>
            </w:pPr>
            <w:r>
              <w:rPr>
                <w:rFonts w:eastAsia="Times New Roman"/>
                <w:sz w:val="16"/>
                <w:szCs w:val="16"/>
              </w:rPr>
              <w:t>12,368,330</w:t>
            </w:r>
          </w:p>
        </w:tc>
        <w:tc>
          <w:tcPr>
            <w:tcW w:w="450" w:type="pct"/>
            <w:shd w:val="clear" w:color="auto" w:fill="CCEEFF"/>
            <w:vAlign w:val="bottom"/>
            <w:hideMark/>
          </w:tcPr>
          <w:p w14:paraId="4D80A6D8" w14:textId="77777777" w:rsidR="00000000" w:rsidRDefault="0053651E">
            <w:pPr>
              <w:jc w:val="right"/>
              <w:rPr>
                <w:rFonts w:eastAsia="Times New Roman"/>
                <w:sz w:val="16"/>
                <w:szCs w:val="16"/>
              </w:rPr>
            </w:pPr>
            <w:r>
              <w:rPr>
                <w:rFonts w:eastAsia="Times New Roman"/>
                <w:sz w:val="16"/>
                <w:szCs w:val="16"/>
              </w:rPr>
              <w:t>36,546,613</w:t>
            </w:r>
          </w:p>
        </w:tc>
        <w:tc>
          <w:tcPr>
            <w:tcW w:w="350" w:type="pct"/>
            <w:shd w:val="clear" w:color="auto" w:fill="CCEEFF"/>
            <w:vAlign w:val="bottom"/>
            <w:hideMark/>
          </w:tcPr>
          <w:p w14:paraId="5B8D86AE" w14:textId="77777777" w:rsidR="00000000" w:rsidRDefault="0053651E">
            <w:pPr>
              <w:jc w:val="right"/>
              <w:rPr>
                <w:rFonts w:eastAsia="Times New Roman"/>
                <w:sz w:val="16"/>
                <w:szCs w:val="16"/>
              </w:rPr>
            </w:pPr>
            <w:r>
              <w:rPr>
                <w:rFonts w:eastAsia="Times New Roman"/>
                <w:sz w:val="16"/>
                <w:szCs w:val="16"/>
              </w:rPr>
              <w:t>48,914,943</w:t>
            </w:r>
          </w:p>
        </w:tc>
        <w:tc>
          <w:tcPr>
            <w:tcW w:w="400" w:type="pct"/>
            <w:shd w:val="clear" w:color="auto" w:fill="CCEEFF"/>
            <w:vAlign w:val="bottom"/>
            <w:hideMark/>
          </w:tcPr>
          <w:p w14:paraId="5F74B5B9" w14:textId="77777777" w:rsidR="00000000" w:rsidRDefault="0053651E">
            <w:pPr>
              <w:jc w:val="right"/>
              <w:rPr>
                <w:rFonts w:eastAsia="Times New Roman"/>
                <w:sz w:val="16"/>
                <w:szCs w:val="16"/>
              </w:rPr>
            </w:pPr>
            <w:r>
              <w:rPr>
                <w:rFonts w:eastAsia="Times New Roman"/>
                <w:sz w:val="16"/>
                <w:szCs w:val="16"/>
              </w:rPr>
              <w:t>12,776,532</w:t>
            </w:r>
          </w:p>
        </w:tc>
        <w:tc>
          <w:tcPr>
            <w:tcW w:w="50" w:type="pct"/>
            <w:shd w:val="clear" w:color="auto" w:fill="CCEEFF"/>
            <w:vAlign w:val="bottom"/>
            <w:hideMark/>
          </w:tcPr>
          <w:p w14:paraId="1B6C655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8792429" w14:textId="77777777" w:rsidR="00000000" w:rsidRDefault="0053651E">
            <w:pPr>
              <w:jc w:val="right"/>
              <w:rPr>
                <w:rFonts w:eastAsia="Times New Roman"/>
                <w:sz w:val="16"/>
                <w:szCs w:val="16"/>
              </w:rPr>
            </w:pPr>
            <w:r>
              <w:rPr>
                <w:rFonts w:eastAsia="Times New Roman"/>
                <w:sz w:val="16"/>
                <w:szCs w:val="16"/>
              </w:rPr>
              <w:t>36,138,411</w:t>
            </w:r>
          </w:p>
        </w:tc>
        <w:tc>
          <w:tcPr>
            <w:tcW w:w="50" w:type="pct"/>
            <w:shd w:val="clear" w:color="auto" w:fill="CCEEFF"/>
            <w:vAlign w:val="bottom"/>
            <w:hideMark/>
          </w:tcPr>
          <w:p w14:paraId="4A6CF30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0B49EAC" w14:textId="77777777" w:rsidR="00000000" w:rsidRDefault="0053651E">
            <w:pPr>
              <w:jc w:val="right"/>
              <w:rPr>
                <w:rFonts w:eastAsia="Times New Roman"/>
                <w:sz w:val="16"/>
                <w:szCs w:val="16"/>
              </w:rPr>
            </w:pPr>
            <w:r>
              <w:rPr>
                <w:rFonts w:eastAsia="Times New Roman"/>
                <w:sz w:val="16"/>
                <w:szCs w:val="16"/>
              </w:rPr>
              <w:t>5,984,769</w:t>
            </w:r>
          </w:p>
        </w:tc>
        <w:tc>
          <w:tcPr>
            <w:tcW w:w="500" w:type="pct"/>
            <w:shd w:val="clear" w:color="auto" w:fill="CCEEFF"/>
            <w:vAlign w:val="bottom"/>
            <w:hideMark/>
          </w:tcPr>
          <w:p w14:paraId="3C3816BC"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49AECFC1" w14:textId="77777777">
        <w:trPr>
          <w:tblCellSpacing w:w="0" w:type="dxa"/>
        </w:trPr>
        <w:tc>
          <w:tcPr>
            <w:tcW w:w="50" w:type="pct"/>
            <w:shd w:val="clear" w:color="auto" w:fill="FFFFFF"/>
            <w:vAlign w:val="bottom"/>
            <w:hideMark/>
          </w:tcPr>
          <w:p w14:paraId="27A6611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4E7CFA1" w14:textId="77777777" w:rsidR="00000000" w:rsidRDefault="0053651E">
            <w:pPr>
              <w:pStyle w:val="a3"/>
              <w:spacing w:before="0" w:beforeAutospacing="0" w:after="0" w:afterAutospacing="0"/>
              <w:rPr>
                <w:sz w:val="16"/>
                <w:szCs w:val="16"/>
              </w:rPr>
            </w:pPr>
            <w:r>
              <w:rPr>
                <w:sz w:val="16"/>
                <w:szCs w:val="16"/>
              </w:rPr>
              <w:t>501 NORTH BROADWAY</w:t>
            </w:r>
          </w:p>
        </w:tc>
        <w:tc>
          <w:tcPr>
            <w:tcW w:w="150" w:type="pct"/>
            <w:shd w:val="clear" w:color="auto" w:fill="FFFFFF"/>
            <w:vAlign w:val="bottom"/>
            <w:hideMark/>
          </w:tcPr>
          <w:p w14:paraId="3C151B45"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10C4005C"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4A4E782D" w14:textId="77777777" w:rsidR="00000000" w:rsidRDefault="0053651E">
            <w:pPr>
              <w:jc w:val="right"/>
              <w:rPr>
                <w:rFonts w:eastAsia="Times New Roman"/>
                <w:sz w:val="16"/>
                <w:szCs w:val="16"/>
              </w:rPr>
            </w:pPr>
            <w:r>
              <w:rPr>
                <w:rFonts w:eastAsia="Times New Roman"/>
                <w:sz w:val="16"/>
                <w:szCs w:val="16"/>
              </w:rPr>
              <w:t>1,175,543</w:t>
            </w:r>
          </w:p>
        </w:tc>
        <w:tc>
          <w:tcPr>
            <w:tcW w:w="350" w:type="pct"/>
            <w:shd w:val="clear" w:color="auto" w:fill="FFFFFF"/>
            <w:vAlign w:val="bottom"/>
            <w:hideMark/>
          </w:tcPr>
          <w:p w14:paraId="3F653D60" w14:textId="77777777" w:rsidR="00000000" w:rsidRDefault="0053651E">
            <w:pPr>
              <w:jc w:val="right"/>
              <w:rPr>
                <w:rFonts w:eastAsia="Times New Roman"/>
                <w:sz w:val="16"/>
                <w:szCs w:val="16"/>
              </w:rPr>
            </w:pPr>
            <w:r>
              <w:rPr>
                <w:rFonts w:eastAsia="Times New Roman"/>
                <w:sz w:val="16"/>
                <w:szCs w:val="16"/>
              </w:rPr>
              <w:t>(59,268)</w:t>
            </w:r>
          </w:p>
        </w:tc>
        <w:tc>
          <w:tcPr>
            <w:tcW w:w="300" w:type="pct"/>
            <w:shd w:val="clear" w:color="auto" w:fill="FFFFFF"/>
            <w:vAlign w:val="bottom"/>
            <w:hideMark/>
          </w:tcPr>
          <w:p w14:paraId="29F05C5A"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05139F52" w14:textId="77777777" w:rsidR="00000000" w:rsidRDefault="0053651E">
            <w:pPr>
              <w:jc w:val="right"/>
              <w:rPr>
                <w:rFonts w:eastAsia="Times New Roman"/>
                <w:sz w:val="16"/>
                <w:szCs w:val="16"/>
              </w:rPr>
            </w:pPr>
            <w:r>
              <w:rPr>
                <w:rFonts w:eastAsia="Times New Roman"/>
                <w:sz w:val="16"/>
                <w:szCs w:val="16"/>
              </w:rPr>
              <w:t>1,116,275</w:t>
            </w:r>
          </w:p>
        </w:tc>
        <w:tc>
          <w:tcPr>
            <w:tcW w:w="350" w:type="pct"/>
            <w:shd w:val="clear" w:color="auto" w:fill="FFFFFF"/>
            <w:vAlign w:val="bottom"/>
            <w:hideMark/>
          </w:tcPr>
          <w:p w14:paraId="5CD3D039" w14:textId="77777777" w:rsidR="00000000" w:rsidRDefault="0053651E">
            <w:pPr>
              <w:jc w:val="right"/>
              <w:rPr>
                <w:rFonts w:eastAsia="Times New Roman"/>
                <w:sz w:val="16"/>
                <w:szCs w:val="16"/>
              </w:rPr>
            </w:pPr>
            <w:r>
              <w:rPr>
                <w:rFonts w:eastAsia="Times New Roman"/>
                <w:sz w:val="16"/>
                <w:szCs w:val="16"/>
              </w:rPr>
              <w:t>1,116,275</w:t>
            </w:r>
          </w:p>
        </w:tc>
        <w:tc>
          <w:tcPr>
            <w:tcW w:w="400" w:type="pct"/>
            <w:shd w:val="clear" w:color="auto" w:fill="FFFFFF"/>
            <w:vAlign w:val="bottom"/>
            <w:hideMark/>
          </w:tcPr>
          <w:p w14:paraId="44E806D4" w14:textId="77777777" w:rsidR="00000000" w:rsidRDefault="0053651E">
            <w:pPr>
              <w:jc w:val="right"/>
              <w:rPr>
                <w:rFonts w:eastAsia="Times New Roman"/>
                <w:sz w:val="16"/>
                <w:szCs w:val="16"/>
              </w:rPr>
            </w:pPr>
            <w:r>
              <w:rPr>
                <w:rFonts w:eastAsia="Times New Roman"/>
                <w:sz w:val="16"/>
                <w:szCs w:val="16"/>
              </w:rPr>
              <w:t>443,930</w:t>
            </w:r>
          </w:p>
        </w:tc>
        <w:tc>
          <w:tcPr>
            <w:tcW w:w="50" w:type="pct"/>
            <w:shd w:val="clear" w:color="auto" w:fill="FFFFFF"/>
            <w:vAlign w:val="bottom"/>
            <w:hideMark/>
          </w:tcPr>
          <w:p w14:paraId="145AD0F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B0FD81D" w14:textId="77777777" w:rsidR="00000000" w:rsidRDefault="0053651E">
            <w:pPr>
              <w:jc w:val="right"/>
              <w:rPr>
                <w:rFonts w:eastAsia="Times New Roman"/>
                <w:sz w:val="16"/>
                <w:szCs w:val="16"/>
              </w:rPr>
            </w:pPr>
            <w:r>
              <w:rPr>
                <w:rFonts w:eastAsia="Times New Roman"/>
                <w:sz w:val="16"/>
                <w:szCs w:val="16"/>
              </w:rPr>
              <w:t>672,345</w:t>
            </w:r>
          </w:p>
        </w:tc>
        <w:tc>
          <w:tcPr>
            <w:tcW w:w="50" w:type="pct"/>
            <w:shd w:val="clear" w:color="auto" w:fill="FFFFFF"/>
            <w:vAlign w:val="bottom"/>
            <w:hideMark/>
          </w:tcPr>
          <w:p w14:paraId="29E2D3D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DE48F0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44FEFC9"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339B8839" w14:textId="77777777">
        <w:trPr>
          <w:tblCellSpacing w:w="0" w:type="dxa"/>
        </w:trPr>
        <w:tc>
          <w:tcPr>
            <w:tcW w:w="50" w:type="pct"/>
            <w:shd w:val="clear" w:color="auto" w:fill="CCEEFF"/>
            <w:vAlign w:val="bottom"/>
            <w:hideMark/>
          </w:tcPr>
          <w:p w14:paraId="526501D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8058AED" w14:textId="77777777" w:rsidR="00000000" w:rsidRDefault="0053651E">
            <w:pPr>
              <w:pStyle w:val="a3"/>
              <w:spacing w:before="0" w:beforeAutospacing="0" w:after="0" w:afterAutospacing="0"/>
              <w:rPr>
                <w:sz w:val="16"/>
                <w:szCs w:val="16"/>
              </w:rPr>
            </w:pPr>
            <w:r>
              <w:rPr>
                <w:sz w:val="16"/>
                <w:szCs w:val="16"/>
              </w:rPr>
              <w:t>MILLERIDGE INN</w:t>
            </w:r>
          </w:p>
        </w:tc>
        <w:tc>
          <w:tcPr>
            <w:tcW w:w="150" w:type="pct"/>
            <w:shd w:val="clear" w:color="auto" w:fill="CCEEFF"/>
            <w:vAlign w:val="bottom"/>
            <w:hideMark/>
          </w:tcPr>
          <w:p w14:paraId="57AF6171"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7E3A007E" w14:textId="77777777" w:rsidR="00000000" w:rsidRDefault="0053651E">
            <w:pPr>
              <w:jc w:val="right"/>
              <w:rPr>
                <w:rFonts w:eastAsia="Times New Roman"/>
                <w:sz w:val="16"/>
                <w:szCs w:val="16"/>
              </w:rPr>
            </w:pPr>
            <w:r>
              <w:rPr>
                <w:rFonts w:eastAsia="Times New Roman"/>
                <w:sz w:val="16"/>
                <w:szCs w:val="16"/>
              </w:rPr>
              <w:t>7,500,330</w:t>
            </w:r>
          </w:p>
        </w:tc>
        <w:tc>
          <w:tcPr>
            <w:tcW w:w="550" w:type="pct"/>
            <w:shd w:val="clear" w:color="auto" w:fill="CCEEFF"/>
            <w:vAlign w:val="bottom"/>
            <w:hideMark/>
          </w:tcPr>
          <w:p w14:paraId="1231D6D1" w14:textId="77777777" w:rsidR="00000000" w:rsidRDefault="0053651E">
            <w:pPr>
              <w:jc w:val="right"/>
              <w:rPr>
                <w:rFonts w:eastAsia="Times New Roman"/>
                <w:sz w:val="16"/>
                <w:szCs w:val="16"/>
              </w:rPr>
            </w:pPr>
            <w:r>
              <w:rPr>
                <w:rFonts w:eastAsia="Times New Roman"/>
                <w:sz w:val="16"/>
                <w:szCs w:val="16"/>
              </w:rPr>
              <w:t>481,316</w:t>
            </w:r>
          </w:p>
        </w:tc>
        <w:tc>
          <w:tcPr>
            <w:tcW w:w="350" w:type="pct"/>
            <w:shd w:val="clear" w:color="auto" w:fill="CCEEFF"/>
            <w:vAlign w:val="bottom"/>
            <w:hideMark/>
          </w:tcPr>
          <w:p w14:paraId="1D0AB8EA" w14:textId="77777777" w:rsidR="00000000" w:rsidRDefault="0053651E">
            <w:pPr>
              <w:jc w:val="right"/>
              <w:rPr>
                <w:rFonts w:eastAsia="Times New Roman"/>
                <w:sz w:val="16"/>
                <w:szCs w:val="16"/>
              </w:rPr>
            </w:pPr>
            <w:r>
              <w:rPr>
                <w:rFonts w:eastAsia="Times New Roman"/>
                <w:sz w:val="16"/>
                <w:szCs w:val="16"/>
              </w:rPr>
              <w:t>(48,741)</w:t>
            </w:r>
          </w:p>
        </w:tc>
        <w:tc>
          <w:tcPr>
            <w:tcW w:w="300" w:type="pct"/>
            <w:shd w:val="clear" w:color="auto" w:fill="CCEEFF"/>
            <w:vAlign w:val="bottom"/>
            <w:hideMark/>
          </w:tcPr>
          <w:p w14:paraId="3F64AA32" w14:textId="77777777" w:rsidR="00000000" w:rsidRDefault="0053651E">
            <w:pPr>
              <w:jc w:val="right"/>
              <w:rPr>
                <w:rFonts w:eastAsia="Times New Roman"/>
                <w:sz w:val="16"/>
                <w:szCs w:val="16"/>
              </w:rPr>
            </w:pPr>
            <w:r>
              <w:rPr>
                <w:rFonts w:eastAsia="Times New Roman"/>
                <w:sz w:val="16"/>
                <w:szCs w:val="16"/>
              </w:rPr>
              <w:t>7,500,000</w:t>
            </w:r>
          </w:p>
        </w:tc>
        <w:tc>
          <w:tcPr>
            <w:tcW w:w="450" w:type="pct"/>
            <w:shd w:val="clear" w:color="auto" w:fill="CCEEFF"/>
            <w:vAlign w:val="bottom"/>
            <w:hideMark/>
          </w:tcPr>
          <w:p w14:paraId="13E21B0E" w14:textId="77777777" w:rsidR="00000000" w:rsidRDefault="0053651E">
            <w:pPr>
              <w:jc w:val="right"/>
              <w:rPr>
                <w:rFonts w:eastAsia="Times New Roman"/>
                <w:sz w:val="16"/>
                <w:szCs w:val="16"/>
              </w:rPr>
            </w:pPr>
            <w:r>
              <w:rPr>
                <w:rFonts w:eastAsia="Times New Roman"/>
                <w:sz w:val="16"/>
                <w:szCs w:val="16"/>
              </w:rPr>
              <w:t>432,905</w:t>
            </w:r>
          </w:p>
        </w:tc>
        <w:tc>
          <w:tcPr>
            <w:tcW w:w="350" w:type="pct"/>
            <w:shd w:val="clear" w:color="auto" w:fill="CCEEFF"/>
            <w:vAlign w:val="bottom"/>
            <w:hideMark/>
          </w:tcPr>
          <w:p w14:paraId="6434A839" w14:textId="77777777" w:rsidR="00000000" w:rsidRDefault="0053651E">
            <w:pPr>
              <w:jc w:val="right"/>
              <w:rPr>
                <w:rFonts w:eastAsia="Times New Roman"/>
                <w:sz w:val="16"/>
                <w:szCs w:val="16"/>
              </w:rPr>
            </w:pPr>
            <w:r>
              <w:rPr>
                <w:rFonts w:eastAsia="Times New Roman"/>
                <w:sz w:val="16"/>
                <w:szCs w:val="16"/>
              </w:rPr>
              <w:t>7,932,905</w:t>
            </w:r>
          </w:p>
        </w:tc>
        <w:tc>
          <w:tcPr>
            <w:tcW w:w="400" w:type="pct"/>
            <w:shd w:val="clear" w:color="auto" w:fill="CCEEFF"/>
            <w:vAlign w:val="bottom"/>
            <w:hideMark/>
          </w:tcPr>
          <w:p w14:paraId="53267F21" w14:textId="77777777" w:rsidR="00000000" w:rsidRDefault="0053651E">
            <w:pPr>
              <w:jc w:val="right"/>
              <w:rPr>
                <w:rFonts w:eastAsia="Times New Roman"/>
                <w:sz w:val="16"/>
                <w:szCs w:val="16"/>
              </w:rPr>
            </w:pPr>
            <w:r>
              <w:rPr>
                <w:rFonts w:eastAsia="Times New Roman"/>
                <w:sz w:val="16"/>
                <w:szCs w:val="16"/>
              </w:rPr>
              <w:t>40,404</w:t>
            </w:r>
          </w:p>
        </w:tc>
        <w:tc>
          <w:tcPr>
            <w:tcW w:w="50" w:type="pct"/>
            <w:shd w:val="clear" w:color="auto" w:fill="CCEEFF"/>
            <w:vAlign w:val="bottom"/>
            <w:hideMark/>
          </w:tcPr>
          <w:p w14:paraId="06E7E87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9CDB7AF" w14:textId="77777777" w:rsidR="00000000" w:rsidRDefault="0053651E">
            <w:pPr>
              <w:jc w:val="right"/>
              <w:rPr>
                <w:rFonts w:eastAsia="Times New Roman"/>
                <w:sz w:val="16"/>
                <w:szCs w:val="16"/>
              </w:rPr>
            </w:pPr>
            <w:r>
              <w:rPr>
                <w:rFonts w:eastAsia="Times New Roman"/>
                <w:sz w:val="16"/>
                <w:szCs w:val="16"/>
              </w:rPr>
              <w:t>7,892,501</w:t>
            </w:r>
          </w:p>
        </w:tc>
        <w:tc>
          <w:tcPr>
            <w:tcW w:w="50" w:type="pct"/>
            <w:shd w:val="clear" w:color="auto" w:fill="CCEEFF"/>
            <w:vAlign w:val="bottom"/>
            <w:hideMark/>
          </w:tcPr>
          <w:p w14:paraId="340C6C9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BAFE48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5DE136A"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0B80DD59" w14:textId="77777777">
        <w:trPr>
          <w:tblCellSpacing w:w="0" w:type="dxa"/>
        </w:trPr>
        <w:tc>
          <w:tcPr>
            <w:tcW w:w="50" w:type="pct"/>
            <w:shd w:val="clear" w:color="auto" w:fill="FFFFFF"/>
            <w:vAlign w:val="bottom"/>
            <w:hideMark/>
          </w:tcPr>
          <w:p w14:paraId="70C5CDD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F75C655" w14:textId="77777777" w:rsidR="00000000" w:rsidRDefault="0053651E">
            <w:pPr>
              <w:pStyle w:val="a3"/>
              <w:spacing w:before="0" w:beforeAutospacing="0" w:after="0" w:afterAutospacing="0"/>
              <w:rPr>
                <w:sz w:val="16"/>
                <w:szCs w:val="16"/>
              </w:rPr>
            </w:pPr>
            <w:r>
              <w:rPr>
                <w:sz w:val="16"/>
                <w:szCs w:val="16"/>
              </w:rPr>
              <w:t>FAMILY DOLLAR UNION TURNPIKE</w:t>
            </w:r>
          </w:p>
        </w:tc>
        <w:tc>
          <w:tcPr>
            <w:tcW w:w="150" w:type="pct"/>
            <w:shd w:val="clear" w:color="auto" w:fill="FFFFFF"/>
            <w:vAlign w:val="bottom"/>
            <w:hideMark/>
          </w:tcPr>
          <w:p w14:paraId="14468B04"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714FCDB9" w14:textId="77777777" w:rsidR="00000000" w:rsidRDefault="0053651E">
            <w:pPr>
              <w:jc w:val="right"/>
              <w:rPr>
                <w:rFonts w:eastAsia="Times New Roman"/>
                <w:sz w:val="16"/>
                <w:szCs w:val="16"/>
              </w:rPr>
            </w:pPr>
            <w:r>
              <w:rPr>
                <w:rFonts w:eastAsia="Times New Roman"/>
                <w:sz w:val="16"/>
                <w:szCs w:val="16"/>
              </w:rPr>
              <w:t>909,000</w:t>
            </w:r>
          </w:p>
        </w:tc>
        <w:tc>
          <w:tcPr>
            <w:tcW w:w="550" w:type="pct"/>
            <w:shd w:val="clear" w:color="auto" w:fill="FFFFFF"/>
            <w:vAlign w:val="bottom"/>
            <w:hideMark/>
          </w:tcPr>
          <w:p w14:paraId="1D943808" w14:textId="77777777" w:rsidR="00000000" w:rsidRDefault="0053651E">
            <w:pPr>
              <w:jc w:val="right"/>
              <w:rPr>
                <w:rFonts w:eastAsia="Times New Roman"/>
                <w:sz w:val="16"/>
                <w:szCs w:val="16"/>
              </w:rPr>
            </w:pPr>
            <w:r>
              <w:rPr>
                <w:rFonts w:eastAsia="Times New Roman"/>
                <w:sz w:val="16"/>
                <w:szCs w:val="16"/>
              </w:rPr>
              <w:t>2,249,775</w:t>
            </w:r>
          </w:p>
        </w:tc>
        <w:tc>
          <w:tcPr>
            <w:tcW w:w="350" w:type="pct"/>
            <w:shd w:val="clear" w:color="auto" w:fill="FFFFFF"/>
            <w:vAlign w:val="bottom"/>
            <w:hideMark/>
          </w:tcPr>
          <w:p w14:paraId="5A364E44" w14:textId="77777777" w:rsidR="00000000" w:rsidRDefault="0053651E">
            <w:pPr>
              <w:jc w:val="right"/>
              <w:rPr>
                <w:rFonts w:eastAsia="Times New Roman"/>
                <w:sz w:val="16"/>
                <w:szCs w:val="16"/>
              </w:rPr>
            </w:pPr>
            <w:r>
              <w:rPr>
                <w:rFonts w:eastAsia="Times New Roman"/>
                <w:sz w:val="16"/>
                <w:szCs w:val="16"/>
              </w:rPr>
              <w:t>258,033</w:t>
            </w:r>
          </w:p>
        </w:tc>
        <w:tc>
          <w:tcPr>
            <w:tcW w:w="300" w:type="pct"/>
            <w:shd w:val="clear" w:color="auto" w:fill="FFFFFF"/>
            <w:vAlign w:val="bottom"/>
            <w:hideMark/>
          </w:tcPr>
          <w:p w14:paraId="70656BDB" w14:textId="77777777" w:rsidR="00000000" w:rsidRDefault="0053651E">
            <w:pPr>
              <w:jc w:val="right"/>
              <w:rPr>
                <w:rFonts w:eastAsia="Times New Roman"/>
                <w:sz w:val="16"/>
                <w:szCs w:val="16"/>
              </w:rPr>
            </w:pPr>
            <w:r>
              <w:rPr>
                <w:rFonts w:eastAsia="Times New Roman"/>
                <w:sz w:val="16"/>
                <w:szCs w:val="16"/>
              </w:rPr>
              <w:t>1,056,709</w:t>
            </w:r>
          </w:p>
        </w:tc>
        <w:tc>
          <w:tcPr>
            <w:tcW w:w="450" w:type="pct"/>
            <w:shd w:val="clear" w:color="auto" w:fill="FFFFFF"/>
            <w:vAlign w:val="bottom"/>
            <w:hideMark/>
          </w:tcPr>
          <w:p w14:paraId="7DE792A3" w14:textId="77777777" w:rsidR="00000000" w:rsidRDefault="0053651E">
            <w:pPr>
              <w:jc w:val="right"/>
              <w:rPr>
                <w:rFonts w:eastAsia="Times New Roman"/>
                <w:sz w:val="16"/>
                <w:szCs w:val="16"/>
              </w:rPr>
            </w:pPr>
            <w:r>
              <w:rPr>
                <w:rFonts w:eastAsia="Times New Roman"/>
                <w:sz w:val="16"/>
                <w:szCs w:val="16"/>
              </w:rPr>
              <w:t>2,360,099</w:t>
            </w:r>
          </w:p>
        </w:tc>
        <w:tc>
          <w:tcPr>
            <w:tcW w:w="350" w:type="pct"/>
            <w:shd w:val="clear" w:color="auto" w:fill="FFFFFF"/>
            <w:vAlign w:val="bottom"/>
            <w:hideMark/>
          </w:tcPr>
          <w:p w14:paraId="37F16E94" w14:textId="77777777" w:rsidR="00000000" w:rsidRDefault="0053651E">
            <w:pPr>
              <w:jc w:val="right"/>
              <w:rPr>
                <w:rFonts w:eastAsia="Times New Roman"/>
                <w:sz w:val="16"/>
                <w:szCs w:val="16"/>
              </w:rPr>
            </w:pPr>
            <w:r>
              <w:rPr>
                <w:rFonts w:eastAsia="Times New Roman"/>
                <w:sz w:val="16"/>
                <w:szCs w:val="16"/>
              </w:rPr>
              <w:t>3,416,808</w:t>
            </w:r>
          </w:p>
        </w:tc>
        <w:tc>
          <w:tcPr>
            <w:tcW w:w="400" w:type="pct"/>
            <w:shd w:val="clear" w:color="auto" w:fill="FFFFFF"/>
            <w:vAlign w:val="bottom"/>
            <w:hideMark/>
          </w:tcPr>
          <w:p w14:paraId="442BE4E1" w14:textId="77777777" w:rsidR="00000000" w:rsidRDefault="0053651E">
            <w:pPr>
              <w:jc w:val="right"/>
              <w:rPr>
                <w:rFonts w:eastAsia="Times New Roman"/>
                <w:sz w:val="16"/>
                <w:szCs w:val="16"/>
              </w:rPr>
            </w:pPr>
            <w:r>
              <w:rPr>
                <w:rFonts w:eastAsia="Times New Roman"/>
                <w:sz w:val="16"/>
                <w:szCs w:val="16"/>
              </w:rPr>
              <w:t>557,337</w:t>
            </w:r>
          </w:p>
        </w:tc>
        <w:tc>
          <w:tcPr>
            <w:tcW w:w="50" w:type="pct"/>
            <w:shd w:val="clear" w:color="auto" w:fill="FFFFFF"/>
            <w:vAlign w:val="bottom"/>
            <w:hideMark/>
          </w:tcPr>
          <w:p w14:paraId="62F85FA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D7A9AA7" w14:textId="77777777" w:rsidR="00000000" w:rsidRDefault="0053651E">
            <w:pPr>
              <w:jc w:val="right"/>
              <w:rPr>
                <w:rFonts w:eastAsia="Times New Roman"/>
                <w:sz w:val="16"/>
                <w:szCs w:val="16"/>
              </w:rPr>
            </w:pPr>
            <w:r>
              <w:rPr>
                <w:rFonts w:eastAsia="Times New Roman"/>
                <w:sz w:val="16"/>
                <w:szCs w:val="16"/>
              </w:rPr>
              <w:t>2,859,471</w:t>
            </w:r>
          </w:p>
        </w:tc>
        <w:tc>
          <w:tcPr>
            <w:tcW w:w="50" w:type="pct"/>
            <w:shd w:val="clear" w:color="auto" w:fill="FFFFFF"/>
            <w:vAlign w:val="bottom"/>
            <w:hideMark/>
          </w:tcPr>
          <w:p w14:paraId="138BE4B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8D2179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EE1121E"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1A5BC771" w14:textId="77777777">
        <w:trPr>
          <w:tblCellSpacing w:w="0" w:type="dxa"/>
        </w:trPr>
        <w:tc>
          <w:tcPr>
            <w:tcW w:w="50" w:type="pct"/>
            <w:shd w:val="clear" w:color="auto" w:fill="CCEEFF"/>
            <w:vAlign w:val="bottom"/>
            <w:hideMark/>
          </w:tcPr>
          <w:p w14:paraId="69B847A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DA15424" w14:textId="77777777" w:rsidR="00000000" w:rsidRDefault="0053651E">
            <w:pPr>
              <w:pStyle w:val="a3"/>
              <w:spacing w:before="0" w:beforeAutospacing="0" w:after="0" w:afterAutospacing="0"/>
              <w:rPr>
                <w:sz w:val="16"/>
                <w:szCs w:val="16"/>
              </w:rPr>
            </w:pPr>
            <w:r>
              <w:rPr>
                <w:sz w:val="16"/>
                <w:szCs w:val="16"/>
              </w:rPr>
              <w:t>LITTLE NECK PLAZA</w:t>
            </w:r>
          </w:p>
        </w:tc>
        <w:tc>
          <w:tcPr>
            <w:tcW w:w="150" w:type="pct"/>
            <w:shd w:val="clear" w:color="auto" w:fill="CCEEFF"/>
            <w:vAlign w:val="bottom"/>
            <w:hideMark/>
          </w:tcPr>
          <w:p w14:paraId="1125C2B2"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70AAE36E" w14:textId="77777777" w:rsidR="00000000" w:rsidRDefault="0053651E">
            <w:pPr>
              <w:jc w:val="right"/>
              <w:rPr>
                <w:rFonts w:eastAsia="Times New Roman"/>
                <w:sz w:val="16"/>
                <w:szCs w:val="16"/>
              </w:rPr>
            </w:pPr>
            <w:r>
              <w:rPr>
                <w:rFonts w:eastAsia="Times New Roman"/>
                <w:sz w:val="16"/>
                <w:szCs w:val="16"/>
              </w:rPr>
              <w:t>3,277,254</w:t>
            </w:r>
          </w:p>
        </w:tc>
        <w:tc>
          <w:tcPr>
            <w:tcW w:w="550" w:type="pct"/>
            <w:shd w:val="clear" w:color="auto" w:fill="CCEEFF"/>
            <w:vAlign w:val="bottom"/>
            <w:hideMark/>
          </w:tcPr>
          <w:p w14:paraId="66E3D8B6" w14:textId="77777777" w:rsidR="00000000" w:rsidRDefault="0053651E">
            <w:pPr>
              <w:jc w:val="right"/>
              <w:rPr>
                <w:rFonts w:eastAsia="Times New Roman"/>
                <w:sz w:val="16"/>
                <w:szCs w:val="16"/>
              </w:rPr>
            </w:pPr>
            <w:r>
              <w:rPr>
                <w:rFonts w:eastAsia="Times New Roman"/>
                <w:sz w:val="16"/>
                <w:szCs w:val="16"/>
              </w:rPr>
              <w:t>13,161,218</w:t>
            </w:r>
          </w:p>
        </w:tc>
        <w:tc>
          <w:tcPr>
            <w:tcW w:w="350" w:type="pct"/>
            <w:shd w:val="clear" w:color="auto" w:fill="CCEEFF"/>
            <w:vAlign w:val="bottom"/>
            <w:hideMark/>
          </w:tcPr>
          <w:p w14:paraId="4DFDB1BB" w14:textId="77777777" w:rsidR="00000000" w:rsidRDefault="0053651E">
            <w:pPr>
              <w:jc w:val="right"/>
              <w:rPr>
                <w:rFonts w:eastAsia="Times New Roman"/>
                <w:sz w:val="16"/>
                <w:szCs w:val="16"/>
              </w:rPr>
            </w:pPr>
            <w:r>
              <w:rPr>
                <w:rFonts w:eastAsia="Times New Roman"/>
                <w:sz w:val="16"/>
                <w:szCs w:val="16"/>
              </w:rPr>
              <w:t>5,986,742</w:t>
            </w:r>
          </w:p>
        </w:tc>
        <w:tc>
          <w:tcPr>
            <w:tcW w:w="300" w:type="pct"/>
            <w:shd w:val="clear" w:color="auto" w:fill="CCEEFF"/>
            <w:vAlign w:val="bottom"/>
            <w:hideMark/>
          </w:tcPr>
          <w:p w14:paraId="18983731" w14:textId="77777777" w:rsidR="00000000" w:rsidRDefault="0053651E">
            <w:pPr>
              <w:jc w:val="right"/>
              <w:rPr>
                <w:rFonts w:eastAsia="Times New Roman"/>
                <w:sz w:val="16"/>
                <w:szCs w:val="16"/>
              </w:rPr>
            </w:pPr>
            <w:r>
              <w:rPr>
                <w:rFonts w:eastAsia="Times New Roman"/>
                <w:sz w:val="16"/>
                <w:szCs w:val="16"/>
              </w:rPr>
              <w:t>3,277,253</w:t>
            </w:r>
          </w:p>
        </w:tc>
        <w:tc>
          <w:tcPr>
            <w:tcW w:w="450" w:type="pct"/>
            <w:shd w:val="clear" w:color="auto" w:fill="CCEEFF"/>
            <w:vAlign w:val="bottom"/>
            <w:hideMark/>
          </w:tcPr>
          <w:p w14:paraId="228A07A1" w14:textId="77777777" w:rsidR="00000000" w:rsidRDefault="0053651E">
            <w:pPr>
              <w:jc w:val="right"/>
              <w:rPr>
                <w:rFonts w:eastAsia="Times New Roman"/>
                <w:sz w:val="16"/>
                <w:szCs w:val="16"/>
              </w:rPr>
            </w:pPr>
            <w:r>
              <w:rPr>
                <w:rFonts w:eastAsia="Times New Roman"/>
                <w:sz w:val="16"/>
                <w:szCs w:val="16"/>
              </w:rPr>
              <w:t>19,147,961</w:t>
            </w:r>
          </w:p>
        </w:tc>
        <w:tc>
          <w:tcPr>
            <w:tcW w:w="350" w:type="pct"/>
            <w:shd w:val="clear" w:color="auto" w:fill="CCEEFF"/>
            <w:vAlign w:val="bottom"/>
            <w:hideMark/>
          </w:tcPr>
          <w:p w14:paraId="24536124" w14:textId="77777777" w:rsidR="00000000" w:rsidRDefault="0053651E">
            <w:pPr>
              <w:jc w:val="right"/>
              <w:rPr>
                <w:rFonts w:eastAsia="Times New Roman"/>
                <w:sz w:val="16"/>
                <w:szCs w:val="16"/>
              </w:rPr>
            </w:pPr>
            <w:r>
              <w:rPr>
                <w:rFonts w:eastAsia="Times New Roman"/>
                <w:sz w:val="16"/>
                <w:szCs w:val="16"/>
              </w:rPr>
              <w:t>22,425,214</w:t>
            </w:r>
          </w:p>
        </w:tc>
        <w:tc>
          <w:tcPr>
            <w:tcW w:w="400" w:type="pct"/>
            <w:shd w:val="clear" w:color="auto" w:fill="CCEEFF"/>
            <w:vAlign w:val="bottom"/>
            <w:hideMark/>
          </w:tcPr>
          <w:p w14:paraId="2DC257A7" w14:textId="77777777" w:rsidR="00000000" w:rsidRDefault="0053651E">
            <w:pPr>
              <w:jc w:val="right"/>
              <w:rPr>
                <w:rFonts w:eastAsia="Times New Roman"/>
                <w:sz w:val="16"/>
                <w:szCs w:val="16"/>
              </w:rPr>
            </w:pPr>
            <w:r>
              <w:rPr>
                <w:rFonts w:eastAsia="Times New Roman"/>
                <w:sz w:val="16"/>
                <w:szCs w:val="16"/>
              </w:rPr>
              <w:t>8,211,840</w:t>
            </w:r>
          </w:p>
        </w:tc>
        <w:tc>
          <w:tcPr>
            <w:tcW w:w="50" w:type="pct"/>
            <w:shd w:val="clear" w:color="auto" w:fill="CCEEFF"/>
            <w:vAlign w:val="bottom"/>
            <w:hideMark/>
          </w:tcPr>
          <w:p w14:paraId="13A976A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739244D" w14:textId="77777777" w:rsidR="00000000" w:rsidRDefault="0053651E">
            <w:pPr>
              <w:jc w:val="right"/>
              <w:rPr>
                <w:rFonts w:eastAsia="Times New Roman"/>
                <w:sz w:val="16"/>
                <w:szCs w:val="16"/>
              </w:rPr>
            </w:pPr>
            <w:r>
              <w:rPr>
                <w:rFonts w:eastAsia="Times New Roman"/>
                <w:sz w:val="16"/>
                <w:szCs w:val="16"/>
              </w:rPr>
              <w:t>14,213,374</w:t>
            </w:r>
          </w:p>
        </w:tc>
        <w:tc>
          <w:tcPr>
            <w:tcW w:w="50" w:type="pct"/>
            <w:shd w:val="clear" w:color="auto" w:fill="CCEEFF"/>
            <w:vAlign w:val="bottom"/>
            <w:hideMark/>
          </w:tcPr>
          <w:p w14:paraId="16329D0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EBFD7F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0CCC2D9"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5AB36C6A" w14:textId="77777777">
        <w:trPr>
          <w:tblCellSpacing w:w="0" w:type="dxa"/>
        </w:trPr>
        <w:tc>
          <w:tcPr>
            <w:tcW w:w="50" w:type="pct"/>
            <w:shd w:val="clear" w:color="auto" w:fill="FFFFFF"/>
            <w:vAlign w:val="bottom"/>
            <w:hideMark/>
          </w:tcPr>
          <w:p w14:paraId="4DFEEDE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7F98511" w14:textId="77777777" w:rsidR="00000000" w:rsidRDefault="0053651E">
            <w:pPr>
              <w:pStyle w:val="a3"/>
              <w:spacing w:before="0" w:beforeAutospacing="0" w:after="0" w:afterAutospacing="0"/>
              <w:rPr>
                <w:sz w:val="16"/>
                <w:szCs w:val="16"/>
              </w:rPr>
            </w:pPr>
            <w:r>
              <w:rPr>
                <w:sz w:val="16"/>
                <w:szCs w:val="16"/>
              </w:rPr>
              <w:t>KEY FOOD - 21ST STREET</w:t>
            </w:r>
          </w:p>
        </w:tc>
        <w:tc>
          <w:tcPr>
            <w:tcW w:w="150" w:type="pct"/>
            <w:shd w:val="clear" w:color="auto" w:fill="FFFFFF"/>
            <w:vAlign w:val="bottom"/>
            <w:hideMark/>
          </w:tcPr>
          <w:p w14:paraId="4A72C853"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307BE841" w14:textId="77777777" w:rsidR="00000000" w:rsidRDefault="0053651E">
            <w:pPr>
              <w:jc w:val="right"/>
              <w:rPr>
                <w:rFonts w:eastAsia="Times New Roman"/>
                <w:sz w:val="16"/>
                <w:szCs w:val="16"/>
              </w:rPr>
            </w:pPr>
            <w:r>
              <w:rPr>
                <w:rFonts w:eastAsia="Times New Roman"/>
                <w:sz w:val="16"/>
                <w:szCs w:val="16"/>
              </w:rPr>
              <w:t>1,090,800</w:t>
            </w:r>
          </w:p>
        </w:tc>
        <w:tc>
          <w:tcPr>
            <w:tcW w:w="550" w:type="pct"/>
            <w:shd w:val="clear" w:color="auto" w:fill="FFFFFF"/>
            <w:vAlign w:val="bottom"/>
            <w:hideMark/>
          </w:tcPr>
          <w:p w14:paraId="1C89BFC3" w14:textId="77777777" w:rsidR="00000000" w:rsidRDefault="0053651E">
            <w:pPr>
              <w:jc w:val="right"/>
              <w:rPr>
                <w:rFonts w:eastAsia="Times New Roman"/>
                <w:sz w:val="16"/>
                <w:szCs w:val="16"/>
              </w:rPr>
            </w:pPr>
            <w:r>
              <w:rPr>
                <w:rFonts w:eastAsia="Times New Roman"/>
                <w:sz w:val="16"/>
                <w:szCs w:val="16"/>
              </w:rPr>
              <w:t>2,699,730</w:t>
            </w:r>
          </w:p>
        </w:tc>
        <w:tc>
          <w:tcPr>
            <w:tcW w:w="350" w:type="pct"/>
            <w:shd w:val="clear" w:color="auto" w:fill="FFFFFF"/>
            <w:vAlign w:val="bottom"/>
            <w:hideMark/>
          </w:tcPr>
          <w:p w14:paraId="6B8E4D84" w14:textId="77777777" w:rsidR="00000000" w:rsidRDefault="0053651E">
            <w:pPr>
              <w:jc w:val="right"/>
              <w:rPr>
                <w:rFonts w:eastAsia="Times New Roman"/>
                <w:sz w:val="16"/>
                <w:szCs w:val="16"/>
              </w:rPr>
            </w:pPr>
            <w:r>
              <w:rPr>
                <w:rFonts w:eastAsia="Times New Roman"/>
                <w:sz w:val="16"/>
                <w:szCs w:val="16"/>
              </w:rPr>
              <w:t>(159,449)</w:t>
            </w:r>
          </w:p>
        </w:tc>
        <w:tc>
          <w:tcPr>
            <w:tcW w:w="300" w:type="pct"/>
            <w:shd w:val="clear" w:color="auto" w:fill="FFFFFF"/>
            <w:vAlign w:val="bottom"/>
            <w:hideMark/>
          </w:tcPr>
          <w:p w14:paraId="4D40AB33" w14:textId="77777777" w:rsidR="00000000" w:rsidRDefault="0053651E">
            <w:pPr>
              <w:jc w:val="right"/>
              <w:rPr>
                <w:rFonts w:eastAsia="Times New Roman"/>
                <w:sz w:val="16"/>
                <w:szCs w:val="16"/>
              </w:rPr>
            </w:pPr>
            <w:r>
              <w:rPr>
                <w:rFonts w:eastAsia="Times New Roman"/>
                <w:sz w:val="16"/>
                <w:szCs w:val="16"/>
              </w:rPr>
              <w:t>1,669,153</w:t>
            </w:r>
          </w:p>
        </w:tc>
        <w:tc>
          <w:tcPr>
            <w:tcW w:w="450" w:type="pct"/>
            <w:shd w:val="clear" w:color="auto" w:fill="FFFFFF"/>
            <w:vAlign w:val="bottom"/>
            <w:hideMark/>
          </w:tcPr>
          <w:p w14:paraId="44F4B33F" w14:textId="77777777" w:rsidR="00000000" w:rsidRDefault="0053651E">
            <w:pPr>
              <w:jc w:val="right"/>
              <w:rPr>
                <w:rFonts w:eastAsia="Times New Roman"/>
                <w:sz w:val="16"/>
                <w:szCs w:val="16"/>
              </w:rPr>
            </w:pPr>
            <w:r>
              <w:rPr>
                <w:rFonts w:eastAsia="Times New Roman"/>
                <w:sz w:val="16"/>
                <w:szCs w:val="16"/>
              </w:rPr>
              <w:t>1,961,928</w:t>
            </w:r>
          </w:p>
        </w:tc>
        <w:tc>
          <w:tcPr>
            <w:tcW w:w="350" w:type="pct"/>
            <w:shd w:val="clear" w:color="auto" w:fill="FFFFFF"/>
            <w:vAlign w:val="bottom"/>
            <w:hideMark/>
          </w:tcPr>
          <w:p w14:paraId="7A8D4B0E" w14:textId="77777777" w:rsidR="00000000" w:rsidRDefault="0053651E">
            <w:pPr>
              <w:jc w:val="right"/>
              <w:rPr>
                <w:rFonts w:eastAsia="Times New Roman"/>
                <w:sz w:val="16"/>
                <w:szCs w:val="16"/>
              </w:rPr>
            </w:pPr>
            <w:r>
              <w:rPr>
                <w:rFonts w:eastAsia="Times New Roman"/>
                <w:sz w:val="16"/>
                <w:szCs w:val="16"/>
              </w:rPr>
              <w:t>3,631,081</w:t>
            </w:r>
          </w:p>
        </w:tc>
        <w:tc>
          <w:tcPr>
            <w:tcW w:w="400" w:type="pct"/>
            <w:shd w:val="clear" w:color="auto" w:fill="FFFFFF"/>
            <w:vAlign w:val="bottom"/>
            <w:hideMark/>
          </w:tcPr>
          <w:p w14:paraId="198549C1" w14:textId="77777777" w:rsidR="00000000" w:rsidRDefault="0053651E">
            <w:pPr>
              <w:jc w:val="right"/>
              <w:rPr>
                <w:rFonts w:eastAsia="Times New Roman"/>
                <w:sz w:val="16"/>
                <w:szCs w:val="16"/>
              </w:rPr>
            </w:pPr>
            <w:r>
              <w:rPr>
                <w:rFonts w:eastAsia="Times New Roman"/>
                <w:sz w:val="16"/>
                <w:szCs w:val="16"/>
              </w:rPr>
              <w:t>367,863</w:t>
            </w:r>
          </w:p>
        </w:tc>
        <w:tc>
          <w:tcPr>
            <w:tcW w:w="50" w:type="pct"/>
            <w:shd w:val="clear" w:color="auto" w:fill="FFFFFF"/>
            <w:vAlign w:val="bottom"/>
            <w:hideMark/>
          </w:tcPr>
          <w:p w14:paraId="296B39B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1922210" w14:textId="77777777" w:rsidR="00000000" w:rsidRDefault="0053651E">
            <w:pPr>
              <w:jc w:val="right"/>
              <w:rPr>
                <w:rFonts w:eastAsia="Times New Roman"/>
                <w:sz w:val="16"/>
                <w:szCs w:val="16"/>
              </w:rPr>
            </w:pPr>
            <w:r>
              <w:rPr>
                <w:rFonts w:eastAsia="Times New Roman"/>
                <w:sz w:val="16"/>
                <w:szCs w:val="16"/>
              </w:rPr>
              <w:t>3,263,218</w:t>
            </w:r>
          </w:p>
        </w:tc>
        <w:tc>
          <w:tcPr>
            <w:tcW w:w="50" w:type="pct"/>
            <w:shd w:val="clear" w:color="auto" w:fill="FFFFFF"/>
            <w:vAlign w:val="bottom"/>
            <w:hideMark/>
          </w:tcPr>
          <w:p w14:paraId="2E31679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86043B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0132D08"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bl>
    <w:p w14:paraId="3052F68D"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396"/>
        <w:gridCol w:w="232"/>
        <w:gridCol w:w="720"/>
        <w:gridCol w:w="800"/>
        <w:gridCol w:w="800"/>
        <w:gridCol w:w="720"/>
        <w:gridCol w:w="800"/>
        <w:gridCol w:w="800"/>
        <w:gridCol w:w="720"/>
        <w:gridCol w:w="40"/>
        <w:gridCol w:w="800"/>
        <w:gridCol w:w="40"/>
        <w:gridCol w:w="640"/>
        <w:gridCol w:w="543"/>
      </w:tblGrid>
      <w:tr w:rsidR="00000000" w14:paraId="4863063F" w14:textId="77777777">
        <w:trPr>
          <w:tblCellSpacing w:w="0" w:type="dxa"/>
        </w:trPr>
        <w:tc>
          <w:tcPr>
            <w:tcW w:w="50" w:type="pct"/>
            <w:shd w:val="clear" w:color="auto" w:fill="CCEEFF"/>
            <w:vAlign w:val="bottom"/>
            <w:hideMark/>
          </w:tcPr>
          <w:p w14:paraId="79C9431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9205261" w14:textId="77777777" w:rsidR="00000000" w:rsidRDefault="0053651E">
            <w:pPr>
              <w:pStyle w:val="a3"/>
              <w:spacing w:before="0" w:beforeAutospacing="0" w:after="0" w:afterAutospacing="0"/>
              <w:rPr>
                <w:sz w:val="16"/>
                <w:szCs w:val="16"/>
              </w:rPr>
            </w:pPr>
            <w:r>
              <w:rPr>
                <w:sz w:val="16"/>
                <w:szCs w:val="16"/>
              </w:rPr>
              <w:t>MANHASSET CENTER</w:t>
            </w:r>
          </w:p>
        </w:tc>
        <w:tc>
          <w:tcPr>
            <w:tcW w:w="150" w:type="pct"/>
            <w:shd w:val="clear" w:color="auto" w:fill="CCEEFF"/>
            <w:vAlign w:val="bottom"/>
            <w:hideMark/>
          </w:tcPr>
          <w:p w14:paraId="2805188C"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68B8D5F" w14:textId="77777777" w:rsidR="00000000" w:rsidRDefault="0053651E">
            <w:pPr>
              <w:jc w:val="right"/>
              <w:rPr>
                <w:rFonts w:eastAsia="Times New Roman"/>
                <w:sz w:val="16"/>
                <w:szCs w:val="16"/>
              </w:rPr>
            </w:pPr>
            <w:r>
              <w:rPr>
                <w:rFonts w:eastAsia="Times New Roman"/>
                <w:sz w:val="16"/>
                <w:szCs w:val="16"/>
              </w:rPr>
              <w:t>4,567,003</w:t>
            </w:r>
          </w:p>
        </w:tc>
        <w:tc>
          <w:tcPr>
            <w:tcW w:w="550" w:type="pct"/>
            <w:shd w:val="clear" w:color="auto" w:fill="CCEEFF"/>
            <w:vAlign w:val="bottom"/>
            <w:hideMark/>
          </w:tcPr>
          <w:p w14:paraId="12BB5F8A" w14:textId="77777777" w:rsidR="00000000" w:rsidRDefault="0053651E">
            <w:pPr>
              <w:jc w:val="right"/>
              <w:rPr>
                <w:rFonts w:eastAsia="Times New Roman"/>
                <w:sz w:val="16"/>
                <w:szCs w:val="16"/>
              </w:rPr>
            </w:pPr>
            <w:r>
              <w:rPr>
                <w:rFonts w:eastAsia="Times New Roman"/>
                <w:sz w:val="16"/>
                <w:szCs w:val="16"/>
              </w:rPr>
              <w:t>19,165,808</w:t>
            </w:r>
          </w:p>
        </w:tc>
        <w:tc>
          <w:tcPr>
            <w:tcW w:w="350" w:type="pct"/>
            <w:shd w:val="clear" w:color="auto" w:fill="CCEEFF"/>
            <w:vAlign w:val="bottom"/>
            <w:hideMark/>
          </w:tcPr>
          <w:p w14:paraId="394CE56F" w14:textId="77777777" w:rsidR="00000000" w:rsidRDefault="0053651E">
            <w:pPr>
              <w:jc w:val="right"/>
              <w:rPr>
                <w:rFonts w:eastAsia="Times New Roman"/>
                <w:sz w:val="16"/>
                <w:szCs w:val="16"/>
              </w:rPr>
            </w:pPr>
            <w:r>
              <w:rPr>
                <w:rFonts w:eastAsia="Times New Roman"/>
                <w:sz w:val="16"/>
                <w:szCs w:val="16"/>
              </w:rPr>
              <w:t>31,678,891</w:t>
            </w:r>
          </w:p>
        </w:tc>
        <w:tc>
          <w:tcPr>
            <w:tcW w:w="300" w:type="pct"/>
            <w:shd w:val="clear" w:color="auto" w:fill="CCEEFF"/>
            <w:vAlign w:val="bottom"/>
            <w:hideMark/>
          </w:tcPr>
          <w:p w14:paraId="560AA4EC" w14:textId="77777777" w:rsidR="00000000" w:rsidRDefault="0053651E">
            <w:pPr>
              <w:jc w:val="right"/>
              <w:rPr>
                <w:rFonts w:eastAsia="Times New Roman"/>
                <w:sz w:val="16"/>
                <w:szCs w:val="16"/>
              </w:rPr>
            </w:pPr>
            <w:r>
              <w:rPr>
                <w:rFonts w:eastAsia="Times New Roman"/>
                <w:sz w:val="16"/>
                <w:szCs w:val="16"/>
              </w:rPr>
              <w:t>3,471,939</w:t>
            </w:r>
          </w:p>
        </w:tc>
        <w:tc>
          <w:tcPr>
            <w:tcW w:w="450" w:type="pct"/>
            <w:shd w:val="clear" w:color="auto" w:fill="CCEEFF"/>
            <w:vAlign w:val="bottom"/>
            <w:hideMark/>
          </w:tcPr>
          <w:p w14:paraId="7165C427" w14:textId="77777777" w:rsidR="00000000" w:rsidRDefault="0053651E">
            <w:pPr>
              <w:jc w:val="right"/>
              <w:rPr>
                <w:rFonts w:eastAsia="Times New Roman"/>
                <w:sz w:val="16"/>
                <w:szCs w:val="16"/>
              </w:rPr>
            </w:pPr>
            <w:r>
              <w:rPr>
                <w:rFonts w:eastAsia="Times New Roman"/>
                <w:sz w:val="16"/>
                <w:szCs w:val="16"/>
              </w:rPr>
              <w:t>51,939,763</w:t>
            </w:r>
          </w:p>
        </w:tc>
        <w:tc>
          <w:tcPr>
            <w:tcW w:w="350" w:type="pct"/>
            <w:shd w:val="clear" w:color="auto" w:fill="CCEEFF"/>
            <w:vAlign w:val="bottom"/>
            <w:hideMark/>
          </w:tcPr>
          <w:p w14:paraId="682304E0" w14:textId="77777777" w:rsidR="00000000" w:rsidRDefault="0053651E">
            <w:pPr>
              <w:jc w:val="right"/>
              <w:rPr>
                <w:rFonts w:eastAsia="Times New Roman"/>
                <w:sz w:val="16"/>
                <w:szCs w:val="16"/>
              </w:rPr>
            </w:pPr>
            <w:r>
              <w:rPr>
                <w:rFonts w:eastAsia="Times New Roman"/>
                <w:sz w:val="16"/>
                <w:szCs w:val="16"/>
              </w:rPr>
              <w:t>55,411,702</w:t>
            </w:r>
          </w:p>
        </w:tc>
        <w:tc>
          <w:tcPr>
            <w:tcW w:w="400" w:type="pct"/>
            <w:shd w:val="clear" w:color="auto" w:fill="CCEEFF"/>
            <w:vAlign w:val="bottom"/>
            <w:hideMark/>
          </w:tcPr>
          <w:p w14:paraId="227EF731" w14:textId="77777777" w:rsidR="00000000" w:rsidRDefault="0053651E">
            <w:pPr>
              <w:jc w:val="right"/>
              <w:rPr>
                <w:rFonts w:eastAsia="Times New Roman"/>
                <w:sz w:val="16"/>
                <w:szCs w:val="16"/>
              </w:rPr>
            </w:pPr>
            <w:r>
              <w:rPr>
                <w:rFonts w:eastAsia="Times New Roman"/>
                <w:sz w:val="16"/>
                <w:szCs w:val="16"/>
              </w:rPr>
              <w:t>27,124,630</w:t>
            </w:r>
          </w:p>
        </w:tc>
        <w:tc>
          <w:tcPr>
            <w:tcW w:w="50" w:type="pct"/>
            <w:shd w:val="clear" w:color="auto" w:fill="CCEEFF"/>
            <w:vAlign w:val="bottom"/>
            <w:hideMark/>
          </w:tcPr>
          <w:p w14:paraId="7BDDE94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B4AC713" w14:textId="77777777" w:rsidR="00000000" w:rsidRDefault="0053651E">
            <w:pPr>
              <w:jc w:val="right"/>
              <w:rPr>
                <w:rFonts w:eastAsia="Times New Roman"/>
                <w:sz w:val="16"/>
                <w:szCs w:val="16"/>
              </w:rPr>
            </w:pPr>
            <w:r>
              <w:rPr>
                <w:rFonts w:eastAsia="Times New Roman"/>
                <w:sz w:val="16"/>
                <w:szCs w:val="16"/>
              </w:rPr>
              <w:t>28,287,072</w:t>
            </w:r>
          </w:p>
        </w:tc>
        <w:tc>
          <w:tcPr>
            <w:tcW w:w="50" w:type="pct"/>
            <w:shd w:val="clear" w:color="auto" w:fill="CCEEFF"/>
            <w:vAlign w:val="bottom"/>
            <w:hideMark/>
          </w:tcPr>
          <w:p w14:paraId="4EC3D0A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927C18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5390AE1" w14:textId="77777777" w:rsidR="00000000" w:rsidRDefault="0053651E">
            <w:pPr>
              <w:pStyle w:val="a3"/>
              <w:spacing w:before="0" w:beforeAutospacing="0" w:after="0" w:afterAutospacing="0"/>
              <w:jc w:val="center"/>
              <w:rPr>
                <w:sz w:val="16"/>
                <w:szCs w:val="16"/>
              </w:rPr>
            </w:pPr>
            <w:r>
              <w:rPr>
                <w:rStyle w:val="a6"/>
                <w:i w:val="0"/>
                <w:iCs w:val="0"/>
                <w:sz w:val="16"/>
                <w:szCs w:val="16"/>
              </w:rPr>
              <w:t>1999(A)</w:t>
            </w:r>
          </w:p>
        </w:tc>
      </w:tr>
      <w:tr w:rsidR="00000000" w14:paraId="6DBA84E6" w14:textId="77777777">
        <w:trPr>
          <w:tblCellSpacing w:w="0" w:type="dxa"/>
        </w:trPr>
        <w:tc>
          <w:tcPr>
            <w:tcW w:w="50" w:type="pct"/>
            <w:shd w:val="clear" w:color="auto" w:fill="FFFFFF"/>
            <w:vAlign w:val="bottom"/>
            <w:hideMark/>
          </w:tcPr>
          <w:p w14:paraId="19F374A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BD0103A" w14:textId="77777777" w:rsidR="00000000" w:rsidRDefault="0053651E">
            <w:pPr>
              <w:pStyle w:val="a3"/>
              <w:spacing w:before="0" w:beforeAutospacing="0" w:after="0" w:afterAutospacing="0"/>
              <w:rPr>
                <w:sz w:val="16"/>
                <w:szCs w:val="16"/>
              </w:rPr>
            </w:pPr>
            <w:r>
              <w:rPr>
                <w:sz w:val="16"/>
                <w:szCs w:val="16"/>
              </w:rPr>
              <w:t>MANHASSET CENTER(residential)</w:t>
            </w:r>
          </w:p>
        </w:tc>
        <w:tc>
          <w:tcPr>
            <w:tcW w:w="150" w:type="pct"/>
            <w:shd w:val="clear" w:color="auto" w:fill="FFFFFF"/>
            <w:vAlign w:val="bottom"/>
            <w:hideMark/>
          </w:tcPr>
          <w:p w14:paraId="680B52D1"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1574FC49" w14:textId="77777777" w:rsidR="00000000" w:rsidRDefault="0053651E">
            <w:pPr>
              <w:jc w:val="right"/>
              <w:rPr>
                <w:rFonts w:eastAsia="Times New Roman"/>
                <w:sz w:val="16"/>
                <w:szCs w:val="16"/>
              </w:rPr>
            </w:pPr>
            <w:r>
              <w:rPr>
                <w:rFonts w:eastAsia="Times New Roman"/>
                <w:sz w:val="16"/>
                <w:szCs w:val="16"/>
              </w:rPr>
              <w:t>950,000</w:t>
            </w:r>
          </w:p>
        </w:tc>
        <w:tc>
          <w:tcPr>
            <w:tcW w:w="550" w:type="pct"/>
            <w:shd w:val="clear" w:color="auto" w:fill="FFFFFF"/>
            <w:vAlign w:val="bottom"/>
            <w:hideMark/>
          </w:tcPr>
          <w:p w14:paraId="43FF46A0"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33453441"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00F26A13" w14:textId="77777777" w:rsidR="00000000" w:rsidRDefault="0053651E">
            <w:pPr>
              <w:jc w:val="right"/>
              <w:rPr>
                <w:rFonts w:eastAsia="Times New Roman"/>
                <w:sz w:val="16"/>
                <w:szCs w:val="16"/>
              </w:rPr>
            </w:pPr>
            <w:r>
              <w:rPr>
                <w:rFonts w:eastAsia="Times New Roman"/>
                <w:sz w:val="16"/>
                <w:szCs w:val="16"/>
              </w:rPr>
              <w:t>950,000</w:t>
            </w:r>
          </w:p>
        </w:tc>
        <w:tc>
          <w:tcPr>
            <w:tcW w:w="450" w:type="pct"/>
            <w:shd w:val="clear" w:color="auto" w:fill="FFFFFF"/>
            <w:vAlign w:val="bottom"/>
            <w:hideMark/>
          </w:tcPr>
          <w:p w14:paraId="6EDC00D0"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09182853" w14:textId="77777777" w:rsidR="00000000" w:rsidRDefault="0053651E">
            <w:pPr>
              <w:jc w:val="right"/>
              <w:rPr>
                <w:rFonts w:eastAsia="Times New Roman"/>
                <w:sz w:val="16"/>
                <w:szCs w:val="16"/>
              </w:rPr>
            </w:pPr>
            <w:r>
              <w:rPr>
                <w:rFonts w:eastAsia="Times New Roman"/>
                <w:sz w:val="16"/>
                <w:szCs w:val="16"/>
              </w:rPr>
              <w:t>950,000</w:t>
            </w:r>
          </w:p>
        </w:tc>
        <w:tc>
          <w:tcPr>
            <w:tcW w:w="400" w:type="pct"/>
            <w:shd w:val="clear" w:color="auto" w:fill="FFFFFF"/>
            <w:vAlign w:val="bottom"/>
            <w:hideMark/>
          </w:tcPr>
          <w:p w14:paraId="7ECFA16F"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E7122B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54EEA4D" w14:textId="77777777" w:rsidR="00000000" w:rsidRDefault="0053651E">
            <w:pPr>
              <w:jc w:val="right"/>
              <w:rPr>
                <w:rFonts w:eastAsia="Times New Roman"/>
                <w:sz w:val="16"/>
                <w:szCs w:val="16"/>
              </w:rPr>
            </w:pPr>
            <w:r>
              <w:rPr>
                <w:rFonts w:eastAsia="Times New Roman"/>
                <w:sz w:val="16"/>
                <w:szCs w:val="16"/>
              </w:rPr>
              <w:t>950,000</w:t>
            </w:r>
          </w:p>
        </w:tc>
        <w:tc>
          <w:tcPr>
            <w:tcW w:w="50" w:type="pct"/>
            <w:shd w:val="clear" w:color="auto" w:fill="FFFFFF"/>
            <w:vAlign w:val="bottom"/>
            <w:hideMark/>
          </w:tcPr>
          <w:p w14:paraId="4F7F81F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9AA7D9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CA19413"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6AEFF7D4" w14:textId="77777777">
        <w:trPr>
          <w:tblCellSpacing w:w="0" w:type="dxa"/>
        </w:trPr>
        <w:tc>
          <w:tcPr>
            <w:tcW w:w="50" w:type="pct"/>
            <w:shd w:val="clear" w:color="auto" w:fill="CCEEFF"/>
            <w:vAlign w:val="bottom"/>
            <w:hideMark/>
          </w:tcPr>
          <w:p w14:paraId="2789704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EA43B76" w14:textId="77777777" w:rsidR="00000000" w:rsidRDefault="0053651E">
            <w:pPr>
              <w:pStyle w:val="a3"/>
              <w:spacing w:before="0" w:beforeAutospacing="0" w:after="0" w:afterAutospacing="0"/>
              <w:rPr>
                <w:sz w:val="16"/>
                <w:szCs w:val="16"/>
              </w:rPr>
            </w:pPr>
            <w:r>
              <w:rPr>
                <w:sz w:val="16"/>
                <w:szCs w:val="16"/>
              </w:rPr>
              <w:t>MASPETH QUEENS-DUANE READE</w:t>
            </w:r>
          </w:p>
        </w:tc>
        <w:tc>
          <w:tcPr>
            <w:tcW w:w="150" w:type="pct"/>
            <w:shd w:val="clear" w:color="auto" w:fill="CCEEFF"/>
            <w:vAlign w:val="bottom"/>
            <w:hideMark/>
          </w:tcPr>
          <w:p w14:paraId="5D8A1381"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151B1C73" w14:textId="77777777" w:rsidR="00000000" w:rsidRDefault="0053651E">
            <w:pPr>
              <w:jc w:val="right"/>
              <w:rPr>
                <w:rFonts w:eastAsia="Times New Roman"/>
                <w:sz w:val="16"/>
                <w:szCs w:val="16"/>
              </w:rPr>
            </w:pPr>
            <w:r>
              <w:rPr>
                <w:rFonts w:eastAsia="Times New Roman"/>
                <w:sz w:val="16"/>
                <w:szCs w:val="16"/>
              </w:rPr>
              <w:t>1,872,013</w:t>
            </w:r>
          </w:p>
        </w:tc>
        <w:tc>
          <w:tcPr>
            <w:tcW w:w="550" w:type="pct"/>
            <w:shd w:val="clear" w:color="auto" w:fill="CCEEFF"/>
            <w:vAlign w:val="bottom"/>
            <w:hideMark/>
          </w:tcPr>
          <w:p w14:paraId="4C1F206C" w14:textId="77777777" w:rsidR="00000000" w:rsidRDefault="0053651E">
            <w:pPr>
              <w:jc w:val="right"/>
              <w:rPr>
                <w:rFonts w:eastAsia="Times New Roman"/>
                <w:sz w:val="16"/>
                <w:szCs w:val="16"/>
              </w:rPr>
            </w:pPr>
            <w:r>
              <w:rPr>
                <w:rFonts w:eastAsia="Times New Roman"/>
                <w:sz w:val="16"/>
                <w:szCs w:val="16"/>
              </w:rPr>
              <w:t>4,827,940</w:t>
            </w:r>
          </w:p>
        </w:tc>
        <w:tc>
          <w:tcPr>
            <w:tcW w:w="350" w:type="pct"/>
            <w:shd w:val="clear" w:color="auto" w:fill="CCEEFF"/>
            <w:vAlign w:val="bottom"/>
            <w:hideMark/>
          </w:tcPr>
          <w:p w14:paraId="612BB55C" w14:textId="77777777" w:rsidR="00000000" w:rsidRDefault="0053651E">
            <w:pPr>
              <w:jc w:val="right"/>
              <w:rPr>
                <w:rFonts w:eastAsia="Times New Roman"/>
                <w:sz w:val="16"/>
                <w:szCs w:val="16"/>
              </w:rPr>
            </w:pPr>
            <w:r>
              <w:rPr>
                <w:rFonts w:eastAsia="Times New Roman"/>
                <w:sz w:val="16"/>
                <w:szCs w:val="16"/>
              </w:rPr>
              <w:t>1,036,886</w:t>
            </w:r>
          </w:p>
        </w:tc>
        <w:tc>
          <w:tcPr>
            <w:tcW w:w="300" w:type="pct"/>
            <w:shd w:val="clear" w:color="auto" w:fill="CCEEFF"/>
            <w:vAlign w:val="bottom"/>
            <w:hideMark/>
          </w:tcPr>
          <w:p w14:paraId="64D97A5D" w14:textId="77777777" w:rsidR="00000000" w:rsidRDefault="0053651E">
            <w:pPr>
              <w:jc w:val="right"/>
              <w:rPr>
                <w:rFonts w:eastAsia="Times New Roman"/>
                <w:sz w:val="16"/>
                <w:szCs w:val="16"/>
              </w:rPr>
            </w:pPr>
            <w:r>
              <w:rPr>
                <w:rFonts w:eastAsia="Times New Roman"/>
                <w:sz w:val="16"/>
                <w:szCs w:val="16"/>
              </w:rPr>
              <w:t>1,872,013</w:t>
            </w:r>
          </w:p>
        </w:tc>
        <w:tc>
          <w:tcPr>
            <w:tcW w:w="450" w:type="pct"/>
            <w:shd w:val="clear" w:color="auto" w:fill="CCEEFF"/>
            <w:vAlign w:val="bottom"/>
            <w:hideMark/>
          </w:tcPr>
          <w:p w14:paraId="063829DD" w14:textId="77777777" w:rsidR="00000000" w:rsidRDefault="0053651E">
            <w:pPr>
              <w:jc w:val="right"/>
              <w:rPr>
                <w:rFonts w:eastAsia="Times New Roman"/>
                <w:sz w:val="16"/>
                <w:szCs w:val="16"/>
              </w:rPr>
            </w:pPr>
            <w:r>
              <w:rPr>
                <w:rFonts w:eastAsia="Times New Roman"/>
                <w:sz w:val="16"/>
                <w:szCs w:val="16"/>
              </w:rPr>
              <w:t>5,864,826</w:t>
            </w:r>
          </w:p>
        </w:tc>
        <w:tc>
          <w:tcPr>
            <w:tcW w:w="350" w:type="pct"/>
            <w:shd w:val="clear" w:color="auto" w:fill="CCEEFF"/>
            <w:vAlign w:val="bottom"/>
            <w:hideMark/>
          </w:tcPr>
          <w:p w14:paraId="33AAC23A" w14:textId="77777777" w:rsidR="00000000" w:rsidRDefault="0053651E">
            <w:pPr>
              <w:jc w:val="right"/>
              <w:rPr>
                <w:rFonts w:eastAsia="Times New Roman"/>
                <w:sz w:val="16"/>
                <w:szCs w:val="16"/>
              </w:rPr>
            </w:pPr>
            <w:r>
              <w:rPr>
                <w:rFonts w:eastAsia="Times New Roman"/>
                <w:sz w:val="16"/>
                <w:szCs w:val="16"/>
              </w:rPr>
              <w:t>7,736,839</w:t>
            </w:r>
          </w:p>
        </w:tc>
        <w:tc>
          <w:tcPr>
            <w:tcW w:w="400" w:type="pct"/>
            <w:shd w:val="clear" w:color="auto" w:fill="CCEEFF"/>
            <w:vAlign w:val="bottom"/>
            <w:hideMark/>
          </w:tcPr>
          <w:p w14:paraId="38E9F4BA" w14:textId="77777777" w:rsidR="00000000" w:rsidRDefault="0053651E">
            <w:pPr>
              <w:jc w:val="right"/>
              <w:rPr>
                <w:rFonts w:eastAsia="Times New Roman"/>
                <w:sz w:val="16"/>
                <w:szCs w:val="16"/>
              </w:rPr>
            </w:pPr>
            <w:r>
              <w:rPr>
                <w:rFonts w:eastAsia="Times New Roman"/>
                <w:sz w:val="16"/>
                <w:szCs w:val="16"/>
              </w:rPr>
              <w:t>2,267,372</w:t>
            </w:r>
          </w:p>
        </w:tc>
        <w:tc>
          <w:tcPr>
            <w:tcW w:w="50" w:type="pct"/>
            <w:shd w:val="clear" w:color="auto" w:fill="CCEEFF"/>
            <w:vAlign w:val="bottom"/>
            <w:hideMark/>
          </w:tcPr>
          <w:p w14:paraId="025E4C4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6A0146E" w14:textId="77777777" w:rsidR="00000000" w:rsidRDefault="0053651E">
            <w:pPr>
              <w:jc w:val="right"/>
              <w:rPr>
                <w:rFonts w:eastAsia="Times New Roman"/>
                <w:sz w:val="16"/>
                <w:szCs w:val="16"/>
              </w:rPr>
            </w:pPr>
            <w:r>
              <w:rPr>
                <w:rFonts w:eastAsia="Times New Roman"/>
                <w:sz w:val="16"/>
                <w:szCs w:val="16"/>
              </w:rPr>
              <w:t>5,469,467</w:t>
            </w:r>
          </w:p>
        </w:tc>
        <w:tc>
          <w:tcPr>
            <w:tcW w:w="50" w:type="pct"/>
            <w:shd w:val="clear" w:color="auto" w:fill="CCEEFF"/>
            <w:vAlign w:val="bottom"/>
            <w:hideMark/>
          </w:tcPr>
          <w:p w14:paraId="763CB05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1466F4C" w14:textId="77777777" w:rsidR="00000000" w:rsidRDefault="0053651E">
            <w:pPr>
              <w:jc w:val="right"/>
              <w:rPr>
                <w:rFonts w:eastAsia="Times New Roman"/>
                <w:sz w:val="16"/>
                <w:szCs w:val="16"/>
              </w:rPr>
            </w:pPr>
            <w:r>
              <w:rPr>
                <w:rFonts w:eastAsia="Times New Roman"/>
                <w:sz w:val="16"/>
                <w:szCs w:val="16"/>
              </w:rPr>
              <w:t>1,733,522</w:t>
            </w:r>
          </w:p>
        </w:tc>
        <w:tc>
          <w:tcPr>
            <w:tcW w:w="500" w:type="pct"/>
            <w:shd w:val="clear" w:color="auto" w:fill="CCEEFF"/>
            <w:vAlign w:val="bottom"/>
            <w:hideMark/>
          </w:tcPr>
          <w:p w14:paraId="56288129"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43403380" w14:textId="77777777">
        <w:trPr>
          <w:tblCellSpacing w:w="0" w:type="dxa"/>
        </w:trPr>
        <w:tc>
          <w:tcPr>
            <w:tcW w:w="50" w:type="pct"/>
            <w:shd w:val="clear" w:color="auto" w:fill="FFFFFF"/>
            <w:vAlign w:val="bottom"/>
            <w:hideMark/>
          </w:tcPr>
          <w:p w14:paraId="13037C7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7CAFC90" w14:textId="77777777" w:rsidR="00000000" w:rsidRDefault="0053651E">
            <w:pPr>
              <w:pStyle w:val="a3"/>
              <w:spacing w:before="0" w:beforeAutospacing="0" w:after="0" w:afterAutospacing="0"/>
              <w:rPr>
                <w:sz w:val="16"/>
                <w:szCs w:val="16"/>
              </w:rPr>
            </w:pPr>
            <w:r>
              <w:rPr>
                <w:sz w:val="16"/>
                <w:szCs w:val="16"/>
              </w:rPr>
              <w:t>NORTH MASSAPEQUA S.C.</w:t>
            </w:r>
          </w:p>
        </w:tc>
        <w:tc>
          <w:tcPr>
            <w:tcW w:w="150" w:type="pct"/>
            <w:shd w:val="clear" w:color="auto" w:fill="FFFFFF"/>
            <w:vAlign w:val="bottom"/>
            <w:hideMark/>
          </w:tcPr>
          <w:p w14:paraId="1147C22F"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08F13C73" w14:textId="77777777" w:rsidR="00000000" w:rsidRDefault="0053651E">
            <w:pPr>
              <w:jc w:val="right"/>
              <w:rPr>
                <w:rFonts w:eastAsia="Times New Roman"/>
                <w:sz w:val="16"/>
                <w:szCs w:val="16"/>
              </w:rPr>
            </w:pPr>
            <w:r>
              <w:rPr>
                <w:rFonts w:eastAsia="Times New Roman"/>
                <w:sz w:val="16"/>
                <w:szCs w:val="16"/>
              </w:rPr>
              <w:t>1,880,816</w:t>
            </w:r>
          </w:p>
        </w:tc>
        <w:tc>
          <w:tcPr>
            <w:tcW w:w="550" w:type="pct"/>
            <w:shd w:val="clear" w:color="auto" w:fill="FFFFFF"/>
            <w:vAlign w:val="bottom"/>
            <w:hideMark/>
          </w:tcPr>
          <w:p w14:paraId="29A8C42C" w14:textId="77777777" w:rsidR="00000000" w:rsidRDefault="0053651E">
            <w:pPr>
              <w:jc w:val="right"/>
              <w:rPr>
                <w:rFonts w:eastAsia="Times New Roman"/>
                <w:sz w:val="16"/>
                <w:szCs w:val="16"/>
              </w:rPr>
            </w:pPr>
            <w:r>
              <w:rPr>
                <w:rFonts w:eastAsia="Times New Roman"/>
                <w:sz w:val="16"/>
                <w:szCs w:val="16"/>
              </w:rPr>
              <w:t>4,388,549</w:t>
            </w:r>
          </w:p>
        </w:tc>
        <w:tc>
          <w:tcPr>
            <w:tcW w:w="350" w:type="pct"/>
            <w:shd w:val="clear" w:color="auto" w:fill="FFFFFF"/>
            <w:vAlign w:val="bottom"/>
            <w:hideMark/>
          </w:tcPr>
          <w:p w14:paraId="4A7A8EE5" w14:textId="77777777" w:rsidR="00000000" w:rsidRDefault="0053651E">
            <w:pPr>
              <w:jc w:val="right"/>
              <w:rPr>
                <w:rFonts w:eastAsia="Times New Roman"/>
                <w:sz w:val="16"/>
                <w:szCs w:val="16"/>
              </w:rPr>
            </w:pPr>
            <w:r>
              <w:rPr>
                <w:rFonts w:eastAsia="Times New Roman"/>
                <w:sz w:val="16"/>
                <w:szCs w:val="16"/>
              </w:rPr>
              <w:t>(1,964,468)</w:t>
            </w:r>
          </w:p>
        </w:tc>
        <w:tc>
          <w:tcPr>
            <w:tcW w:w="300" w:type="pct"/>
            <w:shd w:val="clear" w:color="auto" w:fill="FFFFFF"/>
            <w:vAlign w:val="bottom"/>
            <w:hideMark/>
          </w:tcPr>
          <w:p w14:paraId="5AC8C8E6"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63CFF3FF" w14:textId="77777777" w:rsidR="00000000" w:rsidRDefault="0053651E">
            <w:pPr>
              <w:jc w:val="right"/>
              <w:rPr>
                <w:rFonts w:eastAsia="Times New Roman"/>
                <w:sz w:val="16"/>
                <w:szCs w:val="16"/>
              </w:rPr>
            </w:pPr>
            <w:r>
              <w:rPr>
                <w:rFonts w:eastAsia="Times New Roman"/>
                <w:sz w:val="16"/>
                <w:szCs w:val="16"/>
              </w:rPr>
              <w:t>4,304,897</w:t>
            </w:r>
          </w:p>
        </w:tc>
        <w:tc>
          <w:tcPr>
            <w:tcW w:w="350" w:type="pct"/>
            <w:shd w:val="clear" w:color="auto" w:fill="FFFFFF"/>
            <w:vAlign w:val="bottom"/>
            <w:hideMark/>
          </w:tcPr>
          <w:p w14:paraId="3BD072AD" w14:textId="77777777" w:rsidR="00000000" w:rsidRDefault="0053651E">
            <w:pPr>
              <w:jc w:val="right"/>
              <w:rPr>
                <w:rFonts w:eastAsia="Times New Roman"/>
                <w:sz w:val="16"/>
                <w:szCs w:val="16"/>
              </w:rPr>
            </w:pPr>
            <w:r>
              <w:rPr>
                <w:rFonts w:eastAsia="Times New Roman"/>
                <w:sz w:val="16"/>
                <w:szCs w:val="16"/>
              </w:rPr>
              <w:t>4,304,897</w:t>
            </w:r>
          </w:p>
        </w:tc>
        <w:tc>
          <w:tcPr>
            <w:tcW w:w="400" w:type="pct"/>
            <w:shd w:val="clear" w:color="auto" w:fill="FFFFFF"/>
            <w:vAlign w:val="bottom"/>
            <w:hideMark/>
          </w:tcPr>
          <w:p w14:paraId="46CC260C" w14:textId="77777777" w:rsidR="00000000" w:rsidRDefault="0053651E">
            <w:pPr>
              <w:jc w:val="right"/>
              <w:rPr>
                <w:rFonts w:eastAsia="Times New Roman"/>
                <w:sz w:val="16"/>
                <w:szCs w:val="16"/>
              </w:rPr>
            </w:pPr>
            <w:r>
              <w:rPr>
                <w:rFonts w:eastAsia="Times New Roman"/>
                <w:sz w:val="16"/>
                <w:szCs w:val="16"/>
              </w:rPr>
              <w:t>4,304,897</w:t>
            </w:r>
          </w:p>
        </w:tc>
        <w:tc>
          <w:tcPr>
            <w:tcW w:w="50" w:type="pct"/>
            <w:shd w:val="clear" w:color="auto" w:fill="FFFFFF"/>
            <w:vAlign w:val="bottom"/>
            <w:hideMark/>
          </w:tcPr>
          <w:p w14:paraId="20DC73F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459FA96" w14:textId="77777777" w:rsidR="00000000" w:rsidRDefault="0053651E">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EF323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56767F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B0D2B39"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1CAF136A" w14:textId="77777777">
        <w:trPr>
          <w:tblCellSpacing w:w="0" w:type="dxa"/>
        </w:trPr>
        <w:tc>
          <w:tcPr>
            <w:tcW w:w="50" w:type="pct"/>
            <w:shd w:val="clear" w:color="auto" w:fill="CCEEFF"/>
            <w:vAlign w:val="bottom"/>
            <w:hideMark/>
          </w:tcPr>
          <w:p w14:paraId="110490D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7354BB0" w14:textId="77777777" w:rsidR="00000000" w:rsidRDefault="0053651E">
            <w:pPr>
              <w:pStyle w:val="a3"/>
              <w:spacing w:before="0" w:beforeAutospacing="0" w:after="0" w:afterAutospacing="0"/>
              <w:rPr>
                <w:sz w:val="16"/>
                <w:szCs w:val="16"/>
              </w:rPr>
            </w:pPr>
            <w:r>
              <w:rPr>
                <w:sz w:val="16"/>
                <w:szCs w:val="16"/>
              </w:rPr>
              <w:t>MINEOLA CROSSINGS</w:t>
            </w:r>
          </w:p>
        </w:tc>
        <w:tc>
          <w:tcPr>
            <w:tcW w:w="150" w:type="pct"/>
            <w:shd w:val="clear" w:color="auto" w:fill="CCEEFF"/>
            <w:vAlign w:val="bottom"/>
            <w:hideMark/>
          </w:tcPr>
          <w:p w14:paraId="52A598FF"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35EB446E" w14:textId="77777777" w:rsidR="00000000" w:rsidRDefault="0053651E">
            <w:pPr>
              <w:jc w:val="right"/>
              <w:rPr>
                <w:rFonts w:eastAsia="Times New Roman"/>
                <w:sz w:val="16"/>
                <w:szCs w:val="16"/>
              </w:rPr>
            </w:pPr>
            <w:r>
              <w:rPr>
                <w:rFonts w:eastAsia="Times New Roman"/>
                <w:sz w:val="16"/>
                <w:szCs w:val="16"/>
              </w:rPr>
              <w:t>4,150,000</w:t>
            </w:r>
          </w:p>
        </w:tc>
        <w:tc>
          <w:tcPr>
            <w:tcW w:w="550" w:type="pct"/>
            <w:shd w:val="clear" w:color="auto" w:fill="CCEEFF"/>
            <w:vAlign w:val="bottom"/>
            <w:hideMark/>
          </w:tcPr>
          <w:p w14:paraId="1DAD08FA" w14:textId="77777777" w:rsidR="00000000" w:rsidRDefault="0053651E">
            <w:pPr>
              <w:jc w:val="right"/>
              <w:rPr>
                <w:rFonts w:eastAsia="Times New Roman"/>
                <w:sz w:val="16"/>
                <w:szCs w:val="16"/>
              </w:rPr>
            </w:pPr>
            <w:r>
              <w:rPr>
                <w:rFonts w:eastAsia="Times New Roman"/>
                <w:sz w:val="16"/>
                <w:szCs w:val="16"/>
              </w:rPr>
              <w:t>7,520,692</w:t>
            </w:r>
          </w:p>
        </w:tc>
        <w:tc>
          <w:tcPr>
            <w:tcW w:w="350" w:type="pct"/>
            <w:shd w:val="clear" w:color="auto" w:fill="CCEEFF"/>
            <w:vAlign w:val="bottom"/>
            <w:hideMark/>
          </w:tcPr>
          <w:p w14:paraId="123E3092" w14:textId="77777777" w:rsidR="00000000" w:rsidRDefault="0053651E">
            <w:pPr>
              <w:jc w:val="right"/>
              <w:rPr>
                <w:rFonts w:eastAsia="Times New Roman"/>
                <w:sz w:val="16"/>
                <w:szCs w:val="16"/>
              </w:rPr>
            </w:pPr>
            <w:r>
              <w:rPr>
                <w:rFonts w:eastAsia="Times New Roman"/>
                <w:sz w:val="16"/>
                <w:szCs w:val="16"/>
              </w:rPr>
              <w:t>381,643</w:t>
            </w:r>
          </w:p>
        </w:tc>
        <w:tc>
          <w:tcPr>
            <w:tcW w:w="300" w:type="pct"/>
            <w:shd w:val="clear" w:color="auto" w:fill="CCEEFF"/>
            <w:vAlign w:val="bottom"/>
            <w:hideMark/>
          </w:tcPr>
          <w:p w14:paraId="76DA0B08" w14:textId="77777777" w:rsidR="00000000" w:rsidRDefault="0053651E">
            <w:pPr>
              <w:jc w:val="right"/>
              <w:rPr>
                <w:rFonts w:eastAsia="Times New Roman"/>
                <w:sz w:val="16"/>
                <w:szCs w:val="16"/>
              </w:rPr>
            </w:pPr>
            <w:r>
              <w:rPr>
                <w:rFonts w:eastAsia="Times New Roman"/>
                <w:sz w:val="16"/>
                <w:szCs w:val="16"/>
              </w:rPr>
              <w:t>4,150,000</w:t>
            </w:r>
          </w:p>
        </w:tc>
        <w:tc>
          <w:tcPr>
            <w:tcW w:w="450" w:type="pct"/>
            <w:shd w:val="clear" w:color="auto" w:fill="CCEEFF"/>
            <w:vAlign w:val="bottom"/>
            <w:hideMark/>
          </w:tcPr>
          <w:p w14:paraId="25E62260" w14:textId="77777777" w:rsidR="00000000" w:rsidRDefault="0053651E">
            <w:pPr>
              <w:jc w:val="right"/>
              <w:rPr>
                <w:rFonts w:eastAsia="Times New Roman"/>
                <w:sz w:val="16"/>
                <w:szCs w:val="16"/>
              </w:rPr>
            </w:pPr>
            <w:r>
              <w:rPr>
                <w:rFonts w:eastAsia="Times New Roman"/>
                <w:sz w:val="16"/>
                <w:szCs w:val="16"/>
              </w:rPr>
              <w:t>7,902,335</w:t>
            </w:r>
          </w:p>
        </w:tc>
        <w:tc>
          <w:tcPr>
            <w:tcW w:w="350" w:type="pct"/>
            <w:shd w:val="clear" w:color="auto" w:fill="CCEEFF"/>
            <w:vAlign w:val="bottom"/>
            <w:hideMark/>
          </w:tcPr>
          <w:p w14:paraId="08C18915" w14:textId="77777777" w:rsidR="00000000" w:rsidRDefault="0053651E">
            <w:pPr>
              <w:jc w:val="right"/>
              <w:rPr>
                <w:rFonts w:eastAsia="Times New Roman"/>
                <w:sz w:val="16"/>
                <w:szCs w:val="16"/>
              </w:rPr>
            </w:pPr>
            <w:r>
              <w:rPr>
                <w:rFonts w:eastAsia="Times New Roman"/>
                <w:sz w:val="16"/>
                <w:szCs w:val="16"/>
              </w:rPr>
              <w:t>12,052,335</w:t>
            </w:r>
          </w:p>
        </w:tc>
        <w:tc>
          <w:tcPr>
            <w:tcW w:w="400" w:type="pct"/>
            <w:shd w:val="clear" w:color="auto" w:fill="CCEEFF"/>
            <w:vAlign w:val="bottom"/>
            <w:hideMark/>
          </w:tcPr>
          <w:p w14:paraId="03B493B2" w14:textId="77777777" w:rsidR="00000000" w:rsidRDefault="0053651E">
            <w:pPr>
              <w:jc w:val="right"/>
              <w:rPr>
                <w:rFonts w:eastAsia="Times New Roman"/>
                <w:sz w:val="16"/>
                <w:szCs w:val="16"/>
              </w:rPr>
            </w:pPr>
            <w:r>
              <w:rPr>
                <w:rFonts w:eastAsia="Times New Roman"/>
                <w:sz w:val="16"/>
                <w:szCs w:val="16"/>
              </w:rPr>
              <w:t>2,532,702</w:t>
            </w:r>
          </w:p>
        </w:tc>
        <w:tc>
          <w:tcPr>
            <w:tcW w:w="50" w:type="pct"/>
            <w:shd w:val="clear" w:color="auto" w:fill="CCEEFF"/>
            <w:vAlign w:val="bottom"/>
            <w:hideMark/>
          </w:tcPr>
          <w:p w14:paraId="4192B57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4482046" w14:textId="77777777" w:rsidR="00000000" w:rsidRDefault="0053651E">
            <w:pPr>
              <w:jc w:val="right"/>
              <w:rPr>
                <w:rFonts w:eastAsia="Times New Roman"/>
                <w:sz w:val="16"/>
                <w:szCs w:val="16"/>
              </w:rPr>
            </w:pPr>
            <w:r>
              <w:rPr>
                <w:rFonts w:eastAsia="Times New Roman"/>
                <w:sz w:val="16"/>
                <w:szCs w:val="16"/>
              </w:rPr>
              <w:t>9,519,633</w:t>
            </w:r>
          </w:p>
        </w:tc>
        <w:tc>
          <w:tcPr>
            <w:tcW w:w="50" w:type="pct"/>
            <w:shd w:val="clear" w:color="auto" w:fill="CCEEFF"/>
            <w:vAlign w:val="bottom"/>
            <w:hideMark/>
          </w:tcPr>
          <w:p w14:paraId="4E0ADDF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1F14F7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181D401"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6A3C4133" w14:textId="77777777">
        <w:trPr>
          <w:tblCellSpacing w:w="0" w:type="dxa"/>
        </w:trPr>
        <w:tc>
          <w:tcPr>
            <w:tcW w:w="50" w:type="pct"/>
            <w:shd w:val="clear" w:color="auto" w:fill="FFFFFF"/>
            <w:vAlign w:val="bottom"/>
            <w:hideMark/>
          </w:tcPr>
          <w:p w14:paraId="0388967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A00F540" w14:textId="77777777" w:rsidR="00000000" w:rsidRDefault="0053651E">
            <w:pPr>
              <w:pStyle w:val="a3"/>
              <w:spacing w:before="0" w:beforeAutospacing="0" w:after="0" w:afterAutospacing="0"/>
              <w:rPr>
                <w:sz w:val="16"/>
                <w:szCs w:val="16"/>
              </w:rPr>
            </w:pPr>
            <w:r>
              <w:rPr>
                <w:sz w:val="16"/>
                <w:szCs w:val="16"/>
              </w:rPr>
              <w:t>SMITHTOWN PLAZA</w:t>
            </w:r>
          </w:p>
        </w:tc>
        <w:tc>
          <w:tcPr>
            <w:tcW w:w="150" w:type="pct"/>
            <w:shd w:val="clear" w:color="auto" w:fill="FFFFFF"/>
            <w:vAlign w:val="bottom"/>
            <w:hideMark/>
          </w:tcPr>
          <w:p w14:paraId="01CD5D90"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3E8B1177" w14:textId="77777777" w:rsidR="00000000" w:rsidRDefault="0053651E">
            <w:pPr>
              <w:jc w:val="right"/>
              <w:rPr>
                <w:rFonts w:eastAsia="Times New Roman"/>
                <w:sz w:val="16"/>
                <w:szCs w:val="16"/>
              </w:rPr>
            </w:pPr>
            <w:r>
              <w:rPr>
                <w:rFonts w:eastAsia="Times New Roman"/>
                <w:sz w:val="16"/>
                <w:szCs w:val="16"/>
              </w:rPr>
              <w:t>3,528,000</w:t>
            </w:r>
          </w:p>
        </w:tc>
        <w:tc>
          <w:tcPr>
            <w:tcW w:w="550" w:type="pct"/>
            <w:shd w:val="clear" w:color="auto" w:fill="FFFFFF"/>
            <w:vAlign w:val="bottom"/>
            <w:hideMark/>
          </w:tcPr>
          <w:p w14:paraId="7829C5E4" w14:textId="77777777" w:rsidR="00000000" w:rsidRDefault="0053651E">
            <w:pPr>
              <w:jc w:val="right"/>
              <w:rPr>
                <w:rFonts w:eastAsia="Times New Roman"/>
                <w:sz w:val="16"/>
                <w:szCs w:val="16"/>
              </w:rPr>
            </w:pPr>
            <w:r>
              <w:rPr>
                <w:rFonts w:eastAsia="Times New Roman"/>
                <w:sz w:val="16"/>
                <w:szCs w:val="16"/>
              </w:rPr>
              <w:t>7,364,098</w:t>
            </w:r>
          </w:p>
        </w:tc>
        <w:tc>
          <w:tcPr>
            <w:tcW w:w="350" w:type="pct"/>
            <w:shd w:val="clear" w:color="auto" w:fill="FFFFFF"/>
            <w:vAlign w:val="bottom"/>
            <w:hideMark/>
          </w:tcPr>
          <w:p w14:paraId="7599AD7E" w14:textId="77777777" w:rsidR="00000000" w:rsidRDefault="0053651E">
            <w:pPr>
              <w:jc w:val="right"/>
              <w:rPr>
                <w:rFonts w:eastAsia="Times New Roman"/>
                <w:sz w:val="16"/>
                <w:szCs w:val="16"/>
              </w:rPr>
            </w:pPr>
            <w:r>
              <w:rPr>
                <w:rFonts w:eastAsia="Times New Roman"/>
                <w:sz w:val="16"/>
                <w:szCs w:val="16"/>
              </w:rPr>
              <w:t>553,338</w:t>
            </w:r>
          </w:p>
        </w:tc>
        <w:tc>
          <w:tcPr>
            <w:tcW w:w="300" w:type="pct"/>
            <w:shd w:val="clear" w:color="auto" w:fill="FFFFFF"/>
            <w:vAlign w:val="bottom"/>
            <w:hideMark/>
          </w:tcPr>
          <w:p w14:paraId="23A1A9BF" w14:textId="77777777" w:rsidR="00000000" w:rsidRDefault="0053651E">
            <w:pPr>
              <w:jc w:val="right"/>
              <w:rPr>
                <w:rFonts w:eastAsia="Times New Roman"/>
                <w:sz w:val="16"/>
                <w:szCs w:val="16"/>
              </w:rPr>
            </w:pPr>
            <w:r>
              <w:rPr>
                <w:rFonts w:eastAsia="Times New Roman"/>
                <w:sz w:val="16"/>
                <w:szCs w:val="16"/>
              </w:rPr>
              <w:t>3,528,000</w:t>
            </w:r>
          </w:p>
        </w:tc>
        <w:tc>
          <w:tcPr>
            <w:tcW w:w="450" w:type="pct"/>
            <w:shd w:val="clear" w:color="auto" w:fill="FFFFFF"/>
            <w:vAlign w:val="bottom"/>
            <w:hideMark/>
          </w:tcPr>
          <w:p w14:paraId="0BF9B851" w14:textId="77777777" w:rsidR="00000000" w:rsidRDefault="0053651E">
            <w:pPr>
              <w:jc w:val="right"/>
              <w:rPr>
                <w:rFonts w:eastAsia="Times New Roman"/>
                <w:sz w:val="16"/>
                <w:szCs w:val="16"/>
              </w:rPr>
            </w:pPr>
            <w:r>
              <w:rPr>
                <w:rFonts w:eastAsia="Times New Roman"/>
                <w:sz w:val="16"/>
                <w:szCs w:val="16"/>
              </w:rPr>
              <w:t>7,917,436</w:t>
            </w:r>
          </w:p>
        </w:tc>
        <w:tc>
          <w:tcPr>
            <w:tcW w:w="350" w:type="pct"/>
            <w:shd w:val="clear" w:color="auto" w:fill="FFFFFF"/>
            <w:vAlign w:val="bottom"/>
            <w:hideMark/>
          </w:tcPr>
          <w:p w14:paraId="0620AA2F" w14:textId="77777777" w:rsidR="00000000" w:rsidRDefault="0053651E">
            <w:pPr>
              <w:jc w:val="right"/>
              <w:rPr>
                <w:rFonts w:eastAsia="Times New Roman"/>
                <w:sz w:val="16"/>
                <w:szCs w:val="16"/>
              </w:rPr>
            </w:pPr>
            <w:r>
              <w:rPr>
                <w:rFonts w:eastAsia="Times New Roman"/>
                <w:sz w:val="16"/>
                <w:szCs w:val="16"/>
              </w:rPr>
              <w:t>11,445,436</w:t>
            </w:r>
          </w:p>
        </w:tc>
        <w:tc>
          <w:tcPr>
            <w:tcW w:w="400" w:type="pct"/>
            <w:shd w:val="clear" w:color="auto" w:fill="FFFFFF"/>
            <w:vAlign w:val="bottom"/>
            <w:hideMark/>
          </w:tcPr>
          <w:p w14:paraId="2E2D8DBD" w14:textId="77777777" w:rsidR="00000000" w:rsidRDefault="0053651E">
            <w:pPr>
              <w:jc w:val="right"/>
              <w:rPr>
                <w:rFonts w:eastAsia="Times New Roman"/>
                <w:sz w:val="16"/>
                <w:szCs w:val="16"/>
              </w:rPr>
            </w:pPr>
            <w:r>
              <w:rPr>
                <w:rFonts w:eastAsia="Times New Roman"/>
                <w:sz w:val="16"/>
                <w:szCs w:val="16"/>
              </w:rPr>
              <w:t>3,300,345</w:t>
            </w:r>
          </w:p>
        </w:tc>
        <w:tc>
          <w:tcPr>
            <w:tcW w:w="50" w:type="pct"/>
            <w:shd w:val="clear" w:color="auto" w:fill="FFFFFF"/>
            <w:vAlign w:val="bottom"/>
            <w:hideMark/>
          </w:tcPr>
          <w:p w14:paraId="24A35C2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A126157" w14:textId="77777777" w:rsidR="00000000" w:rsidRDefault="0053651E">
            <w:pPr>
              <w:jc w:val="right"/>
              <w:rPr>
                <w:rFonts w:eastAsia="Times New Roman"/>
                <w:sz w:val="16"/>
                <w:szCs w:val="16"/>
              </w:rPr>
            </w:pPr>
            <w:r>
              <w:rPr>
                <w:rFonts w:eastAsia="Times New Roman"/>
                <w:sz w:val="16"/>
                <w:szCs w:val="16"/>
              </w:rPr>
              <w:t>8,145,091</w:t>
            </w:r>
          </w:p>
        </w:tc>
        <w:tc>
          <w:tcPr>
            <w:tcW w:w="50" w:type="pct"/>
            <w:shd w:val="clear" w:color="auto" w:fill="FFFFFF"/>
            <w:vAlign w:val="bottom"/>
            <w:hideMark/>
          </w:tcPr>
          <w:p w14:paraId="1E2D0A0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0E70DC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B078312"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1F224534" w14:textId="77777777">
        <w:trPr>
          <w:tblCellSpacing w:w="0" w:type="dxa"/>
        </w:trPr>
        <w:tc>
          <w:tcPr>
            <w:tcW w:w="50" w:type="pct"/>
            <w:shd w:val="clear" w:color="auto" w:fill="CCEEFF"/>
            <w:vAlign w:val="bottom"/>
            <w:hideMark/>
          </w:tcPr>
          <w:p w14:paraId="249E1E8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1057163" w14:textId="77777777" w:rsidR="00000000" w:rsidRDefault="0053651E">
            <w:pPr>
              <w:pStyle w:val="a3"/>
              <w:spacing w:before="0" w:beforeAutospacing="0" w:after="0" w:afterAutospacing="0"/>
              <w:rPr>
                <w:sz w:val="16"/>
                <w:szCs w:val="16"/>
              </w:rPr>
            </w:pPr>
            <w:r>
              <w:rPr>
                <w:sz w:val="16"/>
                <w:szCs w:val="16"/>
              </w:rPr>
              <w:t>MANETTO HILL PLAZA</w:t>
            </w:r>
          </w:p>
        </w:tc>
        <w:tc>
          <w:tcPr>
            <w:tcW w:w="150" w:type="pct"/>
            <w:shd w:val="clear" w:color="auto" w:fill="CCEEFF"/>
            <w:vAlign w:val="bottom"/>
            <w:hideMark/>
          </w:tcPr>
          <w:p w14:paraId="28DBCF17"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13A45CF5" w14:textId="77777777" w:rsidR="00000000" w:rsidRDefault="0053651E">
            <w:pPr>
              <w:jc w:val="right"/>
              <w:rPr>
                <w:rFonts w:eastAsia="Times New Roman"/>
                <w:sz w:val="16"/>
                <w:szCs w:val="16"/>
              </w:rPr>
            </w:pPr>
            <w:r>
              <w:rPr>
                <w:rFonts w:eastAsia="Times New Roman"/>
                <w:sz w:val="16"/>
                <w:szCs w:val="16"/>
              </w:rPr>
              <w:t>263,693</w:t>
            </w:r>
          </w:p>
        </w:tc>
        <w:tc>
          <w:tcPr>
            <w:tcW w:w="550" w:type="pct"/>
            <w:shd w:val="clear" w:color="auto" w:fill="CCEEFF"/>
            <w:vAlign w:val="bottom"/>
            <w:hideMark/>
          </w:tcPr>
          <w:p w14:paraId="238ECDF1" w14:textId="77777777" w:rsidR="00000000" w:rsidRDefault="0053651E">
            <w:pPr>
              <w:jc w:val="right"/>
              <w:rPr>
                <w:rFonts w:eastAsia="Times New Roman"/>
                <w:sz w:val="16"/>
                <w:szCs w:val="16"/>
              </w:rPr>
            </w:pPr>
            <w:r>
              <w:rPr>
                <w:rFonts w:eastAsia="Times New Roman"/>
                <w:sz w:val="16"/>
                <w:szCs w:val="16"/>
              </w:rPr>
              <w:t>584,031</w:t>
            </w:r>
          </w:p>
        </w:tc>
        <w:tc>
          <w:tcPr>
            <w:tcW w:w="350" w:type="pct"/>
            <w:shd w:val="clear" w:color="auto" w:fill="CCEEFF"/>
            <w:vAlign w:val="bottom"/>
            <w:hideMark/>
          </w:tcPr>
          <w:p w14:paraId="387F4D19" w14:textId="77777777" w:rsidR="00000000" w:rsidRDefault="0053651E">
            <w:pPr>
              <w:jc w:val="right"/>
              <w:rPr>
                <w:rFonts w:eastAsia="Times New Roman"/>
                <w:sz w:val="16"/>
                <w:szCs w:val="16"/>
              </w:rPr>
            </w:pPr>
            <w:r>
              <w:rPr>
                <w:rFonts w:eastAsia="Times New Roman"/>
                <w:sz w:val="16"/>
                <w:szCs w:val="16"/>
              </w:rPr>
              <w:t>11,067,210</w:t>
            </w:r>
          </w:p>
        </w:tc>
        <w:tc>
          <w:tcPr>
            <w:tcW w:w="300" w:type="pct"/>
            <w:shd w:val="clear" w:color="auto" w:fill="CCEEFF"/>
            <w:vAlign w:val="bottom"/>
            <w:hideMark/>
          </w:tcPr>
          <w:p w14:paraId="06BD9AEB" w14:textId="77777777" w:rsidR="00000000" w:rsidRDefault="0053651E">
            <w:pPr>
              <w:jc w:val="right"/>
              <w:rPr>
                <w:rFonts w:eastAsia="Times New Roman"/>
                <w:sz w:val="16"/>
                <w:szCs w:val="16"/>
              </w:rPr>
            </w:pPr>
            <w:r>
              <w:rPr>
                <w:rFonts w:eastAsia="Times New Roman"/>
                <w:sz w:val="16"/>
                <w:szCs w:val="16"/>
              </w:rPr>
              <w:t>263,693</w:t>
            </w:r>
          </w:p>
        </w:tc>
        <w:tc>
          <w:tcPr>
            <w:tcW w:w="450" w:type="pct"/>
            <w:shd w:val="clear" w:color="auto" w:fill="CCEEFF"/>
            <w:vAlign w:val="bottom"/>
            <w:hideMark/>
          </w:tcPr>
          <w:p w14:paraId="32ECCCE3" w14:textId="77777777" w:rsidR="00000000" w:rsidRDefault="0053651E">
            <w:pPr>
              <w:jc w:val="right"/>
              <w:rPr>
                <w:rFonts w:eastAsia="Times New Roman"/>
                <w:sz w:val="16"/>
                <w:szCs w:val="16"/>
              </w:rPr>
            </w:pPr>
            <w:r>
              <w:rPr>
                <w:rFonts w:eastAsia="Times New Roman"/>
                <w:sz w:val="16"/>
                <w:szCs w:val="16"/>
              </w:rPr>
              <w:t>11,651,241</w:t>
            </w:r>
          </w:p>
        </w:tc>
        <w:tc>
          <w:tcPr>
            <w:tcW w:w="350" w:type="pct"/>
            <w:shd w:val="clear" w:color="auto" w:fill="CCEEFF"/>
            <w:vAlign w:val="bottom"/>
            <w:hideMark/>
          </w:tcPr>
          <w:p w14:paraId="417CFE0D" w14:textId="77777777" w:rsidR="00000000" w:rsidRDefault="0053651E">
            <w:pPr>
              <w:jc w:val="right"/>
              <w:rPr>
                <w:rFonts w:eastAsia="Times New Roman"/>
                <w:sz w:val="16"/>
                <w:szCs w:val="16"/>
              </w:rPr>
            </w:pPr>
            <w:r>
              <w:rPr>
                <w:rFonts w:eastAsia="Times New Roman"/>
                <w:sz w:val="16"/>
                <w:szCs w:val="16"/>
              </w:rPr>
              <w:t>11,914,934</w:t>
            </w:r>
          </w:p>
        </w:tc>
        <w:tc>
          <w:tcPr>
            <w:tcW w:w="400" w:type="pct"/>
            <w:shd w:val="clear" w:color="auto" w:fill="CCEEFF"/>
            <w:vAlign w:val="bottom"/>
            <w:hideMark/>
          </w:tcPr>
          <w:p w14:paraId="732B0D8A" w14:textId="77777777" w:rsidR="00000000" w:rsidRDefault="0053651E">
            <w:pPr>
              <w:jc w:val="right"/>
              <w:rPr>
                <w:rFonts w:eastAsia="Times New Roman"/>
                <w:sz w:val="16"/>
                <w:szCs w:val="16"/>
              </w:rPr>
            </w:pPr>
            <w:r>
              <w:rPr>
                <w:rFonts w:eastAsia="Times New Roman"/>
                <w:sz w:val="16"/>
                <w:szCs w:val="16"/>
              </w:rPr>
              <w:t>7,066,502</w:t>
            </w:r>
          </w:p>
        </w:tc>
        <w:tc>
          <w:tcPr>
            <w:tcW w:w="50" w:type="pct"/>
            <w:shd w:val="clear" w:color="auto" w:fill="CCEEFF"/>
            <w:vAlign w:val="bottom"/>
            <w:hideMark/>
          </w:tcPr>
          <w:p w14:paraId="55B358A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C5CB956" w14:textId="77777777" w:rsidR="00000000" w:rsidRDefault="0053651E">
            <w:pPr>
              <w:jc w:val="right"/>
              <w:rPr>
                <w:rFonts w:eastAsia="Times New Roman"/>
                <w:sz w:val="16"/>
                <w:szCs w:val="16"/>
              </w:rPr>
            </w:pPr>
            <w:r>
              <w:rPr>
                <w:rFonts w:eastAsia="Times New Roman"/>
                <w:sz w:val="16"/>
                <w:szCs w:val="16"/>
              </w:rPr>
              <w:t>4,848,432</w:t>
            </w:r>
          </w:p>
        </w:tc>
        <w:tc>
          <w:tcPr>
            <w:tcW w:w="50" w:type="pct"/>
            <w:shd w:val="clear" w:color="auto" w:fill="CCEEFF"/>
            <w:vAlign w:val="bottom"/>
            <w:hideMark/>
          </w:tcPr>
          <w:p w14:paraId="6C3EFAB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724726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C46B1DD" w14:textId="77777777" w:rsidR="00000000" w:rsidRDefault="0053651E">
            <w:pPr>
              <w:pStyle w:val="a3"/>
              <w:spacing w:before="0" w:beforeAutospacing="0" w:after="0" w:afterAutospacing="0"/>
              <w:jc w:val="center"/>
              <w:rPr>
                <w:sz w:val="16"/>
                <w:szCs w:val="16"/>
              </w:rPr>
            </w:pPr>
            <w:r>
              <w:rPr>
                <w:rStyle w:val="a6"/>
                <w:i w:val="0"/>
                <w:iCs w:val="0"/>
                <w:sz w:val="16"/>
                <w:szCs w:val="16"/>
              </w:rPr>
              <w:t>1969(C)</w:t>
            </w:r>
          </w:p>
        </w:tc>
      </w:tr>
      <w:tr w:rsidR="00000000" w14:paraId="79196320" w14:textId="77777777">
        <w:trPr>
          <w:tblCellSpacing w:w="0" w:type="dxa"/>
        </w:trPr>
        <w:tc>
          <w:tcPr>
            <w:tcW w:w="50" w:type="pct"/>
            <w:shd w:val="clear" w:color="auto" w:fill="FFFFFF"/>
            <w:vAlign w:val="bottom"/>
            <w:hideMark/>
          </w:tcPr>
          <w:p w14:paraId="00C58E2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5EBDCE4" w14:textId="77777777" w:rsidR="00000000" w:rsidRDefault="0053651E">
            <w:pPr>
              <w:pStyle w:val="a3"/>
              <w:spacing w:before="0" w:beforeAutospacing="0" w:after="0" w:afterAutospacing="0"/>
              <w:rPr>
                <w:sz w:val="16"/>
                <w:szCs w:val="16"/>
              </w:rPr>
            </w:pPr>
            <w:r>
              <w:rPr>
                <w:sz w:val="16"/>
                <w:szCs w:val="16"/>
              </w:rPr>
              <w:t>SYOSSET S.C.</w:t>
            </w:r>
          </w:p>
        </w:tc>
        <w:tc>
          <w:tcPr>
            <w:tcW w:w="150" w:type="pct"/>
            <w:shd w:val="clear" w:color="auto" w:fill="FFFFFF"/>
            <w:vAlign w:val="bottom"/>
            <w:hideMark/>
          </w:tcPr>
          <w:p w14:paraId="3485E56E"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0FBF80A9" w14:textId="77777777" w:rsidR="00000000" w:rsidRDefault="0053651E">
            <w:pPr>
              <w:jc w:val="right"/>
              <w:rPr>
                <w:rFonts w:eastAsia="Times New Roman"/>
                <w:sz w:val="16"/>
                <w:szCs w:val="16"/>
              </w:rPr>
            </w:pPr>
            <w:r>
              <w:rPr>
                <w:rFonts w:eastAsia="Times New Roman"/>
                <w:sz w:val="16"/>
                <w:szCs w:val="16"/>
              </w:rPr>
              <w:t>106,655</w:t>
            </w:r>
          </w:p>
        </w:tc>
        <w:tc>
          <w:tcPr>
            <w:tcW w:w="550" w:type="pct"/>
            <w:shd w:val="clear" w:color="auto" w:fill="FFFFFF"/>
            <w:vAlign w:val="bottom"/>
            <w:hideMark/>
          </w:tcPr>
          <w:p w14:paraId="40B782C0" w14:textId="77777777" w:rsidR="00000000" w:rsidRDefault="0053651E">
            <w:pPr>
              <w:jc w:val="right"/>
              <w:rPr>
                <w:rFonts w:eastAsia="Times New Roman"/>
                <w:sz w:val="16"/>
                <w:szCs w:val="16"/>
              </w:rPr>
            </w:pPr>
            <w:r>
              <w:rPr>
                <w:rFonts w:eastAsia="Times New Roman"/>
                <w:sz w:val="16"/>
                <w:szCs w:val="16"/>
              </w:rPr>
              <w:t>76,197</w:t>
            </w:r>
          </w:p>
        </w:tc>
        <w:tc>
          <w:tcPr>
            <w:tcW w:w="350" w:type="pct"/>
            <w:shd w:val="clear" w:color="auto" w:fill="FFFFFF"/>
            <w:vAlign w:val="bottom"/>
            <w:hideMark/>
          </w:tcPr>
          <w:p w14:paraId="5B1FD1CC" w14:textId="77777777" w:rsidR="00000000" w:rsidRDefault="0053651E">
            <w:pPr>
              <w:jc w:val="right"/>
              <w:rPr>
                <w:rFonts w:eastAsia="Times New Roman"/>
                <w:sz w:val="16"/>
                <w:szCs w:val="16"/>
              </w:rPr>
            </w:pPr>
            <w:r>
              <w:rPr>
                <w:rFonts w:eastAsia="Times New Roman"/>
                <w:sz w:val="16"/>
                <w:szCs w:val="16"/>
              </w:rPr>
              <w:t>2,090,616</w:t>
            </w:r>
          </w:p>
        </w:tc>
        <w:tc>
          <w:tcPr>
            <w:tcW w:w="300" w:type="pct"/>
            <w:shd w:val="clear" w:color="auto" w:fill="FFFFFF"/>
            <w:vAlign w:val="bottom"/>
            <w:hideMark/>
          </w:tcPr>
          <w:p w14:paraId="6EC054FA" w14:textId="77777777" w:rsidR="00000000" w:rsidRDefault="0053651E">
            <w:pPr>
              <w:jc w:val="right"/>
              <w:rPr>
                <w:rFonts w:eastAsia="Times New Roman"/>
                <w:sz w:val="16"/>
                <w:szCs w:val="16"/>
              </w:rPr>
            </w:pPr>
            <w:r>
              <w:rPr>
                <w:rFonts w:eastAsia="Times New Roman"/>
                <w:sz w:val="16"/>
                <w:szCs w:val="16"/>
              </w:rPr>
              <w:t>106,655</w:t>
            </w:r>
          </w:p>
        </w:tc>
        <w:tc>
          <w:tcPr>
            <w:tcW w:w="450" w:type="pct"/>
            <w:shd w:val="clear" w:color="auto" w:fill="FFFFFF"/>
            <w:vAlign w:val="bottom"/>
            <w:hideMark/>
          </w:tcPr>
          <w:p w14:paraId="6388DACD" w14:textId="77777777" w:rsidR="00000000" w:rsidRDefault="0053651E">
            <w:pPr>
              <w:jc w:val="right"/>
              <w:rPr>
                <w:rFonts w:eastAsia="Times New Roman"/>
                <w:sz w:val="16"/>
                <w:szCs w:val="16"/>
              </w:rPr>
            </w:pPr>
            <w:r>
              <w:rPr>
                <w:rFonts w:eastAsia="Times New Roman"/>
                <w:sz w:val="16"/>
                <w:szCs w:val="16"/>
              </w:rPr>
              <w:t>2,166,813</w:t>
            </w:r>
          </w:p>
        </w:tc>
        <w:tc>
          <w:tcPr>
            <w:tcW w:w="350" w:type="pct"/>
            <w:shd w:val="clear" w:color="auto" w:fill="FFFFFF"/>
            <w:vAlign w:val="bottom"/>
            <w:hideMark/>
          </w:tcPr>
          <w:p w14:paraId="143EDE8A" w14:textId="77777777" w:rsidR="00000000" w:rsidRDefault="0053651E">
            <w:pPr>
              <w:jc w:val="right"/>
              <w:rPr>
                <w:rFonts w:eastAsia="Times New Roman"/>
                <w:sz w:val="16"/>
                <w:szCs w:val="16"/>
              </w:rPr>
            </w:pPr>
            <w:r>
              <w:rPr>
                <w:rFonts w:eastAsia="Times New Roman"/>
                <w:sz w:val="16"/>
                <w:szCs w:val="16"/>
              </w:rPr>
              <w:t>2,273,468</w:t>
            </w:r>
          </w:p>
        </w:tc>
        <w:tc>
          <w:tcPr>
            <w:tcW w:w="400" w:type="pct"/>
            <w:shd w:val="clear" w:color="auto" w:fill="FFFFFF"/>
            <w:vAlign w:val="bottom"/>
            <w:hideMark/>
          </w:tcPr>
          <w:p w14:paraId="4AEC1578" w14:textId="77777777" w:rsidR="00000000" w:rsidRDefault="0053651E">
            <w:pPr>
              <w:jc w:val="right"/>
              <w:rPr>
                <w:rFonts w:eastAsia="Times New Roman"/>
                <w:sz w:val="16"/>
                <w:szCs w:val="16"/>
              </w:rPr>
            </w:pPr>
            <w:r>
              <w:rPr>
                <w:rFonts w:eastAsia="Times New Roman"/>
                <w:sz w:val="16"/>
                <w:szCs w:val="16"/>
              </w:rPr>
              <w:t>1,214,338</w:t>
            </w:r>
          </w:p>
        </w:tc>
        <w:tc>
          <w:tcPr>
            <w:tcW w:w="50" w:type="pct"/>
            <w:shd w:val="clear" w:color="auto" w:fill="FFFFFF"/>
            <w:vAlign w:val="bottom"/>
            <w:hideMark/>
          </w:tcPr>
          <w:p w14:paraId="5E00856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50B3821" w14:textId="77777777" w:rsidR="00000000" w:rsidRDefault="0053651E">
            <w:pPr>
              <w:jc w:val="right"/>
              <w:rPr>
                <w:rFonts w:eastAsia="Times New Roman"/>
                <w:sz w:val="16"/>
                <w:szCs w:val="16"/>
              </w:rPr>
            </w:pPr>
            <w:r>
              <w:rPr>
                <w:rFonts w:eastAsia="Times New Roman"/>
                <w:sz w:val="16"/>
                <w:szCs w:val="16"/>
              </w:rPr>
              <w:t>1,059,130</w:t>
            </w:r>
          </w:p>
        </w:tc>
        <w:tc>
          <w:tcPr>
            <w:tcW w:w="50" w:type="pct"/>
            <w:shd w:val="clear" w:color="auto" w:fill="FFFFFF"/>
            <w:vAlign w:val="bottom"/>
            <w:hideMark/>
          </w:tcPr>
          <w:p w14:paraId="2A75372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DD1EC5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963EA1F" w14:textId="77777777" w:rsidR="00000000" w:rsidRDefault="0053651E">
            <w:pPr>
              <w:pStyle w:val="a3"/>
              <w:spacing w:before="0" w:beforeAutospacing="0" w:after="0" w:afterAutospacing="0"/>
              <w:jc w:val="center"/>
              <w:rPr>
                <w:sz w:val="16"/>
                <w:szCs w:val="16"/>
              </w:rPr>
            </w:pPr>
            <w:r>
              <w:rPr>
                <w:rStyle w:val="a6"/>
                <w:i w:val="0"/>
                <w:iCs w:val="0"/>
                <w:sz w:val="16"/>
                <w:szCs w:val="16"/>
              </w:rPr>
              <w:t>1990(C)</w:t>
            </w:r>
          </w:p>
        </w:tc>
      </w:tr>
      <w:tr w:rsidR="00000000" w14:paraId="2157A799" w14:textId="77777777">
        <w:trPr>
          <w:tblCellSpacing w:w="0" w:type="dxa"/>
        </w:trPr>
        <w:tc>
          <w:tcPr>
            <w:tcW w:w="50" w:type="pct"/>
            <w:shd w:val="clear" w:color="auto" w:fill="CCEEFF"/>
            <w:vAlign w:val="bottom"/>
            <w:hideMark/>
          </w:tcPr>
          <w:p w14:paraId="5DFCC7D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58BA82C" w14:textId="77777777" w:rsidR="00000000" w:rsidRDefault="0053651E">
            <w:pPr>
              <w:pStyle w:val="a3"/>
              <w:spacing w:before="0" w:beforeAutospacing="0" w:after="0" w:afterAutospacing="0"/>
              <w:rPr>
                <w:sz w:val="16"/>
                <w:szCs w:val="16"/>
              </w:rPr>
            </w:pPr>
            <w:r>
              <w:rPr>
                <w:sz w:val="16"/>
                <w:szCs w:val="16"/>
              </w:rPr>
              <w:t>RICHMOND S.C.</w:t>
            </w:r>
          </w:p>
        </w:tc>
        <w:tc>
          <w:tcPr>
            <w:tcW w:w="150" w:type="pct"/>
            <w:shd w:val="clear" w:color="auto" w:fill="CCEEFF"/>
            <w:vAlign w:val="bottom"/>
            <w:hideMark/>
          </w:tcPr>
          <w:p w14:paraId="19BF7FBF"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2947B1B" w14:textId="77777777" w:rsidR="00000000" w:rsidRDefault="0053651E">
            <w:pPr>
              <w:jc w:val="right"/>
              <w:rPr>
                <w:rFonts w:eastAsia="Times New Roman"/>
                <w:sz w:val="16"/>
                <w:szCs w:val="16"/>
              </w:rPr>
            </w:pPr>
            <w:r>
              <w:rPr>
                <w:rFonts w:eastAsia="Times New Roman"/>
                <w:sz w:val="16"/>
                <w:szCs w:val="16"/>
              </w:rPr>
              <w:t>2,280,000</w:t>
            </w:r>
          </w:p>
        </w:tc>
        <w:tc>
          <w:tcPr>
            <w:tcW w:w="550" w:type="pct"/>
            <w:shd w:val="clear" w:color="auto" w:fill="CCEEFF"/>
            <w:vAlign w:val="bottom"/>
            <w:hideMark/>
          </w:tcPr>
          <w:p w14:paraId="7543A7E7" w14:textId="77777777" w:rsidR="00000000" w:rsidRDefault="0053651E">
            <w:pPr>
              <w:jc w:val="right"/>
              <w:rPr>
                <w:rFonts w:eastAsia="Times New Roman"/>
                <w:sz w:val="16"/>
                <w:szCs w:val="16"/>
              </w:rPr>
            </w:pPr>
            <w:r>
              <w:rPr>
                <w:rFonts w:eastAsia="Times New Roman"/>
                <w:sz w:val="16"/>
                <w:szCs w:val="16"/>
              </w:rPr>
              <w:t>9,027,951</w:t>
            </w:r>
          </w:p>
        </w:tc>
        <w:tc>
          <w:tcPr>
            <w:tcW w:w="350" w:type="pct"/>
            <w:shd w:val="clear" w:color="auto" w:fill="CCEEFF"/>
            <w:vAlign w:val="bottom"/>
            <w:hideMark/>
          </w:tcPr>
          <w:p w14:paraId="3F8D34BD" w14:textId="77777777" w:rsidR="00000000" w:rsidRDefault="0053651E">
            <w:pPr>
              <w:jc w:val="right"/>
              <w:rPr>
                <w:rFonts w:eastAsia="Times New Roman"/>
                <w:sz w:val="16"/>
                <w:szCs w:val="16"/>
              </w:rPr>
            </w:pPr>
            <w:r>
              <w:rPr>
                <w:rFonts w:eastAsia="Times New Roman"/>
                <w:sz w:val="16"/>
                <w:szCs w:val="16"/>
              </w:rPr>
              <w:t>21,469,643</w:t>
            </w:r>
          </w:p>
        </w:tc>
        <w:tc>
          <w:tcPr>
            <w:tcW w:w="300" w:type="pct"/>
            <w:shd w:val="clear" w:color="auto" w:fill="CCEEFF"/>
            <w:vAlign w:val="bottom"/>
            <w:hideMark/>
          </w:tcPr>
          <w:p w14:paraId="272D1F30" w14:textId="77777777" w:rsidR="00000000" w:rsidRDefault="0053651E">
            <w:pPr>
              <w:jc w:val="right"/>
              <w:rPr>
                <w:rFonts w:eastAsia="Times New Roman"/>
                <w:sz w:val="16"/>
                <w:szCs w:val="16"/>
              </w:rPr>
            </w:pPr>
            <w:r>
              <w:rPr>
                <w:rFonts w:eastAsia="Times New Roman"/>
                <w:sz w:val="16"/>
                <w:szCs w:val="16"/>
              </w:rPr>
              <w:t>2,280,000</w:t>
            </w:r>
          </w:p>
        </w:tc>
        <w:tc>
          <w:tcPr>
            <w:tcW w:w="450" w:type="pct"/>
            <w:shd w:val="clear" w:color="auto" w:fill="CCEEFF"/>
            <w:vAlign w:val="bottom"/>
            <w:hideMark/>
          </w:tcPr>
          <w:p w14:paraId="091236D4" w14:textId="77777777" w:rsidR="00000000" w:rsidRDefault="0053651E">
            <w:pPr>
              <w:jc w:val="right"/>
              <w:rPr>
                <w:rFonts w:eastAsia="Times New Roman"/>
                <w:sz w:val="16"/>
                <w:szCs w:val="16"/>
              </w:rPr>
            </w:pPr>
            <w:r>
              <w:rPr>
                <w:rFonts w:eastAsia="Times New Roman"/>
                <w:sz w:val="16"/>
                <w:szCs w:val="16"/>
              </w:rPr>
              <w:t>30,497,594</w:t>
            </w:r>
          </w:p>
        </w:tc>
        <w:tc>
          <w:tcPr>
            <w:tcW w:w="350" w:type="pct"/>
            <w:shd w:val="clear" w:color="auto" w:fill="CCEEFF"/>
            <w:vAlign w:val="bottom"/>
            <w:hideMark/>
          </w:tcPr>
          <w:p w14:paraId="1ACE13F2" w14:textId="77777777" w:rsidR="00000000" w:rsidRDefault="0053651E">
            <w:pPr>
              <w:jc w:val="right"/>
              <w:rPr>
                <w:rFonts w:eastAsia="Times New Roman"/>
                <w:sz w:val="16"/>
                <w:szCs w:val="16"/>
              </w:rPr>
            </w:pPr>
            <w:r>
              <w:rPr>
                <w:rFonts w:eastAsia="Times New Roman"/>
                <w:sz w:val="16"/>
                <w:szCs w:val="16"/>
              </w:rPr>
              <w:t>32,777,594</w:t>
            </w:r>
          </w:p>
        </w:tc>
        <w:tc>
          <w:tcPr>
            <w:tcW w:w="400" w:type="pct"/>
            <w:shd w:val="clear" w:color="auto" w:fill="CCEEFF"/>
            <w:vAlign w:val="bottom"/>
            <w:hideMark/>
          </w:tcPr>
          <w:p w14:paraId="6EDFF5D7" w14:textId="77777777" w:rsidR="00000000" w:rsidRDefault="0053651E">
            <w:pPr>
              <w:jc w:val="right"/>
              <w:rPr>
                <w:rFonts w:eastAsia="Times New Roman"/>
                <w:sz w:val="16"/>
                <w:szCs w:val="16"/>
              </w:rPr>
            </w:pPr>
            <w:r>
              <w:rPr>
                <w:rFonts w:eastAsia="Times New Roman"/>
                <w:sz w:val="16"/>
                <w:szCs w:val="16"/>
              </w:rPr>
              <w:t>15,094,149</w:t>
            </w:r>
          </w:p>
        </w:tc>
        <w:tc>
          <w:tcPr>
            <w:tcW w:w="50" w:type="pct"/>
            <w:shd w:val="clear" w:color="auto" w:fill="CCEEFF"/>
            <w:vAlign w:val="bottom"/>
            <w:hideMark/>
          </w:tcPr>
          <w:p w14:paraId="20E72B8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F7D753E" w14:textId="77777777" w:rsidR="00000000" w:rsidRDefault="0053651E">
            <w:pPr>
              <w:jc w:val="right"/>
              <w:rPr>
                <w:rFonts w:eastAsia="Times New Roman"/>
                <w:sz w:val="16"/>
                <w:szCs w:val="16"/>
              </w:rPr>
            </w:pPr>
            <w:r>
              <w:rPr>
                <w:rFonts w:eastAsia="Times New Roman"/>
                <w:sz w:val="16"/>
                <w:szCs w:val="16"/>
              </w:rPr>
              <w:t>17,683,445</w:t>
            </w:r>
          </w:p>
        </w:tc>
        <w:tc>
          <w:tcPr>
            <w:tcW w:w="50" w:type="pct"/>
            <w:shd w:val="clear" w:color="auto" w:fill="CCEEFF"/>
            <w:vAlign w:val="bottom"/>
            <w:hideMark/>
          </w:tcPr>
          <w:p w14:paraId="6B07A2E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F00D6B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E3A6593" w14:textId="77777777" w:rsidR="00000000" w:rsidRDefault="0053651E">
            <w:pPr>
              <w:pStyle w:val="a3"/>
              <w:spacing w:before="0" w:beforeAutospacing="0" w:after="0" w:afterAutospacing="0"/>
              <w:jc w:val="center"/>
              <w:rPr>
                <w:sz w:val="16"/>
                <w:szCs w:val="16"/>
              </w:rPr>
            </w:pPr>
            <w:r>
              <w:rPr>
                <w:rStyle w:val="a6"/>
                <w:i w:val="0"/>
                <w:iCs w:val="0"/>
                <w:sz w:val="16"/>
                <w:szCs w:val="16"/>
              </w:rPr>
              <w:t>1989(A)</w:t>
            </w:r>
          </w:p>
        </w:tc>
      </w:tr>
      <w:tr w:rsidR="00000000" w14:paraId="588CF872" w14:textId="77777777">
        <w:trPr>
          <w:tblCellSpacing w:w="0" w:type="dxa"/>
        </w:trPr>
        <w:tc>
          <w:tcPr>
            <w:tcW w:w="50" w:type="pct"/>
            <w:shd w:val="clear" w:color="auto" w:fill="FFFFFF"/>
            <w:vAlign w:val="bottom"/>
            <w:hideMark/>
          </w:tcPr>
          <w:p w14:paraId="3AC5615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1340865" w14:textId="77777777" w:rsidR="00000000" w:rsidRDefault="0053651E">
            <w:pPr>
              <w:pStyle w:val="a3"/>
              <w:spacing w:before="0" w:beforeAutospacing="0" w:after="0" w:afterAutospacing="0"/>
              <w:rPr>
                <w:sz w:val="16"/>
                <w:szCs w:val="16"/>
              </w:rPr>
            </w:pPr>
            <w:r>
              <w:rPr>
                <w:sz w:val="16"/>
                <w:szCs w:val="16"/>
              </w:rPr>
              <w:t>GREENRIDGE PLAZA</w:t>
            </w:r>
          </w:p>
        </w:tc>
        <w:tc>
          <w:tcPr>
            <w:tcW w:w="150" w:type="pct"/>
            <w:shd w:val="clear" w:color="auto" w:fill="FFFFFF"/>
            <w:vAlign w:val="bottom"/>
            <w:hideMark/>
          </w:tcPr>
          <w:p w14:paraId="0432D09A"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2C79697B" w14:textId="77777777" w:rsidR="00000000" w:rsidRDefault="0053651E">
            <w:pPr>
              <w:jc w:val="right"/>
              <w:rPr>
                <w:rFonts w:eastAsia="Times New Roman"/>
                <w:sz w:val="16"/>
                <w:szCs w:val="16"/>
              </w:rPr>
            </w:pPr>
            <w:r>
              <w:rPr>
                <w:rFonts w:eastAsia="Times New Roman"/>
                <w:sz w:val="16"/>
                <w:szCs w:val="16"/>
              </w:rPr>
              <w:t>2,940,000</w:t>
            </w:r>
          </w:p>
        </w:tc>
        <w:tc>
          <w:tcPr>
            <w:tcW w:w="550" w:type="pct"/>
            <w:shd w:val="clear" w:color="auto" w:fill="FFFFFF"/>
            <w:vAlign w:val="bottom"/>
            <w:hideMark/>
          </w:tcPr>
          <w:p w14:paraId="48D05CBD" w14:textId="77777777" w:rsidR="00000000" w:rsidRDefault="0053651E">
            <w:pPr>
              <w:jc w:val="right"/>
              <w:rPr>
                <w:rFonts w:eastAsia="Times New Roman"/>
                <w:sz w:val="16"/>
                <w:szCs w:val="16"/>
              </w:rPr>
            </w:pPr>
            <w:r>
              <w:rPr>
                <w:rFonts w:eastAsia="Times New Roman"/>
                <w:sz w:val="16"/>
                <w:szCs w:val="16"/>
              </w:rPr>
              <w:t>11,811,964</w:t>
            </w:r>
          </w:p>
        </w:tc>
        <w:tc>
          <w:tcPr>
            <w:tcW w:w="350" w:type="pct"/>
            <w:shd w:val="clear" w:color="auto" w:fill="FFFFFF"/>
            <w:vAlign w:val="bottom"/>
            <w:hideMark/>
          </w:tcPr>
          <w:p w14:paraId="7C829C51" w14:textId="77777777" w:rsidR="00000000" w:rsidRDefault="0053651E">
            <w:pPr>
              <w:jc w:val="right"/>
              <w:rPr>
                <w:rFonts w:eastAsia="Times New Roman"/>
                <w:sz w:val="16"/>
                <w:szCs w:val="16"/>
              </w:rPr>
            </w:pPr>
            <w:r>
              <w:rPr>
                <w:rFonts w:eastAsia="Times New Roman"/>
                <w:sz w:val="16"/>
                <w:szCs w:val="16"/>
              </w:rPr>
              <w:t>7,448,048</w:t>
            </w:r>
          </w:p>
        </w:tc>
        <w:tc>
          <w:tcPr>
            <w:tcW w:w="300" w:type="pct"/>
            <w:shd w:val="clear" w:color="auto" w:fill="FFFFFF"/>
            <w:vAlign w:val="bottom"/>
            <w:hideMark/>
          </w:tcPr>
          <w:p w14:paraId="39B3D194" w14:textId="77777777" w:rsidR="00000000" w:rsidRDefault="0053651E">
            <w:pPr>
              <w:jc w:val="right"/>
              <w:rPr>
                <w:rFonts w:eastAsia="Times New Roman"/>
                <w:sz w:val="16"/>
                <w:szCs w:val="16"/>
              </w:rPr>
            </w:pPr>
            <w:r>
              <w:rPr>
                <w:rFonts w:eastAsia="Times New Roman"/>
                <w:sz w:val="16"/>
                <w:szCs w:val="16"/>
              </w:rPr>
              <w:t>3,148,424</w:t>
            </w:r>
          </w:p>
        </w:tc>
        <w:tc>
          <w:tcPr>
            <w:tcW w:w="450" w:type="pct"/>
            <w:shd w:val="clear" w:color="auto" w:fill="FFFFFF"/>
            <w:vAlign w:val="bottom"/>
            <w:hideMark/>
          </w:tcPr>
          <w:p w14:paraId="427BE1DF" w14:textId="77777777" w:rsidR="00000000" w:rsidRDefault="0053651E">
            <w:pPr>
              <w:jc w:val="right"/>
              <w:rPr>
                <w:rFonts w:eastAsia="Times New Roman"/>
                <w:sz w:val="16"/>
                <w:szCs w:val="16"/>
              </w:rPr>
            </w:pPr>
            <w:r>
              <w:rPr>
                <w:rFonts w:eastAsia="Times New Roman"/>
                <w:sz w:val="16"/>
                <w:szCs w:val="16"/>
              </w:rPr>
              <w:t>19,051,588</w:t>
            </w:r>
          </w:p>
        </w:tc>
        <w:tc>
          <w:tcPr>
            <w:tcW w:w="350" w:type="pct"/>
            <w:shd w:val="clear" w:color="auto" w:fill="FFFFFF"/>
            <w:vAlign w:val="bottom"/>
            <w:hideMark/>
          </w:tcPr>
          <w:p w14:paraId="25951050" w14:textId="77777777" w:rsidR="00000000" w:rsidRDefault="0053651E">
            <w:pPr>
              <w:jc w:val="right"/>
              <w:rPr>
                <w:rFonts w:eastAsia="Times New Roman"/>
                <w:sz w:val="16"/>
                <w:szCs w:val="16"/>
              </w:rPr>
            </w:pPr>
            <w:r>
              <w:rPr>
                <w:rFonts w:eastAsia="Times New Roman"/>
                <w:sz w:val="16"/>
                <w:szCs w:val="16"/>
              </w:rPr>
              <w:t>22,200,012</w:t>
            </w:r>
          </w:p>
        </w:tc>
        <w:tc>
          <w:tcPr>
            <w:tcW w:w="400" w:type="pct"/>
            <w:shd w:val="clear" w:color="auto" w:fill="FFFFFF"/>
            <w:vAlign w:val="bottom"/>
            <w:hideMark/>
          </w:tcPr>
          <w:p w14:paraId="629FA0E8" w14:textId="77777777" w:rsidR="00000000" w:rsidRDefault="0053651E">
            <w:pPr>
              <w:jc w:val="right"/>
              <w:rPr>
                <w:rFonts w:eastAsia="Times New Roman"/>
                <w:sz w:val="16"/>
                <w:szCs w:val="16"/>
              </w:rPr>
            </w:pPr>
            <w:r>
              <w:rPr>
                <w:rFonts w:eastAsia="Times New Roman"/>
                <w:sz w:val="16"/>
                <w:szCs w:val="16"/>
              </w:rPr>
              <w:t>9,066,807</w:t>
            </w:r>
          </w:p>
        </w:tc>
        <w:tc>
          <w:tcPr>
            <w:tcW w:w="50" w:type="pct"/>
            <w:shd w:val="clear" w:color="auto" w:fill="FFFFFF"/>
            <w:vAlign w:val="bottom"/>
            <w:hideMark/>
          </w:tcPr>
          <w:p w14:paraId="20ECC7F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6BF0BFE" w14:textId="77777777" w:rsidR="00000000" w:rsidRDefault="0053651E">
            <w:pPr>
              <w:jc w:val="right"/>
              <w:rPr>
                <w:rFonts w:eastAsia="Times New Roman"/>
                <w:sz w:val="16"/>
                <w:szCs w:val="16"/>
              </w:rPr>
            </w:pPr>
            <w:r>
              <w:rPr>
                <w:rFonts w:eastAsia="Times New Roman"/>
                <w:sz w:val="16"/>
                <w:szCs w:val="16"/>
              </w:rPr>
              <w:t>13,133,205</w:t>
            </w:r>
          </w:p>
        </w:tc>
        <w:tc>
          <w:tcPr>
            <w:tcW w:w="50" w:type="pct"/>
            <w:shd w:val="clear" w:color="auto" w:fill="FFFFFF"/>
            <w:vAlign w:val="bottom"/>
            <w:hideMark/>
          </w:tcPr>
          <w:p w14:paraId="5A3BE5E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6EF34C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1C83458" w14:textId="77777777" w:rsidR="00000000" w:rsidRDefault="0053651E">
            <w:pPr>
              <w:pStyle w:val="a3"/>
              <w:spacing w:before="0" w:beforeAutospacing="0" w:after="0" w:afterAutospacing="0"/>
              <w:jc w:val="center"/>
              <w:rPr>
                <w:sz w:val="16"/>
                <w:szCs w:val="16"/>
              </w:rPr>
            </w:pPr>
            <w:r>
              <w:rPr>
                <w:rStyle w:val="a6"/>
                <w:i w:val="0"/>
                <w:iCs w:val="0"/>
                <w:sz w:val="16"/>
                <w:szCs w:val="16"/>
              </w:rPr>
              <w:t>1997(A)</w:t>
            </w:r>
          </w:p>
        </w:tc>
      </w:tr>
      <w:tr w:rsidR="00000000" w14:paraId="3839A98B" w14:textId="77777777">
        <w:trPr>
          <w:tblCellSpacing w:w="0" w:type="dxa"/>
        </w:trPr>
        <w:tc>
          <w:tcPr>
            <w:tcW w:w="50" w:type="pct"/>
            <w:shd w:val="clear" w:color="auto" w:fill="CCEEFF"/>
            <w:vAlign w:val="bottom"/>
            <w:hideMark/>
          </w:tcPr>
          <w:p w14:paraId="33241D8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B8CD3E1" w14:textId="77777777" w:rsidR="00000000" w:rsidRDefault="0053651E">
            <w:pPr>
              <w:pStyle w:val="a3"/>
              <w:spacing w:before="0" w:beforeAutospacing="0" w:after="0" w:afterAutospacing="0"/>
              <w:rPr>
                <w:sz w:val="16"/>
                <w:szCs w:val="16"/>
              </w:rPr>
            </w:pPr>
            <w:r>
              <w:rPr>
                <w:sz w:val="16"/>
                <w:szCs w:val="16"/>
              </w:rPr>
              <w:t>THE BOULEVARD</w:t>
            </w:r>
          </w:p>
        </w:tc>
        <w:tc>
          <w:tcPr>
            <w:tcW w:w="150" w:type="pct"/>
            <w:shd w:val="clear" w:color="auto" w:fill="CCEEFF"/>
            <w:vAlign w:val="bottom"/>
            <w:hideMark/>
          </w:tcPr>
          <w:p w14:paraId="34A91570"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55A83417" w14:textId="77777777" w:rsidR="00000000" w:rsidRDefault="0053651E">
            <w:pPr>
              <w:jc w:val="right"/>
              <w:rPr>
                <w:rFonts w:eastAsia="Times New Roman"/>
                <w:sz w:val="16"/>
                <w:szCs w:val="16"/>
              </w:rPr>
            </w:pPr>
            <w:r>
              <w:rPr>
                <w:rFonts w:eastAsia="Times New Roman"/>
                <w:sz w:val="16"/>
                <w:szCs w:val="16"/>
              </w:rPr>
              <w:t>28,723,536</w:t>
            </w:r>
          </w:p>
        </w:tc>
        <w:tc>
          <w:tcPr>
            <w:tcW w:w="550" w:type="pct"/>
            <w:shd w:val="clear" w:color="auto" w:fill="CCEEFF"/>
            <w:vAlign w:val="bottom"/>
            <w:hideMark/>
          </w:tcPr>
          <w:p w14:paraId="30E33E5B" w14:textId="77777777" w:rsidR="00000000" w:rsidRDefault="0053651E">
            <w:pPr>
              <w:jc w:val="right"/>
              <w:rPr>
                <w:rFonts w:eastAsia="Times New Roman"/>
                <w:sz w:val="16"/>
                <w:szCs w:val="16"/>
              </w:rPr>
            </w:pPr>
            <w:r>
              <w:rPr>
                <w:rFonts w:eastAsia="Times New Roman"/>
                <w:sz w:val="16"/>
                <w:szCs w:val="16"/>
              </w:rPr>
              <w:t>38,232,267</w:t>
            </w:r>
          </w:p>
        </w:tc>
        <w:tc>
          <w:tcPr>
            <w:tcW w:w="350" w:type="pct"/>
            <w:shd w:val="clear" w:color="auto" w:fill="CCEEFF"/>
            <w:vAlign w:val="bottom"/>
            <w:hideMark/>
          </w:tcPr>
          <w:p w14:paraId="18DC0765" w14:textId="77777777" w:rsidR="00000000" w:rsidRDefault="0053651E">
            <w:pPr>
              <w:jc w:val="right"/>
              <w:rPr>
                <w:rFonts w:eastAsia="Times New Roman"/>
                <w:sz w:val="16"/>
                <w:szCs w:val="16"/>
              </w:rPr>
            </w:pPr>
            <w:r>
              <w:rPr>
                <w:rFonts w:eastAsia="Times New Roman"/>
                <w:sz w:val="16"/>
                <w:szCs w:val="16"/>
              </w:rPr>
              <w:t>143,859,701</w:t>
            </w:r>
          </w:p>
        </w:tc>
        <w:tc>
          <w:tcPr>
            <w:tcW w:w="300" w:type="pct"/>
            <w:shd w:val="clear" w:color="auto" w:fill="CCEEFF"/>
            <w:vAlign w:val="bottom"/>
            <w:hideMark/>
          </w:tcPr>
          <w:p w14:paraId="4C147B77" w14:textId="77777777" w:rsidR="00000000" w:rsidRDefault="0053651E">
            <w:pPr>
              <w:jc w:val="right"/>
              <w:rPr>
                <w:rFonts w:eastAsia="Times New Roman"/>
                <w:sz w:val="16"/>
                <w:szCs w:val="16"/>
              </w:rPr>
            </w:pPr>
            <w:r>
              <w:rPr>
                <w:rFonts w:eastAsia="Times New Roman"/>
                <w:sz w:val="16"/>
                <w:szCs w:val="16"/>
              </w:rPr>
              <w:t>28,723,536</w:t>
            </w:r>
          </w:p>
        </w:tc>
        <w:tc>
          <w:tcPr>
            <w:tcW w:w="450" w:type="pct"/>
            <w:shd w:val="clear" w:color="auto" w:fill="CCEEFF"/>
            <w:vAlign w:val="bottom"/>
            <w:hideMark/>
          </w:tcPr>
          <w:p w14:paraId="48D172E6" w14:textId="77777777" w:rsidR="00000000" w:rsidRDefault="0053651E">
            <w:pPr>
              <w:jc w:val="right"/>
              <w:rPr>
                <w:rFonts w:eastAsia="Times New Roman"/>
                <w:sz w:val="16"/>
                <w:szCs w:val="16"/>
              </w:rPr>
            </w:pPr>
            <w:r>
              <w:rPr>
                <w:rFonts w:eastAsia="Times New Roman"/>
                <w:sz w:val="16"/>
                <w:szCs w:val="16"/>
              </w:rPr>
              <w:t>182,091,968</w:t>
            </w:r>
          </w:p>
        </w:tc>
        <w:tc>
          <w:tcPr>
            <w:tcW w:w="350" w:type="pct"/>
            <w:shd w:val="clear" w:color="auto" w:fill="CCEEFF"/>
            <w:vAlign w:val="bottom"/>
            <w:hideMark/>
          </w:tcPr>
          <w:p w14:paraId="2631C643" w14:textId="77777777" w:rsidR="00000000" w:rsidRDefault="0053651E">
            <w:pPr>
              <w:jc w:val="right"/>
              <w:rPr>
                <w:rFonts w:eastAsia="Times New Roman"/>
                <w:sz w:val="16"/>
                <w:szCs w:val="16"/>
              </w:rPr>
            </w:pPr>
            <w:r>
              <w:rPr>
                <w:rFonts w:eastAsia="Times New Roman"/>
                <w:sz w:val="16"/>
                <w:szCs w:val="16"/>
              </w:rPr>
              <w:t>210,815,504</w:t>
            </w:r>
          </w:p>
        </w:tc>
        <w:tc>
          <w:tcPr>
            <w:tcW w:w="400" w:type="pct"/>
            <w:shd w:val="clear" w:color="auto" w:fill="CCEEFF"/>
            <w:vAlign w:val="bottom"/>
            <w:hideMark/>
          </w:tcPr>
          <w:p w14:paraId="5E8FB09C" w14:textId="77777777" w:rsidR="00000000" w:rsidRDefault="0053651E">
            <w:pPr>
              <w:jc w:val="right"/>
              <w:rPr>
                <w:rFonts w:eastAsia="Times New Roman"/>
                <w:sz w:val="16"/>
                <w:szCs w:val="16"/>
              </w:rPr>
            </w:pPr>
            <w:r>
              <w:rPr>
                <w:rFonts w:eastAsia="Times New Roman"/>
                <w:sz w:val="16"/>
                <w:szCs w:val="16"/>
              </w:rPr>
              <w:t>14,518,223</w:t>
            </w:r>
          </w:p>
        </w:tc>
        <w:tc>
          <w:tcPr>
            <w:tcW w:w="50" w:type="pct"/>
            <w:shd w:val="clear" w:color="auto" w:fill="CCEEFF"/>
            <w:vAlign w:val="bottom"/>
            <w:hideMark/>
          </w:tcPr>
          <w:p w14:paraId="49773A5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E0539F8" w14:textId="77777777" w:rsidR="00000000" w:rsidRDefault="0053651E">
            <w:pPr>
              <w:jc w:val="right"/>
              <w:rPr>
                <w:rFonts w:eastAsia="Times New Roman"/>
                <w:sz w:val="16"/>
                <w:szCs w:val="16"/>
              </w:rPr>
            </w:pPr>
            <w:r>
              <w:rPr>
                <w:rFonts w:eastAsia="Times New Roman"/>
                <w:sz w:val="16"/>
                <w:szCs w:val="16"/>
              </w:rPr>
              <w:t>196,297,281</w:t>
            </w:r>
          </w:p>
        </w:tc>
        <w:tc>
          <w:tcPr>
            <w:tcW w:w="50" w:type="pct"/>
            <w:shd w:val="clear" w:color="auto" w:fill="CCEEFF"/>
            <w:vAlign w:val="bottom"/>
            <w:hideMark/>
          </w:tcPr>
          <w:p w14:paraId="298DEBA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49682F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D2A3B81"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4117B6D8" w14:textId="77777777">
        <w:trPr>
          <w:tblCellSpacing w:w="0" w:type="dxa"/>
        </w:trPr>
        <w:tc>
          <w:tcPr>
            <w:tcW w:w="50" w:type="pct"/>
            <w:shd w:val="clear" w:color="auto" w:fill="FFFFFF"/>
            <w:vAlign w:val="bottom"/>
            <w:hideMark/>
          </w:tcPr>
          <w:p w14:paraId="1729FFA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1409DED" w14:textId="77777777" w:rsidR="00000000" w:rsidRDefault="0053651E">
            <w:pPr>
              <w:pStyle w:val="a3"/>
              <w:spacing w:before="0" w:beforeAutospacing="0" w:after="0" w:afterAutospacing="0"/>
              <w:rPr>
                <w:sz w:val="16"/>
                <w:szCs w:val="16"/>
              </w:rPr>
            </w:pPr>
            <w:r>
              <w:rPr>
                <w:sz w:val="16"/>
                <w:szCs w:val="16"/>
              </w:rPr>
              <w:t>FOREST AVENUE PLAZA</w:t>
            </w:r>
          </w:p>
        </w:tc>
        <w:tc>
          <w:tcPr>
            <w:tcW w:w="150" w:type="pct"/>
            <w:shd w:val="clear" w:color="auto" w:fill="FFFFFF"/>
            <w:vAlign w:val="bottom"/>
            <w:hideMark/>
          </w:tcPr>
          <w:p w14:paraId="66F77027"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3D9666F4" w14:textId="77777777" w:rsidR="00000000" w:rsidRDefault="0053651E">
            <w:pPr>
              <w:jc w:val="right"/>
              <w:rPr>
                <w:rFonts w:eastAsia="Times New Roman"/>
                <w:sz w:val="16"/>
                <w:szCs w:val="16"/>
              </w:rPr>
            </w:pPr>
            <w:r>
              <w:rPr>
                <w:rFonts w:eastAsia="Times New Roman"/>
                <w:sz w:val="16"/>
                <w:szCs w:val="16"/>
              </w:rPr>
              <w:t>4,558,592</w:t>
            </w:r>
          </w:p>
        </w:tc>
        <w:tc>
          <w:tcPr>
            <w:tcW w:w="550" w:type="pct"/>
            <w:shd w:val="clear" w:color="auto" w:fill="FFFFFF"/>
            <w:vAlign w:val="bottom"/>
            <w:hideMark/>
          </w:tcPr>
          <w:p w14:paraId="4DF86FDD" w14:textId="77777777" w:rsidR="00000000" w:rsidRDefault="0053651E">
            <w:pPr>
              <w:jc w:val="right"/>
              <w:rPr>
                <w:rFonts w:eastAsia="Times New Roman"/>
                <w:sz w:val="16"/>
                <w:szCs w:val="16"/>
              </w:rPr>
            </w:pPr>
            <w:r>
              <w:rPr>
                <w:rFonts w:eastAsia="Times New Roman"/>
                <w:sz w:val="16"/>
                <w:szCs w:val="16"/>
              </w:rPr>
              <w:t>10,441,408</w:t>
            </w:r>
          </w:p>
        </w:tc>
        <w:tc>
          <w:tcPr>
            <w:tcW w:w="350" w:type="pct"/>
            <w:shd w:val="clear" w:color="auto" w:fill="FFFFFF"/>
            <w:vAlign w:val="bottom"/>
            <w:hideMark/>
          </w:tcPr>
          <w:p w14:paraId="4EE8473A" w14:textId="77777777" w:rsidR="00000000" w:rsidRDefault="0053651E">
            <w:pPr>
              <w:jc w:val="right"/>
              <w:rPr>
                <w:rFonts w:eastAsia="Times New Roman"/>
                <w:sz w:val="16"/>
                <w:szCs w:val="16"/>
              </w:rPr>
            </w:pPr>
            <w:r>
              <w:rPr>
                <w:rFonts w:eastAsia="Times New Roman"/>
                <w:sz w:val="16"/>
                <w:szCs w:val="16"/>
              </w:rPr>
              <w:t>731,386</w:t>
            </w:r>
          </w:p>
        </w:tc>
        <w:tc>
          <w:tcPr>
            <w:tcW w:w="300" w:type="pct"/>
            <w:shd w:val="clear" w:color="auto" w:fill="FFFFFF"/>
            <w:vAlign w:val="bottom"/>
            <w:hideMark/>
          </w:tcPr>
          <w:p w14:paraId="40016306" w14:textId="77777777" w:rsidR="00000000" w:rsidRDefault="0053651E">
            <w:pPr>
              <w:jc w:val="right"/>
              <w:rPr>
                <w:rFonts w:eastAsia="Times New Roman"/>
                <w:sz w:val="16"/>
                <w:szCs w:val="16"/>
              </w:rPr>
            </w:pPr>
            <w:r>
              <w:rPr>
                <w:rFonts w:eastAsia="Times New Roman"/>
                <w:sz w:val="16"/>
                <w:szCs w:val="16"/>
              </w:rPr>
              <w:t>4,558,592</w:t>
            </w:r>
          </w:p>
        </w:tc>
        <w:tc>
          <w:tcPr>
            <w:tcW w:w="450" w:type="pct"/>
            <w:shd w:val="clear" w:color="auto" w:fill="FFFFFF"/>
            <w:vAlign w:val="bottom"/>
            <w:hideMark/>
          </w:tcPr>
          <w:p w14:paraId="1040A6B0" w14:textId="77777777" w:rsidR="00000000" w:rsidRDefault="0053651E">
            <w:pPr>
              <w:jc w:val="right"/>
              <w:rPr>
                <w:rFonts w:eastAsia="Times New Roman"/>
                <w:sz w:val="16"/>
                <w:szCs w:val="16"/>
              </w:rPr>
            </w:pPr>
            <w:r>
              <w:rPr>
                <w:rFonts w:eastAsia="Times New Roman"/>
                <w:sz w:val="16"/>
                <w:szCs w:val="16"/>
              </w:rPr>
              <w:t>11,172,794</w:t>
            </w:r>
          </w:p>
        </w:tc>
        <w:tc>
          <w:tcPr>
            <w:tcW w:w="350" w:type="pct"/>
            <w:shd w:val="clear" w:color="auto" w:fill="FFFFFF"/>
            <w:vAlign w:val="bottom"/>
            <w:hideMark/>
          </w:tcPr>
          <w:p w14:paraId="1B4768AF" w14:textId="77777777" w:rsidR="00000000" w:rsidRDefault="0053651E">
            <w:pPr>
              <w:jc w:val="right"/>
              <w:rPr>
                <w:rFonts w:eastAsia="Times New Roman"/>
                <w:sz w:val="16"/>
                <w:szCs w:val="16"/>
              </w:rPr>
            </w:pPr>
            <w:r>
              <w:rPr>
                <w:rFonts w:eastAsia="Times New Roman"/>
                <w:sz w:val="16"/>
                <w:szCs w:val="16"/>
              </w:rPr>
              <w:t>15,731,386</w:t>
            </w:r>
          </w:p>
        </w:tc>
        <w:tc>
          <w:tcPr>
            <w:tcW w:w="400" w:type="pct"/>
            <w:shd w:val="clear" w:color="auto" w:fill="FFFFFF"/>
            <w:vAlign w:val="bottom"/>
            <w:hideMark/>
          </w:tcPr>
          <w:p w14:paraId="1D87C4A3" w14:textId="77777777" w:rsidR="00000000" w:rsidRDefault="0053651E">
            <w:pPr>
              <w:jc w:val="right"/>
              <w:rPr>
                <w:rFonts w:eastAsia="Times New Roman"/>
                <w:sz w:val="16"/>
                <w:szCs w:val="16"/>
              </w:rPr>
            </w:pPr>
            <w:r>
              <w:rPr>
                <w:rFonts w:eastAsia="Times New Roman"/>
                <w:sz w:val="16"/>
                <w:szCs w:val="16"/>
              </w:rPr>
              <w:t>4,256,254</w:t>
            </w:r>
          </w:p>
        </w:tc>
        <w:tc>
          <w:tcPr>
            <w:tcW w:w="50" w:type="pct"/>
            <w:shd w:val="clear" w:color="auto" w:fill="FFFFFF"/>
            <w:vAlign w:val="bottom"/>
            <w:hideMark/>
          </w:tcPr>
          <w:p w14:paraId="7C8F6A7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4F55657" w14:textId="77777777" w:rsidR="00000000" w:rsidRDefault="0053651E">
            <w:pPr>
              <w:jc w:val="right"/>
              <w:rPr>
                <w:rFonts w:eastAsia="Times New Roman"/>
                <w:sz w:val="16"/>
                <w:szCs w:val="16"/>
              </w:rPr>
            </w:pPr>
            <w:r>
              <w:rPr>
                <w:rFonts w:eastAsia="Times New Roman"/>
                <w:sz w:val="16"/>
                <w:szCs w:val="16"/>
              </w:rPr>
              <w:t>11,475,132</w:t>
            </w:r>
          </w:p>
        </w:tc>
        <w:tc>
          <w:tcPr>
            <w:tcW w:w="50" w:type="pct"/>
            <w:shd w:val="clear" w:color="auto" w:fill="FFFFFF"/>
            <w:vAlign w:val="bottom"/>
            <w:hideMark/>
          </w:tcPr>
          <w:p w14:paraId="72FE171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8C935F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A26E478"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6A63AC96" w14:textId="77777777">
        <w:trPr>
          <w:tblCellSpacing w:w="0" w:type="dxa"/>
        </w:trPr>
        <w:tc>
          <w:tcPr>
            <w:tcW w:w="50" w:type="pct"/>
            <w:shd w:val="clear" w:color="auto" w:fill="CCEEFF"/>
            <w:vAlign w:val="bottom"/>
            <w:hideMark/>
          </w:tcPr>
          <w:p w14:paraId="45CE61F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9925233" w14:textId="77777777" w:rsidR="00000000" w:rsidRDefault="0053651E">
            <w:pPr>
              <w:pStyle w:val="a3"/>
              <w:spacing w:before="0" w:beforeAutospacing="0" w:after="0" w:afterAutospacing="0"/>
              <w:rPr>
                <w:sz w:val="16"/>
                <w:szCs w:val="16"/>
              </w:rPr>
            </w:pPr>
            <w:r>
              <w:rPr>
                <w:sz w:val="16"/>
                <w:szCs w:val="16"/>
              </w:rPr>
              <w:t>INDEPENDENCE PLAZA</w:t>
            </w:r>
          </w:p>
        </w:tc>
        <w:tc>
          <w:tcPr>
            <w:tcW w:w="150" w:type="pct"/>
            <w:shd w:val="clear" w:color="auto" w:fill="CCEEFF"/>
            <w:vAlign w:val="bottom"/>
            <w:hideMark/>
          </w:tcPr>
          <w:p w14:paraId="1D682AD9"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404082C6" w14:textId="77777777" w:rsidR="00000000" w:rsidRDefault="0053651E">
            <w:pPr>
              <w:jc w:val="right"/>
              <w:rPr>
                <w:rFonts w:eastAsia="Times New Roman"/>
                <w:sz w:val="16"/>
                <w:szCs w:val="16"/>
              </w:rPr>
            </w:pPr>
            <w:r>
              <w:rPr>
                <w:rFonts w:eastAsia="Times New Roman"/>
                <w:sz w:val="16"/>
                <w:szCs w:val="16"/>
              </w:rPr>
              <w:t>12,279,093</w:t>
            </w:r>
          </w:p>
        </w:tc>
        <w:tc>
          <w:tcPr>
            <w:tcW w:w="550" w:type="pct"/>
            <w:shd w:val="clear" w:color="auto" w:fill="CCEEFF"/>
            <w:vAlign w:val="bottom"/>
            <w:hideMark/>
          </w:tcPr>
          <w:p w14:paraId="05E5CBC3" w14:textId="77777777" w:rsidR="00000000" w:rsidRDefault="0053651E">
            <w:pPr>
              <w:jc w:val="right"/>
              <w:rPr>
                <w:rFonts w:eastAsia="Times New Roman"/>
                <w:sz w:val="16"/>
                <w:szCs w:val="16"/>
              </w:rPr>
            </w:pPr>
            <w:r>
              <w:rPr>
                <w:rFonts w:eastAsia="Times New Roman"/>
                <w:sz w:val="16"/>
                <w:szCs w:val="16"/>
              </w:rPr>
              <w:t>34,813,852</w:t>
            </w:r>
          </w:p>
        </w:tc>
        <w:tc>
          <w:tcPr>
            <w:tcW w:w="350" w:type="pct"/>
            <w:shd w:val="clear" w:color="auto" w:fill="CCEEFF"/>
            <w:vAlign w:val="bottom"/>
            <w:hideMark/>
          </w:tcPr>
          <w:p w14:paraId="5BC6A58B" w14:textId="77777777" w:rsidR="00000000" w:rsidRDefault="0053651E">
            <w:pPr>
              <w:jc w:val="right"/>
              <w:rPr>
                <w:rFonts w:eastAsia="Times New Roman"/>
                <w:sz w:val="16"/>
                <w:szCs w:val="16"/>
              </w:rPr>
            </w:pPr>
            <w:r>
              <w:rPr>
                <w:rFonts w:eastAsia="Times New Roman"/>
                <w:sz w:val="16"/>
                <w:szCs w:val="16"/>
              </w:rPr>
              <w:t>(458,904)</w:t>
            </w:r>
          </w:p>
        </w:tc>
        <w:tc>
          <w:tcPr>
            <w:tcW w:w="300" w:type="pct"/>
            <w:shd w:val="clear" w:color="auto" w:fill="CCEEFF"/>
            <w:vAlign w:val="bottom"/>
            <w:hideMark/>
          </w:tcPr>
          <w:p w14:paraId="6EC9BE0E" w14:textId="77777777" w:rsidR="00000000" w:rsidRDefault="0053651E">
            <w:pPr>
              <w:jc w:val="right"/>
              <w:rPr>
                <w:rFonts w:eastAsia="Times New Roman"/>
                <w:sz w:val="16"/>
                <w:szCs w:val="16"/>
              </w:rPr>
            </w:pPr>
            <w:r>
              <w:rPr>
                <w:rFonts w:eastAsia="Times New Roman"/>
                <w:sz w:val="16"/>
                <w:szCs w:val="16"/>
              </w:rPr>
              <w:t>16,131,632</w:t>
            </w:r>
          </w:p>
        </w:tc>
        <w:tc>
          <w:tcPr>
            <w:tcW w:w="450" w:type="pct"/>
            <w:shd w:val="clear" w:color="auto" w:fill="CCEEFF"/>
            <w:vAlign w:val="bottom"/>
            <w:hideMark/>
          </w:tcPr>
          <w:p w14:paraId="4C8D02E4" w14:textId="77777777" w:rsidR="00000000" w:rsidRDefault="0053651E">
            <w:pPr>
              <w:jc w:val="right"/>
              <w:rPr>
                <w:rFonts w:eastAsia="Times New Roman"/>
                <w:sz w:val="16"/>
                <w:szCs w:val="16"/>
              </w:rPr>
            </w:pPr>
            <w:r>
              <w:rPr>
                <w:rFonts w:eastAsia="Times New Roman"/>
                <w:sz w:val="16"/>
                <w:szCs w:val="16"/>
              </w:rPr>
              <w:t>30,502,409</w:t>
            </w:r>
          </w:p>
        </w:tc>
        <w:tc>
          <w:tcPr>
            <w:tcW w:w="350" w:type="pct"/>
            <w:shd w:val="clear" w:color="auto" w:fill="CCEEFF"/>
            <w:vAlign w:val="bottom"/>
            <w:hideMark/>
          </w:tcPr>
          <w:p w14:paraId="58B4BC91" w14:textId="77777777" w:rsidR="00000000" w:rsidRDefault="0053651E">
            <w:pPr>
              <w:jc w:val="right"/>
              <w:rPr>
                <w:rFonts w:eastAsia="Times New Roman"/>
                <w:sz w:val="16"/>
                <w:szCs w:val="16"/>
              </w:rPr>
            </w:pPr>
            <w:r>
              <w:rPr>
                <w:rFonts w:eastAsia="Times New Roman"/>
                <w:sz w:val="16"/>
                <w:szCs w:val="16"/>
              </w:rPr>
              <w:t>46,634,041</w:t>
            </w:r>
          </w:p>
        </w:tc>
        <w:tc>
          <w:tcPr>
            <w:tcW w:w="400" w:type="pct"/>
            <w:shd w:val="clear" w:color="auto" w:fill="CCEEFF"/>
            <w:vAlign w:val="bottom"/>
            <w:hideMark/>
          </w:tcPr>
          <w:p w14:paraId="28B2FB6A" w14:textId="77777777" w:rsidR="00000000" w:rsidRDefault="0053651E">
            <w:pPr>
              <w:jc w:val="right"/>
              <w:rPr>
                <w:rFonts w:eastAsia="Times New Roman"/>
                <w:sz w:val="16"/>
                <w:szCs w:val="16"/>
              </w:rPr>
            </w:pPr>
            <w:r>
              <w:rPr>
                <w:rFonts w:eastAsia="Times New Roman"/>
                <w:sz w:val="16"/>
                <w:szCs w:val="16"/>
              </w:rPr>
              <w:t>7,329,258</w:t>
            </w:r>
          </w:p>
        </w:tc>
        <w:tc>
          <w:tcPr>
            <w:tcW w:w="50" w:type="pct"/>
            <w:shd w:val="clear" w:color="auto" w:fill="CCEEFF"/>
            <w:vAlign w:val="bottom"/>
            <w:hideMark/>
          </w:tcPr>
          <w:p w14:paraId="7563EB3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542C744" w14:textId="77777777" w:rsidR="00000000" w:rsidRDefault="0053651E">
            <w:pPr>
              <w:jc w:val="right"/>
              <w:rPr>
                <w:rFonts w:eastAsia="Times New Roman"/>
                <w:sz w:val="16"/>
                <w:szCs w:val="16"/>
              </w:rPr>
            </w:pPr>
            <w:r>
              <w:rPr>
                <w:rFonts w:eastAsia="Times New Roman"/>
                <w:sz w:val="16"/>
                <w:szCs w:val="16"/>
              </w:rPr>
              <w:t>39,304,783</w:t>
            </w:r>
          </w:p>
        </w:tc>
        <w:tc>
          <w:tcPr>
            <w:tcW w:w="50" w:type="pct"/>
            <w:shd w:val="clear" w:color="auto" w:fill="CCEEFF"/>
            <w:vAlign w:val="bottom"/>
            <w:hideMark/>
          </w:tcPr>
          <w:p w14:paraId="3DE336F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0C0BBE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CF692A0"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432AEBA7" w14:textId="77777777">
        <w:trPr>
          <w:tblCellSpacing w:w="0" w:type="dxa"/>
        </w:trPr>
        <w:tc>
          <w:tcPr>
            <w:tcW w:w="50" w:type="pct"/>
            <w:shd w:val="clear" w:color="auto" w:fill="FFFFFF"/>
            <w:vAlign w:val="bottom"/>
            <w:hideMark/>
          </w:tcPr>
          <w:p w14:paraId="0CE0D3A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82398DD" w14:textId="77777777" w:rsidR="00000000" w:rsidRDefault="0053651E">
            <w:pPr>
              <w:pStyle w:val="a3"/>
              <w:spacing w:before="0" w:beforeAutospacing="0" w:after="0" w:afterAutospacing="0"/>
              <w:rPr>
                <w:sz w:val="16"/>
                <w:szCs w:val="16"/>
              </w:rPr>
            </w:pPr>
            <w:r>
              <w:rPr>
                <w:sz w:val="16"/>
                <w:szCs w:val="16"/>
              </w:rPr>
              <w:t>KEY FOOD - CENTRAL AVE.</w:t>
            </w:r>
          </w:p>
        </w:tc>
        <w:tc>
          <w:tcPr>
            <w:tcW w:w="150" w:type="pct"/>
            <w:shd w:val="clear" w:color="auto" w:fill="FFFFFF"/>
            <w:vAlign w:val="bottom"/>
            <w:hideMark/>
          </w:tcPr>
          <w:p w14:paraId="78AC13CC"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7C807E2E" w14:textId="77777777" w:rsidR="00000000" w:rsidRDefault="0053651E">
            <w:pPr>
              <w:jc w:val="right"/>
              <w:rPr>
                <w:rFonts w:eastAsia="Times New Roman"/>
                <w:sz w:val="16"/>
                <w:szCs w:val="16"/>
              </w:rPr>
            </w:pPr>
            <w:r>
              <w:rPr>
                <w:rFonts w:eastAsia="Times New Roman"/>
                <w:sz w:val="16"/>
                <w:szCs w:val="16"/>
              </w:rPr>
              <w:t>2,787,600</w:t>
            </w:r>
          </w:p>
        </w:tc>
        <w:tc>
          <w:tcPr>
            <w:tcW w:w="550" w:type="pct"/>
            <w:shd w:val="clear" w:color="auto" w:fill="FFFFFF"/>
            <w:vAlign w:val="bottom"/>
            <w:hideMark/>
          </w:tcPr>
          <w:p w14:paraId="68759B53" w14:textId="77777777" w:rsidR="00000000" w:rsidRDefault="0053651E">
            <w:pPr>
              <w:jc w:val="right"/>
              <w:rPr>
                <w:rFonts w:eastAsia="Times New Roman"/>
                <w:sz w:val="16"/>
                <w:szCs w:val="16"/>
              </w:rPr>
            </w:pPr>
            <w:r>
              <w:rPr>
                <w:rFonts w:eastAsia="Times New Roman"/>
                <w:sz w:val="16"/>
                <w:szCs w:val="16"/>
              </w:rPr>
              <w:t>6,899,310</w:t>
            </w:r>
          </w:p>
        </w:tc>
        <w:tc>
          <w:tcPr>
            <w:tcW w:w="350" w:type="pct"/>
            <w:shd w:val="clear" w:color="auto" w:fill="FFFFFF"/>
            <w:vAlign w:val="bottom"/>
            <w:hideMark/>
          </w:tcPr>
          <w:p w14:paraId="02D4BFA9" w14:textId="77777777" w:rsidR="00000000" w:rsidRDefault="0053651E">
            <w:pPr>
              <w:jc w:val="right"/>
              <w:rPr>
                <w:rFonts w:eastAsia="Times New Roman"/>
                <w:sz w:val="16"/>
                <w:szCs w:val="16"/>
              </w:rPr>
            </w:pPr>
            <w:r>
              <w:rPr>
                <w:rFonts w:eastAsia="Times New Roman"/>
                <w:sz w:val="16"/>
                <w:szCs w:val="16"/>
              </w:rPr>
              <w:t>(</w:t>
            </w:r>
            <w:r>
              <w:rPr>
                <w:rFonts w:eastAsia="Times New Roman"/>
                <w:sz w:val="16"/>
                <w:szCs w:val="16"/>
              </w:rPr>
              <w:t>394,910)</w:t>
            </w:r>
          </w:p>
        </w:tc>
        <w:tc>
          <w:tcPr>
            <w:tcW w:w="300" w:type="pct"/>
            <w:shd w:val="clear" w:color="auto" w:fill="FFFFFF"/>
            <w:vAlign w:val="bottom"/>
            <w:hideMark/>
          </w:tcPr>
          <w:p w14:paraId="36C95737" w14:textId="77777777" w:rsidR="00000000" w:rsidRDefault="0053651E">
            <w:pPr>
              <w:jc w:val="right"/>
              <w:rPr>
                <w:rFonts w:eastAsia="Times New Roman"/>
                <w:sz w:val="16"/>
                <w:szCs w:val="16"/>
              </w:rPr>
            </w:pPr>
            <w:r>
              <w:rPr>
                <w:rFonts w:eastAsia="Times New Roman"/>
                <w:sz w:val="16"/>
                <w:szCs w:val="16"/>
              </w:rPr>
              <w:t>2,603,321</w:t>
            </w:r>
          </w:p>
        </w:tc>
        <w:tc>
          <w:tcPr>
            <w:tcW w:w="450" w:type="pct"/>
            <w:shd w:val="clear" w:color="auto" w:fill="FFFFFF"/>
            <w:vAlign w:val="bottom"/>
            <w:hideMark/>
          </w:tcPr>
          <w:p w14:paraId="6523A1E3" w14:textId="77777777" w:rsidR="00000000" w:rsidRDefault="0053651E">
            <w:pPr>
              <w:jc w:val="right"/>
              <w:rPr>
                <w:rFonts w:eastAsia="Times New Roman"/>
                <w:sz w:val="16"/>
                <w:szCs w:val="16"/>
              </w:rPr>
            </w:pPr>
            <w:r>
              <w:rPr>
                <w:rFonts w:eastAsia="Times New Roman"/>
                <w:sz w:val="16"/>
                <w:szCs w:val="16"/>
              </w:rPr>
              <w:t>6,688,679</w:t>
            </w:r>
          </w:p>
        </w:tc>
        <w:tc>
          <w:tcPr>
            <w:tcW w:w="350" w:type="pct"/>
            <w:shd w:val="clear" w:color="auto" w:fill="FFFFFF"/>
            <w:vAlign w:val="bottom"/>
            <w:hideMark/>
          </w:tcPr>
          <w:p w14:paraId="23066832" w14:textId="77777777" w:rsidR="00000000" w:rsidRDefault="0053651E">
            <w:pPr>
              <w:jc w:val="right"/>
              <w:rPr>
                <w:rFonts w:eastAsia="Times New Roman"/>
                <w:sz w:val="16"/>
                <w:szCs w:val="16"/>
              </w:rPr>
            </w:pPr>
            <w:r>
              <w:rPr>
                <w:rFonts w:eastAsia="Times New Roman"/>
                <w:sz w:val="16"/>
                <w:szCs w:val="16"/>
              </w:rPr>
              <w:t>9,292,000</w:t>
            </w:r>
          </w:p>
        </w:tc>
        <w:tc>
          <w:tcPr>
            <w:tcW w:w="400" w:type="pct"/>
            <w:shd w:val="clear" w:color="auto" w:fill="FFFFFF"/>
            <w:vAlign w:val="bottom"/>
            <w:hideMark/>
          </w:tcPr>
          <w:p w14:paraId="47D7FAC3" w14:textId="77777777" w:rsidR="00000000" w:rsidRDefault="0053651E">
            <w:pPr>
              <w:jc w:val="right"/>
              <w:rPr>
                <w:rFonts w:eastAsia="Times New Roman"/>
                <w:sz w:val="16"/>
                <w:szCs w:val="16"/>
              </w:rPr>
            </w:pPr>
            <w:r>
              <w:rPr>
                <w:rFonts w:eastAsia="Times New Roman"/>
                <w:sz w:val="16"/>
                <w:szCs w:val="16"/>
              </w:rPr>
              <w:t>1,311,346</w:t>
            </w:r>
          </w:p>
        </w:tc>
        <w:tc>
          <w:tcPr>
            <w:tcW w:w="50" w:type="pct"/>
            <w:shd w:val="clear" w:color="auto" w:fill="FFFFFF"/>
            <w:vAlign w:val="bottom"/>
            <w:hideMark/>
          </w:tcPr>
          <w:p w14:paraId="43BBF84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D31D700" w14:textId="77777777" w:rsidR="00000000" w:rsidRDefault="0053651E">
            <w:pPr>
              <w:jc w:val="right"/>
              <w:rPr>
                <w:rFonts w:eastAsia="Times New Roman"/>
                <w:sz w:val="16"/>
                <w:szCs w:val="16"/>
              </w:rPr>
            </w:pPr>
            <w:r>
              <w:rPr>
                <w:rFonts w:eastAsia="Times New Roman"/>
                <w:sz w:val="16"/>
                <w:szCs w:val="16"/>
              </w:rPr>
              <w:t>7,980,654</w:t>
            </w:r>
          </w:p>
        </w:tc>
        <w:tc>
          <w:tcPr>
            <w:tcW w:w="50" w:type="pct"/>
            <w:shd w:val="clear" w:color="auto" w:fill="FFFFFF"/>
            <w:vAlign w:val="bottom"/>
            <w:hideMark/>
          </w:tcPr>
          <w:p w14:paraId="1C11EED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704B81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B186D6F"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43F9E208" w14:textId="77777777">
        <w:trPr>
          <w:tblCellSpacing w:w="0" w:type="dxa"/>
        </w:trPr>
        <w:tc>
          <w:tcPr>
            <w:tcW w:w="50" w:type="pct"/>
            <w:shd w:val="clear" w:color="auto" w:fill="CCEEFF"/>
            <w:vAlign w:val="bottom"/>
            <w:hideMark/>
          </w:tcPr>
          <w:p w14:paraId="609F459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93D056C" w14:textId="77777777" w:rsidR="00000000" w:rsidRDefault="0053651E">
            <w:pPr>
              <w:pStyle w:val="a3"/>
              <w:spacing w:before="0" w:beforeAutospacing="0" w:after="0" w:afterAutospacing="0"/>
              <w:rPr>
                <w:sz w:val="16"/>
                <w:szCs w:val="16"/>
              </w:rPr>
            </w:pPr>
            <w:r>
              <w:rPr>
                <w:sz w:val="16"/>
                <w:szCs w:val="16"/>
              </w:rPr>
              <w:t>WHITE PLAINS S.C.</w:t>
            </w:r>
          </w:p>
        </w:tc>
        <w:tc>
          <w:tcPr>
            <w:tcW w:w="150" w:type="pct"/>
            <w:shd w:val="clear" w:color="auto" w:fill="CCEEFF"/>
            <w:vAlign w:val="bottom"/>
            <w:hideMark/>
          </w:tcPr>
          <w:p w14:paraId="1505E517"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1E326991" w14:textId="77777777" w:rsidR="00000000" w:rsidRDefault="0053651E">
            <w:pPr>
              <w:jc w:val="right"/>
              <w:rPr>
                <w:rFonts w:eastAsia="Times New Roman"/>
                <w:sz w:val="16"/>
                <w:szCs w:val="16"/>
              </w:rPr>
            </w:pPr>
            <w:r>
              <w:rPr>
                <w:rFonts w:eastAsia="Times New Roman"/>
                <w:sz w:val="16"/>
                <w:szCs w:val="16"/>
              </w:rPr>
              <w:t>1,777,775</w:t>
            </w:r>
          </w:p>
        </w:tc>
        <w:tc>
          <w:tcPr>
            <w:tcW w:w="550" w:type="pct"/>
            <w:shd w:val="clear" w:color="auto" w:fill="CCEEFF"/>
            <w:vAlign w:val="bottom"/>
            <w:hideMark/>
          </w:tcPr>
          <w:p w14:paraId="0F089AB9" w14:textId="77777777" w:rsidR="00000000" w:rsidRDefault="0053651E">
            <w:pPr>
              <w:jc w:val="right"/>
              <w:rPr>
                <w:rFonts w:eastAsia="Times New Roman"/>
                <w:sz w:val="16"/>
                <w:szCs w:val="16"/>
              </w:rPr>
            </w:pPr>
            <w:r>
              <w:rPr>
                <w:rFonts w:eastAsia="Times New Roman"/>
                <w:sz w:val="16"/>
                <w:szCs w:val="16"/>
              </w:rPr>
              <w:t>4,453,894</w:t>
            </w:r>
          </w:p>
        </w:tc>
        <w:tc>
          <w:tcPr>
            <w:tcW w:w="350" w:type="pct"/>
            <w:shd w:val="clear" w:color="auto" w:fill="CCEEFF"/>
            <w:vAlign w:val="bottom"/>
            <w:hideMark/>
          </w:tcPr>
          <w:p w14:paraId="582463C7" w14:textId="77777777" w:rsidR="00000000" w:rsidRDefault="0053651E">
            <w:pPr>
              <w:jc w:val="right"/>
              <w:rPr>
                <w:rFonts w:eastAsia="Times New Roman"/>
                <w:sz w:val="16"/>
                <w:szCs w:val="16"/>
              </w:rPr>
            </w:pPr>
            <w:r>
              <w:rPr>
                <w:rFonts w:eastAsia="Times New Roman"/>
                <w:sz w:val="16"/>
                <w:szCs w:val="16"/>
              </w:rPr>
              <w:t>2,611,810</w:t>
            </w:r>
          </w:p>
        </w:tc>
        <w:tc>
          <w:tcPr>
            <w:tcW w:w="300" w:type="pct"/>
            <w:shd w:val="clear" w:color="auto" w:fill="CCEEFF"/>
            <w:vAlign w:val="bottom"/>
            <w:hideMark/>
          </w:tcPr>
          <w:p w14:paraId="0714A875" w14:textId="77777777" w:rsidR="00000000" w:rsidRDefault="0053651E">
            <w:pPr>
              <w:jc w:val="right"/>
              <w:rPr>
                <w:rFonts w:eastAsia="Times New Roman"/>
                <w:sz w:val="16"/>
                <w:szCs w:val="16"/>
              </w:rPr>
            </w:pPr>
            <w:r>
              <w:rPr>
                <w:rFonts w:eastAsia="Times New Roman"/>
                <w:sz w:val="16"/>
                <w:szCs w:val="16"/>
              </w:rPr>
              <w:t>1,777,775</w:t>
            </w:r>
          </w:p>
        </w:tc>
        <w:tc>
          <w:tcPr>
            <w:tcW w:w="450" w:type="pct"/>
            <w:shd w:val="clear" w:color="auto" w:fill="CCEEFF"/>
            <w:vAlign w:val="bottom"/>
            <w:hideMark/>
          </w:tcPr>
          <w:p w14:paraId="3E8F37D7" w14:textId="77777777" w:rsidR="00000000" w:rsidRDefault="0053651E">
            <w:pPr>
              <w:jc w:val="right"/>
              <w:rPr>
                <w:rFonts w:eastAsia="Times New Roman"/>
                <w:sz w:val="16"/>
                <w:szCs w:val="16"/>
              </w:rPr>
            </w:pPr>
            <w:r>
              <w:rPr>
                <w:rFonts w:eastAsia="Times New Roman"/>
                <w:sz w:val="16"/>
                <w:szCs w:val="16"/>
              </w:rPr>
              <w:t>7,065,704</w:t>
            </w:r>
          </w:p>
        </w:tc>
        <w:tc>
          <w:tcPr>
            <w:tcW w:w="350" w:type="pct"/>
            <w:shd w:val="clear" w:color="auto" w:fill="CCEEFF"/>
            <w:vAlign w:val="bottom"/>
            <w:hideMark/>
          </w:tcPr>
          <w:p w14:paraId="175E1ACF" w14:textId="77777777" w:rsidR="00000000" w:rsidRDefault="0053651E">
            <w:pPr>
              <w:jc w:val="right"/>
              <w:rPr>
                <w:rFonts w:eastAsia="Times New Roman"/>
                <w:sz w:val="16"/>
                <w:szCs w:val="16"/>
              </w:rPr>
            </w:pPr>
            <w:r>
              <w:rPr>
                <w:rFonts w:eastAsia="Times New Roman"/>
                <w:sz w:val="16"/>
                <w:szCs w:val="16"/>
              </w:rPr>
              <w:t>8,843,479</w:t>
            </w:r>
          </w:p>
        </w:tc>
        <w:tc>
          <w:tcPr>
            <w:tcW w:w="400" w:type="pct"/>
            <w:shd w:val="clear" w:color="auto" w:fill="CCEEFF"/>
            <w:vAlign w:val="bottom"/>
            <w:hideMark/>
          </w:tcPr>
          <w:p w14:paraId="103739AA" w14:textId="77777777" w:rsidR="00000000" w:rsidRDefault="0053651E">
            <w:pPr>
              <w:jc w:val="right"/>
              <w:rPr>
                <w:rFonts w:eastAsia="Times New Roman"/>
                <w:sz w:val="16"/>
                <w:szCs w:val="16"/>
              </w:rPr>
            </w:pPr>
            <w:r>
              <w:rPr>
                <w:rFonts w:eastAsia="Times New Roman"/>
                <w:sz w:val="16"/>
                <w:szCs w:val="16"/>
              </w:rPr>
              <w:t>2,719,153</w:t>
            </w:r>
          </w:p>
        </w:tc>
        <w:tc>
          <w:tcPr>
            <w:tcW w:w="50" w:type="pct"/>
            <w:shd w:val="clear" w:color="auto" w:fill="CCEEFF"/>
            <w:vAlign w:val="bottom"/>
            <w:hideMark/>
          </w:tcPr>
          <w:p w14:paraId="31ABE6A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ABC81D7" w14:textId="77777777" w:rsidR="00000000" w:rsidRDefault="0053651E">
            <w:pPr>
              <w:jc w:val="right"/>
              <w:rPr>
                <w:rFonts w:eastAsia="Times New Roman"/>
                <w:sz w:val="16"/>
                <w:szCs w:val="16"/>
              </w:rPr>
            </w:pPr>
            <w:r>
              <w:rPr>
                <w:rFonts w:eastAsia="Times New Roman"/>
                <w:sz w:val="16"/>
                <w:szCs w:val="16"/>
              </w:rPr>
              <w:t>6,124,326</w:t>
            </w:r>
          </w:p>
        </w:tc>
        <w:tc>
          <w:tcPr>
            <w:tcW w:w="50" w:type="pct"/>
            <w:shd w:val="clear" w:color="auto" w:fill="CCEEFF"/>
            <w:vAlign w:val="bottom"/>
            <w:hideMark/>
          </w:tcPr>
          <w:p w14:paraId="1CCDE18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15202B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23FC874" w14:textId="77777777" w:rsidR="00000000" w:rsidRDefault="0053651E">
            <w:pPr>
              <w:pStyle w:val="a3"/>
              <w:spacing w:before="0" w:beforeAutospacing="0" w:after="0" w:afterAutospacing="0"/>
              <w:jc w:val="center"/>
              <w:rPr>
                <w:sz w:val="16"/>
                <w:szCs w:val="16"/>
              </w:rPr>
            </w:pPr>
            <w:r>
              <w:rPr>
                <w:rStyle w:val="a6"/>
                <w:i w:val="0"/>
                <w:iCs w:val="0"/>
                <w:sz w:val="16"/>
                <w:szCs w:val="16"/>
              </w:rPr>
              <w:t>2004(A)</w:t>
            </w:r>
          </w:p>
        </w:tc>
      </w:tr>
      <w:tr w:rsidR="00000000" w14:paraId="5D761B67" w14:textId="77777777">
        <w:trPr>
          <w:tblCellSpacing w:w="0" w:type="dxa"/>
        </w:trPr>
        <w:tc>
          <w:tcPr>
            <w:tcW w:w="50" w:type="pct"/>
            <w:shd w:val="clear" w:color="auto" w:fill="FFFFFF"/>
            <w:vAlign w:val="bottom"/>
            <w:hideMark/>
          </w:tcPr>
          <w:p w14:paraId="6461293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E771ACA" w14:textId="77777777" w:rsidR="00000000" w:rsidRDefault="0053651E">
            <w:pPr>
              <w:pStyle w:val="a3"/>
              <w:spacing w:before="0" w:beforeAutospacing="0" w:after="0" w:afterAutospacing="0"/>
              <w:rPr>
                <w:sz w:val="16"/>
                <w:szCs w:val="16"/>
              </w:rPr>
            </w:pPr>
            <w:r>
              <w:rPr>
                <w:sz w:val="16"/>
                <w:szCs w:val="16"/>
              </w:rPr>
              <w:t>CHAMPION FOOD SUPERMARKET</w:t>
            </w:r>
          </w:p>
        </w:tc>
        <w:tc>
          <w:tcPr>
            <w:tcW w:w="150" w:type="pct"/>
            <w:shd w:val="clear" w:color="auto" w:fill="FFFFFF"/>
            <w:vAlign w:val="bottom"/>
            <w:hideMark/>
          </w:tcPr>
          <w:p w14:paraId="3A4BA23B"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029B8C2D" w14:textId="77777777" w:rsidR="00000000" w:rsidRDefault="0053651E">
            <w:pPr>
              <w:jc w:val="right"/>
              <w:rPr>
                <w:rFonts w:eastAsia="Times New Roman"/>
                <w:sz w:val="16"/>
                <w:szCs w:val="16"/>
              </w:rPr>
            </w:pPr>
            <w:r>
              <w:rPr>
                <w:rFonts w:eastAsia="Times New Roman"/>
                <w:sz w:val="16"/>
                <w:szCs w:val="16"/>
              </w:rPr>
              <w:t>757,500</w:t>
            </w:r>
          </w:p>
        </w:tc>
        <w:tc>
          <w:tcPr>
            <w:tcW w:w="550" w:type="pct"/>
            <w:shd w:val="clear" w:color="auto" w:fill="FFFFFF"/>
            <w:vAlign w:val="bottom"/>
            <w:hideMark/>
          </w:tcPr>
          <w:p w14:paraId="245D4C8D" w14:textId="77777777" w:rsidR="00000000" w:rsidRDefault="0053651E">
            <w:pPr>
              <w:jc w:val="right"/>
              <w:rPr>
                <w:rFonts w:eastAsia="Times New Roman"/>
                <w:sz w:val="16"/>
                <w:szCs w:val="16"/>
              </w:rPr>
            </w:pPr>
            <w:r>
              <w:rPr>
                <w:rFonts w:eastAsia="Times New Roman"/>
                <w:sz w:val="16"/>
                <w:szCs w:val="16"/>
              </w:rPr>
              <w:t>1,874,813</w:t>
            </w:r>
          </w:p>
        </w:tc>
        <w:tc>
          <w:tcPr>
            <w:tcW w:w="350" w:type="pct"/>
            <w:shd w:val="clear" w:color="auto" w:fill="FFFFFF"/>
            <w:vAlign w:val="bottom"/>
            <w:hideMark/>
          </w:tcPr>
          <w:p w14:paraId="2A4E8B87" w14:textId="77777777" w:rsidR="00000000" w:rsidRDefault="0053651E">
            <w:pPr>
              <w:jc w:val="right"/>
              <w:rPr>
                <w:rFonts w:eastAsia="Times New Roman"/>
                <w:sz w:val="16"/>
                <w:szCs w:val="16"/>
              </w:rPr>
            </w:pPr>
            <w:r>
              <w:rPr>
                <w:rFonts w:eastAsia="Times New Roman"/>
                <w:sz w:val="16"/>
                <w:szCs w:val="16"/>
              </w:rPr>
              <w:t>(24,388)</w:t>
            </w:r>
          </w:p>
        </w:tc>
        <w:tc>
          <w:tcPr>
            <w:tcW w:w="300" w:type="pct"/>
            <w:shd w:val="clear" w:color="auto" w:fill="FFFFFF"/>
            <w:vAlign w:val="bottom"/>
            <w:hideMark/>
          </w:tcPr>
          <w:p w14:paraId="224B7D68" w14:textId="77777777" w:rsidR="00000000" w:rsidRDefault="0053651E">
            <w:pPr>
              <w:jc w:val="right"/>
              <w:rPr>
                <w:rFonts w:eastAsia="Times New Roman"/>
                <w:sz w:val="16"/>
                <w:szCs w:val="16"/>
              </w:rPr>
            </w:pPr>
            <w:r>
              <w:rPr>
                <w:rFonts w:eastAsia="Times New Roman"/>
                <w:sz w:val="16"/>
                <w:szCs w:val="16"/>
              </w:rPr>
              <w:t>2,241,118</w:t>
            </w:r>
          </w:p>
        </w:tc>
        <w:tc>
          <w:tcPr>
            <w:tcW w:w="450" w:type="pct"/>
            <w:shd w:val="clear" w:color="auto" w:fill="FFFFFF"/>
            <w:vAlign w:val="bottom"/>
            <w:hideMark/>
          </w:tcPr>
          <w:p w14:paraId="4516BD92" w14:textId="77777777" w:rsidR="00000000" w:rsidRDefault="0053651E">
            <w:pPr>
              <w:jc w:val="right"/>
              <w:rPr>
                <w:rFonts w:eastAsia="Times New Roman"/>
                <w:sz w:val="16"/>
                <w:szCs w:val="16"/>
              </w:rPr>
            </w:pPr>
            <w:r>
              <w:rPr>
                <w:rFonts w:eastAsia="Times New Roman"/>
                <w:sz w:val="16"/>
                <w:szCs w:val="16"/>
              </w:rPr>
              <w:t>366,807</w:t>
            </w:r>
          </w:p>
        </w:tc>
        <w:tc>
          <w:tcPr>
            <w:tcW w:w="350" w:type="pct"/>
            <w:shd w:val="clear" w:color="auto" w:fill="FFFFFF"/>
            <w:vAlign w:val="bottom"/>
            <w:hideMark/>
          </w:tcPr>
          <w:p w14:paraId="14736C20" w14:textId="77777777" w:rsidR="00000000" w:rsidRDefault="0053651E">
            <w:pPr>
              <w:jc w:val="right"/>
              <w:rPr>
                <w:rFonts w:eastAsia="Times New Roman"/>
                <w:sz w:val="16"/>
                <w:szCs w:val="16"/>
              </w:rPr>
            </w:pPr>
            <w:r>
              <w:rPr>
                <w:rFonts w:eastAsia="Times New Roman"/>
                <w:sz w:val="16"/>
                <w:szCs w:val="16"/>
              </w:rPr>
              <w:t>2,607,925</w:t>
            </w:r>
          </w:p>
        </w:tc>
        <w:tc>
          <w:tcPr>
            <w:tcW w:w="400" w:type="pct"/>
            <w:shd w:val="clear" w:color="auto" w:fill="FFFFFF"/>
            <w:vAlign w:val="bottom"/>
            <w:hideMark/>
          </w:tcPr>
          <w:p w14:paraId="2B07B230" w14:textId="77777777" w:rsidR="00000000" w:rsidRDefault="0053651E">
            <w:pPr>
              <w:jc w:val="right"/>
              <w:rPr>
                <w:rFonts w:eastAsia="Times New Roman"/>
                <w:sz w:val="16"/>
                <w:szCs w:val="16"/>
              </w:rPr>
            </w:pPr>
            <w:r>
              <w:rPr>
                <w:rFonts w:eastAsia="Times New Roman"/>
                <w:sz w:val="16"/>
                <w:szCs w:val="16"/>
              </w:rPr>
              <w:t>188,665</w:t>
            </w:r>
          </w:p>
        </w:tc>
        <w:tc>
          <w:tcPr>
            <w:tcW w:w="50" w:type="pct"/>
            <w:shd w:val="clear" w:color="auto" w:fill="FFFFFF"/>
            <w:vAlign w:val="bottom"/>
            <w:hideMark/>
          </w:tcPr>
          <w:p w14:paraId="614B958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BB36D4D" w14:textId="77777777" w:rsidR="00000000" w:rsidRDefault="0053651E">
            <w:pPr>
              <w:jc w:val="right"/>
              <w:rPr>
                <w:rFonts w:eastAsia="Times New Roman"/>
                <w:sz w:val="16"/>
                <w:szCs w:val="16"/>
              </w:rPr>
            </w:pPr>
            <w:r>
              <w:rPr>
                <w:rFonts w:eastAsia="Times New Roman"/>
                <w:sz w:val="16"/>
                <w:szCs w:val="16"/>
              </w:rPr>
              <w:t>2,419,260</w:t>
            </w:r>
          </w:p>
        </w:tc>
        <w:tc>
          <w:tcPr>
            <w:tcW w:w="50" w:type="pct"/>
            <w:shd w:val="clear" w:color="auto" w:fill="FFFFFF"/>
            <w:vAlign w:val="bottom"/>
            <w:hideMark/>
          </w:tcPr>
          <w:p w14:paraId="1D74EAF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967680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F0E2A34"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0DCACFB8" w14:textId="77777777">
        <w:trPr>
          <w:tblCellSpacing w:w="0" w:type="dxa"/>
        </w:trPr>
        <w:tc>
          <w:tcPr>
            <w:tcW w:w="50" w:type="pct"/>
            <w:shd w:val="clear" w:color="auto" w:fill="CCEEFF"/>
            <w:vAlign w:val="bottom"/>
            <w:hideMark/>
          </w:tcPr>
          <w:p w14:paraId="17062AD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2A64D93" w14:textId="77777777" w:rsidR="00000000" w:rsidRDefault="0053651E">
            <w:pPr>
              <w:pStyle w:val="a3"/>
              <w:spacing w:before="0" w:beforeAutospacing="0" w:after="0" w:afterAutospacing="0"/>
              <w:rPr>
                <w:sz w:val="16"/>
                <w:szCs w:val="16"/>
              </w:rPr>
            </w:pPr>
            <w:r>
              <w:rPr>
                <w:sz w:val="16"/>
                <w:szCs w:val="16"/>
              </w:rPr>
              <w:t>SHOPRITE S.C.</w:t>
            </w:r>
          </w:p>
        </w:tc>
        <w:tc>
          <w:tcPr>
            <w:tcW w:w="150" w:type="pct"/>
            <w:shd w:val="clear" w:color="auto" w:fill="CCEEFF"/>
            <w:vAlign w:val="bottom"/>
            <w:hideMark/>
          </w:tcPr>
          <w:p w14:paraId="20FAE795"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5492F72D" w14:textId="77777777" w:rsidR="00000000" w:rsidRDefault="0053651E">
            <w:pPr>
              <w:jc w:val="right"/>
              <w:rPr>
                <w:rFonts w:eastAsia="Times New Roman"/>
                <w:sz w:val="16"/>
                <w:szCs w:val="16"/>
              </w:rPr>
            </w:pPr>
            <w:r>
              <w:rPr>
                <w:rFonts w:eastAsia="Times New Roman"/>
                <w:sz w:val="16"/>
                <w:szCs w:val="16"/>
              </w:rPr>
              <w:t>871,977</w:t>
            </w:r>
          </w:p>
        </w:tc>
        <w:tc>
          <w:tcPr>
            <w:tcW w:w="550" w:type="pct"/>
            <w:shd w:val="clear" w:color="auto" w:fill="CCEEFF"/>
            <w:vAlign w:val="bottom"/>
            <w:hideMark/>
          </w:tcPr>
          <w:p w14:paraId="25214E18" w14:textId="77777777" w:rsidR="00000000" w:rsidRDefault="0053651E">
            <w:pPr>
              <w:jc w:val="right"/>
              <w:rPr>
                <w:rFonts w:eastAsia="Times New Roman"/>
                <w:sz w:val="16"/>
                <w:szCs w:val="16"/>
              </w:rPr>
            </w:pPr>
            <w:r>
              <w:rPr>
                <w:rFonts w:eastAsia="Times New Roman"/>
                <w:sz w:val="16"/>
                <w:szCs w:val="16"/>
              </w:rPr>
              <w:t>3,487,909</w:t>
            </w:r>
          </w:p>
        </w:tc>
        <w:tc>
          <w:tcPr>
            <w:tcW w:w="350" w:type="pct"/>
            <w:shd w:val="clear" w:color="auto" w:fill="CCEEFF"/>
            <w:vAlign w:val="bottom"/>
            <w:hideMark/>
          </w:tcPr>
          <w:p w14:paraId="09BDB2E8"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4D852CFF" w14:textId="77777777" w:rsidR="00000000" w:rsidRDefault="0053651E">
            <w:pPr>
              <w:jc w:val="right"/>
              <w:rPr>
                <w:rFonts w:eastAsia="Times New Roman"/>
                <w:sz w:val="16"/>
                <w:szCs w:val="16"/>
              </w:rPr>
            </w:pPr>
            <w:r>
              <w:rPr>
                <w:rFonts w:eastAsia="Times New Roman"/>
                <w:sz w:val="16"/>
                <w:szCs w:val="16"/>
              </w:rPr>
              <w:t>871,977</w:t>
            </w:r>
          </w:p>
        </w:tc>
        <w:tc>
          <w:tcPr>
            <w:tcW w:w="450" w:type="pct"/>
            <w:shd w:val="clear" w:color="auto" w:fill="CCEEFF"/>
            <w:vAlign w:val="bottom"/>
            <w:hideMark/>
          </w:tcPr>
          <w:p w14:paraId="091C0DC1" w14:textId="77777777" w:rsidR="00000000" w:rsidRDefault="0053651E">
            <w:pPr>
              <w:jc w:val="right"/>
              <w:rPr>
                <w:rFonts w:eastAsia="Times New Roman"/>
                <w:sz w:val="16"/>
                <w:szCs w:val="16"/>
              </w:rPr>
            </w:pPr>
            <w:r>
              <w:rPr>
                <w:rFonts w:eastAsia="Times New Roman"/>
                <w:sz w:val="16"/>
                <w:szCs w:val="16"/>
              </w:rPr>
              <w:t>3,487,909</w:t>
            </w:r>
          </w:p>
        </w:tc>
        <w:tc>
          <w:tcPr>
            <w:tcW w:w="350" w:type="pct"/>
            <w:shd w:val="clear" w:color="auto" w:fill="CCEEFF"/>
            <w:vAlign w:val="bottom"/>
            <w:hideMark/>
          </w:tcPr>
          <w:p w14:paraId="144853CC" w14:textId="77777777" w:rsidR="00000000" w:rsidRDefault="0053651E">
            <w:pPr>
              <w:jc w:val="right"/>
              <w:rPr>
                <w:rFonts w:eastAsia="Times New Roman"/>
                <w:sz w:val="16"/>
                <w:szCs w:val="16"/>
              </w:rPr>
            </w:pPr>
            <w:r>
              <w:rPr>
                <w:rFonts w:eastAsia="Times New Roman"/>
                <w:sz w:val="16"/>
                <w:szCs w:val="16"/>
              </w:rPr>
              <w:t>4,359,886</w:t>
            </w:r>
          </w:p>
        </w:tc>
        <w:tc>
          <w:tcPr>
            <w:tcW w:w="400" w:type="pct"/>
            <w:shd w:val="clear" w:color="auto" w:fill="CCEEFF"/>
            <w:vAlign w:val="bottom"/>
            <w:hideMark/>
          </w:tcPr>
          <w:p w14:paraId="35C372CE" w14:textId="77777777" w:rsidR="00000000" w:rsidRDefault="0053651E">
            <w:pPr>
              <w:jc w:val="right"/>
              <w:rPr>
                <w:rFonts w:eastAsia="Times New Roman"/>
                <w:sz w:val="16"/>
                <w:szCs w:val="16"/>
              </w:rPr>
            </w:pPr>
            <w:r>
              <w:rPr>
                <w:rFonts w:eastAsia="Times New Roman"/>
                <w:sz w:val="16"/>
                <w:szCs w:val="16"/>
              </w:rPr>
              <w:t>2,420,656</w:t>
            </w:r>
          </w:p>
        </w:tc>
        <w:tc>
          <w:tcPr>
            <w:tcW w:w="50" w:type="pct"/>
            <w:shd w:val="clear" w:color="auto" w:fill="CCEEFF"/>
            <w:vAlign w:val="bottom"/>
            <w:hideMark/>
          </w:tcPr>
          <w:p w14:paraId="26181D6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62DE193" w14:textId="77777777" w:rsidR="00000000" w:rsidRDefault="0053651E">
            <w:pPr>
              <w:jc w:val="right"/>
              <w:rPr>
                <w:rFonts w:eastAsia="Times New Roman"/>
                <w:sz w:val="16"/>
                <w:szCs w:val="16"/>
              </w:rPr>
            </w:pPr>
            <w:r>
              <w:rPr>
                <w:rFonts w:eastAsia="Times New Roman"/>
                <w:sz w:val="16"/>
                <w:szCs w:val="16"/>
              </w:rPr>
              <w:t>1,939,230</w:t>
            </w:r>
          </w:p>
        </w:tc>
        <w:tc>
          <w:tcPr>
            <w:tcW w:w="50" w:type="pct"/>
            <w:shd w:val="clear" w:color="auto" w:fill="CCEEFF"/>
            <w:vAlign w:val="bottom"/>
            <w:hideMark/>
          </w:tcPr>
          <w:p w14:paraId="29338B5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97622C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421551C"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18472DDB" w14:textId="77777777">
        <w:trPr>
          <w:tblCellSpacing w:w="0" w:type="dxa"/>
        </w:trPr>
        <w:tc>
          <w:tcPr>
            <w:tcW w:w="50" w:type="pct"/>
            <w:shd w:val="clear" w:color="auto" w:fill="FFFFFF"/>
            <w:vAlign w:val="bottom"/>
            <w:hideMark/>
          </w:tcPr>
          <w:p w14:paraId="388F705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1D51FFA" w14:textId="77777777" w:rsidR="00000000" w:rsidRDefault="0053651E">
            <w:pPr>
              <w:pStyle w:val="a3"/>
              <w:spacing w:before="0" w:beforeAutospacing="0" w:after="0" w:afterAutospacing="0"/>
              <w:rPr>
                <w:sz w:val="16"/>
                <w:szCs w:val="16"/>
              </w:rPr>
            </w:pPr>
            <w:r>
              <w:rPr>
                <w:sz w:val="16"/>
                <w:szCs w:val="16"/>
              </w:rPr>
              <w:t>ROMAINE PLAZA</w:t>
            </w:r>
          </w:p>
        </w:tc>
        <w:tc>
          <w:tcPr>
            <w:tcW w:w="150" w:type="pct"/>
            <w:shd w:val="clear" w:color="auto" w:fill="FFFFFF"/>
            <w:vAlign w:val="bottom"/>
            <w:hideMark/>
          </w:tcPr>
          <w:p w14:paraId="1838B561"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529311F2" w14:textId="77777777" w:rsidR="00000000" w:rsidRDefault="0053651E">
            <w:pPr>
              <w:jc w:val="right"/>
              <w:rPr>
                <w:rFonts w:eastAsia="Times New Roman"/>
                <w:sz w:val="16"/>
                <w:szCs w:val="16"/>
              </w:rPr>
            </w:pPr>
            <w:r>
              <w:rPr>
                <w:rFonts w:eastAsia="Times New Roman"/>
                <w:sz w:val="16"/>
                <w:szCs w:val="16"/>
              </w:rPr>
              <w:t>782,459</w:t>
            </w:r>
          </w:p>
        </w:tc>
        <w:tc>
          <w:tcPr>
            <w:tcW w:w="550" w:type="pct"/>
            <w:shd w:val="clear" w:color="auto" w:fill="FFFFFF"/>
            <w:vAlign w:val="bottom"/>
            <w:hideMark/>
          </w:tcPr>
          <w:p w14:paraId="6F24443B" w14:textId="77777777" w:rsidR="00000000" w:rsidRDefault="0053651E">
            <w:pPr>
              <w:jc w:val="right"/>
              <w:rPr>
                <w:rFonts w:eastAsia="Times New Roman"/>
                <w:sz w:val="16"/>
                <w:szCs w:val="16"/>
              </w:rPr>
            </w:pPr>
            <w:r>
              <w:rPr>
                <w:rFonts w:eastAsia="Times New Roman"/>
                <w:sz w:val="16"/>
                <w:szCs w:val="16"/>
              </w:rPr>
              <w:t>1,825,737</w:t>
            </w:r>
          </w:p>
        </w:tc>
        <w:tc>
          <w:tcPr>
            <w:tcW w:w="350" w:type="pct"/>
            <w:shd w:val="clear" w:color="auto" w:fill="FFFFFF"/>
            <w:vAlign w:val="bottom"/>
            <w:hideMark/>
          </w:tcPr>
          <w:p w14:paraId="5D5A8B09" w14:textId="77777777" w:rsidR="00000000" w:rsidRDefault="0053651E">
            <w:pPr>
              <w:jc w:val="right"/>
              <w:rPr>
                <w:rFonts w:eastAsia="Times New Roman"/>
                <w:sz w:val="16"/>
                <w:szCs w:val="16"/>
              </w:rPr>
            </w:pPr>
            <w:r>
              <w:rPr>
                <w:rFonts w:eastAsia="Times New Roman"/>
                <w:sz w:val="16"/>
                <w:szCs w:val="16"/>
              </w:rPr>
              <w:t>588,133</w:t>
            </w:r>
          </w:p>
        </w:tc>
        <w:tc>
          <w:tcPr>
            <w:tcW w:w="300" w:type="pct"/>
            <w:shd w:val="clear" w:color="auto" w:fill="FFFFFF"/>
            <w:vAlign w:val="bottom"/>
            <w:hideMark/>
          </w:tcPr>
          <w:p w14:paraId="7594BEFE" w14:textId="77777777" w:rsidR="00000000" w:rsidRDefault="0053651E">
            <w:pPr>
              <w:jc w:val="right"/>
              <w:rPr>
                <w:rFonts w:eastAsia="Times New Roman"/>
                <w:sz w:val="16"/>
                <w:szCs w:val="16"/>
              </w:rPr>
            </w:pPr>
            <w:r>
              <w:rPr>
                <w:rFonts w:eastAsia="Times New Roman"/>
                <w:sz w:val="16"/>
                <w:szCs w:val="16"/>
              </w:rPr>
              <w:t>782,459</w:t>
            </w:r>
          </w:p>
        </w:tc>
        <w:tc>
          <w:tcPr>
            <w:tcW w:w="450" w:type="pct"/>
            <w:shd w:val="clear" w:color="auto" w:fill="FFFFFF"/>
            <w:vAlign w:val="bottom"/>
            <w:hideMark/>
          </w:tcPr>
          <w:p w14:paraId="66701799" w14:textId="77777777" w:rsidR="00000000" w:rsidRDefault="0053651E">
            <w:pPr>
              <w:jc w:val="right"/>
              <w:rPr>
                <w:rFonts w:eastAsia="Times New Roman"/>
                <w:sz w:val="16"/>
                <w:szCs w:val="16"/>
              </w:rPr>
            </w:pPr>
            <w:r>
              <w:rPr>
                <w:rFonts w:eastAsia="Times New Roman"/>
                <w:sz w:val="16"/>
                <w:szCs w:val="16"/>
              </w:rPr>
              <w:t>2,413,870</w:t>
            </w:r>
          </w:p>
        </w:tc>
        <w:tc>
          <w:tcPr>
            <w:tcW w:w="350" w:type="pct"/>
            <w:shd w:val="clear" w:color="auto" w:fill="FFFFFF"/>
            <w:vAlign w:val="bottom"/>
            <w:hideMark/>
          </w:tcPr>
          <w:p w14:paraId="75463633" w14:textId="77777777" w:rsidR="00000000" w:rsidRDefault="0053651E">
            <w:pPr>
              <w:jc w:val="right"/>
              <w:rPr>
                <w:rFonts w:eastAsia="Times New Roman"/>
                <w:sz w:val="16"/>
                <w:szCs w:val="16"/>
              </w:rPr>
            </w:pPr>
            <w:r>
              <w:rPr>
                <w:rFonts w:eastAsia="Times New Roman"/>
                <w:sz w:val="16"/>
                <w:szCs w:val="16"/>
              </w:rPr>
              <w:t>3,196,329</w:t>
            </w:r>
          </w:p>
        </w:tc>
        <w:tc>
          <w:tcPr>
            <w:tcW w:w="400" w:type="pct"/>
            <w:shd w:val="clear" w:color="auto" w:fill="FFFFFF"/>
            <w:vAlign w:val="bottom"/>
            <w:hideMark/>
          </w:tcPr>
          <w:p w14:paraId="219A38C4" w14:textId="77777777" w:rsidR="00000000" w:rsidRDefault="0053651E">
            <w:pPr>
              <w:jc w:val="right"/>
              <w:rPr>
                <w:rFonts w:eastAsia="Times New Roman"/>
                <w:sz w:val="16"/>
                <w:szCs w:val="16"/>
              </w:rPr>
            </w:pPr>
            <w:r>
              <w:rPr>
                <w:rFonts w:eastAsia="Times New Roman"/>
                <w:sz w:val="16"/>
                <w:szCs w:val="16"/>
              </w:rPr>
              <w:t>870,113</w:t>
            </w:r>
          </w:p>
        </w:tc>
        <w:tc>
          <w:tcPr>
            <w:tcW w:w="50" w:type="pct"/>
            <w:shd w:val="clear" w:color="auto" w:fill="FFFFFF"/>
            <w:vAlign w:val="bottom"/>
            <w:hideMark/>
          </w:tcPr>
          <w:p w14:paraId="348082F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12CBCFB" w14:textId="77777777" w:rsidR="00000000" w:rsidRDefault="0053651E">
            <w:pPr>
              <w:jc w:val="right"/>
              <w:rPr>
                <w:rFonts w:eastAsia="Times New Roman"/>
                <w:sz w:val="16"/>
                <w:szCs w:val="16"/>
              </w:rPr>
            </w:pPr>
            <w:r>
              <w:rPr>
                <w:rFonts w:eastAsia="Times New Roman"/>
                <w:sz w:val="16"/>
                <w:szCs w:val="16"/>
              </w:rPr>
              <w:t>2,326,216</w:t>
            </w:r>
          </w:p>
        </w:tc>
        <w:tc>
          <w:tcPr>
            <w:tcW w:w="50" w:type="pct"/>
            <w:shd w:val="clear" w:color="auto" w:fill="FFFFFF"/>
            <w:vAlign w:val="bottom"/>
            <w:hideMark/>
          </w:tcPr>
          <w:p w14:paraId="6C5ACA1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206C2B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867FC50"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01133E71" w14:textId="77777777">
        <w:trPr>
          <w:tblCellSpacing w:w="0" w:type="dxa"/>
        </w:trPr>
        <w:tc>
          <w:tcPr>
            <w:tcW w:w="50" w:type="pct"/>
            <w:shd w:val="clear" w:color="auto" w:fill="CCEEFF"/>
            <w:vAlign w:val="bottom"/>
            <w:hideMark/>
          </w:tcPr>
          <w:p w14:paraId="7DB6E52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C81E4A7" w14:textId="77777777" w:rsidR="00000000" w:rsidRDefault="0053651E">
            <w:pPr>
              <w:pStyle w:val="a3"/>
              <w:spacing w:before="0" w:beforeAutospacing="0" w:after="0" w:afterAutospacing="0"/>
              <w:rPr>
                <w:sz w:val="16"/>
                <w:szCs w:val="16"/>
              </w:rPr>
            </w:pPr>
            <w:r>
              <w:rPr>
                <w:sz w:val="16"/>
                <w:szCs w:val="16"/>
              </w:rPr>
              <w:t>OREGON TRAIL CENTER</w:t>
            </w:r>
          </w:p>
        </w:tc>
        <w:tc>
          <w:tcPr>
            <w:tcW w:w="150" w:type="pct"/>
            <w:shd w:val="clear" w:color="auto" w:fill="CCEEFF"/>
            <w:vAlign w:val="bottom"/>
            <w:hideMark/>
          </w:tcPr>
          <w:p w14:paraId="4E2DD2A1" w14:textId="77777777" w:rsidR="00000000" w:rsidRDefault="0053651E">
            <w:pPr>
              <w:pStyle w:val="a3"/>
              <w:spacing w:before="0" w:beforeAutospacing="0" w:after="0" w:afterAutospacing="0"/>
              <w:rPr>
                <w:sz w:val="16"/>
                <w:szCs w:val="16"/>
              </w:rPr>
            </w:pPr>
            <w:r>
              <w:rPr>
                <w:rStyle w:val="a6"/>
                <w:i w:val="0"/>
                <w:iCs w:val="0"/>
                <w:sz w:val="16"/>
                <w:szCs w:val="16"/>
              </w:rPr>
              <w:t>OR</w:t>
            </w:r>
          </w:p>
        </w:tc>
        <w:tc>
          <w:tcPr>
            <w:tcW w:w="300" w:type="pct"/>
            <w:shd w:val="clear" w:color="auto" w:fill="CCEEFF"/>
            <w:vAlign w:val="bottom"/>
            <w:hideMark/>
          </w:tcPr>
          <w:p w14:paraId="4EF63CFC" w14:textId="77777777" w:rsidR="00000000" w:rsidRDefault="0053651E">
            <w:pPr>
              <w:jc w:val="right"/>
              <w:rPr>
                <w:rFonts w:eastAsia="Times New Roman"/>
                <w:sz w:val="16"/>
                <w:szCs w:val="16"/>
              </w:rPr>
            </w:pPr>
            <w:r>
              <w:rPr>
                <w:rFonts w:eastAsia="Times New Roman"/>
                <w:sz w:val="16"/>
                <w:szCs w:val="16"/>
              </w:rPr>
              <w:t>5,802,422</w:t>
            </w:r>
          </w:p>
        </w:tc>
        <w:tc>
          <w:tcPr>
            <w:tcW w:w="550" w:type="pct"/>
            <w:shd w:val="clear" w:color="auto" w:fill="CCEEFF"/>
            <w:vAlign w:val="bottom"/>
            <w:hideMark/>
          </w:tcPr>
          <w:p w14:paraId="578E68DC" w14:textId="77777777" w:rsidR="00000000" w:rsidRDefault="0053651E">
            <w:pPr>
              <w:jc w:val="right"/>
              <w:rPr>
                <w:rFonts w:eastAsia="Times New Roman"/>
                <w:sz w:val="16"/>
                <w:szCs w:val="16"/>
              </w:rPr>
            </w:pPr>
            <w:r>
              <w:rPr>
                <w:rFonts w:eastAsia="Times New Roman"/>
                <w:sz w:val="16"/>
                <w:szCs w:val="16"/>
              </w:rPr>
              <w:t>12,622,879</w:t>
            </w:r>
          </w:p>
        </w:tc>
        <w:tc>
          <w:tcPr>
            <w:tcW w:w="350" w:type="pct"/>
            <w:shd w:val="clear" w:color="auto" w:fill="CCEEFF"/>
            <w:vAlign w:val="bottom"/>
            <w:hideMark/>
          </w:tcPr>
          <w:p w14:paraId="0D59AD8C" w14:textId="77777777" w:rsidR="00000000" w:rsidRDefault="0053651E">
            <w:pPr>
              <w:jc w:val="right"/>
              <w:rPr>
                <w:rFonts w:eastAsia="Times New Roman"/>
                <w:sz w:val="16"/>
                <w:szCs w:val="16"/>
              </w:rPr>
            </w:pPr>
            <w:r>
              <w:rPr>
                <w:rFonts w:eastAsia="Times New Roman"/>
                <w:sz w:val="16"/>
                <w:szCs w:val="16"/>
              </w:rPr>
              <w:t>556,817</w:t>
            </w:r>
          </w:p>
        </w:tc>
        <w:tc>
          <w:tcPr>
            <w:tcW w:w="300" w:type="pct"/>
            <w:shd w:val="clear" w:color="auto" w:fill="CCEEFF"/>
            <w:vAlign w:val="bottom"/>
            <w:hideMark/>
          </w:tcPr>
          <w:p w14:paraId="44637D5F" w14:textId="77777777" w:rsidR="00000000" w:rsidRDefault="0053651E">
            <w:pPr>
              <w:jc w:val="right"/>
              <w:rPr>
                <w:rFonts w:eastAsia="Times New Roman"/>
                <w:sz w:val="16"/>
                <w:szCs w:val="16"/>
              </w:rPr>
            </w:pPr>
            <w:r>
              <w:rPr>
                <w:rFonts w:eastAsia="Times New Roman"/>
                <w:sz w:val="16"/>
                <w:szCs w:val="16"/>
              </w:rPr>
              <w:t>5,802,422</w:t>
            </w:r>
          </w:p>
        </w:tc>
        <w:tc>
          <w:tcPr>
            <w:tcW w:w="450" w:type="pct"/>
            <w:shd w:val="clear" w:color="auto" w:fill="CCEEFF"/>
            <w:vAlign w:val="bottom"/>
            <w:hideMark/>
          </w:tcPr>
          <w:p w14:paraId="37CD711D" w14:textId="77777777" w:rsidR="00000000" w:rsidRDefault="0053651E">
            <w:pPr>
              <w:jc w:val="right"/>
              <w:rPr>
                <w:rFonts w:eastAsia="Times New Roman"/>
                <w:sz w:val="16"/>
                <w:szCs w:val="16"/>
              </w:rPr>
            </w:pPr>
            <w:r>
              <w:rPr>
                <w:rFonts w:eastAsia="Times New Roman"/>
                <w:sz w:val="16"/>
                <w:szCs w:val="16"/>
              </w:rPr>
              <w:t>13,179,696</w:t>
            </w:r>
          </w:p>
        </w:tc>
        <w:tc>
          <w:tcPr>
            <w:tcW w:w="350" w:type="pct"/>
            <w:shd w:val="clear" w:color="auto" w:fill="CCEEFF"/>
            <w:vAlign w:val="bottom"/>
            <w:hideMark/>
          </w:tcPr>
          <w:p w14:paraId="5F7949F0" w14:textId="77777777" w:rsidR="00000000" w:rsidRDefault="0053651E">
            <w:pPr>
              <w:jc w:val="right"/>
              <w:rPr>
                <w:rFonts w:eastAsia="Times New Roman"/>
                <w:sz w:val="16"/>
                <w:szCs w:val="16"/>
              </w:rPr>
            </w:pPr>
            <w:r>
              <w:rPr>
                <w:rFonts w:eastAsia="Times New Roman"/>
                <w:sz w:val="16"/>
                <w:szCs w:val="16"/>
              </w:rPr>
              <w:t>18,982,118</w:t>
            </w:r>
          </w:p>
        </w:tc>
        <w:tc>
          <w:tcPr>
            <w:tcW w:w="400" w:type="pct"/>
            <w:shd w:val="clear" w:color="auto" w:fill="CCEEFF"/>
            <w:vAlign w:val="bottom"/>
            <w:hideMark/>
          </w:tcPr>
          <w:p w14:paraId="4B166550" w14:textId="77777777" w:rsidR="00000000" w:rsidRDefault="0053651E">
            <w:pPr>
              <w:jc w:val="right"/>
              <w:rPr>
                <w:rFonts w:eastAsia="Times New Roman"/>
                <w:sz w:val="16"/>
                <w:szCs w:val="16"/>
              </w:rPr>
            </w:pPr>
            <w:r>
              <w:rPr>
                <w:rFonts w:eastAsia="Times New Roman"/>
                <w:sz w:val="16"/>
                <w:szCs w:val="16"/>
              </w:rPr>
              <w:t>5,401,640</w:t>
            </w:r>
          </w:p>
        </w:tc>
        <w:tc>
          <w:tcPr>
            <w:tcW w:w="50" w:type="pct"/>
            <w:shd w:val="clear" w:color="auto" w:fill="CCEEFF"/>
            <w:vAlign w:val="bottom"/>
            <w:hideMark/>
          </w:tcPr>
          <w:p w14:paraId="353981D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A36A510" w14:textId="77777777" w:rsidR="00000000" w:rsidRDefault="0053651E">
            <w:pPr>
              <w:jc w:val="right"/>
              <w:rPr>
                <w:rFonts w:eastAsia="Times New Roman"/>
                <w:sz w:val="16"/>
                <w:szCs w:val="16"/>
              </w:rPr>
            </w:pPr>
            <w:r>
              <w:rPr>
                <w:rFonts w:eastAsia="Times New Roman"/>
                <w:sz w:val="16"/>
                <w:szCs w:val="16"/>
              </w:rPr>
              <w:t>13,580,478</w:t>
            </w:r>
          </w:p>
        </w:tc>
        <w:tc>
          <w:tcPr>
            <w:tcW w:w="50" w:type="pct"/>
            <w:shd w:val="clear" w:color="auto" w:fill="CCEEFF"/>
            <w:vAlign w:val="bottom"/>
            <w:hideMark/>
          </w:tcPr>
          <w:p w14:paraId="1D674B1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EB8FAB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9760E66"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r w:rsidR="00000000" w14:paraId="76526E84" w14:textId="77777777">
        <w:trPr>
          <w:tblCellSpacing w:w="0" w:type="dxa"/>
        </w:trPr>
        <w:tc>
          <w:tcPr>
            <w:tcW w:w="50" w:type="pct"/>
            <w:shd w:val="clear" w:color="auto" w:fill="FFFFFF"/>
            <w:vAlign w:val="bottom"/>
            <w:hideMark/>
          </w:tcPr>
          <w:p w14:paraId="5A4F314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B22E596" w14:textId="77777777" w:rsidR="00000000" w:rsidRDefault="0053651E">
            <w:pPr>
              <w:pStyle w:val="a3"/>
              <w:spacing w:before="0" w:beforeAutospacing="0" w:after="0" w:afterAutospacing="0"/>
              <w:rPr>
                <w:sz w:val="16"/>
                <w:szCs w:val="16"/>
              </w:rPr>
            </w:pPr>
            <w:r>
              <w:rPr>
                <w:sz w:val="16"/>
                <w:szCs w:val="16"/>
              </w:rPr>
              <w:t>JANTZEN BEACH CENTER</w:t>
            </w:r>
          </w:p>
        </w:tc>
        <w:tc>
          <w:tcPr>
            <w:tcW w:w="150" w:type="pct"/>
            <w:shd w:val="clear" w:color="auto" w:fill="FFFFFF"/>
            <w:vAlign w:val="bottom"/>
            <w:hideMark/>
          </w:tcPr>
          <w:p w14:paraId="74CE7A8A" w14:textId="77777777" w:rsidR="00000000" w:rsidRDefault="0053651E">
            <w:pPr>
              <w:pStyle w:val="a3"/>
              <w:spacing w:before="0" w:beforeAutospacing="0" w:after="0" w:afterAutospacing="0"/>
              <w:rPr>
                <w:sz w:val="16"/>
                <w:szCs w:val="16"/>
              </w:rPr>
            </w:pPr>
            <w:r>
              <w:rPr>
                <w:rStyle w:val="a6"/>
                <w:i w:val="0"/>
                <w:iCs w:val="0"/>
                <w:sz w:val="16"/>
                <w:szCs w:val="16"/>
              </w:rPr>
              <w:t>OR</w:t>
            </w:r>
          </w:p>
        </w:tc>
        <w:tc>
          <w:tcPr>
            <w:tcW w:w="300" w:type="pct"/>
            <w:shd w:val="clear" w:color="auto" w:fill="FFFFFF"/>
            <w:vAlign w:val="bottom"/>
            <w:hideMark/>
          </w:tcPr>
          <w:p w14:paraId="303FF22D" w14:textId="77777777" w:rsidR="00000000" w:rsidRDefault="0053651E">
            <w:pPr>
              <w:jc w:val="right"/>
              <w:rPr>
                <w:rFonts w:eastAsia="Times New Roman"/>
                <w:sz w:val="16"/>
                <w:szCs w:val="16"/>
              </w:rPr>
            </w:pPr>
            <w:r>
              <w:rPr>
                <w:rFonts w:eastAsia="Times New Roman"/>
                <w:sz w:val="16"/>
                <w:szCs w:val="16"/>
              </w:rPr>
              <w:t>57,575,244</w:t>
            </w:r>
          </w:p>
        </w:tc>
        <w:tc>
          <w:tcPr>
            <w:tcW w:w="550" w:type="pct"/>
            <w:shd w:val="clear" w:color="auto" w:fill="FFFFFF"/>
            <w:vAlign w:val="bottom"/>
            <w:hideMark/>
          </w:tcPr>
          <w:p w14:paraId="203A6D82" w14:textId="77777777" w:rsidR="00000000" w:rsidRDefault="0053651E">
            <w:pPr>
              <w:jc w:val="right"/>
              <w:rPr>
                <w:rFonts w:eastAsia="Times New Roman"/>
                <w:sz w:val="16"/>
                <w:szCs w:val="16"/>
              </w:rPr>
            </w:pPr>
            <w:r>
              <w:rPr>
                <w:rFonts w:eastAsia="Times New Roman"/>
                <w:sz w:val="16"/>
                <w:szCs w:val="16"/>
              </w:rPr>
              <w:t>102,844,429</w:t>
            </w:r>
          </w:p>
        </w:tc>
        <w:tc>
          <w:tcPr>
            <w:tcW w:w="350" w:type="pct"/>
            <w:shd w:val="clear" w:color="auto" w:fill="FFFFFF"/>
            <w:vAlign w:val="bottom"/>
            <w:hideMark/>
          </w:tcPr>
          <w:p w14:paraId="7C87E0CD" w14:textId="77777777" w:rsidR="00000000" w:rsidRDefault="0053651E">
            <w:pPr>
              <w:jc w:val="right"/>
              <w:rPr>
                <w:rFonts w:eastAsia="Times New Roman"/>
                <w:sz w:val="16"/>
                <w:szCs w:val="16"/>
              </w:rPr>
            </w:pPr>
            <w:r>
              <w:rPr>
                <w:rFonts w:eastAsia="Times New Roman"/>
                <w:sz w:val="16"/>
                <w:szCs w:val="16"/>
              </w:rPr>
              <w:t>356,274</w:t>
            </w:r>
          </w:p>
        </w:tc>
        <w:tc>
          <w:tcPr>
            <w:tcW w:w="300" w:type="pct"/>
            <w:shd w:val="clear" w:color="auto" w:fill="FFFFFF"/>
            <w:vAlign w:val="bottom"/>
            <w:hideMark/>
          </w:tcPr>
          <w:p w14:paraId="03C80ABE" w14:textId="77777777" w:rsidR="00000000" w:rsidRDefault="0053651E">
            <w:pPr>
              <w:jc w:val="right"/>
              <w:rPr>
                <w:rFonts w:eastAsia="Times New Roman"/>
                <w:sz w:val="16"/>
                <w:szCs w:val="16"/>
              </w:rPr>
            </w:pPr>
            <w:r>
              <w:rPr>
                <w:rFonts w:eastAsia="Times New Roman"/>
                <w:sz w:val="16"/>
                <w:szCs w:val="16"/>
              </w:rPr>
              <w:t>57,588,287</w:t>
            </w:r>
          </w:p>
        </w:tc>
        <w:tc>
          <w:tcPr>
            <w:tcW w:w="450" w:type="pct"/>
            <w:shd w:val="clear" w:color="auto" w:fill="FFFFFF"/>
            <w:vAlign w:val="bottom"/>
            <w:hideMark/>
          </w:tcPr>
          <w:p w14:paraId="2C50CEA7" w14:textId="77777777" w:rsidR="00000000" w:rsidRDefault="0053651E">
            <w:pPr>
              <w:jc w:val="right"/>
              <w:rPr>
                <w:rFonts w:eastAsia="Times New Roman"/>
                <w:sz w:val="16"/>
                <w:szCs w:val="16"/>
              </w:rPr>
            </w:pPr>
            <w:r>
              <w:rPr>
                <w:rFonts w:eastAsia="Times New Roman"/>
                <w:sz w:val="16"/>
                <w:szCs w:val="16"/>
              </w:rPr>
              <w:t>103,187,660</w:t>
            </w:r>
          </w:p>
        </w:tc>
        <w:tc>
          <w:tcPr>
            <w:tcW w:w="350" w:type="pct"/>
            <w:shd w:val="clear" w:color="auto" w:fill="FFFFFF"/>
            <w:vAlign w:val="bottom"/>
            <w:hideMark/>
          </w:tcPr>
          <w:p w14:paraId="331495EA" w14:textId="77777777" w:rsidR="00000000" w:rsidRDefault="0053651E">
            <w:pPr>
              <w:jc w:val="right"/>
              <w:rPr>
                <w:rFonts w:eastAsia="Times New Roman"/>
                <w:sz w:val="16"/>
                <w:szCs w:val="16"/>
              </w:rPr>
            </w:pPr>
            <w:r>
              <w:rPr>
                <w:rFonts w:eastAsia="Times New Roman"/>
                <w:sz w:val="16"/>
                <w:szCs w:val="16"/>
              </w:rPr>
              <w:t>160,775,947</w:t>
            </w:r>
          </w:p>
        </w:tc>
        <w:tc>
          <w:tcPr>
            <w:tcW w:w="400" w:type="pct"/>
            <w:shd w:val="clear" w:color="auto" w:fill="FFFFFF"/>
            <w:vAlign w:val="bottom"/>
            <w:hideMark/>
          </w:tcPr>
          <w:p w14:paraId="37C80328" w14:textId="77777777" w:rsidR="00000000" w:rsidRDefault="0053651E">
            <w:pPr>
              <w:jc w:val="right"/>
              <w:rPr>
                <w:rFonts w:eastAsia="Times New Roman"/>
                <w:sz w:val="16"/>
                <w:szCs w:val="16"/>
              </w:rPr>
            </w:pPr>
            <w:r>
              <w:rPr>
                <w:rFonts w:eastAsia="Times New Roman"/>
                <w:sz w:val="16"/>
                <w:szCs w:val="16"/>
              </w:rPr>
              <w:t>11,112,219</w:t>
            </w:r>
          </w:p>
        </w:tc>
        <w:tc>
          <w:tcPr>
            <w:tcW w:w="50" w:type="pct"/>
            <w:shd w:val="clear" w:color="auto" w:fill="FFFFFF"/>
            <w:vAlign w:val="bottom"/>
            <w:hideMark/>
          </w:tcPr>
          <w:p w14:paraId="0F2DE48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EA413EF" w14:textId="77777777" w:rsidR="00000000" w:rsidRDefault="0053651E">
            <w:pPr>
              <w:jc w:val="right"/>
              <w:rPr>
                <w:rFonts w:eastAsia="Times New Roman"/>
                <w:sz w:val="16"/>
                <w:szCs w:val="16"/>
              </w:rPr>
            </w:pPr>
            <w:r>
              <w:rPr>
                <w:rFonts w:eastAsia="Times New Roman"/>
                <w:sz w:val="16"/>
                <w:szCs w:val="16"/>
              </w:rPr>
              <w:t>149,663,728</w:t>
            </w:r>
          </w:p>
        </w:tc>
        <w:tc>
          <w:tcPr>
            <w:tcW w:w="50" w:type="pct"/>
            <w:shd w:val="clear" w:color="auto" w:fill="FFFFFF"/>
            <w:vAlign w:val="bottom"/>
            <w:hideMark/>
          </w:tcPr>
          <w:p w14:paraId="279DA75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628B30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269F7C1"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0A2EEDEA" w14:textId="77777777">
        <w:trPr>
          <w:tblCellSpacing w:w="0" w:type="dxa"/>
        </w:trPr>
        <w:tc>
          <w:tcPr>
            <w:tcW w:w="50" w:type="pct"/>
            <w:shd w:val="clear" w:color="auto" w:fill="CCEEFF"/>
            <w:vAlign w:val="bottom"/>
            <w:hideMark/>
          </w:tcPr>
          <w:p w14:paraId="5366C22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8322F5A" w14:textId="77777777" w:rsidR="00000000" w:rsidRDefault="0053651E">
            <w:pPr>
              <w:pStyle w:val="a3"/>
              <w:spacing w:before="0" w:beforeAutospacing="0" w:after="0" w:afterAutospacing="0"/>
              <w:rPr>
                <w:sz w:val="16"/>
                <w:szCs w:val="16"/>
              </w:rPr>
            </w:pPr>
            <w:r>
              <w:rPr>
                <w:sz w:val="16"/>
                <w:szCs w:val="16"/>
              </w:rPr>
              <w:t>SUBURBAN SQUARE</w:t>
            </w:r>
          </w:p>
        </w:tc>
        <w:tc>
          <w:tcPr>
            <w:tcW w:w="150" w:type="pct"/>
            <w:shd w:val="clear" w:color="auto" w:fill="CCEEFF"/>
            <w:vAlign w:val="bottom"/>
            <w:hideMark/>
          </w:tcPr>
          <w:p w14:paraId="284F4E7D"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0582CD22" w14:textId="77777777" w:rsidR="00000000" w:rsidRDefault="0053651E">
            <w:pPr>
              <w:jc w:val="right"/>
              <w:rPr>
                <w:rFonts w:eastAsia="Times New Roman"/>
                <w:sz w:val="16"/>
                <w:szCs w:val="16"/>
              </w:rPr>
            </w:pPr>
            <w:r>
              <w:rPr>
                <w:rFonts w:eastAsia="Times New Roman"/>
                <w:sz w:val="16"/>
                <w:szCs w:val="16"/>
              </w:rPr>
              <w:t>70,679,871</w:t>
            </w:r>
          </w:p>
        </w:tc>
        <w:tc>
          <w:tcPr>
            <w:tcW w:w="550" w:type="pct"/>
            <w:shd w:val="clear" w:color="auto" w:fill="CCEEFF"/>
            <w:vAlign w:val="bottom"/>
            <w:hideMark/>
          </w:tcPr>
          <w:p w14:paraId="06043BEA" w14:textId="77777777" w:rsidR="00000000" w:rsidRDefault="0053651E">
            <w:pPr>
              <w:jc w:val="right"/>
              <w:rPr>
                <w:rFonts w:eastAsia="Times New Roman"/>
                <w:sz w:val="16"/>
                <w:szCs w:val="16"/>
              </w:rPr>
            </w:pPr>
            <w:r>
              <w:rPr>
                <w:rFonts w:eastAsia="Times New Roman"/>
                <w:sz w:val="16"/>
                <w:szCs w:val="16"/>
              </w:rPr>
              <w:t>166,351,381</w:t>
            </w:r>
          </w:p>
        </w:tc>
        <w:tc>
          <w:tcPr>
            <w:tcW w:w="350" w:type="pct"/>
            <w:shd w:val="clear" w:color="auto" w:fill="CCEEFF"/>
            <w:vAlign w:val="bottom"/>
            <w:hideMark/>
          </w:tcPr>
          <w:p w14:paraId="6B7B3A13" w14:textId="77777777" w:rsidR="00000000" w:rsidRDefault="0053651E">
            <w:pPr>
              <w:jc w:val="right"/>
              <w:rPr>
                <w:rFonts w:eastAsia="Times New Roman"/>
                <w:sz w:val="16"/>
                <w:szCs w:val="16"/>
              </w:rPr>
            </w:pPr>
            <w:r>
              <w:rPr>
                <w:rFonts w:eastAsia="Times New Roman"/>
                <w:sz w:val="16"/>
                <w:szCs w:val="16"/>
              </w:rPr>
              <w:t>66,736,035</w:t>
            </w:r>
          </w:p>
        </w:tc>
        <w:tc>
          <w:tcPr>
            <w:tcW w:w="300" w:type="pct"/>
            <w:shd w:val="clear" w:color="auto" w:fill="CCEEFF"/>
            <w:vAlign w:val="bottom"/>
            <w:hideMark/>
          </w:tcPr>
          <w:p w14:paraId="716FE256" w14:textId="77777777" w:rsidR="00000000" w:rsidRDefault="0053651E">
            <w:pPr>
              <w:jc w:val="right"/>
              <w:rPr>
                <w:rFonts w:eastAsia="Times New Roman"/>
                <w:sz w:val="16"/>
                <w:szCs w:val="16"/>
              </w:rPr>
            </w:pPr>
            <w:r>
              <w:rPr>
                <w:rFonts w:eastAsia="Times New Roman"/>
                <w:sz w:val="16"/>
                <w:szCs w:val="16"/>
              </w:rPr>
              <w:t>71,279,871</w:t>
            </w:r>
          </w:p>
        </w:tc>
        <w:tc>
          <w:tcPr>
            <w:tcW w:w="450" w:type="pct"/>
            <w:shd w:val="clear" w:color="auto" w:fill="CCEEFF"/>
            <w:vAlign w:val="bottom"/>
            <w:hideMark/>
          </w:tcPr>
          <w:p w14:paraId="6C4AEBC2" w14:textId="77777777" w:rsidR="00000000" w:rsidRDefault="0053651E">
            <w:pPr>
              <w:jc w:val="right"/>
              <w:rPr>
                <w:rFonts w:eastAsia="Times New Roman"/>
                <w:sz w:val="16"/>
                <w:szCs w:val="16"/>
              </w:rPr>
            </w:pPr>
            <w:r>
              <w:rPr>
                <w:rFonts w:eastAsia="Times New Roman"/>
                <w:sz w:val="16"/>
                <w:szCs w:val="16"/>
              </w:rPr>
              <w:t>232,487,416</w:t>
            </w:r>
          </w:p>
        </w:tc>
        <w:tc>
          <w:tcPr>
            <w:tcW w:w="350" w:type="pct"/>
            <w:shd w:val="clear" w:color="auto" w:fill="CCEEFF"/>
            <w:vAlign w:val="bottom"/>
            <w:hideMark/>
          </w:tcPr>
          <w:p w14:paraId="11436EAF" w14:textId="77777777" w:rsidR="00000000" w:rsidRDefault="0053651E">
            <w:pPr>
              <w:jc w:val="right"/>
              <w:rPr>
                <w:rFonts w:eastAsia="Times New Roman"/>
                <w:sz w:val="16"/>
                <w:szCs w:val="16"/>
              </w:rPr>
            </w:pPr>
            <w:r>
              <w:rPr>
                <w:rFonts w:eastAsia="Times New Roman"/>
                <w:sz w:val="16"/>
                <w:szCs w:val="16"/>
              </w:rPr>
              <w:t>303,767,287</w:t>
            </w:r>
          </w:p>
        </w:tc>
        <w:tc>
          <w:tcPr>
            <w:tcW w:w="400" w:type="pct"/>
            <w:shd w:val="clear" w:color="auto" w:fill="CCEEFF"/>
            <w:vAlign w:val="bottom"/>
            <w:hideMark/>
          </w:tcPr>
          <w:p w14:paraId="62F9F721" w14:textId="77777777" w:rsidR="00000000" w:rsidRDefault="0053651E">
            <w:pPr>
              <w:jc w:val="right"/>
              <w:rPr>
                <w:rFonts w:eastAsia="Times New Roman"/>
                <w:sz w:val="16"/>
                <w:szCs w:val="16"/>
              </w:rPr>
            </w:pPr>
            <w:r>
              <w:rPr>
                <w:rFonts w:eastAsia="Times New Roman"/>
                <w:sz w:val="16"/>
                <w:szCs w:val="16"/>
              </w:rPr>
              <w:t>55,876,122</w:t>
            </w:r>
          </w:p>
        </w:tc>
        <w:tc>
          <w:tcPr>
            <w:tcW w:w="50" w:type="pct"/>
            <w:shd w:val="clear" w:color="auto" w:fill="CCEEFF"/>
            <w:vAlign w:val="bottom"/>
            <w:hideMark/>
          </w:tcPr>
          <w:p w14:paraId="2A8A98B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21245C8" w14:textId="77777777" w:rsidR="00000000" w:rsidRDefault="0053651E">
            <w:pPr>
              <w:jc w:val="right"/>
              <w:rPr>
                <w:rFonts w:eastAsia="Times New Roman"/>
                <w:sz w:val="16"/>
                <w:szCs w:val="16"/>
              </w:rPr>
            </w:pPr>
            <w:r>
              <w:rPr>
                <w:rFonts w:eastAsia="Times New Roman"/>
                <w:sz w:val="16"/>
                <w:szCs w:val="16"/>
              </w:rPr>
              <w:t>247,891,165</w:t>
            </w:r>
          </w:p>
        </w:tc>
        <w:tc>
          <w:tcPr>
            <w:tcW w:w="50" w:type="pct"/>
            <w:shd w:val="clear" w:color="auto" w:fill="CCEEFF"/>
            <w:vAlign w:val="bottom"/>
            <w:hideMark/>
          </w:tcPr>
          <w:p w14:paraId="320BC93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9325E3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C54BEF7"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593F4327" w14:textId="77777777">
        <w:trPr>
          <w:tblCellSpacing w:w="0" w:type="dxa"/>
        </w:trPr>
        <w:tc>
          <w:tcPr>
            <w:tcW w:w="50" w:type="pct"/>
            <w:shd w:val="clear" w:color="auto" w:fill="FFFFFF"/>
            <w:vAlign w:val="bottom"/>
            <w:hideMark/>
          </w:tcPr>
          <w:p w14:paraId="4569D7F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88DF94B" w14:textId="77777777" w:rsidR="00000000" w:rsidRDefault="0053651E">
            <w:pPr>
              <w:pStyle w:val="a3"/>
              <w:spacing w:before="0" w:beforeAutospacing="0" w:after="0" w:afterAutospacing="0"/>
              <w:rPr>
                <w:sz w:val="16"/>
                <w:szCs w:val="16"/>
              </w:rPr>
            </w:pPr>
            <w:r>
              <w:rPr>
                <w:sz w:val="16"/>
                <w:szCs w:val="16"/>
              </w:rPr>
              <w:t>CENTER SQUARE SHOPPING CENTER</w:t>
            </w:r>
          </w:p>
        </w:tc>
        <w:tc>
          <w:tcPr>
            <w:tcW w:w="150" w:type="pct"/>
            <w:shd w:val="clear" w:color="auto" w:fill="FFFFFF"/>
            <w:vAlign w:val="bottom"/>
            <w:hideMark/>
          </w:tcPr>
          <w:p w14:paraId="49A16353"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4F6C4004" w14:textId="77777777" w:rsidR="00000000" w:rsidRDefault="0053651E">
            <w:pPr>
              <w:jc w:val="right"/>
              <w:rPr>
                <w:rFonts w:eastAsia="Times New Roman"/>
                <w:sz w:val="16"/>
                <w:szCs w:val="16"/>
              </w:rPr>
            </w:pPr>
            <w:r>
              <w:rPr>
                <w:rFonts w:eastAsia="Times New Roman"/>
                <w:sz w:val="16"/>
                <w:szCs w:val="16"/>
              </w:rPr>
              <w:t>731,888</w:t>
            </w:r>
          </w:p>
        </w:tc>
        <w:tc>
          <w:tcPr>
            <w:tcW w:w="550" w:type="pct"/>
            <w:shd w:val="clear" w:color="auto" w:fill="FFFFFF"/>
            <w:vAlign w:val="bottom"/>
            <w:hideMark/>
          </w:tcPr>
          <w:p w14:paraId="06E0C3A1"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FFFFFF"/>
            <w:vAlign w:val="bottom"/>
            <w:hideMark/>
          </w:tcPr>
          <w:p w14:paraId="77BDB9B9" w14:textId="77777777" w:rsidR="00000000" w:rsidRDefault="0053651E">
            <w:pPr>
              <w:jc w:val="right"/>
              <w:rPr>
                <w:rFonts w:eastAsia="Times New Roman"/>
                <w:sz w:val="16"/>
                <w:szCs w:val="16"/>
              </w:rPr>
            </w:pPr>
            <w:r>
              <w:rPr>
                <w:rFonts w:eastAsia="Times New Roman"/>
                <w:sz w:val="16"/>
                <w:szCs w:val="16"/>
              </w:rPr>
              <w:t>1,232,400</w:t>
            </w:r>
          </w:p>
        </w:tc>
        <w:tc>
          <w:tcPr>
            <w:tcW w:w="300" w:type="pct"/>
            <w:shd w:val="clear" w:color="auto" w:fill="FFFFFF"/>
            <w:vAlign w:val="bottom"/>
            <w:hideMark/>
          </w:tcPr>
          <w:p w14:paraId="448ADDED" w14:textId="77777777" w:rsidR="00000000" w:rsidRDefault="0053651E">
            <w:pPr>
              <w:jc w:val="right"/>
              <w:rPr>
                <w:rFonts w:eastAsia="Times New Roman"/>
                <w:sz w:val="16"/>
                <w:szCs w:val="16"/>
              </w:rPr>
            </w:pPr>
            <w:r>
              <w:rPr>
                <w:rFonts w:eastAsia="Times New Roman"/>
                <w:sz w:val="16"/>
                <w:szCs w:val="16"/>
              </w:rPr>
              <w:t>691,297</w:t>
            </w:r>
          </w:p>
        </w:tc>
        <w:tc>
          <w:tcPr>
            <w:tcW w:w="450" w:type="pct"/>
            <w:shd w:val="clear" w:color="auto" w:fill="FFFFFF"/>
            <w:vAlign w:val="bottom"/>
            <w:hideMark/>
          </w:tcPr>
          <w:p w14:paraId="1E70A058" w14:textId="77777777" w:rsidR="00000000" w:rsidRDefault="0053651E">
            <w:pPr>
              <w:jc w:val="right"/>
              <w:rPr>
                <w:rFonts w:eastAsia="Times New Roman"/>
                <w:sz w:val="16"/>
                <w:szCs w:val="16"/>
              </w:rPr>
            </w:pPr>
            <w:r>
              <w:rPr>
                <w:rFonts w:eastAsia="Times New Roman"/>
                <w:sz w:val="16"/>
                <w:szCs w:val="16"/>
              </w:rPr>
              <w:t>4,200,542</w:t>
            </w:r>
          </w:p>
        </w:tc>
        <w:tc>
          <w:tcPr>
            <w:tcW w:w="350" w:type="pct"/>
            <w:shd w:val="clear" w:color="auto" w:fill="FFFFFF"/>
            <w:vAlign w:val="bottom"/>
            <w:hideMark/>
          </w:tcPr>
          <w:p w14:paraId="61C4223D" w14:textId="77777777" w:rsidR="00000000" w:rsidRDefault="0053651E">
            <w:pPr>
              <w:jc w:val="right"/>
              <w:rPr>
                <w:rFonts w:eastAsia="Times New Roman"/>
                <w:sz w:val="16"/>
                <w:szCs w:val="16"/>
              </w:rPr>
            </w:pPr>
            <w:r>
              <w:rPr>
                <w:rFonts w:eastAsia="Times New Roman"/>
                <w:sz w:val="16"/>
                <w:szCs w:val="16"/>
              </w:rPr>
              <w:t>4,891,839</w:t>
            </w:r>
          </w:p>
        </w:tc>
        <w:tc>
          <w:tcPr>
            <w:tcW w:w="400" w:type="pct"/>
            <w:shd w:val="clear" w:color="auto" w:fill="FFFFFF"/>
            <w:vAlign w:val="bottom"/>
            <w:hideMark/>
          </w:tcPr>
          <w:p w14:paraId="3C6268EF" w14:textId="77777777" w:rsidR="00000000" w:rsidRDefault="0053651E">
            <w:pPr>
              <w:jc w:val="right"/>
              <w:rPr>
                <w:rFonts w:eastAsia="Times New Roman"/>
                <w:sz w:val="16"/>
                <w:szCs w:val="16"/>
              </w:rPr>
            </w:pPr>
            <w:r>
              <w:rPr>
                <w:rFonts w:eastAsia="Times New Roman"/>
                <w:sz w:val="16"/>
                <w:szCs w:val="16"/>
              </w:rPr>
              <w:t>2,897,007</w:t>
            </w:r>
          </w:p>
        </w:tc>
        <w:tc>
          <w:tcPr>
            <w:tcW w:w="50" w:type="pct"/>
            <w:shd w:val="clear" w:color="auto" w:fill="FFFFFF"/>
            <w:vAlign w:val="bottom"/>
            <w:hideMark/>
          </w:tcPr>
          <w:p w14:paraId="26606C7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C2D202A" w14:textId="77777777" w:rsidR="00000000" w:rsidRDefault="0053651E">
            <w:pPr>
              <w:jc w:val="right"/>
              <w:rPr>
                <w:rFonts w:eastAsia="Times New Roman"/>
                <w:sz w:val="16"/>
                <w:szCs w:val="16"/>
              </w:rPr>
            </w:pPr>
            <w:r>
              <w:rPr>
                <w:rFonts w:eastAsia="Times New Roman"/>
                <w:sz w:val="16"/>
                <w:szCs w:val="16"/>
              </w:rPr>
              <w:t>1,994,832</w:t>
            </w:r>
          </w:p>
        </w:tc>
        <w:tc>
          <w:tcPr>
            <w:tcW w:w="50" w:type="pct"/>
            <w:shd w:val="clear" w:color="auto" w:fill="FFFFFF"/>
            <w:vAlign w:val="bottom"/>
            <w:hideMark/>
          </w:tcPr>
          <w:p w14:paraId="4A37C16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804481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74E7DDC"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7564523F" w14:textId="77777777">
        <w:trPr>
          <w:tblCellSpacing w:w="0" w:type="dxa"/>
        </w:trPr>
        <w:tc>
          <w:tcPr>
            <w:tcW w:w="50" w:type="pct"/>
            <w:shd w:val="clear" w:color="auto" w:fill="CCEEFF"/>
            <w:vAlign w:val="bottom"/>
            <w:hideMark/>
          </w:tcPr>
          <w:p w14:paraId="6B000E0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C26FABB" w14:textId="77777777" w:rsidR="00000000" w:rsidRDefault="0053651E">
            <w:pPr>
              <w:pStyle w:val="a3"/>
              <w:spacing w:before="0" w:beforeAutospacing="0" w:after="0" w:afterAutospacing="0"/>
              <w:rPr>
                <w:sz w:val="16"/>
                <w:szCs w:val="16"/>
              </w:rPr>
            </w:pPr>
            <w:r>
              <w:rPr>
                <w:sz w:val="16"/>
                <w:szCs w:val="16"/>
              </w:rPr>
              <w:t>WAYNE PLAZA</w:t>
            </w:r>
          </w:p>
        </w:tc>
        <w:tc>
          <w:tcPr>
            <w:tcW w:w="150" w:type="pct"/>
            <w:shd w:val="clear" w:color="auto" w:fill="CCEEFF"/>
            <w:vAlign w:val="bottom"/>
            <w:hideMark/>
          </w:tcPr>
          <w:p w14:paraId="7E6DD031"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55D8D62B" w14:textId="77777777" w:rsidR="00000000" w:rsidRDefault="0053651E">
            <w:pPr>
              <w:jc w:val="right"/>
              <w:rPr>
                <w:rFonts w:eastAsia="Times New Roman"/>
                <w:sz w:val="16"/>
                <w:szCs w:val="16"/>
              </w:rPr>
            </w:pPr>
            <w:r>
              <w:rPr>
                <w:rFonts w:eastAsia="Times New Roman"/>
                <w:sz w:val="16"/>
                <w:szCs w:val="16"/>
              </w:rPr>
              <w:t>6,127,623</w:t>
            </w:r>
          </w:p>
        </w:tc>
        <w:tc>
          <w:tcPr>
            <w:tcW w:w="550" w:type="pct"/>
            <w:shd w:val="clear" w:color="auto" w:fill="CCEEFF"/>
            <w:vAlign w:val="bottom"/>
            <w:hideMark/>
          </w:tcPr>
          <w:p w14:paraId="7A9D1EE3" w14:textId="77777777" w:rsidR="00000000" w:rsidRDefault="0053651E">
            <w:pPr>
              <w:jc w:val="right"/>
              <w:rPr>
                <w:rFonts w:eastAsia="Times New Roman"/>
                <w:sz w:val="16"/>
                <w:szCs w:val="16"/>
              </w:rPr>
            </w:pPr>
            <w:r>
              <w:rPr>
                <w:rFonts w:eastAsia="Times New Roman"/>
                <w:sz w:val="16"/>
                <w:szCs w:val="16"/>
              </w:rPr>
              <w:t>15,605,012</w:t>
            </w:r>
          </w:p>
        </w:tc>
        <w:tc>
          <w:tcPr>
            <w:tcW w:w="350" w:type="pct"/>
            <w:shd w:val="clear" w:color="auto" w:fill="CCEEFF"/>
            <w:vAlign w:val="bottom"/>
            <w:hideMark/>
          </w:tcPr>
          <w:p w14:paraId="78B6E08C" w14:textId="77777777" w:rsidR="00000000" w:rsidRDefault="0053651E">
            <w:pPr>
              <w:jc w:val="right"/>
              <w:rPr>
                <w:rFonts w:eastAsia="Times New Roman"/>
                <w:sz w:val="16"/>
                <w:szCs w:val="16"/>
              </w:rPr>
            </w:pPr>
            <w:r>
              <w:rPr>
                <w:rFonts w:eastAsia="Times New Roman"/>
                <w:sz w:val="16"/>
                <w:szCs w:val="16"/>
              </w:rPr>
              <w:t>657,984</w:t>
            </w:r>
          </w:p>
        </w:tc>
        <w:tc>
          <w:tcPr>
            <w:tcW w:w="300" w:type="pct"/>
            <w:shd w:val="clear" w:color="auto" w:fill="CCEEFF"/>
            <w:vAlign w:val="bottom"/>
            <w:hideMark/>
          </w:tcPr>
          <w:p w14:paraId="1AD16541" w14:textId="77777777" w:rsidR="00000000" w:rsidRDefault="0053651E">
            <w:pPr>
              <w:jc w:val="right"/>
              <w:rPr>
                <w:rFonts w:eastAsia="Times New Roman"/>
                <w:sz w:val="16"/>
                <w:szCs w:val="16"/>
              </w:rPr>
            </w:pPr>
            <w:r>
              <w:rPr>
                <w:rFonts w:eastAsia="Times New Roman"/>
                <w:sz w:val="16"/>
                <w:szCs w:val="16"/>
              </w:rPr>
              <w:t>6,135,670</w:t>
            </w:r>
          </w:p>
        </w:tc>
        <w:tc>
          <w:tcPr>
            <w:tcW w:w="450" w:type="pct"/>
            <w:shd w:val="clear" w:color="auto" w:fill="CCEEFF"/>
            <w:vAlign w:val="bottom"/>
            <w:hideMark/>
          </w:tcPr>
          <w:p w14:paraId="6E2634F8" w14:textId="77777777" w:rsidR="00000000" w:rsidRDefault="0053651E">
            <w:pPr>
              <w:jc w:val="right"/>
              <w:rPr>
                <w:rFonts w:eastAsia="Times New Roman"/>
                <w:sz w:val="16"/>
                <w:szCs w:val="16"/>
              </w:rPr>
            </w:pPr>
            <w:r>
              <w:rPr>
                <w:rFonts w:eastAsia="Times New Roman"/>
                <w:sz w:val="16"/>
                <w:szCs w:val="16"/>
              </w:rPr>
              <w:t>16,254,949</w:t>
            </w:r>
          </w:p>
        </w:tc>
        <w:tc>
          <w:tcPr>
            <w:tcW w:w="350" w:type="pct"/>
            <w:shd w:val="clear" w:color="auto" w:fill="CCEEFF"/>
            <w:vAlign w:val="bottom"/>
            <w:hideMark/>
          </w:tcPr>
          <w:p w14:paraId="4ACAFD70" w14:textId="77777777" w:rsidR="00000000" w:rsidRDefault="0053651E">
            <w:pPr>
              <w:jc w:val="right"/>
              <w:rPr>
                <w:rFonts w:eastAsia="Times New Roman"/>
                <w:sz w:val="16"/>
                <w:szCs w:val="16"/>
              </w:rPr>
            </w:pPr>
            <w:r>
              <w:rPr>
                <w:rFonts w:eastAsia="Times New Roman"/>
                <w:sz w:val="16"/>
                <w:szCs w:val="16"/>
              </w:rPr>
              <w:t>22,390,619</w:t>
            </w:r>
          </w:p>
        </w:tc>
        <w:tc>
          <w:tcPr>
            <w:tcW w:w="400" w:type="pct"/>
            <w:shd w:val="clear" w:color="auto" w:fill="CCEEFF"/>
            <w:vAlign w:val="bottom"/>
            <w:hideMark/>
          </w:tcPr>
          <w:p w14:paraId="68698887" w14:textId="77777777" w:rsidR="00000000" w:rsidRDefault="0053651E">
            <w:pPr>
              <w:jc w:val="right"/>
              <w:rPr>
                <w:rFonts w:eastAsia="Times New Roman"/>
                <w:sz w:val="16"/>
                <w:szCs w:val="16"/>
              </w:rPr>
            </w:pPr>
            <w:r>
              <w:rPr>
                <w:rFonts w:eastAsia="Times New Roman"/>
                <w:sz w:val="16"/>
                <w:szCs w:val="16"/>
              </w:rPr>
              <w:t>5,417,332</w:t>
            </w:r>
          </w:p>
        </w:tc>
        <w:tc>
          <w:tcPr>
            <w:tcW w:w="50" w:type="pct"/>
            <w:shd w:val="clear" w:color="auto" w:fill="CCEEFF"/>
            <w:vAlign w:val="bottom"/>
            <w:hideMark/>
          </w:tcPr>
          <w:p w14:paraId="33A790E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E6E393E" w14:textId="77777777" w:rsidR="00000000" w:rsidRDefault="0053651E">
            <w:pPr>
              <w:jc w:val="right"/>
              <w:rPr>
                <w:rFonts w:eastAsia="Times New Roman"/>
                <w:sz w:val="16"/>
                <w:szCs w:val="16"/>
              </w:rPr>
            </w:pPr>
            <w:r>
              <w:rPr>
                <w:rFonts w:eastAsia="Times New Roman"/>
                <w:sz w:val="16"/>
                <w:szCs w:val="16"/>
              </w:rPr>
              <w:t>16,973,287</w:t>
            </w:r>
          </w:p>
        </w:tc>
        <w:tc>
          <w:tcPr>
            <w:tcW w:w="50" w:type="pct"/>
            <w:shd w:val="clear" w:color="auto" w:fill="CCEEFF"/>
            <w:vAlign w:val="bottom"/>
            <w:hideMark/>
          </w:tcPr>
          <w:p w14:paraId="2596E52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8E0E22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650D0BA"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1100F244" w14:textId="77777777">
        <w:trPr>
          <w:tblCellSpacing w:w="0" w:type="dxa"/>
        </w:trPr>
        <w:tc>
          <w:tcPr>
            <w:tcW w:w="50" w:type="pct"/>
            <w:shd w:val="clear" w:color="auto" w:fill="FFFFFF"/>
            <w:vAlign w:val="bottom"/>
            <w:hideMark/>
          </w:tcPr>
          <w:p w14:paraId="24B4438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290846A" w14:textId="77777777" w:rsidR="00000000" w:rsidRDefault="0053651E">
            <w:pPr>
              <w:pStyle w:val="a3"/>
              <w:spacing w:before="0" w:beforeAutospacing="0" w:after="0" w:afterAutospacing="0"/>
              <w:rPr>
                <w:sz w:val="16"/>
                <w:szCs w:val="16"/>
              </w:rPr>
            </w:pPr>
            <w:r>
              <w:rPr>
                <w:sz w:val="16"/>
                <w:szCs w:val="16"/>
              </w:rPr>
              <w:t>DEVON VILLAGE</w:t>
            </w:r>
          </w:p>
        </w:tc>
        <w:tc>
          <w:tcPr>
            <w:tcW w:w="150" w:type="pct"/>
            <w:shd w:val="clear" w:color="auto" w:fill="FFFFFF"/>
            <w:vAlign w:val="bottom"/>
            <w:hideMark/>
          </w:tcPr>
          <w:p w14:paraId="6D34AA93"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1880C1F7" w14:textId="77777777" w:rsidR="00000000" w:rsidRDefault="0053651E">
            <w:pPr>
              <w:jc w:val="right"/>
              <w:rPr>
                <w:rFonts w:eastAsia="Times New Roman"/>
                <w:sz w:val="16"/>
                <w:szCs w:val="16"/>
              </w:rPr>
            </w:pPr>
            <w:r>
              <w:rPr>
                <w:rFonts w:eastAsia="Times New Roman"/>
                <w:sz w:val="16"/>
                <w:szCs w:val="16"/>
              </w:rPr>
              <w:t>4,856,379</w:t>
            </w:r>
          </w:p>
        </w:tc>
        <w:tc>
          <w:tcPr>
            <w:tcW w:w="550" w:type="pct"/>
            <w:shd w:val="clear" w:color="auto" w:fill="FFFFFF"/>
            <w:vAlign w:val="bottom"/>
            <w:hideMark/>
          </w:tcPr>
          <w:p w14:paraId="1E9DDE40" w14:textId="77777777" w:rsidR="00000000" w:rsidRDefault="0053651E">
            <w:pPr>
              <w:jc w:val="right"/>
              <w:rPr>
                <w:rFonts w:eastAsia="Times New Roman"/>
                <w:sz w:val="16"/>
                <w:szCs w:val="16"/>
              </w:rPr>
            </w:pPr>
            <w:r>
              <w:rPr>
                <w:rFonts w:eastAsia="Times New Roman"/>
                <w:sz w:val="16"/>
                <w:szCs w:val="16"/>
              </w:rPr>
              <w:t>25,846,910</w:t>
            </w:r>
          </w:p>
        </w:tc>
        <w:tc>
          <w:tcPr>
            <w:tcW w:w="350" w:type="pct"/>
            <w:shd w:val="clear" w:color="auto" w:fill="FFFFFF"/>
            <w:vAlign w:val="bottom"/>
            <w:hideMark/>
          </w:tcPr>
          <w:p w14:paraId="2963F599" w14:textId="77777777" w:rsidR="00000000" w:rsidRDefault="0053651E">
            <w:pPr>
              <w:jc w:val="right"/>
              <w:rPr>
                <w:rFonts w:eastAsia="Times New Roman"/>
                <w:sz w:val="16"/>
                <w:szCs w:val="16"/>
              </w:rPr>
            </w:pPr>
            <w:r>
              <w:rPr>
                <w:rFonts w:eastAsia="Times New Roman"/>
                <w:sz w:val="16"/>
                <w:szCs w:val="16"/>
              </w:rPr>
              <w:t>4,290,119</w:t>
            </w:r>
          </w:p>
        </w:tc>
        <w:tc>
          <w:tcPr>
            <w:tcW w:w="300" w:type="pct"/>
            <w:shd w:val="clear" w:color="auto" w:fill="FFFFFF"/>
            <w:vAlign w:val="bottom"/>
            <w:hideMark/>
          </w:tcPr>
          <w:p w14:paraId="7AD1B8D5" w14:textId="77777777" w:rsidR="00000000" w:rsidRDefault="0053651E">
            <w:pPr>
              <w:jc w:val="right"/>
              <w:rPr>
                <w:rFonts w:eastAsia="Times New Roman"/>
                <w:sz w:val="16"/>
                <w:szCs w:val="16"/>
              </w:rPr>
            </w:pPr>
            <w:r>
              <w:rPr>
                <w:rFonts w:eastAsia="Times New Roman"/>
                <w:sz w:val="16"/>
                <w:szCs w:val="16"/>
              </w:rPr>
              <w:t>4,856,379</w:t>
            </w:r>
          </w:p>
        </w:tc>
        <w:tc>
          <w:tcPr>
            <w:tcW w:w="450" w:type="pct"/>
            <w:shd w:val="clear" w:color="auto" w:fill="FFFFFF"/>
            <w:vAlign w:val="bottom"/>
            <w:hideMark/>
          </w:tcPr>
          <w:p w14:paraId="5AACC3CE" w14:textId="77777777" w:rsidR="00000000" w:rsidRDefault="0053651E">
            <w:pPr>
              <w:jc w:val="right"/>
              <w:rPr>
                <w:rFonts w:eastAsia="Times New Roman"/>
                <w:sz w:val="16"/>
                <w:szCs w:val="16"/>
              </w:rPr>
            </w:pPr>
            <w:r>
              <w:rPr>
                <w:rFonts w:eastAsia="Times New Roman"/>
                <w:sz w:val="16"/>
                <w:szCs w:val="16"/>
              </w:rPr>
              <w:t>30,137,029</w:t>
            </w:r>
          </w:p>
        </w:tc>
        <w:tc>
          <w:tcPr>
            <w:tcW w:w="350" w:type="pct"/>
            <w:shd w:val="clear" w:color="auto" w:fill="FFFFFF"/>
            <w:vAlign w:val="bottom"/>
            <w:hideMark/>
          </w:tcPr>
          <w:p w14:paraId="30E09C90" w14:textId="77777777" w:rsidR="00000000" w:rsidRDefault="0053651E">
            <w:pPr>
              <w:jc w:val="right"/>
              <w:rPr>
                <w:rFonts w:eastAsia="Times New Roman"/>
                <w:sz w:val="16"/>
                <w:szCs w:val="16"/>
              </w:rPr>
            </w:pPr>
            <w:r>
              <w:rPr>
                <w:rFonts w:eastAsia="Times New Roman"/>
                <w:sz w:val="16"/>
                <w:szCs w:val="16"/>
              </w:rPr>
              <w:t>34,993,408</w:t>
            </w:r>
          </w:p>
        </w:tc>
        <w:tc>
          <w:tcPr>
            <w:tcW w:w="400" w:type="pct"/>
            <w:shd w:val="clear" w:color="auto" w:fill="FFFFFF"/>
            <w:vAlign w:val="bottom"/>
            <w:hideMark/>
          </w:tcPr>
          <w:p w14:paraId="33E31B47" w14:textId="77777777" w:rsidR="00000000" w:rsidRDefault="0053651E">
            <w:pPr>
              <w:jc w:val="right"/>
              <w:rPr>
                <w:rFonts w:eastAsia="Times New Roman"/>
                <w:sz w:val="16"/>
                <w:szCs w:val="16"/>
              </w:rPr>
            </w:pPr>
            <w:r>
              <w:rPr>
                <w:rFonts w:eastAsia="Times New Roman"/>
                <w:sz w:val="16"/>
                <w:szCs w:val="16"/>
              </w:rPr>
              <w:t>8,540,901</w:t>
            </w:r>
          </w:p>
        </w:tc>
        <w:tc>
          <w:tcPr>
            <w:tcW w:w="50" w:type="pct"/>
            <w:shd w:val="clear" w:color="auto" w:fill="FFFFFF"/>
            <w:vAlign w:val="bottom"/>
            <w:hideMark/>
          </w:tcPr>
          <w:p w14:paraId="2A9A39E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9AC14DA" w14:textId="77777777" w:rsidR="00000000" w:rsidRDefault="0053651E">
            <w:pPr>
              <w:jc w:val="right"/>
              <w:rPr>
                <w:rFonts w:eastAsia="Times New Roman"/>
                <w:sz w:val="16"/>
                <w:szCs w:val="16"/>
              </w:rPr>
            </w:pPr>
            <w:r>
              <w:rPr>
                <w:rFonts w:eastAsia="Times New Roman"/>
                <w:sz w:val="16"/>
                <w:szCs w:val="16"/>
              </w:rPr>
              <w:t>26,452,507</w:t>
            </w:r>
          </w:p>
        </w:tc>
        <w:tc>
          <w:tcPr>
            <w:tcW w:w="50" w:type="pct"/>
            <w:shd w:val="clear" w:color="auto" w:fill="FFFFFF"/>
            <w:vAlign w:val="bottom"/>
            <w:hideMark/>
          </w:tcPr>
          <w:p w14:paraId="59A8E96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00EF82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9529A94"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0994FCF2" w14:textId="77777777">
        <w:trPr>
          <w:tblCellSpacing w:w="0" w:type="dxa"/>
        </w:trPr>
        <w:tc>
          <w:tcPr>
            <w:tcW w:w="50" w:type="pct"/>
            <w:shd w:val="clear" w:color="auto" w:fill="CCEEFF"/>
            <w:vAlign w:val="bottom"/>
            <w:hideMark/>
          </w:tcPr>
          <w:p w14:paraId="6C5ACDA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2906D49" w14:textId="77777777" w:rsidR="00000000" w:rsidRDefault="0053651E">
            <w:pPr>
              <w:pStyle w:val="a3"/>
              <w:spacing w:before="0" w:beforeAutospacing="0" w:after="0" w:afterAutospacing="0"/>
              <w:rPr>
                <w:sz w:val="16"/>
                <w:szCs w:val="16"/>
              </w:rPr>
            </w:pPr>
            <w:r>
              <w:rPr>
                <w:sz w:val="16"/>
                <w:szCs w:val="16"/>
              </w:rPr>
              <w:t>POCONO PLAZA</w:t>
            </w:r>
          </w:p>
        </w:tc>
        <w:tc>
          <w:tcPr>
            <w:tcW w:w="150" w:type="pct"/>
            <w:shd w:val="clear" w:color="auto" w:fill="CCEEFF"/>
            <w:vAlign w:val="bottom"/>
            <w:hideMark/>
          </w:tcPr>
          <w:p w14:paraId="29BD7FD5"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65DDE106" w14:textId="77777777" w:rsidR="00000000" w:rsidRDefault="0053651E">
            <w:pPr>
              <w:jc w:val="right"/>
              <w:rPr>
                <w:rFonts w:eastAsia="Times New Roman"/>
                <w:sz w:val="16"/>
                <w:szCs w:val="16"/>
              </w:rPr>
            </w:pPr>
            <w:r>
              <w:rPr>
                <w:rFonts w:eastAsia="Times New Roman"/>
                <w:sz w:val="16"/>
                <w:szCs w:val="16"/>
              </w:rPr>
              <w:t>1,050,000</w:t>
            </w:r>
          </w:p>
        </w:tc>
        <w:tc>
          <w:tcPr>
            <w:tcW w:w="550" w:type="pct"/>
            <w:shd w:val="clear" w:color="auto" w:fill="CCEEFF"/>
            <w:vAlign w:val="bottom"/>
            <w:hideMark/>
          </w:tcPr>
          <w:p w14:paraId="0C0E8A6F" w14:textId="77777777" w:rsidR="00000000" w:rsidRDefault="0053651E">
            <w:pPr>
              <w:jc w:val="right"/>
              <w:rPr>
                <w:rFonts w:eastAsia="Times New Roman"/>
                <w:sz w:val="16"/>
                <w:szCs w:val="16"/>
              </w:rPr>
            </w:pPr>
            <w:r>
              <w:rPr>
                <w:rFonts w:eastAsia="Times New Roman"/>
                <w:sz w:val="16"/>
                <w:szCs w:val="16"/>
              </w:rPr>
              <w:t>2,372,628</w:t>
            </w:r>
          </w:p>
        </w:tc>
        <w:tc>
          <w:tcPr>
            <w:tcW w:w="350" w:type="pct"/>
            <w:shd w:val="clear" w:color="auto" w:fill="CCEEFF"/>
            <w:vAlign w:val="bottom"/>
            <w:hideMark/>
          </w:tcPr>
          <w:p w14:paraId="24E18357" w14:textId="77777777" w:rsidR="00000000" w:rsidRDefault="0053651E">
            <w:pPr>
              <w:jc w:val="right"/>
              <w:rPr>
                <w:rFonts w:eastAsia="Times New Roman"/>
                <w:sz w:val="16"/>
                <w:szCs w:val="16"/>
              </w:rPr>
            </w:pPr>
            <w:r>
              <w:rPr>
                <w:rFonts w:eastAsia="Times New Roman"/>
                <w:sz w:val="16"/>
                <w:szCs w:val="16"/>
              </w:rPr>
              <w:t>15,196,868</w:t>
            </w:r>
          </w:p>
        </w:tc>
        <w:tc>
          <w:tcPr>
            <w:tcW w:w="300" w:type="pct"/>
            <w:shd w:val="clear" w:color="auto" w:fill="CCEEFF"/>
            <w:vAlign w:val="bottom"/>
            <w:hideMark/>
          </w:tcPr>
          <w:p w14:paraId="7A78713A" w14:textId="77777777" w:rsidR="00000000" w:rsidRDefault="0053651E">
            <w:pPr>
              <w:jc w:val="right"/>
              <w:rPr>
                <w:rFonts w:eastAsia="Times New Roman"/>
                <w:sz w:val="16"/>
                <w:szCs w:val="16"/>
              </w:rPr>
            </w:pPr>
            <w:r>
              <w:rPr>
                <w:rFonts w:eastAsia="Times New Roman"/>
                <w:sz w:val="16"/>
                <w:szCs w:val="16"/>
              </w:rPr>
              <w:t>1,050,000</w:t>
            </w:r>
          </w:p>
        </w:tc>
        <w:tc>
          <w:tcPr>
            <w:tcW w:w="450" w:type="pct"/>
            <w:shd w:val="clear" w:color="auto" w:fill="CCEEFF"/>
            <w:vAlign w:val="bottom"/>
            <w:hideMark/>
          </w:tcPr>
          <w:p w14:paraId="799CA8FD" w14:textId="77777777" w:rsidR="00000000" w:rsidRDefault="0053651E">
            <w:pPr>
              <w:jc w:val="right"/>
              <w:rPr>
                <w:rFonts w:eastAsia="Times New Roman"/>
                <w:sz w:val="16"/>
                <w:szCs w:val="16"/>
              </w:rPr>
            </w:pPr>
            <w:r>
              <w:rPr>
                <w:rFonts w:eastAsia="Times New Roman"/>
                <w:sz w:val="16"/>
                <w:szCs w:val="16"/>
              </w:rPr>
              <w:t>17,569,496</w:t>
            </w:r>
          </w:p>
        </w:tc>
        <w:tc>
          <w:tcPr>
            <w:tcW w:w="350" w:type="pct"/>
            <w:shd w:val="clear" w:color="auto" w:fill="CCEEFF"/>
            <w:vAlign w:val="bottom"/>
            <w:hideMark/>
          </w:tcPr>
          <w:p w14:paraId="0A0BF9E9" w14:textId="77777777" w:rsidR="00000000" w:rsidRDefault="0053651E">
            <w:pPr>
              <w:jc w:val="right"/>
              <w:rPr>
                <w:rFonts w:eastAsia="Times New Roman"/>
                <w:sz w:val="16"/>
                <w:szCs w:val="16"/>
              </w:rPr>
            </w:pPr>
            <w:r>
              <w:rPr>
                <w:rFonts w:eastAsia="Times New Roman"/>
                <w:sz w:val="16"/>
                <w:szCs w:val="16"/>
              </w:rPr>
              <w:t>18,619,496</w:t>
            </w:r>
          </w:p>
        </w:tc>
        <w:tc>
          <w:tcPr>
            <w:tcW w:w="400" w:type="pct"/>
            <w:shd w:val="clear" w:color="auto" w:fill="CCEEFF"/>
            <w:vAlign w:val="bottom"/>
            <w:hideMark/>
          </w:tcPr>
          <w:p w14:paraId="087F06D6" w14:textId="77777777" w:rsidR="00000000" w:rsidRDefault="0053651E">
            <w:pPr>
              <w:jc w:val="right"/>
              <w:rPr>
                <w:rFonts w:eastAsia="Times New Roman"/>
                <w:sz w:val="16"/>
                <w:szCs w:val="16"/>
              </w:rPr>
            </w:pPr>
            <w:r>
              <w:rPr>
                <w:rFonts w:eastAsia="Times New Roman"/>
                <w:sz w:val="16"/>
                <w:szCs w:val="16"/>
              </w:rPr>
              <w:t>1,393,096</w:t>
            </w:r>
          </w:p>
        </w:tc>
        <w:tc>
          <w:tcPr>
            <w:tcW w:w="50" w:type="pct"/>
            <w:shd w:val="clear" w:color="auto" w:fill="CCEEFF"/>
            <w:vAlign w:val="bottom"/>
            <w:hideMark/>
          </w:tcPr>
          <w:p w14:paraId="0C35F32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CBD9D26" w14:textId="77777777" w:rsidR="00000000" w:rsidRDefault="0053651E">
            <w:pPr>
              <w:jc w:val="right"/>
              <w:rPr>
                <w:rFonts w:eastAsia="Times New Roman"/>
                <w:sz w:val="16"/>
                <w:szCs w:val="16"/>
              </w:rPr>
            </w:pPr>
            <w:r>
              <w:rPr>
                <w:rFonts w:eastAsia="Times New Roman"/>
                <w:sz w:val="16"/>
                <w:szCs w:val="16"/>
              </w:rPr>
              <w:t>17,226,400</w:t>
            </w:r>
          </w:p>
        </w:tc>
        <w:tc>
          <w:tcPr>
            <w:tcW w:w="50" w:type="pct"/>
            <w:shd w:val="clear" w:color="auto" w:fill="CCEEFF"/>
            <w:vAlign w:val="bottom"/>
            <w:hideMark/>
          </w:tcPr>
          <w:p w14:paraId="614271F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D1A6B7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99A900D" w14:textId="77777777" w:rsidR="00000000" w:rsidRDefault="0053651E">
            <w:pPr>
              <w:pStyle w:val="a3"/>
              <w:spacing w:before="0" w:beforeAutospacing="0" w:after="0" w:afterAutospacing="0"/>
              <w:jc w:val="center"/>
              <w:rPr>
                <w:sz w:val="16"/>
                <w:szCs w:val="16"/>
              </w:rPr>
            </w:pPr>
            <w:r>
              <w:rPr>
                <w:rStyle w:val="a6"/>
                <w:i w:val="0"/>
                <w:iCs w:val="0"/>
                <w:sz w:val="16"/>
                <w:szCs w:val="16"/>
              </w:rPr>
              <w:t>1973(C)</w:t>
            </w:r>
          </w:p>
        </w:tc>
      </w:tr>
      <w:tr w:rsidR="00000000" w14:paraId="51523180" w14:textId="77777777">
        <w:trPr>
          <w:tblCellSpacing w:w="0" w:type="dxa"/>
        </w:trPr>
        <w:tc>
          <w:tcPr>
            <w:tcW w:w="50" w:type="pct"/>
            <w:shd w:val="clear" w:color="auto" w:fill="FFFFFF"/>
            <w:vAlign w:val="bottom"/>
            <w:hideMark/>
          </w:tcPr>
          <w:p w14:paraId="33B8889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95BBC14" w14:textId="77777777" w:rsidR="00000000" w:rsidRDefault="0053651E">
            <w:pPr>
              <w:pStyle w:val="a3"/>
              <w:spacing w:before="0" w:beforeAutospacing="0" w:after="0" w:afterAutospacing="0"/>
              <w:rPr>
                <w:sz w:val="16"/>
                <w:szCs w:val="16"/>
              </w:rPr>
            </w:pPr>
            <w:r>
              <w:rPr>
                <w:sz w:val="16"/>
                <w:szCs w:val="16"/>
              </w:rPr>
              <w:t>RIDGE PIKE PLAZA</w:t>
            </w:r>
          </w:p>
        </w:tc>
        <w:tc>
          <w:tcPr>
            <w:tcW w:w="150" w:type="pct"/>
            <w:shd w:val="clear" w:color="auto" w:fill="FFFFFF"/>
            <w:vAlign w:val="bottom"/>
            <w:hideMark/>
          </w:tcPr>
          <w:p w14:paraId="5F4B14D8"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5E6B8A8B" w14:textId="77777777" w:rsidR="00000000" w:rsidRDefault="0053651E">
            <w:pPr>
              <w:jc w:val="right"/>
              <w:rPr>
                <w:rFonts w:eastAsia="Times New Roman"/>
                <w:sz w:val="16"/>
                <w:szCs w:val="16"/>
              </w:rPr>
            </w:pPr>
            <w:r>
              <w:rPr>
                <w:rFonts w:eastAsia="Times New Roman"/>
                <w:sz w:val="16"/>
                <w:szCs w:val="16"/>
              </w:rPr>
              <w:t>1,525,337</w:t>
            </w:r>
          </w:p>
        </w:tc>
        <w:tc>
          <w:tcPr>
            <w:tcW w:w="550" w:type="pct"/>
            <w:shd w:val="clear" w:color="auto" w:fill="FFFFFF"/>
            <w:vAlign w:val="bottom"/>
            <w:hideMark/>
          </w:tcPr>
          <w:p w14:paraId="5EAEDBCC" w14:textId="77777777" w:rsidR="00000000" w:rsidRDefault="0053651E">
            <w:pPr>
              <w:jc w:val="right"/>
              <w:rPr>
                <w:rFonts w:eastAsia="Times New Roman"/>
                <w:sz w:val="16"/>
                <w:szCs w:val="16"/>
              </w:rPr>
            </w:pPr>
            <w:r>
              <w:rPr>
                <w:rFonts w:eastAsia="Times New Roman"/>
                <w:sz w:val="16"/>
                <w:szCs w:val="16"/>
              </w:rPr>
              <w:t>4,251,732</w:t>
            </w:r>
          </w:p>
        </w:tc>
        <w:tc>
          <w:tcPr>
            <w:tcW w:w="350" w:type="pct"/>
            <w:shd w:val="clear" w:color="auto" w:fill="FFFFFF"/>
            <w:vAlign w:val="bottom"/>
            <w:hideMark/>
          </w:tcPr>
          <w:p w14:paraId="75331120" w14:textId="77777777" w:rsidR="00000000" w:rsidRDefault="0053651E">
            <w:pPr>
              <w:jc w:val="right"/>
              <w:rPr>
                <w:rFonts w:eastAsia="Times New Roman"/>
                <w:sz w:val="16"/>
                <w:szCs w:val="16"/>
              </w:rPr>
            </w:pPr>
            <w:r>
              <w:rPr>
                <w:rFonts w:eastAsia="Times New Roman"/>
                <w:sz w:val="16"/>
                <w:szCs w:val="16"/>
              </w:rPr>
              <w:t>(3,539,296)</w:t>
            </w:r>
          </w:p>
        </w:tc>
        <w:tc>
          <w:tcPr>
            <w:tcW w:w="300" w:type="pct"/>
            <w:shd w:val="clear" w:color="auto" w:fill="FFFFFF"/>
            <w:vAlign w:val="bottom"/>
            <w:hideMark/>
          </w:tcPr>
          <w:p w14:paraId="4324E7AB" w14:textId="77777777" w:rsidR="00000000" w:rsidRDefault="0053651E">
            <w:pPr>
              <w:jc w:val="right"/>
              <w:rPr>
                <w:rFonts w:eastAsia="Times New Roman"/>
                <w:sz w:val="16"/>
                <w:szCs w:val="16"/>
              </w:rPr>
            </w:pPr>
            <w:r>
              <w:rPr>
                <w:rFonts w:eastAsia="Times New Roman"/>
                <w:sz w:val="16"/>
                <w:szCs w:val="16"/>
              </w:rPr>
              <w:t>914,299</w:t>
            </w:r>
          </w:p>
        </w:tc>
        <w:tc>
          <w:tcPr>
            <w:tcW w:w="450" w:type="pct"/>
            <w:shd w:val="clear" w:color="auto" w:fill="FFFFFF"/>
            <w:vAlign w:val="bottom"/>
            <w:hideMark/>
          </w:tcPr>
          <w:p w14:paraId="79D86C73" w14:textId="77777777" w:rsidR="00000000" w:rsidRDefault="0053651E">
            <w:pPr>
              <w:jc w:val="right"/>
              <w:rPr>
                <w:rFonts w:eastAsia="Times New Roman"/>
                <w:sz w:val="16"/>
                <w:szCs w:val="16"/>
              </w:rPr>
            </w:pPr>
            <w:r>
              <w:rPr>
                <w:rFonts w:eastAsia="Times New Roman"/>
                <w:sz w:val="16"/>
                <w:szCs w:val="16"/>
              </w:rPr>
              <w:t>1,323,474</w:t>
            </w:r>
          </w:p>
        </w:tc>
        <w:tc>
          <w:tcPr>
            <w:tcW w:w="350" w:type="pct"/>
            <w:shd w:val="clear" w:color="auto" w:fill="FFFFFF"/>
            <w:vAlign w:val="bottom"/>
            <w:hideMark/>
          </w:tcPr>
          <w:p w14:paraId="7EC5761A" w14:textId="77777777" w:rsidR="00000000" w:rsidRDefault="0053651E">
            <w:pPr>
              <w:jc w:val="right"/>
              <w:rPr>
                <w:rFonts w:eastAsia="Times New Roman"/>
                <w:sz w:val="16"/>
                <w:szCs w:val="16"/>
              </w:rPr>
            </w:pPr>
            <w:r>
              <w:rPr>
                <w:rFonts w:eastAsia="Times New Roman"/>
                <w:sz w:val="16"/>
                <w:szCs w:val="16"/>
              </w:rPr>
              <w:t>2,237,773</w:t>
            </w:r>
          </w:p>
        </w:tc>
        <w:tc>
          <w:tcPr>
            <w:tcW w:w="400" w:type="pct"/>
            <w:shd w:val="clear" w:color="auto" w:fill="FFFFFF"/>
            <w:vAlign w:val="bottom"/>
            <w:hideMark/>
          </w:tcPr>
          <w:p w14:paraId="7850CD3C" w14:textId="77777777" w:rsidR="00000000" w:rsidRDefault="0053651E">
            <w:pPr>
              <w:jc w:val="right"/>
              <w:rPr>
                <w:rFonts w:eastAsia="Times New Roman"/>
                <w:sz w:val="16"/>
                <w:szCs w:val="16"/>
              </w:rPr>
            </w:pPr>
            <w:r>
              <w:rPr>
                <w:rFonts w:eastAsia="Times New Roman"/>
                <w:sz w:val="16"/>
                <w:szCs w:val="16"/>
              </w:rPr>
              <w:t>1,211,807</w:t>
            </w:r>
          </w:p>
        </w:tc>
        <w:tc>
          <w:tcPr>
            <w:tcW w:w="50" w:type="pct"/>
            <w:shd w:val="clear" w:color="auto" w:fill="FFFFFF"/>
            <w:vAlign w:val="bottom"/>
            <w:hideMark/>
          </w:tcPr>
          <w:p w14:paraId="4EDE787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7C18A29" w14:textId="77777777" w:rsidR="00000000" w:rsidRDefault="0053651E">
            <w:pPr>
              <w:jc w:val="right"/>
              <w:rPr>
                <w:rFonts w:eastAsia="Times New Roman"/>
                <w:sz w:val="16"/>
                <w:szCs w:val="16"/>
              </w:rPr>
            </w:pPr>
            <w:r>
              <w:rPr>
                <w:rFonts w:eastAsia="Times New Roman"/>
                <w:sz w:val="16"/>
                <w:szCs w:val="16"/>
              </w:rPr>
              <w:t>1,025,966</w:t>
            </w:r>
          </w:p>
        </w:tc>
        <w:tc>
          <w:tcPr>
            <w:tcW w:w="50" w:type="pct"/>
            <w:shd w:val="clear" w:color="auto" w:fill="FFFFFF"/>
            <w:vAlign w:val="bottom"/>
            <w:hideMark/>
          </w:tcPr>
          <w:p w14:paraId="66DE218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2BA3C8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DB19947"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364B89B8" w14:textId="77777777">
        <w:trPr>
          <w:tblCellSpacing w:w="0" w:type="dxa"/>
        </w:trPr>
        <w:tc>
          <w:tcPr>
            <w:tcW w:w="50" w:type="pct"/>
            <w:shd w:val="clear" w:color="auto" w:fill="CCEEFF"/>
            <w:vAlign w:val="bottom"/>
            <w:hideMark/>
          </w:tcPr>
          <w:p w14:paraId="5941ED5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13A12E4" w14:textId="77777777" w:rsidR="00000000" w:rsidRDefault="0053651E">
            <w:pPr>
              <w:pStyle w:val="a3"/>
              <w:spacing w:before="0" w:beforeAutospacing="0" w:after="0" w:afterAutospacing="0"/>
              <w:rPr>
                <w:sz w:val="16"/>
                <w:szCs w:val="16"/>
              </w:rPr>
            </w:pPr>
            <w:r>
              <w:rPr>
                <w:sz w:val="16"/>
                <w:szCs w:val="16"/>
              </w:rPr>
              <w:t>WHITELAND TOWN CENTER</w:t>
            </w:r>
          </w:p>
        </w:tc>
        <w:tc>
          <w:tcPr>
            <w:tcW w:w="150" w:type="pct"/>
            <w:shd w:val="clear" w:color="auto" w:fill="CCEEFF"/>
            <w:vAlign w:val="bottom"/>
            <w:hideMark/>
          </w:tcPr>
          <w:p w14:paraId="3BF3A632"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0D3B9F30" w14:textId="77777777" w:rsidR="00000000" w:rsidRDefault="0053651E">
            <w:pPr>
              <w:jc w:val="right"/>
              <w:rPr>
                <w:rFonts w:eastAsia="Times New Roman"/>
                <w:sz w:val="16"/>
                <w:szCs w:val="16"/>
              </w:rPr>
            </w:pPr>
            <w:r>
              <w:rPr>
                <w:rFonts w:eastAsia="Times New Roman"/>
                <w:sz w:val="16"/>
                <w:szCs w:val="16"/>
              </w:rPr>
              <w:t>731,888</w:t>
            </w:r>
          </w:p>
        </w:tc>
        <w:tc>
          <w:tcPr>
            <w:tcW w:w="550" w:type="pct"/>
            <w:shd w:val="clear" w:color="auto" w:fill="CCEEFF"/>
            <w:vAlign w:val="bottom"/>
            <w:hideMark/>
          </w:tcPr>
          <w:p w14:paraId="4356B1CE"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CCEEFF"/>
            <w:vAlign w:val="bottom"/>
            <w:hideMark/>
          </w:tcPr>
          <w:p w14:paraId="6FEFFC9B" w14:textId="77777777" w:rsidR="00000000" w:rsidRDefault="0053651E">
            <w:pPr>
              <w:jc w:val="right"/>
              <w:rPr>
                <w:rFonts w:eastAsia="Times New Roman"/>
                <w:sz w:val="16"/>
                <w:szCs w:val="16"/>
              </w:rPr>
            </w:pPr>
            <w:r>
              <w:rPr>
                <w:rFonts w:eastAsia="Times New Roman"/>
                <w:sz w:val="16"/>
                <w:szCs w:val="16"/>
              </w:rPr>
              <w:t>59,067</w:t>
            </w:r>
          </w:p>
        </w:tc>
        <w:tc>
          <w:tcPr>
            <w:tcW w:w="300" w:type="pct"/>
            <w:shd w:val="clear" w:color="auto" w:fill="CCEEFF"/>
            <w:vAlign w:val="bottom"/>
            <w:hideMark/>
          </w:tcPr>
          <w:p w14:paraId="64BABF2B" w14:textId="77777777" w:rsidR="00000000" w:rsidRDefault="0053651E">
            <w:pPr>
              <w:jc w:val="right"/>
              <w:rPr>
                <w:rFonts w:eastAsia="Times New Roman"/>
                <w:sz w:val="16"/>
                <w:szCs w:val="16"/>
              </w:rPr>
            </w:pPr>
            <w:r>
              <w:rPr>
                <w:rFonts w:eastAsia="Times New Roman"/>
                <w:sz w:val="16"/>
                <w:szCs w:val="16"/>
              </w:rPr>
              <w:t>731,888</w:t>
            </w:r>
          </w:p>
        </w:tc>
        <w:tc>
          <w:tcPr>
            <w:tcW w:w="450" w:type="pct"/>
            <w:shd w:val="clear" w:color="auto" w:fill="CCEEFF"/>
            <w:vAlign w:val="bottom"/>
            <w:hideMark/>
          </w:tcPr>
          <w:p w14:paraId="6B44AE02" w14:textId="77777777" w:rsidR="00000000" w:rsidRDefault="0053651E">
            <w:pPr>
              <w:jc w:val="right"/>
              <w:rPr>
                <w:rFonts w:eastAsia="Times New Roman"/>
                <w:sz w:val="16"/>
                <w:szCs w:val="16"/>
              </w:rPr>
            </w:pPr>
            <w:r>
              <w:rPr>
                <w:rFonts w:eastAsia="Times New Roman"/>
                <w:sz w:val="16"/>
                <w:szCs w:val="16"/>
              </w:rPr>
              <w:t>2,986,618</w:t>
            </w:r>
          </w:p>
        </w:tc>
        <w:tc>
          <w:tcPr>
            <w:tcW w:w="350" w:type="pct"/>
            <w:shd w:val="clear" w:color="auto" w:fill="CCEEFF"/>
            <w:vAlign w:val="bottom"/>
            <w:hideMark/>
          </w:tcPr>
          <w:p w14:paraId="44D47751" w14:textId="77777777" w:rsidR="00000000" w:rsidRDefault="0053651E">
            <w:pPr>
              <w:jc w:val="right"/>
              <w:rPr>
                <w:rFonts w:eastAsia="Times New Roman"/>
                <w:sz w:val="16"/>
                <w:szCs w:val="16"/>
              </w:rPr>
            </w:pPr>
            <w:r>
              <w:rPr>
                <w:rFonts w:eastAsia="Times New Roman"/>
                <w:sz w:val="16"/>
                <w:szCs w:val="16"/>
              </w:rPr>
              <w:t>3,718,506</w:t>
            </w:r>
          </w:p>
        </w:tc>
        <w:tc>
          <w:tcPr>
            <w:tcW w:w="400" w:type="pct"/>
            <w:shd w:val="clear" w:color="auto" w:fill="CCEEFF"/>
            <w:vAlign w:val="bottom"/>
            <w:hideMark/>
          </w:tcPr>
          <w:p w14:paraId="25F22A2E" w14:textId="77777777" w:rsidR="00000000" w:rsidRDefault="0053651E">
            <w:pPr>
              <w:jc w:val="right"/>
              <w:rPr>
                <w:rFonts w:eastAsia="Times New Roman"/>
                <w:sz w:val="16"/>
                <w:szCs w:val="16"/>
              </w:rPr>
            </w:pPr>
            <w:r>
              <w:rPr>
                <w:rFonts w:eastAsia="Times New Roman"/>
                <w:sz w:val="16"/>
                <w:szCs w:val="16"/>
              </w:rPr>
              <w:t>1,775,153</w:t>
            </w:r>
          </w:p>
        </w:tc>
        <w:tc>
          <w:tcPr>
            <w:tcW w:w="50" w:type="pct"/>
            <w:shd w:val="clear" w:color="auto" w:fill="CCEEFF"/>
            <w:vAlign w:val="bottom"/>
            <w:hideMark/>
          </w:tcPr>
          <w:p w14:paraId="5648F2B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7932AD2" w14:textId="77777777" w:rsidR="00000000" w:rsidRDefault="0053651E">
            <w:pPr>
              <w:jc w:val="right"/>
              <w:rPr>
                <w:rFonts w:eastAsia="Times New Roman"/>
                <w:sz w:val="16"/>
                <w:szCs w:val="16"/>
              </w:rPr>
            </w:pPr>
            <w:r>
              <w:rPr>
                <w:rFonts w:eastAsia="Times New Roman"/>
                <w:sz w:val="16"/>
                <w:szCs w:val="16"/>
              </w:rPr>
              <w:t>1,943,353</w:t>
            </w:r>
          </w:p>
        </w:tc>
        <w:tc>
          <w:tcPr>
            <w:tcW w:w="50" w:type="pct"/>
            <w:shd w:val="clear" w:color="auto" w:fill="CCEEFF"/>
            <w:vAlign w:val="bottom"/>
            <w:hideMark/>
          </w:tcPr>
          <w:p w14:paraId="73DE8EC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C1970D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70AD99F"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0D036E89" w14:textId="77777777">
        <w:trPr>
          <w:tblCellSpacing w:w="0" w:type="dxa"/>
        </w:trPr>
        <w:tc>
          <w:tcPr>
            <w:tcW w:w="50" w:type="pct"/>
            <w:shd w:val="clear" w:color="auto" w:fill="FFFFFF"/>
            <w:vAlign w:val="bottom"/>
            <w:hideMark/>
          </w:tcPr>
          <w:p w14:paraId="0AEF335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5911567" w14:textId="77777777" w:rsidR="00000000" w:rsidRDefault="0053651E">
            <w:pPr>
              <w:pStyle w:val="a3"/>
              <w:spacing w:before="0" w:beforeAutospacing="0" w:after="0" w:afterAutospacing="0"/>
              <w:rPr>
                <w:sz w:val="16"/>
                <w:szCs w:val="16"/>
              </w:rPr>
            </w:pPr>
            <w:r>
              <w:rPr>
                <w:sz w:val="16"/>
                <w:szCs w:val="16"/>
              </w:rPr>
              <w:t>HARRISBURG EAST SHOPPING CTR.</w:t>
            </w:r>
          </w:p>
        </w:tc>
        <w:tc>
          <w:tcPr>
            <w:tcW w:w="150" w:type="pct"/>
            <w:shd w:val="clear" w:color="auto" w:fill="FFFFFF"/>
            <w:vAlign w:val="bottom"/>
            <w:hideMark/>
          </w:tcPr>
          <w:p w14:paraId="79EEDBDE"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5B75D07A" w14:textId="77777777" w:rsidR="00000000" w:rsidRDefault="0053651E">
            <w:pPr>
              <w:jc w:val="right"/>
              <w:rPr>
                <w:rFonts w:eastAsia="Times New Roman"/>
                <w:sz w:val="16"/>
                <w:szCs w:val="16"/>
              </w:rPr>
            </w:pPr>
            <w:r>
              <w:rPr>
                <w:rFonts w:eastAsia="Times New Roman"/>
                <w:sz w:val="16"/>
                <w:szCs w:val="16"/>
              </w:rPr>
              <w:t>452,888</w:t>
            </w:r>
          </w:p>
        </w:tc>
        <w:tc>
          <w:tcPr>
            <w:tcW w:w="550" w:type="pct"/>
            <w:shd w:val="clear" w:color="auto" w:fill="FFFFFF"/>
            <w:vAlign w:val="bottom"/>
            <w:hideMark/>
          </w:tcPr>
          <w:p w14:paraId="51CBC9D6" w14:textId="77777777" w:rsidR="00000000" w:rsidRDefault="0053651E">
            <w:pPr>
              <w:jc w:val="right"/>
              <w:rPr>
                <w:rFonts w:eastAsia="Times New Roman"/>
                <w:sz w:val="16"/>
                <w:szCs w:val="16"/>
              </w:rPr>
            </w:pPr>
            <w:r>
              <w:rPr>
                <w:rFonts w:eastAsia="Times New Roman"/>
                <w:sz w:val="16"/>
                <w:szCs w:val="16"/>
              </w:rPr>
              <w:t>6,665,238</w:t>
            </w:r>
          </w:p>
        </w:tc>
        <w:tc>
          <w:tcPr>
            <w:tcW w:w="350" w:type="pct"/>
            <w:shd w:val="clear" w:color="auto" w:fill="FFFFFF"/>
            <w:vAlign w:val="bottom"/>
            <w:hideMark/>
          </w:tcPr>
          <w:p w14:paraId="120AF7B4" w14:textId="77777777" w:rsidR="00000000" w:rsidRDefault="0053651E">
            <w:pPr>
              <w:jc w:val="right"/>
              <w:rPr>
                <w:rFonts w:eastAsia="Times New Roman"/>
                <w:sz w:val="16"/>
                <w:szCs w:val="16"/>
              </w:rPr>
            </w:pPr>
            <w:r>
              <w:rPr>
                <w:rFonts w:eastAsia="Times New Roman"/>
                <w:sz w:val="16"/>
                <w:szCs w:val="16"/>
              </w:rPr>
              <w:t>11,377,170</w:t>
            </w:r>
          </w:p>
        </w:tc>
        <w:tc>
          <w:tcPr>
            <w:tcW w:w="300" w:type="pct"/>
            <w:shd w:val="clear" w:color="auto" w:fill="FFFFFF"/>
            <w:vAlign w:val="bottom"/>
            <w:hideMark/>
          </w:tcPr>
          <w:p w14:paraId="49CD6984" w14:textId="77777777" w:rsidR="00000000" w:rsidRDefault="0053651E">
            <w:pPr>
              <w:jc w:val="right"/>
              <w:rPr>
                <w:rFonts w:eastAsia="Times New Roman"/>
                <w:sz w:val="16"/>
                <w:szCs w:val="16"/>
              </w:rPr>
            </w:pPr>
            <w:r>
              <w:rPr>
                <w:rFonts w:eastAsia="Times New Roman"/>
                <w:sz w:val="16"/>
                <w:szCs w:val="16"/>
              </w:rPr>
              <w:t>3,002,888</w:t>
            </w:r>
          </w:p>
        </w:tc>
        <w:tc>
          <w:tcPr>
            <w:tcW w:w="450" w:type="pct"/>
            <w:shd w:val="clear" w:color="auto" w:fill="FFFFFF"/>
            <w:vAlign w:val="bottom"/>
            <w:hideMark/>
          </w:tcPr>
          <w:p w14:paraId="6855BE79" w14:textId="77777777" w:rsidR="00000000" w:rsidRDefault="0053651E">
            <w:pPr>
              <w:jc w:val="right"/>
              <w:rPr>
                <w:rFonts w:eastAsia="Times New Roman"/>
                <w:sz w:val="16"/>
                <w:szCs w:val="16"/>
              </w:rPr>
            </w:pPr>
            <w:r>
              <w:rPr>
                <w:rFonts w:eastAsia="Times New Roman"/>
                <w:sz w:val="16"/>
                <w:szCs w:val="16"/>
              </w:rPr>
              <w:t>15,492,408</w:t>
            </w:r>
          </w:p>
        </w:tc>
        <w:tc>
          <w:tcPr>
            <w:tcW w:w="350" w:type="pct"/>
            <w:shd w:val="clear" w:color="auto" w:fill="FFFFFF"/>
            <w:vAlign w:val="bottom"/>
            <w:hideMark/>
          </w:tcPr>
          <w:p w14:paraId="3C7919C6" w14:textId="77777777" w:rsidR="00000000" w:rsidRDefault="0053651E">
            <w:pPr>
              <w:jc w:val="right"/>
              <w:rPr>
                <w:rFonts w:eastAsia="Times New Roman"/>
                <w:sz w:val="16"/>
                <w:szCs w:val="16"/>
              </w:rPr>
            </w:pPr>
            <w:r>
              <w:rPr>
                <w:rFonts w:eastAsia="Times New Roman"/>
                <w:sz w:val="16"/>
                <w:szCs w:val="16"/>
              </w:rPr>
              <w:t>18,495,296</w:t>
            </w:r>
          </w:p>
        </w:tc>
        <w:tc>
          <w:tcPr>
            <w:tcW w:w="400" w:type="pct"/>
            <w:shd w:val="clear" w:color="auto" w:fill="FFFFFF"/>
            <w:vAlign w:val="bottom"/>
            <w:hideMark/>
          </w:tcPr>
          <w:p w14:paraId="0CDE9766" w14:textId="77777777" w:rsidR="00000000" w:rsidRDefault="0053651E">
            <w:pPr>
              <w:jc w:val="right"/>
              <w:rPr>
                <w:rFonts w:eastAsia="Times New Roman"/>
                <w:sz w:val="16"/>
                <w:szCs w:val="16"/>
              </w:rPr>
            </w:pPr>
            <w:r>
              <w:rPr>
                <w:rFonts w:eastAsia="Times New Roman"/>
                <w:sz w:val="16"/>
                <w:szCs w:val="16"/>
              </w:rPr>
              <w:t>8,033,261</w:t>
            </w:r>
          </w:p>
        </w:tc>
        <w:tc>
          <w:tcPr>
            <w:tcW w:w="50" w:type="pct"/>
            <w:shd w:val="clear" w:color="auto" w:fill="FFFFFF"/>
            <w:vAlign w:val="bottom"/>
            <w:hideMark/>
          </w:tcPr>
          <w:p w14:paraId="5262EF0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879E578" w14:textId="77777777" w:rsidR="00000000" w:rsidRDefault="0053651E">
            <w:pPr>
              <w:jc w:val="right"/>
              <w:rPr>
                <w:rFonts w:eastAsia="Times New Roman"/>
                <w:sz w:val="16"/>
                <w:szCs w:val="16"/>
              </w:rPr>
            </w:pPr>
            <w:r>
              <w:rPr>
                <w:rFonts w:eastAsia="Times New Roman"/>
                <w:sz w:val="16"/>
                <w:szCs w:val="16"/>
              </w:rPr>
              <w:t>10,462,035</w:t>
            </w:r>
          </w:p>
        </w:tc>
        <w:tc>
          <w:tcPr>
            <w:tcW w:w="50" w:type="pct"/>
            <w:shd w:val="clear" w:color="auto" w:fill="FFFFFF"/>
            <w:vAlign w:val="bottom"/>
            <w:hideMark/>
          </w:tcPr>
          <w:p w14:paraId="3765105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B3010E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E062698" w14:textId="77777777" w:rsidR="00000000" w:rsidRDefault="0053651E">
            <w:pPr>
              <w:pStyle w:val="a3"/>
              <w:spacing w:before="0" w:beforeAutospacing="0" w:after="0" w:afterAutospacing="0"/>
              <w:jc w:val="center"/>
              <w:rPr>
                <w:sz w:val="16"/>
                <w:szCs w:val="16"/>
              </w:rPr>
            </w:pPr>
            <w:r>
              <w:rPr>
                <w:rStyle w:val="a6"/>
                <w:i w:val="0"/>
                <w:iCs w:val="0"/>
                <w:sz w:val="16"/>
                <w:szCs w:val="16"/>
              </w:rPr>
              <w:t>2002(A)</w:t>
            </w:r>
          </w:p>
        </w:tc>
      </w:tr>
      <w:tr w:rsidR="00000000" w14:paraId="07773693" w14:textId="77777777">
        <w:trPr>
          <w:tblCellSpacing w:w="0" w:type="dxa"/>
        </w:trPr>
        <w:tc>
          <w:tcPr>
            <w:tcW w:w="50" w:type="pct"/>
            <w:shd w:val="clear" w:color="auto" w:fill="CCEEFF"/>
            <w:vAlign w:val="bottom"/>
            <w:hideMark/>
          </w:tcPr>
          <w:p w14:paraId="57B4450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9C8ED6B" w14:textId="77777777" w:rsidR="00000000" w:rsidRDefault="0053651E">
            <w:pPr>
              <w:pStyle w:val="a3"/>
              <w:spacing w:before="0" w:beforeAutospacing="0" w:after="0" w:afterAutospacing="0"/>
              <w:rPr>
                <w:sz w:val="16"/>
                <w:szCs w:val="16"/>
              </w:rPr>
            </w:pPr>
            <w:r>
              <w:rPr>
                <w:sz w:val="16"/>
                <w:szCs w:val="16"/>
              </w:rPr>
              <w:t>TOWNSHIP LINE S.C.</w:t>
            </w:r>
          </w:p>
        </w:tc>
        <w:tc>
          <w:tcPr>
            <w:tcW w:w="150" w:type="pct"/>
            <w:shd w:val="clear" w:color="auto" w:fill="CCEEFF"/>
            <w:vAlign w:val="bottom"/>
            <w:hideMark/>
          </w:tcPr>
          <w:p w14:paraId="6C48ED79"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44CB1F5C" w14:textId="77777777" w:rsidR="00000000" w:rsidRDefault="0053651E">
            <w:pPr>
              <w:jc w:val="right"/>
              <w:rPr>
                <w:rFonts w:eastAsia="Times New Roman"/>
                <w:sz w:val="16"/>
                <w:szCs w:val="16"/>
              </w:rPr>
            </w:pPr>
            <w:r>
              <w:rPr>
                <w:rFonts w:eastAsia="Times New Roman"/>
                <w:sz w:val="16"/>
                <w:szCs w:val="16"/>
              </w:rPr>
              <w:t>731,888</w:t>
            </w:r>
          </w:p>
        </w:tc>
        <w:tc>
          <w:tcPr>
            <w:tcW w:w="550" w:type="pct"/>
            <w:shd w:val="clear" w:color="auto" w:fill="CCEEFF"/>
            <w:vAlign w:val="bottom"/>
            <w:hideMark/>
          </w:tcPr>
          <w:p w14:paraId="3F7EF58C"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CCEEFF"/>
            <w:vAlign w:val="bottom"/>
            <w:hideMark/>
          </w:tcPr>
          <w:p w14:paraId="049ECFA2"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5B90302C" w14:textId="77777777" w:rsidR="00000000" w:rsidRDefault="0053651E">
            <w:pPr>
              <w:jc w:val="right"/>
              <w:rPr>
                <w:rFonts w:eastAsia="Times New Roman"/>
                <w:sz w:val="16"/>
                <w:szCs w:val="16"/>
              </w:rPr>
            </w:pPr>
            <w:r>
              <w:rPr>
                <w:rFonts w:eastAsia="Times New Roman"/>
                <w:sz w:val="16"/>
                <w:szCs w:val="16"/>
              </w:rPr>
              <w:t>731,888</w:t>
            </w:r>
          </w:p>
        </w:tc>
        <w:tc>
          <w:tcPr>
            <w:tcW w:w="450" w:type="pct"/>
            <w:shd w:val="clear" w:color="auto" w:fill="CCEEFF"/>
            <w:vAlign w:val="bottom"/>
            <w:hideMark/>
          </w:tcPr>
          <w:p w14:paraId="4594FC46"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CCEEFF"/>
            <w:vAlign w:val="bottom"/>
            <w:hideMark/>
          </w:tcPr>
          <w:p w14:paraId="7F9EDFAB" w14:textId="77777777" w:rsidR="00000000" w:rsidRDefault="0053651E">
            <w:pPr>
              <w:jc w:val="right"/>
              <w:rPr>
                <w:rFonts w:eastAsia="Times New Roman"/>
                <w:sz w:val="16"/>
                <w:szCs w:val="16"/>
              </w:rPr>
            </w:pPr>
            <w:r>
              <w:rPr>
                <w:rFonts w:eastAsia="Times New Roman"/>
                <w:sz w:val="16"/>
                <w:szCs w:val="16"/>
              </w:rPr>
              <w:t>3,659,439</w:t>
            </w:r>
          </w:p>
        </w:tc>
        <w:tc>
          <w:tcPr>
            <w:tcW w:w="400" w:type="pct"/>
            <w:shd w:val="clear" w:color="auto" w:fill="CCEEFF"/>
            <w:vAlign w:val="bottom"/>
            <w:hideMark/>
          </w:tcPr>
          <w:p w14:paraId="0CF7A5F3" w14:textId="77777777" w:rsidR="00000000" w:rsidRDefault="0053651E">
            <w:pPr>
              <w:jc w:val="right"/>
              <w:rPr>
                <w:rFonts w:eastAsia="Times New Roman"/>
                <w:sz w:val="16"/>
                <w:szCs w:val="16"/>
              </w:rPr>
            </w:pPr>
            <w:r>
              <w:rPr>
                <w:rFonts w:eastAsia="Times New Roman"/>
                <w:sz w:val="16"/>
                <w:szCs w:val="16"/>
              </w:rPr>
              <w:t>1,751,527</w:t>
            </w:r>
          </w:p>
        </w:tc>
        <w:tc>
          <w:tcPr>
            <w:tcW w:w="50" w:type="pct"/>
            <w:shd w:val="clear" w:color="auto" w:fill="CCEEFF"/>
            <w:vAlign w:val="bottom"/>
            <w:hideMark/>
          </w:tcPr>
          <w:p w14:paraId="13A6147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56B49F4" w14:textId="77777777" w:rsidR="00000000" w:rsidRDefault="0053651E">
            <w:pPr>
              <w:jc w:val="right"/>
              <w:rPr>
                <w:rFonts w:eastAsia="Times New Roman"/>
                <w:sz w:val="16"/>
                <w:szCs w:val="16"/>
              </w:rPr>
            </w:pPr>
            <w:r>
              <w:rPr>
                <w:rFonts w:eastAsia="Times New Roman"/>
                <w:sz w:val="16"/>
                <w:szCs w:val="16"/>
              </w:rPr>
              <w:t>1,907,912</w:t>
            </w:r>
          </w:p>
        </w:tc>
        <w:tc>
          <w:tcPr>
            <w:tcW w:w="50" w:type="pct"/>
            <w:shd w:val="clear" w:color="auto" w:fill="CCEEFF"/>
            <w:vAlign w:val="bottom"/>
            <w:hideMark/>
          </w:tcPr>
          <w:p w14:paraId="60010F1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3AD1CC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335F14F"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0BE5A17E" w14:textId="77777777">
        <w:trPr>
          <w:tblCellSpacing w:w="0" w:type="dxa"/>
        </w:trPr>
        <w:tc>
          <w:tcPr>
            <w:tcW w:w="50" w:type="pct"/>
            <w:shd w:val="clear" w:color="auto" w:fill="FFFFFF"/>
            <w:vAlign w:val="bottom"/>
            <w:hideMark/>
          </w:tcPr>
          <w:p w14:paraId="037554D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7444865" w14:textId="77777777" w:rsidR="00000000" w:rsidRDefault="0053651E">
            <w:pPr>
              <w:pStyle w:val="a3"/>
              <w:spacing w:before="0" w:beforeAutospacing="0" w:after="0" w:afterAutospacing="0"/>
              <w:rPr>
                <w:sz w:val="16"/>
                <w:szCs w:val="16"/>
              </w:rPr>
            </w:pPr>
            <w:r>
              <w:rPr>
                <w:sz w:val="16"/>
                <w:szCs w:val="16"/>
              </w:rPr>
              <w:t>HORSHAM POINT</w:t>
            </w:r>
          </w:p>
        </w:tc>
        <w:tc>
          <w:tcPr>
            <w:tcW w:w="150" w:type="pct"/>
            <w:shd w:val="clear" w:color="auto" w:fill="FFFFFF"/>
            <w:vAlign w:val="bottom"/>
            <w:hideMark/>
          </w:tcPr>
          <w:p w14:paraId="219A1C71"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3041D50C" w14:textId="77777777" w:rsidR="00000000" w:rsidRDefault="0053651E">
            <w:pPr>
              <w:jc w:val="right"/>
              <w:rPr>
                <w:rFonts w:eastAsia="Times New Roman"/>
                <w:sz w:val="16"/>
                <w:szCs w:val="16"/>
              </w:rPr>
            </w:pPr>
            <w:r>
              <w:rPr>
                <w:rFonts w:eastAsia="Times New Roman"/>
                <w:sz w:val="16"/>
                <w:szCs w:val="16"/>
              </w:rPr>
              <w:t>3,813,247</w:t>
            </w:r>
          </w:p>
        </w:tc>
        <w:tc>
          <w:tcPr>
            <w:tcW w:w="550" w:type="pct"/>
            <w:shd w:val="clear" w:color="auto" w:fill="FFFFFF"/>
            <w:vAlign w:val="bottom"/>
            <w:hideMark/>
          </w:tcPr>
          <w:p w14:paraId="6896F776" w14:textId="77777777" w:rsidR="00000000" w:rsidRDefault="0053651E">
            <w:pPr>
              <w:jc w:val="right"/>
              <w:rPr>
                <w:rFonts w:eastAsia="Times New Roman"/>
                <w:sz w:val="16"/>
                <w:szCs w:val="16"/>
              </w:rPr>
            </w:pPr>
            <w:r>
              <w:rPr>
                <w:rFonts w:eastAsia="Times New Roman"/>
                <w:sz w:val="16"/>
                <w:szCs w:val="16"/>
              </w:rPr>
              <w:t>18,189,450</w:t>
            </w:r>
          </w:p>
        </w:tc>
        <w:tc>
          <w:tcPr>
            <w:tcW w:w="350" w:type="pct"/>
            <w:shd w:val="clear" w:color="auto" w:fill="FFFFFF"/>
            <w:vAlign w:val="bottom"/>
            <w:hideMark/>
          </w:tcPr>
          <w:p w14:paraId="02A05C5D" w14:textId="77777777" w:rsidR="00000000" w:rsidRDefault="0053651E">
            <w:pPr>
              <w:jc w:val="right"/>
              <w:rPr>
                <w:rFonts w:eastAsia="Times New Roman"/>
                <w:sz w:val="16"/>
                <w:szCs w:val="16"/>
              </w:rPr>
            </w:pPr>
            <w:r>
              <w:rPr>
                <w:rFonts w:eastAsia="Times New Roman"/>
                <w:sz w:val="16"/>
                <w:szCs w:val="16"/>
              </w:rPr>
              <w:t>126,327</w:t>
            </w:r>
          </w:p>
        </w:tc>
        <w:tc>
          <w:tcPr>
            <w:tcW w:w="300" w:type="pct"/>
            <w:shd w:val="clear" w:color="auto" w:fill="FFFFFF"/>
            <w:vAlign w:val="bottom"/>
            <w:hideMark/>
          </w:tcPr>
          <w:p w14:paraId="5D03FDE0" w14:textId="77777777" w:rsidR="00000000" w:rsidRDefault="0053651E">
            <w:pPr>
              <w:jc w:val="right"/>
              <w:rPr>
                <w:rFonts w:eastAsia="Times New Roman"/>
                <w:sz w:val="16"/>
                <w:szCs w:val="16"/>
              </w:rPr>
            </w:pPr>
            <w:r>
              <w:rPr>
                <w:rFonts w:eastAsia="Times New Roman"/>
                <w:sz w:val="16"/>
                <w:szCs w:val="16"/>
              </w:rPr>
              <w:t>3,813,247</w:t>
            </w:r>
          </w:p>
        </w:tc>
        <w:tc>
          <w:tcPr>
            <w:tcW w:w="450" w:type="pct"/>
            <w:shd w:val="clear" w:color="auto" w:fill="FFFFFF"/>
            <w:vAlign w:val="bottom"/>
            <w:hideMark/>
          </w:tcPr>
          <w:p w14:paraId="7D2F6D04" w14:textId="77777777" w:rsidR="00000000" w:rsidRDefault="0053651E">
            <w:pPr>
              <w:jc w:val="right"/>
              <w:rPr>
                <w:rFonts w:eastAsia="Times New Roman"/>
                <w:sz w:val="16"/>
                <w:szCs w:val="16"/>
              </w:rPr>
            </w:pPr>
            <w:r>
              <w:rPr>
                <w:rFonts w:eastAsia="Times New Roman"/>
                <w:sz w:val="16"/>
                <w:szCs w:val="16"/>
              </w:rPr>
              <w:t>18,315,777</w:t>
            </w:r>
          </w:p>
        </w:tc>
        <w:tc>
          <w:tcPr>
            <w:tcW w:w="350" w:type="pct"/>
            <w:shd w:val="clear" w:color="auto" w:fill="FFFFFF"/>
            <w:vAlign w:val="bottom"/>
            <w:hideMark/>
          </w:tcPr>
          <w:p w14:paraId="1F761FDA" w14:textId="77777777" w:rsidR="00000000" w:rsidRDefault="0053651E">
            <w:pPr>
              <w:jc w:val="right"/>
              <w:rPr>
                <w:rFonts w:eastAsia="Times New Roman"/>
                <w:sz w:val="16"/>
                <w:szCs w:val="16"/>
              </w:rPr>
            </w:pPr>
            <w:r>
              <w:rPr>
                <w:rFonts w:eastAsia="Times New Roman"/>
                <w:sz w:val="16"/>
                <w:szCs w:val="16"/>
              </w:rPr>
              <w:t>22,129,024</w:t>
            </w:r>
          </w:p>
        </w:tc>
        <w:tc>
          <w:tcPr>
            <w:tcW w:w="400" w:type="pct"/>
            <w:shd w:val="clear" w:color="auto" w:fill="FFFFFF"/>
            <w:vAlign w:val="bottom"/>
            <w:hideMark/>
          </w:tcPr>
          <w:p w14:paraId="11B0A92B" w14:textId="77777777" w:rsidR="00000000" w:rsidRDefault="0053651E">
            <w:pPr>
              <w:jc w:val="right"/>
              <w:rPr>
                <w:rFonts w:eastAsia="Times New Roman"/>
                <w:sz w:val="16"/>
                <w:szCs w:val="16"/>
              </w:rPr>
            </w:pPr>
            <w:r>
              <w:rPr>
                <w:rFonts w:eastAsia="Times New Roman"/>
                <w:sz w:val="16"/>
                <w:szCs w:val="16"/>
              </w:rPr>
              <w:t>2,500,336</w:t>
            </w:r>
          </w:p>
        </w:tc>
        <w:tc>
          <w:tcPr>
            <w:tcW w:w="50" w:type="pct"/>
            <w:shd w:val="clear" w:color="auto" w:fill="FFFFFF"/>
            <w:vAlign w:val="bottom"/>
            <w:hideMark/>
          </w:tcPr>
          <w:p w14:paraId="4156883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FB4D5FD" w14:textId="77777777" w:rsidR="00000000" w:rsidRDefault="0053651E">
            <w:pPr>
              <w:jc w:val="right"/>
              <w:rPr>
                <w:rFonts w:eastAsia="Times New Roman"/>
                <w:sz w:val="16"/>
                <w:szCs w:val="16"/>
              </w:rPr>
            </w:pPr>
            <w:r>
              <w:rPr>
                <w:rFonts w:eastAsia="Times New Roman"/>
                <w:sz w:val="16"/>
                <w:szCs w:val="16"/>
              </w:rPr>
              <w:t>19,628,688</w:t>
            </w:r>
          </w:p>
        </w:tc>
        <w:tc>
          <w:tcPr>
            <w:tcW w:w="50" w:type="pct"/>
            <w:shd w:val="clear" w:color="auto" w:fill="FFFFFF"/>
            <w:vAlign w:val="bottom"/>
            <w:hideMark/>
          </w:tcPr>
          <w:p w14:paraId="4782183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4E8A10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B7613E2"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04D1B338" w14:textId="77777777">
        <w:trPr>
          <w:tblCellSpacing w:w="0" w:type="dxa"/>
        </w:trPr>
        <w:tc>
          <w:tcPr>
            <w:tcW w:w="50" w:type="pct"/>
            <w:shd w:val="clear" w:color="auto" w:fill="CCEEFF"/>
            <w:vAlign w:val="bottom"/>
            <w:hideMark/>
          </w:tcPr>
          <w:p w14:paraId="037110D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39F5562" w14:textId="77777777" w:rsidR="00000000" w:rsidRDefault="0053651E">
            <w:pPr>
              <w:pStyle w:val="a3"/>
              <w:spacing w:before="0" w:beforeAutospacing="0" w:after="0" w:afterAutospacing="0"/>
              <w:rPr>
                <w:sz w:val="16"/>
                <w:szCs w:val="16"/>
              </w:rPr>
            </w:pPr>
            <w:r>
              <w:rPr>
                <w:sz w:val="16"/>
                <w:szCs w:val="16"/>
              </w:rPr>
              <w:t>HOLIDAY CENTER</w:t>
            </w:r>
          </w:p>
        </w:tc>
        <w:tc>
          <w:tcPr>
            <w:tcW w:w="150" w:type="pct"/>
            <w:shd w:val="clear" w:color="auto" w:fill="CCEEFF"/>
            <w:vAlign w:val="bottom"/>
            <w:hideMark/>
          </w:tcPr>
          <w:p w14:paraId="329B4534"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09BAA300" w14:textId="77777777" w:rsidR="00000000" w:rsidRDefault="0053651E">
            <w:pPr>
              <w:jc w:val="right"/>
              <w:rPr>
                <w:rFonts w:eastAsia="Times New Roman"/>
                <w:sz w:val="16"/>
                <w:szCs w:val="16"/>
              </w:rPr>
            </w:pPr>
            <w:r>
              <w:rPr>
                <w:rFonts w:eastAsia="Times New Roman"/>
                <w:sz w:val="16"/>
                <w:szCs w:val="16"/>
              </w:rPr>
              <w:t>7,726,844</w:t>
            </w:r>
          </w:p>
        </w:tc>
        <w:tc>
          <w:tcPr>
            <w:tcW w:w="550" w:type="pct"/>
            <w:shd w:val="clear" w:color="auto" w:fill="CCEEFF"/>
            <w:vAlign w:val="bottom"/>
            <w:hideMark/>
          </w:tcPr>
          <w:p w14:paraId="580BF8F0" w14:textId="77777777" w:rsidR="00000000" w:rsidRDefault="0053651E">
            <w:pPr>
              <w:jc w:val="right"/>
              <w:rPr>
                <w:rFonts w:eastAsia="Times New Roman"/>
                <w:sz w:val="16"/>
                <w:szCs w:val="16"/>
              </w:rPr>
            </w:pPr>
            <w:r>
              <w:rPr>
                <w:rFonts w:eastAsia="Times New Roman"/>
                <w:sz w:val="16"/>
                <w:szCs w:val="16"/>
              </w:rPr>
              <w:t>20,014,243</w:t>
            </w:r>
          </w:p>
        </w:tc>
        <w:tc>
          <w:tcPr>
            <w:tcW w:w="350" w:type="pct"/>
            <w:shd w:val="clear" w:color="auto" w:fill="CCEEFF"/>
            <w:vAlign w:val="bottom"/>
            <w:hideMark/>
          </w:tcPr>
          <w:p w14:paraId="5E59E308" w14:textId="77777777" w:rsidR="00000000" w:rsidRDefault="0053651E">
            <w:pPr>
              <w:jc w:val="right"/>
              <w:rPr>
                <w:rFonts w:eastAsia="Times New Roman"/>
                <w:sz w:val="16"/>
                <w:szCs w:val="16"/>
              </w:rPr>
            </w:pPr>
            <w:r>
              <w:rPr>
                <w:rFonts w:eastAsia="Times New Roman"/>
                <w:sz w:val="16"/>
                <w:szCs w:val="16"/>
              </w:rPr>
              <w:t>(5,290,608)</w:t>
            </w:r>
          </w:p>
        </w:tc>
        <w:tc>
          <w:tcPr>
            <w:tcW w:w="300" w:type="pct"/>
            <w:shd w:val="clear" w:color="auto" w:fill="CCEEFF"/>
            <w:vAlign w:val="bottom"/>
            <w:hideMark/>
          </w:tcPr>
          <w:p w14:paraId="39678D90" w14:textId="77777777" w:rsidR="00000000" w:rsidRDefault="0053651E">
            <w:pPr>
              <w:jc w:val="right"/>
              <w:rPr>
                <w:rFonts w:eastAsia="Times New Roman"/>
                <w:sz w:val="16"/>
                <w:szCs w:val="16"/>
              </w:rPr>
            </w:pPr>
            <w:r>
              <w:rPr>
                <w:rFonts w:eastAsia="Times New Roman"/>
                <w:sz w:val="16"/>
                <w:szCs w:val="16"/>
              </w:rPr>
              <w:t>6,098,316</w:t>
            </w:r>
          </w:p>
        </w:tc>
        <w:tc>
          <w:tcPr>
            <w:tcW w:w="450" w:type="pct"/>
            <w:shd w:val="clear" w:color="auto" w:fill="CCEEFF"/>
            <w:vAlign w:val="bottom"/>
            <w:hideMark/>
          </w:tcPr>
          <w:p w14:paraId="54AE971E" w14:textId="77777777" w:rsidR="00000000" w:rsidRDefault="0053651E">
            <w:pPr>
              <w:jc w:val="right"/>
              <w:rPr>
                <w:rFonts w:eastAsia="Times New Roman"/>
                <w:sz w:val="16"/>
                <w:szCs w:val="16"/>
              </w:rPr>
            </w:pPr>
            <w:r>
              <w:rPr>
                <w:rFonts w:eastAsia="Times New Roman"/>
                <w:sz w:val="16"/>
                <w:szCs w:val="16"/>
              </w:rPr>
              <w:t>16,352,163</w:t>
            </w:r>
          </w:p>
        </w:tc>
        <w:tc>
          <w:tcPr>
            <w:tcW w:w="350" w:type="pct"/>
            <w:shd w:val="clear" w:color="auto" w:fill="CCEEFF"/>
            <w:vAlign w:val="bottom"/>
            <w:hideMark/>
          </w:tcPr>
          <w:p w14:paraId="48E83084" w14:textId="77777777" w:rsidR="00000000" w:rsidRDefault="0053651E">
            <w:pPr>
              <w:jc w:val="right"/>
              <w:rPr>
                <w:rFonts w:eastAsia="Times New Roman"/>
                <w:sz w:val="16"/>
                <w:szCs w:val="16"/>
              </w:rPr>
            </w:pPr>
            <w:r>
              <w:rPr>
                <w:rFonts w:eastAsia="Times New Roman"/>
                <w:sz w:val="16"/>
                <w:szCs w:val="16"/>
              </w:rPr>
              <w:t>22,450,479</w:t>
            </w:r>
          </w:p>
        </w:tc>
        <w:tc>
          <w:tcPr>
            <w:tcW w:w="400" w:type="pct"/>
            <w:shd w:val="clear" w:color="auto" w:fill="CCEEFF"/>
            <w:vAlign w:val="bottom"/>
            <w:hideMark/>
          </w:tcPr>
          <w:p w14:paraId="0E9A10E5" w14:textId="77777777" w:rsidR="00000000" w:rsidRDefault="0053651E">
            <w:pPr>
              <w:jc w:val="right"/>
              <w:rPr>
                <w:rFonts w:eastAsia="Times New Roman"/>
                <w:sz w:val="16"/>
                <w:szCs w:val="16"/>
              </w:rPr>
            </w:pPr>
            <w:r>
              <w:rPr>
                <w:rFonts w:eastAsia="Times New Roman"/>
                <w:sz w:val="16"/>
                <w:szCs w:val="16"/>
              </w:rPr>
              <w:t>4,358,348</w:t>
            </w:r>
          </w:p>
        </w:tc>
        <w:tc>
          <w:tcPr>
            <w:tcW w:w="50" w:type="pct"/>
            <w:shd w:val="clear" w:color="auto" w:fill="CCEEFF"/>
            <w:vAlign w:val="bottom"/>
            <w:hideMark/>
          </w:tcPr>
          <w:p w14:paraId="4786EBF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E176D93" w14:textId="77777777" w:rsidR="00000000" w:rsidRDefault="0053651E">
            <w:pPr>
              <w:jc w:val="right"/>
              <w:rPr>
                <w:rFonts w:eastAsia="Times New Roman"/>
                <w:sz w:val="16"/>
                <w:szCs w:val="16"/>
              </w:rPr>
            </w:pPr>
            <w:r>
              <w:rPr>
                <w:rFonts w:eastAsia="Times New Roman"/>
                <w:sz w:val="16"/>
                <w:szCs w:val="16"/>
              </w:rPr>
              <w:t>18,092,131</w:t>
            </w:r>
          </w:p>
        </w:tc>
        <w:tc>
          <w:tcPr>
            <w:tcW w:w="50" w:type="pct"/>
            <w:shd w:val="clear" w:color="auto" w:fill="CCEEFF"/>
            <w:vAlign w:val="bottom"/>
            <w:hideMark/>
          </w:tcPr>
          <w:p w14:paraId="03D36A2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09B6A0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53E5F10"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21DDE61" w14:textId="77777777">
        <w:trPr>
          <w:tblCellSpacing w:w="0" w:type="dxa"/>
        </w:trPr>
        <w:tc>
          <w:tcPr>
            <w:tcW w:w="50" w:type="pct"/>
            <w:shd w:val="clear" w:color="auto" w:fill="FFFFFF"/>
            <w:vAlign w:val="bottom"/>
            <w:hideMark/>
          </w:tcPr>
          <w:p w14:paraId="7BD52CF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C2B7785" w14:textId="77777777" w:rsidR="00000000" w:rsidRDefault="0053651E">
            <w:pPr>
              <w:pStyle w:val="a3"/>
              <w:spacing w:before="0" w:beforeAutospacing="0" w:after="0" w:afterAutospacing="0"/>
              <w:rPr>
                <w:sz w:val="16"/>
                <w:szCs w:val="16"/>
              </w:rPr>
            </w:pPr>
            <w:r>
              <w:rPr>
                <w:sz w:val="16"/>
                <w:szCs w:val="16"/>
              </w:rPr>
              <w:t>NORRITON SQUARE</w:t>
            </w:r>
          </w:p>
        </w:tc>
        <w:tc>
          <w:tcPr>
            <w:tcW w:w="150" w:type="pct"/>
            <w:shd w:val="clear" w:color="auto" w:fill="FFFFFF"/>
            <w:vAlign w:val="bottom"/>
            <w:hideMark/>
          </w:tcPr>
          <w:p w14:paraId="6A94F72A"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6FDAFBE5" w14:textId="77777777" w:rsidR="00000000" w:rsidRDefault="0053651E">
            <w:pPr>
              <w:jc w:val="right"/>
              <w:rPr>
                <w:rFonts w:eastAsia="Times New Roman"/>
                <w:sz w:val="16"/>
                <w:szCs w:val="16"/>
              </w:rPr>
            </w:pPr>
            <w:r>
              <w:rPr>
                <w:rFonts w:eastAsia="Times New Roman"/>
                <w:sz w:val="16"/>
                <w:szCs w:val="16"/>
              </w:rPr>
              <w:t>686,134</w:t>
            </w:r>
          </w:p>
        </w:tc>
        <w:tc>
          <w:tcPr>
            <w:tcW w:w="550" w:type="pct"/>
            <w:shd w:val="clear" w:color="auto" w:fill="FFFFFF"/>
            <w:vAlign w:val="bottom"/>
            <w:hideMark/>
          </w:tcPr>
          <w:p w14:paraId="3EFE60C6" w14:textId="77777777" w:rsidR="00000000" w:rsidRDefault="0053651E">
            <w:pPr>
              <w:jc w:val="right"/>
              <w:rPr>
                <w:rFonts w:eastAsia="Times New Roman"/>
                <w:sz w:val="16"/>
                <w:szCs w:val="16"/>
              </w:rPr>
            </w:pPr>
            <w:r>
              <w:rPr>
                <w:rFonts w:eastAsia="Times New Roman"/>
                <w:sz w:val="16"/>
                <w:szCs w:val="16"/>
              </w:rPr>
              <w:t>2,664,535</w:t>
            </w:r>
          </w:p>
        </w:tc>
        <w:tc>
          <w:tcPr>
            <w:tcW w:w="350" w:type="pct"/>
            <w:shd w:val="clear" w:color="auto" w:fill="FFFFFF"/>
            <w:vAlign w:val="bottom"/>
            <w:hideMark/>
          </w:tcPr>
          <w:p w14:paraId="3FD36B04" w14:textId="77777777" w:rsidR="00000000" w:rsidRDefault="0053651E">
            <w:pPr>
              <w:jc w:val="right"/>
              <w:rPr>
                <w:rFonts w:eastAsia="Times New Roman"/>
                <w:sz w:val="16"/>
                <w:szCs w:val="16"/>
              </w:rPr>
            </w:pPr>
            <w:r>
              <w:rPr>
                <w:rFonts w:eastAsia="Times New Roman"/>
                <w:sz w:val="16"/>
                <w:szCs w:val="16"/>
              </w:rPr>
              <w:t>4,296,277</w:t>
            </w:r>
          </w:p>
        </w:tc>
        <w:tc>
          <w:tcPr>
            <w:tcW w:w="300" w:type="pct"/>
            <w:shd w:val="clear" w:color="auto" w:fill="FFFFFF"/>
            <w:vAlign w:val="bottom"/>
            <w:hideMark/>
          </w:tcPr>
          <w:p w14:paraId="2CBD3F30" w14:textId="77777777" w:rsidR="00000000" w:rsidRDefault="0053651E">
            <w:pPr>
              <w:jc w:val="right"/>
              <w:rPr>
                <w:rFonts w:eastAsia="Times New Roman"/>
                <w:sz w:val="16"/>
                <w:szCs w:val="16"/>
              </w:rPr>
            </w:pPr>
            <w:r>
              <w:rPr>
                <w:rFonts w:eastAsia="Times New Roman"/>
                <w:sz w:val="16"/>
                <w:szCs w:val="16"/>
              </w:rPr>
              <w:t>774,084</w:t>
            </w:r>
          </w:p>
        </w:tc>
        <w:tc>
          <w:tcPr>
            <w:tcW w:w="450" w:type="pct"/>
            <w:shd w:val="clear" w:color="auto" w:fill="FFFFFF"/>
            <w:vAlign w:val="bottom"/>
            <w:hideMark/>
          </w:tcPr>
          <w:p w14:paraId="732DD9E5" w14:textId="77777777" w:rsidR="00000000" w:rsidRDefault="0053651E">
            <w:pPr>
              <w:jc w:val="right"/>
              <w:rPr>
                <w:rFonts w:eastAsia="Times New Roman"/>
                <w:sz w:val="16"/>
                <w:szCs w:val="16"/>
              </w:rPr>
            </w:pPr>
            <w:r>
              <w:rPr>
                <w:rFonts w:eastAsia="Times New Roman"/>
                <w:sz w:val="16"/>
                <w:szCs w:val="16"/>
              </w:rPr>
              <w:t>6,872,862</w:t>
            </w:r>
          </w:p>
        </w:tc>
        <w:tc>
          <w:tcPr>
            <w:tcW w:w="350" w:type="pct"/>
            <w:shd w:val="clear" w:color="auto" w:fill="FFFFFF"/>
            <w:vAlign w:val="bottom"/>
            <w:hideMark/>
          </w:tcPr>
          <w:p w14:paraId="410D0EA4" w14:textId="77777777" w:rsidR="00000000" w:rsidRDefault="0053651E">
            <w:pPr>
              <w:jc w:val="right"/>
              <w:rPr>
                <w:rFonts w:eastAsia="Times New Roman"/>
                <w:sz w:val="16"/>
                <w:szCs w:val="16"/>
              </w:rPr>
            </w:pPr>
            <w:r>
              <w:rPr>
                <w:rFonts w:eastAsia="Times New Roman"/>
                <w:sz w:val="16"/>
                <w:szCs w:val="16"/>
              </w:rPr>
              <w:t>7,646,946</w:t>
            </w:r>
          </w:p>
        </w:tc>
        <w:tc>
          <w:tcPr>
            <w:tcW w:w="400" w:type="pct"/>
            <w:shd w:val="clear" w:color="auto" w:fill="FFFFFF"/>
            <w:vAlign w:val="bottom"/>
            <w:hideMark/>
          </w:tcPr>
          <w:p w14:paraId="2CF78B83" w14:textId="77777777" w:rsidR="00000000" w:rsidRDefault="0053651E">
            <w:pPr>
              <w:jc w:val="right"/>
              <w:rPr>
                <w:rFonts w:eastAsia="Times New Roman"/>
                <w:sz w:val="16"/>
                <w:szCs w:val="16"/>
              </w:rPr>
            </w:pPr>
            <w:r>
              <w:rPr>
                <w:rFonts w:eastAsia="Times New Roman"/>
                <w:sz w:val="16"/>
                <w:szCs w:val="16"/>
              </w:rPr>
              <w:t>5,106,872</w:t>
            </w:r>
          </w:p>
        </w:tc>
        <w:tc>
          <w:tcPr>
            <w:tcW w:w="50" w:type="pct"/>
            <w:shd w:val="clear" w:color="auto" w:fill="FFFFFF"/>
            <w:vAlign w:val="bottom"/>
            <w:hideMark/>
          </w:tcPr>
          <w:p w14:paraId="2FAFE39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9BA6715" w14:textId="77777777" w:rsidR="00000000" w:rsidRDefault="0053651E">
            <w:pPr>
              <w:jc w:val="right"/>
              <w:rPr>
                <w:rFonts w:eastAsia="Times New Roman"/>
                <w:sz w:val="16"/>
                <w:szCs w:val="16"/>
              </w:rPr>
            </w:pPr>
            <w:r>
              <w:rPr>
                <w:rFonts w:eastAsia="Times New Roman"/>
                <w:sz w:val="16"/>
                <w:szCs w:val="16"/>
              </w:rPr>
              <w:t>2,540,074</w:t>
            </w:r>
          </w:p>
        </w:tc>
        <w:tc>
          <w:tcPr>
            <w:tcW w:w="50" w:type="pct"/>
            <w:shd w:val="clear" w:color="auto" w:fill="FFFFFF"/>
            <w:vAlign w:val="bottom"/>
            <w:hideMark/>
          </w:tcPr>
          <w:p w14:paraId="4F113A9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30181E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BE16CF5" w14:textId="77777777" w:rsidR="00000000" w:rsidRDefault="0053651E">
            <w:pPr>
              <w:pStyle w:val="a3"/>
              <w:spacing w:before="0" w:beforeAutospacing="0" w:after="0" w:afterAutospacing="0"/>
              <w:jc w:val="center"/>
              <w:rPr>
                <w:sz w:val="16"/>
                <w:szCs w:val="16"/>
              </w:rPr>
            </w:pPr>
            <w:r>
              <w:rPr>
                <w:rStyle w:val="a6"/>
                <w:i w:val="0"/>
                <w:iCs w:val="0"/>
                <w:sz w:val="16"/>
                <w:szCs w:val="16"/>
              </w:rPr>
              <w:t>1984(A)</w:t>
            </w:r>
          </w:p>
        </w:tc>
      </w:tr>
      <w:tr w:rsidR="00000000" w14:paraId="44923647" w14:textId="77777777">
        <w:trPr>
          <w:tblCellSpacing w:w="0" w:type="dxa"/>
        </w:trPr>
        <w:tc>
          <w:tcPr>
            <w:tcW w:w="50" w:type="pct"/>
            <w:shd w:val="clear" w:color="auto" w:fill="CCEEFF"/>
            <w:vAlign w:val="bottom"/>
            <w:hideMark/>
          </w:tcPr>
          <w:p w14:paraId="6EE8EDE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8FAA4E1" w14:textId="77777777" w:rsidR="00000000" w:rsidRDefault="0053651E">
            <w:pPr>
              <w:pStyle w:val="a3"/>
              <w:spacing w:before="0" w:beforeAutospacing="0" w:after="0" w:afterAutospacing="0"/>
              <w:rPr>
                <w:sz w:val="16"/>
                <w:szCs w:val="16"/>
              </w:rPr>
            </w:pPr>
            <w:r>
              <w:rPr>
                <w:sz w:val="16"/>
                <w:szCs w:val="16"/>
              </w:rPr>
              <w:t>FRANKFORD AVENUE S.C.</w:t>
            </w:r>
          </w:p>
        </w:tc>
        <w:tc>
          <w:tcPr>
            <w:tcW w:w="150" w:type="pct"/>
            <w:shd w:val="clear" w:color="auto" w:fill="CCEEFF"/>
            <w:vAlign w:val="bottom"/>
            <w:hideMark/>
          </w:tcPr>
          <w:p w14:paraId="42944B57"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4E1B2F55" w14:textId="77777777" w:rsidR="00000000" w:rsidRDefault="0053651E">
            <w:pPr>
              <w:jc w:val="right"/>
              <w:rPr>
                <w:rFonts w:eastAsia="Times New Roman"/>
                <w:sz w:val="16"/>
                <w:szCs w:val="16"/>
              </w:rPr>
            </w:pPr>
            <w:r>
              <w:rPr>
                <w:rFonts w:eastAsia="Times New Roman"/>
                <w:sz w:val="16"/>
                <w:szCs w:val="16"/>
              </w:rPr>
              <w:t>731,888</w:t>
            </w:r>
          </w:p>
        </w:tc>
        <w:tc>
          <w:tcPr>
            <w:tcW w:w="550" w:type="pct"/>
            <w:shd w:val="clear" w:color="auto" w:fill="CCEEFF"/>
            <w:vAlign w:val="bottom"/>
            <w:hideMark/>
          </w:tcPr>
          <w:p w14:paraId="03F3AAD9"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CCEEFF"/>
            <w:vAlign w:val="bottom"/>
            <w:hideMark/>
          </w:tcPr>
          <w:p w14:paraId="35EDE794"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CCEEFF"/>
            <w:vAlign w:val="bottom"/>
            <w:hideMark/>
          </w:tcPr>
          <w:p w14:paraId="02D9DAB5" w14:textId="77777777" w:rsidR="00000000" w:rsidRDefault="0053651E">
            <w:pPr>
              <w:jc w:val="right"/>
              <w:rPr>
                <w:rFonts w:eastAsia="Times New Roman"/>
                <w:sz w:val="16"/>
                <w:szCs w:val="16"/>
              </w:rPr>
            </w:pPr>
            <w:r>
              <w:rPr>
                <w:rFonts w:eastAsia="Times New Roman"/>
                <w:sz w:val="16"/>
                <w:szCs w:val="16"/>
              </w:rPr>
              <w:t>731,888</w:t>
            </w:r>
          </w:p>
        </w:tc>
        <w:tc>
          <w:tcPr>
            <w:tcW w:w="450" w:type="pct"/>
            <w:shd w:val="clear" w:color="auto" w:fill="CCEEFF"/>
            <w:vAlign w:val="bottom"/>
            <w:hideMark/>
          </w:tcPr>
          <w:p w14:paraId="7AA7FF3B" w14:textId="77777777" w:rsidR="00000000" w:rsidRDefault="0053651E">
            <w:pPr>
              <w:jc w:val="right"/>
              <w:rPr>
                <w:rFonts w:eastAsia="Times New Roman"/>
                <w:sz w:val="16"/>
                <w:szCs w:val="16"/>
              </w:rPr>
            </w:pPr>
            <w:r>
              <w:rPr>
                <w:rFonts w:eastAsia="Times New Roman"/>
                <w:sz w:val="16"/>
                <w:szCs w:val="16"/>
              </w:rPr>
              <w:t>2,927,551</w:t>
            </w:r>
          </w:p>
        </w:tc>
        <w:tc>
          <w:tcPr>
            <w:tcW w:w="350" w:type="pct"/>
            <w:shd w:val="clear" w:color="auto" w:fill="CCEEFF"/>
            <w:vAlign w:val="bottom"/>
            <w:hideMark/>
          </w:tcPr>
          <w:p w14:paraId="19F78475" w14:textId="77777777" w:rsidR="00000000" w:rsidRDefault="0053651E">
            <w:pPr>
              <w:jc w:val="right"/>
              <w:rPr>
                <w:rFonts w:eastAsia="Times New Roman"/>
                <w:sz w:val="16"/>
                <w:szCs w:val="16"/>
              </w:rPr>
            </w:pPr>
            <w:r>
              <w:rPr>
                <w:rFonts w:eastAsia="Times New Roman"/>
                <w:sz w:val="16"/>
                <w:szCs w:val="16"/>
              </w:rPr>
              <w:t>3,659,439</w:t>
            </w:r>
          </w:p>
        </w:tc>
        <w:tc>
          <w:tcPr>
            <w:tcW w:w="400" w:type="pct"/>
            <w:shd w:val="clear" w:color="auto" w:fill="CCEEFF"/>
            <w:vAlign w:val="bottom"/>
            <w:hideMark/>
          </w:tcPr>
          <w:p w14:paraId="47A13706" w14:textId="77777777" w:rsidR="00000000" w:rsidRDefault="0053651E">
            <w:pPr>
              <w:jc w:val="right"/>
              <w:rPr>
                <w:rFonts w:eastAsia="Times New Roman"/>
                <w:sz w:val="16"/>
                <w:szCs w:val="16"/>
              </w:rPr>
            </w:pPr>
            <w:r>
              <w:rPr>
                <w:rFonts w:eastAsia="Times New Roman"/>
                <w:sz w:val="16"/>
                <w:szCs w:val="16"/>
              </w:rPr>
              <w:t>1,751,527</w:t>
            </w:r>
          </w:p>
        </w:tc>
        <w:tc>
          <w:tcPr>
            <w:tcW w:w="50" w:type="pct"/>
            <w:shd w:val="clear" w:color="auto" w:fill="CCEEFF"/>
            <w:vAlign w:val="bottom"/>
            <w:hideMark/>
          </w:tcPr>
          <w:p w14:paraId="0EC8B5B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4EF69AC" w14:textId="77777777" w:rsidR="00000000" w:rsidRDefault="0053651E">
            <w:pPr>
              <w:jc w:val="right"/>
              <w:rPr>
                <w:rFonts w:eastAsia="Times New Roman"/>
                <w:sz w:val="16"/>
                <w:szCs w:val="16"/>
              </w:rPr>
            </w:pPr>
            <w:r>
              <w:rPr>
                <w:rFonts w:eastAsia="Times New Roman"/>
                <w:sz w:val="16"/>
                <w:szCs w:val="16"/>
              </w:rPr>
              <w:t>1,907,912</w:t>
            </w:r>
          </w:p>
        </w:tc>
        <w:tc>
          <w:tcPr>
            <w:tcW w:w="50" w:type="pct"/>
            <w:shd w:val="clear" w:color="auto" w:fill="CCEEFF"/>
            <w:vAlign w:val="bottom"/>
            <w:hideMark/>
          </w:tcPr>
          <w:p w14:paraId="2FB5B69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9298C4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9F84594"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6194ED0B" w14:textId="77777777">
        <w:trPr>
          <w:tblCellSpacing w:w="0" w:type="dxa"/>
        </w:trPr>
        <w:tc>
          <w:tcPr>
            <w:tcW w:w="50" w:type="pct"/>
            <w:shd w:val="clear" w:color="auto" w:fill="FFFFFF"/>
            <w:vAlign w:val="bottom"/>
            <w:hideMark/>
          </w:tcPr>
          <w:p w14:paraId="383910D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047FA27" w14:textId="77777777" w:rsidR="00000000" w:rsidRDefault="0053651E">
            <w:pPr>
              <w:pStyle w:val="a3"/>
              <w:spacing w:before="0" w:beforeAutospacing="0" w:after="0" w:afterAutospacing="0"/>
              <w:rPr>
                <w:sz w:val="16"/>
                <w:szCs w:val="16"/>
              </w:rPr>
            </w:pPr>
            <w:r>
              <w:rPr>
                <w:sz w:val="16"/>
                <w:szCs w:val="16"/>
              </w:rPr>
              <w:t>WEXFORD PLAZA</w:t>
            </w:r>
          </w:p>
        </w:tc>
        <w:tc>
          <w:tcPr>
            <w:tcW w:w="150" w:type="pct"/>
            <w:shd w:val="clear" w:color="auto" w:fill="FFFFFF"/>
            <w:vAlign w:val="bottom"/>
            <w:hideMark/>
          </w:tcPr>
          <w:p w14:paraId="645448D0"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107A3892" w14:textId="77777777" w:rsidR="00000000" w:rsidRDefault="0053651E">
            <w:pPr>
              <w:jc w:val="right"/>
              <w:rPr>
                <w:rFonts w:eastAsia="Times New Roman"/>
                <w:sz w:val="16"/>
                <w:szCs w:val="16"/>
              </w:rPr>
            </w:pPr>
            <w:r>
              <w:rPr>
                <w:rFonts w:eastAsia="Times New Roman"/>
                <w:sz w:val="16"/>
                <w:szCs w:val="16"/>
              </w:rPr>
              <w:t>6,413,635</w:t>
            </w:r>
          </w:p>
        </w:tc>
        <w:tc>
          <w:tcPr>
            <w:tcW w:w="550" w:type="pct"/>
            <w:shd w:val="clear" w:color="auto" w:fill="FFFFFF"/>
            <w:vAlign w:val="bottom"/>
            <w:hideMark/>
          </w:tcPr>
          <w:p w14:paraId="3BD8F535" w14:textId="77777777" w:rsidR="00000000" w:rsidRDefault="0053651E">
            <w:pPr>
              <w:jc w:val="right"/>
              <w:rPr>
                <w:rFonts w:eastAsia="Times New Roman"/>
                <w:sz w:val="16"/>
                <w:szCs w:val="16"/>
              </w:rPr>
            </w:pPr>
            <w:r>
              <w:rPr>
                <w:rFonts w:eastAsia="Times New Roman"/>
                <w:sz w:val="16"/>
                <w:szCs w:val="16"/>
              </w:rPr>
              <w:t>9,774,600</w:t>
            </w:r>
          </w:p>
        </w:tc>
        <w:tc>
          <w:tcPr>
            <w:tcW w:w="350" w:type="pct"/>
            <w:shd w:val="clear" w:color="auto" w:fill="FFFFFF"/>
            <w:vAlign w:val="bottom"/>
            <w:hideMark/>
          </w:tcPr>
          <w:p w14:paraId="0D43C6A0" w14:textId="77777777" w:rsidR="00000000" w:rsidRDefault="0053651E">
            <w:pPr>
              <w:jc w:val="right"/>
              <w:rPr>
                <w:rFonts w:eastAsia="Times New Roman"/>
                <w:sz w:val="16"/>
                <w:szCs w:val="16"/>
              </w:rPr>
            </w:pPr>
            <w:r>
              <w:rPr>
                <w:rFonts w:eastAsia="Times New Roman"/>
                <w:sz w:val="16"/>
                <w:szCs w:val="16"/>
              </w:rPr>
              <w:t>10,108,141</w:t>
            </w:r>
          </w:p>
        </w:tc>
        <w:tc>
          <w:tcPr>
            <w:tcW w:w="300" w:type="pct"/>
            <w:shd w:val="clear" w:color="auto" w:fill="FFFFFF"/>
            <w:vAlign w:val="bottom"/>
            <w:hideMark/>
          </w:tcPr>
          <w:p w14:paraId="7C27AFD4" w14:textId="77777777" w:rsidR="00000000" w:rsidRDefault="0053651E">
            <w:pPr>
              <w:jc w:val="right"/>
              <w:rPr>
                <w:rFonts w:eastAsia="Times New Roman"/>
                <w:sz w:val="16"/>
                <w:szCs w:val="16"/>
              </w:rPr>
            </w:pPr>
            <w:r>
              <w:rPr>
                <w:rFonts w:eastAsia="Times New Roman"/>
                <w:sz w:val="16"/>
                <w:szCs w:val="16"/>
              </w:rPr>
              <w:t>6,299,299</w:t>
            </w:r>
          </w:p>
        </w:tc>
        <w:tc>
          <w:tcPr>
            <w:tcW w:w="450" w:type="pct"/>
            <w:shd w:val="clear" w:color="auto" w:fill="FFFFFF"/>
            <w:vAlign w:val="bottom"/>
            <w:hideMark/>
          </w:tcPr>
          <w:p w14:paraId="199151B4" w14:textId="77777777" w:rsidR="00000000" w:rsidRDefault="0053651E">
            <w:pPr>
              <w:jc w:val="right"/>
              <w:rPr>
                <w:rFonts w:eastAsia="Times New Roman"/>
                <w:sz w:val="16"/>
                <w:szCs w:val="16"/>
              </w:rPr>
            </w:pPr>
            <w:r>
              <w:rPr>
                <w:rFonts w:eastAsia="Times New Roman"/>
                <w:sz w:val="16"/>
                <w:szCs w:val="16"/>
              </w:rPr>
              <w:t>19,997,077</w:t>
            </w:r>
          </w:p>
        </w:tc>
        <w:tc>
          <w:tcPr>
            <w:tcW w:w="350" w:type="pct"/>
            <w:shd w:val="clear" w:color="auto" w:fill="FFFFFF"/>
            <w:vAlign w:val="bottom"/>
            <w:hideMark/>
          </w:tcPr>
          <w:p w14:paraId="76F81944" w14:textId="77777777" w:rsidR="00000000" w:rsidRDefault="0053651E">
            <w:pPr>
              <w:jc w:val="right"/>
              <w:rPr>
                <w:rFonts w:eastAsia="Times New Roman"/>
                <w:sz w:val="16"/>
                <w:szCs w:val="16"/>
              </w:rPr>
            </w:pPr>
            <w:r>
              <w:rPr>
                <w:rFonts w:eastAsia="Times New Roman"/>
                <w:sz w:val="16"/>
                <w:szCs w:val="16"/>
              </w:rPr>
              <w:t>26,296,376</w:t>
            </w:r>
          </w:p>
        </w:tc>
        <w:tc>
          <w:tcPr>
            <w:tcW w:w="400" w:type="pct"/>
            <w:shd w:val="clear" w:color="auto" w:fill="FFFFFF"/>
            <w:vAlign w:val="bottom"/>
            <w:hideMark/>
          </w:tcPr>
          <w:p w14:paraId="26EE2C5B" w14:textId="77777777" w:rsidR="00000000" w:rsidRDefault="0053651E">
            <w:pPr>
              <w:jc w:val="right"/>
              <w:rPr>
                <w:rFonts w:eastAsia="Times New Roman"/>
                <w:sz w:val="16"/>
                <w:szCs w:val="16"/>
              </w:rPr>
            </w:pPr>
            <w:r>
              <w:rPr>
                <w:rFonts w:eastAsia="Times New Roman"/>
                <w:sz w:val="16"/>
                <w:szCs w:val="16"/>
              </w:rPr>
              <w:t>5,145,680</w:t>
            </w:r>
          </w:p>
        </w:tc>
        <w:tc>
          <w:tcPr>
            <w:tcW w:w="50" w:type="pct"/>
            <w:shd w:val="clear" w:color="auto" w:fill="FFFFFF"/>
            <w:vAlign w:val="bottom"/>
            <w:hideMark/>
          </w:tcPr>
          <w:p w14:paraId="1A28733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CD86B0F" w14:textId="77777777" w:rsidR="00000000" w:rsidRDefault="0053651E">
            <w:pPr>
              <w:jc w:val="right"/>
              <w:rPr>
                <w:rFonts w:eastAsia="Times New Roman"/>
                <w:sz w:val="16"/>
                <w:szCs w:val="16"/>
              </w:rPr>
            </w:pPr>
            <w:r>
              <w:rPr>
                <w:rFonts w:eastAsia="Times New Roman"/>
                <w:sz w:val="16"/>
                <w:szCs w:val="16"/>
              </w:rPr>
              <w:t>21,150,696</w:t>
            </w:r>
          </w:p>
        </w:tc>
        <w:tc>
          <w:tcPr>
            <w:tcW w:w="50" w:type="pct"/>
            <w:shd w:val="clear" w:color="auto" w:fill="FFFFFF"/>
            <w:vAlign w:val="bottom"/>
            <w:hideMark/>
          </w:tcPr>
          <w:p w14:paraId="358FD7C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A5578A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C039C6D" w14:textId="77777777" w:rsidR="00000000" w:rsidRDefault="0053651E">
            <w:pPr>
              <w:pStyle w:val="a3"/>
              <w:spacing w:before="0" w:beforeAutospacing="0" w:after="0" w:afterAutospacing="0"/>
              <w:jc w:val="center"/>
              <w:rPr>
                <w:sz w:val="16"/>
                <w:szCs w:val="16"/>
              </w:rPr>
            </w:pPr>
            <w:r>
              <w:rPr>
                <w:rStyle w:val="a6"/>
                <w:i w:val="0"/>
                <w:iCs w:val="0"/>
                <w:sz w:val="16"/>
                <w:szCs w:val="16"/>
              </w:rPr>
              <w:t>2010(A)</w:t>
            </w:r>
          </w:p>
        </w:tc>
      </w:tr>
      <w:tr w:rsidR="00000000" w14:paraId="6A7DD314" w14:textId="77777777">
        <w:trPr>
          <w:tblCellSpacing w:w="0" w:type="dxa"/>
        </w:trPr>
        <w:tc>
          <w:tcPr>
            <w:tcW w:w="50" w:type="pct"/>
            <w:shd w:val="clear" w:color="auto" w:fill="CCEEFF"/>
            <w:vAlign w:val="bottom"/>
            <w:hideMark/>
          </w:tcPr>
          <w:p w14:paraId="2956AB1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CEF7BDB" w14:textId="77777777" w:rsidR="00000000" w:rsidRDefault="0053651E">
            <w:pPr>
              <w:pStyle w:val="a3"/>
              <w:spacing w:before="0" w:beforeAutospacing="0" w:after="0" w:afterAutospacing="0"/>
              <w:rPr>
                <w:sz w:val="16"/>
                <w:szCs w:val="16"/>
              </w:rPr>
            </w:pPr>
            <w:r>
              <w:rPr>
                <w:sz w:val="16"/>
                <w:szCs w:val="16"/>
              </w:rPr>
              <w:t>LINCOLN SQUARE</w:t>
            </w:r>
          </w:p>
        </w:tc>
        <w:tc>
          <w:tcPr>
            <w:tcW w:w="150" w:type="pct"/>
            <w:shd w:val="clear" w:color="auto" w:fill="CCEEFF"/>
            <w:vAlign w:val="bottom"/>
            <w:hideMark/>
          </w:tcPr>
          <w:p w14:paraId="0A6F7839"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7163D954" w14:textId="77777777" w:rsidR="00000000" w:rsidRDefault="0053651E">
            <w:pPr>
              <w:jc w:val="right"/>
              <w:rPr>
                <w:rFonts w:eastAsia="Times New Roman"/>
                <w:sz w:val="16"/>
                <w:szCs w:val="16"/>
              </w:rPr>
            </w:pPr>
            <w:r>
              <w:rPr>
                <w:rFonts w:eastAsia="Times New Roman"/>
                <w:sz w:val="16"/>
                <w:szCs w:val="16"/>
              </w:rPr>
              <w:t>90,478,522</w:t>
            </w:r>
          </w:p>
        </w:tc>
        <w:tc>
          <w:tcPr>
            <w:tcW w:w="550" w:type="pct"/>
            <w:shd w:val="clear" w:color="auto" w:fill="CCEEFF"/>
            <w:vAlign w:val="bottom"/>
            <w:hideMark/>
          </w:tcPr>
          <w:p w14:paraId="1E955551"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61F6CA2F" w14:textId="77777777" w:rsidR="00000000" w:rsidRDefault="0053651E">
            <w:pPr>
              <w:jc w:val="right"/>
              <w:rPr>
                <w:rFonts w:eastAsia="Times New Roman"/>
                <w:sz w:val="16"/>
                <w:szCs w:val="16"/>
              </w:rPr>
            </w:pPr>
            <w:r>
              <w:rPr>
                <w:rFonts w:eastAsia="Times New Roman"/>
                <w:sz w:val="16"/>
                <w:szCs w:val="16"/>
              </w:rPr>
              <w:t>74,525,900</w:t>
            </w:r>
          </w:p>
        </w:tc>
        <w:tc>
          <w:tcPr>
            <w:tcW w:w="300" w:type="pct"/>
            <w:shd w:val="clear" w:color="auto" w:fill="CCEEFF"/>
            <w:vAlign w:val="bottom"/>
            <w:hideMark/>
          </w:tcPr>
          <w:p w14:paraId="53B74B09" w14:textId="77777777" w:rsidR="00000000" w:rsidRDefault="0053651E">
            <w:pPr>
              <w:jc w:val="right"/>
              <w:rPr>
                <w:rFonts w:eastAsia="Times New Roman"/>
                <w:sz w:val="16"/>
                <w:szCs w:val="16"/>
              </w:rPr>
            </w:pPr>
            <w:r>
              <w:rPr>
                <w:rFonts w:eastAsia="Times New Roman"/>
                <w:sz w:val="16"/>
                <w:szCs w:val="16"/>
              </w:rPr>
              <w:t>10,532,804</w:t>
            </w:r>
          </w:p>
        </w:tc>
        <w:tc>
          <w:tcPr>
            <w:tcW w:w="450" w:type="pct"/>
            <w:shd w:val="clear" w:color="auto" w:fill="CCEEFF"/>
            <w:vAlign w:val="bottom"/>
            <w:hideMark/>
          </w:tcPr>
          <w:p w14:paraId="39C66991" w14:textId="77777777" w:rsidR="00000000" w:rsidRDefault="0053651E">
            <w:pPr>
              <w:jc w:val="right"/>
              <w:rPr>
                <w:rFonts w:eastAsia="Times New Roman"/>
                <w:sz w:val="16"/>
                <w:szCs w:val="16"/>
              </w:rPr>
            </w:pPr>
            <w:r>
              <w:rPr>
                <w:rFonts w:eastAsia="Times New Roman"/>
                <w:sz w:val="16"/>
                <w:szCs w:val="16"/>
              </w:rPr>
              <w:t>154,471,618</w:t>
            </w:r>
          </w:p>
        </w:tc>
        <w:tc>
          <w:tcPr>
            <w:tcW w:w="350" w:type="pct"/>
            <w:shd w:val="clear" w:color="auto" w:fill="CCEEFF"/>
            <w:vAlign w:val="bottom"/>
            <w:hideMark/>
          </w:tcPr>
          <w:p w14:paraId="0BCCBC97" w14:textId="77777777" w:rsidR="00000000" w:rsidRDefault="0053651E">
            <w:pPr>
              <w:jc w:val="right"/>
              <w:rPr>
                <w:rFonts w:eastAsia="Times New Roman"/>
                <w:sz w:val="16"/>
                <w:szCs w:val="16"/>
              </w:rPr>
            </w:pPr>
            <w:r>
              <w:rPr>
                <w:rFonts w:eastAsia="Times New Roman"/>
                <w:sz w:val="16"/>
                <w:szCs w:val="16"/>
              </w:rPr>
              <w:t>165,004,422</w:t>
            </w:r>
          </w:p>
        </w:tc>
        <w:tc>
          <w:tcPr>
            <w:tcW w:w="400" w:type="pct"/>
            <w:shd w:val="clear" w:color="auto" w:fill="CCEEFF"/>
            <w:vAlign w:val="bottom"/>
            <w:hideMark/>
          </w:tcPr>
          <w:p w14:paraId="486BA953" w14:textId="77777777" w:rsidR="00000000" w:rsidRDefault="0053651E">
            <w:pPr>
              <w:jc w:val="right"/>
              <w:rPr>
                <w:rFonts w:eastAsia="Times New Roman"/>
                <w:sz w:val="16"/>
                <w:szCs w:val="16"/>
              </w:rPr>
            </w:pPr>
            <w:r>
              <w:rPr>
                <w:rFonts w:eastAsia="Times New Roman"/>
                <w:sz w:val="16"/>
                <w:szCs w:val="16"/>
              </w:rPr>
              <w:t>3,316,224</w:t>
            </w:r>
          </w:p>
        </w:tc>
        <w:tc>
          <w:tcPr>
            <w:tcW w:w="50" w:type="pct"/>
            <w:shd w:val="clear" w:color="auto" w:fill="CCEEFF"/>
            <w:vAlign w:val="bottom"/>
            <w:hideMark/>
          </w:tcPr>
          <w:p w14:paraId="654B9F0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120D37E" w14:textId="77777777" w:rsidR="00000000" w:rsidRDefault="0053651E">
            <w:pPr>
              <w:jc w:val="right"/>
              <w:rPr>
                <w:rFonts w:eastAsia="Times New Roman"/>
                <w:sz w:val="16"/>
                <w:szCs w:val="16"/>
              </w:rPr>
            </w:pPr>
            <w:r>
              <w:rPr>
                <w:rFonts w:eastAsia="Times New Roman"/>
                <w:sz w:val="16"/>
                <w:szCs w:val="16"/>
              </w:rPr>
              <w:t>161,688,198</w:t>
            </w:r>
          </w:p>
        </w:tc>
        <w:tc>
          <w:tcPr>
            <w:tcW w:w="50" w:type="pct"/>
            <w:shd w:val="clear" w:color="auto" w:fill="CCEEFF"/>
            <w:vAlign w:val="bottom"/>
            <w:hideMark/>
          </w:tcPr>
          <w:p w14:paraId="035E5D9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6395B5F"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1732C77" w14:textId="77777777" w:rsidR="00000000" w:rsidRDefault="0053651E">
            <w:pPr>
              <w:pStyle w:val="a3"/>
              <w:spacing w:before="0" w:beforeAutospacing="0" w:after="0" w:afterAutospacing="0"/>
              <w:jc w:val="center"/>
              <w:rPr>
                <w:sz w:val="16"/>
                <w:szCs w:val="16"/>
              </w:rPr>
            </w:pPr>
            <w:r>
              <w:rPr>
                <w:rStyle w:val="a6"/>
                <w:i w:val="0"/>
                <w:iCs w:val="0"/>
                <w:sz w:val="16"/>
                <w:szCs w:val="16"/>
              </w:rPr>
              <w:t>2017(C)</w:t>
            </w:r>
          </w:p>
        </w:tc>
      </w:tr>
      <w:tr w:rsidR="00000000" w14:paraId="6B6D69D4" w14:textId="77777777">
        <w:trPr>
          <w:tblCellSpacing w:w="0" w:type="dxa"/>
        </w:trPr>
        <w:tc>
          <w:tcPr>
            <w:tcW w:w="50" w:type="pct"/>
            <w:shd w:val="clear" w:color="auto" w:fill="FFFFFF"/>
            <w:vAlign w:val="bottom"/>
            <w:hideMark/>
          </w:tcPr>
          <w:p w14:paraId="78179E3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D1DE97E" w14:textId="77777777" w:rsidR="00000000" w:rsidRDefault="0053651E">
            <w:pPr>
              <w:pStyle w:val="a3"/>
              <w:spacing w:before="0" w:beforeAutospacing="0" w:after="0" w:afterAutospacing="0"/>
              <w:rPr>
                <w:sz w:val="16"/>
                <w:szCs w:val="16"/>
              </w:rPr>
            </w:pPr>
            <w:r>
              <w:rPr>
                <w:sz w:val="16"/>
                <w:szCs w:val="16"/>
              </w:rPr>
              <w:t>CRANBERRY TOWNSHIP-PARCEL 1&amp;2</w:t>
            </w:r>
          </w:p>
        </w:tc>
        <w:tc>
          <w:tcPr>
            <w:tcW w:w="150" w:type="pct"/>
            <w:shd w:val="clear" w:color="auto" w:fill="FFFFFF"/>
            <w:vAlign w:val="bottom"/>
            <w:hideMark/>
          </w:tcPr>
          <w:p w14:paraId="3F93591F"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12CEC5A5" w14:textId="77777777" w:rsidR="00000000" w:rsidRDefault="0053651E">
            <w:pPr>
              <w:jc w:val="right"/>
              <w:rPr>
                <w:rFonts w:eastAsia="Times New Roman"/>
                <w:sz w:val="16"/>
                <w:szCs w:val="16"/>
              </w:rPr>
            </w:pPr>
            <w:r>
              <w:rPr>
                <w:rFonts w:eastAsia="Times New Roman"/>
                <w:sz w:val="16"/>
                <w:szCs w:val="16"/>
              </w:rPr>
              <w:t>10,270,846</w:t>
            </w:r>
          </w:p>
        </w:tc>
        <w:tc>
          <w:tcPr>
            <w:tcW w:w="550" w:type="pct"/>
            <w:shd w:val="clear" w:color="auto" w:fill="FFFFFF"/>
            <w:vAlign w:val="bottom"/>
            <w:hideMark/>
          </w:tcPr>
          <w:p w14:paraId="2180F414" w14:textId="77777777" w:rsidR="00000000" w:rsidRDefault="0053651E">
            <w:pPr>
              <w:jc w:val="right"/>
              <w:rPr>
                <w:rFonts w:eastAsia="Times New Roman"/>
                <w:sz w:val="16"/>
                <w:szCs w:val="16"/>
              </w:rPr>
            </w:pPr>
            <w:r>
              <w:rPr>
                <w:rFonts w:eastAsia="Times New Roman"/>
                <w:sz w:val="16"/>
                <w:szCs w:val="16"/>
              </w:rPr>
              <w:t>30,769,592</w:t>
            </w:r>
          </w:p>
        </w:tc>
        <w:tc>
          <w:tcPr>
            <w:tcW w:w="350" w:type="pct"/>
            <w:shd w:val="clear" w:color="auto" w:fill="FFFFFF"/>
            <w:vAlign w:val="bottom"/>
            <w:hideMark/>
          </w:tcPr>
          <w:p w14:paraId="6B207263" w14:textId="77777777" w:rsidR="00000000" w:rsidRDefault="0053651E">
            <w:pPr>
              <w:jc w:val="right"/>
              <w:rPr>
                <w:rFonts w:eastAsia="Times New Roman"/>
                <w:sz w:val="16"/>
                <w:szCs w:val="16"/>
              </w:rPr>
            </w:pPr>
            <w:r>
              <w:rPr>
                <w:rFonts w:eastAsia="Times New Roman"/>
                <w:sz w:val="16"/>
                <w:szCs w:val="16"/>
              </w:rPr>
              <w:t>1,910,644</w:t>
            </w:r>
          </w:p>
        </w:tc>
        <w:tc>
          <w:tcPr>
            <w:tcW w:w="300" w:type="pct"/>
            <w:shd w:val="clear" w:color="auto" w:fill="FFFFFF"/>
            <w:vAlign w:val="bottom"/>
            <w:hideMark/>
          </w:tcPr>
          <w:p w14:paraId="56D138F9" w14:textId="77777777" w:rsidR="00000000" w:rsidRDefault="0053651E">
            <w:pPr>
              <w:jc w:val="right"/>
              <w:rPr>
                <w:rFonts w:eastAsia="Times New Roman"/>
                <w:sz w:val="16"/>
                <w:szCs w:val="16"/>
              </w:rPr>
            </w:pPr>
            <w:r>
              <w:rPr>
                <w:rFonts w:eastAsia="Times New Roman"/>
                <w:sz w:val="16"/>
                <w:szCs w:val="16"/>
              </w:rPr>
              <w:t>6,070,254</w:t>
            </w:r>
          </w:p>
        </w:tc>
        <w:tc>
          <w:tcPr>
            <w:tcW w:w="450" w:type="pct"/>
            <w:shd w:val="clear" w:color="auto" w:fill="FFFFFF"/>
            <w:vAlign w:val="bottom"/>
            <w:hideMark/>
          </w:tcPr>
          <w:p w14:paraId="33838FC9" w14:textId="77777777" w:rsidR="00000000" w:rsidRDefault="0053651E">
            <w:pPr>
              <w:jc w:val="right"/>
              <w:rPr>
                <w:rFonts w:eastAsia="Times New Roman"/>
                <w:sz w:val="16"/>
                <w:szCs w:val="16"/>
              </w:rPr>
            </w:pPr>
            <w:r>
              <w:rPr>
                <w:rFonts w:eastAsia="Times New Roman"/>
                <w:sz w:val="16"/>
                <w:szCs w:val="16"/>
              </w:rPr>
              <w:t>36,880,828</w:t>
            </w:r>
          </w:p>
        </w:tc>
        <w:tc>
          <w:tcPr>
            <w:tcW w:w="350" w:type="pct"/>
            <w:shd w:val="clear" w:color="auto" w:fill="FFFFFF"/>
            <w:vAlign w:val="bottom"/>
            <w:hideMark/>
          </w:tcPr>
          <w:p w14:paraId="592FD800" w14:textId="77777777" w:rsidR="00000000" w:rsidRDefault="0053651E">
            <w:pPr>
              <w:jc w:val="right"/>
              <w:rPr>
                <w:rFonts w:eastAsia="Times New Roman"/>
                <w:sz w:val="16"/>
                <w:szCs w:val="16"/>
              </w:rPr>
            </w:pPr>
            <w:r>
              <w:rPr>
                <w:rFonts w:eastAsia="Times New Roman"/>
                <w:sz w:val="16"/>
                <w:szCs w:val="16"/>
              </w:rPr>
              <w:t>42,951,082</w:t>
            </w:r>
          </w:p>
        </w:tc>
        <w:tc>
          <w:tcPr>
            <w:tcW w:w="400" w:type="pct"/>
            <w:shd w:val="clear" w:color="auto" w:fill="FFFFFF"/>
            <w:vAlign w:val="bottom"/>
            <w:hideMark/>
          </w:tcPr>
          <w:p w14:paraId="1B7E6ADE" w14:textId="77777777" w:rsidR="00000000" w:rsidRDefault="0053651E">
            <w:pPr>
              <w:jc w:val="right"/>
              <w:rPr>
                <w:rFonts w:eastAsia="Times New Roman"/>
                <w:sz w:val="16"/>
                <w:szCs w:val="16"/>
              </w:rPr>
            </w:pPr>
            <w:r>
              <w:rPr>
                <w:rFonts w:eastAsia="Times New Roman"/>
                <w:sz w:val="16"/>
                <w:szCs w:val="16"/>
              </w:rPr>
              <w:t>4,426,455</w:t>
            </w:r>
          </w:p>
        </w:tc>
        <w:tc>
          <w:tcPr>
            <w:tcW w:w="50" w:type="pct"/>
            <w:shd w:val="clear" w:color="auto" w:fill="FFFFFF"/>
            <w:vAlign w:val="bottom"/>
            <w:hideMark/>
          </w:tcPr>
          <w:p w14:paraId="5BD68B9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0B5B12A" w14:textId="77777777" w:rsidR="00000000" w:rsidRDefault="0053651E">
            <w:pPr>
              <w:jc w:val="right"/>
              <w:rPr>
                <w:rFonts w:eastAsia="Times New Roman"/>
                <w:sz w:val="16"/>
                <w:szCs w:val="16"/>
              </w:rPr>
            </w:pPr>
            <w:r>
              <w:rPr>
                <w:rFonts w:eastAsia="Times New Roman"/>
                <w:sz w:val="16"/>
                <w:szCs w:val="16"/>
              </w:rPr>
              <w:t>38,524,627</w:t>
            </w:r>
          </w:p>
        </w:tc>
        <w:tc>
          <w:tcPr>
            <w:tcW w:w="50" w:type="pct"/>
            <w:shd w:val="clear" w:color="auto" w:fill="FFFFFF"/>
            <w:vAlign w:val="bottom"/>
            <w:hideMark/>
          </w:tcPr>
          <w:p w14:paraId="655A708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99B9D7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1F4E7CD"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72E9455F" w14:textId="77777777">
        <w:trPr>
          <w:tblCellSpacing w:w="0" w:type="dxa"/>
        </w:trPr>
        <w:tc>
          <w:tcPr>
            <w:tcW w:w="50" w:type="pct"/>
            <w:shd w:val="clear" w:color="auto" w:fill="CCEEFF"/>
            <w:vAlign w:val="bottom"/>
            <w:hideMark/>
          </w:tcPr>
          <w:p w14:paraId="5F81D95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37C7544" w14:textId="77777777" w:rsidR="00000000" w:rsidRDefault="0053651E">
            <w:pPr>
              <w:pStyle w:val="a3"/>
              <w:spacing w:before="0" w:beforeAutospacing="0" w:after="0" w:afterAutospacing="0"/>
              <w:rPr>
                <w:sz w:val="16"/>
                <w:szCs w:val="16"/>
              </w:rPr>
            </w:pPr>
            <w:r>
              <w:rPr>
                <w:sz w:val="16"/>
                <w:szCs w:val="16"/>
              </w:rPr>
              <w:t>CROSSROADS PLAZA</w:t>
            </w:r>
          </w:p>
        </w:tc>
        <w:tc>
          <w:tcPr>
            <w:tcW w:w="150" w:type="pct"/>
            <w:shd w:val="clear" w:color="auto" w:fill="CCEEFF"/>
            <w:vAlign w:val="bottom"/>
            <w:hideMark/>
          </w:tcPr>
          <w:p w14:paraId="28AB7930"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5554E4DA" w14:textId="77777777" w:rsidR="00000000" w:rsidRDefault="0053651E">
            <w:pPr>
              <w:jc w:val="right"/>
              <w:rPr>
                <w:rFonts w:eastAsia="Times New Roman"/>
                <w:sz w:val="16"/>
                <w:szCs w:val="16"/>
              </w:rPr>
            </w:pPr>
            <w:r>
              <w:rPr>
                <w:rFonts w:eastAsia="Times New Roman"/>
                <w:sz w:val="16"/>
                <w:szCs w:val="16"/>
              </w:rPr>
              <w:t>788,761</w:t>
            </w:r>
          </w:p>
        </w:tc>
        <w:tc>
          <w:tcPr>
            <w:tcW w:w="550" w:type="pct"/>
            <w:shd w:val="clear" w:color="auto" w:fill="CCEEFF"/>
            <w:vAlign w:val="bottom"/>
            <w:hideMark/>
          </w:tcPr>
          <w:p w14:paraId="34DC64CD" w14:textId="77777777" w:rsidR="00000000" w:rsidRDefault="0053651E">
            <w:pPr>
              <w:jc w:val="right"/>
              <w:rPr>
                <w:rFonts w:eastAsia="Times New Roman"/>
                <w:sz w:val="16"/>
                <w:szCs w:val="16"/>
              </w:rPr>
            </w:pPr>
            <w:r>
              <w:rPr>
                <w:rFonts w:eastAsia="Times New Roman"/>
                <w:sz w:val="16"/>
                <w:szCs w:val="16"/>
              </w:rPr>
              <w:t>3,155,044</w:t>
            </w:r>
          </w:p>
        </w:tc>
        <w:tc>
          <w:tcPr>
            <w:tcW w:w="350" w:type="pct"/>
            <w:shd w:val="clear" w:color="auto" w:fill="CCEEFF"/>
            <w:vAlign w:val="bottom"/>
            <w:hideMark/>
          </w:tcPr>
          <w:p w14:paraId="0613CBA4" w14:textId="77777777" w:rsidR="00000000" w:rsidRDefault="0053651E">
            <w:pPr>
              <w:jc w:val="right"/>
              <w:rPr>
                <w:rFonts w:eastAsia="Times New Roman"/>
                <w:sz w:val="16"/>
                <w:szCs w:val="16"/>
              </w:rPr>
            </w:pPr>
            <w:r>
              <w:rPr>
                <w:rFonts w:eastAsia="Times New Roman"/>
                <w:sz w:val="16"/>
                <w:szCs w:val="16"/>
              </w:rPr>
              <w:t>13,367,748</w:t>
            </w:r>
          </w:p>
        </w:tc>
        <w:tc>
          <w:tcPr>
            <w:tcW w:w="300" w:type="pct"/>
            <w:shd w:val="clear" w:color="auto" w:fill="CCEEFF"/>
            <w:vAlign w:val="bottom"/>
            <w:hideMark/>
          </w:tcPr>
          <w:p w14:paraId="40780AC6" w14:textId="77777777" w:rsidR="00000000" w:rsidRDefault="0053651E">
            <w:pPr>
              <w:jc w:val="right"/>
              <w:rPr>
                <w:rFonts w:eastAsia="Times New Roman"/>
                <w:sz w:val="16"/>
                <w:szCs w:val="16"/>
              </w:rPr>
            </w:pPr>
            <w:r>
              <w:rPr>
                <w:rFonts w:eastAsia="Times New Roman"/>
                <w:sz w:val="16"/>
                <w:szCs w:val="16"/>
              </w:rPr>
              <w:t>976,439</w:t>
            </w:r>
          </w:p>
        </w:tc>
        <w:tc>
          <w:tcPr>
            <w:tcW w:w="450" w:type="pct"/>
            <w:shd w:val="clear" w:color="auto" w:fill="CCEEFF"/>
            <w:vAlign w:val="bottom"/>
            <w:hideMark/>
          </w:tcPr>
          <w:p w14:paraId="5842309C" w14:textId="77777777" w:rsidR="00000000" w:rsidRDefault="0053651E">
            <w:pPr>
              <w:jc w:val="right"/>
              <w:rPr>
                <w:rFonts w:eastAsia="Times New Roman"/>
                <w:sz w:val="16"/>
                <w:szCs w:val="16"/>
              </w:rPr>
            </w:pPr>
            <w:r>
              <w:rPr>
                <w:rFonts w:eastAsia="Times New Roman"/>
                <w:sz w:val="16"/>
                <w:szCs w:val="16"/>
              </w:rPr>
              <w:t>16,335,114</w:t>
            </w:r>
          </w:p>
        </w:tc>
        <w:tc>
          <w:tcPr>
            <w:tcW w:w="350" w:type="pct"/>
            <w:shd w:val="clear" w:color="auto" w:fill="CCEEFF"/>
            <w:vAlign w:val="bottom"/>
            <w:hideMark/>
          </w:tcPr>
          <w:p w14:paraId="7E4FB2F9" w14:textId="77777777" w:rsidR="00000000" w:rsidRDefault="0053651E">
            <w:pPr>
              <w:jc w:val="right"/>
              <w:rPr>
                <w:rFonts w:eastAsia="Times New Roman"/>
                <w:sz w:val="16"/>
                <w:szCs w:val="16"/>
              </w:rPr>
            </w:pPr>
            <w:r>
              <w:rPr>
                <w:rFonts w:eastAsia="Times New Roman"/>
                <w:sz w:val="16"/>
                <w:szCs w:val="16"/>
              </w:rPr>
              <w:t>17,311,553</w:t>
            </w:r>
          </w:p>
        </w:tc>
        <w:tc>
          <w:tcPr>
            <w:tcW w:w="400" w:type="pct"/>
            <w:shd w:val="clear" w:color="auto" w:fill="CCEEFF"/>
            <w:vAlign w:val="bottom"/>
            <w:hideMark/>
          </w:tcPr>
          <w:p w14:paraId="529206A6" w14:textId="77777777" w:rsidR="00000000" w:rsidRDefault="0053651E">
            <w:pPr>
              <w:jc w:val="right"/>
              <w:rPr>
                <w:rFonts w:eastAsia="Times New Roman"/>
                <w:sz w:val="16"/>
                <w:szCs w:val="16"/>
              </w:rPr>
            </w:pPr>
            <w:r>
              <w:rPr>
                <w:rFonts w:eastAsia="Times New Roman"/>
                <w:sz w:val="16"/>
                <w:szCs w:val="16"/>
              </w:rPr>
              <w:t>10,580,044</w:t>
            </w:r>
          </w:p>
        </w:tc>
        <w:tc>
          <w:tcPr>
            <w:tcW w:w="50" w:type="pct"/>
            <w:shd w:val="clear" w:color="auto" w:fill="CCEEFF"/>
            <w:vAlign w:val="bottom"/>
            <w:hideMark/>
          </w:tcPr>
          <w:p w14:paraId="4715E27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D9D2EF2" w14:textId="77777777" w:rsidR="00000000" w:rsidRDefault="0053651E">
            <w:pPr>
              <w:jc w:val="right"/>
              <w:rPr>
                <w:rFonts w:eastAsia="Times New Roman"/>
                <w:sz w:val="16"/>
                <w:szCs w:val="16"/>
              </w:rPr>
            </w:pPr>
            <w:r>
              <w:rPr>
                <w:rFonts w:eastAsia="Times New Roman"/>
                <w:sz w:val="16"/>
                <w:szCs w:val="16"/>
              </w:rPr>
              <w:t>6,731,509</w:t>
            </w:r>
          </w:p>
        </w:tc>
        <w:tc>
          <w:tcPr>
            <w:tcW w:w="50" w:type="pct"/>
            <w:shd w:val="clear" w:color="auto" w:fill="CCEEFF"/>
            <w:vAlign w:val="bottom"/>
            <w:hideMark/>
          </w:tcPr>
          <w:p w14:paraId="021EB33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ECEDCE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0FDC7DE" w14:textId="77777777" w:rsidR="00000000" w:rsidRDefault="0053651E">
            <w:pPr>
              <w:pStyle w:val="a3"/>
              <w:spacing w:before="0" w:beforeAutospacing="0" w:after="0" w:afterAutospacing="0"/>
              <w:jc w:val="center"/>
              <w:rPr>
                <w:sz w:val="16"/>
                <w:szCs w:val="16"/>
              </w:rPr>
            </w:pPr>
            <w:r>
              <w:rPr>
                <w:rStyle w:val="a6"/>
                <w:i w:val="0"/>
                <w:iCs w:val="0"/>
                <w:sz w:val="16"/>
                <w:szCs w:val="16"/>
              </w:rPr>
              <w:t>1986(A)</w:t>
            </w:r>
          </w:p>
        </w:tc>
      </w:tr>
    </w:tbl>
    <w:p w14:paraId="7A17306A"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183"/>
        <w:gridCol w:w="214"/>
        <w:gridCol w:w="720"/>
        <w:gridCol w:w="720"/>
        <w:gridCol w:w="747"/>
        <w:gridCol w:w="720"/>
        <w:gridCol w:w="720"/>
        <w:gridCol w:w="720"/>
        <w:gridCol w:w="720"/>
        <w:gridCol w:w="40"/>
        <w:gridCol w:w="720"/>
        <w:gridCol w:w="40"/>
        <w:gridCol w:w="720"/>
        <w:gridCol w:w="543"/>
      </w:tblGrid>
      <w:tr w:rsidR="00000000" w14:paraId="4BDDD6AE" w14:textId="77777777">
        <w:trPr>
          <w:tblCellSpacing w:w="0" w:type="dxa"/>
        </w:trPr>
        <w:tc>
          <w:tcPr>
            <w:tcW w:w="50" w:type="pct"/>
            <w:shd w:val="clear" w:color="auto" w:fill="FFFFFF"/>
            <w:vAlign w:val="bottom"/>
            <w:hideMark/>
          </w:tcPr>
          <w:p w14:paraId="66A949B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77DF163" w14:textId="77777777" w:rsidR="00000000" w:rsidRDefault="0053651E">
            <w:pPr>
              <w:pStyle w:val="a3"/>
              <w:spacing w:before="0" w:beforeAutospacing="0" w:after="0" w:afterAutospacing="0"/>
              <w:rPr>
                <w:sz w:val="16"/>
                <w:szCs w:val="16"/>
              </w:rPr>
            </w:pPr>
            <w:r>
              <w:rPr>
                <w:sz w:val="16"/>
                <w:szCs w:val="16"/>
              </w:rPr>
              <w:t>SPRINGFIELD S.C.</w:t>
            </w:r>
          </w:p>
        </w:tc>
        <w:tc>
          <w:tcPr>
            <w:tcW w:w="150" w:type="pct"/>
            <w:shd w:val="clear" w:color="auto" w:fill="FFFFFF"/>
            <w:vAlign w:val="bottom"/>
            <w:hideMark/>
          </w:tcPr>
          <w:p w14:paraId="05A218C4"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369CDAB7" w14:textId="77777777" w:rsidR="00000000" w:rsidRDefault="0053651E">
            <w:pPr>
              <w:jc w:val="right"/>
              <w:rPr>
                <w:rFonts w:eastAsia="Times New Roman"/>
                <w:sz w:val="16"/>
                <w:szCs w:val="16"/>
              </w:rPr>
            </w:pPr>
            <w:r>
              <w:rPr>
                <w:rFonts w:eastAsia="Times New Roman"/>
                <w:sz w:val="16"/>
                <w:szCs w:val="16"/>
              </w:rPr>
              <w:t>919,998</w:t>
            </w:r>
          </w:p>
        </w:tc>
        <w:tc>
          <w:tcPr>
            <w:tcW w:w="550" w:type="pct"/>
            <w:shd w:val="clear" w:color="auto" w:fill="FFFFFF"/>
            <w:vAlign w:val="bottom"/>
            <w:hideMark/>
          </w:tcPr>
          <w:p w14:paraId="3A7F6B35" w14:textId="77777777" w:rsidR="00000000" w:rsidRDefault="0053651E">
            <w:pPr>
              <w:jc w:val="right"/>
              <w:rPr>
                <w:rFonts w:eastAsia="Times New Roman"/>
                <w:sz w:val="16"/>
                <w:szCs w:val="16"/>
              </w:rPr>
            </w:pPr>
            <w:r>
              <w:rPr>
                <w:rFonts w:eastAsia="Times New Roman"/>
                <w:sz w:val="16"/>
                <w:szCs w:val="16"/>
              </w:rPr>
              <w:t>4,981,589</w:t>
            </w:r>
          </w:p>
        </w:tc>
        <w:tc>
          <w:tcPr>
            <w:tcW w:w="350" w:type="pct"/>
            <w:shd w:val="clear" w:color="auto" w:fill="FFFFFF"/>
            <w:vAlign w:val="bottom"/>
            <w:hideMark/>
          </w:tcPr>
          <w:p w14:paraId="4540AA18" w14:textId="77777777" w:rsidR="00000000" w:rsidRDefault="0053651E">
            <w:pPr>
              <w:jc w:val="right"/>
              <w:rPr>
                <w:rFonts w:eastAsia="Times New Roman"/>
                <w:sz w:val="16"/>
                <w:szCs w:val="16"/>
              </w:rPr>
            </w:pPr>
            <w:r>
              <w:rPr>
                <w:rFonts w:eastAsia="Times New Roman"/>
                <w:sz w:val="16"/>
                <w:szCs w:val="16"/>
              </w:rPr>
              <w:t>13,139,952</w:t>
            </w:r>
          </w:p>
        </w:tc>
        <w:tc>
          <w:tcPr>
            <w:tcW w:w="300" w:type="pct"/>
            <w:shd w:val="clear" w:color="auto" w:fill="FFFFFF"/>
            <w:vAlign w:val="bottom"/>
            <w:hideMark/>
          </w:tcPr>
          <w:p w14:paraId="5CCA2C64" w14:textId="77777777" w:rsidR="00000000" w:rsidRDefault="0053651E">
            <w:pPr>
              <w:jc w:val="right"/>
              <w:rPr>
                <w:rFonts w:eastAsia="Times New Roman"/>
                <w:sz w:val="16"/>
                <w:szCs w:val="16"/>
              </w:rPr>
            </w:pPr>
            <w:r>
              <w:rPr>
                <w:rFonts w:eastAsia="Times New Roman"/>
                <w:sz w:val="16"/>
                <w:szCs w:val="16"/>
              </w:rPr>
              <w:t>920,000</w:t>
            </w:r>
          </w:p>
        </w:tc>
        <w:tc>
          <w:tcPr>
            <w:tcW w:w="450" w:type="pct"/>
            <w:shd w:val="clear" w:color="auto" w:fill="FFFFFF"/>
            <w:vAlign w:val="bottom"/>
            <w:hideMark/>
          </w:tcPr>
          <w:p w14:paraId="5315D1B7" w14:textId="77777777" w:rsidR="00000000" w:rsidRDefault="0053651E">
            <w:pPr>
              <w:jc w:val="right"/>
              <w:rPr>
                <w:rFonts w:eastAsia="Times New Roman"/>
                <w:sz w:val="16"/>
                <w:szCs w:val="16"/>
              </w:rPr>
            </w:pPr>
            <w:r>
              <w:rPr>
                <w:rFonts w:eastAsia="Times New Roman"/>
                <w:sz w:val="16"/>
                <w:szCs w:val="16"/>
              </w:rPr>
              <w:t>18,121,539</w:t>
            </w:r>
          </w:p>
        </w:tc>
        <w:tc>
          <w:tcPr>
            <w:tcW w:w="350" w:type="pct"/>
            <w:shd w:val="clear" w:color="auto" w:fill="FFFFFF"/>
            <w:vAlign w:val="bottom"/>
            <w:hideMark/>
          </w:tcPr>
          <w:p w14:paraId="071B4E13" w14:textId="77777777" w:rsidR="00000000" w:rsidRDefault="0053651E">
            <w:pPr>
              <w:jc w:val="right"/>
              <w:rPr>
                <w:rFonts w:eastAsia="Times New Roman"/>
                <w:sz w:val="16"/>
                <w:szCs w:val="16"/>
              </w:rPr>
            </w:pPr>
            <w:r>
              <w:rPr>
                <w:rFonts w:eastAsia="Times New Roman"/>
                <w:sz w:val="16"/>
                <w:szCs w:val="16"/>
              </w:rPr>
              <w:t>19,041,539</w:t>
            </w:r>
          </w:p>
        </w:tc>
        <w:tc>
          <w:tcPr>
            <w:tcW w:w="400" w:type="pct"/>
            <w:shd w:val="clear" w:color="auto" w:fill="FFFFFF"/>
            <w:vAlign w:val="bottom"/>
            <w:hideMark/>
          </w:tcPr>
          <w:p w14:paraId="3D8ED44B" w14:textId="77777777" w:rsidR="00000000" w:rsidRDefault="0053651E">
            <w:pPr>
              <w:jc w:val="right"/>
              <w:rPr>
                <w:rFonts w:eastAsia="Times New Roman"/>
                <w:sz w:val="16"/>
                <w:szCs w:val="16"/>
              </w:rPr>
            </w:pPr>
            <w:r>
              <w:rPr>
                <w:rFonts w:eastAsia="Times New Roman"/>
                <w:sz w:val="16"/>
                <w:szCs w:val="16"/>
              </w:rPr>
              <w:t>10,902,022</w:t>
            </w:r>
          </w:p>
        </w:tc>
        <w:tc>
          <w:tcPr>
            <w:tcW w:w="50" w:type="pct"/>
            <w:shd w:val="clear" w:color="auto" w:fill="FFFFFF"/>
            <w:vAlign w:val="bottom"/>
            <w:hideMark/>
          </w:tcPr>
          <w:p w14:paraId="2B730D3A"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7CF2496" w14:textId="77777777" w:rsidR="00000000" w:rsidRDefault="0053651E">
            <w:pPr>
              <w:jc w:val="right"/>
              <w:rPr>
                <w:rFonts w:eastAsia="Times New Roman"/>
                <w:sz w:val="16"/>
                <w:szCs w:val="16"/>
              </w:rPr>
            </w:pPr>
            <w:r>
              <w:rPr>
                <w:rFonts w:eastAsia="Times New Roman"/>
                <w:sz w:val="16"/>
                <w:szCs w:val="16"/>
              </w:rPr>
              <w:t>8,139,517</w:t>
            </w:r>
          </w:p>
        </w:tc>
        <w:tc>
          <w:tcPr>
            <w:tcW w:w="50" w:type="pct"/>
            <w:shd w:val="clear" w:color="auto" w:fill="FFFFFF"/>
            <w:vAlign w:val="bottom"/>
            <w:hideMark/>
          </w:tcPr>
          <w:p w14:paraId="60BB895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591FD8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CB7A266" w14:textId="77777777" w:rsidR="00000000" w:rsidRDefault="0053651E">
            <w:pPr>
              <w:pStyle w:val="a3"/>
              <w:spacing w:before="0" w:beforeAutospacing="0" w:after="0" w:afterAutospacing="0"/>
              <w:jc w:val="center"/>
              <w:rPr>
                <w:sz w:val="16"/>
                <w:szCs w:val="16"/>
              </w:rPr>
            </w:pPr>
            <w:r>
              <w:rPr>
                <w:rStyle w:val="a6"/>
                <w:i w:val="0"/>
                <w:iCs w:val="0"/>
                <w:sz w:val="16"/>
                <w:szCs w:val="16"/>
              </w:rPr>
              <w:t>1983(A)</w:t>
            </w:r>
          </w:p>
        </w:tc>
      </w:tr>
      <w:tr w:rsidR="00000000" w14:paraId="654F417C" w14:textId="77777777">
        <w:trPr>
          <w:tblCellSpacing w:w="0" w:type="dxa"/>
        </w:trPr>
        <w:tc>
          <w:tcPr>
            <w:tcW w:w="50" w:type="pct"/>
            <w:shd w:val="clear" w:color="auto" w:fill="CCEEFF"/>
            <w:vAlign w:val="bottom"/>
            <w:hideMark/>
          </w:tcPr>
          <w:p w14:paraId="1881B0D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2693970" w14:textId="77777777" w:rsidR="00000000" w:rsidRDefault="0053651E">
            <w:pPr>
              <w:pStyle w:val="a3"/>
              <w:spacing w:before="0" w:beforeAutospacing="0" w:after="0" w:afterAutospacing="0"/>
              <w:rPr>
                <w:sz w:val="16"/>
                <w:szCs w:val="16"/>
              </w:rPr>
            </w:pPr>
            <w:r>
              <w:rPr>
                <w:sz w:val="16"/>
                <w:szCs w:val="16"/>
              </w:rPr>
              <w:t>SHREWSBURY SQUARE S.C.</w:t>
            </w:r>
          </w:p>
        </w:tc>
        <w:tc>
          <w:tcPr>
            <w:tcW w:w="150" w:type="pct"/>
            <w:shd w:val="clear" w:color="auto" w:fill="CCEEFF"/>
            <w:vAlign w:val="bottom"/>
            <w:hideMark/>
          </w:tcPr>
          <w:p w14:paraId="59CD4CA9"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3402DA78" w14:textId="77777777" w:rsidR="00000000" w:rsidRDefault="0053651E">
            <w:pPr>
              <w:jc w:val="right"/>
              <w:rPr>
                <w:rFonts w:eastAsia="Times New Roman"/>
                <w:sz w:val="16"/>
                <w:szCs w:val="16"/>
              </w:rPr>
            </w:pPr>
            <w:r>
              <w:rPr>
                <w:rFonts w:eastAsia="Times New Roman"/>
                <w:sz w:val="16"/>
                <w:szCs w:val="16"/>
              </w:rPr>
              <w:t>8,066,107</w:t>
            </w:r>
          </w:p>
        </w:tc>
        <w:tc>
          <w:tcPr>
            <w:tcW w:w="550" w:type="pct"/>
            <w:shd w:val="clear" w:color="auto" w:fill="CCEEFF"/>
            <w:vAlign w:val="bottom"/>
            <w:hideMark/>
          </w:tcPr>
          <w:p w14:paraId="6C83F6B9" w14:textId="77777777" w:rsidR="00000000" w:rsidRDefault="0053651E">
            <w:pPr>
              <w:jc w:val="right"/>
              <w:rPr>
                <w:rFonts w:eastAsia="Times New Roman"/>
                <w:sz w:val="16"/>
                <w:szCs w:val="16"/>
              </w:rPr>
            </w:pPr>
            <w:r>
              <w:rPr>
                <w:rFonts w:eastAsia="Times New Roman"/>
                <w:sz w:val="16"/>
                <w:szCs w:val="16"/>
              </w:rPr>
              <w:t>16,997,997</w:t>
            </w:r>
          </w:p>
        </w:tc>
        <w:tc>
          <w:tcPr>
            <w:tcW w:w="350" w:type="pct"/>
            <w:shd w:val="clear" w:color="auto" w:fill="CCEEFF"/>
            <w:vAlign w:val="bottom"/>
            <w:hideMark/>
          </w:tcPr>
          <w:p w14:paraId="1D9CFBD7" w14:textId="77777777" w:rsidR="00000000" w:rsidRDefault="0053651E">
            <w:pPr>
              <w:jc w:val="right"/>
              <w:rPr>
                <w:rFonts w:eastAsia="Times New Roman"/>
                <w:sz w:val="16"/>
                <w:szCs w:val="16"/>
              </w:rPr>
            </w:pPr>
            <w:r>
              <w:rPr>
                <w:rFonts w:eastAsia="Times New Roman"/>
                <w:sz w:val="16"/>
                <w:szCs w:val="16"/>
              </w:rPr>
              <w:t>(2,115,840)</w:t>
            </w:r>
          </w:p>
        </w:tc>
        <w:tc>
          <w:tcPr>
            <w:tcW w:w="300" w:type="pct"/>
            <w:shd w:val="clear" w:color="auto" w:fill="CCEEFF"/>
            <w:vAlign w:val="bottom"/>
            <w:hideMark/>
          </w:tcPr>
          <w:p w14:paraId="2A76187C" w14:textId="77777777" w:rsidR="00000000" w:rsidRDefault="0053651E">
            <w:pPr>
              <w:jc w:val="right"/>
              <w:rPr>
                <w:rFonts w:eastAsia="Times New Roman"/>
                <w:sz w:val="16"/>
                <w:szCs w:val="16"/>
              </w:rPr>
            </w:pPr>
            <w:r>
              <w:rPr>
                <w:rFonts w:eastAsia="Times New Roman"/>
                <w:sz w:val="16"/>
                <w:szCs w:val="16"/>
              </w:rPr>
              <w:t>6,171,638</w:t>
            </w:r>
          </w:p>
        </w:tc>
        <w:tc>
          <w:tcPr>
            <w:tcW w:w="450" w:type="pct"/>
            <w:shd w:val="clear" w:color="auto" w:fill="CCEEFF"/>
            <w:vAlign w:val="bottom"/>
            <w:hideMark/>
          </w:tcPr>
          <w:p w14:paraId="0F961B6D" w14:textId="77777777" w:rsidR="00000000" w:rsidRDefault="0053651E">
            <w:pPr>
              <w:jc w:val="right"/>
              <w:rPr>
                <w:rFonts w:eastAsia="Times New Roman"/>
                <w:sz w:val="16"/>
                <w:szCs w:val="16"/>
              </w:rPr>
            </w:pPr>
            <w:r>
              <w:rPr>
                <w:rFonts w:eastAsia="Times New Roman"/>
                <w:sz w:val="16"/>
                <w:szCs w:val="16"/>
              </w:rPr>
              <w:t>16,776,626</w:t>
            </w:r>
          </w:p>
        </w:tc>
        <w:tc>
          <w:tcPr>
            <w:tcW w:w="350" w:type="pct"/>
            <w:shd w:val="clear" w:color="auto" w:fill="CCEEFF"/>
            <w:vAlign w:val="bottom"/>
            <w:hideMark/>
          </w:tcPr>
          <w:p w14:paraId="0CA6D7ED" w14:textId="77777777" w:rsidR="00000000" w:rsidRDefault="0053651E">
            <w:pPr>
              <w:jc w:val="right"/>
              <w:rPr>
                <w:rFonts w:eastAsia="Times New Roman"/>
                <w:sz w:val="16"/>
                <w:szCs w:val="16"/>
              </w:rPr>
            </w:pPr>
            <w:r>
              <w:rPr>
                <w:rFonts w:eastAsia="Times New Roman"/>
                <w:sz w:val="16"/>
                <w:szCs w:val="16"/>
              </w:rPr>
              <w:t>22,948,264</w:t>
            </w:r>
          </w:p>
        </w:tc>
        <w:tc>
          <w:tcPr>
            <w:tcW w:w="400" w:type="pct"/>
            <w:shd w:val="clear" w:color="auto" w:fill="CCEEFF"/>
            <w:vAlign w:val="bottom"/>
            <w:hideMark/>
          </w:tcPr>
          <w:p w14:paraId="77B662D4" w14:textId="77777777" w:rsidR="00000000" w:rsidRDefault="0053651E">
            <w:pPr>
              <w:jc w:val="right"/>
              <w:rPr>
                <w:rFonts w:eastAsia="Times New Roman"/>
                <w:sz w:val="16"/>
                <w:szCs w:val="16"/>
              </w:rPr>
            </w:pPr>
            <w:r>
              <w:rPr>
                <w:rFonts w:eastAsia="Times New Roman"/>
                <w:sz w:val="16"/>
                <w:szCs w:val="16"/>
              </w:rPr>
              <w:t>2,993,529</w:t>
            </w:r>
          </w:p>
        </w:tc>
        <w:tc>
          <w:tcPr>
            <w:tcW w:w="50" w:type="pct"/>
            <w:shd w:val="clear" w:color="auto" w:fill="CCEEFF"/>
            <w:vAlign w:val="bottom"/>
            <w:hideMark/>
          </w:tcPr>
          <w:p w14:paraId="2AFA670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34EABA4" w14:textId="77777777" w:rsidR="00000000" w:rsidRDefault="0053651E">
            <w:pPr>
              <w:jc w:val="right"/>
              <w:rPr>
                <w:rFonts w:eastAsia="Times New Roman"/>
                <w:sz w:val="16"/>
                <w:szCs w:val="16"/>
              </w:rPr>
            </w:pPr>
            <w:r>
              <w:rPr>
                <w:rFonts w:eastAsia="Times New Roman"/>
                <w:sz w:val="16"/>
                <w:szCs w:val="16"/>
              </w:rPr>
              <w:t>19,954,735</w:t>
            </w:r>
          </w:p>
        </w:tc>
        <w:tc>
          <w:tcPr>
            <w:tcW w:w="50" w:type="pct"/>
            <w:shd w:val="clear" w:color="auto" w:fill="CCEEFF"/>
            <w:vAlign w:val="bottom"/>
            <w:hideMark/>
          </w:tcPr>
          <w:p w14:paraId="5C1B8C5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7E3D6A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AAF61FE"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7A4D38B" w14:textId="77777777">
        <w:trPr>
          <w:tblCellSpacing w:w="0" w:type="dxa"/>
        </w:trPr>
        <w:tc>
          <w:tcPr>
            <w:tcW w:w="50" w:type="pct"/>
            <w:shd w:val="clear" w:color="auto" w:fill="FFFFFF"/>
            <w:vAlign w:val="bottom"/>
            <w:hideMark/>
          </w:tcPr>
          <w:p w14:paraId="2C9027B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14F4528" w14:textId="77777777" w:rsidR="00000000" w:rsidRDefault="0053651E">
            <w:pPr>
              <w:pStyle w:val="a3"/>
              <w:spacing w:before="0" w:beforeAutospacing="0" w:after="0" w:afterAutospacing="0"/>
              <w:rPr>
                <w:sz w:val="16"/>
                <w:szCs w:val="16"/>
              </w:rPr>
            </w:pPr>
            <w:r>
              <w:rPr>
                <w:sz w:val="16"/>
                <w:szCs w:val="16"/>
              </w:rPr>
              <w:t>WHITEHALL MALL</w:t>
            </w:r>
          </w:p>
        </w:tc>
        <w:tc>
          <w:tcPr>
            <w:tcW w:w="150" w:type="pct"/>
            <w:shd w:val="clear" w:color="auto" w:fill="FFFFFF"/>
            <w:vAlign w:val="bottom"/>
            <w:hideMark/>
          </w:tcPr>
          <w:p w14:paraId="491CEE8A"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75F80A42"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FFFFFF"/>
            <w:vAlign w:val="bottom"/>
            <w:hideMark/>
          </w:tcPr>
          <w:p w14:paraId="47AE75EB" w14:textId="77777777" w:rsidR="00000000" w:rsidRDefault="0053651E">
            <w:pPr>
              <w:jc w:val="right"/>
              <w:rPr>
                <w:rFonts w:eastAsia="Times New Roman"/>
                <w:sz w:val="16"/>
                <w:szCs w:val="16"/>
              </w:rPr>
            </w:pPr>
            <w:r>
              <w:rPr>
                <w:rFonts w:eastAsia="Times New Roman"/>
                <w:sz w:val="16"/>
                <w:szCs w:val="16"/>
              </w:rPr>
              <w:t>5,195,577</w:t>
            </w:r>
          </w:p>
        </w:tc>
        <w:tc>
          <w:tcPr>
            <w:tcW w:w="350" w:type="pct"/>
            <w:shd w:val="clear" w:color="auto" w:fill="FFFFFF"/>
            <w:vAlign w:val="bottom"/>
            <w:hideMark/>
          </w:tcPr>
          <w:p w14:paraId="0AEEA09A" w14:textId="77777777" w:rsidR="00000000" w:rsidRDefault="0053651E">
            <w:pPr>
              <w:jc w:val="right"/>
              <w:rPr>
                <w:rFonts w:eastAsia="Times New Roman"/>
                <w:sz w:val="16"/>
                <w:szCs w:val="16"/>
              </w:rPr>
            </w:pPr>
            <w:r>
              <w:rPr>
                <w:rFonts w:eastAsia="Times New Roman"/>
                <w:sz w:val="16"/>
                <w:szCs w:val="16"/>
              </w:rPr>
              <w:t>-</w:t>
            </w:r>
          </w:p>
        </w:tc>
        <w:tc>
          <w:tcPr>
            <w:tcW w:w="300" w:type="pct"/>
            <w:shd w:val="clear" w:color="auto" w:fill="FFFFFF"/>
            <w:vAlign w:val="bottom"/>
            <w:hideMark/>
          </w:tcPr>
          <w:p w14:paraId="7F93DA74"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FFFFFF"/>
            <w:vAlign w:val="bottom"/>
            <w:hideMark/>
          </w:tcPr>
          <w:p w14:paraId="6630A247" w14:textId="77777777" w:rsidR="00000000" w:rsidRDefault="0053651E">
            <w:pPr>
              <w:jc w:val="right"/>
              <w:rPr>
                <w:rFonts w:eastAsia="Times New Roman"/>
                <w:sz w:val="16"/>
                <w:szCs w:val="16"/>
              </w:rPr>
            </w:pPr>
            <w:r>
              <w:rPr>
                <w:rFonts w:eastAsia="Times New Roman"/>
                <w:sz w:val="16"/>
                <w:szCs w:val="16"/>
              </w:rPr>
              <w:t>5,195,577</w:t>
            </w:r>
          </w:p>
        </w:tc>
        <w:tc>
          <w:tcPr>
            <w:tcW w:w="350" w:type="pct"/>
            <w:shd w:val="clear" w:color="auto" w:fill="FFFFFF"/>
            <w:vAlign w:val="bottom"/>
            <w:hideMark/>
          </w:tcPr>
          <w:p w14:paraId="72CE6DA8" w14:textId="77777777" w:rsidR="00000000" w:rsidRDefault="0053651E">
            <w:pPr>
              <w:jc w:val="right"/>
              <w:rPr>
                <w:rFonts w:eastAsia="Times New Roman"/>
                <w:sz w:val="16"/>
                <w:szCs w:val="16"/>
              </w:rPr>
            </w:pPr>
            <w:r>
              <w:rPr>
                <w:rFonts w:eastAsia="Times New Roman"/>
                <w:sz w:val="16"/>
                <w:szCs w:val="16"/>
              </w:rPr>
              <w:t>5,195,577</w:t>
            </w:r>
          </w:p>
        </w:tc>
        <w:tc>
          <w:tcPr>
            <w:tcW w:w="400" w:type="pct"/>
            <w:shd w:val="clear" w:color="auto" w:fill="FFFFFF"/>
            <w:vAlign w:val="bottom"/>
            <w:hideMark/>
          </w:tcPr>
          <w:p w14:paraId="7451CD80" w14:textId="77777777" w:rsidR="00000000" w:rsidRDefault="0053651E">
            <w:pPr>
              <w:jc w:val="right"/>
              <w:rPr>
                <w:rFonts w:eastAsia="Times New Roman"/>
                <w:sz w:val="16"/>
                <w:szCs w:val="16"/>
              </w:rPr>
            </w:pPr>
            <w:r>
              <w:rPr>
                <w:rFonts w:eastAsia="Times New Roman"/>
                <w:sz w:val="16"/>
                <w:szCs w:val="16"/>
              </w:rPr>
              <w:t>3,108,466</w:t>
            </w:r>
          </w:p>
        </w:tc>
        <w:tc>
          <w:tcPr>
            <w:tcW w:w="50" w:type="pct"/>
            <w:shd w:val="clear" w:color="auto" w:fill="FFFFFF"/>
            <w:vAlign w:val="bottom"/>
            <w:hideMark/>
          </w:tcPr>
          <w:p w14:paraId="014590E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4D59D73" w14:textId="77777777" w:rsidR="00000000" w:rsidRDefault="0053651E">
            <w:pPr>
              <w:jc w:val="right"/>
              <w:rPr>
                <w:rFonts w:eastAsia="Times New Roman"/>
                <w:sz w:val="16"/>
                <w:szCs w:val="16"/>
              </w:rPr>
            </w:pPr>
            <w:r>
              <w:rPr>
                <w:rFonts w:eastAsia="Times New Roman"/>
                <w:sz w:val="16"/>
                <w:szCs w:val="16"/>
              </w:rPr>
              <w:t>2,087,111</w:t>
            </w:r>
          </w:p>
        </w:tc>
        <w:tc>
          <w:tcPr>
            <w:tcW w:w="50" w:type="pct"/>
            <w:shd w:val="clear" w:color="auto" w:fill="FFFFFF"/>
            <w:vAlign w:val="bottom"/>
            <w:hideMark/>
          </w:tcPr>
          <w:p w14:paraId="72063E4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49159D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730010C"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33826336" w14:textId="77777777">
        <w:trPr>
          <w:tblCellSpacing w:w="0" w:type="dxa"/>
        </w:trPr>
        <w:tc>
          <w:tcPr>
            <w:tcW w:w="50" w:type="pct"/>
            <w:shd w:val="clear" w:color="auto" w:fill="CCEEFF"/>
            <w:vAlign w:val="bottom"/>
            <w:hideMark/>
          </w:tcPr>
          <w:p w14:paraId="69545F7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4DEA474" w14:textId="77777777" w:rsidR="00000000" w:rsidRDefault="0053651E">
            <w:pPr>
              <w:pStyle w:val="a3"/>
              <w:spacing w:before="0" w:beforeAutospacing="0" w:after="0" w:afterAutospacing="0"/>
              <w:rPr>
                <w:sz w:val="16"/>
                <w:szCs w:val="16"/>
              </w:rPr>
            </w:pPr>
            <w:r>
              <w:rPr>
                <w:sz w:val="16"/>
                <w:szCs w:val="16"/>
              </w:rPr>
              <w:t>WHOLE FOODS AT WYNNEWOOD</w:t>
            </w:r>
          </w:p>
        </w:tc>
        <w:tc>
          <w:tcPr>
            <w:tcW w:w="150" w:type="pct"/>
            <w:shd w:val="clear" w:color="auto" w:fill="CCEEFF"/>
            <w:vAlign w:val="bottom"/>
            <w:hideMark/>
          </w:tcPr>
          <w:p w14:paraId="4C57E2A3"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CCEEFF"/>
            <w:vAlign w:val="bottom"/>
            <w:hideMark/>
          </w:tcPr>
          <w:p w14:paraId="629E61A7" w14:textId="77777777" w:rsidR="00000000" w:rsidRDefault="0053651E">
            <w:pPr>
              <w:jc w:val="right"/>
              <w:rPr>
                <w:rFonts w:eastAsia="Times New Roman"/>
                <w:sz w:val="16"/>
                <w:szCs w:val="16"/>
              </w:rPr>
            </w:pPr>
            <w:r>
              <w:rPr>
                <w:rFonts w:eastAsia="Times New Roman"/>
                <w:sz w:val="16"/>
                <w:szCs w:val="16"/>
              </w:rPr>
              <w:t>15,042,165</w:t>
            </w:r>
          </w:p>
        </w:tc>
        <w:tc>
          <w:tcPr>
            <w:tcW w:w="550" w:type="pct"/>
            <w:shd w:val="clear" w:color="auto" w:fill="CCEEFF"/>
            <w:vAlign w:val="bottom"/>
            <w:hideMark/>
          </w:tcPr>
          <w:p w14:paraId="711526B8"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537B65FE" w14:textId="77777777" w:rsidR="00000000" w:rsidRDefault="0053651E">
            <w:pPr>
              <w:jc w:val="right"/>
              <w:rPr>
                <w:rFonts w:eastAsia="Times New Roman"/>
                <w:sz w:val="16"/>
                <w:szCs w:val="16"/>
              </w:rPr>
            </w:pPr>
            <w:r>
              <w:rPr>
                <w:rFonts w:eastAsia="Times New Roman"/>
                <w:sz w:val="16"/>
                <w:szCs w:val="16"/>
              </w:rPr>
              <w:t>11,784,771</w:t>
            </w:r>
          </w:p>
        </w:tc>
        <w:tc>
          <w:tcPr>
            <w:tcW w:w="300" w:type="pct"/>
            <w:shd w:val="clear" w:color="auto" w:fill="CCEEFF"/>
            <w:vAlign w:val="bottom"/>
            <w:hideMark/>
          </w:tcPr>
          <w:p w14:paraId="40049292" w14:textId="77777777" w:rsidR="00000000" w:rsidRDefault="0053651E">
            <w:pPr>
              <w:jc w:val="right"/>
              <w:rPr>
                <w:rFonts w:eastAsia="Times New Roman"/>
                <w:sz w:val="16"/>
                <w:szCs w:val="16"/>
              </w:rPr>
            </w:pPr>
            <w:r>
              <w:rPr>
                <w:rFonts w:eastAsia="Times New Roman"/>
                <w:sz w:val="16"/>
                <w:szCs w:val="16"/>
              </w:rPr>
              <w:t>13,772,394</w:t>
            </w:r>
          </w:p>
        </w:tc>
        <w:tc>
          <w:tcPr>
            <w:tcW w:w="450" w:type="pct"/>
            <w:shd w:val="clear" w:color="auto" w:fill="CCEEFF"/>
            <w:vAlign w:val="bottom"/>
            <w:hideMark/>
          </w:tcPr>
          <w:p w14:paraId="0A77C7F4" w14:textId="77777777" w:rsidR="00000000" w:rsidRDefault="0053651E">
            <w:pPr>
              <w:jc w:val="right"/>
              <w:rPr>
                <w:rFonts w:eastAsia="Times New Roman"/>
                <w:sz w:val="16"/>
                <w:szCs w:val="16"/>
              </w:rPr>
            </w:pPr>
            <w:r>
              <w:rPr>
                <w:rFonts w:eastAsia="Times New Roman"/>
                <w:sz w:val="16"/>
                <w:szCs w:val="16"/>
              </w:rPr>
              <w:t>13,054,542</w:t>
            </w:r>
          </w:p>
        </w:tc>
        <w:tc>
          <w:tcPr>
            <w:tcW w:w="350" w:type="pct"/>
            <w:shd w:val="clear" w:color="auto" w:fill="CCEEFF"/>
            <w:vAlign w:val="bottom"/>
            <w:hideMark/>
          </w:tcPr>
          <w:p w14:paraId="303E981C" w14:textId="77777777" w:rsidR="00000000" w:rsidRDefault="0053651E">
            <w:pPr>
              <w:jc w:val="right"/>
              <w:rPr>
                <w:rFonts w:eastAsia="Times New Roman"/>
                <w:sz w:val="16"/>
                <w:szCs w:val="16"/>
              </w:rPr>
            </w:pPr>
            <w:r>
              <w:rPr>
                <w:rFonts w:eastAsia="Times New Roman"/>
                <w:sz w:val="16"/>
                <w:szCs w:val="16"/>
              </w:rPr>
              <w:t>26,826,936</w:t>
            </w:r>
          </w:p>
        </w:tc>
        <w:tc>
          <w:tcPr>
            <w:tcW w:w="400" w:type="pct"/>
            <w:shd w:val="clear" w:color="auto" w:fill="CCEEFF"/>
            <w:vAlign w:val="bottom"/>
            <w:hideMark/>
          </w:tcPr>
          <w:p w14:paraId="6C5E340C" w14:textId="77777777" w:rsidR="00000000" w:rsidRDefault="0053651E">
            <w:pPr>
              <w:jc w:val="right"/>
              <w:rPr>
                <w:rFonts w:eastAsia="Times New Roman"/>
                <w:sz w:val="16"/>
                <w:szCs w:val="16"/>
              </w:rPr>
            </w:pPr>
            <w:r>
              <w:rPr>
                <w:rFonts w:eastAsia="Times New Roman"/>
                <w:sz w:val="16"/>
                <w:szCs w:val="16"/>
              </w:rPr>
              <w:t>848,449</w:t>
            </w:r>
          </w:p>
        </w:tc>
        <w:tc>
          <w:tcPr>
            <w:tcW w:w="50" w:type="pct"/>
            <w:shd w:val="clear" w:color="auto" w:fill="CCEEFF"/>
            <w:vAlign w:val="bottom"/>
            <w:hideMark/>
          </w:tcPr>
          <w:p w14:paraId="74FFB44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0B50F99" w14:textId="77777777" w:rsidR="00000000" w:rsidRDefault="0053651E">
            <w:pPr>
              <w:jc w:val="right"/>
              <w:rPr>
                <w:rFonts w:eastAsia="Times New Roman"/>
                <w:sz w:val="16"/>
                <w:szCs w:val="16"/>
              </w:rPr>
            </w:pPr>
            <w:r>
              <w:rPr>
                <w:rFonts w:eastAsia="Times New Roman"/>
                <w:sz w:val="16"/>
                <w:szCs w:val="16"/>
              </w:rPr>
              <w:t>25,978,487</w:t>
            </w:r>
          </w:p>
        </w:tc>
        <w:tc>
          <w:tcPr>
            <w:tcW w:w="50" w:type="pct"/>
            <w:shd w:val="clear" w:color="auto" w:fill="CCEEFF"/>
            <w:vAlign w:val="bottom"/>
            <w:hideMark/>
          </w:tcPr>
          <w:p w14:paraId="0D240C6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AFD2250"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C1A2ECE" w14:textId="77777777" w:rsidR="00000000" w:rsidRDefault="0053651E">
            <w:pPr>
              <w:pStyle w:val="a3"/>
              <w:spacing w:before="0" w:beforeAutospacing="0" w:after="0" w:afterAutospacing="0"/>
              <w:jc w:val="center"/>
              <w:rPr>
                <w:sz w:val="16"/>
                <w:szCs w:val="16"/>
              </w:rPr>
            </w:pPr>
            <w:r>
              <w:rPr>
                <w:rStyle w:val="a6"/>
                <w:i w:val="0"/>
                <w:iCs w:val="0"/>
                <w:sz w:val="16"/>
                <w:szCs w:val="16"/>
              </w:rPr>
              <w:t>2014(C)</w:t>
            </w:r>
          </w:p>
        </w:tc>
      </w:tr>
      <w:tr w:rsidR="00000000" w14:paraId="30C9171D" w14:textId="77777777">
        <w:trPr>
          <w:tblCellSpacing w:w="0" w:type="dxa"/>
        </w:trPr>
        <w:tc>
          <w:tcPr>
            <w:tcW w:w="50" w:type="pct"/>
            <w:shd w:val="clear" w:color="auto" w:fill="FFFFFF"/>
            <w:vAlign w:val="bottom"/>
            <w:hideMark/>
          </w:tcPr>
          <w:p w14:paraId="2C24E84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EF0E270" w14:textId="77777777" w:rsidR="00000000" w:rsidRDefault="0053651E">
            <w:pPr>
              <w:pStyle w:val="a3"/>
              <w:spacing w:before="0" w:beforeAutospacing="0" w:after="0" w:afterAutospacing="0"/>
              <w:rPr>
                <w:sz w:val="16"/>
                <w:szCs w:val="16"/>
              </w:rPr>
            </w:pPr>
            <w:r>
              <w:rPr>
                <w:sz w:val="16"/>
                <w:szCs w:val="16"/>
              </w:rPr>
              <w:t>SHOPPES AT WYNNEWOOD</w:t>
            </w:r>
          </w:p>
        </w:tc>
        <w:tc>
          <w:tcPr>
            <w:tcW w:w="150" w:type="pct"/>
            <w:shd w:val="clear" w:color="auto" w:fill="FFFFFF"/>
            <w:vAlign w:val="bottom"/>
            <w:hideMark/>
          </w:tcPr>
          <w:p w14:paraId="1A2B9DF5"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16578D7C" w14:textId="77777777" w:rsidR="00000000" w:rsidRDefault="0053651E">
            <w:pPr>
              <w:jc w:val="right"/>
              <w:rPr>
                <w:rFonts w:eastAsia="Times New Roman"/>
                <w:sz w:val="16"/>
                <w:szCs w:val="16"/>
              </w:rPr>
            </w:pPr>
            <w:r>
              <w:rPr>
                <w:rFonts w:eastAsia="Times New Roman"/>
                <w:sz w:val="16"/>
                <w:szCs w:val="16"/>
              </w:rPr>
              <w:t>7,478,907</w:t>
            </w:r>
          </w:p>
        </w:tc>
        <w:tc>
          <w:tcPr>
            <w:tcW w:w="550" w:type="pct"/>
            <w:shd w:val="clear" w:color="auto" w:fill="FFFFFF"/>
            <w:vAlign w:val="bottom"/>
            <w:hideMark/>
          </w:tcPr>
          <w:p w14:paraId="37DB7A7B"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79F68F81" w14:textId="77777777" w:rsidR="00000000" w:rsidRDefault="0053651E">
            <w:pPr>
              <w:jc w:val="right"/>
              <w:rPr>
                <w:rFonts w:eastAsia="Times New Roman"/>
                <w:sz w:val="16"/>
                <w:szCs w:val="16"/>
              </w:rPr>
            </w:pPr>
            <w:r>
              <w:rPr>
                <w:rFonts w:eastAsia="Times New Roman"/>
                <w:sz w:val="16"/>
                <w:szCs w:val="16"/>
              </w:rPr>
              <w:t>3,591,425</w:t>
            </w:r>
          </w:p>
        </w:tc>
        <w:tc>
          <w:tcPr>
            <w:tcW w:w="300" w:type="pct"/>
            <w:shd w:val="clear" w:color="auto" w:fill="FFFFFF"/>
            <w:vAlign w:val="bottom"/>
            <w:hideMark/>
          </w:tcPr>
          <w:p w14:paraId="02EC4B5E" w14:textId="77777777" w:rsidR="00000000" w:rsidRDefault="0053651E">
            <w:pPr>
              <w:jc w:val="right"/>
              <w:rPr>
                <w:rFonts w:eastAsia="Times New Roman"/>
                <w:sz w:val="16"/>
                <w:szCs w:val="16"/>
              </w:rPr>
            </w:pPr>
            <w:r>
              <w:rPr>
                <w:rFonts w:eastAsia="Times New Roman"/>
                <w:sz w:val="16"/>
                <w:szCs w:val="16"/>
              </w:rPr>
              <w:t>7,478,907</w:t>
            </w:r>
          </w:p>
        </w:tc>
        <w:tc>
          <w:tcPr>
            <w:tcW w:w="450" w:type="pct"/>
            <w:shd w:val="clear" w:color="auto" w:fill="FFFFFF"/>
            <w:vAlign w:val="bottom"/>
            <w:hideMark/>
          </w:tcPr>
          <w:p w14:paraId="3E14003C" w14:textId="77777777" w:rsidR="00000000" w:rsidRDefault="0053651E">
            <w:pPr>
              <w:jc w:val="right"/>
              <w:rPr>
                <w:rFonts w:eastAsia="Times New Roman"/>
                <w:sz w:val="16"/>
                <w:szCs w:val="16"/>
              </w:rPr>
            </w:pPr>
            <w:r>
              <w:rPr>
                <w:rFonts w:eastAsia="Times New Roman"/>
                <w:sz w:val="16"/>
                <w:szCs w:val="16"/>
              </w:rPr>
              <w:t>3,591,425</w:t>
            </w:r>
          </w:p>
        </w:tc>
        <w:tc>
          <w:tcPr>
            <w:tcW w:w="350" w:type="pct"/>
            <w:shd w:val="clear" w:color="auto" w:fill="FFFFFF"/>
            <w:vAlign w:val="bottom"/>
            <w:hideMark/>
          </w:tcPr>
          <w:p w14:paraId="2059C249" w14:textId="77777777" w:rsidR="00000000" w:rsidRDefault="0053651E">
            <w:pPr>
              <w:jc w:val="right"/>
              <w:rPr>
                <w:rFonts w:eastAsia="Times New Roman"/>
                <w:sz w:val="16"/>
                <w:szCs w:val="16"/>
              </w:rPr>
            </w:pPr>
            <w:r>
              <w:rPr>
                <w:rFonts w:eastAsia="Times New Roman"/>
                <w:sz w:val="16"/>
                <w:szCs w:val="16"/>
              </w:rPr>
              <w:t>11,070,332</w:t>
            </w:r>
          </w:p>
        </w:tc>
        <w:tc>
          <w:tcPr>
            <w:tcW w:w="400" w:type="pct"/>
            <w:shd w:val="clear" w:color="auto" w:fill="FFFFFF"/>
            <w:vAlign w:val="bottom"/>
            <w:hideMark/>
          </w:tcPr>
          <w:p w14:paraId="2E7F35C0" w14:textId="77777777" w:rsidR="00000000" w:rsidRDefault="0053651E">
            <w:pPr>
              <w:jc w:val="right"/>
              <w:rPr>
                <w:rFonts w:eastAsia="Times New Roman"/>
                <w:sz w:val="16"/>
                <w:szCs w:val="16"/>
              </w:rPr>
            </w:pPr>
            <w:r>
              <w:rPr>
                <w:rFonts w:eastAsia="Times New Roman"/>
                <w:sz w:val="16"/>
                <w:szCs w:val="16"/>
              </w:rPr>
              <w:t>321,184</w:t>
            </w:r>
          </w:p>
        </w:tc>
        <w:tc>
          <w:tcPr>
            <w:tcW w:w="50" w:type="pct"/>
            <w:shd w:val="clear" w:color="auto" w:fill="FFFFFF"/>
            <w:vAlign w:val="bottom"/>
            <w:hideMark/>
          </w:tcPr>
          <w:p w14:paraId="613DC85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A3A7C6E" w14:textId="77777777" w:rsidR="00000000" w:rsidRDefault="0053651E">
            <w:pPr>
              <w:jc w:val="right"/>
              <w:rPr>
                <w:rFonts w:eastAsia="Times New Roman"/>
                <w:sz w:val="16"/>
                <w:szCs w:val="16"/>
              </w:rPr>
            </w:pPr>
            <w:r>
              <w:rPr>
                <w:rFonts w:eastAsia="Times New Roman"/>
                <w:sz w:val="16"/>
                <w:szCs w:val="16"/>
              </w:rPr>
              <w:t>10,749,148</w:t>
            </w:r>
          </w:p>
        </w:tc>
        <w:tc>
          <w:tcPr>
            <w:tcW w:w="50" w:type="pct"/>
            <w:shd w:val="clear" w:color="auto" w:fill="FFFFFF"/>
            <w:vAlign w:val="bottom"/>
            <w:hideMark/>
          </w:tcPr>
          <w:p w14:paraId="50C459D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7B814D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C04D76D" w14:textId="77777777" w:rsidR="00000000" w:rsidRDefault="0053651E">
            <w:pPr>
              <w:pStyle w:val="a3"/>
              <w:spacing w:before="0" w:beforeAutospacing="0" w:after="0" w:afterAutospacing="0"/>
              <w:jc w:val="center"/>
              <w:rPr>
                <w:sz w:val="16"/>
                <w:szCs w:val="16"/>
              </w:rPr>
            </w:pPr>
            <w:r>
              <w:rPr>
                <w:rStyle w:val="a6"/>
                <w:i w:val="0"/>
                <w:iCs w:val="0"/>
                <w:sz w:val="16"/>
                <w:szCs w:val="16"/>
              </w:rPr>
              <w:t>2015(C)</w:t>
            </w:r>
          </w:p>
        </w:tc>
      </w:tr>
      <w:tr w:rsidR="00000000" w14:paraId="311FFAFE" w14:textId="77777777">
        <w:trPr>
          <w:tblCellSpacing w:w="0" w:type="dxa"/>
        </w:trPr>
        <w:tc>
          <w:tcPr>
            <w:tcW w:w="50" w:type="pct"/>
            <w:shd w:val="clear" w:color="auto" w:fill="CCEEFF"/>
            <w:vAlign w:val="bottom"/>
            <w:hideMark/>
          </w:tcPr>
          <w:p w14:paraId="2D8874F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6FB57B4" w14:textId="77777777" w:rsidR="00000000" w:rsidRDefault="0053651E">
            <w:pPr>
              <w:pStyle w:val="a3"/>
              <w:spacing w:before="0" w:beforeAutospacing="0" w:after="0" w:afterAutospacing="0"/>
              <w:rPr>
                <w:sz w:val="16"/>
                <w:szCs w:val="16"/>
              </w:rPr>
            </w:pPr>
            <w:r>
              <w:rPr>
                <w:sz w:val="16"/>
                <w:szCs w:val="16"/>
              </w:rPr>
              <w:t>REXVILLE TOWN CENTER</w:t>
            </w:r>
          </w:p>
        </w:tc>
        <w:tc>
          <w:tcPr>
            <w:tcW w:w="150" w:type="pct"/>
            <w:shd w:val="clear" w:color="auto" w:fill="CCEEFF"/>
            <w:vAlign w:val="bottom"/>
            <w:hideMark/>
          </w:tcPr>
          <w:p w14:paraId="536094E4"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3B3CDC60" w14:textId="77777777" w:rsidR="00000000" w:rsidRDefault="0053651E">
            <w:pPr>
              <w:jc w:val="right"/>
              <w:rPr>
                <w:rFonts w:eastAsia="Times New Roman"/>
                <w:sz w:val="16"/>
                <w:szCs w:val="16"/>
              </w:rPr>
            </w:pPr>
            <w:r>
              <w:rPr>
                <w:rFonts w:eastAsia="Times New Roman"/>
                <w:sz w:val="16"/>
                <w:szCs w:val="16"/>
              </w:rPr>
              <w:t>24,872,982</w:t>
            </w:r>
          </w:p>
        </w:tc>
        <w:tc>
          <w:tcPr>
            <w:tcW w:w="550" w:type="pct"/>
            <w:shd w:val="clear" w:color="auto" w:fill="CCEEFF"/>
            <w:vAlign w:val="bottom"/>
            <w:hideMark/>
          </w:tcPr>
          <w:p w14:paraId="28DF17C8" w14:textId="77777777" w:rsidR="00000000" w:rsidRDefault="0053651E">
            <w:pPr>
              <w:jc w:val="right"/>
              <w:rPr>
                <w:rFonts w:eastAsia="Times New Roman"/>
                <w:sz w:val="16"/>
                <w:szCs w:val="16"/>
              </w:rPr>
            </w:pPr>
            <w:r>
              <w:rPr>
                <w:rFonts w:eastAsia="Times New Roman"/>
                <w:sz w:val="16"/>
                <w:szCs w:val="16"/>
              </w:rPr>
              <w:t>48,688,161</w:t>
            </w:r>
          </w:p>
        </w:tc>
        <w:tc>
          <w:tcPr>
            <w:tcW w:w="350" w:type="pct"/>
            <w:shd w:val="clear" w:color="auto" w:fill="CCEEFF"/>
            <w:vAlign w:val="bottom"/>
            <w:hideMark/>
          </w:tcPr>
          <w:p w14:paraId="11A02362" w14:textId="77777777" w:rsidR="00000000" w:rsidRDefault="0053651E">
            <w:pPr>
              <w:jc w:val="right"/>
              <w:rPr>
                <w:rFonts w:eastAsia="Times New Roman"/>
                <w:sz w:val="16"/>
                <w:szCs w:val="16"/>
              </w:rPr>
            </w:pPr>
            <w:r>
              <w:rPr>
                <w:rFonts w:eastAsia="Times New Roman"/>
                <w:sz w:val="16"/>
                <w:szCs w:val="16"/>
              </w:rPr>
              <w:t>9,052,394</w:t>
            </w:r>
          </w:p>
        </w:tc>
        <w:tc>
          <w:tcPr>
            <w:tcW w:w="300" w:type="pct"/>
            <w:shd w:val="clear" w:color="auto" w:fill="CCEEFF"/>
            <w:vAlign w:val="bottom"/>
            <w:hideMark/>
          </w:tcPr>
          <w:p w14:paraId="477A2444" w14:textId="77777777" w:rsidR="00000000" w:rsidRDefault="0053651E">
            <w:pPr>
              <w:jc w:val="right"/>
              <w:rPr>
                <w:rFonts w:eastAsia="Times New Roman"/>
                <w:sz w:val="16"/>
                <w:szCs w:val="16"/>
              </w:rPr>
            </w:pPr>
            <w:r>
              <w:rPr>
                <w:rFonts w:eastAsia="Times New Roman"/>
                <w:sz w:val="16"/>
                <w:szCs w:val="16"/>
              </w:rPr>
              <w:t>25,678,064</w:t>
            </w:r>
          </w:p>
        </w:tc>
        <w:tc>
          <w:tcPr>
            <w:tcW w:w="450" w:type="pct"/>
            <w:shd w:val="clear" w:color="auto" w:fill="CCEEFF"/>
            <w:vAlign w:val="bottom"/>
            <w:hideMark/>
          </w:tcPr>
          <w:p w14:paraId="33CE315A" w14:textId="77777777" w:rsidR="00000000" w:rsidRDefault="0053651E">
            <w:pPr>
              <w:jc w:val="right"/>
              <w:rPr>
                <w:rFonts w:eastAsia="Times New Roman"/>
                <w:sz w:val="16"/>
                <w:szCs w:val="16"/>
              </w:rPr>
            </w:pPr>
            <w:r>
              <w:rPr>
                <w:rFonts w:eastAsia="Times New Roman"/>
                <w:sz w:val="16"/>
                <w:szCs w:val="16"/>
              </w:rPr>
              <w:t>56,935,473</w:t>
            </w:r>
          </w:p>
        </w:tc>
        <w:tc>
          <w:tcPr>
            <w:tcW w:w="350" w:type="pct"/>
            <w:shd w:val="clear" w:color="auto" w:fill="CCEEFF"/>
            <w:vAlign w:val="bottom"/>
            <w:hideMark/>
          </w:tcPr>
          <w:p w14:paraId="08480BB6" w14:textId="77777777" w:rsidR="00000000" w:rsidRDefault="0053651E">
            <w:pPr>
              <w:jc w:val="right"/>
              <w:rPr>
                <w:rFonts w:eastAsia="Times New Roman"/>
                <w:sz w:val="16"/>
                <w:szCs w:val="16"/>
              </w:rPr>
            </w:pPr>
            <w:r>
              <w:rPr>
                <w:rFonts w:eastAsia="Times New Roman"/>
                <w:sz w:val="16"/>
                <w:szCs w:val="16"/>
              </w:rPr>
              <w:t>82,613,537</w:t>
            </w:r>
          </w:p>
        </w:tc>
        <w:tc>
          <w:tcPr>
            <w:tcW w:w="400" w:type="pct"/>
            <w:shd w:val="clear" w:color="auto" w:fill="CCEEFF"/>
            <w:vAlign w:val="bottom"/>
            <w:hideMark/>
          </w:tcPr>
          <w:p w14:paraId="4EF5F991" w14:textId="77777777" w:rsidR="00000000" w:rsidRDefault="0053651E">
            <w:pPr>
              <w:jc w:val="right"/>
              <w:rPr>
                <w:rFonts w:eastAsia="Times New Roman"/>
                <w:sz w:val="16"/>
                <w:szCs w:val="16"/>
              </w:rPr>
            </w:pPr>
            <w:r>
              <w:rPr>
                <w:rFonts w:eastAsia="Times New Roman"/>
                <w:sz w:val="16"/>
                <w:szCs w:val="16"/>
              </w:rPr>
              <w:t>34,082,939</w:t>
            </w:r>
          </w:p>
        </w:tc>
        <w:tc>
          <w:tcPr>
            <w:tcW w:w="50" w:type="pct"/>
            <w:shd w:val="clear" w:color="auto" w:fill="CCEEFF"/>
            <w:vAlign w:val="bottom"/>
            <w:hideMark/>
          </w:tcPr>
          <w:p w14:paraId="4D740F3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87854CB" w14:textId="77777777" w:rsidR="00000000" w:rsidRDefault="0053651E">
            <w:pPr>
              <w:jc w:val="right"/>
              <w:rPr>
                <w:rFonts w:eastAsia="Times New Roman"/>
                <w:sz w:val="16"/>
                <w:szCs w:val="16"/>
              </w:rPr>
            </w:pPr>
            <w:r>
              <w:rPr>
                <w:rFonts w:eastAsia="Times New Roman"/>
                <w:sz w:val="16"/>
                <w:szCs w:val="16"/>
              </w:rPr>
              <w:t>48,530,598</w:t>
            </w:r>
          </w:p>
        </w:tc>
        <w:tc>
          <w:tcPr>
            <w:tcW w:w="50" w:type="pct"/>
            <w:shd w:val="clear" w:color="auto" w:fill="CCEEFF"/>
            <w:vAlign w:val="bottom"/>
            <w:hideMark/>
          </w:tcPr>
          <w:p w14:paraId="3B59E93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3545AA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626FF60"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0D32CDA0" w14:textId="77777777">
        <w:trPr>
          <w:tblCellSpacing w:w="0" w:type="dxa"/>
        </w:trPr>
        <w:tc>
          <w:tcPr>
            <w:tcW w:w="50" w:type="pct"/>
            <w:shd w:val="clear" w:color="auto" w:fill="FFFFFF"/>
            <w:vAlign w:val="bottom"/>
            <w:hideMark/>
          </w:tcPr>
          <w:p w14:paraId="32ECA91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C1F570E" w14:textId="77777777" w:rsidR="00000000" w:rsidRDefault="0053651E">
            <w:pPr>
              <w:pStyle w:val="a3"/>
              <w:spacing w:before="0" w:beforeAutospacing="0" w:after="0" w:afterAutospacing="0"/>
              <w:rPr>
                <w:sz w:val="16"/>
                <w:szCs w:val="16"/>
              </w:rPr>
            </w:pPr>
            <w:r>
              <w:rPr>
                <w:sz w:val="16"/>
                <w:szCs w:val="16"/>
              </w:rPr>
              <w:t>PLAZA CENTRO - COSTCO</w:t>
            </w:r>
          </w:p>
        </w:tc>
        <w:tc>
          <w:tcPr>
            <w:tcW w:w="150" w:type="pct"/>
            <w:shd w:val="clear" w:color="auto" w:fill="FFFFFF"/>
            <w:vAlign w:val="bottom"/>
            <w:hideMark/>
          </w:tcPr>
          <w:p w14:paraId="195B986B"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69F2FCA9" w14:textId="77777777" w:rsidR="00000000" w:rsidRDefault="0053651E">
            <w:pPr>
              <w:jc w:val="right"/>
              <w:rPr>
                <w:rFonts w:eastAsia="Times New Roman"/>
                <w:sz w:val="16"/>
                <w:szCs w:val="16"/>
              </w:rPr>
            </w:pPr>
            <w:r>
              <w:rPr>
                <w:rFonts w:eastAsia="Times New Roman"/>
                <w:sz w:val="16"/>
                <w:szCs w:val="16"/>
              </w:rPr>
              <w:t>3,627,973</w:t>
            </w:r>
          </w:p>
        </w:tc>
        <w:tc>
          <w:tcPr>
            <w:tcW w:w="550" w:type="pct"/>
            <w:shd w:val="clear" w:color="auto" w:fill="FFFFFF"/>
            <w:vAlign w:val="bottom"/>
            <w:hideMark/>
          </w:tcPr>
          <w:p w14:paraId="29D3DDA6" w14:textId="77777777" w:rsidR="00000000" w:rsidRDefault="0053651E">
            <w:pPr>
              <w:jc w:val="right"/>
              <w:rPr>
                <w:rFonts w:eastAsia="Times New Roman"/>
                <w:sz w:val="16"/>
                <w:szCs w:val="16"/>
              </w:rPr>
            </w:pPr>
            <w:r>
              <w:rPr>
                <w:rFonts w:eastAsia="Times New Roman"/>
                <w:sz w:val="16"/>
                <w:szCs w:val="16"/>
              </w:rPr>
              <w:t>10,752,213</w:t>
            </w:r>
          </w:p>
        </w:tc>
        <w:tc>
          <w:tcPr>
            <w:tcW w:w="350" w:type="pct"/>
            <w:shd w:val="clear" w:color="auto" w:fill="FFFFFF"/>
            <w:vAlign w:val="bottom"/>
            <w:hideMark/>
          </w:tcPr>
          <w:p w14:paraId="3FEB059E" w14:textId="77777777" w:rsidR="00000000" w:rsidRDefault="0053651E">
            <w:pPr>
              <w:jc w:val="right"/>
              <w:rPr>
                <w:rFonts w:eastAsia="Times New Roman"/>
                <w:sz w:val="16"/>
                <w:szCs w:val="16"/>
              </w:rPr>
            </w:pPr>
            <w:r>
              <w:rPr>
                <w:rFonts w:eastAsia="Times New Roman"/>
                <w:sz w:val="16"/>
                <w:szCs w:val="16"/>
              </w:rPr>
              <w:t>1,573,414</w:t>
            </w:r>
          </w:p>
        </w:tc>
        <w:tc>
          <w:tcPr>
            <w:tcW w:w="300" w:type="pct"/>
            <w:shd w:val="clear" w:color="auto" w:fill="FFFFFF"/>
            <w:vAlign w:val="bottom"/>
            <w:hideMark/>
          </w:tcPr>
          <w:p w14:paraId="36434FD9" w14:textId="77777777" w:rsidR="00000000" w:rsidRDefault="0053651E">
            <w:pPr>
              <w:jc w:val="right"/>
              <w:rPr>
                <w:rFonts w:eastAsia="Times New Roman"/>
                <w:sz w:val="16"/>
                <w:szCs w:val="16"/>
              </w:rPr>
            </w:pPr>
            <w:r>
              <w:rPr>
                <w:rFonts w:eastAsia="Times New Roman"/>
                <w:sz w:val="16"/>
                <w:szCs w:val="16"/>
              </w:rPr>
              <w:t>3,866,206</w:t>
            </w:r>
          </w:p>
        </w:tc>
        <w:tc>
          <w:tcPr>
            <w:tcW w:w="450" w:type="pct"/>
            <w:shd w:val="clear" w:color="auto" w:fill="FFFFFF"/>
            <w:vAlign w:val="bottom"/>
            <w:hideMark/>
          </w:tcPr>
          <w:p w14:paraId="4F5AFC51" w14:textId="77777777" w:rsidR="00000000" w:rsidRDefault="0053651E">
            <w:pPr>
              <w:jc w:val="right"/>
              <w:rPr>
                <w:rFonts w:eastAsia="Times New Roman"/>
                <w:sz w:val="16"/>
                <w:szCs w:val="16"/>
              </w:rPr>
            </w:pPr>
            <w:r>
              <w:rPr>
                <w:rFonts w:eastAsia="Times New Roman"/>
                <w:sz w:val="16"/>
                <w:szCs w:val="16"/>
              </w:rPr>
              <w:t>12,087,394</w:t>
            </w:r>
          </w:p>
        </w:tc>
        <w:tc>
          <w:tcPr>
            <w:tcW w:w="350" w:type="pct"/>
            <w:shd w:val="clear" w:color="auto" w:fill="FFFFFF"/>
            <w:vAlign w:val="bottom"/>
            <w:hideMark/>
          </w:tcPr>
          <w:p w14:paraId="708E8A03" w14:textId="77777777" w:rsidR="00000000" w:rsidRDefault="0053651E">
            <w:pPr>
              <w:jc w:val="right"/>
              <w:rPr>
                <w:rFonts w:eastAsia="Times New Roman"/>
                <w:sz w:val="16"/>
                <w:szCs w:val="16"/>
              </w:rPr>
            </w:pPr>
            <w:r>
              <w:rPr>
                <w:rFonts w:eastAsia="Times New Roman"/>
                <w:sz w:val="16"/>
                <w:szCs w:val="16"/>
              </w:rPr>
              <w:t>15,953,600</w:t>
            </w:r>
          </w:p>
        </w:tc>
        <w:tc>
          <w:tcPr>
            <w:tcW w:w="400" w:type="pct"/>
            <w:shd w:val="clear" w:color="auto" w:fill="FFFFFF"/>
            <w:vAlign w:val="bottom"/>
            <w:hideMark/>
          </w:tcPr>
          <w:p w14:paraId="27518615" w14:textId="77777777" w:rsidR="00000000" w:rsidRDefault="0053651E">
            <w:pPr>
              <w:jc w:val="right"/>
              <w:rPr>
                <w:rFonts w:eastAsia="Times New Roman"/>
                <w:sz w:val="16"/>
                <w:szCs w:val="16"/>
              </w:rPr>
            </w:pPr>
            <w:r>
              <w:rPr>
                <w:rFonts w:eastAsia="Times New Roman"/>
                <w:sz w:val="16"/>
                <w:szCs w:val="16"/>
              </w:rPr>
              <w:t>7,023,953</w:t>
            </w:r>
          </w:p>
        </w:tc>
        <w:tc>
          <w:tcPr>
            <w:tcW w:w="50" w:type="pct"/>
            <w:shd w:val="clear" w:color="auto" w:fill="FFFFFF"/>
            <w:vAlign w:val="bottom"/>
            <w:hideMark/>
          </w:tcPr>
          <w:p w14:paraId="7D91AA2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83A2BF4" w14:textId="77777777" w:rsidR="00000000" w:rsidRDefault="0053651E">
            <w:pPr>
              <w:jc w:val="right"/>
              <w:rPr>
                <w:rFonts w:eastAsia="Times New Roman"/>
                <w:sz w:val="16"/>
                <w:szCs w:val="16"/>
              </w:rPr>
            </w:pPr>
            <w:r>
              <w:rPr>
                <w:rFonts w:eastAsia="Times New Roman"/>
                <w:sz w:val="16"/>
                <w:szCs w:val="16"/>
              </w:rPr>
              <w:t>8,929,647</w:t>
            </w:r>
          </w:p>
        </w:tc>
        <w:tc>
          <w:tcPr>
            <w:tcW w:w="50" w:type="pct"/>
            <w:shd w:val="clear" w:color="auto" w:fill="FFFFFF"/>
            <w:vAlign w:val="bottom"/>
            <w:hideMark/>
          </w:tcPr>
          <w:p w14:paraId="4AB5250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25B55C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4F60537"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F716715" w14:textId="77777777">
        <w:trPr>
          <w:tblCellSpacing w:w="0" w:type="dxa"/>
        </w:trPr>
        <w:tc>
          <w:tcPr>
            <w:tcW w:w="50" w:type="pct"/>
            <w:shd w:val="clear" w:color="auto" w:fill="CCEEFF"/>
            <w:vAlign w:val="bottom"/>
            <w:hideMark/>
          </w:tcPr>
          <w:p w14:paraId="710720E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9863D72" w14:textId="77777777" w:rsidR="00000000" w:rsidRDefault="0053651E">
            <w:pPr>
              <w:pStyle w:val="a3"/>
              <w:spacing w:before="0" w:beforeAutospacing="0" w:after="0" w:afterAutospacing="0"/>
              <w:rPr>
                <w:sz w:val="16"/>
                <w:szCs w:val="16"/>
              </w:rPr>
            </w:pPr>
            <w:r>
              <w:rPr>
                <w:sz w:val="16"/>
                <w:szCs w:val="16"/>
              </w:rPr>
              <w:t>PLAZA CENTRO - MALL</w:t>
            </w:r>
          </w:p>
        </w:tc>
        <w:tc>
          <w:tcPr>
            <w:tcW w:w="150" w:type="pct"/>
            <w:shd w:val="clear" w:color="auto" w:fill="CCEEFF"/>
            <w:vAlign w:val="bottom"/>
            <w:hideMark/>
          </w:tcPr>
          <w:p w14:paraId="6DF01E3F"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2FC53CF1" w14:textId="77777777" w:rsidR="00000000" w:rsidRDefault="0053651E">
            <w:pPr>
              <w:jc w:val="right"/>
              <w:rPr>
                <w:rFonts w:eastAsia="Times New Roman"/>
                <w:sz w:val="16"/>
                <w:szCs w:val="16"/>
              </w:rPr>
            </w:pPr>
            <w:r>
              <w:rPr>
                <w:rFonts w:eastAsia="Times New Roman"/>
                <w:sz w:val="16"/>
                <w:szCs w:val="16"/>
              </w:rPr>
              <w:t>19,873,263</w:t>
            </w:r>
          </w:p>
        </w:tc>
        <w:tc>
          <w:tcPr>
            <w:tcW w:w="550" w:type="pct"/>
            <w:shd w:val="clear" w:color="auto" w:fill="CCEEFF"/>
            <w:vAlign w:val="bottom"/>
            <w:hideMark/>
          </w:tcPr>
          <w:p w14:paraId="3CBFAC50" w14:textId="77777777" w:rsidR="00000000" w:rsidRDefault="0053651E">
            <w:pPr>
              <w:jc w:val="right"/>
              <w:rPr>
                <w:rFonts w:eastAsia="Times New Roman"/>
                <w:sz w:val="16"/>
                <w:szCs w:val="16"/>
              </w:rPr>
            </w:pPr>
            <w:r>
              <w:rPr>
                <w:rFonts w:eastAsia="Times New Roman"/>
                <w:sz w:val="16"/>
                <w:szCs w:val="16"/>
              </w:rPr>
              <w:t>58,719,179</w:t>
            </w:r>
          </w:p>
        </w:tc>
        <w:tc>
          <w:tcPr>
            <w:tcW w:w="350" w:type="pct"/>
            <w:shd w:val="clear" w:color="auto" w:fill="CCEEFF"/>
            <w:vAlign w:val="bottom"/>
            <w:hideMark/>
          </w:tcPr>
          <w:p w14:paraId="20424CD6" w14:textId="77777777" w:rsidR="00000000" w:rsidRDefault="0053651E">
            <w:pPr>
              <w:jc w:val="right"/>
              <w:rPr>
                <w:rFonts w:eastAsia="Times New Roman"/>
                <w:sz w:val="16"/>
                <w:szCs w:val="16"/>
              </w:rPr>
            </w:pPr>
            <w:r>
              <w:rPr>
                <w:rFonts w:eastAsia="Times New Roman"/>
                <w:sz w:val="16"/>
                <w:szCs w:val="16"/>
              </w:rPr>
              <w:t>12,064,119</w:t>
            </w:r>
          </w:p>
        </w:tc>
        <w:tc>
          <w:tcPr>
            <w:tcW w:w="300" w:type="pct"/>
            <w:shd w:val="clear" w:color="auto" w:fill="CCEEFF"/>
            <w:vAlign w:val="bottom"/>
            <w:hideMark/>
          </w:tcPr>
          <w:p w14:paraId="2A8A6411" w14:textId="77777777" w:rsidR="00000000" w:rsidRDefault="0053651E">
            <w:pPr>
              <w:jc w:val="right"/>
              <w:rPr>
                <w:rFonts w:eastAsia="Times New Roman"/>
                <w:sz w:val="16"/>
                <w:szCs w:val="16"/>
              </w:rPr>
            </w:pPr>
            <w:r>
              <w:rPr>
                <w:rFonts w:eastAsia="Times New Roman"/>
                <w:sz w:val="16"/>
                <w:szCs w:val="16"/>
              </w:rPr>
              <w:t>19,408,112</w:t>
            </w:r>
          </w:p>
        </w:tc>
        <w:tc>
          <w:tcPr>
            <w:tcW w:w="450" w:type="pct"/>
            <w:shd w:val="clear" w:color="auto" w:fill="CCEEFF"/>
            <w:vAlign w:val="bottom"/>
            <w:hideMark/>
          </w:tcPr>
          <w:p w14:paraId="1A2DAE1B" w14:textId="77777777" w:rsidR="00000000" w:rsidRDefault="0053651E">
            <w:pPr>
              <w:jc w:val="right"/>
              <w:rPr>
                <w:rFonts w:eastAsia="Times New Roman"/>
                <w:sz w:val="16"/>
                <w:szCs w:val="16"/>
              </w:rPr>
            </w:pPr>
            <w:r>
              <w:rPr>
                <w:rFonts w:eastAsia="Times New Roman"/>
                <w:sz w:val="16"/>
                <w:szCs w:val="16"/>
              </w:rPr>
              <w:t>71,248,449</w:t>
            </w:r>
          </w:p>
        </w:tc>
        <w:tc>
          <w:tcPr>
            <w:tcW w:w="350" w:type="pct"/>
            <w:shd w:val="clear" w:color="auto" w:fill="CCEEFF"/>
            <w:vAlign w:val="bottom"/>
            <w:hideMark/>
          </w:tcPr>
          <w:p w14:paraId="657CF1B0" w14:textId="77777777" w:rsidR="00000000" w:rsidRDefault="0053651E">
            <w:pPr>
              <w:jc w:val="right"/>
              <w:rPr>
                <w:rFonts w:eastAsia="Times New Roman"/>
                <w:sz w:val="16"/>
                <w:szCs w:val="16"/>
              </w:rPr>
            </w:pPr>
            <w:r>
              <w:rPr>
                <w:rFonts w:eastAsia="Times New Roman"/>
                <w:sz w:val="16"/>
                <w:szCs w:val="16"/>
              </w:rPr>
              <w:t>90,656,561</w:t>
            </w:r>
          </w:p>
        </w:tc>
        <w:tc>
          <w:tcPr>
            <w:tcW w:w="400" w:type="pct"/>
            <w:shd w:val="clear" w:color="auto" w:fill="CCEEFF"/>
            <w:vAlign w:val="bottom"/>
            <w:hideMark/>
          </w:tcPr>
          <w:p w14:paraId="0550C967" w14:textId="77777777" w:rsidR="00000000" w:rsidRDefault="0053651E">
            <w:pPr>
              <w:jc w:val="right"/>
              <w:rPr>
                <w:rFonts w:eastAsia="Times New Roman"/>
                <w:sz w:val="16"/>
                <w:szCs w:val="16"/>
              </w:rPr>
            </w:pPr>
            <w:r>
              <w:rPr>
                <w:rFonts w:eastAsia="Times New Roman"/>
                <w:sz w:val="16"/>
                <w:szCs w:val="16"/>
              </w:rPr>
              <w:t>36,097,806</w:t>
            </w:r>
          </w:p>
        </w:tc>
        <w:tc>
          <w:tcPr>
            <w:tcW w:w="50" w:type="pct"/>
            <w:shd w:val="clear" w:color="auto" w:fill="CCEEFF"/>
            <w:vAlign w:val="bottom"/>
            <w:hideMark/>
          </w:tcPr>
          <w:p w14:paraId="074B2D7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A1B044A" w14:textId="77777777" w:rsidR="00000000" w:rsidRDefault="0053651E">
            <w:pPr>
              <w:jc w:val="right"/>
              <w:rPr>
                <w:rFonts w:eastAsia="Times New Roman"/>
                <w:sz w:val="16"/>
                <w:szCs w:val="16"/>
              </w:rPr>
            </w:pPr>
            <w:r>
              <w:rPr>
                <w:rFonts w:eastAsia="Times New Roman"/>
                <w:sz w:val="16"/>
                <w:szCs w:val="16"/>
              </w:rPr>
              <w:t>54,558,755</w:t>
            </w:r>
          </w:p>
        </w:tc>
        <w:tc>
          <w:tcPr>
            <w:tcW w:w="50" w:type="pct"/>
            <w:shd w:val="clear" w:color="auto" w:fill="CCEEFF"/>
            <w:vAlign w:val="bottom"/>
            <w:hideMark/>
          </w:tcPr>
          <w:p w14:paraId="29808C9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39E1A1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35B44F6"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329E2565" w14:textId="77777777">
        <w:trPr>
          <w:tblCellSpacing w:w="0" w:type="dxa"/>
        </w:trPr>
        <w:tc>
          <w:tcPr>
            <w:tcW w:w="50" w:type="pct"/>
            <w:shd w:val="clear" w:color="auto" w:fill="FFFFFF"/>
            <w:vAlign w:val="bottom"/>
            <w:hideMark/>
          </w:tcPr>
          <w:p w14:paraId="3C8C890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6721A93" w14:textId="77777777" w:rsidR="00000000" w:rsidRDefault="0053651E">
            <w:pPr>
              <w:pStyle w:val="a3"/>
              <w:spacing w:before="0" w:beforeAutospacing="0" w:after="0" w:afterAutospacing="0"/>
              <w:rPr>
                <w:sz w:val="16"/>
                <w:szCs w:val="16"/>
              </w:rPr>
            </w:pPr>
            <w:r>
              <w:rPr>
                <w:sz w:val="16"/>
                <w:szCs w:val="16"/>
              </w:rPr>
              <w:t>PLAZA CENTRO - RETAIL</w:t>
            </w:r>
          </w:p>
        </w:tc>
        <w:tc>
          <w:tcPr>
            <w:tcW w:w="150" w:type="pct"/>
            <w:shd w:val="clear" w:color="auto" w:fill="FFFFFF"/>
            <w:vAlign w:val="bottom"/>
            <w:hideMark/>
          </w:tcPr>
          <w:p w14:paraId="1272605B"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48E74CB6" w14:textId="77777777" w:rsidR="00000000" w:rsidRDefault="0053651E">
            <w:pPr>
              <w:jc w:val="right"/>
              <w:rPr>
                <w:rFonts w:eastAsia="Times New Roman"/>
                <w:sz w:val="16"/>
                <w:szCs w:val="16"/>
              </w:rPr>
            </w:pPr>
            <w:r>
              <w:rPr>
                <w:rFonts w:eastAsia="Times New Roman"/>
                <w:sz w:val="16"/>
                <w:szCs w:val="16"/>
              </w:rPr>
              <w:t>5,935,566</w:t>
            </w:r>
          </w:p>
        </w:tc>
        <w:tc>
          <w:tcPr>
            <w:tcW w:w="550" w:type="pct"/>
            <w:shd w:val="clear" w:color="auto" w:fill="FFFFFF"/>
            <w:vAlign w:val="bottom"/>
            <w:hideMark/>
          </w:tcPr>
          <w:p w14:paraId="6C76D129" w14:textId="77777777" w:rsidR="00000000" w:rsidRDefault="0053651E">
            <w:pPr>
              <w:jc w:val="right"/>
              <w:rPr>
                <w:rFonts w:eastAsia="Times New Roman"/>
                <w:sz w:val="16"/>
                <w:szCs w:val="16"/>
              </w:rPr>
            </w:pPr>
            <w:r>
              <w:rPr>
                <w:rFonts w:eastAsia="Times New Roman"/>
                <w:sz w:val="16"/>
                <w:szCs w:val="16"/>
              </w:rPr>
              <w:t>16,509,748</w:t>
            </w:r>
          </w:p>
        </w:tc>
        <w:tc>
          <w:tcPr>
            <w:tcW w:w="350" w:type="pct"/>
            <w:shd w:val="clear" w:color="auto" w:fill="FFFFFF"/>
            <w:vAlign w:val="bottom"/>
            <w:hideMark/>
          </w:tcPr>
          <w:p w14:paraId="2542F314" w14:textId="77777777" w:rsidR="00000000" w:rsidRDefault="0053651E">
            <w:pPr>
              <w:jc w:val="right"/>
              <w:rPr>
                <w:rFonts w:eastAsia="Times New Roman"/>
                <w:sz w:val="16"/>
                <w:szCs w:val="16"/>
              </w:rPr>
            </w:pPr>
            <w:r>
              <w:rPr>
                <w:rFonts w:eastAsia="Times New Roman"/>
                <w:sz w:val="16"/>
                <w:szCs w:val="16"/>
              </w:rPr>
              <w:t>3,089,515</w:t>
            </w:r>
          </w:p>
        </w:tc>
        <w:tc>
          <w:tcPr>
            <w:tcW w:w="300" w:type="pct"/>
            <w:shd w:val="clear" w:color="auto" w:fill="FFFFFF"/>
            <w:vAlign w:val="bottom"/>
            <w:hideMark/>
          </w:tcPr>
          <w:p w14:paraId="1474105F" w14:textId="77777777" w:rsidR="00000000" w:rsidRDefault="0053651E">
            <w:pPr>
              <w:jc w:val="right"/>
              <w:rPr>
                <w:rFonts w:eastAsia="Times New Roman"/>
                <w:sz w:val="16"/>
                <w:szCs w:val="16"/>
              </w:rPr>
            </w:pPr>
            <w:r>
              <w:rPr>
                <w:rFonts w:eastAsia="Times New Roman"/>
                <w:sz w:val="16"/>
                <w:szCs w:val="16"/>
              </w:rPr>
              <w:t>6,026,070</w:t>
            </w:r>
          </w:p>
        </w:tc>
        <w:tc>
          <w:tcPr>
            <w:tcW w:w="450" w:type="pct"/>
            <w:shd w:val="clear" w:color="auto" w:fill="FFFFFF"/>
            <w:vAlign w:val="bottom"/>
            <w:hideMark/>
          </w:tcPr>
          <w:p w14:paraId="43A4D8A4" w14:textId="77777777" w:rsidR="00000000" w:rsidRDefault="0053651E">
            <w:pPr>
              <w:jc w:val="right"/>
              <w:rPr>
                <w:rFonts w:eastAsia="Times New Roman"/>
                <w:sz w:val="16"/>
                <w:szCs w:val="16"/>
              </w:rPr>
            </w:pPr>
            <w:r>
              <w:rPr>
                <w:rFonts w:eastAsia="Times New Roman"/>
                <w:sz w:val="16"/>
                <w:szCs w:val="16"/>
              </w:rPr>
              <w:t>19,508,759</w:t>
            </w:r>
          </w:p>
        </w:tc>
        <w:tc>
          <w:tcPr>
            <w:tcW w:w="350" w:type="pct"/>
            <w:shd w:val="clear" w:color="auto" w:fill="FFFFFF"/>
            <w:vAlign w:val="bottom"/>
            <w:hideMark/>
          </w:tcPr>
          <w:p w14:paraId="2617D409" w14:textId="77777777" w:rsidR="00000000" w:rsidRDefault="0053651E">
            <w:pPr>
              <w:jc w:val="right"/>
              <w:rPr>
                <w:rFonts w:eastAsia="Times New Roman"/>
                <w:sz w:val="16"/>
                <w:szCs w:val="16"/>
              </w:rPr>
            </w:pPr>
            <w:r>
              <w:rPr>
                <w:rFonts w:eastAsia="Times New Roman"/>
                <w:sz w:val="16"/>
                <w:szCs w:val="16"/>
              </w:rPr>
              <w:t>25,534,829</w:t>
            </w:r>
          </w:p>
        </w:tc>
        <w:tc>
          <w:tcPr>
            <w:tcW w:w="400" w:type="pct"/>
            <w:shd w:val="clear" w:color="auto" w:fill="FFFFFF"/>
            <w:vAlign w:val="bottom"/>
            <w:hideMark/>
          </w:tcPr>
          <w:p w14:paraId="7B2E298B" w14:textId="77777777" w:rsidR="00000000" w:rsidRDefault="0053651E">
            <w:pPr>
              <w:jc w:val="right"/>
              <w:rPr>
                <w:rFonts w:eastAsia="Times New Roman"/>
                <w:sz w:val="16"/>
                <w:szCs w:val="16"/>
              </w:rPr>
            </w:pPr>
            <w:r>
              <w:rPr>
                <w:rFonts w:eastAsia="Times New Roman"/>
                <w:sz w:val="16"/>
                <w:szCs w:val="16"/>
              </w:rPr>
              <w:t>10,022,485</w:t>
            </w:r>
          </w:p>
        </w:tc>
        <w:tc>
          <w:tcPr>
            <w:tcW w:w="50" w:type="pct"/>
            <w:shd w:val="clear" w:color="auto" w:fill="FFFFFF"/>
            <w:vAlign w:val="bottom"/>
            <w:hideMark/>
          </w:tcPr>
          <w:p w14:paraId="34FCB64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DE89FB9" w14:textId="77777777" w:rsidR="00000000" w:rsidRDefault="0053651E">
            <w:pPr>
              <w:jc w:val="right"/>
              <w:rPr>
                <w:rFonts w:eastAsia="Times New Roman"/>
                <w:sz w:val="16"/>
                <w:szCs w:val="16"/>
              </w:rPr>
            </w:pPr>
            <w:r>
              <w:rPr>
                <w:rFonts w:eastAsia="Times New Roman"/>
                <w:sz w:val="16"/>
                <w:szCs w:val="16"/>
              </w:rPr>
              <w:t>15,512,344</w:t>
            </w:r>
          </w:p>
        </w:tc>
        <w:tc>
          <w:tcPr>
            <w:tcW w:w="50" w:type="pct"/>
            <w:shd w:val="clear" w:color="auto" w:fill="FFFFFF"/>
            <w:vAlign w:val="bottom"/>
            <w:hideMark/>
          </w:tcPr>
          <w:p w14:paraId="40445A5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949B4A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BA48C10"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402E3392" w14:textId="77777777">
        <w:trPr>
          <w:tblCellSpacing w:w="0" w:type="dxa"/>
        </w:trPr>
        <w:tc>
          <w:tcPr>
            <w:tcW w:w="50" w:type="pct"/>
            <w:shd w:val="clear" w:color="auto" w:fill="CCEEFF"/>
            <w:vAlign w:val="bottom"/>
            <w:hideMark/>
          </w:tcPr>
          <w:p w14:paraId="780D568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32BD53C8" w14:textId="77777777" w:rsidR="00000000" w:rsidRDefault="0053651E">
            <w:pPr>
              <w:pStyle w:val="a3"/>
              <w:spacing w:before="0" w:beforeAutospacing="0" w:after="0" w:afterAutospacing="0"/>
              <w:rPr>
                <w:sz w:val="16"/>
                <w:szCs w:val="16"/>
              </w:rPr>
            </w:pPr>
            <w:r>
              <w:rPr>
                <w:sz w:val="16"/>
                <w:szCs w:val="16"/>
              </w:rPr>
              <w:t>PLAZA CENTRO - SAM'S CLUB</w:t>
            </w:r>
          </w:p>
        </w:tc>
        <w:tc>
          <w:tcPr>
            <w:tcW w:w="150" w:type="pct"/>
            <w:shd w:val="clear" w:color="auto" w:fill="CCEEFF"/>
            <w:vAlign w:val="bottom"/>
            <w:hideMark/>
          </w:tcPr>
          <w:p w14:paraId="2443F84C"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5E9950E0" w14:textId="77777777" w:rsidR="00000000" w:rsidRDefault="0053651E">
            <w:pPr>
              <w:jc w:val="right"/>
              <w:rPr>
                <w:rFonts w:eastAsia="Times New Roman"/>
                <w:sz w:val="16"/>
                <w:szCs w:val="16"/>
              </w:rPr>
            </w:pPr>
            <w:r>
              <w:rPr>
                <w:rFonts w:eastAsia="Times New Roman"/>
                <w:sz w:val="16"/>
                <w:szCs w:val="16"/>
              </w:rPr>
              <w:t>6,643,224</w:t>
            </w:r>
          </w:p>
        </w:tc>
        <w:tc>
          <w:tcPr>
            <w:tcW w:w="550" w:type="pct"/>
            <w:shd w:val="clear" w:color="auto" w:fill="CCEEFF"/>
            <w:vAlign w:val="bottom"/>
            <w:hideMark/>
          </w:tcPr>
          <w:p w14:paraId="3AC09657" w14:textId="77777777" w:rsidR="00000000" w:rsidRDefault="0053651E">
            <w:pPr>
              <w:jc w:val="right"/>
              <w:rPr>
                <w:rFonts w:eastAsia="Times New Roman"/>
                <w:sz w:val="16"/>
                <w:szCs w:val="16"/>
              </w:rPr>
            </w:pPr>
            <w:r>
              <w:rPr>
                <w:rFonts w:eastAsia="Times New Roman"/>
                <w:sz w:val="16"/>
                <w:szCs w:val="16"/>
              </w:rPr>
              <w:t>20,224,758</w:t>
            </w:r>
          </w:p>
        </w:tc>
        <w:tc>
          <w:tcPr>
            <w:tcW w:w="350" w:type="pct"/>
            <w:shd w:val="clear" w:color="auto" w:fill="CCEEFF"/>
            <w:vAlign w:val="bottom"/>
            <w:hideMark/>
          </w:tcPr>
          <w:p w14:paraId="09544FD7" w14:textId="77777777" w:rsidR="00000000" w:rsidRDefault="0053651E">
            <w:pPr>
              <w:jc w:val="right"/>
              <w:rPr>
                <w:rFonts w:eastAsia="Times New Roman"/>
                <w:sz w:val="16"/>
                <w:szCs w:val="16"/>
              </w:rPr>
            </w:pPr>
            <w:r>
              <w:rPr>
                <w:rFonts w:eastAsia="Times New Roman"/>
                <w:sz w:val="16"/>
                <w:szCs w:val="16"/>
              </w:rPr>
              <w:t>2,766,593</w:t>
            </w:r>
          </w:p>
        </w:tc>
        <w:tc>
          <w:tcPr>
            <w:tcW w:w="300" w:type="pct"/>
            <w:shd w:val="clear" w:color="auto" w:fill="CCEEFF"/>
            <w:vAlign w:val="bottom"/>
            <w:hideMark/>
          </w:tcPr>
          <w:p w14:paraId="0287A27B" w14:textId="77777777" w:rsidR="00000000" w:rsidRDefault="0053651E">
            <w:pPr>
              <w:jc w:val="right"/>
              <w:rPr>
                <w:rFonts w:eastAsia="Times New Roman"/>
                <w:sz w:val="16"/>
                <w:szCs w:val="16"/>
              </w:rPr>
            </w:pPr>
            <w:r>
              <w:rPr>
                <w:rFonts w:eastAsia="Times New Roman"/>
                <w:sz w:val="16"/>
                <w:szCs w:val="16"/>
              </w:rPr>
              <w:t>6,520,090</w:t>
            </w:r>
          </w:p>
        </w:tc>
        <w:tc>
          <w:tcPr>
            <w:tcW w:w="450" w:type="pct"/>
            <w:shd w:val="clear" w:color="auto" w:fill="CCEEFF"/>
            <w:vAlign w:val="bottom"/>
            <w:hideMark/>
          </w:tcPr>
          <w:p w14:paraId="28710514" w14:textId="77777777" w:rsidR="00000000" w:rsidRDefault="0053651E">
            <w:pPr>
              <w:jc w:val="right"/>
              <w:rPr>
                <w:rFonts w:eastAsia="Times New Roman"/>
                <w:sz w:val="16"/>
                <w:szCs w:val="16"/>
              </w:rPr>
            </w:pPr>
            <w:r>
              <w:rPr>
                <w:rFonts w:eastAsia="Times New Roman"/>
                <w:sz w:val="16"/>
                <w:szCs w:val="16"/>
              </w:rPr>
              <w:t>23,114,485</w:t>
            </w:r>
          </w:p>
        </w:tc>
        <w:tc>
          <w:tcPr>
            <w:tcW w:w="350" w:type="pct"/>
            <w:shd w:val="clear" w:color="auto" w:fill="CCEEFF"/>
            <w:vAlign w:val="bottom"/>
            <w:hideMark/>
          </w:tcPr>
          <w:p w14:paraId="12DC932F" w14:textId="77777777" w:rsidR="00000000" w:rsidRDefault="0053651E">
            <w:pPr>
              <w:jc w:val="right"/>
              <w:rPr>
                <w:rFonts w:eastAsia="Times New Roman"/>
                <w:sz w:val="16"/>
                <w:szCs w:val="16"/>
              </w:rPr>
            </w:pPr>
            <w:r>
              <w:rPr>
                <w:rFonts w:eastAsia="Times New Roman"/>
                <w:sz w:val="16"/>
                <w:szCs w:val="16"/>
              </w:rPr>
              <w:t>29,634,575</w:t>
            </w:r>
          </w:p>
        </w:tc>
        <w:tc>
          <w:tcPr>
            <w:tcW w:w="400" w:type="pct"/>
            <w:shd w:val="clear" w:color="auto" w:fill="CCEEFF"/>
            <w:vAlign w:val="bottom"/>
            <w:hideMark/>
          </w:tcPr>
          <w:p w14:paraId="33071E0F" w14:textId="77777777" w:rsidR="00000000" w:rsidRDefault="0053651E">
            <w:pPr>
              <w:jc w:val="right"/>
              <w:rPr>
                <w:rFonts w:eastAsia="Times New Roman"/>
                <w:sz w:val="16"/>
                <w:szCs w:val="16"/>
              </w:rPr>
            </w:pPr>
            <w:r>
              <w:rPr>
                <w:rFonts w:eastAsia="Times New Roman"/>
                <w:sz w:val="16"/>
                <w:szCs w:val="16"/>
              </w:rPr>
              <w:t>21,787,949</w:t>
            </w:r>
          </w:p>
        </w:tc>
        <w:tc>
          <w:tcPr>
            <w:tcW w:w="50" w:type="pct"/>
            <w:shd w:val="clear" w:color="auto" w:fill="CCEEFF"/>
            <w:vAlign w:val="bottom"/>
            <w:hideMark/>
          </w:tcPr>
          <w:p w14:paraId="3318F0D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EDBC483" w14:textId="77777777" w:rsidR="00000000" w:rsidRDefault="0053651E">
            <w:pPr>
              <w:jc w:val="right"/>
              <w:rPr>
                <w:rFonts w:eastAsia="Times New Roman"/>
                <w:sz w:val="16"/>
                <w:szCs w:val="16"/>
              </w:rPr>
            </w:pPr>
            <w:r>
              <w:rPr>
                <w:rFonts w:eastAsia="Times New Roman"/>
                <w:sz w:val="16"/>
                <w:szCs w:val="16"/>
              </w:rPr>
              <w:t>7,846,626</w:t>
            </w:r>
          </w:p>
        </w:tc>
        <w:tc>
          <w:tcPr>
            <w:tcW w:w="50" w:type="pct"/>
            <w:shd w:val="clear" w:color="auto" w:fill="CCEEFF"/>
            <w:vAlign w:val="bottom"/>
            <w:hideMark/>
          </w:tcPr>
          <w:p w14:paraId="300ECB1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29190E9"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657121E5"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089BE994" w14:textId="77777777">
        <w:trPr>
          <w:tblCellSpacing w:w="0" w:type="dxa"/>
        </w:trPr>
        <w:tc>
          <w:tcPr>
            <w:tcW w:w="50" w:type="pct"/>
            <w:shd w:val="clear" w:color="auto" w:fill="FFFFFF"/>
            <w:vAlign w:val="bottom"/>
            <w:hideMark/>
          </w:tcPr>
          <w:p w14:paraId="477D38A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9F39652" w14:textId="77777777" w:rsidR="00000000" w:rsidRDefault="0053651E">
            <w:pPr>
              <w:pStyle w:val="a3"/>
              <w:spacing w:before="0" w:beforeAutospacing="0" w:after="0" w:afterAutospacing="0"/>
              <w:rPr>
                <w:sz w:val="16"/>
                <w:szCs w:val="16"/>
              </w:rPr>
            </w:pPr>
            <w:r>
              <w:rPr>
                <w:sz w:val="16"/>
                <w:szCs w:val="16"/>
              </w:rPr>
              <w:t>LOS COLOBOS - BUILDERS SQUARE</w:t>
            </w:r>
          </w:p>
        </w:tc>
        <w:tc>
          <w:tcPr>
            <w:tcW w:w="150" w:type="pct"/>
            <w:shd w:val="clear" w:color="auto" w:fill="FFFFFF"/>
            <w:vAlign w:val="bottom"/>
            <w:hideMark/>
          </w:tcPr>
          <w:p w14:paraId="00DA82FD"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59DFC40E" w14:textId="77777777" w:rsidR="00000000" w:rsidRDefault="0053651E">
            <w:pPr>
              <w:jc w:val="right"/>
              <w:rPr>
                <w:rFonts w:eastAsia="Times New Roman"/>
                <w:sz w:val="16"/>
                <w:szCs w:val="16"/>
              </w:rPr>
            </w:pPr>
            <w:r>
              <w:rPr>
                <w:rFonts w:eastAsia="Times New Roman"/>
                <w:sz w:val="16"/>
                <w:szCs w:val="16"/>
              </w:rPr>
              <w:t>4,404,593</w:t>
            </w:r>
          </w:p>
        </w:tc>
        <w:tc>
          <w:tcPr>
            <w:tcW w:w="550" w:type="pct"/>
            <w:shd w:val="clear" w:color="auto" w:fill="FFFFFF"/>
            <w:vAlign w:val="bottom"/>
            <w:hideMark/>
          </w:tcPr>
          <w:p w14:paraId="78712400" w14:textId="77777777" w:rsidR="00000000" w:rsidRDefault="0053651E">
            <w:pPr>
              <w:jc w:val="right"/>
              <w:rPr>
                <w:rFonts w:eastAsia="Times New Roman"/>
                <w:sz w:val="16"/>
                <w:szCs w:val="16"/>
              </w:rPr>
            </w:pPr>
            <w:r>
              <w:rPr>
                <w:rFonts w:eastAsia="Times New Roman"/>
                <w:sz w:val="16"/>
                <w:szCs w:val="16"/>
              </w:rPr>
              <w:t>9,627,903</w:t>
            </w:r>
          </w:p>
        </w:tc>
        <w:tc>
          <w:tcPr>
            <w:tcW w:w="350" w:type="pct"/>
            <w:shd w:val="clear" w:color="auto" w:fill="FFFFFF"/>
            <w:vAlign w:val="bottom"/>
            <w:hideMark/>
          </w:tcPr>
          <w:p w14:paraId="277F1447" w14:textId="77777777" w:rsidR="00000000" w:rsidRDefault="0053651E">
            <w:pPr>
              <w:jc w:val="right"/>
              <w:rPr>
                <w:rFonts w:eastAsia="Times New Roman"/>
                <w:sz w:val="16"/>
                <w:szCs w:val="16"/>
              </w:rPr>
            </w:pPr>
            <w:r>
              <w:rPr>
                <w:rFonts w:eastAsia="Times New Roman"/>
                <w:sz w:val="16"/>
                <w:szCs w:val="16"/>
              </w:rPr>
              <w:t>1,283,497</w:t>
            </w:r>
          </w:p>
        </w:tc>
        <w:tc>
          <w:tcPr>
            <w:tcW w:w="300" w:type="pct"/>
            <w:shd w:val="clear" w:color="auto" w:fill="FFFFFF"/>
            <w:vAlign w:val="bottom"/>
            <w:hideMark/>
          </w:tcPr>
          <w:p w14:paraId="5139C06F" w14:textId="77777777" w:rsidR="00000000" w:rsidRDefault="0053651E">
            <w:pPr>
              <w:jc w:val="right"/>
              <w:rPr>
                <w:rFonts w:eastAsia="Times New Roman"/>
                <w:sz w:val="16"/>
                <w:szCs w:val="16"/>
              </w:rPr>
            </w:pPr>
            <w:r>
              <w:rPr>
                <w:rFonts w:eastAsia="Times New Roman"/>
                <w:sz w:val="16"/>
                <w:szCs w:val="16"/>
              </w:rPr>
              <w:t>4,461,145</w:t>
            </w:r>
          </w:p>
        </w:tc>
        <w:tc>
          <w:tcPr>
            <w:tcW w:w="450" w:type="pct"/>
            <w:shd w:val="clear" w:color="auto" w:fill="FFFFFF"/>
            <w:vAlign w:val="bottom"/>
            <w:hideMark/>
          </w:tcPr>
          <w:p w14:paraId="2F983798" w14:textId="77777777" w:rsidR="00000000" w:rsidRDefault="0053651E">
            <w:pPr>
              <w:jc w:val="right"/>
              <w:rPr>
                <w:rFonts w:eastAsia="Times New Roman"/>
                <w:sz w:val="16"/>
                <w:szCs w:val="16"/>
              </w:rPr>
            </w:pPr>
            <w:r>
              <w:rPr>
                <w:rFonts w:eastAsia="Times New Roman"/>
                <w:sz w:val="16"/>
                <w:szCs w:val="16"/>
              </w:rPr>
              <w:t>10,854,848</w:t>
            </w:r>
          </w:p>
        </w:tc>
        <w:tc>
          <w:tcPr>
            <w:tcW w:w="350" w:type="pct"/>
            <w:shd w:val="clear" w:color="auto" w:fill="FFFFFF"/>
            <w:vAlign w:val="bottom"/>
            <w:hideMark/>
          </w:tcPr>
          <w:p w14:paraId="7D9990D1" w14:textId="77777777" w:rsidR="00000000" w:rsidRDefault="0053651E">
            <w:pPr>
              <w:jc w:val="right"/>
              <w:rPr>
                <w:rFonts w:eastAsia="Times New Roman"/>
                <w:sz w:val="16"/>
                <w:szCs w:val="16"/>
              </w:rPr>
            </w:pPr>
            <w:r>
              <w:rPr>
                <w:rFonts w:eastAsia="Times New Roman"/>
                <w:sz w:val="16"/>
                <w:szCs w:val="16"/>
              </w:rPr>
              <w:t>15,315,993</w:t>
            </w:r>
          </w:p>
        </w:tc>
        <w:tc>
          <w:tcPr>
            <w:tcW w:w="400" w:type="pct"/>
            <w:shd w:val="clear" w:color="auto" w:fill="FFFFFF"/>
            <w:vAlign w:val="bottom"/>
            <w:hideMark/>
          </w:tcPr>
          <w:p w14:paraId="07559086" w14:textId="77777777" w:rsidR="00000000" w:rsidRDefault="0053651E">
            <w:pPr>
              <w:jc w:val="right"/>
              <w:rPr>
                <w:rFonts w:eastAsia="Times New Roman"/>
                <w:sz w:val="16"/>
                <w:szCs w:val="16"/>
              </w:rPr>
            </w:pPr>
            <w:r>
              <w:rPr>
                <w:rFonts w:eastAsia="Times New Roman"/>
                <w:sz w:val="16"/>
                <w:szCs w:val="16"/>
              </w:rPr>
              <w:t>9,938,420</w:t>
            </w:r>
          </w:p>
        </w:tc>
        <w:tc>
          <w:tcPr>
            <w:tcW w:w="50" w:type="pct"/>
            <w:shd w:val="clear" w:color="auto" w:fill="FFFFFF"/>
            <w:vAlign w:val="bottom"/>
            <w:hideMark/>
          </w:tcPr>
          <w:p w14:paraId="78961C0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1BF017B" w14:textId="77777777" w:rsidR="00000000" w:rsidRDefault="0053651E">
            <w:pPr>
              <w:jc w:val="right"/>
              <w:rPr>
                <w:rFonts w:eastAsia="Times New Roman"/>
                <w:sz w:val="16"/>
                <w:szCs w:val="16"/>
              </w:rPr>
            </w:pPr>
            <w:r>
              <w:rPr>
                <w:rFonts w:eastAsia="Times New Roman"/>
                <w:sz w:val="16"/>
                <w:szCs w:val="16"/>
              </w:rPr>
              <w:t>5,377,573</w:t>
            </w:r>
          </w:p>
        </w:tc>
        <w:tc>
          <w:tcPr>
            <w:tcW w:w="50" w:type="pct"/>
            <w:shd w:val="clear" w:color="auto" w:fill="FFFFFF"/>
            <w:vAlign w:val="bottom"/>
            <w:hideMark/>
          </w:tcPr>
          <w:p w14:paraId="07A88EC0"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878FEA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4CEB254"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3248CCB" w14:textId="77777777">
        <w:trPr>
          <w:tblCellSpacing w:w="0" w:type="dxa"/>
        </w:trPr>
        <w:tc>
          <w:tcPr>
            <w:tcW w:w="50" w:type="pct"/>
            <w:shd w:val="clear" w:color="auto" w:fill="CCEEFF"/>
            <w:vAlign w:val="bottom"/>
            <w:hideMark/>
          </w:tcPr>
          <w:p w14:paraId="605C9AE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BB02680" w14:textId="77777777" w:rsidR="00000000" w:rsidRDefault="0053651E">
            <w:pPr>
              <w:pStyle w:val="a3"/>
              <w:spacing w:before="0" w:beforeAutospacing="0" w:after="0" w:afterAutospacing="0"/>
              <w:rPr>
                <w:sz w:val="16"/>
                <w:szCs w:val="16"/>
              </w:rPr>
            </w:pPr>
            <w:r>
              <w:rPr>
                <w:sz w:val="16"/>
                <w:szCs w:val="16"/>
              </w:rPr>
              <w:t>LOS COLOBOS - KMART</w:t>
            </w:r>
          </w:p>
        </w:tc>
        <w:tc>
          <w:tcPr>
            <w:tcW w:w="150" w:type="pct"/>
            <w:shd w:val="clear" w:color="auto" w:fill="CCEEFF"/>
            <w:vAlign w:val="bottom"/>
            <w:hideMark/>
          </w:tcPr>
          <w:p w14:paraId="0FC1E361"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1C3CC2C7" w14:textId="77777777" w:rsidR="00000000" w:rsidRDefault="0053651E">
            <w:pPr>
              <w:jc w:val="right"/>
              <w:rPr>
                <w:rFonts w:eastAsia="Times New Roman"/>
                <w:sz w:val="16"/>
                <w:szCs w:val="16"/>
              </w:rPr>
            </w:pPr>
            <w:r>
              <w:rPr>
                <w:rFonts w:eastAsia="Times New Roman"/>
                <w:sz w:val="16"/>
                <w:szCs w:val="16"/>
              </w:rPr>
              <w:t>4,594,944</w:t>
            </w:r>
          </w:p>
        </w:tc>
        <w:tc>
          <w:tcPr>
            <w:tcW w:w="550" w:type="pct"/>
            <w:shd w:val="clear" w:color="auto" w:fill="CCEEFF"/>
            <w:vAlign w:val="bottom"/>
            <w:hideMark/>
          </w:tcPr>
          <w:p w14:paraId="62090B28" w14:textId="77777777" w:rsidR="00000000" w:rsidRDefault="0053651E">
            <w:pPr>
              <w:jc w:val="right"/>
              <w:rPr>
                <w:rFonts w:eastAsia="Times New Roman"/>
                <w:sz w:val="16"/>
                <w:szCs w:val="16"/>
              </w:rPr>
            </w:pPr>
            <w:r>
              <w:rPr>
                <w:rFonts w:eastAsia="Times New Roman"/>
                <w:sz w:val="16"/>
                <w:szCs w:val="16"/>
              </w:rPr>
              <w:t>10,120,147</w:t>
            </w:r>
          </w:p>
        </w:tc>
        <w:tc>
          <w:tcPr>
            <w:tcW w:w="350" w:type="pct"/>
            <w:shd w:val="clear" w:color="auto" w:fill="CCEEFF"/>
            <w:vAlign w:val="bottom"/>
            <w:hideMark/>
          </w:tcPr>
          <w:p w14:paraId="0FFDE695" w14:textId="77777777" w:rsidR="00000000" w:rsidRDefault="0053651E">
            <w:pPr>
              <w:jc w:val="right"/>
              <w:rPr>
                <w:rFonts w:eastAsia="Times New Roman"/>
                <w:sz w:val="16"/>
                <w:szCs w:val="16"/>
              </w:rPr>
            </w:pPr>
            <w:r>
              <w:rPr>
                <w:rFonts w:eastAsia="Times New Roman"/>
                <w:sz w:val="16"/>
                <w:szCs w:val="16"/>
              </w:rPr>
              <w:t>789,782</w:t>
            </w:r>
          </w:p>
        </w:tc>
        <w:tc>
          <w:tcPr>
            <w:tcW w:w="300" w:type="pct"/>
            <w:shd w:val="clear" w:color="auto" w:fill="CCEEFF"/>
            <w:vAlign w:val="bottom"/>
            <w:hideMark/>
          </w:tcPr>
          <w:p w14:paraId="1A83AEEF" w14:textId="77777777" w:rsidR="00000000" w:rsidRDefault="0053651E">
            <w:pPr>
              <w:jc w:val="right"/>
              <w:rPr>
                <w:rFonts w:eastAsia="Times New Roman"/>
                <w:sz w:val="16"/>
                <w:szCs w:val="16"/>
              </w:rPr>
            </w:pPr>
            <w:r>
              <w:rPr>
                <w:rFonts w:eastAsia="Times New Roman"/>
                <w:sz w:val="16"/>
                <w:szCs w:val="16"/>
              </w:rPr>
              <w:t>4,402,338</w:t>
            </w:r>
          </w:p>
        </w:tc>
        <w:tc>
          <w:tcPr>
            <w:tcW w:w="450" w:type="pct"/>
            <w:shd w:val="clear" w:color="auto" w:fill="CCEEFF"/>
            <w:vAlign w:val="bottom"/>
            <w:hideMark/>
          </w:tcPr>
          <w:p w14:paraId="48DAC145" w14:textId="77777777" w:rsidR="00000000" w:rsidRDefault="0053651E">
            <w:pPr>
              <w:jc w:val="right"/>
              <w:rPr>
                <w:rFonts w:eastAsia="Times New Roman"/>
                <w:sz w:val="16"/>
                <w:szCs w:val="16"/>
              </w:rPr>
            </w:pPr>
            <w:r>
              <w:rPr>
                <w:rFonts w:eastAsia="Times New Roman"/>
                <w:sz w:val="16"/>
                <w:szCs w:val="16"/>
              </w:rPr>
              <w:t>11,102,535</w:t>
            </w:r>
          </w:p>
        </w:tc>
        <w:tc>
          <w:tcPr>
            <w:tcW w:w="350" w:type="pct"/>
            <w:shd w:val="clear" w:color="auto" w:fill="CCEEFF"/>
            <w:vAlign w:val="bottom"/>
            <w:hideMark/>
          </w:tcPr>
          <w:p w14:paraId="0B35419F" w14:textId="77777777" w:rsidR="00000000" w:rsidRDefault="0053651E">
            <w:pPr>
              <w:jc w:val="right"/>
              <w:rPr>
                <w:rFonts w:eastAsia="Times New Roman"/>
                <w:sz w:val="16"/>
                <w:szCs w:val="16"/>
              </w:rPr>
            </w:pPr>
            <w:r>
              <w:rPr>
                <w:rFonts w:eastAsia="Times New Roman"/>
                <w:sz w:val="16"/>
                <w:szCs w:val="16"/>
              </w:rPr>
              <w:t>15,504,873</w:t>
            </w:r>
          </w:p>
        </w:tc>
        <w:tc>
          <w:tcPr>
            <w:tcW w:w="400" w:type="pct"/>
            <w:shd w:val="clear" w:color="auto" w:fill="CCEEFF"/>
            <w:vAlign w:val="bottom"/>
            <w:hideMark/>
          </w:tcPr>
          <w:p w14:paraId="1523242A" w14:textId="77777777" w:rsidR="00000000" w:rsidRDefault="0053651E">
            <w:pPr>
              <w:jc w:val="right"/>
              <w:rPr>
                <w:rFonts w:eastAsia="Times New Roman"/>
                <w:sz w:val="16"/>
                <w:szCs w:val="16"/>
              </w:rPr>
            </w:pPr>
            <w:r>
              <w:rPr>
                <w:rFonts w:eastAsia="Times New Roman"/>
                <w:sz w:val="16"/>
                <w:szCs w:val="16"/>
              </w:rPr>
              <w:t>10,061,131</w:t>
            </w:r>
          </w:p>
        </w:tc>
        <w:tc>
          <w:tcPr>
            <w:tcW w:w="50" w:type="pct"/>
            <w:shd w:val="clear" w:color="auto" w:fill="CCEEFF"/>
            <w:vAlign w:val="bottom"/>
            <w:hideMark/>
          </w:tcPr>
          <w:p w14:paraId="002F29F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C699FE1" w14:textId="77777777" w:rsidR="00000000" w:rsidRDefault="0053651E">
            <w:pPr>
              <w:jc w:val="right"/>
              <w:rPr>
                <w:rFonts w:eastAsia="Times New Roman"/>
                <w:sz w:val="16"/>
                <w:szCs w:val="16"/>
              </w:rPr>
            </w:pPr>
            <w:r>
              <w:rPr>
                <w:rFonts w:eastAsia="Times New Roman"/>
                <w:sz w:val="16"/>
                <w:szCs w:val="16"/>
              </w:rPr>
              <w:t>5,443,742</w:t>
            </w:r>
          </w:p>
        </w:tc>
        <w:tc>
          <w:tcPr>
            <w:tcW w:w="50" w:type="pct"/>
            <w:shd w:val="clear" w:color="auto" w:fill="CCEEFF"/>
            <w:vAlign w:val="bottom"/>
            <w:hideMark/>
          </w:tcPr>
          <w:p w14:paraId="6B27489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D18A68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5B8F1E5"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62972DF" w14:textId="77777777">
        <w:trPr>
          <w:tblCellSpacing w:w="0" w:type="dxa"/>
        </w:trPr>
        <w:tc>
          <w:tcPr>
            <w:tcW w:w="50" w:type="pct"/>
            <w:shd w:val="clear" w:color="auto" w:fill="FFFFFF"/>
            <w:vAlign w:val="bottom"/>
            <w:hideMark/>
          </w:tcPr>
          <w:p w14:paraId="5C3A473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2CA4851" w14:textId="77777777" w:rsidR="00000000" w:rsidRDefault="0053651E">
            <w:pPr>
              <w:pStyle w:val="a3"/>
              <w:spacing w:before="0" w:beforeAutospacing="0" w:after="0" w:afterAutospacing="0"/>
              <w:rPr>
                <w:sz w:val="16"/>
                <w:szCs w:val="16"/>
              </w:rPr>
            </w:pPr>
            <w:r>
              <w:rPr>
                <w:sz w:val="16"/>
                <w:szCs w:val="16"/>
              </w:rPr>
              <w:t>LOS COLOBOS I</w:t>
            </w:r>
          </w:p>
        </w:tc>
        <w:tc>
          <w:tcPr>
            <w:tcW w:w="150" w:type="pct"/>
            <w:shd w:val="clear" w:color="auto" w:fill="FFFFFF"/>
            <w:vAlign w:val="bottom"/>
            <w:hideMark/>
          </w:tcPr>
          <w:p w14:paraId="65452EA1"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2A1AC336" w14:textId="77777777" w:rsidR="00000000" w:rsidRDefault="0053651E">
            <w:pPr>
              <w:jc w:val="right"/>
              <w:rPr>
                <w:rFonts w:eastAsia="Times New Roman"/>
                <w:sz w:val="16"/>
                <w:szCs w:val="16"/>
              </w:rPr>
            </w:pPr>
            <w:r>
              <w:rPr>
                <w:rFonts w:eastAsia="Times New Roman"/>
                <w:sz w:val="16"/>
                <w:szCs w:val="16"/>
              </w:rPr>
              <w:t>12,890,882</w:t>
            </w:r>
          </w:p>
        </w:tc>
        <w:tc>
          <w:tcPr>
            <w:tcW w:w="550" w:type="pct"/>
            <w:shd w:val="clear" w:color="auto" w:fill="FFFFFF"/>
            <w:vAlign w:val="bottom"/>
            <w:hideMark/>
          </w:tcPr>
          <w:p w14:paraId="5FBFB799" w14:textId="77777777" w:rsidR="00000000" w:rsidRDefault="0053651E">
            <w:pPr>
              <w:jc w:val="right"/>
              <w:rPr>
                <w:rFonts w:eastAsia="Times New Roman"/>
                <w:sz w:val="16"/>
                <w:szCs w:val="16"/>
              </w:rPr>
            </w:pPr>
            <w:r>
              <w:rPr>
                <w:rFonts w:eastAsia="Times New Roman"/>
                <w:sz w:val="16"/>
                <w:szCs w:val="16"/>
              </w:rPr>
              <w:t>26,046,669</w:t>
            </w:r>
          </w:p>
        </w:tc>
        <w:tc>
          <w:tcPr>
            <w:tcW w:w="350" w:type="pct"/>
            <w:shd w:val="clear" w:color="auto" w:fill="FFFFFF"/>
            <w:vAlign w:val="bottom"/>
            <w:hideMark/>
          </w:tcPr>
          <w:p w14:paraId="58F33F46" w14:textId="77777777" w:rsidR="00000000" w:rsidRDefault="0053651E">
            <w:pPr>
              <w:jc w:val="right"/>
              <w:rPr>
                <w:rFonts w:eastAsia="Times New Roman"/>
                <w:sz w:val="16"/>
                <w:szCs w:val="16"/>
              </w:rPr>
            </w:pPr>
            <w:r>
              <w:rPr>
                <w:rFonts w:eastAsia="Times New Roman"/>
                <w:sz w:val="16"/>
                <w:szCs w:val="16"/>
              </w:rPr>
              <w:t>5,215,237</w:t>
            </w:r>
          </w:p>
        </w:tc>
        <w:tc>
          <w:tcPr>
            <w:tcW w:w="300" w:type="pct"/>
            <w:shd w:val="clear" w:color="auto" w:fill="FFFFFF"/>
            <w:vAlign w:val="bottom"/>
            <w:hideMark/>
          </w:tcPr>
          <w:p w14:paraId="06CF4057" w14:textId="77777777" w:rsidR="00000000" w:rsidRDefault="0053651E">
            <w:pPr>
              <w:jc w:val="right"/>
              <w:rPr>
                <w:rFonts w:eastAsia="Times New Roman"/>
                <w:sz w:val="16"/>
                <w:szCs w:val="16"/>
              </w:rPr>
            </w:pPr>
            <w:r>
              <w:rPr>
                <w:rFonts w:eastAsia="Times New Roman"/>
                <w:sz w:val="16"/>
                <w:szCs w:val="16"/>
              </w:rPr>
              <w:t>13,613,375</w:t>
            </w:r>
          </w:p>
        </w:tc>
        <w:tc>
          <w:tcPr>
            <w:tcW w:w="450" w:type="pct"/>
            <w:shd w:val="clear" w:color="auto" w:fill="FFFFFF"/>
            <w:vAlign w:val="bottom"/>
            <w:hideMark/>
          </w:tcPr>
          <w:p w14:paraId="57E41043" w14:textId="77777777" w:rsidR="00000000" w:rsidRDefault="0053651E">
            <w:pPr>
              <w:jc w:val="right"/>
              <w:rPr>
                <w:rFonts w:eastAsia="Times New Roman"/>
                <w:sz w:val="16"/>
                <w:szCs w:val="16"/>
              </w:rPr>
            </w:pPr>
            <w:r>
              <w:rPr>
                <w:rFonts w:eastAsia="Times New Roman"/>
                <w:sz w:val="16"/>
                <w:szCs w:val="16"/>
              </w:rPr>
              <w:t>30,539,413</w:t>
            </w:r>
          </w:p>
        </w:tc>
        <w:tc>
          <w:tcPr>
            <w:tcW w:w="350" w:type="pct"/>
            <w:shd w:val="clear" w:color="auto" w:fill="FFFFFF"/>
            <w:vAlign w:val="bottom"/>
            <w:hideMark/>
          </w:tcPr>
          <w:p w14:paraId="6350BF31" w14:textId="77777777" w:rsidR="00000000" w:rsidRDefault="0053651E">
            <w:pPr>
              <w:jc w:val="right"/>
              <w:rPr>
                <w:rFonts w:eastAsia="Times New Roman"/>
                <w:sz w:val="16"/>
                <w:szCs w:val="16"/>
              </w:rPr>
            </w:pPr>
            <w:r>
              <w:rPr>
                <w:rFonts w:eastAsia="Times New Roman"/>
                <w:sz w:val="16"/>
                <w:szCs w:val="16"/>
              </w:rPr>
              <w:t>44,152,788</w:t>
            </w:r>
          </w:p>
        </w:tc>
        <w:tc>
          <w:tcPr>
            <w:tcW w:w="400" w:type="pct"/>
            <w:shd w:val="clear" w:color="auto" w:fill="FFFFFF"/>
            <w:vAlign w:val="bottom"/>
            <w:hideMark/>
          </w:tcPr>
          <w:p w14:paraId="2BC3A760" w14:textId="77777777" w:rsidR="00000000" w:rsidRDefault="0053651E">
            <w:pPr>
              <w:jc w:val="right"/>
              <w:rPr>
                <w:rFonts w:eastAsia="Times New Roman"/>
                <w:sz w:val="16"/>
                <w:szCs w:val="16"/>
              </w:rPr>
            </w:pPr>
            <w:r>
              <w:rPr>
                <w:rFonts w:eastAsia="Times New Roman"/>
                <w:sz w:val="16"/>
                <w:szCs w:val="16"/>
              </w:rPr>
              <w:t>17,236,568</w:t>
            </w:r>
          </w:p>
        </w:tc>
        <w:tc>
          <w:tcPr>
            <w:tcW w:w="50" w:type="pct"/>
            <w:shd w:val="clear" w:color="auto" w:fill="FFFFFF"/>
            <w:vAlign w:val="bottom"/>
            <w:hideMark/>
          </w:tcPr>
          <w:p w14:paraId="0BF8C8E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240BE4E" w14:textId="77777777" w:rsidR="00000000" w:rsidRDefault="0053651E">
            <w:pPr>
              <w:jc w:val="right"/>
              <w:rPr>
                <w:rFonts w:eastAsia="Times New Roman"/>
                <w:sz w:val="16"/>
                <w:szCs w:val="16"/>
              </w:rPr>
            </w:pPr>
            <w:r>
              <w:rPr>
                <w:rFonts w:eastAsia="Times New Roman"/>
                <w:sz w:val="16"/>
                <w:szCs w:val="16"/>
              </w:rPr>
              <w:t>26,916,220</w:t>
            </w:r>
          </w:p>
        </w:tc>
        <w:tc>
          <w:tcPr>
            <w:tcW w:w="50" w:type="pct"/>
            <w:shd w:val="clear" w:color="auto" w:fill="FFFFFF"/>
            <w:vAlign w:val="bottom"/>
            <w:hideMark/>
          </w:tcPr>
          <w:p w14:paraId="68D1957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B60F6D6"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61EA5771"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1C4712FF" w14:textId="77777777">
        <w:trPr>
          <w:tblCellSpacing w:w="0" w:type="dxa"/>
        </w:trPr>
        <w:tc>
          <w:tcPr>
            <w:tcW w:w="50" w:type="pct"/>
            <w:shd w:val="clear" w:color="auto" w:fill="CCEEFF"/>
            <w:vAlign w:val="bottom"/>
            <w:hideMark/>
          </w:tcPr>
          <w:p w14:paraId="2F28D9A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D32092C" w14:textId="77777777" w:rsidR="00000000" w:rsidRDefault="0053651E">
            <w:pPr>
              <w:pStyle w:val="a3"/>
              <w:spacing w:before="0" w:beforeAutospacing="0" w:after="0" w:afterAutospacing="0"/>
              <w:rPr>
                <w:sz w:val="16"/>
                <w:szCs w:val="16"/>
              </w:rPr>
            </w:pPr>
            <w:r>
              <w:rPr>
                <w:sz w:val="16"/>
                <w:szCs w:val="16"/>
              </w:rPr>
              <w:t>LOS COLOBOS II</w:t>
            </w:r>
          </w:p>
        </w:tc>
        <w:tc>
          <w:tcPr>
            <w:tcW w:w="150" w:type="pct"/>
            <w:shd w:val="clear" w:color="auto" w:fill="CCEEFF"/>
            <w:vAlign w:val="bottom"/>
            <w:hideMark/>
          </w:tcPr>
          <w:p w14:paraId="1396B75A"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1804AD6C" w14:textId="77777777" w:rsidR="00000000" w:rsidRDefault="0053651E">
            <w:pPr>
              <w:jc w:val="right"/>
              <w:rPr>
                <w:rFonts w:eastAsia="Times New Roman"/>
                <w:sz w:val="16"/>
                <w:szCs w:val="16"/>
              </w:rPr>
            </w:pPr>
            <w:r>
              <w:rPr>
                <w:rFonts w:eastAsia="Times New Roman"/>
                <w:sz w:val="16"/>
                <w:szCs w:val="16"/>
              </w:rPr>
              <w:t>14,893,698</w:t>
            </w:r>
          </w:p>
        </w:tc>
        <w:tc>
          <w:tcPr>
            <w:tcW w:w="550" w:type="pct"/>
            <w:shd w:val="clear" w:color="auto" w:fill="CCEEFF"/>
            <w:vAlign w:val="bottom"/>
            <w:hideMark/>
          </w:tcPr>
          <w:p w14:paraId="067DC4C8" w14:textId="77777777" w:rsidR="00000000" w:rsidRDefault="0053651E">
            <w:pPr>
              <w:jc w:val="right"/>
              <w:rPr>
                <w:rFonts w:eastAsia="Times New Roman"/>
                <w:sz w:val="16"/>
                <w:szCs w:val="16"/>
              </w:rPr>
            </w:pPr>
            <w:r>
              <w:rPr>
                <w:rFonts w:eastAsia="Times New Roman"/>
                <w:sz w:val="16"/>
                <w:szCs w:val="16"/>
              </w:rPr>
              <w:t>30,680,556</w:t>
            </w:r>
          </w:p>
        </w:tc>
        <w:tc>
          <w:tcPr>
            <w:tcW w:w="350" w:type="pct"/>
            <w:shd w:val="clear" w:color="auto" w:fill="CCEEFF"/>
            <w:vAlign w:val="bottom"/>
            <w:hideMark/>
          </w:tcPr>
          <w:p w14:paraId="21F2D725" w14:textId="77777777" w:rsidR="00000000" w:rsidRDefault="0053651E">
            <w:pPr>
              <w:jc w:val="right"/>
              <w:rPr>
                <w:rFonts w:eastAsia="Times New Roman"/>
                <w:sz w:val="16"/>
                <w:szCs w:val="16"/>
              </w:rPr>
            </w:pPr>
            <w:r>
              <w:rPr>
                <w:rFonts w:eastAsia="Times New Roman"/>
                <w:sz w:val="16"/>
                <w:szCs w:val="16"/>
              </w:rPr>
              <w:t>6,145,412</w:t>
            </w:r>
          </w:p>
        </w:tc>
        <w:tc>
          <w:tcPr>
            <w:tcW w:w="300" w:type="pct"/>
            <w:shd w:val="clear" w:color="auto" w:fill="CCEEFF"/>
            <w:vAlign w:val="bottom"/>
            <w:hideMark/>
          </w:tcPr>
          <w:p w14:paraId="7C34598A" w14:textId="77777777" w:rsidR="00000000" w:rsidRDefault="0053651E">
            <w:pPr>
              <w:jc w:val="right"/>
              <w:rPr>
                <w:rFonts w:eastAsia="Times New Roman"/>
                <w:sz w:val="16"/>
                <w:szCs w:val="16"/>
              </w:rPr>
            </w:pPr>
            <w:r>
              <w:rPr>
                <w:rFonts w:eastAsia="Times New Roman"/>
                <w:sz w:val="16"/>
                <w:szCs w:val="16"/>
              </w:rPr>
              <w:t>15,142,300</w:t>
            </w:r>
          </w:p>
        </w:tc>
        <w:tc>
          <w:tcPr>
            <w:tcW w:w="450" w:type="pct"/>
            <w:shd w:val="clear" w:color="auto" w:fill="CCEEFF"/>
            <w:vAlign w:val="bottom"/>
            <w:hideMark/>
          </w:tcPr>
          <w:p w14:paraId="7F5BFEB0" w14:textId="77777777" w:rsidR="00000000" w:rsidRDefault="0053651E">
            <w:pPr>
              <w:jc w:val="right"/>
              <w:rPr>
                <w:rFonts w:eastAsia="Times New Roman"/>
                <w:sz w:val="16"/>
                <w:szCs w:val="16"/>
              </w:rPr>
            </w:pPr>
            <w:r>
              <w:rPr>
                <w:rFonts w:eastAsia="Times New Roman"/>
                <w:sz w:val="16"/>
                <w:szCs w:val="16"/>
              </w:rPr>
              <w:t>36,577,366</w:t>
            </w:r>
          </w:p>
        </w:tc>
        <w:tc>
          <w:tcPr>
            <w:tcW w:w="350" w:type="pct"/>
            <w:shd w:val="clear" w:color="auto" w:fill="CCEEFF"/>
            <w:vAlign w:val="bottom"/>
            <w:hideMark/>
          </w:tcPr>
          <w:p w14:paraId="07469403" w14:textId="77777777" w:rsidR="00000000" w:rsidRDefault="0053651E">
            <w:pPr>
              <w:jc w:val="right"/>
              <w:rPr>
                <w:rFonts w:eastAsia="Times New Roman"/>
                <w:sz w:val="16"/>
                <w:szCs w:val="16"/>
              </w:rPr>
            </w:pPr>
            <w:r>
              <w:rPr>
                <w:rFonts w:eastAsia="Times New Roman"/>
                <w:sz w:val="16"/>
                <w:szCs w:val="16"/>
              </w:rPr>
              <w:t>51,719,666</w:t>
            </w:r>
          </w:p>
        </w:tc>
        <w:tc>
          <w:tcPr>
            <w:tcW w:w="400" w:type="pct"/>
            <w:shd w:val="clear" w:color="auto" w:fill="CCEEFF"/>
            <w:vAlign w:val="bottom"/>
            <w:hideMark/>
          </w:tcPr>
          <w:p w14:paraId="39A8E41F" w14:textId="77777777" w:rsidR="00000000" w:rsidRDefault="0053651E">
            <w:pPr>
              <w:jc w:val="right"/>
              <w:rPr>
                <w:rFonts w:eastAsia="Times New Roman"/>
                <w:sz w:val="16"/>
                <w:szCs w:val="16"/>
              </w:rPr>
            </w:pPr>
            <w:r>
              <w:rPr>
                <w:rFonts w:eastAsia="Times New Roman"/>
                <w:sz w:val="16"/>
                <w:szCs w:val="16"/>
              </w:rPr>
              <w:t>20,822,897</w:t>
            </w:r>
          </w:p>
        </w:tc>
        <w:tc>
          <w:tcPr>
            <w:tcW w:w="50" w:type="pct"/>
            <w:shd w:val="clear" w:color="auto" w:fill="CCEEFF"/>
            <w:vAlign w:val="bottom"/>
            <w:hideMark/>
          </w:tcPr>
          <w:p w14:paraId="1F44597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C293321" w14:textId="77777777" w:rsidR="00000000" w:rsidRDefault="0053651E">
            <w:pPr>
              <w:jc w:val="right"/>
              <w:rPr>
                <w:rFonts w:eastAsia="Times New Roman"/>
                <w:sz w:val="16"/>
                <w:szCs w:val="16"/>
              </w:rPr>
            </w:pPr>
            <w:r>
              <w:rPr>
                <w:rFonts w:eastAsia="Times New Roman"/>
                <w:sz w:val="16"/>
                <w:szCs w:val="16"/>
              </w:rPr>
              <w:t>30,896,769</w:t>
            </w:r>
          </w:p>
        </w:tc>
        <w:tc>
          <w:tcPr>
            <w:tcW w:w="50" w:type="pct"/>
            <w:shd w:val="clear" w:color="auto" w:fill="CCEEFF"/>
            <w:vAlign w:val="bottom"/>
            <w:hideMark/>
          </w:tcPr>
          <w:p w14:paraId="739B26F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233CC5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38331F5D"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0E32342B" w14:textId="77777777">
        <w:trPr>
          <w:tblCellSpacing w:w="0" w:type="dxa"/>
        </w:trPr>
        <w:tc>
          <w:tcPr>
            <w:tcW w:w="50" w:type="pct"/>
            <w:shd w:val="clear" w:color="auto" w:fill="FFFFFF"/>
            <w:vAlign w:val="bottom"/>
            <w:hideMark/>
          </w:tcPr>
          <w:p w14:paraId="6DB07CC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6B0BF35" w14:textId="77777777" w:rsidR="00000000" w:rsidRDefault="0053651E">
            <w:pPr>
              <w:pStyle w:val="a3"/>
              <w:spacing w:before="0" w:beforeAutospacing="0" w:after="0" w:afterAutospacing="0"/>
              <w:rPr>
                <w:sz w:val="16"/>
                <w:szCs w:val="16"/>
              </w:rPr>
            </w:pPr>
            <w:r>
              <w:rPr>
                <w:sz w:val="16"/>
                <w:szCs w:val="16"/>
              </w:rPr>
              <w:t>WESTERN PLAZA - MAYAGUEZ ONE</w:t>
            </w:r>
          </w:p>
        </w:tc>
        <w:tc>
          <w:tcPr>
            <w:tcW w:w="150" w:type="pct"/>
            <w:shd w:val="clear" w:color="auto" w:fill="FFFFFF"/>
            <w:vAlign w:val="bottom"/>
            <w:hideMark/>
          </w:tcPr>
          <w:p w14:paraId="65A41C1C"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63D73F6D" w14:textId="77777777" w:rsidR="00000000" w:rsidRDefault="0053651E">
            <w:pPr>
              <w:jc w:val="right"/>
              <w:rPr>
                <w:rFonts w:eastAsia="Times New Roman"/>
                <w:sz w:val="16"/>
                <w:szCs w:val="16"/>
              </w:rPr>
            </w:pPr>
            <w:r>
              <w:rPr>
                <w:rFonts w:eastAsia="Times New Roman"/>
                <w:sz w:val="16"/>
                <w:szCs w:val="16"/>
              </w:rPr>
              <w:t>10,857,773</w:t>
            </w:r>
          </w:p>
        </w:tc>
        <w:tc>
          <w:tcPr>
            <w:tcW w:w="550" w:type="pct"/>
            <w:shd w:val="clear" w:color="auto" w:fill="FFFFFF"/>
            <w:vAlign w:val="bottom"/>
            <w:hideMark/>
          </w:tcPr>
          <w:p w14:paraId="53A92FF5" w14:textId="77777777" w:rsidR="00000000" w:rsidRDefault="0053651E">
            <w:pPr>
              <w:jc w:val="right"/>
              <w:rPr>
                <w:rFonts w:eastAsia="Times New Roman"/>
                <w:sz w:val="16"/>
                <w:szCs w:val="16"/>
              </w:rPr>
            </w:pPr>
            <w:r>
              <w:rPr>
                <w:rFonts w:eastAsia="Times New Roman"/>
                <w:sz w:val="16"/>
                <w:szCs w:val="16"/>
              </w:rPr>
              <w:t>12,252,522</w:t>
            </w:r>
          </w:p>
        </w:tc>
        <w:tc>
          <w:tcPr>
            <w:tcW w:w="350" w:type="pct"/>
            <w:shd w:val="clear" w:color="auto" w:fill="FFFFFF"/>
            <w:vAlign w:val="bottom"/>
            <w:hideMark/>
          </w:tcPr>
          <w:p w14:paraId="1CA1B168" w14:textId="77777777" w:rsidR="00000000" w:rsidRDefault="0053651E">
            <w:pPr>
              <w:jc w:val="right"/>
              <w:rPr>
                <w:rFonts w:eastAsia="Times New Roman"/>
                <w:sz w:val="16"/>
                <w:szCs w:val="16"/>
              </w:rPr>
            </w:pPr>
            <w:r>
              <w:rPr>
                <w:rFonts w:eastAsia="Times New Roman"/>
                <w:sz w:val="16"/>
                <w:szCs w:val="16"/>
              </w:rPr>
              <w:t>1,528,575</w:t>
            </w:r>
          </w:p>
        </w:tc>
        <w:tc>
          <w:tcPr>
            <w:tcW w:w="300" w:type="pct"/>
            <w:shd w:val="clear" w:color="auto" w:fill="FFFFFF"/>
            <w:vAlign w:val="bottom"/>
            <w:hideMark/>
          </w:tcPr>
          <w:p w14:paraId="021FAFBD" w14:textId="77777777" w:rsidR="00000000" w:rsidRDefault="0053651E">
            <w:pPr>
              <w:jc w:val="right"/>
              <w:rPr>
                <w:rFonts w:eastAsia="Times New Roman"/>
                <w:sz w:val="16"/>
                <w:szCs w:val="16"/>
              </w:rPr>
            </w:pPr>
            <w:r>
              <w:rPr>
                <w:rFonts w:eastAsia="Times New Roman"/>
                <w:sz w:val="16"/>
                <w:szCs w:val="16"/>
              </w:rPr>
              <w:t>11,241,993</w:t>
            </w:r>
          </w:p>
        </w:tc>
        <w:tc>
          <w:tcPr>
            <w:tcW w:w="450" w:type="pct"/>
            <w:shd w:val="clear" w:color="auto" w:fill="FFFFFF"/>
            <w:vAlign w:val="bottom"/>
            <w:hideMark/>
          </w:tcPr>
          <w:p w14:paraId="14A587AE" w14:textId="77777777" w:rsidR="00000000" w:rsidRDefault="0053651E">
            <w:pPr>
              <w:jc w:val="right"/>
              <w:rPr>
                <w:rFonts w:eastAsia="Times New Roman"/>
                <w:sz w:val="16"/>
                <w:szCs w:val="16"/>
              </w:rPr>
            </w:pPr>
            <w:r>
              <w:rPr>
                <w:rFonts w:eastAsia="Times New Roman"/>
                <w:sz w:val="16"/>
                <w:szCs w:val="16"/>
              </w:rPr>
              <w:t>13,396,877</w:t>
            </w:r>
          </w:p>
        </w:tc>
        <w:tc>
          <w:tcPr>
            <w:tcW w:w="350" w:type="pct"/>
            <w:shd w:val="clear" w:color="auto" w:fill="FFFFFF"/>
            <w:vAlign w:val="bottom"/>
            <w:hideMark/>
          </w:tcPr>
          <w:p w14:paraId="2D52E386" w14:textId="77777777" w:rsidR="00000000" w:rsidRDefault="0053651E">
            <w:pPr>
              <w:jc w:val="right"/>
              <w:rPr>
                <w:rFonts w:eastAsia="Times New Roman"/>
                <w:sz w:val="16"/>
                <w:szCs w:val="16"/>
              </w:rPr>
            </w:pPr>
            <w:r>
              <w:rPr>
                <w:rFonts w:eastAsia="Times New Roman"/>
                <w:sz w:val="16"/>
                <w:szCs w:val="16"/>
              </w:rPr>
              <w:t>24,638,870</w:t>
            </w:r>
          </w:p>
        </w:tc>
        <w:tc>
          <w:tcPr>
            <w:tcW w:w="400" w:type="pct"/>
            <w:shd w:val="clear" w:color="auto" w:fill="FFFFFF"/>
            <w:vAlign w:val="bottom"/>
            <w:hideMark/>
          </w:tcPr>
          <w:p w14:paraId="5FEF56D5" w14:textId="77777777" w:rsidR="00000000" w:rsidRDefault="0053651E">
            <w:pPr>
              <w:jc w:val="right"/>
              <w:rPr>
                <w:rFonts w:eastAsia="Times New Roman"/>
                <w:sz w:val="16"/>
                <w:szCs w:val="16"/>
              </w:rPr>
            </w:pPr>
            <w:r>
              <w:rPr>
                <w:rFonts w:eastAsia="Times New Roman"/>
                <w:sz w:val="16"/>
                <w:szCs w:val="16"/>
              </w:rPr>
              <w:t>10,229,309</w:t>
            </w:r>
          </w:p>
        </w:tc>
        <w:tc>
          <w:tcPr>
            <w:tcW w:w="50" w:type="pct"/>
            <w:shd w:val="clear" w:color="auto" w:fill="FFFFFF"/>
            <w:vAlign w:val="bottom"/>
            <w:hideMark/>
          </w:tcPr>
          <w:p w14:paraId="7BE30A5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01060BB" w14:textId="77777777" w:rsidR="00000000" w:rsidRDefault="0053651E">
            <w:pPr>
              <w:jc w:val="right"/>
              <w:rPr>
                <w:rFonts w:eastAsia="Times New Roman"/>
                <w:sz w:val="16"/>
                <w:szCs w:val="16"/>
              </w:rPr>
            </w:pPr>
            <w:r>
              <w:rPr>
                <w:rFonts w:eastAsia="Times New Roman"/>
                <w:sz w:val="16"/>
                <w:szCs w:val="16"/>
              </w:rPr>
              <w:t>14,409,561</w:t>
            </w:r>
          </w:p>
        </w:tc>
        <w:tc>
          <w:tcPr>
            <w:tcW w:w="50" w:type="pct"/>
            <w:shd w:val="clear" w:color="auto" w:fill="FFFFFF"/>
            <w:vAlign w:val="bottom"/>
            <w:hideMark/>
          </w:tcPr>
          <w:p w14:paraId="1F5BB78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C9CAED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1EBCD5D"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4CA9065B" w14:textId="77777777">
        <w:trPr>
          <w:tblCellSpacing w:w="0" w:type="dxa"/>
        </w:trPr>
        <w:tc>
          <w:tcPr>
            <w:tcW w:w="50" w:type="pct"/>
            <w:shd w:val="clear" w:color="auto" w:fill="CCEEFF"/>
            <w:vAlign w:val="bottom"/>
            <w:hideMark/>
          </w:tcPr>
          <w:p w14:paraId="3707FEC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8C5279A" w14:textId="77777777" w:rsidR="00000000" w:rsidRDefault="0053651E">
            <w:pPr>
              <w:pStyle w:val="a3"/>
              <w:spacing w:before="0" w:beforeAutospacing="0" w:after="0" w:afterAutospacing="0"/>
              <w:rPr>
                <w:sz w:val="16"/>
                <w:szCs w:val="16"/>
              </w:rPr>
            </w:pPr>
            <w:r>
              <w:rPr>
                <w:sz w:val="16"/>
                <w:szCs w:val="16"/>
              </w:rPr>
              <w:t>WESTERN PLAZA - MAYAGUEZ TWO</w:t>
            </w:r>
          </w:p>
        </w:tc>
        <w:tc>
          <w:tcPr>
            <w:tcW w:w="150" w:type="pct"/>
            <w:shd w:val="clear" w:color="auto" w:fill="CCEEFF"/>
            <w:vAlign w:val="bottom"/>
            <w:hideMark/>
          </w:tcPr>
          <w:p w14:paraId="4E8D1197"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14E8B51C" w14:textId="77777777" w:rsidR="00000000" w:rsidRDefault="0053651E">
            <w:pPr>
              <w:jc w:val="right"/>
              <w:rPr>
                <w:rFonts w:eastAsia="Times New Roman"/>
                <w:sz w:val="16"/>
                <w:szCs w:val="16"/>
              </w:rPr>
            </w:pPr>
            <w:r>
              <w:rPr>
                <w:rFonts w:eastAsia="Times New Roman"/>
                <w:sz w:val="16"/>
                <w:szCs w:val="16"/>
              </w:rPr>
              <w:t>16,874,345</w:t>
            </w:r>
          </w:p>
        </w:tc>
        <w:tc>
          <w:tcPr>
            <w:tcW w:w="550" w:type="pct"/>
            <w:shd w:val="clear" w:color="auto" w:fill="CCEEFF"/>
            <w:vAlign w:val="bottom"/>
            <w:hideMark/>
          </w:tcPr>
          <w:p w14:paraId="3E78B230" w14:textId="77777777" w:rsidR="00000000" w:rsidRDefault="0053651E">
            <w:pPr>
              <w:jc w:val="right"/>
              <w:rPr>
                <w:rFonts w:eastAsia="Times New Roman"/>
                <w:sz w:val="16"/>
                <w:szCs w:val="16"/>
              </w:rPr>
            </w:pPr>
            <w:r>
              <w:rPr>
                <w:rFonts w:eastAsia="Times New Roman"/>
                <w:sz w:val="16"/>
                <w:szCs w:val="16"/>
              </w:rPr>
              <w:t>19,911,045</w:t>
            </w:r>
          </w:p>
        </w:tc>
        <w:tc>
          <w:tcPr>
            <w:tcW w:w="350" w:type="pct"/>
            <w:shd w:val="clear" w:color="auto" w:fill="CCEEFF"/>
            <w:vAlign w:val="bottom"/>
            <w:hideMark/>
          </w:tcPr>
          <w:p w14:paraId="3758AC10" w14:textId="77777777" w:rsidR="00000000" w:rsidRDefault="0053651E">
            <w:pPr>
              <w:jc w:val="right"/>
              <w:rPr>
                <w:rFonts w:eastAsia="Times New Roman"/>
                <w:sz w:val="16"/>
                <w:szCs w:val="16"/>
              </w:rPr>
            </w:pPr>
            <w:r>
              <w:rPr>
                <w:rFonts w:eastAsia="Times New Roman"/>
                <w:sz w:val="16"/>
                <w:szCs w:val="16"/>
              </w:rPr>
              <w:t>4,301,304</w:t>
            </w:r>
          </w:p>
        </w:tc>
        <w:tc>
          <w:tcPr>
            <w:tcW w:w="300" w:type="pct"/>
            <w:shd w:val="clear" w:color="auto" w:fill="CCEEFF"/>
            <w:vAlign w:val="bottom"/>
            <w:hideMark/>
          </w:tcPr>
          <w:p w14:paraId="5FCDA65F" w14:textId="77777777" w:rsidR="00000000" w:rsidRDefault="0053651E">
            <w:pPr>
              <w:jc w:val="right"/>
              <w:rPr>
                <w:rFonts w:eastAsia="Times New Roman"/>
                <w:sz w:val="16"/>
                <w:szCs w:val="16"/>
              </w:rPr>
            </w:pPr>
            <w:r>
              <w:rPr>
                <w:rFonts w:eastAsia="Times New Roman"/>
                <w:sz w:val="16"/>
                <w:szCs w:val="16"/>
              </w:rPr>
              <w:t>16,872,647</w:t>
            </w:r>
          </w:p>
        </w:tc>
        <w:tc>
          <w:tcPr>
            <w:tcW w:w="450" w:type="pct"/>
            <w:shd w:val="clear" w:color="auto" w:fill="CCEEFF"/>
            <w:vAlign w:val="bottom"/>
            <w:hideMark/>
          </w:tcPr>
          <w:p w14:paraId="6F746C11" w14:textId="77777777" w:rsidR="00000000" w:rsidRDefault="0053651E">
            <w:pPr>
              <w:jc w:val="right"/>
              <w:rPr>
                <w:rFonts w:eastAsia="Times New Roman"/>
                <w:sz w:val="16"/>
                <w:szCs w:val="16"/>
              </w:rPr>
            </w:pPr>
            <w:r>
              <w:rPr>
                <w:rFonts w:eastAsia="Times New Roman"/>
                <w:sz w:val="16"/>
                <w:szCs w:val="16"/>
              </w:rPr>
              <w:t>24,214,047</w:t>
            </w:r>
          </w:p>
        </w:tc>
        <w:tc>
          <w:tcPr>
            <w:tcW w:w="350" w:type="pct"/>
            <w:shd w:val="clear" w:color="auto" w:fill="CCEEFF"/>
            <w:vAlign w:val="bottom"/>
            <w:hideMark/>
          </w:tcPr>
          <w:p w14:paraId="6062B50C" w14:textId="77777777" w:rsidR="00000000" w:rsidRDefault="0053651E">
            <w:pPr>
              <w:jc w:val="right"/>
              <w:rPr>
                <w:rFonts w:eastAsia="Times New Roman"/>
                <w:sz w:val="16"/>
                <w:szCs w:val="16"/>
              </w:rPr>
            </w:pPr>
            <w:r>
              <w:rPr>
                <w:rFonts w:eastAsia="Times New Roman"/>
                <w:sz w:val="16"/>
                <w:szCs w:val="16"/>
              </w:rPr>
              <w:t>41,086,694</w:t>
            </w:r>
          </w:p>
        </w:tc>
        <w:tc>
          <w:tcPr>
            <w:tcW w:w="400" w:type="pct"/>
            <w:shd w:val="clear" w:color="auto" w:fill="CCEEFF"/>
            <w:vAlign w:val="bottom"/>
            <w:hideMark/>
          </w:tcPr>
          <w:p w14:paraId="45C8645A" w14:textId="77777777" w:rsidR="00000000" w:rsidRDefault="0053651E">
            <w:pPr>
              <w:jc w:val="right"/>
              <w:rPr>
                <w:rFonts w:eastAsia="Times New Roman"/>
                <w:sz w:val="16"/>
                <w:szCs w:val="16"/>
              </w:rPr>
            </w:pPr>
            <w:r>
              <w:rPr>
                <w:rFonts w:eastAsia="Times New Roman"/>
                <w:sz w:val="16"/>
                <w:szCs w:val="16"/>
              </w:rPr>
              <w:t>17,186,095</w:t>
            </w:r>
          </w:p>
        </w:tc>
        <w:tc>
          <w:tcPr>
            <w:tcW w:w="50" w:type="pct"/>
            <w:shd w:val="clear" w:color="auto" w:fill="CCEEFF"/>
            <w:vAlign w:val="bottom"/>
            <w:hideMark/>
          </w:tcPr>
          <w:p w14:paraId="33BEA61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3F78313" w14:textId="77777777" w:rsidR="00000000" w:rsidRDefault="0053651E">
            <w:pPr>
              <w:jc w:val="right"/>
              <w:rPr>
                <w:rFonts w:eastAsia="Times New Roman"/>
                <w:sz w:val="16"/>
                <w:szCs w:val="16"/>
              </w:rPr>
            </w:pPr>
            <w:r>
              <w:rPr>
                <w:rFonts w:eastAsia="Times New Roman"/>
                <w:sz w:val="16"/>
                <w:szCs w:val="16"/>
              </w:rPr>
              <w:t>23,900,599</w:t>
            </w:r>
          </w:p>
        </w:tc>
        <w:tc>
          <w:tcPr>
            <w:tcW w:w="50" w:type="pct"/>
            <w:shd w:val="clear" w:color="auto" w:fill="CCEEFF"/>
            <w:vAlign w:val="bottom"/>
            <w:hideMark/>
          </w:tcPr>
          <w:p w14:paraId="396C2FE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6761C5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C2904C5"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556121BC" w14:textId="77777777">
        <w:trPr>
          <w:tblCellSpacing w:w="0" w:type="dxa"/>
        </w:trPr>
        <w:tc>
          <w:tcPr>
            <w:tcW w:w="50" w:type="pct"/>
            <w:shd w:val="clear" w:color="auto" w:fill="FFFFFF"/>
            <w:vAlign w:val="bottom"/>
            <w:hideMark/>
          </w:tcPr>
          <w:p w14:paraId="0B65B69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81A770D" w14:textId="77777777" w:rsidR="00000000" w:rsidRDefault="0053651E">
            <w:pPr>
              <w:pStyle w:val="a3"/>
              <w:spacing w:before="0" w:beforeAutospacing="0" w:after="0" w:afterAutospacing="0"/>
              <w:rPr>
                <w:sz w:val="16"/>
                <w:szCs w:val="16"/>
              </w:rPr>
            </w:pPr>
            <w:r>
              <w:rPr>
                <w:sz w:val="16"/>
                <w:szCs w:val="16"/>
              </w:rPr>
              <w:t>MANATI VILLA MARIA SC</w:t>
            </w:r>
          </w:p>
        </w:tc>
        <w:tc>
          <w:tcPr>
            <w:tcW w:w="150" w:type="pct"/>
            <w:shd w:val="clear" w:color="auto" w:fill="FFFFFF"/>
            <w:vAlign w:val="bottom"/>
            <w:hideMark/>
          </w:tcPr>
          <w:p w14:paraId="0A561068"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22C021BA" w14:textId="77777777" w:rsidR="00000000" w:rsidRDefault="0053651E">
            <w:pPr>
              <w:jc w:val="right"/>
              <w:rPr>
                <w:rFonts w:eastAsia="Times New Roman"/>
                <w:sz w:val="16"/>
                <w:szCs w:val="16"/>
              </w:rPr>
            </w:pPr>
            <w:r>
              <w:rPr>
                <w:rFonts w:eastAsia="Times New Roman"/>
                <w:sz w:val="16"/>
                <w:szCs w:val="16"/>
              </w:rPr>
              <w:t>2,781,447</w:t>
            </w:r>
          </w:p>
        </w:tc>
        <w:tc>
          <w:tcPr>
            <w:tcW w:w="550" w:type="pct"/>
            <w:shd w:val="clear" w:color="auto" w:fill="FFFFFF"/>
            <w:vAlign w:val="bottom"/>
            <w:hideMark/>
          </w:tcPr>
          <w:p w14:paraId="3FDA9C09" w14:textId="77777777" w:rsidR="00000000" w:rsidRDefault="0053651E">
            <w:pPr>
              <w:jc w:val="right"/>
              <w:rPr>
                <w:rFonts w:eastAsia="Times New Roman"/>
                <w:sz w:val="16"/>
                <w:szCs w:val="16"/>
              </w:rPr>
            </w:pPr>
            <w:r>
              <w:rPr>
                <w:rFonts w:eastAsia="Times New Roman"/>
                <w:sz w:val="16"/>
                <w:szCs w:val="16"/>
              </w:rPr>
              <w:t>5,673,119</w:t>
            </w:r>
          </w:p>
        </w:tc>
        <w:tc>
          <w:tcPr>
            <w:tcW w:w="350" w:type="pct"/>
            <w:shd w:val="clear" w:color="auto" w:fill="FFFFFF"/>
            <w:vAlign w:val="bottom"/>
            <w:hideMark/>
          </w:tcPr>
          <w:p w14:paraId="40A0D957" w14:textId="77777777" w:rsidR="00000000" w:rsidRDefault="0053651E">
            <w:pPr>
              <w:jc w:val="right"/>
              <w:rPr>
                <w:rFonts w:eastAsia="Times New Roman"/>
                <w:sz w:val="16"/>
                <w:szCs w:val="16"/>
              </w:rPr>
            </w:pPr>
            <w:r>
              <w:rPr>
                <w:rFonts w:eastAsia="Times New Roman"/>
                <w:sz w:val="16"/>
                <w:szCs w:val="16"/>
              </w:rPr>
              <w:t>2,094,131</w:t>
            </w:r>
          </w:p>
        </w:tc>
        <w:tc>
          <w:tcPr>
            <w:tcW w:w="300" w:type="pct"/>
            <w:shd w:val="clear" w:color="auto" w:fill="FFFFFF"/>
            <w:vAlign w:val="bottom"/>
            <w:hideMark/>
          </w:tcPr>
          <w:p w14:paraId="75BEB0CD" w14:textId="77777777" w:rsidR="00000000" w:rsidRDefault="0053651E">
            <w:pPr>
              <w:jc w:val="right"/>
              <w:rPr>
                <w:rFonts w:eastAsia="Times New Roman"/>
                <w:sz w:val="16"/>
                <w:szCs w:val="16"/>
              </w:rPr>
            </w:pPr>
            <w:r>
              <w:rPr>
                <w:rFonts w:eastAsia="Times New Roman"/>
                <w:sz w:val="16"/>
                <w:szCs w:val="16"/>
              </w:rPr>
              <w:t>2,606,588</w:t>
            </w:r>
          </w:p>
        </w:tc>
        <w:tc>
          <w:tcPr>
            <w:tcW w:w="450" w:type="pct"/>
            <w:shd w:val="clear" w:color="auto" w:fill="FFFFFF"/>
            <w:vAlign w:val="bottom"/>
            <w:hideMark/>
          </w:tcPr>
          <w:p w14:paraId="2F918C47" w14:textId="77777777" w:rsidR="00000000" w:rsidRDefault="0053651E">
            <w:pPr>
              <w:jc w:val="right"/>
              <w:rPr>
                <w:rFonts w:eastAsia="Times New Roman"/>
                <w:sz w:val="16"/>
                <w:szCs w:val="16"/>
              </w:rPr>
            </w:pPr>
            <w:r>
              <w:rPr>
                <w:rFonts w:eastAsia="Times New Roman"/>
                <w:sz w:val="16"/>
                <w:szCs w:val="16"/>
              </w:rPr>
              <w:t>7,942,109</w:t>
            </w:r>
          </w:p>
        </w:tc>
        <w:tc>
          <w:tcPr>
            <w:tcW w:w="350" w:type="pct"/>
            <w:shd w:val="clear" w:color="auto" w:fill="FFFFFF"/>
            <w:vAlign w:val="bottom"/>
            <w:hideMark/>
          </w:tcPr>
          <w:p w14:paraId="7DBF5788" w14:textId="77777777" w:rsidR="00000000" w:rsidRDefault="0053651E">
            <w:pPr>
              <w:jc w:val="right"/>
              <w:rPr>
                <w:rFonts w:eastAsia="Times New Roman"/>
                <w:sz w:val="16"/>
                <w:szCs w:val="16"/>
              </w:rPr>
            </w:pPr>
            <w:r>
              <w:rPr>
                <w:rFonts w:eastAsia="Times New Roman"/>
                <w:sz w:val="16"/>
                <w:szCs w:val="16"/>
              </w:rPr>
              <w:t>10,548,697</w:t>
            </w:r>
          </w:p>
        </w:tc>
        <w:tc>
          <w:tcPr>
            <w:tcW w:w="400" w:type="pct"/>
            <w:shd w:val="clear" w:color="auto" w:fill="FFFFFF"/>
            <w:vAlign w:val="bottom"/>
            <w:hideMark/>
          </w:tcPr>
          <w:p w14:paraId="308DF125" w14:textId="77777777" w:rsidR="00000000" w:rsidRDefault="0053651E">
            <w:pPr>
              <w:jc w:val="right"/>
              <w:rPr>
                <w:rFonts w:eastAsia="Times New Roman"/>
                <w:sz w:val="16"/>
                <w:szCs w:val="16"/>
              </w:rPr>
            </w:pPr>
            <w:r>
              <w:rPr>
                <w:rFonts w:eastAsia="Times New Roman"/>
                <w:sz w:val="16"/>
                <w:szCs w:val="16"/>
              </w:rPr>
              <w:t>4,525,240</w:t>
            </w:r>
          </w:p>
        </w:tc>
        <w:tc>
          <w:tcPr>
            <w:tcW w:w="50" w:type="pct"/>
            <w:shd w:val="clear" w:color="auto" w:fill="FFFFFF"/>
            <w:vAlign w:val="bottom"/>
            <w:hideMark/>
          </w:tcPr>
          <w:p w14:paraId="5068F24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52385D3" w14:textId="77777777" w:rsidR="00000000" w:rsidRDefault="0053651E">
            <w:pPr>
              <w:jc w:val="right"/>
              <w:rPr>
                <w:rFonts w:eastAsia="Times New Roman"/>
                <w:sz w:val="16"/>
                <w:szCs w:val="16"/>
              </w:rPr>
            </w:pPr>
            <w:r>
              <w:rPr>
                <w:rFonts w:eastAsia="Times New Roman"/>
                <w:sz w:val="16"/>
                <w:szCs w:val="16"/>
              </w:rPr>
              <w:t>6,023,457</w:t>
            </w:r>
          </w:p>
        </w:tc>
        <w:tc>
          <w:tcPr>
            <w:tcW w:w="50" w:type="pct"/>
            <w:shd w:val="clear" w:color="auto" w:fill="FFFFFF"/>
            <w:vAlign w:val="bottom"/>
            <w:hideMark/>
          </w:tcPr>
          <w:p w14:paraId="1ED1EF6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6DA370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2C7D137B"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63051AA7" w14:textId="77777777">
        <w:trPr>
          <w:tblCellSpacing w:w="0" w:type="dxa"/>
        </w:trPr>
        <w:tc>
          <w:tcPr>
            <w:tcW w:w="50" w:type="pct"/>
            <w:shd w:val="clear" w:color="auto" w:fill="CCEEFF"/>
            <w:vAlign w:val="bottom"/>
            <w:hideMark/>
          </w:tcPr>
          <w:p w14:paraId="0A58112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F96AF33" w14:textId="77777777" w:rsidR="00000000" w:rsidRDefault="0053651E">
            <w:pPr>
              <w:pStyle w:val="a3"/>
              <w:spacing w:before="0" w:beforeAutospacing="0" w:after="0" w:afterAutospacing="0"/>
              <w:rPr>
                <w:sz w:val="16"/>
                <w:szCs w:val="16"/>
              </w:rPr>
            </w:pPr>
            <w:r>
              <w:rPr>
                <w:sz w:val="16"/>
                <w:szCs w:val="16"/>
              </w:rPr>
              <w:t>PONCE TOWNE CENTER</w:t>
            </w:r>
          </w:p>
        </w:tc>
        <w:tc>
          <w:tcPr>
            <w:tcW w:w="150" w:type="pct"/>
            <w:shd w:val="clear" w:color="auto" w:fill="CCEEFF"/>
            <w:vAlign w:val="bottom"/>
            <w:hideMark/>
          </w:tcPr>
          <w:p w14:paraId="02CC33EA"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CCEEFF"/>
            <w:vAlign w:val="bottom"/>
            <w:hideMark/>
          </w:tcPr>
          <w:p w14:paraId="6EF03933" w14:textId="77777777" w:rsidR="00000000" w:rsidRDefault="0053651E">
            <w:pPr>
              <w:jc w:val="right"/>
              <w:rPr>
                <w:rFonts w:eastAsia="Times New Roman"/>
                <w:sz w:val="16"/>
                <w:szCs w:val="16"/>
              </w:rPr>
            </w:pPr>
            <w:r>
              <w:rPr>
                <w:rFonts w:eastAsia="Times New Roman"/>
                <w:sz w:val="16"/>
                <w:szCs w:val="16"/>
              </w:rPr>
              <w:t>14,432,778</w:t>
            </w:r>
          </w:p>
        </w:tc>
        <w:tc>
          <w:tcPr>
            <w:tcW w:w="550" w:type="pct"/>
            <w:shd w:val="clear" w:color="auto" w:fill="CCEEFF"/>
            <w:vAlign w:val="bottom"/>
            <w:hideMark/>
          </w:tcPr>
          <w:p w14:paraId="10CF4548" w14:textId="77777777" w:rsidR="00000000" w:rsidRDefault="0053651E">
            <w:pPr>
              <w:jc w:val="right"/>
              <w:rPr>
                <w:rFonts w:eastAsia="Times New Roman"/>
                <w:sz w:val="16"/>
                <w:szCs w:val="16"/>
              </w:rPr>
            </w:pPr>
            <w:r>
              <w:rPr>
                <w:rFonts w:eastAsia="Times New Roman"/>
                <w:sz w:val="16"/>
                <w:szCs w:val="16"/>
              </w:rPr>
              <w:t>28,448,754</w:t>
            </w:r>
          </w:p>
        </w:tc>
        <w:tc>
          <w:tcPr>
            <w:tcW w:w="350" w:type="pct"/>
            <w:shd w:val="clear" w:color="auto" w:fill="CCEEFF"/>
            <w:vAlign w:val="bottom"/>
            <w:hideMark/>
          </w:tcPr>
          <w:p w14:paraId="7AA186FC" w14:textId="77777777" w:rsidR="00000000" w:rsidRDefault="0053651E">
            <w:pPr>
              <w:jc w:val="right"/>
              <w:rPr>
                <w:rFonts w:eastAsia="Times New Roman"/>
                <w:sz w:val="16"/>
                <w:szCs w:val="16"/>
              </w:rPr>
            </w:pPr>
            <w:r>
              <w:rPr>
                <w:rFonts w:eastAsia="Times New Roman"/>
                <w:sz w:val="16"/>
                <w:szCs w:val="16"/>
              </w:rPr>
              <w:t>5,768,656</w:t>
            </w:r>
          </w:p>
        </w:tc>
        <w:tc>
          <w:tcPr>
            <w:tcW w:w="300" w:type="pct"/>
            <w:shd w:val="clear" w:color="auto" w:fill="CCEEFF"/>
            <w:vAlign w:val="bottom"/>
            <w:hideMark/>
          </w:tcPr>
          <w:p w14:paraId="21C47BB8" w14:textId="77777777" w:rsidR="00000000" w:rsidRDefault="0053651E">
            <w:pPr>
              <w:jc w:val="right"/>
              <w:rPr>
                <w:rFonts w:eastAsia="Times New Roman"/>
                <w:sz w:val="16"/>
                <w:szCs w:val="16"/>
              </w:rPr>
            </w:pPr>
            <w:r>
              <w:rPr>
                <w:rFonts w:eastAsia="Times New Roman"/>
                <w:sz w:val="16"/>
                <w:szCs w:val="16"/>
              </w:rPr>
              <w:t>14,903,024</w:t>
            </w:r>
          </w:p>
        </w:tc>
        <w:tc>
          <w:tcPr>
            <w:tcW w:w="450" w:type="pct"/>
            <w:shd w:val="clear" w:color="auto" w:fill="CCEEFF"/>
            <w:vAlign w:val="bottom"/>
            <w:hideMark/>
          </w:tcPr>
          <w:p w14:paraId="09CAF33A" w14:textId="77777777" w:rsidR="00000000" w:rsidRDefault="0053651E">
            <w:pPr>
              <w:jc w:val="right"/>
              <w:rPr>
                <w:rFonts w:eastAsia="Times New Roman"/>
                <w:sz w:val="16"/>
                <w:szCs w:val="16"/>
              </w:rPr>
            </w:pPr>
            <w:r>
              <w:rPr>
                <w:rFonts w:eastAsia="Times New Roman"/>
                <w:sz w:val="16"/>
                <w:szCs w:val="16"/>
              </w:rPr>
              <w:t>33,747,164</w:t>
            </w:r>
          </w:p>
        </w:tc>
        <w:tc>
          <w:tcPr>
            <w:tcW w:w="350" w:type="pct"/>
            <w:shd w:val="clear" w:color="auto" w:fill="CCEEFF"/>
            <w:vAlign w:val="bottom"/>
            <w:hideMark/>
          </w:tcPr>
          <w:p w14:paraId="49E1A015" w14:textId="77777777" w:rsidR="00000000" w:rsidRDefault="0053651E">
            <w:pPr>
              <w:jc w:val="right"/>
              <w:rPr>
                <w:rFonts w:eastAsia="Times New Roman"/>
                <w:sz w:val="16"/>
                <w:szCs w:val="16"/>
              </w:rPr>
            </w:pPr>
            <w:r>
              <w:rPr>
                <w:rFonts w:eastAsia="Times New Roman"/>
                <w:sz w:val="16"/>
                <w:szCs w:val="16"/>
              </w:rPr>
              <w:t>48,650,188</w:t>
            </w:r>
          </w:p>
        </w:tc>
        <w:tc>
          <w:tcPr>
            <w:tcW w:w="400" w:type="pct"/>
            <w:shd w:val="clear" w:color="auto" w:fill="CCEEFF"/>
            <w:vAlign w:val="bottom"/>
            <w:hideMark/>
          </w:tcPr>
          <w:p w14:paraId="6FC71F51" w14:textId="77777777" w:rsidR="00000000" w:rsidRDefault="0053651E">
            <w:pPr>
              <w:jc w:val="right"/>
              <w:rPr>
                <w:rFonts w:eastAsia="Times New Roman"/>
                <w:sz w:val="16"/>
                <w:szCs w:val="16"/>
              </w:rPr>
            </w:pPr>
            <w:r>
              <w:rPr>
                <w:rFonts w:eastAsia="Times New Roman"/>
                <w:sz w:val="16"/>
                <w:szCs w:val="16"/>
              </w:rPr>
              <w:t>19,949,200</w:t>
            </w:r>
          </w:p>
        </w:tc>
        <w:tc>
          <w:tcPr>
            <w:tcW w:w="50" w:type="pct"/>
            <w:shd w:val="clear" w:color="auto" w:fill="CCEEFF"/>
            <w:vAlign w:val="bottom"/>
            <w:hideMark/>
          </w:tcPr>
          <w:p w14:paraId="4509508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1630650" w14:textId="77777777" w:rsidR="00000000" w:rsidRDefault="0053651E">
            <w:pPr>
              <w:jc w:val="right"/>
              <w:rPr>
                <w:rFonts w:eastAsia="Times New Roman"/>
                <w:sz w:val="16"/>
                <w:szCs w:val="16"/>
              </w:rPr>
            </w:pPr>
            <w:r>
              <w:rPr>
                <w:rFonts w:eastAsia="Times New Roman"/>
                <w:sz w:val="16"/>
                <w:szCs w:val="16"/>
              </w:rPr>
              <w:t>28,700,988</w:t>
            </w:r>
          </w:p>
        </w:tc>
        <w:tc>
          <w:tcPr>
            <w:tcW w:w="50" w:type="pct"/>
            <w:shd w:val="clear" w:color="auto" w:fill="CCEEFF"/>
            <w:vAlign w:val="bottom"/>
            <w:hideMark/>
          </w:tcPr>
          <w:p w14:paraId="1EF5F88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D4C98E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E93B149"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671F6903" w14:textId="77777777">
        <w:trPr>
          <w:tblCellSpacing w:w="0" w:type="dxa"/>
        </w:trPr>
        <w:tc>
          <w:tcPr>
            <w:tcW w:w="50" w:type="pct"/>
            <w:shd w:val="clear" w:color="auto" w:fill="FFFFFF"/>
            <w:vAlign w:val="bottom"/>
            <w:hideMark/>
          </w:tcPr>
          <w:p w14:paraId="55DC706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4D1034D" w14:textId="77777777" w:rsidR="00000000" w:rsidRDefault="0053651E">
            <w:pPr>
              <w:pStyle w:val="a3"/>
              <w:spacing w:before="0" w:beforeAutospacing="0" w:after="0" w:afterAutospacing="0"/>
              <w:rPr>
                <w:sz w:val="16"/>
                <w:szCs w:val="16"/>
              </w:rPr>
            </w:pPr>
            <w:r>
              <w:rPr>
                <w:sz w:val="16"/>
                <w:szCs w:val="16"/>
              </w:rPr>
              <w:t>TRUJILLO ALTO PLAZA</w:t>
            </w:r>
          </w:p>
        </w:tc>
        <w:tc>
          <w:tcPr>
            <w:tcW w:w="150" w:type="pct"/>
            <w:shd w:val="clear" w:color="auto" w:fill="FFFFFF"/>
            <w:vAlign w:val="bottom"/>
            <w:hideMark/>
          </w:tcPr>
          <w:p w14:paraId="61785951" w14:textId="77777777" w:rsidR="00000000" w:rsidRDefault="0053651E">
            <w:pPr>
              <w:pStyle w:val="a3"/>
              <w:spacing w:before="0" w:beforeAutospacing="0" w:after="0" w:afterAutospacing="0"/>
              <w:rPr>
                <w:sz w:val="16"/>
                <w:szCs w:val="16"/>
              </w:rPr>
            </w:pPr>
            <w:r>
              <w:rPr>
                <w:rStyle w:val="a6"/>
                <w:i w:val="0"/>
                <w:iCs w:val="0"/>
                <w:sz w:val="16"/>
                <w:szCs w:val="16"/>
              </w:rPr>
              <w:t>PR</w:t>
            </w:r>
          </w:p>
        </w:tc>
        <w:tc>
          <w:tcPr>
            <w:tcW w:w="300" w:type="pct"/>
            <w:shd w:val="clear" w:color="auto" w:fill="FFFFFF"/>
            <w:vAlign w:val="bottom"/>
            <w:hideMark/>
          </w:tcPr>
          <w:p w14:paraId="6107690B" w14:textId="77777777" w:rsidR="00000000" w:rsidRDefault="0053651E">
            <w:pPr>
              <w:jc w:val="right"/>
              <w:rPr>
                <w:rFonts w:eastAsia="Times New Roman"/>
                <w:sz w:val="16"/>
                <w:szCs w:val="16"/>
              </w:rPr>
            </w:pPr>
            <w:r>
              <w:rPr>
                <w:rFonts w:eastAsia="Times New Roman"/>
                <w:sz w:val="16"/>
                <w:szCs w:val="16"/>
              </w:rPr>
              <w:t>12,053,673</w:t>
            </w:r>
          </w:p>
        </w:tc>
        <w:tc>
          <w:tcPr>
            <w:tcW w:w="550" w:type="pct"/>
            <w:shd w:val="clear" w:color="auto" w:fill="FFFFFF"/>
            <w:vAlign w:val="bottom"/>
            <w:hideMark/>
          </w:tcPr>
          <w:p w14:paraId="7455A50F" w14:textId="77777777" w:rsidR="00000000" w:rsidRDefault="0053651E">
            <w:pPr>
              <w:jc w:val="right"/>
              <w:rPr>
                <w:rFonts w:eastAsia="Times New Roman"/>
                <w:sz w:val="16"/>
                <w:szCs w:val="16"/>
              </w:rPr>
            </w:pPr>
            <w:r>
              <w:rPr>
                <w:rFonts w:eastAsia="Times New Roman"/>
                <w:sz w:val="16"/>
                <w:szCs w:val="16"/>
              </w:rPr>
              <w:t>24,445,858</w:t>
            </w:r>
          </w:p>
        </w:tc>
        <w:tc>
          <w:tcPr>
            <w:tcW w:w="350" w:type="pct"/>
            <w:shd w:val="clear" w:color="auto" w:fill="FFFFFF"/>
            <w:vAlign w:val="bottom"/>
            <w:hideMark/>
          </w:tcPr>
          <w:p w14:paraId="14AA1707" w14:textId="77777777" w:rsidR="00000000" w:rsidRDefault="0053651E">
            <w:pPr>
              <w:jc w:val="right"/>
              <w:rPr>
                <w:rFonts w:eastAsia="Times New Roman"/>
                <w:sz w:val="16"/>
                <w:szCs w:val="16"/>
              </w:rPr>
            </w:pPr>
            <w:r>
              <w:rPr>
                <w:rFonts w:eastAsia="Times New Roman"/>
                <w:sz w:val="16"/>
                <w:szCs w:val="16"/>
              </w:rPr>
              <w:t>4,160,691</w:t>
            </w:r>
          </w:p>
        </w:tc>
        <w:tc>
          <w:tcPr>
            <w:tcW w:w="300" w:type="pct"/>
            <w:shd w:val="clear" w:color="auto" w:fill="FFFFFF"/>
            <w:vAlign w:val="bottom"/>
            <w:hideMark/>
          </w:tcPr>
          <w:p w14:paraId="5C4234A5" w14:textId="77777777" w:rsidR="00000000" w:rsidRDefault="0053651E">
            <w:pPr>
              <w:jc w:val="right"/>
              <w:rPr>
                <w:rFonts w:eastAsia="Times New Roman"/>
                <w:sz w:val="16"/>
                <w:szCs w:val="16"/>
              </w:rPr>
            </w:pPr>
            <w:r>
              <w:rPr>
                <w:rFonts w:eastAsia="Times New Roman"/>
                <w:sz w:val="16"/>
                <w:szCs w:val="16"/>
              </w:rPr>
              <w:t>12,289,288</w:t>
            </w:r>
          </w:p>
        </w:tc>
        <w:tc>
          <w:tcPr>
            <w:tcW w:w="450" w:type="pct"/>
            <w:shd w:val="clear" w:color="auto" w:fill="FFFFFF"/>
            <w:vAlign w:val="bottom"/>
            <w:hideMark/>
          </w:tcPr>
          <w:p w14:paraId="72EA7442" w14:textId="77777777" w:rsidR="00000000" w:rsidRDefault="0053651E">
            <w:pPr>
              <w:jc w:val="right"/>
              <w:rPr>
                <w:rFonts w:eastAsia="Times New Roman"/>
                <w:sz w:val="16"/>
                <w:szCs w:val="16"/>
              </w:rPr>
            </w:pPr>
            <w:r>
              <w:rPr>
                <w:rFonts w:eastAsia="Times New Roman"/>
                <w:sz w:val="16"/>
                <w:szCs w:val="16"/>
              </w:rPr>
              <w:t>28,370,934</w:t>
            </w:r>
          </w:p>
        </w:tc>
        <w:tc>
          <w:tcPr>
            <w:tcW w:w="350" w:type="pct"/>
            <w:shd w:val="clear" w:color="auto" w:fill="FFFFFF"/>
            <w:vAlign w:val="bottom"/>
            <w:hideMark/>
          </w:tcPr>
          <w:p w14:paraId="277AEB69" w14:textId="77777777" w:rsidR="00000000" w:rsidRDefault="0053651E">
            <w:pPr>
              <w:jc w:val="right"/>
              <w:rPr>
                <w:rFonts w:eastAsia="Times New Roman"/>
                <w:sz w:val="16"/>
                <w:szCs w:val="16"/>
              </w:rPr>
            </w:pPr>
            <w:r>
              <w:rPr>
                <w:rFonts w:eastAsia="Times New Roman"/>
                <w:sz w:val="16"/>
                <w:szCs w:val="16"/>
              </w:rPr>
              <w:t>40,660,222</w:t>
            </w:r>
          </w:p>
        </w:tc>
        <w:tc>
          <w:tcPr>
            <w:tcW w:w="400" w:type="pct"/>
            <w:shd w:val="clear" w:color="auto" w:fill="FFFFFF"/>
            <w:vAlign w:val="bottom"/>
            <w:hideMark/>
          </w:tcPr>
          <w:p w14:paraId="31A5D01F" w14:textId="77777777" w:rsidR="00000000" w:rsidRDefault="0053651E">
            <w:pPr>
              <w:jc w:val="right"/>
              <w:rPr>
                <w:rFonts w:eastAsia="Times New Roman"/>
                <w:sz w:val="16"/>
                <w:szCs w:val="16"/>
              </w:rPr>
            </w:pPr>
            <w:r>
              <w:rPr>
                <w:rFonts w:eastAsia="Times New Roman"/>
                <w:sz w:val="16"/>
                <w:szCs w:val="16"/>
              </w:rPr>
              <w:t>16,191,666</w:t>
            </w:r>
          </w:p>
        </w:tc>
        <w:tc>
          <w:tcPr>
            <w:tcW w:w="50" w:type="pct"/>
            <w:shd w:val="clear" w:color="auto" w:fill="FFFFFF"/>
            <w:vAlign w:val="bottom"/>
            <w:hideMark/>
          </w:tcPr>
          <w:p w14:paraId="412DF8D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BB07088" w14:textId="77777777" w:rsidR="00000000" w:rsidRDefault="0053651E">
            <w:pPr>
              <w:jc w:val="right"/>
              <w:rPr>
                <w:rFonts w:eastAsia="Times New Roman"/>
                <w:sz w:val="16"/>
                <w:szCs w:val="16"/>
              </w:rPr>
            </w:pPr>
            <w:r>
              <w:rPr>
                <w:rFonts w:eastAsia="Times New Roman"/>
                <w:sz w:val="16"/>
                <w:szCs w:val="16"/>
              </w:rPr>
              <w:t>24,468,556</w:t>
            </w:r>
          </w:p>
        </w:tc>
        <w:tc>
          <w:tcPr>
            <w:tcW w:w="50" w:type="pct"/>
            <w:shd w:val="clear" w:color="auto" w:fill="FFFFFF"/>
            <w:vAlign w:val="bottom"/>
            <w:hideMark/>
          </w:tcPr>
          <w:p w14:paraId="5AD9C0C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EC4CAE2"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EA83C56"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B417124" w14:textId="77777777">
        <w:trPr>
          <w:tblCellSpacing w:w="0" w:type="dxa"/>
        </w:trPr>
        <w:tc>
          <w:tcPr>
            <w:tcW w:w="50" w:type="pct"/>
            <w:shd w:val="clear" w:color="auto" w:fill="CCEEFF"/>
            <w:vAlign w:val="bottom"/>
            <w:hideMark/>
          </w:tcPr>
          <w:p w14:paraId="3B0C73A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7BDA628" w14:textId="77777777" w:rsidR="00000000" w:rsidRDefault="0053651E">
            <w:pPr>
              <w:pStyle w:val="a3"/>
              <w:spacing w:before="0" w:beforeAutospacing="0" w:after="0" w:afterAutospacing="0"/>
              <w:rPr>
                <w:sz w:val="16"/>
                <w:szCs w:val="16"/>
              </w:rPr>
            </w:pPr>
            <w:r>
              <w:rPr>
                <w:sz w:val="16"/>
                <w:szCs w:val="16"/>
              </w:rPr>
              <w:t>ST. ANDREWS CENTER</w:t>
            </w:r>
          </w:p>
        </w:tc>
        <w:tc>
          <w:tcPr>
            <w:tcW w:w="150" w:type="pct"/>
            <w:shd w:val="clear" w:color="auto" w:fill="CCEEFF"/>
            <w:vAlign w:val="bottom"/>
            <w:hideMark/>
          </w:tcPr>
          <w:p w14:paraId="719C3A39" w14:textId="77777777" w:rsidR="00000000" w:rsidRDefault="0053651E">
            <w:pPr>
              <w:pStyle w:val="a3"/>
              <w:spacing w:before="0" w:beforeAutospacing="0" w:after="0" w:afterAutospacing="0"/>
              <w:rPr>
                <w:sz w:val="16"/>
                <w:szCs w:val="16"/>
              </w:rPr>
            </w:pPr>
            <w:r>
              <w:rPr>
                <w:rStyle w:val="a6"/>
                <w:i w:val="0"/>
                <w:iCs w:val="0"/>
                <w:sz w:val="16"/>
                <w:szCs w:val="16"/>
              </w:rPr>
              <w:t>SC</w:t>
            </w:r>
          </w:p>
        </w:tc>
        <w:tc>
          <w:tcPr>
            <w:tcW w:w="300" w:type="pct"/>
            <w:shd w:val="clear" w:color="auto" w:fill="CCEEFF"/>
            <w:vAlign w:val="bottom"/>
            <w:hideMark/>
          </w:tcPr>
          <w:p w14:paraId="117299EA" w14:textId="77777777" w:rsidR="00000000" w:rsidRDefault="0053651E">
            <w:pPr>
              <w:jc w:val="right"/>
              <w:rPr>
                <w:rFonts w:eastAsia="Times New Roman"/>
                <w:sz w:val="16"/>
                <w:szCs w:val="16"/>
              </w:rPr>
            </w:pPr>
            <w:r>
              <w:rPr>
                <w:rFonts w:eastAsia="Times New Roman"/>
                <w:sz w:val="16"/>
                <w:szCs w:val="16"/>
              </w:rPr>
              <w:t>730,164</w:t>
            </w:r>
          </w:p>
        </w:tc>
        <w:tc>
          <w:tcPr>
            <w:tcW w:w="550" w:type="pct"/>
            <w:shd w:val="clear" w:color="auto" w:fill="CCEEFF"/>
            <w:vAlign w:val="bottom"/>
            <w:hideMark/>
          </w:tcPr>
          <w:p w14:paraId="74876D90" w14:textId="77777777" w:rsidR="00000000" w:rsidRDefault="0053651E">
            <w:pPr>
              <w:jc w:val="right"/>
              <w:rPr>
                <w:rFonts w:eastAsia="Times New Roman"/>
                <w:sz w:val="16"/>
                <w:szCs w:val="16"/>
              </w:rPr>
            </w:pPr>
            <w:r>
              <w:rPr>
                <w:rFonts w:eastAsia="Times New Roman"/>
                <w:sz w:val="16"/>
                <w:szCs w:val="16"/>
              </w:rPr>
              <w:t>3,132,092</w:t>
            </w:r>
          </w:p>
        </w:tc>
        <w:tc>
          <w:tcPr>
            <w:tcW w:w="350" w:type="pct"/>
            <w:shd w:val="clear" w:color="auto" w:fill="CCEEFF"/>
            <w:vAlign w:val="bottom"/>
            <w:hideMark/>
          </w:tcPr>
          <w:p w14:paraId="0A831910" w14:textId="77777777" w:rsidR="00000000" w:rsidRDefault="0053651E">
            <w:pPr>
              <w:jc w:val="right"/>
              <w:rPr>
                <w:rFonts w:eastAsia="Times New Roman"/>
                <w:sz w:val="16"/>
                <w:szCs w:val="16"/>
              </w:rPr>
            </w:pPr>
            <w:r>
              <w:rPr>
                <w:rFonts w:eastAsia="Times New Roman"/>
                <w:sz w:val="16"/>
                <w:szCs w:val="16"/>
              </w:rPr>
              <w:t>19,228,255</w:t>
            </w:r>
          </w:p>
        </w:tc>
        <w:tc>
          <w:tcPr>
            <w:tcW w:w="300" w:type="pct"/>
            <w:shd w:val="clear" w:color="auto" w:fill="CCEEFF"/>
            <w:vAlign w:val="bottom"/>
            <w:hideMark/>
          </w:tcPr>
          <w:p w14:paraId="62653614" w14:textId="77777777" w:rsidR="00000000" w:rsidRDefault="0053651E">
            <w:pPr>
              <w:jc w:val="right"/>
              <w:rPr>
                <w:rFonts w:eastAsia="Times New Roman"/>
                <w:sz w:val="16"/>
                <w:szCs w:val="16"/>
              </w:rPr>
            </w:pPr>
            <w:r>
              <w:rPr>
                <w:rFonts w:eastAsia="Times New Roman"/>
                <w:sz w:val="16"/>
                <w:szCs w:val="16"/>
              </w:rPr>
              <w:t>730,164</w:t>
            </w:r>
          </w:p>
        </w:tc>
        <w:tc>
          <w:tcPr>
            <w:tcW w:w="450" w:type="pct"/>
            <w:shd w:val="clear" w:color="auto" w:fill="CCEEFF"/>
            <w:vAlign w:val="bottom"/>
            <w:hideMark/>
          </w:tcPr>
          <w:p w14:paraId="5FD8911A" w14:textId="77777777" w:rsidR="00000000" w:rsidRDefault="0053651E">
            <w:pPr>
              <w:jc w:val="right"/>
              <w:rPr>
                <w:rFonts w:eastAsia="Times New Roman"/>
                <w:sz w:val="16"/>
                <w:szCs w:val="16"/>
              </w:rPr>
            </w:pPr>
            <w:r>
              <w:rPr>
                <w:rFonts w:eastAsia="Times New Roman"/>
                <w:sz w:val="16"/>
                <w:szCs w:val="16"/>
              </w:rPr>
              <w:t>22,360,347</w:t>
            </w:r>
          </w:p>
        </w:tc>
        <w:tc>
          <w:tcPr>
            <w:tcW w:w="350" w:type="pct"/>
            <w:shd w:val="clear" w:color="auto" w:fill="CCEEFF"/>
            <w:vAlign w:val="bottom"/>
            <w:hideMark/>
          </w:tcPr>
          <w:p w14:paraId="12438B9C" w14:textId="77777777" w:rsidR="00000000" w:rsidRDefault="0053651E">
            <w:pPr>
              <w:jc w:val="right"/>
              <w:rPr>
                <w:rFonts w:eastAsia="Times New Roman"/>
                <w:sz w:val="16"/>
                <w:szCs w:val="16"/>
              </w:rPr>
            </w:pPr>
            <w:r>
              <w:rPr>
                <w:rFonts w:eastAsia="Times New Roman"/>
                <w:sz w:val="16"/>
                <w:szCs w:val="16"/>
              </w:rPr>
              <w:t>23,090,511</w:t>
            </w:r>
          </w:p>
        </w:tc>
        <w:tc>
          <w:tcPr>
            <w:tcW w:w="400" w:type="pct"/>
            <w:shd w:val="clear" w:color="auto" w:fill="CCEEFF"/>
            <w:vAlign w:val="bottom"/>
            <w:hideMark/>
          </w:tcPr>
          <w:p w14:paraId="444F8822" w14:textId="77777777" w:rsidR="00000000" w:rsidRDefault="0053651E">
            <w:pPr>
              <w:jc w:val="right"/>
              <w:rPr>
                <w:rFonts w:eastAsia="Times New Roman"/>
                <w:sz w:val="16"/>
                <w:szCs w:val="16"/>
              </w:rPr>
            </w:pPr>
            <w:r>
              <w:rPr>
                <w:rFonts w:eastAsia="Times New Roman"/>
                <w:sz w:val="16"/>
                <w:szCs w:val="16"/>
              </w:rPr>
              <w:t>11,976,196</w:t>
            </w:r>
          </w:p>
        </w:tc>
        <w:tc>
          <w:tcPr>
            <w:tcW w:w="50" w:type="pct"/>
            <w:shd w:val="clear" w:color="auto" w:fill="CCEEFF"/>
            <w:vAlign w:val="bottom"/>
            <w:hideMark/>
          </w:tcPr>
          <w:p w14:paraId="3A265D7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CDD55C8" w14:textId="77777777" w:rsidR="00000000" w:rsidRDefault="0053651E">
            <w:pPr>
              <w:jc w:val="right"/>
              <w:rPr>
                <w:rFonts w:eastAsia="Times New Roman"/>
                <w:sz w:val="16"/>
                <w:szCs w:val="16"/>
              </w:rPr>
            </w:pPr>
            <w:r>
              <w:rPr>
                <w:rFonts w:eastAsia="Times New Roman"/>
                <w:sz w:val="16"/>
                <w:szCs w:val="16"/>
              </w:rPr>
              <w:t>11,114,315</w:t>
            </w:r>
          </w:p>
        </w:tc>
        <w:tc>
          <w:tcPr>
            <w:tcW w:w="50" w:type="pct"/>
            <w:shd w:val="clear" w:color="auto" w:fill="CCEEFF"/>
            <w:vAlign w:val="bottom"/>
            <w:hideMark/>
          </w:tcPr>
          <w:p w14:paraId="0230BD8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2E40F8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2358BD0" w14:textId="77777777" w:rsidR="00000000" w:rsidRDefault="0053651E">
            <w:pPr>
              <w:pStyle w:val="a3"/>
              <w:spacing w:before="0" w:beforeAutospacing="0" w:after="0" w:afterAutospacing="0"/>
              <w:jc w:val="center"/>
              <w:rPr>
                <w:sz w:val="16"/>
                <w:szCs w:val="16"/>
              </w:rPr>
            </w:pPr>
            <w:r>
              <w:rPr>
                <w:rStyle w:val="a6"/>
                <w:i w:val="0"/>
                <w:iCs w:val="0"/>
                <w:sz w:val="16"/>
                <w:szCs w:val="16"/>
              </w:rPr>
              <w:t>1978(C)</w:t>
            </w:r>
          </w:p>
        </w:tc>
      </w:tr>
      <w:tr w:rsidR="00000000" w14:paraId="033B400A" w14:textId="77777777">
        <w:trPr>
          <w:tblCellSpacing w:w="0" w:type="dxa"/>
        </w:trPr>
        <w:tc>
          <w:tcPr>
            <w:tcW w:w="50" w:type="pct"/>
            <w:shd w:val="clear" w:color="auto" w:fill="FFFFFF"/>
            <w:vAlign w:val="bottom"/>
            <w:hideMark/>
          </w:tcPr>
          <w:p w14:paraId="189E765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22E3EEC" w14:textId="77777777" w:rsidR="00000000" w:rsidRDefault="0053651E">
            <w:pPr>
              <w:pStyle w:val="a3"/>
              <w:spacing w:before="0" w:beforeAutospacing="0" w:after="0" w:afterAutospacing="0"/>
              <w:rPr>
                <w:sz w:val="16"/>
                <w:szCs w:val="16"/>
              </w:rPr>
            </w:pPr>
            <w:r>
              <w:rPr>
                <w:sz w:val="16"/>
                <w:szCs w:val="16"/>
              </w:rPr>
              <w:t>WESTWOOD PLAZA</w:t>
            </w:r>
          </w:p>
        </w:tc>
        <w:tc>
          <w:tcPr>
            <w:tcW w:w="150" w:type="pct"/>
            <w:shd w:val="clear" w:color="auto" w:fill="FFFFFF"/>
            <w:vAlign w:val="bottom"/>
            <w:hideMark/>
          </w:tcPr>
          <w:p w14:paraId="1330A560" w14:textId="77777777" w:rsidR="00000000" w:rsidRDefault="0053651E">
            <w:pPr>
              <w:pStyle w:val="a3"/>
              <w:spacing w:before="0" w:beforeAutospacing="0" w:after="0" w:afterAutospacing="0"/>
              <w:rPr>
                <w:sz w:val="16"/>
                <w:szCs w:val="16"/>
              </w:rPr>
            </w:pPr>
            <w:r>
              <w:rPr>
                <w:rStyle w:val="a6"/>
                <w:i w:val="0"/>
                <w:iCs w:val="0"/>
                <w:sz w:val="16"/>
                <w:szCs w:val="16"/>
              </w:rPr>
              <w:t>SC</w:t>
            </w:r>
          </w:p>
        </w:tc>
        <w:tc>
          <w:tcPr>
            <w:tcW w:w="300" w:type="pct"/>
            <w:shd w:val="clear" w:color="auto" w:fill="FFFFFF"/>
            <w:vAlign w:val="bottom"/>
            <w:hideMark/>
          </w:tcPr>
          <w:p w14:paraId="4C450BD9" w14:textId="77777777" w:rsidR="00000000" w:rsidRDefault="0053651E">
            <w:pPr>
              <w:jc w:val="right"/>
              <w:rPr>
                <w:rFonts w:eastAsia="Times New Roman"/>
                <w:sz w:val="16"/>
                <w:szCs w:val="16"/>
              </w:rPr>
            </w:pPr>
            <w:r>
              <w:rPr>
                <w:rFonts w:eastAsia="Times New Roman"/>
                <w:sz w:val="16"/>
                <w:szCs w:val="16"/>
              </w:rPr>
              <w:t>1,744,430</w:t>
            </w:r>
          </w:p>
        </w:tc>
        <w:tc>
          <w:tcPr>
            <w:tcW w:w="550" w:type="pct"/>
            <w:shd w:val="clear" w:color="auto" w:fill="FFFFFF"/>
            <w:vAlign w:val="bottom"/>
            <w:hideMark/>
          </w:tcPr>
          <w:p w14:paraId="0FE4519C" w14:textId="77777777" w:rsidR="00000000" w:rsidRDefault="0053651E">
            <w:pPr>
              <w:jc w:val="right"/>
              <w:rPr>
                <w:rFonts w:eastAsia="Times New Roman"/>
                <w:sz w:val="16"/>
                <w:szCs w:val="16"/>
              </w:rPr>
            </w:pPr>
            <w:r>
              <w:rPr>
                <w:rFonts w:eastAsia="Times New Roman"/>
                <w:sz w:val="16"/>
                <w:szCs w:val="16"/>
              </w:rPr>
              <w:t>6,986,094</w:t>
            </w:r>
          </w:p>
        </w:tc>
        <w:tc>
          <w:tcPr>
            <w:tcW w:w="350" w:type="pct"/>
            <w:shd w:val="clear" w:color="auto" w:fill="FFFFFF"/>
            <w:vAlign w:val="bottom"/>
            <w:hideMark/>
          </w:tcPr>
          <w:p w14:paraId="451B95FA" w14:textId="77777777" w:rsidR="00000000" w:rsidRDefault="0053651E">
            <w:pPr>
              <w:jc w:val="right"/>
              <w:rPr>
                <w:rFonts w:eastAsia="Times New Roman"/>
                <w:sz w:val="16"/>
                <w:szCs w:val="16"/>
              </w:rPr>
            </w:pPr>
            <w:r>
              <w:rPr>
                <w:rFonts w:eastAsia="Times New Roman"/>
                <w:sz w:val="16"/>
                <w:szCs w:val="16"/>
              </w:rPr>
              <w:t>14,906,065</w:t>
            </w:r>
          </w:p>
        </w:tc>
        <w:tc>
          <w:tcPr>
            <w:tcW w:w="300" w:type="pct"/>
            <w:shd w:val="clear" w:color="auto" w:fill="FFFFFF"/>
            <w:vAlign w:val="bottom"/>
            <w:hideMark/>
          </w:tcPr>
          <w:p w14:paraId="4E557C86" w14:textId="77777777" w:rsidR="00000000" w:rsidRDefault="0053651E">
            <w:pPr>
              <w:jc w:val="right"/>
              <w:rPr>
                <w:rFonts w:eastAsia="Times New Roman"/>
                <w:sz w:val="16"/>
                <w:szCs w:val="16"/>
              </w:rPr>
            </w:pPr>
            <w:r>
              <w:rPr>
                <w:rFonts w:eastAsia="Times New Roman"/>
                <w:sz w:val="16"/>
                <w:szCs w:val="16"/>
              </w:rPr>
              <w:t>1,726,833</w:t>
            </w:r>
          </w:p>
        </w:tc>
        <w:tc>
          <w:tcPr>
            <w:tcW w:w="450" w:type="pct"/>
            <w:shd w:val="clear" w:color="auto" w:fill="FFFFFF"/>
            <w:vAlign w:val="bottom"/>
            <w:hideMark/>
          </w:tcPr>
          <w:p w14:paraId="4096FF50" w14:textId="77777777" w:rsidR="00000000" w:rsidRDefault="0053651E">
            <w:pPr>
              <w:jc w:val="right"/>
              <w:rPr>
                <w:rFonts w:eastAsia="Times New Roman"/>
                <w:sz w:val="16"/>
                <w:szCs w:val="16"/>
              </w:rPr>
            </w:pPr>
            <w:r>
              <w:rPr>
                <w:rFonts w:eastAsia="Times New Roman"/>
                <w:sz w:val="16"/>
                <w:szCs w:val="16"/>
              </w:rPr>
              <w:t>21,909,756</w:t>
            </w:r>
          </w:p>
        </w:tc>
        <w:tc>
          <w:tcPr>
            <w:tcW w:w="350" w:type="pct"/>
            <w:shd w:val="clear" w:color="auto" w:fill="FFFFFF"/>
            <w:vAlign w:val="bottom"/>
            <w:hideMark/>
          </w:tcPr>
          <w:p w14:paraId="7BCD89B5" w14:textId="77777777" w:rsidR="00000000" w:rsidRDefault="0053651E">
            <w:pPr>
              <w:jc w:val="right"/>
              <w:rPr>
                <w:rFonts w:eastAsia="Times New Roman"/>
                <w:sz w:val="16"/>
                <w:szCs w:val="16"/>
              </w:rPr>
            </w:pPr>
            <w:r>
              <w:rPr>
                <w:rFonts w:eastAsia="Times New Roman"/>
                <w:sz w:val="16"/>
                <w:szCs w:val="16"/>
              </w:rPr>
              <w:t>23,636,589</w:t>
            </w:r>
          </w:p>
        </w:tc>
        <w:tc>
          <w:tcPr>
            <w:tcW w:w="400" w:type="pct"/>
            <w:shd w:val="clear" w:color="auto" w:fill="FFFFFF"/>
            <w:vAlign w:val="bottom"/>
            <w:hideMark/>
          </w:tcPr>
          <w:p w14:paraId="1728E94E" w14:textId="77777777" w:rsidR="00000000" w:rsidRDefault="0053651E">
            <w:pPr>
              <w:jc w:val="right"/>
              <w:rPr>
                <w:rFonts w:eastAsia="Times New Roman"/>
                <w:sz w:val="16"/>
                <w:szCs w:val="16"/>
              </w:rPr>
            </w:pPr>
            <w:r>
              <w:rPr>
                <w:rFonts w:eastAsia="Times New Roman"/>
                <w:sz w:val="16"/>
                <w:szCs w:val="16"/>
              </w:rPr>
              <w:t>5,165,514</w:t>
            </w:r>
          </w:p>
        </w:tc>
        <w:tc>
          <w:tcPr>
            <w:tcW w:w="50" w:type="pct"/>
            <w:shd w:val="clear" w:color="auto" w:fill="FFFFFF"/>
            <w:vAlign w:val="bottom"/>
            <w:hideMark/>
          </w:tcPr>
          <w:p w14:paraId="178B154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DBB0FC4" w14:textId="77777777" w:rsidR="00000000" w:rsidRDefault="0053651E">
            <w:pPr>
              <w:jc w:val="right"/>
              <w:rPr>
                <w:rFonts w:eastAsia="Times New Roman"/>
                <w:sz w:val="16"/>
                <w:szCs w:val="16"/>
              </w:rPr>
            </w:pPr>
            <w:r>
              <w:rPr>
                <w:rFonts w:eastAsia="Times New Roman"/>
                <w:sz w:val="16"/>
                <w:szCs w:val="16"/>
              </w:rPr>
              <w:t>18,471,075</w:t>
            </w:r>
          </w:p>
        </w:tc>
        <w:tc>
          <w:tcPr>
            <w:tcW w:w="50" w:type="pct"/>
            <w:shd w:val="clear" w:color="auto" w:fill="FFFFFF"/>
            <w:vAlign w:val="bottom"/>
            <w:hideMark/>
          </w:tcPr>
          <w:p w14:paraId="1C58B20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1B2E953"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7ADD7C4" w14:textId="77777777" w:rsidR="00000000" w:rsidRDefault="0053651E">
            <w:pPr>
              <w:pStyle w:val="a3"/>
              <w:spacing w:before="0" w:beforeAutospacing="0" w:after="0" w:afterAutospacing="0"/>
              <w:jc w:val="center"/>
              <w:rPr>
                <w:sz w:val="16"/>
                <w:szCs w:val="16"/>
              </w:rPr>
            </w:pPr>
            <w:r>
              <w:rPr>
                <w:rStyle w:val="a6"/>
                <w:i w:val="0"/>
                <w:iCs w:val="0"/>
                <w:sz w:val="16"/>
                <w:szCs w:val="16"/>
              </w:rPr>
              <w:t>1995(A)</w:t>
            </w:r>
          </w:p>
        </w:tc>
      </w:tr>
      <w:tr w:rsidR="00000000" w14:paraId="7D656F30" w14:textId="77777777">
        <w:trPr>
          <w:tblCellSpacing w:w="0" w:type="dxa"/>
        </w:trPr>
        <w:tc>
          <w:tcPr>
            <w:tcW w:w="50" w:type="pct"/>
            <w:shd w:val="clear" w:color="auto" w:fill="CCEEFF"/>
            <w:vAlign w:val="bottom"/>
            <w:hideMark/>
          </w:tcPr>
          <w:p w14:paraId="13147E3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43A37B5" w14:textId="77777777" w:rsidR="00000000" w:rsidRDefault="0053651E">
            <w:pPr>
              <w:pStyle w:val="a3"/>
              <w:spacing w:before="0" w:beforeAutospacing="0" w:after="0" w:afterAutospacing="0"/>
              <w:rPr>
                <w:sz w:val="16"/>
                <w:szCs w:val="16"/>
              </w:rPr>
            </w:pPr>
            <w:r>
              <w:rPr>
                <w:sz w:val="16"/>
                <w:szCs w:val="16"/>
              </w:rPr>
              <w:t>WOODRUFF SHOPPING CENTER</w:t>
            </w:r>
          </w:p>
        </w:tc>
        <w:tc>
          <w:tcPr>
            <w:tcW w:w="150" w:type="pct"/>
            <w:shd w:val="clear" w:color="auto" w:fill="CCEEFF"/>
            <w:vAlign w:val="bottom"/>
            <w:hideMark/>
          </w:tcPr>
          <w:p w14:paraId="1877E8AF" w14:textId="77777777" w:rsidR="00000000" w:rsidRDefault="0053651E">
            <w:pPr>
              <w:pStyle w:val="a3"/>
              <w:spacing w:before="0" w:beforeAutospacing="0" w:after="0" w:afterAutospacing="0"/>
              <w:rPr>
                <w:sz w:val="16"/>
                <w:szCs w:val="16"/>
              </w:rPr>
            </w:pPr>
            <w:r>
              <w:rPr>
                <w:rStyle w:val="a6"/>
                <w:i w:val="0"/>
                <w:iCs w:val="0"/>
                <w:sz w:val="16"/>
                <w:szCs w:val="16"/>
              </w:rPr>
              <w:t>SC</w:t>
            </w:r>
          </w:p>
        </w:tc>
        <w:tc>
          <w:tcPr>
            <w:tcW w:w="300" w:type="pct"/>
            <w:shd w:val="clear" w:color="auto" w:fill="CCEEFF"/>
            <w:vAlign w:val="bottom"/>
            <w:hideMark/>
          </w:tcPr>
          <w:p w14:paraId="4B263174" w14:textId="77777777" w:rsidR="00000000" w:rsidRDefault="0053651E">
            <w:pPr>
              <w:jc w:val="right"/>
              <w:rPr>
                <w:rFonts w:eastAsia="Times New Roman"/>
                <w:sz w:val="16"/>
                <w:szCs w:val="16"/>
              </w:rPr>
            </w:pPr>
            <w:r>
              <w:rPr>
                <w:rFonts w:eastAsia="Times New Roman"/>
                <w:sz w:val="16"/>
                <w:szCs w:val="16"/>
              </w:rPr>
              <w:t>3,110,439</w:t>
            </w:r>
          </w:p>
        </w:tc>
        <w:tc>
          <w:tcPr>
            <w:tcW w:w="550" w:type="pct"/>
            <w:shd w:val="clear" w:color="auto" w:fill="CCEEFF"/>
            <w:vAlign w:val="bottom"/>
            <w:hideMark/>
          </w:tcPr>
          <w:p w14:paraId="13440B9B" w14:textId="77777777" w:rsidR="00000000" w:rsidRDefault="0053651E">
            <w:pPr>
              <w:jc w:val="right"/>
              <w:rPr>
                <w:rFonts w:eastAsia="Times New Roman"/>
                <w:sz w:val="16"/>
                <w:szCs w:val="16"/>
              </w:rPr>
            </w:pPr>
            <w:r>
              <w:rPr>
                <w:rFonts w:eastAsia="Times New Roman"/>
                <w:sz w:val="16"/>
                <w:szCs w:val="16"/>
              </w:rPr>
              <w:t>15,501,117</w:t>
            </w:r>
          </w:p>
        </w:tc>
        <w:tc>
          <w:tcPr>
            <w:tcW w:w="350" w:type="pct"/>
            <w:shd w:val="clear" w:color="auto" w:fill="CCEEFF"/>
            <w:vAlign w:val="bottom"/>
            <w:hideMark/>
          </w:tcPr>
          <w:p w14:paraId="347DF254" w14:textId="77777777" w:rsidR="00000000" w:rsidRDefault="0053651E">
            <w:pPr>
              <w:jc w:val="right"/>
              <w:rPr>
                <w:rFonts w:eastAsia="Times New Roman"/>
                <w:sz w:val="16"/>
                <w:szCs w:val="16"/>
              </w:rPr>
            </w:pPr>
            <w:r>
              <w:rPr>
                <w:rFonts w:eastAsia="Times New Roman"/>
                <w:sz w:val="16"/>
                <w:szCs w:val="16"/>
              </w:rPr>
              <w:t>1,432,523</w:t>
            </w:r>
          </w:p>
        </w:tc>
        <w:tc>
          <w:tcPr>
            <w:tcW w:w="300" w:type="pct"/>
            <w:shd w:val="clear" w:color="auto" w:fill="CCEEFF"/>
            <w:vAlign w:val="bottom"/>
            <w:hideMark/>
          </w:tcPr>
          <w:p w14:paraId="5EC6631F" w14:textId="77777777" w:rsidR="00000000" w:rsidRDefault="0053651E">
            <w:pPr>
              <w:jc w:val="right"/>
              <w:rPr>
                <w:rFonts w:eastAsia="Times New Roman"/>
                <w:sz w:val="16"/>
                <w:szCs w:val="16"/>
              </w:rPr>
            </w:pPr>
            <w:r>
              <w:rPr>
                <w:rFonts w:eastAsia="Times New Roman"/>
                <w:sz w:val="16"/>
                <w:szCs w:val="16"/>
              </w:rPr>
              <w:t>3,465,199</w:t>
            </w:r>
          </w:p>
        </w:tc>
        <w:tc>
          <w:tcPr>
            <w:tcW w:w="450" w:type="pct"/>
            <w:shd w:val="clear" w:color="auto" w:fill="CCEEFF"/>
            <w:vAlign w:val="bottom"/>
            <w:hideMark/>
          </w:tcPr>
          <w:p w14:paraId="7BD57799" w14:textId="77777777" w:rsidR="00000000" w:rsidRDefault="0053651E">
            <w:pPr>
              <w:jc w:val="right"/>
              <w:rPr>
                <w:rFonts w:eastAsia="Times New Roman"/>
                <w:sz w:val="16"/>
                <w:szCs w:val="16"/>
              </w:rPr>
            </w:pPr>
            <w:r>
              <w:rPr>
                <w:rFonts w:eastAsia="Times New Roman"/>
                <w:sz w:val="16"/>
                <w:szCs w:val="16"/>
              </w:rPr>
              <w:t>16,578,880</w:t>
            </w:r>
          </w:p>
        </w:tc>
        <w:tc>
          <w:tcPr>
            <w:tcW w:w="350" w:type="pct"/>
            <w:shd w:val="clear" w:color="auto" w:fill="CCEEFF"/>
            <w:vAlign w:val="bottom"/>
            <w:hideMark/>
          </w:tcPr>
          <w:p w14:paraId="475A1288" w14:textId="77777777" w:rsidR="00000000" w:rsidRDefault="0053651E">
            <w:pPr>
              <w:jc w:val="right"/>
              <w:rPr>
                <w:rFonts w:eastAsia="Times New Roman"/>
                <w:sz w:val="16"/>
                <w:szCs w:val="16"/>
              </w:rPr>
            </w:pPr>
            <w:r>
              <w:rPr>
                <w:rFonts w:eastAsia="Times New Roman"/>
                <w:sz w:val="16"/>
                <w:szCs w:val="16"/>
              </w:rPr>
              <w:t>20,044,079</w:t>
            </w:r>
          </w:p>
        </w:tc>
        <w:tc>
          <w:tcPr>
            <w:tcW w:w="400" w:type="pct"/>
            <w:shd w:val="clear" w:color="auto" w:fill="CCEEFF"/>
            <w:vAlign w:val="bottom"/>
            <w:hideMark/>
          </w:tcPr>
          <w:p w14:paraId="6585BF40" w14:textId="77777777" w:rsidR="00000000" w:rsidRDefault="0053651E">
            <w:pPr>
              <w:jc w:val="right"/>
              <w:rPr>
                <w:rFonts w:eastAsia="Times New Roman"/>
                <w:sz w:val="16"/>
                <w:szCs w:val="16"/>
              </w:rPr>
            </w:pPr>
            <w:r>
              <w:rPr>
                <w:rFonts w:eastAsia="Times New Roman"/>
                <w:sz w:val="16"/>
                <w:szCs w:val="16"/>
              </w:rPr>
              <w:t>4,322,201</w:t>
            </w:r>
          </w:p>
        </w:tc>
        <w:tc>
          <w:tcPr>
            <w:tcW w:w="50" w:type="pct"/>
            <w:shd w:val="clear" w:color="auto" w:fill="CCEEFF"/>
            <w:vAlign w:val="bottom"/>
            <w:hideMark/>
          </w:tcPr>
          <w:p w14:paraId="5706DDE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D7BD716" w14:textId="77777777" w:rsidR="00000000" w:rsidRDefault="0053651E">
            <w:pPr>
              <w:jc w:val="right"/>
              <w:rPr>
                <w:rFonts w:eastAsia="Times New Roman"/>
                <w:sz w:val="16"/>
                <w:szCs w:val="16"/>
              </w:rPr>
            </w:pPr>
            <w:r>
              <w:rPr>
                <w:rFonts w:eastAsia="Times New Roman"/>
                <w:sz w:val="16"/>
                <w:szCs w:val="16"/>
              </w:rPr>
              <w:t>15,721,878</w:t>
            </w:r>
          </w:p>
        </w:tc>
        <w:tc>
          <w:tcPr>
            <w:tcW w:w="50" w:type="pct"/>
            <w:shd w:val="clear" w:color="auto" w:fill="CCEEFF"/>
            <w:vAlign w:val="bottom"/>
            <w:hideMark/>
          </w:tcPr>
          <w:p w14:paraId="52F73D9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203629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06EAEBD1" w14:textId="77777777" w:rsidR="00000000" w:rsidRDefault="0053651E">
            <w:pPr>
              <w:pStyle w:val="a3"/>
              <w:spacing w:before="0" w:beforeAutospacing="0" w:after="0" w:afterAutospacing="0"/>
              <w:jc w:val="center"/>
              <w:rPr>
                <w:sz w:val="16"/>
                <w:szCs w:val="16"/>
              </w:rPr>
            </w:pPr>
            <w:r>
              <w:rPr>
                <w:rStyle w:val="a6"/>
                <w:i w:val="0"/>
                <w:iCs w:val="0"/>
                <w:sz w:val="16"/>
                <w:szCs w:val="16"/>
              </w:rPr>
              <w:t>2010(A)</w:t>
            </w:r>
          </w:p>
        </w:tc>
      </w:tr>
      <w:tr w:rsidR="00000000" w14:paraId="7425B146" w14:textId="77777777">
        <w:trPr>
          <w:tblCellSpacing w:w="0" w:type="dxa"/>
        </w:trPr>
        <w:tc>
          <w:tcPr>
            <w:tcW w:w="50" w:type="pct"/>
            <w:shd w:val="clear" w:color="auto" w:fill="FFFFFF"/>
            <w:vAlign w:val="bottom"/>
            <w:hideMark/>
          </w:tcPr>
          <w:p w14:paraId="3767827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904FD27" w14:textId="77777777" w:rsidR="00000000" w:rsidRDefault="0053651E">
            <w:pPr>
              <w:pStyle w:val="a3"/>
              <w:spacing w:before="0" w:beforeAutospacing="0" w:after="0" w:afterAutospacing="0"/>
              <w:rPr>
                <w:sz w:val="16"/>
                <w:szCs w:val="16"/>
              </w:rPr>
            </w:pPr>
            <w:r>
              <w:rPr>
                <w:sz w:val="16"/>
                <w:szCs w:val="16"/>
              </w:rPr>
              <w:t>FOREST PARK</w:t>
            </w:r>
          </w:p>
        </w:tc>
        <w:tc>
          <w:tcPr>
            <w:tcW w:w="150" w:type="pct"/>
            <w:shd w:val="clear" w:color="auto" w:fill="FFFFFF"/>
            <w:vAlign w:val="bottom"/>
            <w:hideMark/>
          </w:tcPr>
          <w:p w14:paraId="6F70868D" w14:textId="77777777" w:rsidR="00000000" w:rsidRDefault="0053651E">
            <w:pPr>
              <w:pStyle w:val="a3"/>
              <w:spacing w:before="0" w:beforeAutospacing="0" w:after="0" w:afterAutospacing="0"/>
              <w:rPr>
                <w:sz w:val="16"/>
                <w:szCs w:val="16"/>
              </w:rPr>
            </w:pPr>
            <w:r>
              <w:rPr>
                <w:rStyle w:val="a6"/>
                <w:i w:val="0"/>
                <w:iCs w:val="0"/>
                <w:sz w:val="16"/>
                <w:szCs w:val="16"/>
              </w:rPr>
              <w:t>SC</w:t>
            </w:r>
          </w:p>
        </w:tc>
        <w:tc>
          <w:tcPr>
            <w:tcW w:w="300" w:type="pct"/>
            <w:shd w:val="clear" w:color="auto" w:fill="FFFFFF"/>
            <w:vAlign w:val="bottom"/>
            <w:hideMark/>
          </w:tcPr>
          <w:p w14:paraId="4AE6B0B4" w14:textId="77777777" w:rsidR="00000000" w:rsidRDefault="0053651E">
            <w:pPr>
              <w:jc w:val="right"/>
              <w:rPr>
                <w:rFonts w:eastAsia="Times New Roman"/>
                <w:sz w:val="16"/>
                <w:szCs w:val="16"/>
              </w:rPr>
            </w:pPr>
            <w:r>
              <w:rPr>
                <w:rFonts w:eastAsia="Times New Roman"/>
                <w:sz w:val="16"/>
                <w:szCs w:val="16"/>
              </w:rPr>
              <w:t>1,920,241</w:t>
            </w:r>
          </w:p>
        </w:tc>
        <w:tc>
          <w:tcPr>
            <w:tcW w:w="550" w:type="pct"/>
            <w:shd w:val="clear" w:color="auto" w:fill="FFFFFF"/>
            <w:vAlign w:val="bottom"/>
            <w:hideMark/>
          </w:tcPr>
          <w:p w14:paraId="0F15CF5F" w14:textId="77777777" w:rsidR="00000000" w:rsidRDefault="0053651E">
            <w:pPr>
              <w:jc w:val="right"/>
              <w:rPr>
                <w:rFonts w:eastAsia="Times New Roman"/>
                <w:sz w:val="16"/>
                <w:szCs w:val="16"/>
              </w:rPr>
            </w:pPr>
            <w:r>
              <w:rPr>
                <w:rFonts w:eastAsia="Times New Roman"/>
                <w:sz w:val="16"/>
                <w:szCs w:val="16"/>
              </w:rPr>
              <w:t>9,544,875</w:t>
            </w:r>
          </w:p>
        </w:tc>
        <w:tc>
          <w:tcPr>
            <w:tcW w:w="350" w:type="pct"/>
            <w:shd w:val="clear" w:color="auto" w:fill="FFFFFF"/>
            <w:vAlign w:val="bottom"/>
            <w:hideMark/>
          </w:tcPr>
          <w:p w14:paraId="52C12B27" w14:textId="77777777" w:rsidR="00000000" w:rsidRDefault="0053651E">
            <w:pPr>
              <w:jc w:val="right"/>
              <w:rPr>
                <w:rFonts w:eastAsia="Times New Roman"/>
                <w:sz w:val="16"/>
                <w:szCs w:val="16"/>
              </w:rPr>
            </w:pPr>
            <w:r>
              <w:rPr>
                <w:rFonts w:eastAsia="Times New Roman"/>
                <w:sz w:val="16"/>
                <w:szCs w:val="16"/>
              </w:rPr>
              <w:t>346,991</w:t>
            </w:r>
          </w:p>
        </w:tc>
        <w:tc>
          <w:tcPr>
            <w:tcW w:w="300" w:type="pct"/>
            <w:shd w:val="clear" w:color="auto" w:fill="FFFFFF"/>
            <w:vAlign w:val="bottom"/>
            <w:hideMark/>
          </w:tcPr>
          <w:p w14:paraId="57A1677C" w14:textId="77777777" w:rsidR="00000000" w:rsidRDefault="0053651E">
            <w:pPr>
              <w:jc w:val="right"/>
              <w:rPr>
                <w:rFonts w:eastAsia="Times New Roman"/>
                <w:sz w:val="16"/>
                <w:szCs w:val="16"/>
              </w:rPr>
            </w:pPr>
            <w:r>
              <w:rPr>
                <w:rFonts w:eastAsia="Times New Roman"/>
                <w:sz w:val="16"/>
                <w:szCs w:val="16"/>
              </w:rPr>
              <w:t>1,920,241</w:t>
            </w:r>
          </w:p>
        </w:tc>
        <w:tc>
          <w:tcPr>
            <w:tcW w:w="450" w:type="pct"/>
            <w:shd w:val="clear" w:color="auto" w:fill="FFFFFF"/>
            <w:vAlign w:val="bottom"/>
            <w:hideMark/>
          </w:tcPr>
          <w:p w14:paraId="660BE499" w14:textId="77777777" w:rsidR="00000000" w:rsidRDefault="0053651E">
            <w:pPr>
              <w:jc w:val="right"/>
              <w:rPr>
                <w:rFonts w:eastAsia="Times New Roman"/>
                <w:sz w:val="16"/>
                <w:szCs w:val="16"/>
              </w:rPr>
            </w:pPr>
            <w:r>
              <w:rPr>
                <w:rFonts w:eastAsia="Times New Roman"/>
                <w:sz w:val="16"/>
                <w:szCs w:val="16"/>
              </w:rPr>
              <w:t>9,891,866</w:t>
            </w:r>
          </w:p>
        </w:tc>
        <w:tc>
          <w:tcPr>
            <w:tcW w:w="350" w:type="pct"/>
            <w:shd w:val="clear" w:color="auto" w:fill="FFFFFF"/>
            <w:vAlign w:val="bottom"/>
            <w:hideMark/>
          </w:tcPr>
          <w:p w14:paraId="714DB8A4" w14:textId="77777777" w:rsidR="00000000" w:rsidRDefault="0053651E">
            <w:pPr>
              <w:jc w:val="right"/>
              <w:rPr>
                <w:rFonts w:eastAsia="Times New Roman"/>
                <w:sz w:val="16"/>
                <w:szCs w:val="16"/>
              </w:rPr>
            </w:pPr>
            <w:r>
              <w:rPr>
                <w:rFonts w:eastAsia="Times New Roman"/>
                <w:sz w:val="16"/>
                <w:szCs w:val="16"/>
              </w:rPr>
              <w:t>11,812,107</w:t>
            </w:r>
          </w:p>
        </w:tc>
        <w:tc>
          <w:tcPr>
            <w:tcW w:w="400" w:type="pct"/>
            <w:shd w:val="clear" w:color="auto" w:fill="FFFFFF"/>
            <w:vAlign w:val="bottom"/>
            <w:hideMark/>
          </w:tcPr>
          <w:p w14:paraId="4DB15D78" w14:textId="77777777" w:rsidR="00000000" w:rsidRDefault="0053651E">
            <w:pPr>
              <w:jc w:val="right"/>
              <w:rPr>
                <w:rFonts w:eastAsia="Times New Roman"/>
                <w:sz w:val="16"/>
                <w:szCs w:val="16"/>
              </w:rPr>
            </w:pPr>
            <w:r>
              <w:rPr>
                <w:rFonts w:eastAsia="Times New Roman"/>
                <w:sz w:val="16"/>
                <w:szCs w:val="16"/>
              </w:rPr>
              <w:t>2,004,610</w:t>
            </w:r>
          </w:p>
        </w:tc>
        <w:tc>
          <w:tcPr>
            <w:tcW w:w="50" w:type="pct"/>
            <w:shd w:val="clear" w:color="auto" w:fill="FFFFFF"/>
            <w:vAlign w:val="bottom"/>
            <w:hideMark/>
          </w:tcPr>
          <w:p w14:paraId="285BA20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E63D3C9" w14:textId="77777777" w:rsidR="00000000" w:rsidRDefault="0053651E">
            <w:pPr>
              <w:jc w:val="right"/>
              <w:rPr>
                <w:rFonts w:eastAsia="Times New Roman"/>
                <w:sz w:val="16"/>
                <w:szCs w:val="16"/>
              </w:rPr>
            </w:pPr>
            <w:r>
              <w:rPr>
                <w:rFonts w:eastAsia="Times New Roman"/>
                <w:sz w:val="16"/>
                <w:szCs w:val="16"/>
              </w:rPr>
              <w:t>9,807,497</w:t>
            </w:r>
          </w:p>
        </w:tc>
        <w:tc>
          <w:tcPr>
            <w:tcW w:w="50" w:type="pct"/>
            <w:shd w:val="clear" w:color="auto" w:fill="FFFFFF"/>
            <w:vAlign w:val="bottom"/>
            <w:hideMark/>
          </w:tcPr>
          <w:p w14:paraId="36C0BFC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B8A158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1B67B209"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535672D0" w14:textId="77777777">
        <w:trPr>
          <w:tblCellSpacing w:w="0" w:type="dxa"/>
        </w:trPr>
        <w:tc>
          <w:tcPr>
            <w:tcW w:w="50" w:type="pct"/>
            <w:shd w:val="clear" w:color="auto" w:fill="CCEEFF"/>
            <w:vAlign w:val="bottom"/>
            <w:hideMark/>
          </w:tcPr>
          <w:p w14:paraId="650EB87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0C8D9E6" w14:textId="77777777" w:rsidR="00000000" w:rsidRDefault="0053651E">
            <w:pPr>
              <w:pStyle w:val="a3"/>
              <w:spacing w:before="0" w:beforeAutospacing="0" w:after="0" w:afterAutospacing="0"/>
              <w:rPr>
                <w:sz w:val="16"/>
                <w:szCs w:val="16"/>
              </w:rPr>
            </w:pPr>
            <w:r>
              <w:rPr>
                <w:sz w:val="16"/>
                <w:szCs w:val="16"/>
              </w:rPr>
              <w:t>OLD TOWNE VILLAGE</w:t>
            </w:r>
          </w:p>
        </w:tc>
        <w:tc>
          <w:tcPr>
            <w:tcW w:w="150" w:type="pct"/>
            <w:shd w:val="clear" w:color="auto" w:fill="CCEEFF"/>
            <w:vAlign w:val="bottom"/>
            <w:hideMark/>
          </w:tcPr>
          <w:p w14:paraId="345C0666" w14:textId="77777777" w:rsidR="00000000" w:rsidRDefault="0053651E">
            <w:pPr>
              <w:pStyle w:val="a3"/>
              <w:spacing w:before="0" w:beforeAutospacing="0" w:after="0" w:afterAutospacing="0"/>
              <w:rPr>
                <w:sz w:val="16"/>
                <w:szCs w:val="16"/>
              </w:rPr>
            </w:pPr>
            <w:r>
              <w:rPr>
                <w:rStyle w:val="a6"/>
                <w:i w:val="0"/>
                <w:iCs w:val="0"/>
                <w:sz w:val="16"/>
                <w:szCs w:val="16"/>
              </w:rPr>
              <w:t>TN</w:t>
            </w:r>
          </w:p>
        </w:tc>
        <w:tc>
          <w:tcPr>
            <w:tcW w:w="300" w:type="pct"/>
            <w:shd w:val="clear" w:color="auto" w:fill="CCEEFF"/>
            <w:vAlign w:val="bottom"/>
            <w:hideMark/>
          </w:tcPr>
          <w:p w14:paraId="496E5996" w14:textId="77777777" w:rsidR="00000000" w:rsidRDefault="0053651E">
            <w:pPr>
              <w:jc w:val="right"/>
              <w:rPr>
                <w:rFonts w:eastAsia="Times New Roman"/>
                <w:sz w:val="16"/>
                <w:szCs w:val="16"/>
              </w:rPr>
            </w:pPr>
            <w:r>
              <w:rPr>
                <w:rFonts w:eastAsia="Times New Roman"/>
                <w:sz w:val="16"/>
                <w:szCs w:val="16"/>
              </w:rPr>
              <w:t>-</w:t>
            </w:r>
          </w:p>
        </w:tc>
        <w:tc>
          <w:tcPr>
            <w:tcW w:w="550" w:type="pct"/>
            <w:shd w:val="clear" w:color="auto" w:fill="CCEEFF"/>
            <w:vAlign w:val="bottom"/>
            <w:hideMark/>
          </w:tcPr>
          <w:p w14:paraId="296FAF5D" w14:textId="77777777" w:rsidR="00000000" w:rsidRDefault="0053651E">
            <w:pPr>
              <w:jc w:val="right"/>
              <w:rPr>
                <w:rFonts w:eastAsia="Times New Roman"/>
                <w:sz w:val="16"/>
                <w:szCs w:val="16"/>
              </w:rPr>
            </w:pPr>
            <w:r>
              <w:rPr>
                <w:rFonts w:eastAsia="Times New Roman"/>
                <w:sz w:val="16"/>
                <w:szCs w:val="16"/>
              </w:rPr>
              <w:t>4,133,904</w:t>
            </w:r>
          </w:p>
        </w:tc>
        <w:tc>
          <w:tcPr>
            <w:tcW w:w="350" w:type="pct"/>
            <w:shd w:val="clear" w:color="auto" w:fill="CCEEFF"/>
            <w:vAlign w:val="bottom"/>
            <w:hideMark/>
          </w:tcPr>
          <w:p w14:paraId="3CA7591A" w14:textId="77777777" w:rsidR="00000000" w:rsidRDefault="0053651E">
            <w:pPr>
              <w:jc w:val="right"/>
              <w:rPr>
                <w:rFonts w:eastAsia="Times New Roman"/>
                <w:sz w:val="16"/>
                <w:szCs w:val="16"/>
              </w:rPr>
            </w:pPr>
            <w:r>
              <w:rPr>
                <w:rFonts w:eastAsia="Times New Roman"/>
                <w:sz w:val="16"/>
                <w:szCs w:val="16"/>
              </w:rPr>
              <w:t>4,225,635</w:t>
            </w:r>
          </w:p>
        </w:tc>
        <w:tc>
          <w:tcPr>
            <w:tcW w:w="300" w:type="pct"/>
            <w:shd w:val="clear" w:color="auto" w:fill="CCEEFF"/>
            <w:vAlign w:val="bottom"/>
            <w:hideMark/>
          </w:tcPr>
          <w:p w14:paraId="7B121DDF" w14:textId="77777777" w:rsidR="00000000" w:rsidRDefault="0053651E">
            <w:pPr>
              <w:jc w:val="right"/>
              <w:rPr>
                <w:rFonts w:eastAsia="Times New Roman"/>
                <w:sz w:val="16"/>
                <w:szCs w:val="16"/>
              </w:rPr>
            </w:pPr>
            <w:r>
              <w:rPr>
                <w:rFonts w:eastAsia="Times New Roman"/>
                <w:sz w:val="16"/>
                <w:szCs w:val="16"/>
              </w:rPr>
              <w:t>-</w:t>
            </w:r>
          </w:p>
        </w:tc>
        <w:tc>
          <w:tcPr>
            <w:tcW w:w="450" w:type="pct"/>
            <w:shd w:val="clear" w:color="auto" w:fill="CCEEFF"/>
            <w:vAlign w:val="bottom"/>
            <w:hideMark/>
          </w:tcPr>
          <w:p w14:paraId="0110F5A4" w14:textId="77777777" w:rsidR="00000000" w:rsidRDefault="0053651E">
            <w:pPr>
              <w:jc w:val="right"/>
              <w:rPr>
                <w:rFonts w:eastAsia="Times New Roman"/>
                <w:sz w:val="16"/>
                <w:szCs w:val="16"/>
              </w:rPr>
            </w:pPr>
            <w:r>
              <w:rPr>
                <w:rFonts w:eastAsia="Times New Roman"/>
                <w:sz w:val="16"/>
                <w:szCs w:val="16"/>
              </w:rPr>
              <w:t>8,359,539</w:t>
            </w:r>
          </w:p>
        </w:tc>
        <w:tc>
          <w:tcPr>
            <w:tcW w:w="350" w:type="pct"/>
            <w:shd w:val="clear" w:color="auto" w:fill="CCEEFF"/>
            <w:vAlign w:val="bottom"/>
            <w:hideMark/>
          </w:tcPr>
          <w:p w14:paraId="02AC5159" w14:textId="77777777" w:rsidR="00000000" w:rsidRDefault="0053651E">
            <w:pPr>
              <w:jc w:val="right"/>
              <w:rPr>
                <w:rFonts w:eastAsia="Times New Roman"/>
                <w:sz w:val="16"/>
                <w:szCs w:val="16"/>
              </w:rPr>
            </w:pPr>
            <w:r>
              <w:rPr>
                <w:rFonts w:eastAsia="Times New Roman"/>
                <w:sz w:val="16"/>
                <w:szCs w:val="16"/>
              </w:rPr>
              <w:t>8,359,539</w:t>
            </w:r>
          </w:p>
        </w:tc>
        <w:tc>
          <w:tcPr>
            <w:tcW w:w="400" w:type="pct"/>
            <w:shd w:val="clear" w:color="auto" w:fill="CCEEFF"/>
            <w:vAlign w:val="bottom"/>
            <w:hideMark/>
          </w:tcPr>
          <w:p w14:paraId="27B982B9" w14:textId="77777777" w:rsidR="00000000" w:rsidRDefault="0053651E">
            <w:pPr>
              <w:jc w:val="right"/>
              <w:rPr>
                <w:rFonts w:eastAsia="Times New Roman"/>
                <w:sz w:val="16"/>
                <w:szCs w:val="16"/>
              </w:rPr>
            </w:pPr>
            <w:r>
              <w:rPr>
                <w:rFonts w:eastAsia="Times New Roman"/>
                <w:sz w:val="16"/>
                <w:szCs w:val="16"/>
              </w:rPr>
              <w:t>6,305,704</w:t>
            </w:r>
          </w:p>
        </w:tc>
        <w:tc>
          <w:tcPr>
            <w:tcW w:w="50" w:type="pct"/>
            <w:shd w:val="clear" w:color="auto" w:fill="CCEEFF"/>
            <w:vAlign w:val="bottom"/>
            <w:hideMark/>
          </w:tcPr>
          <w:p w14:paraId="12D8CBC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20F922A" w14:textId="77777777" w:rsidR="00000000" w:rsidRDefault="0053651E">
            <w:pPr>
              <w:jc w:val="right"/>
              <w:rPr>
                <w:rFonts w:eastAsia="Times New Roman"/>
                <w:sz w:val="16"/>
                <w:szCs w:val="16"/>
              </w:rPr>
            </w:pPr>
            <w:r>
              <w:rPr>
                <w:rFonts w:eastAsia="Times New Roman"/>
                <w:sz w:val="16"/>
                <w:szCs w:val="16"/>
              </w:rPr>
              <w:t>2,053,835</w:t>
            </w:r>
          </w:p>
        </w:tc>
        <w:tc>
          <w:tcPr>
            <w:tcW w:w="50" w:type="pct"/>
            <w:shd w:val="clear" w:color="auto" w:fill="CCEEFF"/>
            <w:vAlign w:val="bottom"/>
            <w:hideMark/>
          </w:tcPr>
          <w:p w14:paraId="4A671BC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0A2750D"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237179B2" w14:textId="77777777" w:rsidR="00000000" w:rsidRDefault="0053651E">
            <w:pPr>
              <w:pStyle w:val="a3"/>
              <w:spacing w:before="0" w:beforeAutospacing="0" w:after="0" w:afterAutospacing="0"/>
              <w:jc w:val="center"/>
              <w:rPr>
                <w:sz w:val="16"/>
                <w:szCs w:val="16"/>
              </w:rPr>
            </w:pPr>
            <w:r>
              <w:rPr>
                <w:rStyle w:val="a6"/>
                <w:i w:val="0"/>
                <w:iCs w:val="0"/>
                <w:sz w:val="16"/>
                <w:szCs w:val="16"/>
              </w:rPr>
              <w:t>1978(C)</w:t>
            </w:r>
          </w:p>
        </w:tc>
      </w:tr>
      <w:tr w:rsidR="00000000" w14:paraId="708A08E7" w14:textId="77777777">
        <w:trPr>
          <w:tblCellSpacing w:w="0" w:type="dxa"/>
        </w:trPr>
        <w:tc>
          <w:tcPr>
            <w:tcW w:w="50" w:type="pct"/>
            <w:shd w:val="clear" w:color="auto" w:fill="FFFFFF"/>
            <w:vAlign w:val="bottom"/>
            <w:hideMark/>
          </w:tcPr>
          <w:p w14:paraId="367F648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040C6D7" w14:textId="77777777" w:rsidR="00000000" w:rsidRDefault="0053651E">
            <w:pPr>
              <w:pStyle w:val="a3"/>
              <w:spacing w:before="0" w:beforeAutospacing="0" w:after="0" w:afterAutospacing="0"/>
              <w:rPr>
                <w:sz w:val="16"/>
                <w:szCs w:val="16"/>
              </w:rPr>
            </w:pPr>
            <w:r>
              <w:rPr>
                <w:sz w:val="16"/>
                <w:szCs w:val="16"/>
              </w:rPr>
              <w:t>CENTER OF THE HILLS</w:t>
            </w:r>
          </w:p>
        </w:tc>
        <w:tc>
          <w:tcPr>
            <w:tcW w:w="150" w:type="pct"/>
            <w:shd w:val="clear" w:color="auto" w:fill="FFFFFF"/>
            <w:vAlign w:val="bottom"/>
            <w:hideMark/>
          </w:tcPr>
          <w:p w14:paraId="60191599"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3D5E7336" w14:textId="77777777" w:rsidR="00000000" w:rsidRDefault="0053651E">
            <w:pPr>
              <w:jc w:val="right"/>
              <w:rPr>
                <w:rFonts w:eastAsia="Times New Roman"/>
                <w:sz w:val="16"/>
                <w:szCs w:val="16"/>
              </w:rPr>
            </w:pPr>
            <w:r>
              <w:rPr>
                <w:rFonts w:eastAsia="Times New Roman"/>
                <w:sz w:val="16"/>
                <w:szCs w:val="16"/>
              </w:rPr>
              <w:t>2,923,585</w:t>
            </w:r>
          </w:p>
        </w:tc>
        <w:tc>
          <w:tcPr>
            <w:tcW w:w="550" w:type="pct"/>
            <w:shd w:val="clear" w:color="auto" w:fill="FFFFFF"/>
            <w:vAlign w:val="bottom"/>
            <w:hideMark/>
          </w:tcPr>
          <w:p w14:paraId="6B76B648" w14:textId="77777777" w:rsidR="00000000" w:rsidRDefault="0053651E">
            <w:pPr>
              <w:jc w:val="right"/>
              <w:rPr>
                <w:rFonts w:eastAsia="Times New Roman"/>
                <w:sz w:val="16"/>
                <w:szCs w:val="16"/>
              </w:rPr>
            </w:pPr>
            <w:r>
              <w:rPr>
                <w:rFonts w:eastAsia="Times New Roman"/>
                <w:sz w:val="16"/>
                <w:szCs w:val="16"/>
              </w:rPr>
              <w:t>11,706,145</w:t>
            </w:r>
          </w:p>
        </w:tc>
        <w:tc>
          <w:tcPr>
            <w:tcW w:w="350" w:type="pct"/>
            <w:shd w:val="clear" w:color="auto" w:fill="FFFFFF"/>
            <w:vAlign w:val="bottom"/>
            <w:hideMark/>
          </w:tcPr>
          <w:p w14:paraId="443BD5ED" w14:textId="77777777" w:rsidR="00000000" w:rsidRDefault="0053651E">
            <w:pPr>
              <w:jc w:val="right"/>
              <w:rPr>
                <w:rFonts w:eastAsia="Times New Roman"/>
                <w:sz w:val="16"/>
                <w:szCs w:val="16"/>
              </w:rPr>
            </w:pPr>
            <w:r>
              <w:rPr>
                <w:rFonts w:eastAsia="Times New Roman"/>
                <w:sz w:val="16"/>
                <w:szCs w:val="16"/>
              </w:rPr>
              <w:t>2,807,467</w:t>
            </w:r>
          </w:p>
        </w:tc>
        <w:tc>
          <w:tcPr>
            <w:tcW w:w="300" w:type="pct"/>
            <w:shd w:val="clear" w:color="auto" w:fill="FFFFFF"/>
            <w:vAlign w:val="bottom"/>
            <w:hideMark/>
          </w:tcPr>
          <w:p w14:paraId="468AC2FC" w14:textId="77777777" w:rsidR="00000000" w:rsidRDefault="0053651E">
            <w:pPr>
              <w:jc w:val="right"/>
              <w:rPr>
                <w:rFonts w:eastAsia="Times New Roman"/>
                <w:sz w:val="16"/>
                <w:szCs w:val="16"/>
              </w:rPr>
            </w:pPr>
            <w:r>
              <w:rPr>
                <w:rFonts w:eastAsia="Times New Roman"/>
                <w:sz w:val="16"/>
                <w:szCs w:val="16"/>
              </w:rPr>
              <w:t>2,923,585</w:t>
            </w:r>
          </w:p>
        </w:tc>
        <w:tc>
          <w:tcPr>
            <w:tcW w:w="450" w:type="pct"/>
            <w:shd w:val="clear" w:color="auto" w:fill="FFFFFF"/>
            <w:vAlign w:val="bottom"/>
            <w:hideMark/>
          </w:tcPr>
          <w:p w14:paraId="546707E0" w14:textId="77777777" w:rsidR="00000000" w:rsidRDefault="0053651E">
            <w:pPr>
              <w:jc w:val="right"/>
              <w:rPr>
                <w:rFonts w:eastAsia="Times New Roman"/>
                <w:sz w:val="16"/>
                <w:szCs w:val="16"/>
              </w:rPr>
            </w:pPr>
            <w:r>
              <w:rPr>
                <w:rFonts w:eastAsia="Times New Roman"/>
                <w:sz w:val="16"/>
                <w:szCs w:val="16"/>
              </w:rPr>
              <w:t>14,513,612</w:t>
            </w:r>
          </w:p>
        </w:tc>
        <w:tc>
          <w:tcPr>
            <w:tcW w:w="350" w:type="pct"/>
            <w:shd w:val="clear" w:color="auto" w:fill="FFFFFF"/>
            <w:vAlign w:val="bottom"/>
            <w:hideMark/>
          </w:tcPr>
          <w:p w14:paraId="0FA5FD69" w14:textId="77777777" w:rsidR="00000000" w:rsidRDefault="0053651E">
            <w:pPr>
              <w:jc w:val="right"/>
              <w:rPr>
                <w:rFonts w:eastAsia="Times New Roman"/>
                <w:sz w:val="16"/>
                <w:szCs w:val="16"/>
              </w:rPr>
            </w:pPr>
            <w:r>
              <w:rPr>
                <w:rFonts w:eastAsia="Times New Roman"/>
                <w:sz w:val="16"/>
                <w:szCs w:val="16"/>
              </w:rPr>
              <w:t>17,437,197</w:t>
            </w:r>
          </w:p>
        </w:tc>
        <w:tc>
          <w:tcPr>
            <w:tcW w:w="400" w:type="pct"/>
            <w:shd w:val="clear" w:color="auto" w:fill="FFFFFF"/>
            <w:vAlign w:val="bottom"/>
            <w:hideMark/>
          </w:tcPr>
          <w:p w14:paraId="6DF7613C" w14:textId="77777777" w:rsidR="00000000" w:rsidRDefault="0053651E">
            <w:pPr>
              <w:jc w:val="right"/>
              <w:rPr>
                <w:rFonts w:eastAsia="Times New Roman"/>
                <w:sz w:val="16"/>
                <w:szCs w:val="16"/>
              </w:rPr>
            </w:pPr>
            <w:r>
              <w:rPr>
                <w:rFonts w:eastAsia="Times New Roman"/>
                <w:sz w:val="16"/>
                <w:szCs w:val="16"/>
              </w:rPr>
              <w:t>6,518,477</w:t>
            </w:r>
          </w:p>
        </w:tc>
        <w:tc>
          <w:tcPr>
            <w:tcW w:w="50" w:type="pct"/>
            <w:shd w:val="clear" w:color="auto" w:fill="FFFFFF"/>
            <w:vAlign w:val="bottom"/>
            <w:hideMark/>
          </w:tcPr>
          <w:p w14:paraId="465A2E9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CB91638" w14:textId="77777777" w:rsidR="00000000" w:rsidRDefault="0053651E">
            <w:pPr>
              <w:jc w:val="right"/>
              <w:rPr>
                <w:rFonts w:eastAsia="Times New Roman"/>
                <w:sz w:val="16"/>
                <w:szCs w:val="16"/>
              </w:rPr>
            </w:pPr>
            <w:r>
              <w:rPr>
                <w:rFonts w:eastAsia="Times New Roman"/>
                <w:sz w:val="16"/>
                <w:szCs w:val="16"/>
              </w:rPr>
              <w:t>10,918,720</w:t>
            </w:r>
          </w:p>
        </w:tc>
        <w:tc>
          <w:tcPr>
            <w:tcW w:w="50" w:type="pct"/>
            <w:shd w:val="clear" w:color="auto" w:fill="FFFFFF"/>
            <w:vAlign w:val="bottom"/>
            <w:hideMark/>
          </w:tcPr>
          <w:p w14:paraId="339615E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FD2CAD5"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74BC22A5"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1BCA2643" w14:textId="77777777">
        <w:trPr>
          <w:tblCellSpacing w:w="0" w:type="dxa"/>
        </w:trPr>
        <w:tc>
          <w:tcPr>
            <w:tcW w:w="50" w:type="pct"/>
            <w:shd w:val="clear" w:color="auto" w:fill="CCEEFF"/>
            <w:vAlign w:val="bottom"/>
            <w:hideMark/>
          </w:tcPr>
          <w:p w14:paraId="7A84749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6798345" w14:textId="77777777" w:rsidR="00000000" w:rsidRDefault="0053651E">
            <w:pPr>
              <w:pStyle w:val="a3"/>
              <w:spacing w:before="0" w:beforeAutospacing="0" w:after="0" w:afterAutospacing="0"/>
              <w:rPr>
                <w:sz w:val="16"/>
                <w:szCs w:val="16"/>
              </w:rPr>
            </w:pPr>
            <w:r>
              <w:rPr>
                <w:sz w:val="16"/>
                <w:szCs w:val="16"/>
              </w:rPr>
              <w:t>GATEWAY STATION</w:t>
            </w:r>
          </w:p>
        </w:tc>
        <w:tc>
          <w:tcPr>
            <w:tcW w:w="150" w:type="pct"/>
            <w:shd w:val="clear" w:color="auto" w:fill="CCEEFF"/>
            <w:vAlign w:val="bottom"/>
            <w:hideMark/>
          </w:tcPr>
          <w:p w14:paraId="3EADD3BF"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2DA10C85" w14:textId="77777777" w:rsidR="00000000" w:rsidRDefault="0053651E">
            <w:pPr>
              <w:jc w:val="right"/>
              <w:rPr>
                <w:rFonts w:eastAsia="Times New Roman"/>
                <w:sz w:val="16"/>
                <w:szCs w:val="16"/>
              </w:rPr>
            </w:pPr>
            <w:r>
              <w:rPr>
                <w:rFonts w:eastAsia="Times New Roman"/>
                <w:sz w:val="16"/>
                <w:szCs w:val="16"/>
              </w:rPr>
              <w:t>1,373,692</w:t>
            </w:r>
          </w:p>
        </w:tc>
        <w:tc>
          <w:tcPr>
            <w:tcW w:w="550" w:type="pct"/>
            <w:shd w:val="clear" w:color="auto" w:fill="CCEEFF"/>
            <w:vAlign w:val="bottom"/>
            <w:hideMark/>
          </w:tcPr>
          <w:p w14:paraId="166A24C2" w14:textId="77777777" w:rsidR="00000000" w:rsidRDefault="0053651E">
            <w:pPr>
              <w:jc w:val="right"/>
              <w:rPr>
                <w:rFonts w:eastAsia="Times New Roman"/>
                <w:sz w:val="16"/>
                <w:szCs w:val="16"/>
              </w:rPr>
            </w:pPr>
            <w:r>
              <w:rPr>
                <w:rFonts w:eastAsia="Times New Roman"/>
                <w:sz w:val="16"/>
                <w:szCs w:val="16"/>
              </w:rPr>
              <w:t>28,145,158</w:t>
            </w:r>
          </w:p>
        </w:tc>
        <w:tc>
          <w:tcPr>
            <w:tcW w:w="350" w:type="pct"/>
            <w:shd w:val="clear" w:color="auto" w:fill="CCEEFF"/>
            <w:vAlign w:val="bottom"/>
            <w:hideMark/>
          </w:tcPr>
          <w:p w14:paraId="0110E32C" w14:textId="77777777" w:rsidR="00000000" w:rsidRDefault="0053651E">
            <w:pPr>
              <w:jc w:val="right"/>
              <w:rPr>
                <w:rFonts w:eastAsia="Times New Roman"/>
                <w:sz w:val="16"/>
                <w:szCs w:val="16"/>
              </w:rPr>
            </w:pPr>
            <w:r>
              <w:rPr>
                <w:rFonts w:eastAsia="Times New Roman"/>
                <w:sz w:val="16"/>
                <w:szCs w:val="16"/>
              </w:rPr>
              <w:t>3,206,734</w:t>
            </w:r>
          </w:p>
        </w:tc>
        <w:tc>
          <w:tcPr>
            <w:tcW w:w="300" w:type="pct"/>
            <w:shd w:val="clear" w:color="auto" w:fill="CCEEFF"/>
            <w:vAlign w:val="bottom"/>
            <w:hideMark/>
          </w:tcPr>
          <w:p w14:paraId="7FE7C767" w14:textId="77777777" w:rsidR="00000000" w:rsidRDefault="0053651E">
            <w:pPr>
              <w:jc w:val="right"/>
              <w:rPr>
                <w:rFonts w:eastAsia="Times New Roman"/>
                <w:sz w:val="16"/>
                <w:szCs w:val="16"/>
              </w:rPr>
            </w:pPr>
            <w:r>
              <w:rPr>
                <w:rFonts w:eastAsia="Times New Roman"/>
                <w:sz w:val="16"/>
                <w:szCs w:val="16"/>
              </w:rPr>
              <w:t>1,374,880</w:t>
            </w:r>
          </w:p>
        </w:tc>
        <w:tc>
          <w:tcPr>
            <w:tcW w:w="450" w:type="pct"/>
            <w:shd w:val="clear" w:color="auto" w:fill="CCEEFF"/>
            <w:vAlign w:val="bottom"/>
            <w:hideMark/>
          </w:tcPr>
          <w:p w14:paraId="79D9B200" w14:textId="77777777" w:rsidR="00000000" w:rsidRDefault="0053651E">
            <w:pPr>
              <w:jc w:val="right"/>
              <w:rPr>
                <w:rFonts w:eastAsia="Times New Roman"/>
                <w:sz w:val="16"/>
                <w:szCs w:val="16"/>
              </w:rPr>
            </w:pPr>
            <w:r>
              <w:rPr>
                <w:rFonts w:eastAsia="Times New Roman"/>
                <w:sz w:val="16"/>
                <w:szCs w:val="16"/>
              </w:rPr>
              <w:t>31,350,704</w:t>
            </w:r>
          </w:p>
        </w:tc>
        <w:tc>
          <w:tcPr>
            <w:tcW w:w="350" w:type="pct"/>
            <w:shd w:val="clear" w:color="auto" w:fill="CCEEFF"/>
            <w:vAlign w:val="bottom"/>
            <w:hideMark/>
          </w:tcPr>
          <w:p w14:paraId="2F8EB1D9" w14:textId="77777777" w:rsidR="00000000" w:rsidRDefault="0053651E">
            <w:pPr>
              <w:jc w:val="right"/>
              <w:rPr>
                <w:rFonts w:eastAsia="Times New Roman"/>
                <w:sz w:val="16"/>
                <w:szCs w:val="16"/>
              </w:rPr>
            </w:pPr>
            <w:r>
              <w:rPr>
                <w:rFonts w:eastAsia="Times New Roman"/>
                <w:sz w:val="16"/>
                <w:szCs w:val="16"/>
              </w:rPr>
              <w:t>32,725,584</w:t>
            </w:r>
          </w:p>
        </w:tc>
        <w:tc>
          <w:tcPr>
            <w:tcW w:w="400" w:type="pct"/>
            <w:shd w:val="clear" w:color="auto" w:fill="CCEEFF"/>
            <w:vAlign w:val="bottom"/>
            <w:hideMark/>
          </w:tcPr>
          <w:p w14:paraId="10499173" w14:textId="77777777" w:rsidR="00000000" w:rsidRDefault="0053651E">
            <w:pPr>
              <w:jc w:val="right"/>
              <w:rPr>
                <w:rFonts w:eastAsia="Times New Roman"/>
                <w:sz w:val="16"/>
                <w:szCs w:val="16"/>
              </w:rPr>
            </w:pPr>
            <w:r>
              <w:rPr>
                <w:rFonts w:eastAsia="Times New Roman"/>
                <w:sz w:val="16"/>
                <w:szCs w:val="16"/>
              </w:rPr>
              <w:t>5,695,545</w:t>
            </w:r>
          </w:p>
        </w:tc>
        <w:tc>
          <w:tcPr>
            <w:tcW w:w="50" w:type="pct"/>
            <w:shd w:val="clear" w:color="auto" w:fill="CCEEFF"/>
            <w:vAlign w:val="bottom"/>
            <w:hideMark/>
          </w:tcPr>
          <w:p w14:paraId="715DA46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0798D31" w14:textId="77777777" w:rsidR="00000000" w:rsidRDefault="0053651E">
            <w:pPr>
              <w:jc w:val="right"/>
              <w:rPr>
                <w:rFonts w:eastAsia="Times New Roman"/>
                <w:sz w:val="16"/>
                <w:szCs w:val="16"/>
              </w:rPr>
            </w:pPr>
            <w:r>
              <w:rPr>
                <w:rFonts w:eastAsia="Times New Roman"/>
                <w:sz w:val="16"/>
                <w:szCs w:val="16"/>
              </w:rPr>
              <w:t>27,030,039</w:t>
            </w:r>
          </w:p>
        </w:tc>
        <w:tc>
          <w:tcPr>
            <w:tcW w:w="50" w:type="pct"/>
            <w:shd w:val="clear" w:color="auto" w:fill="CCEEFF"/>
            <w:vAlign w:val="bottom"/>
            <w:hideMark/>
          </w:tcPr>
          <w:p w14:paraId="422A4F1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C2816D7"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590123E0" w14:textId="77777777" w:rsidR="00000000" w:rsidRDefault="0053651E">
            <w:pPr>
              <w:pStyle w:val="a3"/>
              <w:spacing w:before="0" w:beforeAutospacing="0" w:after="0" w:afterAutospacing="0"/>
              <w:jc w:val="center"/>
              <w:rPr>
                <w:sz w:val="16"/>
                <w:szCs w:val="16"/>
              </w:rPr>
            </w:pPr>
            <w:r>
              <w:rPr>
                <w:rStyle w:val="a6"/>
                <w:i w:val="0"/>
                <w:iCs w:val="0"/>
                <w:sz w:val="16"/>
                <w:szCs w:val="16"/>
              </w:rPr>
              <w:t>2011(A)</w:t>
            </w:r>
          </w:p>
        </w:tc>
      </w:tr>
      <w:tr w:rsidR="00000000" w14:paraId="5C7C438E" w14:textId="77777777">
        <w:trPr>
          <w:tblCellSpacing w:w="0" w:type="dxa"/>
        </w:trPr>
        <w:tc>
          <w:tcPr>
            <w:tcW w:w="50" w:type="pct"/>
            <w:shd w:val="clear" w:color="auto" w:fill="FFFFFF"/>
            <w:vAlign w:val="bottom"/>
            <w:hideMark/>
          </w:tcPr>
          <w:p w14:paraId="352AA2A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FAF5B27" w14:textId="77777777" w:rsidR="00000000" w:rsidRDefault="0053651E">
            <w:pPr>
              <w:pStyle w:val="a3"/>
              <w:spacing w:before="0" w:beforeAutospacing="0" w:after="0" w:afterAutospacing="0"/>
              <w:rPr>
                <w:sz w:val="16"/>
                <w:szCs w:val="16"/>
              </w:rPr>
            </w:pPr>
            <w:r>
              <w:rPr>
                <w:sz w:val="16"/>
                <w:szCs w:val="16"/>
              </w:rPr>
              <w:t>LAS TIENDAS PLAZA</w:t>
            </w:r>
          </w:p>
        </w:tc>
        <w:tc>
          <w:tcPr>
            <w:tcW w:w="150" w:type="pct"/>
            <w:shd w:val="clear" w:color="auto" w:fill="FFFFFF"/>
            <w:vAlign w:val="bottom"/>
            <w:hideMark/>
          </w:tcPr>
          <w:p w14:paraId="4548C9A0"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146BCC87" w14:textId="77777777" w:rsidR="00000000" w:rsidRDefault="0053651E">
            <w:pPr>
              <w:jc w:val="right"/>
              <w:rPr>
                <w:rFonts w:eastAsia="Times New Roman"/>
                <w:sz w:val="16"/>
                <w:szCs w:val="16"/>
              </w:rPr>
            </w:pPr>
            <w:r>
              <w:rPr>
                <w:rFonts w:eastAsia="Times New Roman"/>
                <w:sz w:val="16"/>
                <w:szCs w:val="16"/>
              </w:rPr>
              <w:t>8,678,107</w:t>
            </w:r>
          </w:p>
        </w:tc>
        <w:tc>
          <w:tcPr>
            <w:tcW w:w="550" w:type="pct"/>
            <w:shd w:val="clear" w:color="auto" w:fill="FFFFFF"/>
            <w:vAlign w:val="bottom"/>
            <w:hideMark/>
          </w:tcPr>
          <w:p w14:paraId="069222E0"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2F5097F5" w14:textId="77777777" w:rsidR="00000000" w:rsidRDefault="0053651E">
            <w:pPr>
              <w:jc w:val="right"/>
              <w:rPr>
                <w:rFonts w:eastAsia="Times New Roman"/>
                <w:sz w:val="16"/>
                <w:szCs w:val="16"/>
              </w:rPr>
            </w:pPr>
            <w:r>
              <w:rPr>
                <w:rFonts w:eastAsia="Times New Roman"/>
                <w:sz w:val="16"/>
                <w:szCs w:val="16"/>
              </w:rPr>
              <w:t>27,150,115</w:t>
            </w:r>
          </w:p>
        </w:tc>
        <w:tc>
          <w:tcPr>
            <w:tcW w:w="300" w:type="pct"/>
            <w:shd w:val="clear" w:color="auto" w:fill="FFFFFF"/>
            <w:vAlign w:val="bottom"/>
            <w:hideMark/>
          </w:tcPr>
          <w:p w14:paraId="41E26EC4" w14:textId="77777777" w:rsidR="00000000" w:rsidRDefault="0053651E">
            <w:pPr>
              <w:jc w:val="right"/>
              <w:rPr>
                <w:rFonts w:eastAsia="Times New Roman"/>
                <w:sz w:val="16"/>
                <w:szCs w:val="16"/>
              </w:rPr>
            </w:pPr>
            <w:r>
              <w:rPr>
                <w:rFonts w:eastAsia="Times New Roman"/>
                <w:sz w:val="16"/>
                <w:szCs w:val="16"/>
              </w:rPr>
              <w:t>7,943,925</w:t>
            </w:r>
          </w:p>
        </w:tc>
        <w:tc>
          <w:tcPr>
            <w:tcW w:w="450" w:type="pct"/>
            <w:shd w:val="clear" w:color="auto" w:fill="FFFFFF"/>
            <w:vAlign w:val="bottom"/>
            <w:hideMark/>
          </w:tcPr>
          <w:p w14:paraId="26C02A19" w14:textId="77777777" w:rsidR="00000000" w:rsidRDefault="0053651E">
            <w:pPr>
              <w:jc w:val="right"/>
              <w:rPr>
                <w:rFonts w:eastAsia="Times New Roman"/>
                <w:sz w:val="16"/>
                <w:szCs w:val="16"/>
              </w:rPr>
            </w:pPr>
            <w:r>
              <w:rPr>
                <w:rFonts w:eastAsia="Times New Roman"/>
                <w:sz w:val="16"/>
                <w:szCs w:val="16"/>
              </w:rPr>
              <w:t>27,884,297</w:t>
            </w:r>
          </w:p>
        </w:tc>
        <w:tc>
          <w:tcPr>
            <w:tcW w:w="350" w:type="pct"/>
            <w:shd w:val="clear" w:color="auto" w:fill="FFFFFF"/>
            <w:vAlign w:val="bottom"/>
            <w:hideMark/>
          </w:tcPr>
          <w:p w14:paraId="351BD334" w14:textId="77777777" w:rsidR="00000000" w:rsidRDefault="0053651E">
            <w:pPr>
              <w:jc w:val="right"/>
              <w:rPr>
                <w:rFonts w:eastAsia="Times New Roman"/>
                <w:sz w:val="16"/>
                <w:szCs w:val="16"/>
              </w:rPr>
            </w:pPr>
            <w:r>
              <w:rPr>
                <w:rFonts w:eastAsia="Times New Roman"/>
                <w:sz w:val="16"/>
                <w:szCs w:val="16"/>
              </w:rPr>
              <w:t>35,828,222</w:t>
            </w:r>
          </w:p>
        </w:tc>
        <w:tc>
          <w:tcPr>
            <w:tcW w:w="400" w:type="pct"/>
            <w:shd w:val="clear" w:color="auto" w:fill="FFFFFF"/>
            <w:vAlign w:val="bottom"/>
            <w:hideMark/>
          </w:tcPr>
          <w:p w14:paraId="07824EBB" w14:textId="77777777" w:rsidR="00000000" w:rsidRDefault="0053651E">
            <w:pPr>
              <w:jc w:val="right"/>
              <w:rPr>
                <w:rFonts w:eastAsia="Times New Roman"/>
                <w:sz w:val="16"/>
                <w:szCs w:val="16"/>
              </w:rPr>
            </w:pPr>
            <w:r>
              <w:rPr>
                <w:rFonts w:eastAsia="Times New Roman"/>
                <w:sz w:val="16"/>
                <w:szCs w:val="16"/>
              </w:rPr>
              <w:t>7,285,108</w:t>
            </w:r>
          </w:p>
        </w:tc>
        <w:tc>
          <w:tcPr>
            <w:tcW w:w="50" w:type="pct"/>
            <w:shd w:val="clear" w:color="auto" w:fill="FFFFFF"/>
            <w:vAlign w:val="bottom"/>
            <w:hideMark/>
          </w:tcPr>
          <w:p w14:paraId="2D13116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F909D53" w14:textId="77777777" w:rsidR="00000000" w:rsidRDefault="0053651E">
            <w:pPr>
              <w:jc w:val="right"/>
              <w:rPr>
                <w:rFonts w:eastAsia="Times New Roman"/>
                <w:sz w:val="16"/>
                <w:szCs w:val="16"/>
              </w:rPr>
            </w:pPr>
            <w:r>
              <w:rPr>
                <w:rFonts w:eastAsia="Times New Roman"/>
                <w:sz w:val="16"/>
                <w:szCs w:val="16"/>
              </w:rPr>
              <w:t>28,543,114</w:t>
            </w:r>
          </w:p>
        </w:tc>
        <w:tc>
          <w:tcPr>
            <w:tcW w:w="50" w:type="pct"/>
            <w:shd w:val="clear" w:color="auto" w:fill="FFFFFF"/>
            <w:vAlign w:val="bottom"/>
            <w:hideMark/>
          </w:tcPr>
          <w:p w14:paraId="79F0565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42E0621"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4ADD975" w14:textId="77777777" w:rsidR="00000000" w:rsidRDefault="0053651E">
            <w:pPr>
              <w:pStyle w:val="a3"/>
              <w:spacing w:before="0" w:beforeAutospacing="0" w:after="0" w:afterAutospacing="0"/>
              <w:jc w:val="center"/>
              <w:rPr>
                <w:sz w:val="16"/>
                <w:szCs w:val="16"/>
              </w:rPr>
            </w:pPr>
            <w:r>
              <w:rPr>
                <w:rStyle w:val="a6"/>
                <w:i w:val="0"/>
                <w:iCs w:val="0"/>
                <w:sz w:val="16"/>
                <w:szCs w:val="16"/>
              </w:rPr>
              <w:t>2005(C)</w:t>
            </w:r>
          </w:p>
        </w:tc>
      </w:tr>
      <w:tr w:rsidR="00000000" w14:paraId="41F86C47" w14:textId="77777777">
        <w:trPr>
          <w:tblCellSpacing w:w="0" w:type="dxa"/>
        </w:trPr>
        <w:tc>
          <w:tcPr>
            <w:tcW w:w="50" w:type="pct"/>
            <w:shd w:val="clear" w:color="auto" w:fill="CCEEFF"/>
            <w:vAlign w:val="bottom"/>
            <w:hideMark/>
          </w:tcPr>
          <w:p w14:paraId="2638879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1B56525" w14:textId="77777777" w:rsidR="00000000" w:rsidRDefault="0053651E">
            <w:pPr>
              <w:pStyle w:val="a3"/>
              <w:spacing w:before="0" w:beforeAutospacing="0" w:after="0" w:afterAutospacing="0"/>
              <w:rPr>
                <w:sz w:val="16"/>
                <w:szCs w:val="16"/>
              </w:rPr>
            </w:pPr>
            <w:r>
              <w:rPr>
                <w:sz w:val="16"/>
                <w:szCs w:val="16"/>
              </w:rPr>
              <w:t>GATEWAY STATION PHASE II</w:t>
            </w:r>
          </w:p>
        </w:tc>
        <w:tc>
          <w:tcPr>
            <w:tcW w:w="150" w:type="pct"/>
            <w:shd w:val="clear" w:color="auto" w:fill="CCEEFF"/>
            <w:vAlign w:val="bottom"/>
            <w:hideMark/>
          </w:tcPr>
          <w:p w14:paraId="06F62160"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2B6B06B0" w14:textId="77777777" w:rsidR="00000000" w:rsidRDefault="0053651E">
            <w:pPr>
              <w:jc w:val="right"/>
              <w:rPr>
                <w:rFonts w:eastAsia="Times New Roman"/>
                <w:sz w:val="16"/>
                <w:szCs w:val="16"/>
              </w:rPr>
            </w:pPr>
            <w:r>
              <w:rPr>
                <w:rFonts w:eastAsia="Times New Roman"/>
                <w:sz w:val="16"/>
                <w:szCs w:val="16"/>
              </w:rPr>
              <w:t>4,140,176</w:t>
            </w:r>
          </w:p>
        </w:tc>
        <w:tc>
          <w:tcPr>
            <w:tcW w:w="550" w:type="pct"/>
            <w:shd w:val="clear" w:color="auto" w:fill="CCEEFF"/>
            <w:vAlign w:val="bottom"/>
            <w:hideMark/>
          </w:tcPr>
          <w:p w14:paraId="43EC6B39" w14:textId="77777777" w:rsidR="00000000" w:rsidRDefault="0053651E">
            <w:pPr>
              <w:jc w:val="right"/>
              <w:rPr>
                <w:rFonts w:eastAsia="Times New Roman"/>
                <w:sz w:val="16"/>
                <w:szCs w:val="16"/>
              </w:rPr>
            </w:pPr>
            <w:r>
              <w:rPr>
                <w:rFonts w:eastAsia="Times New Roman"/>
                <w:sz w:val="16"/>
                <w:szCs w:val="16"/>
              </w:rPr>
              <w:t>12,020,460</w:t>
            </w:r>
          </w:p>
        </w:tc>
        <w:tc>
          <w:tcPr>
            <w:tcW w:w="350" w:type="pct"/>
            <w:shd w:val="clear" w:color="auto" w:fill="CCEEFF"/>
            <w:vAlign w:val="bottom"/>
            <w:hideMark/>
          </w:tcPr>
          <w:p w14:paraId="5FDA4904" w14:textId="77777777" w:rsidR="00000000" w:rsidRDefault="0053651E">
            <w:pPr>
              <w:jc w:val="right"/>
              <w:rPr>
                <w:rFonts w:eastAsia="Times New Roman"/>
                <w:sz w:val="16"/>
                <w:szCs w:val="16"/>
              </w:rPr>
            </w:pPr>
            <w:r>
              <w:rPr>
                <w:rFonts w:eastAsia="Times New Roman"/>
                <w:sz w:val="16"/>
                <w:szCs w:val="16"/>
              </w:rPr>
              <w:t>553,163</w:t>
            </w:r>
          </w:p>
        </w:tc>
        <w:tc>
          <w:tcPr>
            <w:tcW w:w="300" w:type="pct"/>
            <w:shd w:val="clear" w:color="auto" w:fill="CCEEFF"/>
            <w:vAlign w:val="bottom"/>
            <w:hideMark/>
          </w:tcPr>
          <w:p w14:paraId="542FFA17" w14:textId="77777777" w:rsidR="00000000" w:rsidRDefault="0053651E">
            <w:pPr>
              <w:jc w:val="right"/>
              <w:rPr>
                <w:rFonts w:eastAsia="Times New Roman"/>
                <w:sz w:val="16"/>
                <w:szCs w:val="16"/>
              </w:rPr>
            </w:pPr>
            <w:r>
              <w:rPr>
                <w:rFonts w:eastAsia="Times New Roman"/>
                <w:sz w:val="16"/>
                <w:szCs w:val="16"/>
              </w:rPr>
              <w:t>4,143,385</w:t>
            </w:r>
          </w:p>
        </w:tc>
        <w:tc>
          <w:tcPr>
            <w:tcW w:w="450" w:type="pct"/>
            <w:shd w:val="clear" w:color="auto" w:fill="CCEEFF"/>
            <w:vAlign w:val="bottom"/>
            <w:hideMark/>
          </w:tcPr>
          <w:p w14:paraId="4F9A23D0" w14:textId="77777777" w:rsidR="00000000" w:rsidRDefault="0053651E">
            <w:pPr>
              <w:jc w:val="right"/>
              <w:rPr>
                <w:rFonts w:eastAsia="Times New Roman"/>
                <w:sz w:val="16"/>
                <w:szCs w:val="16"/>
              </w:rPr>
            </w:pPr>
            <w:r>
              <w:rPr>
                <w:rFonts w:eastAsia="Times New Roman"/>
                <w:sz w:val="16"/>
                <w:szCs w:val="16"/>
              </w:rPr>
              <w:t>12,570,414</w:t>
            </w:r>
          </w:p>
        </w:tc>
        <w:tc>
          <w:tcPr>
            <w:tcW w:w="350" w:type="pct"/>
            <w:shd w:val="clear" w:color="auto" w:fill="CCEEFF"/>
            <w:vAlign w:val="bottom"/>
            <w:hideMark/>
          </w:tcPr>
          <w:p w14:paraId="675CCC22" w14:textId="77777777" w:rsidR="00000000" w:rsidRDefault="0053651E">
            <w:pPr>
              <w:jc w:val="right"/>
              <w:rPr>
                <w:rFonts w:eastAsia="Times New Roman"/>
                <w:sz w:val="16"/>
                <w:szCs w:val="16"/>
              </w:rPr>
            </w:pPr>
            <w:r>
              <w:rPr>
                <w:rFonts w:eastAsia="Times New Roman"/>
                <w:sz w:val="16"/>
                <w:szCs w:val="16"/>
              </w:rPr>
              <w:t>16,713,799</w:t>
            </w:r>
          </w:p>
        </w:tc>
        <w:tc>
          <w:tcPr>
            <w:tcW w:w="400" w:type="pct"/>
            <w:shd w:val="clear" w:color="auto" w:fill="CCEEFF"/>
            <w:vAlign w:val="bottom"/>
            <w:hideMark/>
          </w:tcPr>
          <w:p w14:paraId="6E1031EE" w14:textId="77777777" w:rsidR="00000000" w:rsidRDefault="0053651E">
            <w:pPr>
              <w:jc w:val="right"/>
              <w:rPr>
                <w:rFonts w:eastAsia="Times New Roman"/>
                <w:sz w:val="16"/>
                <w:szCs w:val="16"/>
              </w:rPr>
            </w:pPr>
            <w:r>
              <w:rPr>
                <w:rFonts w:eastAsia="Times New Roman"/>
                <w:sz w:val="16"/>
                <w:szCs w:val="16"/>
              </w:rPr>
              <w:t>932,420</w:t>
            </w:r>
          </w:p>
        </w:tc>
        <w:tc>
          <w:tcPr>
            <w:tcW w:w="50" w:type="pct"/>
            <w:shd w:val="clear" w:color="auto" w:fill="CCEEFF"/>
            <w:vAlign w:val="bottom"/>
            <w:hideMark/>
          </w:tcPr>
          <w:p w14:paraId="7E5861C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FAC2C45" w14:textId="77777777" w:rsidR="00000000" w:rsidRDefault="0053651E">
            <w:pPr>
              <w:jc w:val="right"/>
              <w:rPr>
                <w:rFonts w:eastAsia="Times New Roman"/>
                <w:sz w:val="16"/>
                <w:szCs w:val="16"/>
              </w:rPr>
            </w:pPr>
            <w:r>
              <w:rPr>
                <w:rFonts w:eastAsia="Times New Roman"/>
                <w:sz w:val="16"/>
                <w:szCs w:val="16"/>
              </w:rPr>
              <w:t>15,781,379</w:t>
            </w:r>
          </w:p>
        </w:tc>
        <w:tc>
          <w:tcPr>
            <w:tcW w:w="50" w:type="pct"/>
            <w:shd w:val="clear" w:color="auto" w:fill="CCEEFF"/>
            <w:vAlign w:val="bottom"/>
            <w:hideMark/>
          </w:tcPr>
          <w:p w14:paraId="2B2B1B3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FC0307A"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B1078D5"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7353DC3B" w14:textId="77777777">
        <w:trPr>
          <w:tblCellSpacing w:w="0" w:type="dxa"/>
        </w:trPr>
        <w:tc>
          <w:tcPr>
            <w:tcW w:w="50" w:type="pct"/>
            <w:shd w:val="clear" w:color="auto" w:fill="FFFFFF"/>
            <w:vAlign w:val="bottom"/>
            <w:hideMark/>
          </w:tcPr>
          <w:p w14:paraId="725EC50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8B939DE" w14:textId="77777777" w:rsidR="00000000" w:rsidRDefault="0053651E">
            <w:pPr>
              <w:pStyle w:val="a3"/>
              <w:spacing w:before="0" w:beforeAutospacing="0" w:after="0" w:afterAutospacing="0"/>
              <w:rPr>
                <w:sz w:val="16"/>
                <w:szCs w:val="16"/>
              </w:rPr>
            </w:pPr>
            <w:r>
              <w:rPr>
                <w:sz w:val="16"/>
                <w:szCs w:val="16"/>
              </w:rPr>
              <w:t>CONROE MARKETPLACE</w:t>
            </w:r>
          </w:p>
        </w:tc>
        <w:tc>
          <w:tcPr>
            <w:tcW w:w="150" w:type="pct"/>
            <w:shd w:val="clear" w:color="auto" w:fill="FFFFFF"/>
            <w:vAlign w:val="bottom"/>
            <w:hideMark/>
          </w:tcPr>
          <w:p w14:paraId="34EDC69A"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20E8CA54" w14:textId="77777777" w:rsidR="00000000" w:rsidRDefault="0053651E">
            <w:pPr>
              <w:jc w:val="right"/>
              <w:rPr>
                <w:rFonts w:eastAsia="Times New Roman"/>
                <w:sz w:val="16"/>
                <w:szCs w:val="16"/>
              </w:rPr>
            </w:pPr>
            <w:r>
              <w:rPr>
                <w:rFonts w:eastAsia="Times New Roman"/>
                <w:sz w:val="16"/>
                <w:szCs w:val="16"/>
              </w:rPr>
              <w:t>18,869,087</w:t>
            </w:r>
          </w:p>
        </w:tc>
        <w:tc>
          <w:tcPr>
            <w:tcW w:w="550" w:type="pct"/>
            <w:shd w:val="clear" w:color="auto" w:fill="FFFFFF"/>
            <w:vAlign w:val="bottom"/>
            <w:hideMark/>
          </w:tcPr>
          <w:p w14:paraId="1DA6BDD4" w14:textId="77777777" w:rsidR="00000000" w:rsidRDefault="0053651E">
            <w:pPr>
              <w:jc w:val="right"/>
              <w:rPr>
                <w:rFonts w:eastAsia="Times New Roman"/>
                <w:sz w:val="16"/>
                <w:szCs w:val="16"/>
              </w:rPr>
            </w:pPr>
            <w:r>
              <w:rPr>
                <w:rFonts w:eastAsia="Times New Roman"/>
                <w:sz w:val="16"/>
                <w:szCs w:val="16"/>
              </w:rPr>
              <w:t>50,756,554</w:t>
            </w:r>
          </w:p>
        </w:tc>
        <w:tc>
          <w:tcPr>
            <w:tcW w:w="350" w:type="pct"/>
            <w:shd w:val="clear" w:color="auto" w:fill="FFFFFF"/>
            <w:vAlign w:val="bottom"/>
            <w:hideMark/>
          </w:tcPr>
          <w:p w14:paraId="20CD222B" w14:textId="77777777" w:rsidR="00000000" w:rsidRDefault="0053651E">
            <w:pPr>
              <w:jc w:val="right"/>
              <w:rPr>
                <w:rFonts w:eastAsia="Times New Roman"/>
                <w:sz w:val="16"/>
                <w:szCs w:val="16"/>
              </w:rPr>
            </w:pPr>
            <w:r>
              <w:rPr>
                <w:rFonts w:eastAsia="Times New Roman"/>
                <w:sz w:val="16"/>
                <w:szCs w:val="16"/>
              </w:rPr>
              <w:t>(2,832,551)</w:t>
            </w:r>
          </w:p>
        </w:tc>
        <w:tc>
          <w:tcPr>
            <w:tcW w:w="300" w:type="pct"/>
            <w:shd w:val="clear" w:color="auto" w:fill="FFFFFF"/>
            <w:vAlign w:val="bottom"/>
            <w:hideMark/>
          </w:tcPr>
          <w:p w14:paraId="78A48F47" w14:textId="77777777" w:rsidR="00000000" w:rsidRDefault="0053651E">
            <w:pPr>
              <w:jc w:val="right"/>
              <w:rPr>
                <w:rFonts w:eastAsia="Times New Roman"/>
                <w:sz w:val="16"/>
                <w:szCs w:val="16"/>
              </w:rPr>
            </w:pPr>
            <w:r>
              <w:rPr>
                <w:rFonts w:eastAsia="Times New Roman"/>
                <w:sz w:val="16"/>
                <w:szCs w:val="16"/>
              </w:rPr>
              <w:t>10,841,611</w:t>
            </w:r>
          </w:p>
        </w:tc>
        <w:tc>
          <w:tcPr>
            <w:tcW w:w="450" w:type="pct"/>
            <w:shd w:val="clear" w:color="auto" w:fill="FFFFFF"/>
            <w:vAlign w:val="bottom"/>
            <w:hideMark/>
          </w:tcPr>
          <w:p w14:paraId="5C1997D1" w14:textId="77777777" w:rsidR="00000000" w:rsidRDefault="0053651E">
            <w:pPr>
              <w:jc w:val="right"/>
              <w:rPr>
                <w:rFonts w:eastAsia="Times New Roman"/>
                <w:sz w:val="16"/>
                <w:szCs w:val="16"/>
              </w:rPr>
            </w:pPr>
            <w:r>
              <w:rPr>
                <w:rFonts w:eastAsia="Times New Roman"/>
                <w:sz w:val="16"/>
                <w:szCs w:val="16"/>
              </w:rPr>
              <w:t>55,951,479</w:t>
            </w:r>
          </w:p>
        </w:tc>
        <w:tc>
          <w:tcPr>
            <w:tcW w:w="350" w:type="pct"/>
            <w:shd w:val="clear" w:color="auto" w:fill="FFFFFF"/>
            <w:vAlign w:val="bottom"/>
            <w:hideMark/>
          </w:tcPr>
          <w:p w14:paraId="5CE22509" w14:textId="77777777" w:rsidR="00000000" w:rsidRDefault="0053651E">
            <w:pPr>
              <w:jc w:val="right"/>
              <w:rPr>
                <w:rFonts w:eastAsia="Times New Roman"/>
                <w:sz w:val="16"/>
                <w:szCs w:val="16"/>
              </w:rPr>
            </w:pPr>
            <w:r>
              <w:rPr>
                <w:rFonts w:eastAsia="Times New Roman"/>
                <w:sz w:val="16"/>
                <w:szCs w:val="16"/>
              </w:rPr>
              <w:t>66,793,090</w:t>
            </w:r>
          </w:p>
        </w:tc>
        <w:tc>
          <w:tcPr>
            <w:tcW w:w="400" w:type="pct"/>
            <w:shd w:val="clear" w:color="auto" w:fill="FFFFFF"/>
            <w:vAlign w:val="bottom"/>
            <w:hideMark/>
          </w:tcPr>
          <w:p w14:paraId="6AB3AAA0" w14:textId="77777777" w:rsidR="00000000" w:rsidRDefault="0053651E">
            <w:pPr>
              <w:jc w:val="right"/>
              <w:rPr>
                <w:rFonts w:eastAsia="Times New Roman"/>
                <w:sz w:val="16"/>
                <w:szCs w:val="16"/>
              </w:rPr>
            </w:pPr>
            <w:r>
              <w:rPr>
                <w:rFonts w:eastAsia="Times New Roman"/>
                <w:sz w:val="16"/>
                <w:szCs w:val="16"/>
              </w:rPr>
              <w:t>9,022,177</w:t>
            </w:r>
          </w:p>
        </w:tc>
        <w:tc>
          <w:tcPr>
            <w:tcW w:w="50" w:type="pct"/>
            <w:shd w:val="clear" w:color="auto" w:fill="FFFFFF"/>
            <w:vAlign w:val="bottom"/>
            <w:hideMark/>
          </w:tcPr>
          <w:p w14:paraId="09A5AC9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3DB0F59" w14:textId="77777777" w:rsidR="00000000" w:rsidRDefault="0053651E">
            <w:pPr>
              <w:jc w:val="right"/>
              <w:rPr>
                <w:rFonts w:eastAsia="Times New Roman"/>
                <w:sz w:val="16"/>
                <w:szCs w:val="16"/>
              </w:rPr>
            </w:pPr>
            <w:r>
              <w:rPr>
                <w:rFonts w:eastAsia="Times New Roman"/>
                <w:sz w:val="16"/>
                <w:szCs w:val="16"/>
              </w:rPr>
              <w:t>57,770,913</w:t>
            </w:r>
          </w:p>
        </w:tc>
        <w:tc>
          <w:tcPr>
            <w:tcW w:w="50" w:type="pct"/>
            <w:shd w:val="clear" w:color="auto" w:fill="FFFFFF"/>
            <w:vAlign w:val="bottom"/>
            <w:hideMark/>
          </w:tcPr>
          <w:p w14:paraId="75E891C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62DBEA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53F82FF0"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57F41879" w14:textId="77777777">
        <w:trPr>
          <w:tblCellSpacing w:w="0" w:type="dxa"/>
        </w:trPr>
        <w:tc>
          <w:tcPr>
            <w:tcW w:w="50" w:type="pct"/>
            <w:shd w:val="clear" w:color="auto" w:fill="CCEEFF"/>
            <w:vAlign w:val="bottom"/>
            <w:hideMark/>
          </w:tcPr>
          <w:p w14:paraId="7334BFA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9A9BCE4" w14:textId="77777777" w:rsidR="00000000" w:rsidRDefault="0053651E">
            <w:pPr>
              <w:pStyle w:val="a3"/>
              <w:spacing w:before="0" w:beforeAutospacing="0" w:after="0" w:afterAutospacing="0"/>
              <w:rPr>
                <w:sz w:val="16"/>
                <w:szCs w:val="16"/>
              </w:rPr>
            </w:pPr>
            <w:r>
              <w:rPr>
                <w:sz w:val="16"/>
                <w:szCs w:val="16"/>
              </w:rPr>
              <w:t>MONTGOMERY PLAZA</w:t>
            </w:r>
          </w:p>
        </w:tc>
        <w:tc>
          <w:tcPr>
            <w:tcW w:w="150" w:type="pct"/>
            <w:shd w:val="clear" w:color="auto" w:fill="CCEEFF"/>
            <w:vAlign w:val="bottom"/>
            <w:hideMark/>
          </w:tcPr>
          <w:p w14:paraId="0FC05278"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60287EB0" w14:textId="77777777" w:rsidR="00000000" w:rsidRDefault="0053651E">
            <w:pPr>
              <w:jc w:val="right"/>
              <w:rPr>
                <w:rFonts w:eastAsia="Times New Roman"/>
                <w:sz w:val="16"/>
                <w:szCs w:val="16"/>
              </w:rPr>
            </w:pPr>
            <w:r>
              <w:rPr>
                <w:rFonts w:eastAsia="Times New Roman"/>
                <w:sz w:val="16"/>
                <w:szCs w:val="16"/>
              </w:rPr>
              <w:t>10,739,067</w:t>
            </w:r>
          </w:p>
        </w:tc>
        <w:tc>
          <w:tcPr>
            <w:tcW w:w="550" w:type="pct"/>
            <w:shd w:val="clear" w:color="auto" w:fill="CCEEFF"/>
            <w:vAlign w:val="bottom"/>
            <w:hideMark/>
          </w:tcPr>
          <w:p w14:paraId="0C910F84" w14:textId="77777777" w:rsidR="00000000" w:rsidRDefault="0053651E">
            <w:pPr>
              <w:jc w:val="right"/>
              <w:rPr>
                <w:rFonts w:eastAsia="Times New Roman"/>
                <w:sz w:val="16"/>
                <w:szCs w:val="16"/>
              </w:rPr>
            </w:pPr>
            <w:r>
              <w:rPr>
                <w:rFonts w:eastAsia="Times New Roman"/>
                <w:sz w:val="16"/>
                <w:szCs w:val="16"/>
              </w:rPr>
              <w:t>63,065,333</w:t>
            </w:r>
          </w:p>
        </w:tc>
        <w:tc>
          <w:tcPr>
            <w:tcW w:w="350" w:type="pct"/>
            <w:shd w:val="clear" w:color="auto" w:fill="CCEEFF"/>
            <w:vAlign w:val="bottom"/>
            <w:hideMark/>
          </w:tcPr>
          <w:p w14:paraId="340CEBCF" w14:textId="77777777" w:rsidR="00000000" w:rsidRDefault="0053651E">
            <w:pPr>
              <w:jc w:val="right"/>
              <w:rPr>
                <w:rFonts w:eastAsia="Times New Roman"/>
                <w:sz w:val="16"/>
                <w:szCs w:val="16"/>
              </w:rPr>
            </w:pPr>
            <w:r>
              <w:rPr>
                <w:rFonts w:eastAsia="Times New Roman"/>
                <w:sz w:val="16"/>
                <w:szCs w:val="16"/>
              </w:rPr>
              <w:t>(80,216)</w:t>
            </w:r>
          </w:p>
        </w:tc>
        <w:tc>
          <w:tcPr>
            <w:tcW w:w="300" w:type="pct"/>
            <w:shd w:val="clear" w:color="auto" w:fill="CCEEFF"/>
            <w:vAlign w:val="bottom"/>
            <w:hideMark/>
          </w:tcPr>
          <w:p w14:paraId="6EBF2828" w14:textId="77777777" w:rsidR="00000000" w:rsidRDefault="0053651E">
            <w:pPr>
              <w:jc w:val="right"/>
              <w:rPr>
                <w:rFonts w:eastAsia="Times New Roman"/>
                <w:sz w:val="16"/>
                <w:szCs w:val="16"/>
              </w:rPr>
            </w:pPr>
            <w:r>
              <w:rPr>
                <w:rFonts w:eastAsia="Times New Roman"/>
                <w:sz w:val="16"/>
                <w:szCs w:val="16"/>
              </w:rPr>
              <w:t>10,738,796</w:t>
            </w:r>
          </w:p>
        </w:tc>
        <w:tc>
          <w:tcPr>
            <w:tcW w:w="450" w:type="pct"/>
            <w:shd w:val="clear" w:color="auto" w:fill="CCEEFF"/>
            <w:vAlign w:val="bottom"/>
            <w:hideMark/>
          </w:tcPr>
          <w:p w14:paraId="36747D12" w14:textId="77777777" w:rsidR="00000000" w:rsidRDefault="0053651E">
            <w:pPr>
              <w:jc w:val="right"/>
              <w:rPr>
                <w:rFonts w:eastAsia="Times New Roman"/>
                <w:sz w:val="16"/>
                <w:szCs w:val="16"/>
              </w:rPr>
            </w:pPr>
            <w:r>
              <w:rPr>
                <w:rFonts w:eastAsia="Times New Roman"/>
                <w:sz w:val="16"/>
                <w:szCs w:val="16"/>
              </w:rPr>
              <w:t>62,985,388</w:t>
            </w:r>
          </w:p>
        </w:tc>
        <w:tc>
          <w:tcPr>
            <w:tcW w:w="350" w:type="pct"/>
            <w:shd w:val="clear" w:color="auto" w:fill="CCEEFF"/>
            <w:vAlign w:val="bottom"/>
            <w:hideMark/>
          </w:tcPr>
          <w:p w14:paraId="2DEEDCCE" w14:textId="77777777" w:rsidR="00000000" w:rsidRDefault="0053651E">
            <w:pPr>
              <w:jc w:val="right"/>
              <w:rPr>
                <w:rFonts w:eastAsia="Times New Roman"/>
                <w:sz w:val="16"/>
                <w:szCs w:val="16"/>
              </w:rPr>
            </w:pPr>
            <w:r>
              <w:rPr>
                <w:rFonts w:eastAsia="Times New Roman"/>
                <w:sz w:val="16"/>
                <w:szCs w:val="16"/>
              </w:rPr>
              <w:t>73,724,184</w:t>
            </w:r>
          </w:p>
        </w:tc>
        <w:tc>
          <w:tcPr>
            <w:tcW w:w="400" w:type="pct"/>
            <w:shd w:val="clear" w:color="auto" w:fill="CCEEFF"/>
            <w:vAlign w:val="bottom"/>
            <w:hideMark/>
          </w:tcPr>
          <w:p w14:paraId="3F998654" w14:textId="77777777" w:rsidR="00000000" w:rsidRDefault="0053651E">
            <w:pPr>
              <w:jc w:val="right"/>
              <w:rPr>
                <w:rFonts w:eastAsia="Times New Roman"/>
                <w:sz w:val="16"/>
                <w:szCs w:val="16"/>
              </w:rPr>
            </w:pPr>
            <w:r>
              <w:rPr>
                <w:rFonts w:eastAsia="Times New Roman"/>
                <w:sz w:val="16"/>
                <w:szCs w:val="16"/>
              </w:rPr>
              <w:t>11,999,283</w:t>
            </w:r>
          </w:p>
        </w:tc>
        <w:tc>
          <w:tcPr>
            <w:tcW w:w="50" w:type="pct"/>
            <w:shd w:val="clear" w:color="auto" w:fill="CCEEFF"/>
            <w:vAlign w:val="bottom"/>
            <w:hideMark/>
          </w:tcPr>
          <w:p w14:paraId="7FC326E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CB80BFC" w14:textId="77777777" w:rsidR="00000000" w:rsidRDefault="0053651E">
            <w:pPr>
              <w:jc w:val="right"/>
              <w:rPr>
                <w:rFonts w:eastAsia="Times New Roman"/>
                <w:sz w:val="16"/>
                <w:szCs w:val="16"/>
              </w:rPr>
            </w:pPr>
            <w:r>
              <w:rPr>
                <w:rFonts w:eastAsia="Times New Roman"/>
                <w:sz w:val="16"/>
                <w:szCs w:val="16"/>
              </w:rPr>
              <w:t>61,724,901</w:t>
            </w:r>
          </w:p>
        </w:tc>
        <w:tc>
          <w:tcPr>
            <w:tcW w:w="50" w:type="pct"/>
            <w:shd w:val="clear" w:color="auto" w:fill="CCEEFF"/>
            <w:vAlign w:val="bottom"/>
            <w:hideMark/>
          </w:tcPr>
          <w:p w14:paraId="3BB0B8D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5B0A292" w14:textId="77777777" w:rsidR="00000000" w:rsidRDefault="0053651E">
            <w:pPr>
              <w:jc w:val="right"/>
              <w:rPr>
                <w:rFonts w:eastAsia="Times New Roman"/>
                <w:sz w:val="16"/>
                <w:szCs w:val="16"/>
              </w:rPr>
            </w:pPr>
            <w:r>
              <w:rPr>
                <w:rFonts w:eastAsia="Times New Roman"/>
                <w:sz w:val="16"/>
                <w:szCs w:val="16"/>
              </w:rPr>
              <w:t>26,595,768</w:t>
            </w:r>
          </w:p>
        </w:tc>
        <w:tc>
          <w:tcPr>
            <w:tcW w:w="500" w:type="pct"/>
            <w:shd w:val="clear" w:color="auto" w:fill="CCEEFF"/>
            <w:vAlign w:val="bottom"/>
            <w:hideMark/>
          </w:tcPr>
          <w:p w14:paraId="64597BED"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3A2612B5" w14:textId="77777777">
        <w:trPr>
          <w:tblCellSpacing w:w="0" w:type="dxa"/>
        </w:trPr>
        <w:tc>
          <w:tcPr>
            <w:tcW w:w="50" w:type="pct"/>
            <w:shd w:val="clear" w:color="auto" w:fill="FFFFFF"/>
            <w:vAlign w:val="bottom"/>
            <w:hideMark/>
          </w:tcPr>
          <w:p w14:paraId="4A5BD0F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F6B9879" w14:textId="77777777" w:rsidR="00000000" w:rsidRDefault="0053651E">
            <w:pPr>
              <w:pStyle w:val="a3"/>
              <w:spacing w:before="0" w:beforeAutospacing="0" w:after="0" w:afterAutospacing="0"/>
              <w:rPr>
                <w:sz w:val="16"/>
                <w:szCs w:val="16"/>
              </w:rPr>
            </w:pPr>
            <w:r>
              <w:rPr>
                <w:sz w:val="16"/>
                <w:szCs w:val="16"/>
              </w:rPr>
              <w:t>PRESTON LEBANON CROSSING</w:t>
            </w:r>
          </w:p>
        </w:tc>
        <w:tc>
          <w:tcPr>
            <w:tcW w:w="150" w:type="pct"/>
            <w:shd w:val="clear" w:color="auto" w:fill="FFFFFF"/>
            <w:vAlign w:val="bottom"/>
            <w:hideMark/>
          </w:tcPr>
          <w:p w14:paraId="1DC53B84"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3288FD76" w14:textId="77777777" w:rsidR="00000000" w:rsidRDefault="0053651E">
            <w:pPr>
              <w:jc w:val="right"/>
              <w:rPr>
                <w:rFonts w:eastAsia="Times New Roman"/>
                <w:sz w:val="16"/>
                <w:szCs w:val="16"/>
              </w:rPr>
            </w:pPr>
            <w:r>
              <w:rPr>
                <w:rFonts w:eastAsia="Times New Roman"/>
                <w:sz w:val="16"/>
                <w:szCs w:val="16"/>
              </w:rPr>
              <w:t>13,552,180</w:t>
            </w:r>
          </w:p>
        </w:tc>
        <w:tc>
          <w:tcPr>
            <w:tcW w:w="550" w:type="pct"/>
            <w:shd w:val="clear" w:color="auto" w:fill="FFFFFF"/>
            <w:vAlign w:val="bottom"/>
            <w:hideMark/>
          </w:tcPr>
          <w:p w14:paraId="4C706EC9"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FFFFFF"/>
            <w:vAlign w:val="bottom"/>
            <w:hideMark/>
          </w:tcPr>
          <w:p w14:paraId="1056E379" w14:textId="77777777" w:rsidR="00000000" w:rsidRDefault="0053651E">
            <w:pPr>
              <w:jc w:val="right"/>
              <w:rPr>
                <w:rFonts w:eastAsia="Times New Roman"/>
                <w:sz w:val="16"/>
                <w:szCs w:val="16"/>
              </w:rPr>
            </w:pPr>
            <w:r>
              <w:rPr>
                <w:rFonts w:eastAsia="Times New Roman"/>
                <w:sz w:val="16"/>
                <w:szCs w:val="16"/>
              </w:rPr>
              <w:t>28,236,289</w:t>
            </w:r>
          </w:p>
        </w:tc>
        <w:tc>
          <w:tcPr>
            <w:tcW w:w="300" w:type="pct"/>
            <w:shd w:val="clear" w:color="auto" w:fill="FFFFFF"/>
            <w:vAlign w:val="bottom"/>
            <w:hideMark/>
          </w:tcPr>
          <w:p w14:paraId="70615340" w14:textId="77777777" w:rsidR="00000000" w:rsidRDefault="0053651E">
            <w:pPr>
              <w:jc w:val="right"/>
              <w:rPr>
                <w:rFonts w:eastAsia="Times New Roman"/>
                <w:sz w:val="16"/>
                <w:szCs w:val="16"/>
              </w:rPr>
            </w:pPr>
            <w:r>
              <w:rPr>
                <w:rFonts w:eastAsia="Times New Roman"/>
                <w:sz w:val="16"/>
                <w:szCs w:val="16"/>
              </w:rPr>
              <w:t>12,163,694</w:t>
            </w:r>
          </w:p>
        </w:tc>
        <w:tc>
          <w:tcPr>
            <w:tcW w:w="450" w:type="pct"/>
            <w:shd w:val="clear" w:color="auto" w:fill="FFFFFF"/>
            <w:vAlign w:val="bottom"/>
            <w:hideMark/>
          </w:tcPr>
          <w:p w14:paraId="60C3A43A" w14:textId="77777777" w:rsidR="00000000" w:rsidRDefault="0053651E">
            <w:pPr>
              <w:jc w:val="right"/>
              <w:rPr>
                <w:rFonts w:eastAsia="Times New Roman"/>
                <w:sz w:val="16"/>
                <w:szCs w:val="16"/>
              </w:rPr>
            </w:pPr>
            <w:r>
              <w:rPr>
                <w:rFonts w:eastAsia="Times New Roman"/>
                <w:sz w:val="16"/>
                <w:szCs w:val="16"/>
              </w:rPr>
              <w:t>29,624,775</w:t>
            </w:r>
          </w:p>
        </w:tc>
        <w:tc>
          <w:tcPr>
            <w:tcW w:w="350" w:type="pct"/>
            <w:shd w:val="clear" w:color="auto" w:fill="FFFFFF"/>
            <w:vAlign w:val="bottom"/>
            <w:hideMark/>
          </w:tcPr>
          <w:p w14:paraId="4C802727" w14:textId="77777777" w:rsidR="00000000" w:rsidRDefault="0053651E">
            <w:pPr>
              <w:jc w:val="right"/>
              <w:rPr>
                <w:rFonts w:eastAsia="Times New Roman"/>
                <w:sz w:val="16"/>
                <w:szCs w:val="16"/>
              </w:rPr>
            </w:pPr>
            <w:r>
              <w:rPr>
                <w:rFonts w:eastAsia="Times New Roman"/>
                <w:sz w:val="16"/>
                <w:szCs w:val="16"/>
              </w:rPr>
              <w:t>41,788,469</w:t>
            </w:r>
          </w:p>
        </w:tc>
        <w:tc>
          <w:tcPr>
            <w:tcW w:w="400" w:type="pct"/>
            <w:shd w:val="clear" w:color="auto" w:fill="FFFFFF"/>
            <w:vAlign w:val="bottom"/>
            <w:hideMark/>
          </w:tcPr>
          <w:p w14:paraId="6B6AD417" w14:textId="77777777" w:rsidR="00000000" w:rsidRDefault="0053651E">
            <w:pPr>
              <w:jc w:val="right"/>
              <w:rPr>
                <w:rFonts w:eastAsia="Times New Roman"/>
                <w:sz w:val="16"/>
                <w:szCs w:val="16"/>
              </w:rPr>
            </w:pPr>
            <w:r>
              <w:rPr>
                <w:rFonts w:eastAsia="Times New Roman"/>
                <w:sz w:val="16"/>
                <w:szCs w:val="16"/>
              </w:rPr>
              <w:t>8,736,842</w:t>
            </w:r>
          </w:p>
        </w:tc>
        <w:tc>
          <w:tcPr>
            <w:tcW w:w="50" w:type="pct"/>
            <w:shd w:val="clear" w:color="auto" w:fill="FFFFFF"/>
            <w:vAlign w:val="bottom"/>
            <w:hideMark/>
          </w:tcPr>
          <w:p w14:paraId="7C5756C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DA95488" w14:textId="77777777" w:rsidR="00000000" w:rsidRDefault="0053651E">
            <w:pPr>
              <w:jc w:val="right"/>
              <w:rPr>
                <w:rFonts w:eastAsia="Times New Roman"/>
                <w:sz w:val="16"/>
                <w:szCs w:val="16"/>
              </w:rPr>
            </w:pPr>
            <w:r>
              <w:rPr>
                <w:rFonts w:eastAsia="Times New Roman"/>
                <w:sz w:val="16"/>
                <w:szCs w:val="16"/>
              </w:rPr>
              <w:t>33,051,627</w:t>
            </w:r>
          </w:p>
        </w:tc>
        <w:tc>
          <w:tcPr>
            <w:tcW w:w="50" w:type="pct"/>
            <w:shd w:val="clear" w:color="auto" w:fill="FFFFFF"/>
            <w:vAlign w:val="bottom"/>
            <w:hideMark/>
          </w:tcPr>
          <w:p w14:paraId="241CB47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C43B82E"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4CFDA815" w14:textId="77777777" w:rsidR="00000000" w:rsidRDefault="0053651E">
            <w:pPr>
              <w:pStyle w:val="a3"/>
              <w:spacing w:before="0" w:beforeAutospacing="0" w:after="0" w:afterAutospacing="0"/>
              <w:jc w:val="center"/>
              <w:rPr>
                <w:sz w:val="16"/>
                <w:szCs w:val="16"/>
              </w:rPr>
            </w:pPr>
            <w:r>
              <w:rPr>
                <w:rStyle w:val="a6"/>
                <w:i w:val="0"/>
                <w:iCs w:val="0"/>
                <w:sz w:val="16"/>
                <w:szCs w:val="16"/>
              </w:rPr>
              <w:t>2006(C)</w:t>
            </w:r>
          </w:p>
        </w:tc>
      </w:tr>
      <w:tr w:rsidR="00000000" w14:paraId="6E285EAA" w14:textId="77777777">
        <w:trPr>
          <w:tblCellSpacing w:w="0" w:type="dxa"/>
        </w:trPr>
        <w:tc>
          <w:tcPr>
            <w:tcW w:w="50" w:type="pct"/>
            <w:shd w:val="clear" w:color="auto" w:fill="CCEEFF"/>
            <w:vAlign w:val="bottom"/>
            <w:hideMark/>
          </w:tcPr>
          <w:p w14:paraId="61A884D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8FE0DB2" w14:textId="77777777" w:rsidR="00000000" w:rsidRDefault="0053651E">
            <w:pPr>
              <w:pStyle w:val="a3"/>
              <w:spacing w:before="0" w:beforeAutospacing="0" w:after="0" w:afterAutospacing="0"/>
              <w:rPr>
                <w:sz w:val="16"/>
                <w:szCs w:val="16"/>
              </w:rPr>
            </w:pPr>
            <w:r>
              <w:rPr>
                <w:sz w:val="16"/>
                <w:szCs w:val="16"/>
              </w:rPr>
              <w:t>LAKE PRAIRIE TOWN CROSSING</w:t>
            </w:r>
          </w:p>
        </w:tc>
        <w:tc>
          <w:tcPr>
            <w:tcW w:w="150" w:type="pct"/>
            <w:shd w:val="clear" w:color="auto" w:fill="CCEEFF"/>
            <w:vAlign w:val="bottom"/>
            <w:hideMark/>
          </w:tcPr>
          <w:p w14:paraId="65601F5B"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339FE104" w14:textId="77777777" w:rsidR="00000000" w:rsidRDefault="0053651E">
            <w:pPr>
              <w:jc w:val="right"/>
              <w:rPr>
                <w:rFonts w:eastAsia="Times New Roman"/>
                <w:sz w:val="16"/>
                <w:szCs w:val="16"/>
              </w:rPr>
            </w:pPr>
            <w:r>
              <w:rPr>
                <w:rFonts w:eastAsia="Times New Roman"/>
                <w:sz w:val="16"/>
                <w:szCs w:val="16"/>
              </w:rPr>
              <w:t>7,897,491</w:t>
            </w:r>
          </w:p>
        </w:tc>
        <w:tc>
          <w:tcPr>
            <w:tcW w:w="550" w:type="pct"/>
            <w:shd w:val="clear" w:color="auto" w:fill="CCEEFF"/>
            <w:vAlign w:val="bottom"/>
            <w:hideMark/>
          </w:tcPr>
          <w:p w14:paraId="17883311"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5F1BDA22" w14:textId="77777777" w:rsidR="00000000" w:rsidRDefault="0053651E">
            <w:pPr>
              <w:jc w:val="right"/>
              <w:rPr>
                <w:rFonts w:eastAsia="Times New Roman"/>
                <w:sz w:val="16"/>
                <w:szCs w:val="16"/>
              </w:rPr>
            </w:pPr>
            <w:r>
              <w:rPr>
                <w:rFonts w:eastAsia="Times New Roman"/>
                <w:sz w:val="16"/>
                <w:szCs w:val="16"/>
              </w:rPr>
              <w:t>29,154,281</w:t>
            </w:r>
          </w:p>
        </w:tc>
        <w:tc>
          <w:tcPr>
            <w:tcW w:w="300" w:type="pct"/>
            <w:shd w:val="clear" w:color="auto" w:fill="CCEEFF"/>
            <w:vAlign w:val="bottom"/>
            <w:hideMark/>
          </w:tcPr>
          <w:p w14:paraId="4A8C24B7" w14:textId="77777777" w:rsidR="00000000" w:rsidRDefault="0053651E">
            <w:pPr>
              <w:jc w:val="right"/>
              <w:rPr>
                <w:rFonts w:eastAsia="Times New Roman"/>
                <w:sz w:val="16"/>
                <w:szCs w:val="16"/>
              </w:rPr>
            </w:pPr>
            <w:r>
              <w:rPr>
                <w:rFonts w:eastAsia="Times New Roman"/>
                <w:sz w:val="16"/>
                <w:szCs w:val="16"/>
              </w:rPr>
              <w:t>6,783,464</w:t>
            </w:r>
          </w:p>
        </w:tc>
        <w:tc>
          <w:tcPr>
            <w:tcW w:w="450" w:type="pct"/>
            <w:shd w:val="clear" w:color="auto" w:fill="CCEEFF"/>
            <w:vAlign w:val="bottom"/>
            <w:hideMark/>
          </w:tcPr>
          <w:p w14:paraId="7D695C90" w14:textId="77777777" w:rsidR="00000000" w:rsidRDefault="0053651E">
            <w:pPr>
              <w:jc w:val="right"/>
              <w:rPr>
                <w:rFonts w:eastAsia="Times New Roman"/>
                <w:sz w:val="16"/>
                <w:szCs w:val="16"/>
              </w:rPr>
            </w:pPr>
            <w:r>
              <w:rPr>
                <w:rFonts w:eastAsia="Times New Roman"/>
                <w:sz w:val="16"/>
                <w:szCs w:val="16"/>
              </w:rPr>
              <w:t>30,268,308</w:t>
            </w:r>
          </w:p>
        </w:tc>
        <w:tc>
          <w:tcPr>
            <w:tcW w:w="350" w:type="pct"/>
            <w:shd w:val="clear" w:color="auto" w:fill="CCEEFF"/>
            <w:vAlign w:val="bottom"/>
            <w:hideMark/>
          </w:tcPr>
          <w:p w14:paraId="4E110995" w14:textId="77777777" w:rsidR="00000000" w:rsidRDefault="0053651E">
            <w:pPr>
              <w:jc w:val="right"/>
              <w:rPr>
                <w:rFonts w:eastAsia="Times New Roman"/>
                <w:sz w:val="16"/>
                <w:szCs w:val="16"/>
              </w:rPr>
            </w:pPr>
            <w:r>
              <w:rPr>
                <w:rFonts w:eastAsia="Times New Roman"/>
                <w:sz w:val="16"/>
                <w:szCs w:val="16"/>
              </w:rPr>
              <w:t>37,051,772</w:t>
            </w:r>
          </w:p>
        </w:tc>
        <w:tc>
          <w:tcPr>
            <w:tcW w:w="400" w:type="pct"/>
            <w:shd w:val="clear" w:color="auto" w:fill="CCEEFF"/>
            <w:vAlign w:val="bottom"/>
            <w:hideMark/>
          </w:tcPr>
          <w:p w14:paraId="7EA969F9" w14:textId="77777777" w:rsidR="00000000" w:rsidRDefault="0053651E">
            <w:pPr>
              <w:jc w:val="right"/>
              <w:rPr>
                <w:rFonts w:eastAsia="Times New Roman"/>
                <w:sz w:val="16"/>
                <w:szCs w:val="16"/>
              </w:rPr>
            </w:pPr>
            <w:r>
              <w:rPr>
                <w:rFonts w:eastAsia="Times New Roman"/>
                <w:sz w:val="16"/>
                <w:szCs w:val="16"/>
              </w:rPr>
              <w:t>6,972,594</w:t>
            </w:r>
          </w:p>
        </w:tc>
        <w:tc>
          <w:tcPr>
            <w:tcW w:w="50" w:type="pct"/>
            <w:shd w:val="clear" w:color="auto" w:fill="CCEEFF"/>
            <w:vAlign w:val="bottom"/>
            <w:hideMark/>
          </w:tcPr>
          <w:p w14:paraId="4453754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0C746DD" w14:textId="77777777" w:rsidR="00000000" w:rsidRDefault="0053651E">
            <w:pPr>
              <w:jc w:val="right"/>
              <w:rPr>
                <w:rFonts w:eastAsia="Times New Roman"/>
                <w:sz w:val="16"/>
                <w:szCs w:val="16"/>
              </w:rPr>
            </w:pPr>
            <w:r>
              <w:rPr>
                <w:rFonts w:eastAsia="Times New Roman"/>
                <w:sz w:val="16"/>
                <w:szCs w:val="16"/>
              </w:rPr>
              <w:t>30,079,178</w:t>
            </w:r>
          </w:p>
        </w:tc>
        <w:tc>
          <w:tcPr>
            <w:tcW w:w="50" w:type="pct"/>
            <w:shd w:val="clear" w:color="auto" w:fill="CCEEFF"/>
            <w:vAlign w:val="bottom"/>
            <w:hideMark/>
          </w:tcPr>
          <w:p w14:paraId="07F661D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214D2A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43E2C83B" w14:textId="77777777" w:rsidR="00000000" w:rsidRDefault="0053651E">
            <w:pPr>
              <w:pStyle w:val="a3"/>
              <w:spacing w:before="0" w:beforeAutospacing="0" w:after="0" w:afterAutospacing="0"/>
              <w:jc w:val="center"/>
              <w:rPr>
                <w:sz w:val="16"/>
                <w:szCs w:val="16"/>
              </w:rPr>
            </w:pPr>
            <w:r>
              <w:rPr>
                <w:rStyle w:val="a6"/>
                <w:i w:val="0"/>
                <w:iCs w:val="0"/>
                <w:sz w:val="16"/>
                <w:szCs w:val="16"/>
              </w:rPr>
              <w:t>2006(C)</w:t>
            </w:r>
          </w:p>
        </w:tc>
      </w:tr>
      <w:tr w:rsidR="00000000" w14:paraId="5B9D092E" w14:textId="77777777">
        <w:trPr>
          <w:tblCellSpacing w:w="0" w:type="dxa"/>
        </w:trPr>
        <w:tc>
          <w:tcPr>
            <w:tcW w:w="50" w:type="pct"/>
            <w:shd w:val="clear" w:color="auto" w:fill="FFFFFF"/>
            <w:vAlign w:val="bottom"/>
            <w:hideMark/>
          </w:tcPr>
          <w:p w14:paraId="1DC49AC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A731B1D" w14:textId="77777777" w:rsidR="00000000" w:rsidRDefault="0053651E">
            <w:pPr>
              <w:pStyle w:val="a3"/>
              <w:spacing w:before="0" w:beforeAutospacing="0" w:after="0" w:afterAutospacing="0"/>
              <w:rPr>
                <w:sz w:val="16"/>
                <w:szCs w:val="16"/>
              </w:rPr>
            </w:pPr>
            <w:r>
              <w:rPr>
                <w:sz w:val="16"/>
                <w:szCs w:val="16"/>
              </w:rPr>
              <w:t>CENTER AT BAYBROOK</w:t>
            </w:r>
          </w:p>
        </w:tc>
        <w:tc>
          <w:tcPr>
            <w:tcW w:w="150" w:type="pct"/>
            <w:shd w:val="clear" w:color="auto" w:fill="FFFFFF"/>
            <w:vAlign w:val="bottom"/>
            <w:hideMark/>
          </w:tcPr>
          <w:p w14:paraId="4CE3F84F"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60B9C132" w14:textId="77777777" w:rsidR="00000000" w:rsidRDefault="0053651E">
            <w:pPr>
              <w:jc w:val="right"/>
              <w:rPr>
                <w:rFonts w:eastAsia="Times New Roman"/>
                <w:sz w:val="16"/>
                <w:szCs w:val="16"/>
              </w:rPr>
            </w:pPr>
            <w:r>
              <w:rPr>
                <w:rFonts w:eastAsia="Times New Roman"/>
                <w:sz w:val="16"/>
                <w:szCs w:val="16"/>
              </w:rPr>
              <w:t>6,941,017</w:t>
            </w:r>
          </w:p>
        </w:tc>
        <w:tc>
          <w:tcPr>
            <w:tcW w:w="550" w:type="pct"/>
            <w:shd w:val="clear" w:color="auto" w:fill="FFFFFF"/>
            <w:vAlign w:val="bottom"/>
            <w:hideMark/>
          </w:tcPr>
          <w:p w14:paraId="5135747A" w14:textId="77777777" w:rsidR="00000000" w:rsidRDefault="0053651E">
            <w:pPr>
              <w:jc w:val="right"/>
              <w:rPr>
                <w:rFonts w:eastAsia="Times New Roman"/>
                <w:sz w:val="16"/>
                <w:szCs w:val="16"/>
              </w:rPr>
            </w:pPr>
            <w:r>
              <w:rPr>
                <w:rFonts w:eastAsia="Times New Roman"/>
                <w:sz w:val="16"/>
                <w:szCs w:val="16"/>
              </w:rPr>
              <w:t>27,727,491</w:t>
            </w:r>
          </w:p>
        </w:tc>
        <w:tc>
          <w:tcPr>
            <w:tcW w:w="350" w:type="pct"/>
            <w:shd w:val="clear" w:color="auto" w:fill="FFFFFF"/>
            <w:vAlign w:val="bottom"/>
            <w:hideMark/>
          </w:tcPr>
          <w:p w14:paraId="0AC259F2" w14:textId="77777777" w:rsidR="00000000" w:rsidRDefault="0053651E">
            <w:pPr>
              <w:jc w:val="right"/>
              <w:rPr>
                <w:rFonts w:eastAsia="Times New Roman"/>
                <w:sz w:val="16"/>
                <w:szCs w:val="16"/>
              </w:rPr>
            </w:pPr>
            <w:r>
              <w:rPr>
                <w:rFonts w:eastAsia="Times New Roman"/>
                <w:sz w:val="16"/>
                <w:szCs w:val="16"/>
              </w:rPr>
              <w:t>12,216,842</w:t>
            </w:r>
          </w:p>
        </w:tc>
        <w:tc>
          <w:tcPr>
            <w:tcW w:w="300" w:type="pct"/>
            <w:shd w:val="clear" w:color="auto" w:fill="FFFFFF"/>
            <w:vAlign w:val="bottom"/>
            <w:hideMark/>
          </w:tcPr>
          <w:p w14:paraId="5D01426C" w14:textId="77777777" w:rsidR="00000000" w:rsidRDefault="0053651E">
            <w:pPr>
              <w:jc w:val="right"/>
              <w:rPr>
                <w:rFonts w:eastAsia="Times New Roman"/>
                <w:sz w:val="16"/>
                <w:szCs w:val="16"/>
              </w:rPr>
            </w:pPr>
            <w:r>
              <w:rPr>
                <w:rFonts w:eastAsia="Times New Roman"/>
                <w:sz w:val="16"/>
                <w:szCs w:val="16"/>
              </w:rPr>
              <w:t>6,928,120</w:t>
            </w:r>
          </w:p>
        </w:tc>
        <w:tc>
          <w:tcPr>
            <w:tcW w:w="450" w:type="pct"/>
            <w:shd w:val="clear" w:color="auto" w:fill="FFFFFF"/>
            <w:vAlign w:val="bottom"/>
            <w:hideMark/>
          </w:tcPr>
          <w:p w14:paraId="145E1B34" w14:textId="77777777" w:rsidR="00000000" w:rsidRDefault="0053651E">
            <w:pPr>
              <w:jc w:val="right"/>
              <w:rPr>
                <w:rFonts w:eastAsia="Times New Roman"/>
                <w:sz w:val="16"/>
                <w:szCs w:val="16"/>
              </w:rPr>
            </w:pPr>
            <w:r>
              <w:rPr>
                <w:rFonts w:eastAsia="Times New Roman"/>
                <w:sz w:val="16"/>
                <w:szCs w:val="16"/>
              </w:rPr>
              <w:t>39,957,230</w:t>
            </w:r>
          </w:p>
        </w:tc>
        <w:tc>
          <w:tcPr>
            <w:tcW w:w="350" w:type="pct"/>
            <w:shd w:val="clear" w:color="auto" w:fill="FFFFFF"/>
            <w:vAlign w:val="bottom"/>
            <w:hideMark/>
          </w:tcPr>
          <w:p w14:paraId="794657EE" w14:textId="77777777" w:rsidR="00000000" w:rsidRDefault="0053651E">
            <w:pPr>
              <w:jc w:val="right"/>
              <w:rPr>
                <w:rFonts w:eastAsia="Times New Roman"/>
                <w:sz w:val="16"/>
                <w:szCs w:val="16"/>
              </w:rPr>
            </w:pPr>
            <w:r>
              <w:rPr>
                <w:rFonts w:eastAsia="Times New Roman"/>
                <w:sz w:val="16"/>
                <w:szCs w:val="16"/>
              </w:rPr>
              <w:t>46,885,350</w:t>
            </w:r>
          </w:p>
        </w:tc>
        <w:tc>
          <w:tcPr>
            <w:tcW w:w="400" w:type="pct"/>
            <w:shd w:val="clear" w:color="auto" w:fill="FFFFFF"/>
            <w:vAlign w:val="bottom"/>
            <w:hideMark/>
          </w:tcPr>
          <w:p w14:paraId="1AA82E97" w14:textId="77777777" w:rsidR="00000000" w:rsidRDefault="0053651E">
            <w:pPr>
              <w:jc w:val="right"/>
              <w:rPr>
                <w:rFonts w:eastAsia="Times New Roman"/>
                <w:sz w:val="16"/>
                <w:szCs w:val="16"/>
              </w:rPr>
            </w:pPr>
            <w:r>
              <w:rPr>
                <w:rFonts w:eastAsia="Times New Roman"/>
                <w:sz w:val="16"/>
                <w:szCs w:val="16"/>
              </w:rPr>
              <w:t>19,040,838</w:t>
            </w:r>
          </w:p>
        </w:tc>
        <w:tc>
          <w:tcPr>
            <w:tcW w:w="50" w:type="pct"/>
            <w:shd w:val="clear" w:color="auto" w:fill="FFFFFF"/>
            <w:vAlign w:val="bottom"/>
            <w:hideMark/>
          </w:tcPr>
          <w:p w14:paraId="4110045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E833AE6" w14:textId="77777777" w:rsidR="00000000" w:rsidRDefault="0053651E">
            <w:pPr>
              <w:jc w:val="right"/>
              <w:rPr>
                <w:rFonts w:eastAsia="Times New Roman"/>
                <w:sz w:val="16"/>
                <w:szCs w:val="16"/>
              </w:rPr>
            </w:pPr>
            <w:r>
              <w:rPr>
                <w:rFonts w:eastAsia="Times New Roman"/>
                <w:sz w:val="16"/>
                <w:szCs w:val="16"/>
              </w:rPr>
              <w:t>27,844,512</w:t>
            </w:r>
          </w:p>
        </w:tc>
        <w:tc>
          <w:tcPr>
            <w:tcW w:w="50" w:type="pct"/>
            <w:shd w:val="clear" w:color="auto" w:fill="FFFFFF"/>
            <w:vAlign w:val="bottom"/>
            <w:hideMark/>
          </w:tcPr>
          <w:p w14:paraId="2B77535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BC5C70B"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0D71A393" w14:textId="77777777" w:rsidR="00000000" w:rsidRDefault="0053651E">
            <w:pPr>
              <w:pStyle w:val="a3"/>
              <w:spacing w:before="0" w:beforeAutospacing="0" w:after="0" w:afterAutospacing="0"/>
              <w:jc w:val="center"/>
              <w:rPr>
                <w:sz w:val="16"/>
                <w:szCs w:val="16"/>
              </w:rPr>
            </w:pPr>
            <w:r>
              <w:rPr>
                <w:rStyle w:val="a6"/>
                <w:i w:val="0"/>
                <w:iCs w:val="0"/>
                <w:sz w:val="16"/>
                <w:szCs w:val="16"/>
              </w:rPr>
              <w:t>1998(A)</w:t>
            </w:r>
          </w:p>
        </w:tc>
      </w:tr>
      <w:tr w:rsidR="00000000" w14:paraId="7B1AC7F8" w14:textId="77777777">
        <w:trPr>
          <w:tblCellSpacing w:w="0" w:type="dxa"/>
        </w:trPr>
        <w:tc>
          <w:tcPr>
            <w:tcW w:w="50" w:type="pct"/>
            <w:shd w:val="clear" w:color="auto" w:fill="CCEEFF"/>
            <w:vAlign w:val="bottom"/>
            <w:hideMark/>
          </w:tcPr>
          <w:p w14:paraId="32760E3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60B3787" w14:textId="77777777" w:rsidR="00000000" w:rsidRDefault="0053651E">
            <w:pPr>
              <w:pStyle w:val="a3"/>
              <w:spacing w:before="0" w:beforeAutospacing="0" w:after="0" w:afterAutospacing="0"/>
              <w:rPr>
                <w:sz w:val="16"/>
                <w:szCs w:val="16"/>
              </w:rPr>
            </w:pPr>
            <w:r>
              <w:rPr>
                <w:sz w:val="16"/>
                <w:szCs w:val="16"/>
              </w:rPr>
              <w:t>CYPRESS TOWNE CENTER</w:t>
            </w:r>
          </w:p>
        </w:tc>
        <w:tc>
          <w:tcPr>
            <w:tcW w:w="150" w:type="pct"/>
            <w:shd w:val="clear" w:color="auto" w:fill="CCEEFF"/>
            <w:vAlign w:val="bottom"/>
            <w:hideMark/>
          </w:tcPr>
          <w:p w14:paraId="275E2C0F"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62CCF238" w14:textId="77777777" w:rsidR="00000000" w:rsidRDefault="0053651E">
            <w:pPr>
              <w:jc w:val="right"/>
              <w:rPr>
                <w:rFonts w:eastAsia="Times New Roman"/>
                <w:sz w:val="16"/>
                <w:szCs w:val="16"/>
              </w:rPr>
            </w:pPr>
            <w:r>
              <w:rPr>
                <w:rFonts w:eastAsia="Times New Roman"/>
                <w:sz w:val="16"/>
                <w:szCs w:val="16"/>
              </w:rPr>
              <w:t>6,033,932</w:t>
            </w:r>
          </w:p>
        </w:tc>
        <w:tc>
          <w:tcPr>
            <w:tcW w:w="550" w:type="pct"/>
            <w:shd w:val="clear" w:color="auto" w:fill="CCEEFF"/>
            <w:vAlign w:val="bottom"/>
            <w:hideMark/>
          </w:tcPr>
          <w:p w14:paraId="6B754614" w14:textId="77777777" w:rsidR="00000000" w:rsidRDefault="0053651E">
            <w:pPr>
              <w:jc w:val="right"/>
              <w:rPr>
                <w:rFonts w:eastAsia="Times New Roman"/>
                <w:sz w:val="16"/>
                <w:szCs w:val="16"/>
              </w:rPr>
            </w:pPr>
            <w:r>
              <w:rPr>
                <w:rFonts w:eastAsia="Times New Roman"/>
                <w:sz w:val="16"/>
                <w:szCs w:val="16"/>
              </w:rPr>
              <w:t>-</w:t>
            </w:r>
          </w:p>
        </w:tc>
        <w:tc>
          <w:tcPr>
            <w:tcW w:w="350" w:type="pct"/>
            <w:shd w:val="clear" w:color="auto" w:fill="CCEEFF"/>
            <w:vAlign w:val="bottom"/>
            <w:hideMark/>
          </w:tcPr>
          <w:p w14:paraId="0D0E5126" w14:textId="77777777" w:rsidR="00000000" w:rsidRDefault="0053651E">
            <w:pPr>
              <w:jc w:val="right"/>
              <w:rPr>
                <w:rFonts w:eastAsia="Times New Roman"/>
                <w:sz w:val="16"/>
                <w:szCs w:val="16"/>
              </w:rPr>
            </w:pPr>
            <w:r>
              <w:rPr>
                <w:rFonts w:eastAsia="Times New Roman"/>
                <w:sz w:val="16"/>
                <w:szCs w:val="16"/>
              </w:rPr>
              <w:t>1,692,407</w:t>
            </w:r>
          </w:p>
        </w:tc>
        <w:tc>
          <w:tcPr>
            <w:tcW w:w="300" w:type="pct"/>
            <w:shd w:val="clear" w:color="auto" w:fill="CCEEFF"/>
            <w:vAlign w:val="bottom"/>
            <w:hideMark/>
          </w:tcPr>
          <w:p w14:paraId="794BD739" w14:textId="77777777" w:rsidR="00000000" w:rsidRDefault="0053651E">
            <w:pPr>
              <w:jc w:val="right"/>
              <w:rPr>
                <w:rFonts w:eastAsia="Times New Roman"/>
                <w:sz w:val="16"/>
                <w:szCs w:val="16"/>
              </w:rPr>
            </w:pPr>
            <w:r>
              <w:rPr>
                <w:rFonts w:eastAsia="Times New Roman"/>
                <w:sz w:val="16"/>
                <w:szCs w:val="16"/>
              </w:rPr>
              <w:t>2,251,666</w:t>
            </w:r>
          </w:p>
        </w:tc>
        <w:tc>
          <w:tcPr>
            <w:tcW w:w="450" w:type="pct"/>
            <w:shd w:val="clear" w:color="auto" w:fill="CCEEFF"/>
            <w:vAlign w:val="bottom"/>
            <w:hideMark/>
          </w:tcPr>
          <w:p w14:paraId="6D8C9D4A" w14:textId="77777777" w:rsidR="00000000" w:rsidRDefault="0053651E">
            <w:pPr>
              <w:jc w:val="right"/>
              <w:rPr>
                <w:rFonts w:eastAsia="Times New Roman"/>
                <w:sz w:val="16"/>
                <w:szCs w:val="16"/>
              </w:rPr>
            </w:pPr>
            <w:r>
              <w:rPr>
                <w:rFonts w:eastAsia="Times New Roman"/>
                <w:sz w:val="16"/>
                <w:szCs w:val="16"/>
              </w:rPr>
              <w:t>5,474,673</w:t>
            </w:r>
          </w:p>
        </w:tc>
        <w:tc>
          <w:tcPr>
            <w:tcW w:w="350" w:type="pct"/>
            <w:shd w:val="clear" w:color="auto" w:fill="CCEEFF"/>
            <w:vAlign w:val="bottom"/>
            <w:hideMark/>
          </w:tcPr>
          <w:p w14:paraId="467B1C30" w14:textId="77777777" w:rsidR="00000000" w:rsidRDefault="0053651E">
            <w:pPr>
              <w:jc w:val="right"/>
              <w:rPr>
                <w:rFonts w:eastAsia="Times New Roman"/>
                <w:sz w:val="16"/>
                <w:szCs w:val="16"/>
              </w:rPr>
            </w:pPr>
            <w:r>
              <w:rPr>
                <w:rFonts w:eastAsia="Times New Roman"/>
                <w:sz w:val="16"/>
                <w:szCs w:val="16"/>
              </w:rPr>
              <w:t>7,726,339</w:t>
            </w:r>
          </w:p>
        </w:tc>
        <w:tc>
          <w:tcPr>
            <w:tcW w:w="400" w:type="pct"/>
            <w:shd w:val="clear" w:color="auto" w:fill="CCEEFF"/>
            <w:vAlign w:val="bottom"/>
            <w:hideMark/>
          </w:tcPr>
          <w:p w14:paraId="7BF54476" w14:textId="77777777" w:rsidR="00000000" w:rsidRDefault="0053651E">
            <w:pPr>
              <w:jc w:val="right"/>
              <w:rPr>
                <w:rFonts w:eastAsia="Times New Roman"/>
                <w:sz w:val="16"/>
                <w:szCs w:val="16"/>
              </w:rPr>
            </w:pPr>
            <w:r>
              <w:rPr>
                <w:rFonts w:eastAsia="Times New Roman"/>
                <w:sz w:val="16"/>
                <w:szCs w:val="16"/>
              </w:rPr>
              <w:t>1,395,230</w:t>
            </w:r>
          </w:p>
        </w:tc>
        <w:tc>
          <w:tcPr>
            <w:tcW w:w="50" w:type="pct"/>
            <w:shd w:val="clear" w:color="auto" w:fill="CCEEFF"/>
            <w:vAlign w:val="bottom"/>
            <w:hideMark/>
          </w:tcPr>
          <w:p w14:paraId="0B5059B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48E2B87" w14:textId="77777777" w:rsidR="00000000" w:rsidRDefault="0053651E">
            <w:pPr>
              <w:jc w:val="right"/>
              <w:rPr>
                <w:rFonts w:eastAsia="Times New Roman"/>
                <w:sz w:val="16"/>
                <w:szCs w:val="16"/>
              </w:rPr>
            </w:pPr>
            <w:r>
              <w:rPr>
                <w:rFonts w:eastAsia="Times New Roman"/>
                <w:sz w:val="16"/>
                <w:szCs w:val="16"/>
              </w:rPr>
              <w:t>6,331,109</w:t>
            </w:r>
          </w:p>
        </w:tc>
        <w:tc>
          <w:tcPr>
            <w:tcW w:w="50" w:type="pct"/>
            <w:shd w:val="clear" w:color="auto" w:fill="CCEEFF"/>
            <w:vAlign w:val="bottom"/>
            <w:hideMark/>
          </w:tcPr>
          <w:p w14:paraId="7D28AB6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C44E564"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1A20E5C0" w14:textId="77777777" w:rsidR="00000000" w:rsidRDefault="0053651E">
            <w:pPr>
              <w:pStyle w:val="a3"/>
              <w:spacing w:before="0" w:beforeAutospacing="0" w:after="0" w:afterAutospacing="0"/>
              <w:jc w:val="center"/>
              <w:rPr>
                <w:sz w:val="16"/>
                <w:szCs w:val="16"/>
              </w:rPr>
            </w:pPr>
            <w:r>
              <w:rPr>
                <w:rStyle w:val="a6"/>
                <w:i w:val="0"/>
                <w:iCs w:val="0"/>
                <w:sz w:val="16"/>
                <w:szCs w:val="16"/>
              </w:rPr>
              <w:t>2003(C)</w:t>
            </w:r>
          </w:p>
        </w:tc>
      </w:tr>
      <w:tr w:rsidR="00000000" w14:paraId="1B8B018B" w14:textId="77777777">
        <w:trPr>
          <w:tblCellSpacing w:w="0" w:type="dxa"/>
        </w:trPr>
        <w:tc>
          <w:tcPr>
            <w:tcW w:w="50" w:type="pct"/>
            <w:shd w:val="clear" w:color="auto" w:fill="FFFFFF"/>
            <w:vAlign w:val="bottom"/>
            <w:hideMark/>
          </w:tcPr>
          <w:p w14:paraId="4D76716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3E93D15" w14:textId="77777777" w:rsidR="00000000" w:rsidRDefault="0053651E">
            <w:pPr>
              <w:pStyle w:val="a3"/>
              <w:spacing w:before="0" w:beforeAutospacing="0" w:after="0" w:afterAutospacing="0"/>
              <w:rPr>
                <w:sz w:val="16"/>
                <w:szCs w:val="16"/>
              </w:rPr>
            </w:pPr>
            <w:r>
              <w:rPr>
                <w:sz w:val="16"/>
                <w:szCs w:val="16"/>
              </w:rPr>
              <w:t>CYPRESS TOWNE CENTER</w:t>
            </w:r>
          </w:p>
        </w:tc>
        <w:tc>
          <w:tcPr>
            <w:tcW w:w="150" w:type="pct"/>
            <w:shd w:val="clear" w:color="auto" w:fill="FFFFFF"/>
            <w:vAlign w:val="bottom"/>
            <w:hideMark/>
          </w:tcPr>
          <w:p w14:paraId="35D91F1A"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658B056E" w14:textId="77777777" w:rsidR="00000000" w:rsidRDefault="0053651E">
            <w:pPr>
              <w:jc w:val="right"/>
              <w:rPr>
                <w:rFonts w:eastAsia="Times New Roman"/>
                <w:sz w:val="16"/>
                <w:szCs w:val="16"/>
              </w:rPr>
            </w:pPr>
            <w:r>
              <w:rPr>
                <w:rFonts w:eastAsia="Times New Roman"/>
                <w:sz w:val="16"/>
                <w:szCs w:val="16"/>
              </w:rPr>
              <w:t>12,329,195</w:t>
            </w:r>
          </w:p>
        </w:tc>
        <w:tc>
          <w:tcPr>
            <w:tcW w:w="550" w:type="pct"/>
            <w:shd w:val="clear" w:color="auto" w:fill="FFFFFF"/>
            <w:vAlign w:val="bottom"/>
            <w:hideMark/>
          </w:tcPr>
          <w:p w14:paraId="215C36C3" w14:textId="77777777" w:rsidR="00000000" w:rsidRDefault="0053651E">
            <w:pPr>
              <w:jc w:val="right"/>
              <w:rPr>
                <w:rFonts w:eastAsia="Times New Roman"/>
                <w:sz w:val="16"/>
                <w:szCs w:val="16"/>
              </w:rPr>
            </w:pPr>
            <w:r>
              <w:rPr>
                <w:rFonts w:eastAsia="Times New Roman"/>
                <w:sz w:val="16"/>
                <w:szCs w:val="16"/>
              </w:rPr>
              <w:t>36,836,381</w:t>
            </w:r>
          </w:p>
        </w:tc>
        <w:tc>
          <w:tcPr>
            <w:tcW w:w="350" w:type="pct"/>
            <w:shd w:val="clear" w:color="auto" w:fill="FFFFFF"/>
            <w:vAlign w:val="bottom"/>
            <w:hideMark/>
          </w:tcPr>
          <w:p w14:paraId="69AD9C99" w14:textId="77777777" w:rsidR="00000000" w:rsidRDefault="0053651E">
            <w:pPr>
              <w:jc w:val="right"/>
              <w:rPr>
                <w:rFonts w:eastAsia="Times New Roman"/>
                <w:sz w:val="16"/>
                <w:szCs w:val="16"/>
              </w:rPr>
            </w:pPr>
            <w:r>
              <w:rPr>
                <w:rFonts w:eastAsia="Times New Roman"/>
                <w:sz w:val="16"/>
                <w:szCs w:val="16"/>
              </w:rPr>
              <w:t>1,284,624</w:t>
            </w:r>
          </w:p>
        </w:tc>
        <w:tc>
          <w:tcPr>
            <w:tcW w:w="300" w:type="pct"/>
            <w:shd w:val="clear" w:color="auto" w:fill="FFFFFF"/>
            <w:vAlign w:val="bottom"/>
            <w:hideMark/>
          </w:tcPr>
          <w:p w14:paraId="445D778B" w14:textId="77777777" w:rsidR="00000000" w:rsidRDefault="0053651E">
            <w:pPr>
              <w:jc w:val="right"/>
              <w:rPr>
                <w:rFonts w:eastAsia="Times New Roman"/>
                <w:sz w:val="16"/>
                <w:szCs w:val="16"/>
              </w:rPr>
            </w:pPr>
            <w:r>
              <w:rPr>
                <w:rFonts w:eastAsia="Times New Roman"/>
                <w:sz w:val="16"/>
                <w:szCs w:val="16"/>
              </w:rPr>
              <w:t>8,644,145</w:t>
            </w:r>
          </w:p>
        </w:tc>
        <w:tc>
          <w:tcPr>
            <w:tcW w:w="450" w:type="pct"/>
            <w:shd w:val="clear" w:color="auto" w:fill="FFFFFF"/>
            <w:vAlign w:val="bottom"/>
            <w:hideMark/>
          </w:tcPr>
          <w:p w14:paraId="50BFE0CB" w14:textId="77777777" w:rsidR="00000000" w:rsidRDefault="0053651E">
            <w:pPr>
              <w:jc w:val="right"/>
              <w:rPr>
                <w:rFonts w:eastAsia="Times New Roman"/>
                <w:sz w:val="16"/>
                <w:szCs w:val="16"/>
              </w:rPr>
            </w:pPr>
            <w:r>
              <w:rPr>
                <w:rFonts w:eastAsia="Times New Roman"/>
                <w:sz w:val="16"/>
                <w:szCs w:val="16"/>
              </w:rPr>
              <w:t>41,806,055</w:t>
            </w:r>
          </w:p>
        </w:tc>
        <w:tc>
          <w:tcPr>
            <w:tcW w:w="350" w:type="pct"/>
            <w:shd w:val="clear" w:color="auto" w:fill="FFFFFF"/>
            <w:vAlign w:val="bottom"/>
            <w:hideMark/>
          </w:tcPr>
          <w:p w14:paraId="6C1FA8A8" w14:textId="77777777" w:rsidR="00000000" w:rsidRDefault="0053651E">
            <w:pPr>
              <w:jc w:val="right"/>
              <w:rPr>
                <w:rFonts w:eastAsia="Times New Roman"/>
                <w:sz w:val="16"/>
                <w:szCs w:val="16"/>
              </w:rPr>
            </w:pPr>
            <w:r>
              <w:rPr>
                <w:rFonts w:eastAsia="Times New Roman"/>
                <w:sz w:val="16"/>
                <w:szCs w:val="16"/>
              </w:rPr>
              <w:t>50,450,200</w:t>
            </w:r>
          </w:p>
        </w:tc>
        <w:tc>
          <w:tcPr>
            <w:tcW w:w="400" w:type="pct"/>
            <w:shd w:val="clear" w:color="auto" w:fill="FFFFFF"/>
            <w:vAlign w:val="bottom"/>
            <w:hideMark/>
          </w:tcPr>
          <w:p w14:paraId="159617DD" w14:textId="77777777" w:rsidR="00000000" w:rsidRDefault="0053651E">
            <w:pPr>
              <w:jc w:val="right"/>
              <w:rPr>
                <w:rFonts w:eastAsia="Times New Roman"/>
                <w:sz w:val="16"/>
                <w:szCs w:val="16"/>
              </w:rPr>
            </w:pPr>
            <w:r>
              <w:rPr>
                <w:rFonts w:eastAsia="Times New Roman"/>
                <w:sz w:val="16"/>
                <w:szCs w:val="16"/>
              </w:rPr>
              <w:t>5,402,128</w:t>
            </w:r>
          </w:p>
        </w:tc>
        <w:tc>
          <w:tcPr>
            <w:tcW w:w="50" w:type="pct"/>
            <w:shd w:val="clear" w:color="auto" w:fill="FFFFFF"/>
            <w:vAlign w:val="bottom"/>
            <w:hideMark/>
          </w:tcPr>
          <w:p w14:paraId="3A1E433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6065FB7" w14:textId="77777777" w:rsidR="00000000" w:rsidRDefault="0053651E">
            <w:pPr>
              <w:jc w:val="right"/>
              <w:rPr>
                <w:rFonts w:eastAsia="Times New Roman"/>
                <w:sz w:val="16"/>
                <w:szCs w:val="16"/>
              </w:rPr>
            </w:pPr>
            <w:r>
              <w:rPr>
                <w:rFonts w:eastAsia="Times New Roman"/>
                <w:sz w:val="16"/>
                <w:szCs w:val="16"/>
              </w:rPr>
              <w:t>45,048,072</w:t>
            </w:r>
          </w:p>
        </w:tc>
        <w:tc>
          <w:tcPr>
            <w:tcW w:w="50" w:type="pct"/>
            <w:shd w:val="clear" w:color="auto" w:fill="FFFFFF"/>
            <w:vAlign w:val="bottom"/>
            <w:hideMark/>
          </w:tcPr>
          <w:p w14:paraId="2D92C02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1E3703C"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FFFFFF"/>
            <w:vAlign w:val="bottom"/>
            <w:hideMark/>
          </w:tcPr>
          <w:p w14:paraId="3D55B199"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3558F35E" w14:textId="77777777">
        <w:trPr>
          <w:tblCellSpacing w:w="0" w:type="dxa"/>
        </w:trPr>
        <w:tc>
          <w:tcPr>
            <w:tcW w:w="50" w:type="pct"/>
            <w:shd w:val="clear" w:color="auto" w:fill="CCEEFF"/>
            <w:vAlign w:val="bottom"/>
            <w:hideMark/>
          </w:tcPr>
          <w:p w14:paraId="3EC6E57F"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F5F1539" w14:textId="77777777" w:rsidR="00000000" w:rsidRDefault="0053651E">
            <w:pPr>
              <w:pStyle w:val="a3"/>
              <w:spacing w:before="0" w:beforeAutospacing="0" w:after="0" w:afterAutospacing="0"/>
              <w:rPr>
                <w:sz w:val="16"/>
                <w:szCs w:val="16"/>
              </w:rPr>
            </w:pPr>
            <w:r>
              <w:rPr>
                <w:sz w:val="16"/>
                <w:szCs w:val="16"/>
              </w:rPr>
              <w:t>CYPRESS TOWNE CENTER (PHASE II)</w:t>
            </w:r>
          </w:p>
        </w:tc>
        <w:tc>
          <w:tcPr>
            <w:tcW w:w="150" w:type="pct"/>
            <w:shd w:val="clear" w:color="auto" w:fill="CCEEFF"/>
            <w:vAlign w:val="bottom"/>
            <w:hideMark/>
          </w:tcPr>
          <w:p w14:paraId="2DBE0E9D"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6F436DE1" w14:textId="77777777" w:rsidR="00000000" w:rsidRDefault="0053651E">
            <w:pPr>
              <w:jc w:val="right"/>
              <w:rPr>
                <w:rFonts w:eastAsia="Times New Roman"/>
                <w:sz w:val="16"/>
                <w:szCs w:val="16"/>
              </w:rPr>
            </w:pPr>
            <w:r>
              <w:rPr>
                <w:rFonts w:eastAsia="Times New Roman"/>
                <w:sz w:val="16"/>
                <w:szCs w:val="16"/>
              </w:rPr>
              <w:t>2,061,477</w:t>
            </w:r>
          </w:p>
        </w:tc>
        <w:tc>
          <w:tcPr>
            <w:tcW w:w="550" w:type="pct"/>
            <w:shd w:val="clear" w:color="auto" w:fill="CCEEFF"/>
            <w:vAlign w:val="bottom"/>
            <w:hideMark/>
          </w:tcPr>
          <w:p w14:paraId="08DB5092" w14:textId="77777777" w:rsidR="00000000" w:rsidRDefault="0053651E">
            <w:pPr>
              <w:jc w:val="right"/>
              <w:rPr>
                <w:rFonts w:eastAsia="Times New Roman"/>
                <w:sz w:val="16"/>
                <w:szCs w:val="16"/>
              </w:rPr>
            </w:pPr>
            <w:r>
              <w:rPr>
                <w:rFonts w:eastAsia="Times New Roman"/>
                <w:sz w:val="16"/>
                <w:szCs w:val="16"/>
              </w:rPr>
              <w:t>6,157,862</w:t>
            </w:r>
          </w:p>
        </w:tc>
        <w:tc>
          <w:tcPr>
            <w:tcW w:w="350" w:type="pct"/>
            <w:shd w:val="clear" w:color="auto" w:fill="CCEEFF"/>
            <w:vAlign w:val="bottom"/>
            <w:hideMark/>
          </w:tcPr>
          <w:p w14:paraId="60AEA004" w14:textId="77777777" w:rsidR="00000000" w:rsidRDefault="0053651E">
            <w:pPr>
              <w:jc w:val="right"/>
              <w:rPr>
                <w:rFonts w:eastAsia="Times New Roman"/>
                <w:sz w:val="16"/>
                <w:szCs w:val="16"/>
              </w:rPr>
            </w:pPr>
            <w:r>
              <w:rPr>
                <w:rFonts w:eastAsia="Times New Roman"/>
                <w:sz w:val="16"/>
                <w:szCs w:val="16"/>
              </w:rPr>
              <w:t>(1,361,233)</w:t>
            </w:r>
          </w:p>
        </w:tc>
        <w:tc>
          <w:tcPr>
            <w:tcW w:w="300" w:type="pct"/>
            <w:shd w:val="clear" w:color="auto" w:fill="CCEEFF"/>
            <w:vAlign w:val="bottom"/>
            <w:hideMark/>
          </w:tcPr>
          <w:p w14:paraId="263DB563" w14:textId="77777777" w:rsidR="00000000" w:rsidRDefault="0053651E">
            <w:pPr>
              <w:jc w:val="right"/>
              <w:rPr>
                <w:rFonts w:eastAsia="Times New Roman"/>
                <w:sz w:val="16"/>
                <w:szCs w:val="16"/>
              </w:rPr>
            </w:pPr>
            <w:r>
              <w:rPr>
                <w:rFonts w:eastAsia="Times New Roman"/>
                <w:sz w:val="16"/>
                <w:szCs w:val="16"/>
              </w:rPr>
              <w:t>270,374</w:t>
            </w:r>
          </w:p>
        </w:tc>
        <w:tc>
          <w:tcPr>
            <w:tcW w:w="450" w:type="pct"/>
            <w:shd w:val="clear" w:color="auto" w:fill="CCEEFF"/>
            <w:vAlign w:val="bottom"/>
            <w:hideMark/>
          </w:tcPr>
          <w:p w14:paraId="28645B14" w14:textId="77777777" w:rsidR="00000000" w:rsidRDefault="0053651E">
            <w:pPr>
              <w:jc w:val="right"/>
              <w:rPr>
                <w:rFonts w:eastAsia="Times New Roman"/>
                <w:sz w:val="16"/>
                <w:szCs w:val="16"/>
              </w:rPr>
            </w:pPr>
            <w:r>
              <w:rPr>
                <w:rFonts w:eastAsia="Times New Roman"/>
                <w:sz w:val="16"/>
                <w:szCs w:val="16"/>
              </w:rPr>
              <w:t>6,587,732</w:t>
            </w:r>
          </w:p>
        </w:tc>
        <w:tc>
          <w:tcPr>
            <w:tcW w:w="350" w:type="pct"/>
            <w:shd w:val="clear" w:color="auto" w:fill="CCEEFF"/>
            <w:vAlign w:val="bottom"/>
            <w:hideMark/>
          </w:tcPr>
          <w:p w14:paraId="2D06C604" w14:textId="77777777" w:rsidR="00000000" w:rsidRDefault="0053651E">
            <w:pPr>
              <w:jc w:val="right"/>
              <w:rPr>
                <w:rFonts w:eastAsia="Times New Roman"/>
                <w:sz w:val="16"/>
                <w:szCs w:val="16"/>
              </w:rPr>
            </w:pPr>
            <w:r>
              <w:rPr>
                <w:rFonts w:eastAsia="Times New Roman"/>
                <w:sz w:val="16"/>
                <w:szCs w:val="16"/>
              </w:rPr>
              <w:t>6,858,106</w:t>
            </w:r>
          </w:p>
        </w:tc>
        <w:tc>
          <w:tcPr>
            <w:tcW w:w="400" w:type="pct"/>
            <w:shd w:val="clear" w:color="auto" w:fill="CCEEFF"/>
            <w:vAlign w:val="bottom"/>
            <w:hideMark/>
          </w:tcPr>
          <w:p w14:paraId="77E74052" w14:textId="77777777" w:rsidR="00000000" w:rsidRDefault="0053651E">
            <w:pPr>
              <w:jc w:val="right"/>
              <w:rPr>
                <w:rFonts w:eastAsia="Times New Roman"/>
                <w:sz w:val="16"/>
                <w:szCs w:val="16"/>
              </w:rPr>
            </w:pPr>
            <w:r>
              <w:rPr>
                <w:rFonts w:eastAsia="Times New Roman"/>
                <w:sz w:val="16"/>
                <w:szCs w:val="16"/>
              </w:rPr>
              <w:t>1,078,562</w:t>
            </w:r>
          </w:p>
        </w:tc>
        <w:tc>
          <w:tcPr>
            <w:tcW w:w="50" w:type="pct"/>
            <w:shd w:val="clear" w:color="auto" w:fill="CCEEFF"/>
            <w:vAlign w:val="bottom"/>
            <w:hideMark/>
          </w:tcPr>
          <w:p w14:paraId="7D9B84D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2435005" w14:textId="77777777" w:rsidR="00000000" w:rsidRDefault="0053651E">
            <w:pPr>
              <w:jc w:val="right"/>
              <w:rPr>
                <w:rFonts w:eastAsia="Times New Roman"/>
                <w:sz w:val="16"/>
                <w:szCs w:val="16"/>
              </w:rPr>
            </w:pPr>
            <w:r>
              <w:rPr>
                <w:rFonts w:eastAsia="Times New Roman"/>
                <w:sz w:val="16"/>
                <w:szCs w:val="16"/>
              </w:rPr>
              <w:t>5,779,544</w:t>
            </w:r>
          </w:p>
        </w:tc>
        <w:tc>
          <w:tcPr>
            <w:tcW w:w="50" w:type="pct"/>
            <w:shd w:val="clear" w:color="auto" w:fill="CCEEFF"/>
            <w:vAlign w:val="bottom"/>
            <w:hideMark/>
          </w:tcPr>
          <w:p w14:paraId="7B61A0A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B5D7338" w14:textId="77777777" w:rsidR="00000000" w:rsidRDefault="0053651E">
            <w:pPr>
              <w:jc w:val="right"/>
              <w:rPr>
                <w:rFonts w:eastAsia="Times New Roman"/>
                <w:sz w:val="16"/>
                <w:szCs w:val="16"/>
              </w:rPr>
            </w:pPr>
            <w:r>
              <w:rPr>
                <w:rFonts w:eastAsia="Times New Roman"/>
                <w:sz w:val="16"/>
                <w:szCs w:val="16"/>
              </w:rPr>
              <w:t>-</w:t>
            </w:r>
          </w:p>
        </w:tc>
        <w:tc>
          <w:tcPr>
            <w:tcW w:w="500" w:type="pct"/>
            <w:shd w:val="clear" w:color="auto" w:fill="CCEEFF"/>
            <w:vAlign w:val="bottom"/>
            <w:hideMark/>
          </w:tcPr>
          <w:p w14:paraId="7B1A270C"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bl>
    <w:p w14:paraId="307D284E"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183"/>
        <w:gridCol w:w="267"/>
        <w:gridCol w:w="720"/>
        <w:gridCol w:w="800"/>
        <w:gridCol w:w="827"/>
        <w:gridCol w:w="720"/>
        <w:gridCol w:w="800"/>
        <w:gridCol w:w="800"/>
        <w:gridCol w:w="720"/>
        <w:gridCol w:w="40"/>
        <w:gridCol w:w="800"/>
        <w:gridCol w:w="40"/>
        <w:gridCol w:w="720"/>
        <w:gridCol w:w="543"/>
      </w:tblGrid>
      <w:tr w:rsidR="00000000" w14:paraId="34F5B4C3" w14:textId="77777777">
        <w:trPr>
          <w:tblCellSpacing w:w="0" w:type="dxa"/>
        </w:trPr>
        <w:tc>
          <w:tcPr>
            <w:tcW w:w="50" w:type="pct"/>
            <w:shd w:val="clear" w:color="auto" w:fill="FFFFFF"/>
            <w:vAlign w:val="bottom"/>
            <w:hideMark/>
          </w:tcPr>
          <w:p w14:paraId="4C7FF2E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3976FF2" w14:textId="77777777" w:rsidR="00000000" w:rsidRDefault="0053651E">
            <w:pPr>
              <w:pStyle w:val="a3"/>
              <w:spacing w:before="0" w:beforeAutospacing="0" w:after="0" w:afterAutospacing="0"/>
              <w:rPr>
                <w:sz w:val="16"/>
                <w:szCs w:val="16"/>
              </w:rPr>
            </w:pPr>
            <w:r>
              <w:rPr>
                <w:rStyle w:val="a6"/>
                <w:i w:val="0"/>
                <w:iCs w:val="0"/>
                <w:sz w:val="16"/>
                <w:szCs w:val="16"/>
              </w:rPr>
              <w:t>THE CENTRE AT COPPERFIELD</w:t>
            </w:r>
          </w:p>
        </w:tc>
        <w:tc>
          <w:tcPr>
            <w:tcW w:w="150" w:type="pct"/>
            <w:shd w:val="clear" w:color="auto" w:fill="FFFFFF"/>
            <w:vAlign w:val="bottom"/>
            <w:hideMark/>
          </w:tcPr>
          <w:p w14:paraId="43AE8ECD"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1AA919EE" w14:textId="77777777" w:rsidR="00000000" w:rsidRDefault="0053651E">
            <w:pPr>
              <w:jc w:val="right"/>
              <w:rPr>
                <w:rFonts w:eastAsia="Times New Roman"/>
                <w:sz w:val="16"/>
                <w:szCs w:val="16"/>
              </w:rPr>
            </w:pPr>
            <w:r>
              <w:rPr>
                <w:rStyle w:val="a6"/>
                <w:rFonts w:eastAsia="Times New Roman"/>
                <w:i w:val="0"/>
                <w:iCs w:val="0"/>
                <w:sz w:val="16"/>
                <w:szCs w:val="16"/>
              </w:rPr>
              <w:t>6,723,267</w:t>
            </w:r>
          </w:p>
        </w:tc>
        <w:tc>
          <w:tcPr>
            <w:tcW w:w="550" w:type="pct"/>
            <w:shd w:val="clear" w:color="auto" w:fill="FFFFFF"/>
            <w:vAlign w:val="bottom"/>
            <w:hideMark/>
          </w:tcPr>
          <w:p w14:paraId="64546F90" w14:textId="77777777" w:rsidR="00000000" w:rsidRDefault="0053651E">
            <w:pPr>
              <w:jc w:val="right"/>
              <w:rPr>
                <w:rFonts w:eastAsia="Times New Roman"/>
                <w:sz w:val="16"/>
                <w:szCs w:val="16"/>
              </w:rPr>
            </w:pPr>
            <w:r>
              <w:rPr>
                <w:rStyle w:val="a6"/>
                <w:rFonts w:eastAsia="Times New Roman"/>
                <w:i w:val="0"/>
                <w:iCs w:val="0"/>
                <w:sz w:val="16"/>
                <w:szCs w:val="16"/>
              </w:rPr>
              <w:t>22,524,551</w:t>
            </w:r>
          </w:p>
        </w:tc>
        <w:tc>
          <w:tcPr>
            <w:tcW w:w="350" w:type="pct"/>
            <w:shd w:val="clear" w:color="auto" w:fill="FFFFFF"/>
            <w:vAlign w:val="bottom"/>
            <w:hideMark/>
          </w:tcPr>
          <w:p w14:paraId="1648D8AF" w14:textId="77777777" w:rsidR="00000000" w:rsidRDefault="0053651E">
            <w:pPr>
              <w:jc w:val="right"/>
              <w:rPr>
                <w:rFonts w:eastAsia="Times New Roman"/>
                <w:sz w:val="16"/>
                <w:szCs w:val="16"/>
              </w:rPr>
            </w:pPr>
            <w:r>
              <w:rPr>
                <w:rStyle w:val="a6"/>
                <w:rFonts w:eastAsia="Times New Roman"/>
                <w:i w:val="0"/>
                <w:iCs w:val="0"/>
                <w:sz w:val="16"/>
                <w:szCs w:val="16"/>
              </w:rPr>
              <w:t>535,094</w:t>
            </w:r>
          </w:p>
        </w:tc>
        <w:tc>
          <w:tcPr>
            <w:tcW w:w="300" w:type="pct"/>
            <w:shd w:val="clear" w:color="auto" w:fill="FFFFFF"/>
            <w:vAlign w:val="bottom"/>
            <w:hideMark/>
          </w:tcPr>
          <w:p w14:paraId="03AD5E3C" w14:textId="77777777" w:rsidR="00000000" w:rsidRDefault="0053651E">
            <w:pPr>
              <w:jc w:val="right"/>
              <w:rPr>
                <w:rFonts w:eastAsia="Times New Roman"/>
                <w:sz w:val="16"/>
                <w:szCs w:val="16"/>
              </w:rPr>
            </w:pPr>
            <w:r>
              <w:rPr>
                <w:rStyle w:val="a6"/>
                <w:rFonts w:eastAsia="Times New Roman"/>
                <w:i w:val="0"/>
                <w:iCs w:val="0"/>
                <w:sz w:val="16"/>
                <w:szCs w:val="16"/>
              </w:rPr>
              <w:t>6,723,357</w:t>
            </w:r>
          </w:p>
        </w:tc>
        <w:tc>
          <w:tcPr>
            <w:tcW w:w="450" w:type="pct"/>
            <w:shd w:val="clear" w:color="auto" w:fill="FFFFFF"/>
            <w:vAlign w:val="bottom"/>
            <w:hideMark/>
          </w:tcPr>
          <w:p w14:paraId="2D04E12A" w14:textId="77777777" w:rsidR="00000000" w:rsidRDefault="0053651E">
            <w:pPr>
              <w:jc w:val="right"/>
              <w:rPr>
                <w:rFonts w:eastAsia="Times New Roman"/>
                <w:sz w:val="16"/>
                <w:szCs w:val="16"/>
              </w:rPr>
            </w:pPr>
            <w:r>
              <w:rPr>
                <w:rStyle w:val="a6"/>
                <w:rFonts w:eastAsia="Times New Roman"/>
                <w:i w:val="0"/>
                <w:iCs w:val="0"/>
                <w:sz w:val="16"/>
                <w:szCs w:val="16"/>
              </w:rPr>
              <w:t>23,059,555</w:t>
            </w:r>
          </w:p>
        </w:tc>
        <w:tc>
          <w:tcPr>
            <w:tcW w:w="350" w:type="pct"/>
            <w:shd w:val="clear" w:color="auto" w:fill="FFFFFF"/>
            <w:vAlign w:val="bottom"/>
            <w:hideMark/>
          </w:tcPr>
          <w:p w14:paraId="2F3ED908" w14:textId="77777777" w:rsidR="00000000" w:rsidRDefault="0053651E">
            <w:pPr>
              <w:jc w:val="right"/>
              <w:rPr>
                <w:rFonts w:eastAsia="Times New Roman"/>
                <w:sz w:val="16"/>
                <w:szCs w:val="16"/>
              </w:rPr>
            </w:pPr>
            <w:r>
              <w:rPr>
                <w:rStyle w:val="a6"/>
                <w:rFonts w:eastAsia="Times New Roman"/>
                <w:i w:val="0"/>
                <w:iCs w:val="0"/>
                <w:sz w:val="16"/>
                <w:szCs w:val="16"/>
              </w:rPr>
              <w:t>29,782,912</w:t>
            </w:r>
          </w:p>
        </w:tc>
        <w:tc>
          <w:tcPr>
            <w:tcW w:w="400" w:type="pct"/>
            <w:shd w:val="clear" w:color="auto" w:fill="FFFFFF"/>
            <w:vAlign w:val="bottom"/>
            <w:hideMark/>
          </w:tcPr>
          <w:p w14:paraId="1918DA68" w14:textId="77777777" w:rsidR="00000000" w:rsidRDefault="0053651E">
            <w:pPr>
              <w:jc w:val="right"/>
              <w:rPr>
                <w:rFonts w:eastAsia="Times New Roman"/>
                <w:sz w:val="16"/>
                <w:szCs w:val="16"/>
              </w:rPr>
            </w:pPr>
            <w:r>
              <w:rPr>
                <w:rStyle w:val="a6"/>
                <w:rFonts w:eastAsia="Times New Roman"/>
                <w:i w:val="0"/>
                <w:iCs w:val="0"/>
                <w:sz w:val="16"/>
                <w:szCs w:val="16"/>
              </w:rPr>
              <w:t>4,363,874</w:t>
            </w:r>
          </w:p>
        </w:tc>
        <w:tc>
          <w:tcPr>
            <w:tcW w:w="50" w:type="pct"/>
            <w:shd w:val="clear" w:color="auto" w:fill="FFFFFF"/>
            <w:vAlign w:val="bottom"/>
            <w:hideMark/>
          </w:tcPr>
          <w:p w14:paraId="697F7AB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A94458D" w14:textId="77777777" w:rsidR="00000000" w:rsidRDefault="0053651E">
            <w:pPr>
              <w:jc w:val="right"/>
              <w:rPr>
                <w:rFonts w:eastAsia="Times New Roman"/>
                <w:sz w:val="16"/>
                <w:szCs w:val="16"/>
              </w:rPr>
            </w:pPr>
            <w:r>
              <w:rPr>
                <w:rStyle w:val="a6"/>
                <w:rFonts w:eastAsia="Times New Roman"/>
                <w:i w:val="0"/>
                <w:iCs w:val="0"/>
                <w:sz w:val="16"/>
                <w:szCs w:val="16"/>
              </w:rPr>
              <w:t>25,419,038</w:t>
            </w:r>
          </w:p>
        </w:tc>
        <w:tc>
          <w:tcPr>
            <w:tcW w:w="50" w:type="pct"/>
            <w:shd w:val="clear" w:color="auto" w:fill="FFFFFF"/>
            <w:vAlign w:val="bottom"/>
            <w:hideMark/>
          </w:tcPr>
          <w:p w14:paraId="053D287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646027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16D99A00"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64B0F942" w14:textId="77777777">
        <w:trPr>
          <w:tblCellSpacing w:w="0" w:type="dxa"/>
        </w:trPr>
        <w:tc>
          <w:tcPr>
            <w:tcW w:w="50" w:type="pct"/>
            <w:shd w:val="clear" w:color="auto" w:fill="CCEEFF"/>
            <w:vAlign w:val="bottom"/>
            <w:hideMark/>
          </w:tcPr>
          <w:p w14:paraId="5124709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E00ED5B" w14:textId="77777777" w:rsidR="00000000" w:rsidRDefault="0053651E">
            <w:pPr>
              <w:pStyle w:val="a3"/>
              <w:spacing w:before="0" w:beforeAutospacing="0" w:after="0" w:afterAutospacing="0"/>
              <w:rPr>
                <w:sz w:val="16"/>
                <w:szCs w:val="16"/>
              </w:rPr>
            </w:pPr>
            <w:r>
              <w:rPr>
                <w:rStyle w:val="a6"/>
                <w:i w:val="0"/>
                <w:iCs w:val="0"/>
                <w:sz w:val="16"/>
                <w:szCs w:val="16"/>
              </w:rPr>
              <w:t>COPPERWOOD VILLAGE</w:t>
            </w:r>
          </w:p>
        </w:tc>
        <w:tc>
          <w:tcPr>
            <w:tcW w:w="150" w:type="pct"/>
            <w:shd w:val="clear" w:color="auto" w:fill="CCEEFF"/>
            <w:vAlign w:val="bottom"/>
            <w:hideMark/>
          </w:tcPr>
          <w:p w14:paraId="049EB05A"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56E01C93" w14:textId="77777777" w:rsidR="00000000" w:rsidRDefault="0053651E">
            <w:pPr>
              <w:jc w:val="right"/>
              <w:rPr>
                <w:rFonts w:eastAsia="Times New Roman"/>
                <w:sz w:val="16"/>
                <w:szCs w:val="16"/>
              </w:rPr>
            </w:pPr>
            <w:r>
              <w:rPr>
                <w:rStyle w:val="a6"/>
                <w:rFonts w:eastAsia="Times New Roman"/>
                <w:i w:val="0"/>
                <w:iCs w:val="0"/>
                <w:sz w:val="16"/>
                <w:szCs w:val="16"/>
              </w:rPr>
              <w:t>13,848,109</w:t>
            </w:r>
          </w:p>
        </w:tc>
        <w:tc>
          <w:tcPr>
            <w:tcW w:w="550" w:type="pct"/>
            <w:shd w:val="clear" w:color="auto" w:fill="CCEEFF"/>
            <w:vAlign w:val="bottom"/>
            <w:hideMark/>
          </w:tcPr>
          <w:p w14:paraId="6EB50FDD" w14:textId="77777777" w:rsidR="00000000" w:rsidRDefault="0053651E">
            <w:pPr>
              <w:jc w:val="right"/>
              <w:rPr>
                <w:rFonts w:eastAsia="Times New Roman"/>
                <w:sz w:val="16"/>
                <w:szCs w:val="16"/>
              </w:rPr>
            </w:pPr>
            <w:r>
              <w:rPr>
                <w:rStyle w:val="a6"/>
                <w:rFonts w:eastAsia="Times New Roman"/>
                <w:i w:val="0"/>
                <w:iCs w:val="0"/>
                <w:sz w:val="16"/>
                <w:szCs w:val="16"/>
              </w:rPr>
              <w:t>84,183,731</w:t>
            </w:r>
          </w:p>
        </w:tc>
        <w:tc>
          <w:tcPr>
            <w:tcW w:w="350" w:type="pct"/>
            <w:shd w:val="clear" w:color="auto" w:fill="CCEEFF"/>
            <w:vAlign w:val="bottom"/>
            <w:hideMark/>
          </w:tcPr>
          <w:p w14:paraId="332E70AC" w14:textId="77777777" w:rsidR="00000000" w:rsidRDefault="0053651E">
            <w:pPr>
              <w:jc w:val="right"/>
              <w:rPr>
                <w:rFonts w:eastAsia="Times New Roman"/>
                <w:sz w:val="16"/>
                <w:szCs w:val="16"/>
              </w:rPr>
            </w:pPr>
            <w:r>
              <w:rPr>
                <w:rStyle w:val="a6"/>
                <w:rFonts w:eastAsia="Times New Roman"/>
                <w:i w:val="0"/>
                <w:iCs w:val="0"/>
                <w:sz w:val="16"/>
                <w:szCs w:val="16"/>
              </w:rPr>
              <w:t>2,426,984</w:t>
            </w:r>
          </w:p>
        </w:tc>
        <w:tc>
          <w:tcPr>
            <w:tcW w:w="300" w:type="pct"/>
            <w:shd w:val="clear" w:color="auto" w:fill="CCEEFF"/>
            <w:vAlign w:val="bottom"/>
            <w:hideMark/>
          </w:tcPr>
          <w:p w14:paraId="17A532CE" w14:textId="77777777" w:rsidR="00000000" w:rsidRDefault="0053651E">
            <w:pPr>
              <w:jc w:val="right"/>
              <w:rPr>
                <w:rFonts w:eastAsia="Times New Roman"/>
                <w:sz w:val="16"/>
                <w:szCs w:val="16"/>
              </w:rPr>
            </w:pPr>
            <w:r>
              <w:rPr>
                <w:rStyle w:val="a6"/>
                <w:rFonts w:eastAsia="Times New Roman"/>
                <w:i w:val="0"/>
                <w:iCs w:val="0"/>
                <w:sz w:val="16"/>
                <w:szCs w:val="16"/>
              </w:rPr>
              <w:t>13,848,109</w:t>
            </w:r>
          </w:p>
        </w:tc>
        <w:tc>
          <w:tcPr>
            <w:tcW w:w="450" w:type="pct"/>
            <w:shd w:val="clear" w:color="auto" w:fill="CCEEFF"/>
            <w:vAlign w:val="bottom"/>
            <w:hideMark/>
          </w:tcPr>
          <w:p w14:paraId="379AC4C8" w14:textId="77777777" w:rsidR="00000000" w:rsidRDefault="0053651E">
            <w:pPr>
              <w:jc w:val="right"/>
              <w:rPr>
                <w:rFonts w:eastAsia="Times New Roman"/>
                <w:sz w:val="16"/>
                <w:szCs w:val="16"/>
              </w:rPr>
            </w:pPr>
            <w:r>
              <w:rPr>
                <w:rStyle w:val="a6"/>
                <w:rFonts w:eastAsia="Times New Roman"/>
                <w:i w:val="0"/>
                <w:iCs w:val="0"/>
                <w:sz w:val="16"/>
                <w:szCs w:val="16"/>
              </w:rPr>
              <w:t>86,610,715</w:t>
            </w:r>
          </w:p>
        </w:tc>
        <w:tc>
          <w:tcPr>
            <w:tcW w:w="350" w:type="pct"/>
            <w:shd w:val="clear" w:color="auto" w:fill="CCEEFF"/>
            <w:vAlign w:val="bottom"/>
            <w:hideMark/>
          </w:tcPr>
          <w:p w14:paraId="477BEC1F" w14:textId="77777777" w:rsidR="00000000" w:rsidRDefault="0053651E">
            <w:pPr>
              <w:jc w:val="right"/>
              <w:rPr>
                <w:rFonts w:eastAsia="Times New Roman"/>
                <w:sz w:val="16"/>
                <w:szCs w:val="16"/>
              </w:rPr>
            </w:pPr>
            <w:r>
              <w:rPr>
                <w:rStyle w:val="a6"/>
                <w:rFonts w:eastAsia="Times New Roman"/>
                <w:i w:val="0"/>
                <w:iCs w:val="0"/>
                <w:sz w:val="16"/>
                <w:szCs w:val="16"/>
              </w:rPr>
              <w:t>100,458,824</w:t>
            </w:r>
          </w:p>
        </w:tc>
        <w:tc>
          <w:tcPr>
            <w:tcW w:w="400" w:type="pct"/>
            <w:shd w:val="clear" w:color="auto" w:fill="CCEEFF"/>
            <w:vAlign w:val="bottom"/>
            <w:hideMark/>
          </w:tcPr>
          <w:p w14:paraId="781E3554" w14:textId="77777777" w:rsidR="00000000" w:rsidRDefault="0053651E">
            <w:pPr>
              <w:jc w:val="right"/>
              <w:rPr>
                <w:rFonts w:eastAsia="Times New Roman"/>
                <w:sz w:val="16"/>
                <w:szCs w:val="16"/>
              </w:rPr>
            </w:pPr>
            <w:r>
              <w:rPr>
                <w:rStyle w:val="a6"/>
                <w:rFonts w:eastAsia="Times New Roman"/>
                <w:i w:val="0"/>
                <w:iCs w:val="0"/>
                <w:sz w:val="16"/>
                <w:szCs w:val="16"/>
              </w:rPr>
              <w:t>15,800,229</w:t>
            </w:r>
          </w:p>
        </w:tc>
        <w:tc>
          <w:tcPr>
            <w:tcW w:w="50" w:type="pct"/>
            <w:shd w:val="clear" w:color="auto" w:fill="CCEEFF"/>
            <w:vAlign w:val="bottom"/>
            <w:hideMark/>
          </w:tcPr>
          <w:p w14:paraId="39F0D01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66B4CC8" w14:textId="77777777" w:rsidR="00000000" w:rsidRDefault="0053651E">
            <w:pPr>
              <w:jc w:val="right"/>
              <w:rPr>
                <w:rFonts w:eastAsia="Times New Roman"/>
                <w:sz w:val="16"/>
                <w:szCs w:val="16"/>
              </w:rPr>
            </w:pPr>
            <w:r>
              <w:rPr>
                <w:rStyle w:val="a6"/>
                <w:rFonts w:eastAsia="Times New Roman"/>
                <w:i w:val="0"/>
                <w:iCs w:val="0"/>
                <w:sz w:val="16"/>
                <w:szCs w:val="16"/>
              </w:rPr>
              <w:t>84,658,595</w:t>
            </w:r>
          </w:p>
        </w:tc>
        <w:tc>
          <w:tcPr>
            <w:tcW w:w="50" w:type="pct"/>
            <w:shd w:val="clear" w:color="auto" w:fill="CCEEFF"/>
            <w:vAlign w:val="bottom"/>
            <w:hideMark/>
          </w:tcPr>
          <w:p w14:paraId="3D6D735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AEFA76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6F5F47B"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7526361A" w14:textId="77777777">
        <w:trPr>
          <w:tblCellSpacing w:w="0" w:type="dxa"/>
        </w:trPr>
        <w:tc>
          <w:tcPr>
            <w:tcW w:w="50" w:type="pct"/>
            <w:shd w:val="clear" w:color="auto" w:fill="FFFFFF"/>
            <w:vAlign w:val="bottom"/>
            <w:hideMark/>
          </w:tcPr>
          <w:p w14:paraId="74574C5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419817F" w14:textId="77777777" w:rsidR="00000000" w:rsidRDefault="0053651E">
            <w:pPr>
              <w:pStyle w:val="a3"/>
              <w:spacing w:before="0" w:beforeAutospacing="0" w:after="0" w:afterAutospacing="0"/>
              <w:rPr>
                <w:sz w:val="16"/>
                <w:szCs w:val="16"/>
              </w:rPr>
            </w:pPr>
            <w:r>
              <w:rPr>
                <w:rStyle w:val="a6"/>
                <w:i w:val="0"/>
                <w:iCs w:val="0"/>
                <w:sz w:val="16"/>
                <w:szCs w:val="16"/>
              </w:rPr>
              <w:t>ATASCOCITA COMMONS SHOP.CTR.</w:t>
            </w:r>
          </w:p>
        </w:tc>
        <w:tc>
          <w:tcPr>
            <w:tcW w:w="150" w:type="pct"/>
            <w:shd w:val="clear" w:color="auto" w:fill="FFFFFF"/>
            <w:vAlign w:val="bottom"/>
            <w:hideMark/>
          </w:tcPr>
          <w:p w14:paraId="7189CCC3"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4E8136B2" w14:textId="77777777" w:rsidR="00000000" w:rsidRDefault="0053651E">
            <w:pPr>
              <w:jc w:val="right"/>
              <w:rPr>
                <w:rFonts w:eastAsia="Times New Roman"/>
                <w:sz w:val="16"/>
                <w:szCs w:val="16"/>
              </w:rPr>
            </w:pPr>
            <w:r>
              <w:rPr>
                <w:rStyle w:val="a6"/>
                <w:rFonts w:eastAsia="Times New Roman"/>
                <w:i w:val="0"/>
                <w:iCs w:val="0"/>
                <w:sz w:val="16"/>
                <w:szCs w:val="16"/>
              </w:rPr>
              <w:t>16,322,636</w:t>
            </w:r>
          </w:p>
        </w:tc>
        <w:tc>
          <w:tcPr>
            <w:tcW w:w="550" w:type="pct"/>
            <w:shd w:val="clear" w:color="auto" w:fill="FFFFFF"/>
            <w:vAlign w:val="bottom"/>
            <w:hideMark/>
          </w:tcPr>
          <w:p w14:paraId="4E1C2D32" w14:textId="77777777" w:rsidR="00000000" w:rsidRDefault="0053651E">
            <w:pPr>
              <w:jc w:val="right"/>
              <w:rPr>
                <w:rFonts w:eastAsia="Times New Roman"/>
                <w:sz w:val="16"/>
                <w:szCs w:val="16"/>
              </w:rPr>
            </w:pPr>
            <w:r>
              <w:rPr>
                <w:rStyle w:val="a6"/>
                <w:rFonts w:eastAsia="Times New Roman"/>
                <w:i w:val="0"/>
                <w:iCs w:val="0"/>
                <w:sz w:val="16"/>
                <w:szCs w:val="16"/>
              </w:rPr>
              <w:t>54,587,066</w:t>
            </w:r>
          </w:p>
        </w:tc>
        <w:tc>
          <w:tcPr>
            <w:tcW w:w="350" w:type="pct"/>
            <w:shd w:val="clear" w:color="auto" w:fill="FFFFFF"/>
            <w:vAlign w:val="bottom"/>
            <w:hideMark/>
          </w:tcPr>
          <w:p w14:paraId="29FEAB89" w14:textId="77777777" w:rsidR="00000000" w:rsidRDefault="0053651E">
            <w:pPr>
              <w:jc w:val="right"/>
              <w:rPr>
                <w:rFonts w:eastAsia="Times New Roman"/>
                <w:sz w:val="16"/>
                <w:szCs w:val="16"/>
              </w:rPr>
            </w:pPr>
            <w:r>
              <w:rPr>
                <w:rStyle w:val="a6"/>
                <w:rFonts w:eastAsia="Times New Roman"/>
                <w:i w:val="0"/>
                <w:iCs w:val="0"/>
                <w:sz w:val="16"/>
                <w:szCs w:val="16"/>
              </w:rPr>
              <w:t>69,797</w:t>
            </w:r>
          </w:p>
        </w:tc>
        <w:tc>
          <w:tcPr>
            <w:tcW w:w="300" w:type="pct"/>
            <w:shd w:val="clear" w:color="auto" w:fill="FFFFFF"/>
            <w:vAlign w:val="bottom"/>
            <w:hideMark/>
          </w:tcPr>
          <w:p w14:paraId="2A076E7A" w14:textId="77777777" w:rsidR="00000000" w:rsidRDefault="0053651E">
            <w:pPr>
              <w:jc w:val="right"/>
              <w:rPr>
                <w:rFonts w:eastAsia="Times New Roman"/>
                <w:sz w:val="16"/>
                <w:szCs w:val="16"/>
              </w:rPr>
            </w:pPr>
            <w:r>
              <w:rPr>
                <w:rStyle w:val="a6"/>
                <w:rFonts w:eastAsia="Times New Roman"/>
                <w:i w:val="0"/>
                <w:iCs w:val="0"/>
                <w:sz w:val="16"/>
                <w:szCs w:val="16"/>
              </w:rPr>
              <w:t>16,099,004</w:t>
            </w:r>
          </w:p>
        </w:tc>
        <w:tc>
          <w:tcPr>
            <w:tcW w:w="450" w:type="pct"/>
            <w:shd w:val="clear" w:color="auto" w:fill="FFFFFF"/>
            <w:vAlign w:val="bottom"/>
            <w:hideMark/>
          </w:tcPr>
          <w:p w14:paraId="7A2611A3" w14:textId="77777777" w:rsidR="00000000" w:rsidRDefault="0053651E">
            <w:pPr>
              <w:jc w:val="right"/>
              <w:rPr>
                <w:rFonts w:eastAsia="Times New Roman"/>
                <w:sz w:val="16"/>
                <w:szCs w:val="16"/>
              </w:rPr>
            </w:pPr>
            <w:r>
              <w:rPr>
                <w:rStyle w:val="a6"/>
                <w:rFonts w:eastAsia="Times New Roman"/>
                <w:i w:val="0"/>
                <w:iCs w:val="0"/>
                <w:sz w:val="16"/>
                <w:szCs w:val="16"/>
              </w:rPr>
              <w:t>54,880,495</w:t>
            </w:r>
          </w:p>
        </w:tc>
        <w:tc>
          <w:tcPr>
            <w:tcW w:w="350" w:type="pct"/>
            <w:shd w:val="clear" w:color="auto" w:fill="FFFFFF"/>
            <w:vAlign w:val="bottom"/>
            <w:hideMark/>
          </w:tcPr>
          <w:p w14:paraId="217F99D2" w14:textId="77777777" w:rsidR="00000000" w:rsidRDefault="0053651E">
            <w:pPr>
              <w:jc w:val="right"/>
              <w:rPr>
                <w:rFonts w:eastAsia="Times New Roman"/>
                <w:sz w:val="16"/>
                <w:szCs w:val="16"/>
              </w:rPr>
            </w:pPr>
            <w:r>
              <w:rPr>
                <w:rStyle w:val="a6"/>
                <w:rFonts w:eastAsia="Times New Roman"/>
                <w:i w:val="0"/>
                <w:iCs w:val="0"/>
                <w:sz w:val="16"/>
                <w:szCs w:val="16"/>
              </w:rPr>
              <w:t>70,979,499</w:t>
            </w:r>
          </w:p>
        </w:tc>
        <w:tc>
          <w:tcPr>
            <w:tcW w:w="400" w:type="pct"/>
            <w:shd w:val="clear" w:color="auto" w:fill="FFFFFF"/>
            <w:vAlign w:val="bottom"/>
            <w:hideMark/>
          </w:tcPr>
          <w:p w14:paraId="373CCDA7" w14:textId="77777777" w:rsidR="00000000" w:rsidRDefault="0053651E">
            <w:pPr>
              <w:jc w:val="right"/>
              <w:rPr>
                <w:rFonts w:eastAsia="Times New Roman"/>
                <w:sz w:val="16"/>
                <w:szCs w:val="16"/>
              </w:rPr>
            </w:pPr>
            <w:r>
              <w:rPr>
                <w:rStyle w:val="a6"/>
                <w:rFonts w:eastAsia="Times New Roman"/>
                <w:i w:val="0"/>
                <w:iCs w:val="0"/>
                <w:sz w:val="16"/>
                <w:szCs w:val="16"/>
              </w:rPr>
              <w:t>10,294,449</w:t>
            </w:r>
          </w:p>
        </w:tc>
        <w:tc>
          <w:tcPr>
            <w:tcW w:w="50" w:type="pct"/>
            <w:shd w:val="clear" w:color="auto" w:fill="FFFFFF"/>
            <w:vAlign w:val="bottom"/>
            <w:hideMark/>
          </w:tcPr>
          <w:p w14:paraId="32AA5AA2"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C63BFF5" w14:textId="77777777" w:rsidR="00000000" w:rsidRDefault="0053651E">
            <w:pPr>
              <w:jc w:val="right"/>
              <w:rPr>
                <w:rFonts w:eastAsia="Times New Roman"/>
                <w:sz w:val="16"/>
                <w:szCs w:val="16"/>
              </w:rPr>
            </w:pPr>
            <w:r>
              <w:rPr>
                <w:rStyle w:val="a6"/>
                <w:rFonts w:eastAsia="Times New Roman"/>
                <w:i w:val="0"/>
                <w:iCs w:val="0"/>
                <w:sz w:val="16"/>
                <w:szCs w:val="16"/>
              </w:rPr>
              <w:t>60,685,050</w:t>
            </w:r>
          </w:p>
        </w:tc>
        <w:tc>
          <w:tcPr>
            <w:tcW w:w="50" w:type="pct"/>
            <w:shd w:val="clear" w:color="auto" w:fill="FFFFFF"/>
            <w:vAlign w:val="bottom"/>
            <w:hideMark/>
          </w:tcPr>
          <w:p w14:paraId="29C8024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90D3E2D" w14:textId="77777777" w:rsidR="00000000" w:rsidRDefault="0053651E">
            <w:pPr>
              <w:jc w:val="right"/>
              <w:rPr>
                <w:rFonts w:eastAsia="Times New Roman"/>
                <w:sz w:val="16"/>
                <w:szCs w:val="16"/>
              </w:rPr>
            </w:pPr>
            <w:r>
              <w:rPr>
                <w:rStyle w:val="a6"/>
                <w:rFonts w:eastAsia="Times New Roman"/>
                <w:i w:val="0"/>
                <w:iCs w:val="0"/>
                <w:sz w:val="16"/>
                <w:szCs w:val="16"/>
              </w:rPr>
              <w:t>27,437,752</w:t>
            </w:r>
          </w:p>
        </w:tc>
        <w:tc>
          <w:tcPr>
            <w:tcW w:w="500" w:type="pct"/>
            <w:shd w:val="clear" w:color="auto" w:fill="FFFFFF"/>
            <w:vAlign w:val="bottom"/>
            <w:hideMark/>
          </w:tcPr>
          <w:p w14:paraId="0C174E5E"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681B4C89" w14:textId="77777777">
        <w:trPr>
          <w:tblCellSpacing w:w="0" w:type="dxa"/>
        </w:trPr>
        <w:tc>
          <w:tcPr>
            <w:tcW w:w="50" w:type="pct"/>
            <w:shd w:val="clear" w:color="auto" w:fill="CCEEFF"/>
            <w:vAlign w:val="bottom"/>
            <w:hideMark/>
          </w:tcPr>
          <w:p w14:paraId="55F6680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90098D8" w14:textId="77777777" w:rsidR="00000000" w:rsidRDefault="0053651E">
            <w:pPr>
              <w:pStyle w:val="a3"/>
              <w:spacing w:before="0" w:beforeAutospacing="0" w:after="0" w:afterAutospacing="0"/>
              <w:rPr>
                <w:sz w:val="16"/>
                <w:szCs w:val="16"/>
              </w:rPr>
            </w:pPr>
            <w:r>
              <w:rPr>
                <w:rStyle w:val="a6"/>
                <w:i w:val="0"/>
                <w:iCs w:val="0"/>
                <w:sz w:val="16"/>
                <w:szCs w:val="16"/>
              </w:rPr>
              <w:t>TOMBALL CROSSINGS</w:t>
            </w:r>
          </w:p>
        </w:tc>
        <w:tc>
          <w:tcPr>
            <w:tcW w:w="150" w:type="pct"/>
            <w:shd w:val="clear" w:color="auto" w:fill="CCEEFF"/>
            <w:vAlign w:val="bottom"/>
            <w:hideMark/>
          </w:tcPr>
          <w:p w14:paraId="56F4964C"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0036B6CF" w14:textId="77777777" w:rsidR="00000000" w:rsidRDefault="0053651E">
            <w:pPr>
              <w:jc w:val="right"/>
              <w:rPr>
                <w:rFonts w:eastAsia="Times New Roman"/>
                <w:sz w:val="16"/>
                <w:szCs w:val="16"/>
              </w:rPr>
            </w:pPr>
            <w:r>
              <w:rPr>
                <w:rStyle w:val="a6"/>
                <w:rFonts w:eastAsia="Times New Roman"/>
                <w:i w:val="0"/>
                <w:iCs w:val="0"/>
                <w:sz w:val="16"/>
                <w:szCs w:val="16"/>
              </w:rPr>
              <w:t>8,517,427</w:t>
            </w:r>
          </w:p>
        </w:tc>
        <w:tc>
          <w:tcPr>
            <w:tcW w:w="550" w:type="pct"/>
            <w:shd w:val="clear" w:color="auto" w:fill="CCEEFF"/>
            <w:vAlign w:val="bottom"/>
            <w:hideMark/>
          </w:tcPr>
          <w:p w14:paraId="4E0FC478" w14:textId="77777777" w:rsidR="00000000" w:rsidRDefault="0053651E">
            <w:pPr>
              <w:jc w:val="right"/>
              <w:rPr>
                <w:rFonts w:eastAsia="Times New Roman"/>
                <w:sz w:val="16"/>
                <w:szCs w:val="16"/>
              </w:rPr>
            </w:pPr>
            <w:r>
              <w:rPr>
                <w:rStyle w:val="a6"/>
                <w:rFonts w:eastAsia="Times New Roman"/>
                <w:i w:val="0"/>
                <w:iCs w:val="0"/>
                <w:sz w:val="16"/>
                <w:szCs w:val="16"/>
              </w:rPr>
              <w:t>28,484,450</w:t>
            </w:r>
          </w:p>
        </w:tc>
        <w:tc>
          <w:tcPr>
            <w:tcW w:w="350" w:type="pct"/>
            <w:shd w:val="clear" w:color="auto" w:fill="CCEEFF"/>
            <w:vAlign w:val="bottom"/>
            <w:hideMark/>
          </w:tcPr>
          <w:p w14:paraId="4DF0FBF2" w14:textId="77777777" w:rsidR="00000000" w:rsidRDefault="0053651E">
            <w:pPr>
              <w:jc w:val="right"/>
              <w:rPr>
                <w:rFonts w:eastAsia="Times New Roman"/>
                <w:sz w:val="16"/>
                <w:szCs w:val="16"/>
              </w:rPr>
            </w:pPr>
            <w:r>
              <w:rPr>
                <w:rStyle w:val="a6"/>
                <w:rFonts w:eastAsia="Times New Roman"/>
                <w:i w:val="0"/>
                <w:iCs w:val="0"/>
                <w:sz w:val="16"/>
                <w:szCs w:val="16"/>
              </w:rPr>
              <w:t>984,756</w:t>
            </w:r>
          </w:p>
        </w:tc>
        <w:tc>
          <w:tcPr>
            <w:tcW w:w="300" w:type="pct"/>
            <w:shd w:val="clear" w:color="auto" w:fill="CCEEFF"/>
            <w:vAlign w:val="bottom"/>
            <w:hideMark/>
          </w:tcPr>
          <w:p w14:paraId="30FE5EAA" w14:textId="77777777" w:rsidR="00000000" w:rsidRDefault="0053651E">
            <w:pPr>
              <w:jc w:val="right"/>
              <w:rPr>
                <w:rFonts w:eastAsia="Times New Roman"/>
                <w:sz w:val="16"/>
                <w:szCs w:val="16"/>
              </w:rPr>
            </w:pPr>
            <w:r>
              <w:rPr>
                <w:rStyle w:val="a6"/>
                <w:rFonts w:eastAsia="Times New Roman"/>
                <w:i w:val="0"/>
                <w:iCs w:val="0"/>
                <w:sz w:val="16"/>
                <w:szCs w:val="16"/>
              </w:rPr>
              <w:t>7,964,894</w:t>
            </w:r>
          </w:p>
        </w:tc>
        <w:tc>
          <w:tcPr>
            <w:tcW w:w="450" w:type="pct"/>
            <w:shd w:val="clear" w:color="auto" w:fill="CCEEFF"/>
            <w:vAlign w:val="bottom"/>
            <w:hideMark/>
          </w:tcPr>
          <w:p w14:paraId="29825AE1" w14:textId="77777777" w:rsidR="00000000" w:rsidRDefault="0053651E">
            <w:pPr>
              <w:jc w:val="right"/>
              <w:rPr>
                <w:rFonts w:eastAsia="Times New Roman"/>
                <w:sz w:val="16"/>
                <w:szCs w:val="16"/>
              </w:rPr>
            </w:pPr>
            <w:r>
              <w:rPr>
                <w:rStyle w:val="a6"/>
                <w:rFonts w:eastAsia="Times New Roman"/>
                <w:i w:val="0"/>
                <w:iCs w:val="0"/>
                <w:sz w:val="16"/>
                <w:szCs w:val="16"/>
              </w:rPr>
              <w:t>30,021,739</w:t>
            </w:r>
          </w:p>
        </w:tc>
        <w:tc>
          <w:tcPr>
            <w:tcW w:w="350" w:type="pct"/>
            <w:shd w:val="clear" w:color="auto" w:fill="CCEEFF"/>
            <w:vAlign w:val="bottom"/>
            <w:hideMark/>
          </w:tcPr>
          <w:p w14:paraId="08E52948" w14:textId="77777777" w:rsidR="00000000" w:rsidRDefault="0053651E">
            <w:pPr>
              <w:jc w:val="right"/>
              <w:rPr>
                <w:rFonts w:eastAsia="Times New Roman"/>
                <w:sz w:val="16"/>
                <w:szCs w:val="16"/>
              </w:rPr>
            </w:pPr>
            <w:r>
              <w:rPr>
                <w:rStyle w:val="a6"/>
                <w:rFonts w:eastAsia="Times New Roman"/>
                <w:i w:val="0"/>
                <w:iCs w:val="0"/>
                <w:sz w:val="16"/>
                <w:szCs w:val="16"/>
              </w:rPr>
              <w:t>37,986,633</w:t>
            </w:r>
          </w:p>
        </w:tc>
        <w:tc>
          <w:tcPr>
            <w:tcW w:w="400" w:type="pct"/>
            <w:shd w:val="clear" w:color="auto" w:fill="CCEEFF"/>
            <w:vAlign w:val="bottom"/>
            <w:hideMark/>
          </w:tcPr>
          <w:p w14:paraId="5A6D63D4" w14:textId="77777777" w:rsidR="00000000" w:rsidRDefault="0053651E">
            <w:pPr>
              <w:jc w:val="right"/>
              <w:rPr>
                <w:rFonts w:eastAsia="Times New Roman"/>
                <w:sz w:val="16"/>
                <w:szCs w:val="16"/>
              </w:rPr>
            </w:pPr>
            <w:r>
              <w:rPr>
                <w:rStyle w:val="a6"/>
                <w:rFonts w:eastAsia="Times New Roman"/>
                <w:i w:val="0"/>
                <w:iCs w:val="0"/>
                <w:sz w:val="16"/>
                <w:szCs w:val="16"/>
              </w:rPr>
              <w:t>5,662,946</w:t>
            </w:r>
          </w:p>
        </w:tc>
        <w:tc>
          <w:tcPr>
            <w:tcW w:w="50" w:type="pct"/>
            <w:shd w:val="clear" w:color="auto" w:fill="CCEEFF"/>
            <w:vAlign w:val="bottom"/>
            <w:hideMark/>
          </w:tcPr>
          <w:p w14:paraId="319BB07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CCD3652" w14:textId="77777777" w:rsidR="00000000" w:rsidRDefault="0053651E">
            <w:pPr>
              <w:jc w:val="right"/>
              <w:rPr>
                <w:rFonts w:eastAsia="Times New Roman"/>
                <w:sz w:val="16"/>
                <w:szCs w:val="16"/>
              </w:rPr>
            </w:pPr>
            <w:r>
              <w:rPr>
                <w:rStyle w:val="a6"/>
                <w:rFonts w:eastAsia="Times New Roman"/>
                <w:i w:val="0"/>
                <w:iCs w:val="0"/>
                <w:sz w:val="16"/>
                <w:szCs w:val="16"/>
              </w:rPr>
              <w:t>32,323,687</w:t>
            </w:r>
          </w:p>
        </w:tc>
        <w:tc>
          <w:tcPr>
            <w:tcW w:w="50" w:type="pct"/>
            <w:shd w:val="clear" w:color="auto" w:fill="CCEEFF"/>
            <w:vAlign w:val="bottom"/>
            <w:hideMark/>
          </w:tcPr>
          <w:p w14:paraId="27A9BC0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59E78DC"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1B8F6B7D"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6216E5ED" w14:textId="77777777">
        <w:trPr>
          <w:tblCellSpacing w:w="0" w:type="dxa"/>
        </w:trPr>
        <w:tc>
          <w:tcPr>
            <w:tcW w:w="50" w:type="pct"/>
            <w:shd w:val="clear" w:color="auto" w:fill="FFFFFF"/>
            <w:vAlign w:val="bottom"/>
            <w:hideMark/>
          </w:tcPr>
          <w:p w14:paraId="7A54117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62ED914" w14:textId="77777777" w:rsidR="00000000" w:rsidRDefault="0053651E">
            <w:pPr>
              <w:pStyle w:val="a3"/>
              <w:spacing w:before="0" w:beforeAutospacing="0" w:after="0" w:afterAutospacing="0"/>
              <w:rPr>
                <w:sz w:val="16"/>
                <w:szCs w:val="16"/>
              </w:rPr>
            </w:pPr>
            <w:r>
              <w:rPr>
                <w:rStyle w:val="a6"/>
                <w:i w:val="0"/>
                <w:iCs w:val="0"/>
                <w:sz w:val="16"/>
                <w:szCs w:val="16"/>
              </w:rPr>
              <w:t>COPPERFIELD VILLAGE SHOP.CTR.</w:t>
            </w:r>
          </w:p>
        </w:tc>
        <w:tc>
          <w:tcPr>
            <w:tcW w:w="150" w:type="pct"/>
            <w:shd w:val="clear" w:color="auto" w:fill="FFFFFF"/>
            <w:vAlign w:val="bottom"/>
            <w:hideMark/>
          </w:tcPr>
          <w:p w14:paraId="4E4A7575"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1988F541" w14:textId="77777777" w:rsidR="00000000" w:rsidRDefault="0053651E">
            <w:pPr>
              <w:jc w:val="right"/>
              <w:rPr>
                <w:rFonts w:eastAsia="Times New Roman"/>
                <w:sz w:val="16"/>
                <w:szCs w:val="16"/>
              </w:rPr>
            </w:pPr>
            <w:r>
              <w:rPr>
                <w:rStyle w:val="a6"/>
                <w:rFonts w:eastAsia="Times New Roman"/>
                <w:i w:val="0"/>
                <w:iCs w:val="0"/>
                <w:sz w:val="16"/>
                <w:szCs w:val="16"/>
              </w:rPr>
              <w:t>7,827,639</w:t>
            </w:r>
          </w:p>
        </w:tc>
        <w:tc>
          <w:tcPr>
            <w:tcW w:w="550" w:type="pct"/>
            <w:shd w:val="clear" w:color="auto" w:fill="FFFFFF"/>
            <w:vAlign w:val="bottom"/>
            <w:hideMark/>
          </w:tcPr>
          <w:p w14:paraId="363579BC" w14:textId="77777777" w:rsidR="00000000" w:rsidRDefault="0053651E">
            <w:pPr>
              <w:jc w:val="right"/>
              <w:rPr>
                <w:rFonts w:eastAsia="Times New Roman"/>
                <w:sz w:val="16"/>
                <w:szCs w:val="16"/>
              </w:rPr>
            </w:pPr>
            <w:r>
              <w:rPr>
                <w:rStyle w:val="a6"/>
                <w:rFonts w:eastAsia="Times New Roman"/>
                <w:i w:val="0"/>
                <w:iCs w:val="0"/>
                <w:sz w:val="16"/>
                <w:szCs w:val="16"/>
              </w:rPr>
              <w:t>34,864,441</w:t>
            </w:r>
          </w:p>
        </w:tc>
        <w:tc>
          <w:tcPr>
            <w:tcW w:w="350" w:type="pct"/>
            <w:shd w:val="clear" w:color="auto" w:fill="FFFFFF"/>
            <w:vAlign w:val="bottom"/>
            <w:hideMark/>
          </w:tcPr>
          <w:p w14:paraId="3C8BE0D6" w14:textId="77777777" w:rsidR="00000000" w:rsidRDefault="0053651E">
            <w:pPr>
              <w:jc w:val="right"/>
              <w:rPr>
                <w:rFonts w:eastAsia="Times New Roman"/>
                <w:sz w:val="16"/>
                <w:szCs w:val="16"/>
              </w:rPr>
            </w:pPr>
            <w:r>
              <w:rPr>
                <w:rStyle w:val="a6"/>
                <w:rFonts w:eastAsia="Times New Roman"/>
                <w:i w:val="0"/>
                <w:iCs w:val="0"/>
                <w:sz w:val="16"/>
                <w:szCs w:val="16"/>
              </w:rPr>
              <w:t>559,127</w:t>
            </w:r>
          </w:p>
        </w:tc>
        <w:tc>
          <w:tcPr>
            <w:tcW w:w="300" w:type="pct"/>
            <w:shd w:val="clear" w:color="auto" w:fill="FFFFFF"/>
            <w:vAlign w:val="bottom"/>
            <w:hideMark/>
          </w:tcPr>
          <w:p w14:paraId="5D3D4CC7" w14:textId="77777777" w:rsidR="00000000" w:rsidRDefault="0053651E">
            <w:pPr>
              <w:jc w:val="right"/>
              <w:rPr>
                <w:rFonts w:eastAsia="Times New Roman"/>
                <w:sz w:val="16"/>
                <w:szCs w:val="16"/>
              </w:rPr>
            </w:pPr>
            <w:r>
              <w:rPr>
                <w:rStyle w:val="a6"/>
                <w:rFonts w:eastAsia="Times New Roman"/>
                <w:i w:val="0"/>
                <w:iCs w:val="0"/>
                <w:sz w:val="16"/>
                <w:szCs w:val="16"/>
              </w:rPr>
              <w:t>7,827,639</w:t>
            </w:r>
          </w:p>
        </w:tc>
        <w:tc>
          <w:tcPr>
            <w:tcW w:w="450" w:type="pct"/>
            <w:shd w:val="clear" w:color="auto" w:fill="FFFFFF"/>
            <w:vAlign w:val="bottom"/>
            <w:hideMark/>
          </w:tcPr>
          <w:p w14:paraId="13B762BC" w14:textId="77777777" w:rsidR="00000000" w:rsidRDefault="0053651E">
            <w:pPr>
              <w:jc w:val="right"/>
              <w:rPr>
                <w:rFonts w:eastAsia="Times New Roman"/>
                <w:sz w:val="16"/>
                <w:szCs w:val="16"/>
              </w:rPr>
            </w:pPr>
            <w:r>
              <w:rPr>
                <w:rStyle w:val="a6"/>
                <w:rFonts w:eastAsia="Times New Roman"/>
                <w:i w:val="0"/>
                <w:iCs w:val="0"/>
                <w:sz w:val="16"/>
                <w:szCs w:val="16"/>
              </w:rPr>
              <w:t>35,423,568</w:t>
            </w:r>
          </w:p>
        </w:tc>
        <w:tc>
          <w:tcPr>
            <w:tcW w:w="350" w:type="pct"/>
            <w:shd w:val="clear" w:color="auto" w:fill="FFFFFF"/>
            <w:vAlign w:val="bottom"/>
            <w:hideMark/>
          </w:tcPr>
          <w:p w14:paraId="7D53841C" w14:textId="77777777" w:rsidR="00000000" w:rsidRDefault="0053651E">
            <w:pPr>
              <w:jc w:val="right"/>
              <w:rPr>
                <w:rFonts w:eastAsia="Times New Roman"/>
                <w:sz w:val="16"/>
                <w:szCs w:val="16"/>
              </w:rPr>
            </w:pPr>
            <w:r>
              <w:rPr>
                <w:rStyle w:val="a6"/>
                <w:rFonts w:eastAsia="Times New Roman"/>
                <w:i w:val="0"/>
                <w:iCs w:val="0"/>
                <w:sz w:val="16"/>
                <w:szCs w:val="16"/>
              </w:rPr>
              <w:t>43,251,207</w:t>
            </w:r>
          </w:p>
        </w:tc>
        <w:tc>
          <w:tcPr>
            <w:tcW w:w="400" w:type="pct"/>
            <w:shd w:val="clear" w:color="auto" w:fill="FFFFFF"/>
            <w:vAlign w:val="bottom"/>
            <w:hideMark/>
          </w:tcPr>
          <w:p w14:paraId="080020C2" w14:textId="77777777" w:rsidR="00000000" w:rsidRDefault="0053651E">
            <w:pPr>
              <w:jc w:val="right"/>
              <w:rPr>
                <w:rFonts w:eastAsia="Times New Roman"/>
                <w:sz w:val="16"/>
                <w:szCs w:val="16"/>
              </w:rPr>
            </w:pPr>
            <w:r>
              <w:rPr>
                <w:rStyle w:val="a6"/>
                <w:rFonts w:eastAsia="Times New Roman"/>
                <w:i w:val="0"/>
                <w:iCs w:val="0"/>
                <w:sz w:val="16"/>
                <w:szCs w:val="16"/>
              </w:rPr>
              <w:t>6,027,248</w:t>
            </w:r>
          </w:p>
        </w:tc>
        <w:tc>
          <w:tcPr>
            <w:tcW w:w="50" w:type="pct"/>
            <w:shd w:val="clear" w:color="auto" w:fill="FFFFFF"/>
            <w:vAlign w:val="bottom"/>
            <w:hideMark/>
          </w:tcPr>
          <w:p w14:paraId="07F56C4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D468872" w14:textId="77777777" w:rsidR="00000000" w:rsidRDefault="0053651E">
            <w:pPr>
              <w:jc w:val="right"/>
              <w:rPr>
                <w:rFonts w:eastAsia="Times New Roman"/>
                <w:sz w:val="16"/>
                <w:szCs w:val="16"/>
              </w:rPr>
            </w:pPr>
            <w:r>
              <w:rPr>
                <w:rStyle w:val="a6"/>
                <w:rFonts w:eastAsia="Times New Roman"/>
                <w:i w:val="0"/>
                <w:iCs w:val="0"/>
                <w:sz w:val="16"/>
                <w:szCs w:val="16"/>
              </w:rPr>
              <w:t>37,223,959</w:t>
            </w:r>
          </w:p>
        </w:tc>
        <w:tc>
          <w:tcPr>
            <w:tcW w:w="50" w:type="pct"/>
            <w:shd w:val="clear" w:color="auto" w:fill="FFFFFF"/>
            <w:vAlign w:val="bottom"/>
            <w:hideMark/>
          </w:tcPr>
          <w:p w14:paraId="45ED7C4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2C52A7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20FB41C5"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1D027AFF" w14:textId="77777777">
        <w:trPr>
          <w:tblCellSpacing w:w="0" w:type="dxa"/>
        </w:trPr>
        <w:tc>
          <w:tcPr>
            <w:tcW w:w="50" w:type="pct"/>
            <w:shd w:val="clear" w:color="auto" w:fill="CCEEFF"/>
            <w:vAlign w:val="bottom"/>
            <w:hideMark/>
          </w:tcPr>
          <w:p w14:paraId="237F9A4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14D6B54" w14:textId="77777777" w:rsidR="00000000" w:rsidRDefault="0053651E">
            <w:pPr>
              <w:pStyle w:val="a3"/>
              <w:spacing w:before="0" w:beforeAutospacing="0" w:after="0" w:afterAutospacing="0"/>
              <w:rPr>
                <w:sz w:val="16"/>
                <w:szCs w:val="16"/>
              </w:rPr>
            </w:pPr>
            <w:r>
              <w:rPr>
                <w:rStyle w:val="a6"/>
                <w:i w:val="0"/>
                <w:iCs w:val="0"/>
                <w:sz w:val="16"/>
                <w:szCs w:val="16"/>
              </w:rPr>
              <w:t>KROGER PLAZA</w:t>
            </w:r>
          </w:p>
        </w:tc>
        <w:tc>
          <w:tcPr>
            <w:tcW w:w="150" w:type="pct"/>
            <w:shd w:val="clear" w:color="auto" w:fill="CCEEFF"/>
            <w:vAlign w:val="bottom"/>
            <w:hideMark/>
          </w:tcPr>
          <w:p w14:paraId="421B6CCD"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3129D4E8" w14:textId="77777777" w:rsidR="00000000" w:rsidRDefault="0053651E">
            <w:pPr>
              <w:jc w:val="right"/>
              <w:rPr>
                <w:rFonts w:eastAsia="Times New Roman"/>
                <w:sz w:val="16"/>
                <w:szCs w:val="16"/>
              </w:rPr>
            </w:pPr>
            <w:r>
              <w:rPr>
                <w:rStyle w:val="a6"/>
                <w:rFonts w:eastAsia="Times New Roman"/>
                <w:i w:val="0"/>
                <w:iCs w:val="0"/>
                <w:sz w:val="16"/>
                <w:szCs w:val="16"/>
              </w:rPr>
              <w:t>520,340</w:t>
            </w:r>
          </w:p>
        </w:tc>
        <w:tc>
          <w:tcPr>
            <w:tcW w:w="550" w:type="pct"/>
            <w:shd w:val="clear" w:color="auto" w:fill="CCEEFF"/>
            <w:vAlign w:val="bottom"/>
            <w:hideMark/>
          </w:tcPr>
          <w:p w14:paraId="2CD9995B" w14:textId="77777777" w:rsidR="00000000" w:rsidRDefault="0053651E">
            <w:pPr>
              <w:jc w:val="right"/>
              <w:rPr>
                <w:rFonts w:eastAsia="Times New Roman"/>
                <w:sz w:val="16"/>
                <w:szCs w:val="16"/>
              </w:rPr>
            </w:pPr>
            <w:r>
              <w:rPr>
                <w:rStyle w:val="a6"/>
                <w:rFonts w:eastAsia="Times New Roman"/>
                <w:i w:val="0"/>
                <w:iCs w:val="0"/>
                <w:sz w:val="16"/>
                <w:szCs w:val="16"/>
              </w:rPr>
              <w:t>2,081,356</w:t>
            </w:r>
          </w:p>
        </w:tc>
        <w:tc>
          <w:tcPr>
            <w:tcW w:w="350" w:type="pct"/>
            <w:shd w:val="clear" w:color="auto" w:fill="CCEEFF"/>
            <w:vAlign w:val="bottom"/>
            <w:hideMark/>
          </w:tcPr>
          <w:p w14:paraId="32DD0011" w14:textId="77777777" w:rsidR="00000000" w:rsidRDefault="0053651E">
            <w:pPr>
              <w:jc w:val="right"/>
              <w:rPr>
                <w:rFonts w:eastAsia="Times New Roman"/>
                <w:sz w:val="16"/>
                <w:szCs w:val="16"/>
              </w:rPr>
            </w:pPr>
            <w:r>
              <w:rPr>
                <w:rStyle w:val="a6"/>
                <w:rFonts w:eastAsia="Times New Roman"/>
                <w:i w:val="0"/>
                <w:iCs w:val="0"/>
                <w:sz w:val="16"/>
                <w:szCs w:val="16"/>
              </w:rPr>
              <w:t>1,516,222</w:t>
            </w:r>
          </w:p>
        </w:tc>
        <w:tc>
          <w:tcPr>
            <w:tcW w:w="300" w:type="pct"/>
            <w:shd w:val="clear" w:color="auto" w:fill="CCEEFF"/>
            <w:vAlign w:val="bottom"/>
            <w:hideMark/>
          </w:tcPr>
          <w:p w14:paraId="63585501" w14:textId="77777777" w:rsidR="00000000" w:rsidRDefault="0053651E">
            <w:pPr>
              <w:jc w:val="right"/>
              <w:rPr>
                <w:rFonts w:eastAsia="Times New Roman"/>
                <w:sz w:val="16"/>
                <w:szCs w:val="16"/>
              </w:rPr>
            </w:pPr>
            <w:r>
              <w:rPr>
                <w:rStyle w:val="a6"/>
                <w:rFonts w:eastAsia="Times New Roman"/>
                <w:i w:val="0"/>
                <w:iCs w:val="0"/>
                <w:sz w:val="16"/>
                <w:szCs w:val="16"/>
              </w:rPr>
              <w:t>520,340</w:t>
            </w:r>
          </w:p>
        </w:tc>
        <w:tc>
          <w:tcPr>
            <w:tcW w:w="450" w:type="pct"/>
            <w:shd w:val="clear" w:color="auto" w:fill="CCEEFF"/>
            <w:vAlign w:val="bottom"/>
            <w:hideMark/>
          </w:tcPr>
          <w:p w14:paraId="4EC1F67B" w14:textId="77777777" w:rsidR="00000000" w:rsidRDefault="0053651E">
            <w:pPr>
              <w:jc w:val="right"/>
              <w:rPr>
                <w:rFonts w:eastAsia="Times New Roman"/>
                <w:sz w:val="16"/>
                <w:szCs w:val="16"/>
              </w:rPr>
            </w:pPr>
            <w:r>
              <w:rPr>
                <w:rStyle w:val="a6"/>
                <w:rFonts w:eastAsia="Times New Roman"/>
                <w:i w:val="0"/>
                <w:iCs w:val="0"/>
                <w:sz w:val="16"/>
                <w:szCs w:val="16"/>
              </w:rPr>
              <w:t>3,597,578</w:t>
            </w:r>
          </w:p>
        </w:tc>
        <w:tc>
          <w:tcPr>
            <w:tcW w:w="350" w:type="pct"/>
            <w:shd w:val="clear" w:color="auto" w:fill="CCEEFF"/>
            <w:vAlign w:val="bottom"/>
            <w:hideMark/>
          </w:tcPr>
          <w:p w14:paraId="0219B4D7" w14:textId="77777777" w:rsidR="00000000" w:rsidRDefault="0053651E">
            <w:pPr>
              <w:jc w:val="right"/>
              <w:rPr>
                <w:rFonts w:eastAsia="Times New Roman"/>
                <w:sz w:val="16"/>
                <w:szCs w:val="16"/>
              </w:rPr>
            </w:pPr>
            <w:r>
              <w:rPr>
                <w:rStyle w:val="a6"/>
                <w:rFonts w:eastAsia="Times New Roman"/>
                <w:i w:val="0"/>
                <w:iCs w:val="0"/>
                <w:sz w:val="16"/>
                <w:szCs w:val="16"/>
              </w:rPr>
              <w:t>4,117,918</w:t>
            </w:r>
          </w:p>
        </w:tc>
        <w:tc>
          <w:tcPr>
            <w:tcW w:w="400" w:type="pct"/>
            <w:shd w:val="clear" w:color="auto" w:fill="CCEEFF"/>
            <w:vAlign w:val="bottom"/>
            <w:hideMark/>
          </w:tcPr>
          <w:p w14:paraId="2F3B3BA7" w14:textId="77777777" w:rsidR="00000000" w:rsidRDefault="0053651E">
            <w:pPr>
              <w:jc w:val="right"/>
              <w:rPr>
                <w:rFonts w:eastAsia="Times New Roman"/>
                <w:sz w:val="16"/>
                <w:szCs w:val="16"/>
              </w:rPr>
            </w:pPr>
            <w:r>
              <w:rPr>
                <w:rStyle w:val="a6"/>
                <w:rFonts w:eastAsia="Times New Roman"/>
                <w:i w:val="0"/>
                <w:iCs w:val="0"/>
                <w:sz w:val="16"/>
                <w:szCs w:val="16"/>
              </w:rPr>
              <w:t>2,129,182</w:t>
            </w:r>
          </w:p>
        </w:tc>
        <w:tc>
          <w:tcPr>
            <w:tcW w:w="50" w:type="pct"/>
            <w:shd w:val="clear" w:color="auto" w:fill="CCEEFF"/>
            <w:vAlign w:val="bottom"/>
            <w:hideMark/>
          </w:tcPr>
          <w:p w14:paraId="0E6C3B3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92819F2" w14:textId="77777777" w:rsidR="00000000" w:rsidRDefault="0053651E">
            <w:pPr>
              <w:jc w:val="right"/>
              <w:rPr>
                <w:rFonts w:eastAsia="Times New Roman"/>
                <w:sz w:val="16"/>
                <w:szCs w:val="16"/>
              </w:rPr>
            </w:pPr>
            <w:r>
              <w:rPr>
                <w:rStyle w:val="a6"/>
                <w:rFonts w:eastAsia="Times New Roman"/>
                <w:i w:val="0"/>
                <w:iCs w:val="0"/>
                <w:sz w:val="16"/>
                <w:szCs w:val="16"/>
              </w:rPr>
              <w:t>1,988,736</w:t>
            </w:r>
          </w:p>
        </w:tc>
        <w:tc>
          <w:tcPr>
            <w:tcW w:w="50" w:type="pct"/>
            <w:shd w:val="clear" w:color="auto" w:fill="CCEEFF"/>
            <w:vAlign w:val="bottom"/>
            <w:hideMark/>
          </w:tcPr>
          <w:p w14:paraId="427853D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D366EA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C3EB715" w14:textId="77777777" w:rsidR="00000000" w:rsidRDefault="0053651E">
            <w:pPr>
              <w:pStyle w:val="a3"/>
              <w:spacing w:before="0" w:beforeAutospacing="0" w:after="0" w:afterAutospacing="0"/>
              <w:jc w:val="center"/>
              <w:rPr>
                <w:sz w:val="16"/>
                <w:szCs w:val="16"/>
              </w:rPr>
            </w:pPr>
            <w:r>
              <w:rPr>
                <w:rStyle w:val="a6"/>
                <w:i w:val="0"/>
                <w:iCs w:val="0"/>
                <w:sz w:val="16"/>
                <w:szCs w:val="16"/>
              </w:rPr>
              <w:t>1995(A)</w:t>
            </w:r>
          </w:p>
        </w:tc>
      </w:tr>
      <w:tr w:rsidR="00000000" w14:paraId="25782E69" w14:textId="77777777">
        <w:trPr>
          <w:tblCellSpacing w:w="0" w:type="dxa"/>
        </w:trPr>
        <w:tc>
          <w:tcPr>
            <w:tcW w:w="50" w:type="pct"/>
            <w:shd w:val="clear" w:color="auto" w:fill="FFFFFF"/>
            <w:vAlign w:val="bottom"/>
            <w:hideMark/>
          </w:tcPr>
          <w:p w14:paraId="03353E5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CA63254" w14:textId="77777777" w:rsidR="00000000" w:rsidRDefault="0053651E">
            <w:pPr>
              <w:pStyle w:val="a3"/>
              <w:spacing w:before="0" w:beforeAutospacing="0" w:after="0" w:afterAutospacing="0"/>
              <w:rPr>
                <w:sz w:val="16"/>
                <w:szCs w:val="16"/>
              </w:rPr>
            </w:pPr>
            <w:r>
              <w:rPr>
                <w:rStyle w:val="a6"/>
                <w:i w:val="0"/>
                <w:iCs w:val="0"/>
                <w:sz w:val="16"/>
                <w:szCs w:val="16"/>
              </w:rPr>
              <w:t>ACCENT PLAZA</w:t>
            </w:r>
          </w:p>
        </w:tc>
        <w:tc>
          <w:tcPr>
            <w:tcW w:w="150" w:type="pct"/>
            <w:shd w:val="clear" w:color="auto" w:fill="FFFFFF"/>
            <w:vAlign w:val="bottom"/>
            <w:hideMark/>
          </w:tcPr>
          <w:p w14:paraId="7EE5915D"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48068D41" w14:textId="77777777" w:rsidR="00000000" w:rsidRDefault="0053651E">
            <w:pPr>
              <w:jc w:val="right"/>
              <w:rPr>
                <w:rFonts w:eastAsia="Times New Roman"/>
                <w:sz w:val="16"/>
                <w:szCs w:val="16"/>
              </w:rPr>
            </w:pPr>
            <w:r>
              <w:rPr>
                <w:rStyle w:val="a6"/>
                <w:rFonts w:eastAsia="Times New Roman"/>
                <w:i w:val="0"/>
                <w:iCs w:val="0"/>
                <w:sz w:val="16"/>
                <w:szCs w:val="16"/>
              </w:rPr>
              <w:t>500,414</w:t>
            </w:r>
          </w:p>
        </w:tc>
        <w:tc>
          <w:tcPr>
            <w:tcW w:w="550" w:type="pct"/>
            <w:shd w:val="clear" w:color="auto" w:fill="FFFFFF"/>
            <w:vAlign w:val="bottom"/>
            <w:hideMark/>
          </w:tcPr>
          <w:p w14:paraId="3E65C2D1" w14:textId="77777777" w:rsidR="00000000" w:rsidRDefault="0053651E">
            <w:pPr>
              <w:jc w:val="right"/>
              <w:rPr>
                <w:rFonts w:eastAsia="Times New Roman"/>
                <w:sz w:val="16"/>
                <w:szCs w:val="16"/>
              </w:rPr>
            </w:pPr>
            <w:r>
              <w:rPr>
                <w:rStyle w:val="a6"/>
                <w:rFonts w:eastAsia="Times New Roman"/>
                <w:i w:val="0"/>
                <w:iCs w:val="0"/>
                <w:sz w:val="16"/>
                <w:szCs w:val="16"/>
              </w:rPr>
              <w:t>2,830,835</w:t>
            </w:r>
          </w:p>
        </w:tc>
        <w:tc>
          <w:tcPr>
            <w:tcW w:w="350" w:type="pct"/>
            <w:shd w:val="clear" w:color="auto" w:fill="FFFFFF"/>
            <w:vAlign w:val="bottom"/>
            <w:hideMark/>
          </w:tcPr>
          <w:p w14:paraId="60EF9B5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00" w:type="pct"/>
            <w:shd w:val="clear" w:color="auto" w:fill="FFFFFF"/>
            <w:vAlign w:val="bottom"/>
            <w:hideMark/>
          </w:tcPr>
          <w:p w14:paraId="632793D9" w14:textId="77777777" w:rsidR="00000000" w:rsidRDefault="0053651E">
            <w:pPr>
              <w:jc w:val="right"/>
              <w:rPr>
                <w:rFonts w:eastAsia="Times New Roman"/>
                <w:sz w:val="16"/>
                <w:szCs w:val="16"/>
              </w:rPr>
            </w:pPr>
            <w:r>
              <w:rPr>
                <w:rStyle w:val="a6"/>
                <w:rFonts w:eastAsia="Times New Roman"/>
                <w:i w:val="0"/>
                <w:iCs w:val="0"/>
                <w:sz w:val="16"/>
                <w:szCs w:val="16"/>
              </w:rPr>
              <w:t>500,414</w:t>
            </w:r>
          </w:p>
        </w:tc>
        <w:tc>
          <w:tcPr>
            <w:tcW w:w="450" w:type="pct"/>
            <w:shd w:val="clear" w:color="auto" w:fill="FFFFFF"/>
            <w:vAlign w:val="bottom"/>
            <w:hideMark/>
          </w:tcPr>
          <w:p w14:paraId="005FE8F7" w14:textId="77777777" w:rsidR="00000000" w:rsidRDefault="0053651E">
            <w:pPr>
              <w:jc w:val="right"/>
              <w:rPr>
                <w:rFonts w:eastAsia="Times New Roman"/>
                <w:sz w:val="16"/>
                <w:szCs w:val="16"/>
              </w:rPr>
            </w:pPr>
            <w:r>
              <w:rPr>
                <w:rStyle w:val="a6"/>
                <w:rFonts w:eastAsia="Times New Roman"/>
                <w:i w:val="0"/>
                <w:iCs w:val="0"/>
                <w:sz w:val="16"/>
                <w:szCs w:val="16"/>
              </w:rPr>
              <w:t>2,830,835</w:t>
            </w:r>
          </w:p>
        </w:tc>
        <w:tc>
          <w:tcPr>
            <w:tcW w:w="350" w:type="pct"/>
            <w:shd w:val="clear" w:color="auto" w:fill="FFFFFF"/>
            <w:vAlign w:val="bottom"/>
            <w:hideMark/>
          </w:tcPr>
          <w:p w14:paraId="7A790C3E" w14:textId="77777777" w:rsidR="00000000" w:rsidRDefault="0053651E">
            <w:pPr>
              <w:jc w:val="right"/>
              <w:rPr>
                <w:rFonts w:eastAsia="Times New Roman"/>
                <w:sz w:val="16"/>
                <w:szCs w:val="16"/>
              </w:rPr>
            </w:pPr>
            <w:r>
              <w:rPr>
                <w:rStyle w:val="a6"/>
                <w:rFonts w:eastAsia="Times New Roman"/>
                <w:i w:val="0"/>
                <w:iCs w:val="0"/>
                <w:sz w:val="16"/>
                <w:szCs w:val="16"/>
              </w:rPr>
              <w:t>3,331,249</w:t>
            </w:r>
          </w:p>
        </w:tc>
        <w:tc>
          <w:tcPr>
            <w:tcW w:w="400" w:type="pct"/>
            <w:shd w:val="clear" w:color="auto" w:fill="FFFFFF"/>
            <w:vAlign w:val="bottom"/>
            <w:hideMark/>
          </w:tcPr>
          <w:p w14:paraId="10D78F6D" w14:textId="77777777" w:rsidR="00000000" w:rsidRDefault="0053651E">
            <w:pPr>
              <w:jc w:val="right"/>
              <w:rPr>
                <w:rFonts w:eastAsia="Times New Roman"/>
                <w:sz w:val="16"/>
                <w:szCs w:val="16"/>
              </w:rPr>
            </w:pPr>
            <w:r>
              <w:rPr>
                <w:rStyle w:val="a6"/>
                <w:rFonts w:eastAsia="Times New Roman"/>
                <w:i w:val="0"/>
                <w:iCs w:val="0"/>
                <w:sz w:val="16"/>
                <w:szCs w:val="16"/>
              </w:rPr>
              <w:t>1,682,377</w:t>
            </w:r>
          </w:p>
        </w:tc>
        <w:tc>
          <w:tcPr>
            <w:tcW w:w="50" w:type="pct"/>
            <w:shd w:val="clear" w:color="auto" w:fill="FFFFFF"/>
            <w:vAlign w:val="bottom"/>
            <w:hideMark/>
          </w:tcPr>
          <w:p w14:paraId="38A615D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6A10A16" w14:textId="77777777" w:rsidR="00000000" w:rsidRDefault="0053651E">
            <w:pPr>
              <w:jc w:val="right"/>
              <w:rPr>
                <w:rFonts w:eastAsia="Times New Roman"/>
                <w:sz w:val="16"/>
                <w:szCs w:val="16"/>
              </w:rPr>
            </w:pPr>
            <w:r>
              <w:rPr>
                <w:rStyle w:val="a6"/>
                <w:rFonts w:eastAsia="Times New Roman"/>
                <w:i w:val="0"/>
                <w:iCs w:val="0"/>
                <w:sz w:val="16"/>
                <w:szCs w:val="16"/>
              </w:rPr>
              <w:t>1,648,872</w:t>
            </w:r>
          </w:p>
        </w:tc>
        <w:tc>
          <w:tcPr>
            <w:tcW w:w="50" w:type="pct"/>
            <w:shd w:val="clear" w:color="auto" w:fill="FFFFFF"/>
            <w:vAlign w:val="bottom"/>
            <w:hideMark/>
          </w:tcPr>
          <w:p w14:paraId="7B0CC92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48EC5B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64442624" w14:textId="77777777" w:rsidR="00000000" w:rsidRDefault="0053651E">
            <w:pPr>
              <w:pStyle w:val="a3"/>
              <w:spacing w:before="0" w:beforeAutospacing="0" w:after="0" w:afterAutospacing="0"/>
              <w:jc w:val="center"/>
              <w:rPr>
                <w:sz w:val="16"/>
                <w:szCs w:val="16"/>
              </w:rPr>
            </w:pPr>
            <w:r>
              <w:rPr>
                <w:rStyle w:val="a6"/>
                <w:i w:val="0"/>
                <w:iCs w:val="0"/>
                <w:sz w:val="16"/>
                <w:szCs w:val="16"/>
              </w:rPr>
              <w:t>1996(A)</w:t>
            </w:r>
          </w:p>
        </w:tc>
      </w:tr>
      <w:tr w:rsidR="00000000" w14:paraId="3C6E8083" w14:textId="77777777">
        <w:trPr>
          <w:tblCellSpacing w:w="0" w:type="dxa"/>
        </w:trPr>
        <w:tc>
          <w:tcPr>
            <w:tcW w:w="50" w:type="pct"/>
            <w:shd w:val="clear" w:color="auto" w:fill="CCEEFF"/>
            <w:vAlign w:val="bottom"/>
            <w:hideMark/>
          </w:tcPr>
          <w:p w14:paraId="0E994B3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9E81583" w14:textId="77777777" w:rsidR="00000000" w:rsidRDefault="0053651E">
            <w:pPr>
              <w:pStyle w:val="a3"/>
              <w:spacing w:before="0" w:beforeAutospacing="0" w:after="0" w:afterAutospacing="0"/>
              <w:rPr>
                <w:sz w:val="16"/>
                <w:szCs w:val="16"/>
              </w:rPr>
            </w:pPr>
            <w:r>
              <w:rPr>
                <w:rStyle w:val="a6"/>
                <w:i w:val="0"/>
                <w:iCs w:val="0"/>
                <w:sz w:val="16"/>
                <w:szCs w:val="16"/>
              </w:rPr>
              <w:t>WOODBRIDGE SHOPPING CENTER</w:t>
            </w:r>
          </w:p>
        </w:tc>
        <w:tc>
          <w:tcPr>
            <w:tcW w:w="150" w:type="pct"/>
            <w:shd w:val="clear" w:color="auto" w:fill="CCEEFF"/>
            <w:vAlign w:val="bottom"/>
            <w:hideMark/>
          </w:tcPr>
          <w:p w14:paraId="478E1ED4"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3241757F" w14:textId="77777777" w:rsidR="00000000" w:rsidRDefault="0053651E">
            <w:pPr>
              <w:jc w:val="right"/>
              <w:rPr>
                <w:rFonts w:eastAsia="Times New Roman"/>
                <w:sz w:val="16"/>
                <w:szCs w:val="16"/>
              </w:rPr>
            </w:pPr>
            <w:r>
              <w:rPr>
                <w:rStyle w:val="a6"/>
                <w:rFonts w:eastAsia="Times New Roman"/>
                <w:i w:val="0"/>
                <w:iCs w:val="0"/>
                <w:sz w:val="16"/>
                <w:szCs w:val="16"/>
              </w:rPr>
              <w:t>2,568,705</w:t>
            </w:r>
          </w:p>
        </w:tc>
        <w:tc>
          <w:tcPr>
            <w:tcW w:w="550" w:type="pct"/>
            <w:shd w:val="clear" w:color="auto" w:fill="CCEEFF"/>
            <w:vAlign w:val="bottom"/>
            <w:hideMark/>
          </w:tcPr>
          <w:p w14:paraId="144551BF" w14:textId="77777777" w:rsidR="00000000" w:rsidRDefault="0053651E">
            <w:pPr>
              <w:jc w:val="right"/>
              <w:rPr>
                <w:rFonts w:eastAsia="Times New Roman"/>
                <w:sz w:val="16"/>
                <w:szCs w:val="16"/>
              </w:rPr>
            </w:pPr>
            <w:r>
              <w:rPr>
                <w:rStyle w:val="a6"/>
                <w:rFonts w:eastAsia="Times New Roman"/>
                <w:i w:val="0"/>
                <w:iCs w:val="0"/>
                <w:sz w:val="16"/>
                <w:szCs w:val="16"/>
              </w:rPr>
              <w:t>6,813,716</w:t>
            </w:r>
          </w:p>
        </w:tc>
        <w:tc>
          <w:tcPr>
            <w:tcW w:w="350" w:type="pct"/>
            <w:shd w:val="clear" w:color="auto" w:fill="CCEEFF"/>
            <w:vAlign w:val="bottom"/>
            <w:hideMark/>
          </w:tcPr>
          <w:p w14:paraId="425DC03D" w14:textId="77777777" w:rsidR="00000000" w:rsidRDefault="0053651E">
            <w:pPr>
              <w:jc w:val="right"/>
              <w:rPr>
                <w:rFonts w:eastAsia="Times New Roman"/>
                <w:sz w:val="16"/>
                <w:szCs w:val="16"/>
              </w:rPr>
            </w:pPr>
            <w:r>
              <w:rPr>
                <w:rStyle w:val="a6"/>
                <w:rFonts w:eastAsia="Times New Roman"/>
                <w:i w:val="0"/>
                <w:iCs w:val="0"/>
                <w:sz w:val="16"/>
                <w:szCs w:val="16"/>
              </w:rPr>
              <w:t>336,541</w:t>
            </w:r>
          </w:p>
        </w:tc>
        <w:tc>
          <w:tcPr>
            <w:tcW w:w="300" w:type="pct"/>
            <w:shd w:val="clear" w:color="auto" w:fill="CCEEFF"/>
            <w:vAlign w:val="bottom"/>
            <w:hideMark/>
          </w:tcPr>
          <w:p w14:paraId="21A4B250" w14:textId="77777777" w:rsidR="00000000" w:rsidRDefault="0053651E">
            <w:pPr>
              <w:jc w:val="right"/>
              <w:rPr>
                <w:rFonts w:eastAsia="Times New Roman"/>
                <w:sz w:val="16"/>
                <w:szCs w:val="16"/>
              </w:rPr>
            </w:pPr>
            <w:r>
              <w:rPr>
                <w:rStyle w:val="a6"/>
                <w:rFonts w:eastAsia="Times New Roman"/>
                <w:i w:val="0"/>
                <w:iCs w:val="0"/>
                <w:sz w:val="16"/>
                <w:szCs w:val="16"/>
              </w:rPr>
              <w:t>2,568,705</w:t>
            </w:r>
          </w:p>
        </w:tc>
        <w:tc>
          <w:tcPr>
            <w:tcW w:w="450" w:type="pct"/>
            <w:shd w:val="clear" w:color="auto" w:fill="CCEEFF"/>
            <w:vAlign w:val="bottom"/>
            <w:hideMark/>
          </w:tcPr>
          <w:p w14:paraId="46596BD9" w14:textId="77777777" w:rsidR="00000000" w:rsidRDefault="0053651E">
            <w:pPr>
              <w:jc w:val="right"/>
              <w:rPr>
                <w:rFonts w:eastAsia="Times New Roman"/>
                <w:sz w:val="16"/>
                <w:szCs w:val="16"/>
              </w:rPr>
            </w:pPr>
            <w:r>
              <w:rPr>
                <w:rStyle w:val="a6"/>
                <w:rFonts w:eastAsia="Times New Roman"/>
                <w:i w:val="0"/>
                <w:iCs w:val="0"/>
                <w:sz w:val="16"/>
                <w:szCs w:val="16"/>
              </w:rPr>
              <w:t>7,150,257</w:t>
            </w:r>
          </w:p>
        </w:tc>
        <w:tc>
          <w:tcPr>
            <w:tcW w:w="350" w:type="pct"/>
            <w:shd w:val="clear" w:color="auto" w:fill="CCEEFF"/>
            <w:vAlign w:val="bottom"/>
            <w:hideMark/>
          </w:tcPr>
          <w:p w14:paraId="6F8B33EE" w14:textId="77777777" w:rsidR="00000000" w:rsidRDefault="0053651E">
            <w:pPr>
              <w:jc w:val="right"/>
              <w:rPr>
                <w:rFonts w:eastAsia="Times New Roman"/>
                <w:sz w:val="16"/>
                <w:szCs w:val="16"/>
              </w:rPr>
            </w:pPr>
            <w:r>
              <w:rPr>
                <w:rStyle w:val="a6"/>
                <w:rFonts w:eastAsia="Times New Roman"/>
                <w:i w:val="0"/>
                <w:iCs w:val="0"/>
                <w:sz w:val="16"/>
                <w:szCs w:val="16"/>
              </w:rPr>
              <w:t>9,718,962</w:t>
            </w:r>
          </w:p>
        </w:tc>
        <w:tc>
          <w:tcPr>
            <w:tcW w:w="400" w:type="pct"/>
            <w:shd w:val="clear" w:color="auto" w:fill="CCEEFF"/>
            <w:vAlign w:val="bottom"/>
            <w:hideMark/>
          </w:tcPr>
          <w:p w14:paraId="4A5411F8" w14:textId="77777777" w:rsidR="00000000" w:rsidRDefault="0053651E">
            <w:pPr>
              <w:jc w:val="right"/>
              <w:rPr>
                <w:rFonts w:eastAsia="Times New Roman"/>
                <w:sz w:val="16"/>
                <w:szCs w:val="16"/>
              </w:rPr>
            </w:pPr>
            <w:r>
              <w:rPr>
                <w:rStyle w:val="a6"/>
                <w:rFonts w:eastAsia="Times New Roman"/>
                <w:i w:val="0"/>
                <w:iCs w:val="0"/>
                <w:sz w:val="16"/>
                <w:szCs w:val="16"/>
              </w:rPr>
              <w:t>1,866,150</w:t>
            </w:r>
          </w:p>
        </w:tc>
        <w:tc>
          <w:tcPr>
            <w:tcW w:w="50" w:type="pct"/>
            <w:shd w:val="clear" w:color="auto" w:fill="CCEEFF"/>
            <w:vAlign w:val="bottom"/>
            <w:hideMark/>
          </w:tcPr>
          <w:p w14:paraId="16422F2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417159B" w14:textId="77777777" w:rsidR="00000000" w:rsidRDefault="0053651E">
            <w:pPr>
              <w:jc w:val="right"/>
              <w:rPr>
                <w:rFonts w:eastAsia="Times New Roman"/>
                <w:sz w:val="16"/>
                <w:szCs w:val="16"/>
              </w:rPr>
            </w:pPr>
            <w:r>
              <w:rPr>
                <w:rStyle w:val="a6"/>
                <w:rFonts w:eastAsia="Times New Roman"/>
                <w:i w:val="0"/>
                <w:iCs w:val="0"/>
                <w:sz w:val="16"/>
                <w:szCs w:val="16"/>
              </w:rPr>
              <w:t>7,852,812</w:t>
            </w:r>
          </w:p>
        </w:tc>
        <w:tc>
          <w:tcPr>
            <w:tcW w:w="50" w:type="pct"/>
            <w:shd w:val="clear" w:color="auto" w:fill="CCEEFF"/>
            <w:vAlign w:val="bottom"/>
            <w:hideMark/>
          </w:tcPr>
          <w:p w14:paraId="04A47E2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3588636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C5A39F6"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383E9FB9" w14:textId="77777777">
        <w:trPr>
          <w:tblCellSpacing w:w="0" w:type="dxa"/>
        </w:trPr>
        <w:tc>
          <w:tcPr>
            <w:tcW w:w="50" w:type="pct"/>
            <w:shd w:val="clear" w:color="auto" w:fill="FFFFFF"/>
            <w:vAlign w:val="bottom"/>
            <w:hideMark/>
          </w:tcPr>
          <w:p w14:paraId="7644FBE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F7FBBDB" w14:textId="77777777" w:rsidR="00000000" w:rsidRDefault="0053651E">
            <w:pPr>
              <w:pStyle w:val="a3"/>
              <w:spacing w:before="0" w:beforeAutospacing="0" w:after="0" w:afterAutospacing="0"/>
              <w:rPr>
                <w:sz w:val="16"/>
                <w:szCs w:val="16"/>
              </w:rPr>
            </w:pPr>
            <w:r>
              <w:rPr>
                <w:rStyle w:val="a6"/>
                <w:i w:val="0"/>
                <w:iCs w:val="0"/>
                <w:sz w:val="16"/>
                <w:szCs w:val="16"/>
              </w:rPr>
              <w:t>GRAND PARKWAY MARKETPLACE</w:t>
            </w:r>
          </w:p>
        </w:tc>
        <w:tc>
          <w:tcPr>
            <w:tcW w:w="150" w:type="pct"/>
            <w:shd w:val="clear" w:color="auto" w:fill="FFFFFF"/>
            <w:vAlign w:val="bottom"/>
            <w:hideMark/>
          </w:tcPr>
          <w:p w14:paraId="7256A795"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0167F5F8" w14:textId="77777777" w:rsidR="00000000" w:rsidRDefault="0053651E">
            <w:pPr>
              <w:jc w:val="right"/>
              <w:rPr>
                <w:rFonts w:eastAsia="Times New Roman"/>
                <w:sz w:val="16"/>
                <w:szCs w:val="16"/>
              </w:rPr>
            </w:pPr>
            <w:r>
              <w:rPr>
                <w:rStyle w:val="a6"/>
                <w:rFonts w:eastAsia="Times New Roman"/>
                <w:i w:val="0"/>
                <w:iCs w:val="0"/>
                <w:sz w:val="16"/>
                <w:szCs w:val="16"/>
              </w:rPr>
              <w:t>25,363,548</w:t>
            </w:r>
          </w:p>
        </w:tc>
        <w:tc>
          <w:tcPr>
            <w:tcW w:w="550" w:type="pct"/>
            <w:shd w:val="clear" w:color="auto" w:fill="FFFFFF"/>
            <w:vAlign w:val="bottom"/>
            <w:hideMark/>
          </w:tcPr>
          <w:p w14:paraId="0C53E1D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090CD307" w14:textId="77777777" w:rsidR="00000000" w:rsidRDefault="0053651E">
            <w:pPr>
              <w:jc w:val="right"/>
              <w:rPr>
                <w:rFonts w:eastAsia="Times New Roman"/>
                <w:sz w:val="16"/>
                <w:szCs w:val="16"/>
              </w:rPr>
            </w:pPr>
            <w:r>
              <w:rPr>
                <w:rStyle w:val="a6"/>
                <w:rFonts w:eastAsia="Times New Roman"/>
                <w:i w:val="0"/>
                <w:iCs w:val="0"/>
                <w:sz w:val="16"/>
                <w:szCs w:val="16"/>
              </w:rPr>
              <w:t>67,924,523</w:t>
            </w:r>
          </w:p>
        </w:tc>
        <w:tc>
          <w:tcPr>
            <w:tcW w:w="300" w:type="pct"/>
            <w:shd w:val="clear" w:color="auto" w:fill="FFFFFF"/>
            <w:vAlign w:val="bottom"/>
            <w:hideMark/>
          </w:tcPr>
          <w:p w14:paraId="4C085632" w14:textId="77777777" w:rsidR="00000000" w:rsidRDefault="0053651E">
            <w:pPr>
              <w:jc w:val="right"/>
              <w:rPr>
                <w:rFonts w:eastAsia="Times New Roman"/>
                <w:sz w:val="16"/>
                <w:szCs w:val="16"/>
              </w:rPr>
            </w:pPr>
            <w:r>
              <w:rPr>
                <w:rStyle w:val="a6"/>
                <w:rFonts w:eastAsia="Times New Roman"/>
                <w:i w:val="0"/>
                <w:iCs w:val="0"/>
                <w:sz w:val="16"/>
                <w:szCs w:val="16"/>
              </w:rPr>
              <w:t>21,937,009</w:t>
            </w:r>
          </w:p>
        </w:tc>
        <w:tc>
          <w:tcPr>
            <w:tcW w:w="450" w:type="pct"/>
            <w:shd w:val="clear" w:color="auto" w:fill="FFFFFF"/>
            <w:vAlign w:val="bottom"/>
            <w:hideMark/>
          </w:tcPr>
          <w:p w14:paraId="76DFA985" w14:textId="77777777" w:rsidR="00000000" w:rsidRDefault="0053651E">
            <w:pPr>
              <w:jc w:val="right"/>
              <w:rPr>
                <w:rFonts w:eastAsia="Times New Roman"/>
                <w:sz w:val="16"/>
                <w:szCs w:val="16"/>
              </w:rPr>
            </w:pPr>
            <w:r>
              <w:rPr>
                <w:rStyle w:val="a6"/>
                <w:rFonts w:eastAsia="Times New Roman"/>
                <w:i w:val="0"/>
                <w:iCs w:val="0"/>
                <w:sz w:val="16"/>
                <w:szCs w:val="16"/>
              </w:rPr>
              <w:t>71,351,062</w:t>
            </w:r>
          </w:p>
        </w:tc>
        <w:tc>
          <w:tcPr>
            <w:tcW w:w="350" w:type="pct"/>
            <w:shd w:val="clear" w:color="auto" w:fill="FFFFFF"/>
            <w:vAlign w:val="bottom"/>
            <w:hideMark/>
          </w:tcPr>
          <w:p w14:paraId="7D77444E" w14:textId="77777777" w:rsidR="00000000" w:rsidRDefault="0053651E">
            <w:pPr>
              <w:jc w:val="right"/>
              <w:rPr>
                <w:rFonts w:eastAsia="Times New Roman"/>
                <w:sz w:val="16"/>
                <w:szCs w:val="16"/>
              </w:rPr>
            </w:pPr>
            <w:r>
              <w:rPr>
                <w:rStyle w:val="a6"/>
                <w:rFonts w:eastAsia="Times New Roman"/>
                <w:i w:val="0"/>
                <w:iCs w:val="0"/>
                <w:sz w:val="16"/>
                <w:szCs w:val="16"/>
              </w:rPr>
              <w:t>93,288,071</w:t>
            </w:r>
          </w:p>
        </w:tc>
        <w:tc>
          <w:tcPr>
            <w:tcW w:w="400" w:type="pct"/>
            <w:shd w:val="clear" w:color="auto" w:fill="FFFFFF"/>
            <w:vAlign w:val="bottom"/>
            <w:hideMark/>
          </w:tcPr>
          <w:p w14:paraId="6384613D" w14:textId="77777777" w:rsidR="00000000" w:rsidRDefault="0053651E">
            <w:pPr>
              <w:jc w:val="right"/>
              <w:rPr>
                <w:rFonts w:eastAsia="Times New Roman"/>
                <w:sz w:val="16"/>
                <w:szCs w:val="16"/>
              </w:rPr>
            </w:pPr>
            <w:r>
              <w:rPr>
                <w:rStyle w:val="a6"/>
                <w:rFonts w:eastAsia="Times New Roman"/>
                <w:i w:val="0"/>
                <w:iCs w:val="0"/>
                <w:sz w:val="16"/>
                <w:szCs w:val="16"/>
              </w:rPr>
              <w:t>3,610,553</w:t>
            </w:r>
          </w:p>
        </w:tc>
        <w:tc>
          <w:tcPr>
            <w:tcW w:w="50" w:type="pct"/>
            <w:shd w:val="clear" w:color="auto" w:fill="FFFFFF"/>
            <w:vAlign w:val="bottom"/>
            <w:hideMark/>
          </w:tcPr>
          <w:p w14:paraId="6893599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7E00BE7" w14:textId="77777777" w:rsidR="00000000" w:rsidRDefault="0053651E">
            <w:pPr>
              <w:jc w:val="right"/>
              <w:rPr>
                <w:rFonts w:eastAsia="Times New Roman"/>
                <w:sz w:val="16"/>
                <w:szCs w:val="16"/>
              </w:rPr>
            </w:pPr>
            <w:r>
              <w:rPr>
                <w:rStyle w:val="a6"/>
                <w:rFonts w:eastAsia="Times New Roman"/>
                <w:i w:val="0"/>
                <w:iCs w:val="0"/>
                <w:sz w:val="16"/>
                <w:szCs w:val="16"/>
              </w:rPr>
              <w:t>89,677,518</w:t>
            </w:r>
          </w:p>
        </w:tc>
        <w:tc>
          <w:tcPr>
            <w:tcW w:w="50" w:type="pct"/>
            <w:shd w:val="clear" w:color="auto" w:fill="FFFFFF"/>
            <w:vAlign w:val="bottom"/>
            <w:hideMark/>
          </w:tcPr>
          <w:p w14:paraId="6935A34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9C5356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2D9E981F" w14:textId="77777777" w:rsidR="00000000" w:rsidRDefault="0053651E">
            <w:pPr>
              <w:pStyle w:val="a3"/>
              <w:spacing w:before="0" w:beforeAutospacing="0" w:after="0" w:afterAutospacing="0"/>
              <w:jc w:val="center"/>
              <w:rPr>
                <w:sz w:val="16"/>
                <w:szCs w:val="16"/>
              </w:rPr>
            </w:pPr>
            <w:r>
              <w:rPr>
                <w:rStyle w:val="a6"/>
                <w:i w:val="0"/>
                <w:iCs w:val="0"/>
                <w:sz w:val="16"/>
                <w:szCs w:val="16"/>
              </w:rPr>
              <w:t>2014(C)</w:t>
            </w:r>
          </w:p>
        </w:tc>
      </w:tr>
      <w:tr w:rsidR="00000000" w14:paraId="25BD1D90" w14:textId="77777777">
        <w:trPr>
          <w:tblCellSpacing w:w="0" w:type="dxa"/>
        </w:trPr>
        <w:tc>
          <w:tcPr>
            <w:tcW w:w="50" w:type="pct"/>
            <w:shd w:val="clear" w:color="auto" w:fill="CCEEFF"/>
            <w:vAlign w:val="bottom"/>
            <w:hideMark/>
          </w:tcPr>
          <w:p w14:paraId="55825A7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04D57468" w14:textId="77777777" w:rsidR="00000000" w:rsidRDefault="0053651E">
            <w:pPr>
              <w:pStyle w:val="a3"/>
              <w:spacing w:before="0" w:beforeAutospacing="0" w:after="0" w:afterAutospacing="0"/>
              <w:rPr>
                <w:sz w:val="16"/>
                <w:szCs w:val="16"/>
              </w:rPr>
            </w:pPr>
            <w:r>
              <w:rPr>
                <w:rStyle w:val="a6"/>
                <w:i w:val="0"/>
                <w:iCs w:val="0"/>
                <w:sz w:val="16"/>
                <w:szCs w:val="16"/>
              </w:rPr>
              <w:t>GRAND PARKWAY MARKET PLACE II</w:t>
            </w:r>
          </w:p>
        </w:tc>
        <w:tc>
          <w:tcPr>
            <w:tcW w:w="150" w:type="pct"/>
            <w:shd w:val="clear" w:color="auto" w:fill="CCEEFF"/>
            <w:vAlign w:val="bottom"/>
            <w:hideMark/>
          </w:tcPr>
          <w:p w14:paraId="0BDF5FD9"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CCEEFF"/>
            <w:vAlign w:val="bottom"/>
            <w:hideMark/>
          </w:tcPr>
          <w:p w14:paraId="136CC5CD" w14:textId="77777777" w:rsidR="00000000" w:rsidRDefault="0053651E">
            <w:pPr>
              <w:jc w:val="right"/>
              <w:rPr>
                <w:rFonts w:eastAsia="Times New Roman"/>
                <w:sz w:val="16"/>
                <w:szCs w:val="16"/>
              </w:rPr>
            </w:pPr>
            <w:r>
              <w:rPr>
                <w:rStyle w:val="a6"/>
                <w:rFonts w:eastAsia="Times New Roman"/>
                <w:i w:val="0"/>
                <w:iCs w:val="0"/>
                <w:sz w:val="16"/>
                <w:szCs w:val="16"/>
              </w:rPr>
              <w:t>13,436,447</w:t>
            </w:r>
          </w:p>
        </w:tc>
        <w:tc>
          <w:tcPr>
            <w:tcW w:w="550" w:type="pct"/>
            <w:shd w:val="clear" w:color="auto" w:fill="CCEEFF"/>
            <w:vAlign w:val="bottom"/>
            <w:hideMark/>
          </w:tcPr>
          <w:p w14:paraId="4EED054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75EFD997" w14:textId="77777777" w:rsidR="00000000" w:rsidRDefault="0053651E">
            <w:pPr>
              <w:jc w:val="right"/>
              <w:rPr>
                <w:rFonts w:eastAsia="Times New Roman"/>
                <w:sz w:val="16"/>
                <w:szCs w:val="16"/>
              </w:rPr>
            </w:pPr>
            <w:r>
              <w:rPr>
                <w:rStyle w:val="a6"/>
                <w:rFonts w:eastAsia="Times New Roman"/>
                <w:i w:val="0"/>
                <w:iCs w:val="0"/>
                <w:sz w:val="16"/>
                <w:szCs w:val="16"/>
              </w:rPr>
              <w:t>39,195,867</w:t>
            </w:r>
          </w:p>
        </w:tc>
        <w:tc>
          <w:tcPr>
            <w:tcW w:w="300" w:type="pct"/>
            <w:shd w:val="clear" w:color="auto" w:fill="CCEEFF"/>
            <w:vAlign w:val="bottom"/>
            <w:hideMark/>
          </w:tcPr>
          <w:p w14:paraId="0D7B7889" w14:textId="77777777" w:rsidR="00000000" w:rsidRDefault="0053651E">
            <w:pPr>
              <w:jc w:val="right"/>
              <w:rPr>
                <w:rFonts w:eastAsia="Times New Roman"/>
                <w:sz w:val="16"/>
                <w:szCs w:val="16"/>
              </w:rPr>
            </w:pPr>
            <w:r>
              <w:rPr>
                <w:rStyle w:val="a6"/>
                <w:rFonts w:eastAsia="Times New Roman"/>
                <w:i w:val="0"/>
                <w:iCs w:val="0"/>
                <w:sz w:val="16"/>
                <w:szCs w:val="16"/>
              </w:rPr>
              <w:t>12,556,112</w:t>
            </w:r>
          </w:p>
        </w:tc>
        <w:tc>
          <w:tcPr>
            <w:tcW w:w="450" w:type="pct"/>
            <w:shd w:val="clear" w:color="auto" w:fill="CCEEFF"/>
            <w:vAlign w:val="bottom"/>
            <w:hideMark/>
          </w:tcPr>
          <w:p w14:paraId="54CBCADA" w14:textId="77777777" w:rsidR="00000000" w:rsidRDefault="0053651E">
            <w:pPr>
              <w:jc w:val="right"/>
              <w:rPr>
                <w:rFonts w:eastAsia="Times New Roman"/>
                <w:sz w:val="16"/>
                <w:szCs w:val="16"/>
              </w:rPr>
            </w:pPr>
            <w:r>
              <w:rPr>
                <w:rStyle w:val="a6"/>
                <w:rFonts w:eastAsia="Times New Roman"/>
                <w:i w:val="0"/>
                <w:iCs w:val="0"/>
                <w:sz w:val="16"/>
                <w:szCs w:val="16"/>
              </w:rPr>
              <w:t>40,076,202</w:t>
            </w:r>
          </w:p>
        </w:tc>
        <w:tc>
          <w:tcPr>
            <w:tcW w:w="350" w:type="pct"/>
            <w:shd w:val="clear" w:color="auto" w:fill="CCEEFF"/>
            <w:vAlign w:val="bottom"/>
            <w:hideMark/>
          </w:tcPr>
          <w:p w14:paraId="2931F80B" w14:textId="77777777" w:rsidR="00000000" w:rsidRDefault="0053651E">
            <w:pPr>
              <w:jc w:val="right"/>
              <w:rPr>
                <w:rFonts w:eastAsia="Times New Roman"/>
                <w:sz w:val="16"/>
                <w:szCs w:val="16"/>
              </w:rPr>
            </w:pPr>
            <w:r>
              <w:rPr>
                <w:rStyle w:val="a6"/>
                <w:rFonts w:eastAsia="Times New Roman"/>
                <w:i w:val="0"/>
                <w:iCs w:val="0"/>
                <w:sz w:val="16"/>
                <w:szCs w:val="16"/>
              </w:rPr>
              <w:t>52,632,314</w:t>
            </w:r>
          </w:p>
        </w:tc>
        <w:tc>
          <w:tcPr>
            <w:tcW w:w="400" w:type="pct"/>
            <w:shd w:val="clear" w:color="auto" w:fill="CCEEFF"/>
            <w:vAlign w:val="bottom"/>
            <w:hideMark/>
          </w:tcPr>
          <w:p w14:paraId="7D059895" w14:textId="77777777" w:rsidR="00000000" w:rsidRDefault="0053651E">
            <w:pPr>
              <w:jc w:val="right"/>
              <w:rPr>
                <w:rFonts w:eastAsia="Times New Roman"/>
                <w:sz w:val="16"/>
                <w:szCs w:val="16"/>
              </w:rPr>
            </w:pPr>
            <w:r>
              <w:rPr>
                <w:rStyle w:val="a6"/>
                <w:rFonts w:eastAsia="Times New Roman"/>
                <w:i w:val="0"/>
                <w:iCs w:val="0"/>
                <w:sz w:val="16"/>
                <w:szCs w:val="16"/>
              </w:rPr>
              <w:t>1,284,912</w:t>
            </w:r>
          </w:p>
        </w:tc>
        <w:tc>
          <w:tcPr>
            <w:tcW w:w="50" w:type="pct"/>
            <w:shd w:val="clear" w:color="auto" w:fill="CCEEFF"/>
            <w:vAlign w:val="bottom"/>
            <w:hideMark/>
          </w:tcPr>
          <w:p w14:paraId="5ABB7D1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5BBE4CD" w14:textId="77777777" w:rsidR="00000000" w:rsidRDefault="0053651E">
            <w:pPr>
              <w:jc w:val="right"/>
              <w:rPr>
                <w:rFonts w:eastAsia="Times New Roman"/>
                <w:sz w:val="16"/>
                <w:szCs w:val="16"/>
              </w:rPr>
            </w:pPr>
            <w:r>
              <w:rPr>
                <w:rStyle w:val="a6"/>
                <w:rFonts w:eastAsia="Times New Roman"/>
                <w:i w:val="0"/>
                <w:iCs w:val="0"/>
                <w:sz w:val="16"/>
                <w:szCs w:val="16"/>
              </w:rPr>
              <w:t>51,347,402</w:t>
            </w:r>
          </w:p>
        </w:tc>
        <w:tc>
          <w:tcPr>
            <w:tcW w:w="50" w:type="pct"/>
            <w:shd w:val="clear" w:color="auto" w:fill="CCEEFF"/>
            <w:vAlign w:val="bottom"/>
            <w:hideMark/>
          </w:tcPr>
          <w:p w14:paraId="744584CE"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A04C81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147D4B44" w14:textId="77777777" w:rsidR="00000000" w:rsidRDefault="0053651E">
            <w:pPr>
              <w:pStyle w:val="a3"/>
              <w:spacing w:before="0" w:beforeAutospacing="0" w:after="0" w:afterAutospacing="0"/>
              <w:jc w:val="center"/>
              <w:rPr>
                <w:sz w:val="16"/>
                <w:szCs w:val="16"/>
              </w:rPr>
            </w:pPr>
            <w:r>
              <w:rPr>
                <w:rStyle w:val="a6"/>
                <w:i w:val="0"/>
                <w:iCs w:val="0"/>
                <w:sz w:val="16"/>
                <w:szCs w:val="16"/>
              </w:rPr>
              <w:t>2015(C)</w:t>
            </w:r>
          </w:p>
        </w:tc>
      </w:tr>
      <w:tr w:rsidR="00000000" w14:paraId="501051F4" w14:textId="77777777">
        <w:trPr>
          <w:tblCellSpacing w:w="0" w:type="dxa"/>
        </w:trPr>
        <w:tc>
          <w:tcPr>
            <w:tcW w:w="50" w:type="pct"/>
            <w:shd w:val="clear" w:color="auto" w:fill="FFFFFF"/>
            <w:vAlign w:val="bottom"/>
            <w:hideMark/>
          </w:tcPr>
          <w:p w14:paraId="6323D71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0FF1C30" w14:textId="77777777" w:rsidR="00000000" w:rsidRDefault="0053651E">
            <w:pPr>
              <w:pStyle w:val="a3"/>
              <w:spacing w:before="0" w:beforeAutospacing="0" w:after="0" w:afterAutospacing="0"/>
              <w:rPr>
                <w:sz w:val="16"/>
                <w:szCs w:val="16"/>
              </w:rPr>
            </w:pPr>
            <w:r>
              <w:rPr>
                <w:rStyle w:val="a6"/>
                <w:i w:val="0"/>
                <w:iCs w:val="0"/>
                <w:sz w:val="16"/>
                <w:szCs w:val="16"/>
              </w:rPr>
              <w:t>BURKE TOWN PLAZA</w:t>
            </w:r>
          </w:p>
        </w:tc>
        <w:tc>
          <w:tcPr>
            <w:tcW w:w="150" w:type="pct"/>
            <w:shd w:val="clear" w:color="auto" w:fill="FFFFFF"/>
            <w:vAlign w:val="bottom"/>
            <w:hideMark/>
          </w:tcPr>
          <w:p w14:paraId="05E95C4C"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FFFFFF"/>
            <w:vAlign w:val="bottom"/>
            <w:hideMark/>
          </w:tcPr>
          <w:p w14:paraId="648670A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50" w:type="pct"/>
            <w:shd w:val="clear" w:color="auto" w:fill="FFFFFF"/>
            <w:vAlign w:val="bottom"/>
            <w:hideMark/>
          </w:tcPr>
          <w:p w14:paraId="149C947B" w14:textId="77777777" w:rsidR="00000000" w:rsidRDefault="0053651E">
            <w:pPr>
              <w:jc w:val="right"/>
              <w:rPr>
                <w:rFonts w:eastAsia="Times New Roman"/>
                <w:sz w:val="16"/>
                <w:szCs w:val="16"/>
              </w:rPr>
            </w:pPr>
            <w:r>
              <w:rPr>
                <w:rStyle w:val="a6"/>
                <w:rFonts w:eastAsia="Times New Roman"/>
                <w:i w:val="0"/>
                <w:iCs w:val="0"/>
                <w:sz w:val="16"/>
                <w:szCs w:val="16"/>
              </w:rPr>
              <w:t>43,240,068</w:t>
            </w:r>
          </w:p>
        </w:tc>
        <w:tc>
          <w:tcPr>
            <w:tcW w:w="350" w:type="pct"/>
            <w:shd w:val="clear" w:color="auto" w:fill="FFFFFF"/>
            <w:vAlign w:val="bottom"/>
            <w:hideMark/>
          </w:tcPr>
          <w:p w14:paraId="55F8F60B" w14:textId="77777777" w:rsidR="00000000" w:rsidRDefault="0053651E">
            <w:pPr>
              <w:jc w:val="right"/>
              <w:rPr>
                <w:rFonts w:eastAsia="Times New Roman"/>
                <w:sz w:val="16"/>
                <w:szCs w:val="16"/>
              </w:rPr>
            </w:pPr>
            <w:r>
              <w:rPr>
                <w:rStyle w:val="a6"/>
                <w:rFonts w:eastAsia="Times New Roman"/>
                <w:i w:val="0"/>
                <w:iCs w:val="0"/>
                <w:sz w:val="16"/>
                <w:szCs w:val="16"/>
              </w:rPr>
              <w:t>(5,722,399)</w:t>
            </w:r>
          </w:p>
        </w:tc>
        <w:tc>
          <w:tcPr>
            <w:tcW w:w="300" w:type="pct"/>
            <w:shd w:val="clear" w:color="auto" w:fill="FFFFFF"/>
            <w:vAlign w:val="bottom"/>
            <w:hideMark/>
          </w:tcPr>
          <w:p w14:paraId="4B03E92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450" w:type="pct"/>
            <w:shd w:val="clear" w:color="auto" w:fill="FFFFFF"/>
            <w:vAlign w:val="bottom"/>
            <w:hideMark/>
          </w:tcPr>
          <w:p w14:paraId="701438E2" w14:textId="77777777" w:rsidR="00000000" w:rsidRDefault="0053651E">
            <w:pPr>
              <w:jc w:val="right"/>
              <w:rPr>
                <w:rFonts w:eastAsia="Times New Roman"/>
                <w:sz w:val="16"/>
                <w:szCs w:val="16"/>
              </w:rPr>
            </w:pPr>
            <w:r>
              <w:rPr>
                <w:rStyle w:val="a6"/>
                <w:rFonts w:eastAsia="Times New Roman"/>
                <w:i w:val="0"/>
                <w:iCs w:val="0"/>
                <w:sz w:val="16"/>
                <w:szCs w:val="16"/>
              </w:rPr>
              <w:t>37,517,669</w:t>
            </w:r>
          </w:p>
        </w:tc>
        <w:tc>
          <w:tcPr>
            <w:tcW w:w="350" w:type="pct"/>
            <w:shd w:val="clear" w:color="auto" w:fill="FFFFFF"/>
            <w:vAlign w:val="bottom"/>
            <w:hideMark/>
          </w:tcPr>
          <w:p w14:paraId="52D72D63" w14:textId="77777777" w:rsidR="00000000" w:rsidRDefault="0053651E">
            <w:pPr>
              <w:jc w:val="right"/>
              <w:rPr>
                <w:rFonts w:eastAsia="Times New Roman"/>
                <w:sz w:val="16"/>
                <w:szCs w:val="16"/>
              </w:rPr>
            </w:pPr>
            <w:r>
              <w:rPr>
                <w:rStyle w:val="a6"/>
                <w:rFonts w:eastAsia="Times New Roman"/>
                <w:i w:val="0"/>
                <w:iCs w:val="0"/>
                <w:sz w:val="16"/>
                <w:szCs w:val="16"/>
              </w:rPr>
              <w:t>37,517,669</w:t>
            </w:r>
          </w:p>
        </w:tc>
        <w:tc>
          <w:tcPr>
            <w:tcW w:w="400" w:type="pct"/>
            <w:shd w:val="clear" w:color="auto" w:fill="FFFFFF"/>
            <w:vAlign w:val="bottom"/>
            <w:hideMark/>
          </w:tcPr>
          <w:p w14:paraId="23F50F66" w14:textId="77777777" w:rsidR="00000000" w:rsidRDefault="0053651E">
            <w:pPr>
              <w:jc w:val="right"/>
              <w:rPr>
                <w:rFonts w:eastAsia="Times New Roman"/>
                <w:sz w:val="16"/>
                <w:szCs w:val="16"/>
              </w:rPr>
            </w:pPr>
            <w:r>
              <w:rPr>
                <w:rStyle w:val="a6"/>
                <w:rFonts w:eastAsia="Times New Roman"/>
                <w:i w:val="0"/>
                <w:iCs w:val="0"/>
                <w:sz w:val="16"/>
                <w:szCs w:val="16"/>
              </w:rPr>
              <w:t>6,742,193</w:t>
            </w:r>
          </w:p>
        </w:tc>
        <w:tc>
          <w:tcPr>
            <w:tcW w:w="50" w:type="pct"/>
            <w:shd w:val="clear" w:color="auto" w:fill="FFFFFF"/>
            <w:vAlign w:val="bottom"/>
            <w:hideMark/>
          </w:tcPr>
          <w:p w14:paraId="0B5C8D2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89EF2FE" w14:textId="77777777" w:rsidR="00000000" w:rsidRDefault="0053651E">
            <w:pPr>
              <w:jc w:val="right"/>
              <w:rPr>
                <w:rFonts w:eastAsia="Times New Roman"/>
                <w:sz w:val="16"/>
                <w:szCs w:val="16"/>
              </w:rPr>
            </w:pPr>
            <w:r>
              <w:rPr>
                <w:rStyle w:val="a6"/>
                <w:rFonts w:eastAsia="Times New Roman"/>
                <w:i w:val="0"/>
                <w:iCs w:val="0"/>
                <w:sz w:val="16"/>
                <w:szCs w:val="16"/>
              </w:rPr>
              <w:t>30,775,476</w:t>
            </w:r>
          </w:p>
        </w:tc>
        <w:tc>
          <w:tcPr>
            <w:tcW w:w="50" w:type="pct"/>
            <w:shd w:val="clear" w:color="auto" w:fill="FFFFFF"/>
            <w:vAlign w:val="bottom"/>
            <w:hideMark/>
          </w:tcPr>
          <w:p w14:paraId="04DCE97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9F5695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46D7637B" w14:textId="77777777" w:rsidR="00000000" w:rsidRDefault="0053651E">
            <w:pPr>
              <w:pStyle w:val="a3"/>
              <w:spacing w:before="0" w:beforeAutospacing="0" w:after="0" w:afterAutospacing="0"/>
              <w:jc w:val="center"/>
              <w:rPr>
                <w:sz w:val="16"/>
                <w:szCs w:val="16"/>
              </w:rPr>
            </w:pPr>
            <w:r>
              <w:rPr>
                <w:rStyle w:val="a6"/>
                <w:i w:val="0"/>
                <w:iCs w:val="0"/>
                <w:sz w:val="16"/>
                <w:szCs w:val="16"/>
              </w:rPr>
              <w:t>2014(A)</w:t>
            </w:r>
          </w:p>
        </w:tc>
      </w:tr>
      <w:tr w:rsidR="00000000" w14:paraId="571EB318" w14:textId="77777777">
        <w:trPr>
          <w:tblCellSpacing w:w="0" w:type="dxa"/>
        </w:trPr>
        <w:tc>
          <w:tcPr>
            <w:tcW w:w="50" w:type="pct"/>
            <w:shd w:val="clear" w:color="auto" w:fill="CCEEFF"/>
            <w:vAlign w:val="bottom"/>
            <w:hideMark/>
          </w:tcPr>
          <w:p w14:paraId="1D24E98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C201C30" w14:textId="77777777" w:rsidR="00000000" w:rsidRDefault="0053651E">
            <w:pPr>
              <w:pStyle w:val="a3"/>
              <w:spacing w:before="0" w:beforeAutospacing="0" w:after="0" w:afterAutospacing="0"/>
              <w:rPr>
                <w:sz w:val="16"/>
                <w:szCs w:val="16"/>
              </w:rPr>
            </w:pPr>
            <w:r>
              <w:rPr>
                <w:rStyle w:val="a6"/>
                <w:i w:val="0"/>
                <w:iCs w:val="0"/>
                <w:sz w:val="16"/>
                <w:szCs w:val="16"/>
              </w:rPr>
              <w:t>OLD TOWN PLAZA</w:t>
            </w:r>
          </w:p>
        </w:tc>
        <w:tc>
          <w:tcPr>
            <w:tcW w:w="150" w:type="pct"/>
            <w:shd w:val="clear" w:color="auto" w:fill="CCEEFF"/>
            <w:vAlign w:val="bottom"/>
            <w:hideMark/>
          </w:tcPr>
          <w:p w14:paraId="66E63B19"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CCEEFF"/>
            <w:vAlign w:val="bottom"/>
            <w:hideMark/>
          </w:tcPr>
          <w:p w14:paraId="297609DF" w14:textId="77777777" w:rsidR="00000000" w:rsidRDefault="0053651E">
            <w:pPr>
              <w:jc w:val="right"/>
              <w:rPr>
                <w:rFonts w:eastAsia="Times New Roman"/>
                <w:sz w:val="16"/>
                <w:szCs w:val="16"/>
              </w:rPr>
            </w:pPr>
            <w:r>
              <w:rPr>
                <w:rStyle w:val="a6"/>
                <w:rFonts w:eastAsia="Times New Roman"/>
                <w:i w:val="0"/>
                <w:iCs w:val="0"/>
                <w:sz w:val="16"/>
                <w:szCs w:val="16"/>
              </w:rPr>
              <w:t>4,500,000</w:t>
            </w:r>
          </w:p>
        </w:tc>
        <w:tc>
          <w:tcPr>
            <w:tcW w:w="550" w:type="pct"/>
            <w:shd w:val="clear" w:color="auto" w:fill="CCEEFF"/>
            <w:vAlign w:val="bottom"/>
            <w:hideMark/>
          </w:tcPr>
          <w:p w14:paraId="3065770C" w14:textId="77777777" w:rsidR="00000000" w:rsidRDefault="0053651E">
            <w:pPr>
              <w:jc w:val="right"/>
              <w:rPr>
                <w:rFonts w:eastAsia="Times New Roman"/>
                <w:sz w:val="16"/>
                <w:szCs w:val="16"/>
              </w:rPr>
            </w:pPr>
            <w:r>
              <w:rPr>
                <w:rStyle w:val="a6"/>
                <w:rFonts w:eastAsia="Times New Roman"/>
                <w:i w:val="0"/>
                <w:iCs w:val="0"/>
                <w:sz w:val="16"/>
                <w:szCs w:val="16"/>
              </w:rPr>
              <w:t>41,569,735</w:t>
            </w:r>
          </w:p>
        </w:tc>
        <w:tc>
          <w:tcPr>
            <w:tcW w:w="350" w:type="pct"/>
            <w:shd w:val="clear" w:color="auto" w:fill="CCEEFF"/>
            <w:vAlign w:val="bottom"/>
            <w:hideMark/>
          </w:tcPr>
          <w:p w14:paraId="3F94C254" w14:textId="77777777" w:rsidR="00000000" w:rsidRDefault="0053651E">
            <w:pPr>
              <w:jc w:val="right"/>
              <w:rPr>
                <w:rFonts w:eastAsia="Times New Roman"/>
                <w:sz w:val="16"/>
                <w:szCs w:val="16"/>
              </w:rPr>
            </w:pPr>
            <w:r>
              <w:rPr>
                <w:rStyle w:val="a6"/>
                <w:rFonts w:eastAsia="Times New Roman"/>
                <w:i w:val="0"/>
                <w:iCs w:val="0"/>
                <w:sz w:val="16"/>
                <w:szCs w:val="16"/>
              </w:rPr>
              <w:t>(15,127,129)</w:t>
            </w:r>
          </w:p>
        </w:tc>
        <w:tc>
          <w:tcPr>
            <w:tcW w:w="300" w:type="pct"/>
            <w:shd w:val="clear" w:color="auto" w:fill="CCEEFF"/>
            <w:vAlign w:val="bottom"/>
            <w:hideMark/>
          </w:tcPr>
          <w:p w14:paraId="48EFE87B" w14:textId="77777777" w:rsidR="00000000" w:rsidRDefault="0053651E">
            <w:pPr>
              <w:jc w:val="right"/>
              <w:rPr>
                <w:rFonts w:eastAsia="Times New Roman"/>
                <w:sz w:val="16"/>
                <w:szCs w:val="16"/>
              </w:rPr>
            </w:pPr>
            <w:r>
              <w:rPr>
                <w:rStyle w:val="a6"/>
                <w:rFonts w:eastAsia="Times New Roman"/>
                <w:i w:val="0"/>
                <w:iCs w:val="0"/>
                <w:sz w:val="16"/>
                <w:szCs w:val="16"/>
              </w:rPr>
              <w:t>3,052,800</w:t>
            </w:r>
          </w:p>
        </w:tc>
        <w:tc>
          <w:tcPr>
            <w:tcW w:w="450" w:type="pct"/>
            <w:shd w:val="clear" w:color="auto" w:fill="CCEEFF"/>
            <w:vAlign w:val="bottom"/>
            <w:hideMark/>
          </w:tcPr>
          <w:p w14:paraId="36B699F7" w14:textId="77777777" w:rsidR="00000000" w:rsidRDefault="0053651E">
            <w:pPr>
              <w:jc w:val="right"/>
              <w:rPr>
                <w:rFonts w:eastAsia="Times New Roman"/>
                <w:sz w:val="16"/>
                <w:szCs w:val="16"/>
              </w:rPr>
            </w:pPr>
            <w:r>
              <w:rPr>
                <w:rStyle w:val="a6"/>
                <w:rFonts w:eastAsia="Times New Roman"/>
                <w:i w:val="0"/>
                <w:iCs w:val="0"/>
                <w:sz w:val="16"/>
                <w:szCs w:val="16"/>
              </w:rPr>
              <w:t>27,889,806</w:t>
            </w:r>
          </w:p>
        </w:tc>
        <w:tc>
          <w:tcPr>
            <w:tcW w:w="350" w:type="pct"/>
            <w:shd w:val="clear" w:color="auto" w:fill="CCEEFF"/>
            <w:vAlign w:val="bottom"/>
            <w:hideMark/>
          </w:tcPr>
          <w:p w14:paraId="163D660F" w14:textId="77777777" w:rsidR="00000000" w:rsidRDefault="0053651E">
            <w:pPr>
              <w:jc w:val="right"/>
              <w:rPr>
                <w:rFonts w:eastAsia="Times New Roman"/>
                <w:sz w:val="16"/>
                <w:szCs w:val="16"/>
              </w:rPr>
            </w:pPr>
            <w:r>
              <w:rPr>
                <w:rStyle w:val="a6"/>
                <w:rFonts w:eastAsia="Times New Roman"/>
                <w:i w:val="0"/>
                <w:iCs w:val="0"/>
                <w:sz w:val="16"/>
                <w:szCs w:val="16"/>
              </w:rPr>
              <w:t>30,942,606</w:t>
            </w:r>
          </w:p>
        </w:tc>
        <w:tc>
          <w:tcPr>
            <w:tcW w:w="400" w:type="pct"/>
            <w:shd w:val="clear" w:color="auto" w:fill="CCEEFF"/>
            <w:vAlign w:val="bottom"/>
            <w:hideMark/>
          </w:tcPr>
          <w:p w14:paraId="4C81124F" w14:textId="77777777" w:rsidR="00000000" w:rsidRDefault="0053651E">
            <w:pPr>
              <w:jc w:val="right"/>
              <w:rPr>
                <w:rFonts w:eastAsia="Times New Roman"/>
                <w:sz w:val="16"/>
                <w:szCs w:val="16"/>
              </w:rPr>
            </w:pPr>
            <w:r>
              <w:rPr>
                <w:rStyle w:val="a6"/>
                <w:rFonts w:eastAsia="Times New Roman"/>
                <w:i w:val="0"/>
                <w:iCs w:val="0"/>
                <w:sz w:val="16"/>
                <w:szCs w:val="16"/>
              </w:rPr>
              <w:t>6,810,932</w:t>
            </w:r>
          </w:p>
        </w:tc>
        <w:tc>
          <w:tcPr>
            <w:tcW w:w="50" w:type="pct"/>
            <w:shd w:val="clear" w:color="auto" w:fill="CCEEFF"/>
            <w:vAlign w:val="bottom"/>
            <w:hideMark/>
          </w:tcPr>
          <w:p w14:paraId="0EA837C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6703696" w14:textId="77777777" w:rsidR="00000000" w:rsidRDefault="0053651E">
            <w:pPr>
              <w:jc w:val="right"/>
              <w:rPr>
                <w:rFonts w:eastAsia="Times New Roman"/>
                <w:sz w:val="16"/>
                <w:szCs w:val="16"/>
              </w:rPr>
            </w:pPr>
            <w:r>
              <w:rPr>
                <w:rStyle w:val="a6"/>
                <w:rFonts w:eastAsia="Times New Roman"/>
                <w:i w:val="0"/>
                <w:iCs w:val="0"/>
                <w:sz w:val="16"/>
                <w:szCs w:val="16"/>
              </w:rPr>
              <w:t>24,131,674</w:t>
            </w:r>
          </w:p>
        </w:tc>
        <w:tc>
          <w:tcPr>
            <w:tcW w:w="50" w:type="pct"/>
            <w:shd w:val="clear" w:color="auto" w:fill="CCEEFF"/>
            <w:vAlign w:val="bottom"/>
            <w:hideMark/>
          </w:tcPr>
          <w:p w14:paraId="79EB174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AE898C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583A7EC8"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5D902194" w14:textId="77777777">
        <w:trPr>
          <w:tblCellSpacing w:w="0" w:type="dxa"/>
        </w:trPr>
        <w:tc>
          <w:tcPr>
            <w:tcW w:w="50" w:type="pct"/>
            <w:shd w:val="clear" w:color="auto" w:fill="FFFFFF"/>
            <w:vAlign w:val="bottom"/>
            <w:hideMark/>
          </w:tcPr>
          <w:p w14:paraId="4FC983E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0D5E2C7" w14:textId="77777777" w:rsidR="00000000" w:rsidRDefault="0053651E">
            <w:pPr>
              <w:pStyle w:val="a3"/>
              <w:spacing w:before="0" w:beforeAutospacing="0" w:after="0" w:afterAutospacing="0"/>
              <w:rPr>
                <w:sz w:val="16"/>
                <w:szCs w:val="16"/>
              </w:rPr>
            </w:pPr>
            <w:r>
              <w:rPr>
                <w:rStyle w:val="a6"/>
                <w:i w:val="0"/>
                <w:iCs w:val="0"/>
                <w:sz w:val="16"/>
                <w:szCs w:val="16"/>
              </w:rPr>
              <w:t>POTOMAC RUN PLAZA</w:t>
            </w:r>
          </w:p>
        </w:tc>
        <w:tc>
          <w:tcPr>
            <w:tcW w:w="150" w:type="pct"/>
            <w:shd w:val="clear" w:color="auto" w:fill="FFFFFF"/>
            <w:vAlign w:val="bottom"/>
            <w:hideMark/>
          </w:tcPr>
          <w:p w14:paraId="2869A610"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FFFFFF"/>
            <w:vAlign w:val="bottom"/>
            <w:hideMark/>
          </w:tcPr>
          <w:p w14:paraId="78148F5F" w14:textId="77777777" w:rsidR="00000000" w:rsidRDefault="0053651E">
            <w:pPr>
              <w:jc w:val="right"/>
              <w:rPr>
                <w:rFonts w:eastAsia="Times New Roman"/>
                <w:sz w:val="16"/>
                <w:szCs w:val="16"/>
              </w:rPr>
            </w:pPr>
            <w:r>
              <w:rPr>
                <w:rStyle w:val="a6"/>
                <w:rFonts w:eastAsia="Times New Roman"/>
                <w:i w:val="0"/>
                <w:iCs w:val="0"/>
                <w:sz w:val="16"/>
                <w:szCs w:val="16"/>
              </w:rPr>
              <w:t>27,369,515</w:t>
            </w:r>
          </w:p>
        </w:tc>
        <w:tc>
          <w:tcPr>
            <w:tcW w:w="550" w:type="pct"/>
            <w:shd w:val="clear" w:color="auto" w:fill="FFFFFF"/>
            <w:vAlign w:val="bottom"/>
            <w:hideMark/>
          </w:tcPr>
          <w:p w14:paraId="47CD39DE" w14:textId="77777777" w:rsidR="00000000" w:rsidRDefault="0053651E">
            <w:pPr>
              <w:jc w:val="right"/>
              <w:rPr>
                <w:rFonts w:eastAsia="Times New Roman"/>
                <w:sz w:val="16"/>
                <w:szCs w:val="16"/>
              </w:rPr>
            </w:pPr>
            <w:r>
              <w:rPr>
                <w:rStyle w:val="a6"/>
                <w:rFonts w:eastAsia="Times New Roman"/>
                <w:i w:val="0"/>
                <w:iCs w:val="0"/>
                <w:sz w:val="16"/>
                <w:szCs w:val="16"/>
              </w:rPr>
              <w:t>48,451,209</w:t>
            </w:r>
          </w:p>
        </w:tc>
        <w:tc>
          <w:tcPr>
            <w:tcW w:w="350" w:type="pct"/>
            <w:shd w:val="clear" w:color="auto" w:fill="FFFFFF"/>
            <w:vAlign w:val="bottom"/>
            <w:hideMark/>
          </w:tcPr>
          <w:p w14:paraId="2731CFBE" w14:textId="77777777" w:rsidR="00000000" w:rsidRDefault="0053651E">
            <w:pPr>
              <w:jc w:val="right"/>
              <w:rPr>
                <w:rFonts w:eastAsia="Times New Roman"/>
                <w:sz w:val="16"/>
                <w:szCs w:val="16"/>
              </w:rPr>
            </w:pPr>
            <w:r>
              <w:rPr>
                <w:rStyle w:val="a6"/>
                <w:rFonts w:eastAsia="Times New Roman"/>
                <w:i w:val="0"/>
                <w:iCs w:val="0"/>
                <w:sz w:val="16"/>
                <w:szCs w:val="16"/>
              </w:rPr>
              <w:t>2,971,845</w:t>
            </w:r>
          </w:p>
        </w:tc>
        <w:tc>
          <w:tcPr>
            <w:tcW w:w="300" w:type="pct"/>
            <w:shd w:val="clear" w:color="auto" w:fill="FFFFFF"/>
            <w:vAlign w:val="bottom"/>
            <w:hideMark/>
          </w:tcPr>
          <w:p w14:paraId="3CFB7A8C" w14:textId="77777777" w:rsidR="00000000" w:rsidRDefault="0053651E">
            <w:pPr>
              <w:jc w:val="right"/>
              <w:rPr>
                <w:rFonts w:eastAsia="Times New Roman"/>
                <w:sz w:val="16"/>
                <w:szCs w:val="16"/>
              </w:rPr>
            </w:pPr>
            <w:r>
              <w:rPr>
                <w:rStyle w:val="a6"/>
                <w:rFonts w:eastAsia="Times New Roman"/>
                <w:i w:val="0"/>
                <w:iCs w:val="0"/>
                <w:sz w:val="16"/>
                <w:szCs w:val="16"/>
              </w:rPr>
              <w:t>27,369,515</w:t>
            </w:r>
          </w:p>
        </w:tc>
        <w:tc>
          <w:tcPr>
            <w:tcW w:w="450" w:type="pct"/>
            <w:shd w:val="clear" w:color="auto" w:fill="FFFFFF"/>
            <w:vAlign w:val="bottom"/>
            <w:hideMark/>
          </w:tcPr>
          <w:p w14:paraId="1699347D" w14:textId="77777777" w:rsidR="00000000" w:rsidRDefault="0053651E">
            <w:pPr>
              <w:jc w:val="right"/>
              <w:rPr>
                <w:rFonts w:eastAsia="Times New Roman"/>
                <w:sz w:val="16"/>
                <w:szCs w:val="16"/>
              </w:rPr>
            </w:pPr>
            <w:r>
              <w:rPr>
                <w:rStyle w:val="a6"/>
                <w:rFonts w:eastAsia="Times New Roman"/>
                <w:i w:val="0"/>
                <w:iCs w:val="0"/>
                <w:sz w:val="16"/>
                <w:szCs w:val="16"/>
              </w:rPr>
              <w:t>51,423,054</w:t>
            </w:r>
          </w:p>
        </w:tc>
        <w:tc>
          <w:tcPr>
            <w:tcW w:w="350" w:type="pct"/>
            <w:shd w:val="clear" w:color="auto" w:fill="FFFFFF"/>
            <w:vAlign w:val="bottom"/>
            <w:hideMark/>
          </w:tcPr>
          <w:p w14:paraId="0E7F5AE8" w14:textId="77777777" w:rsidR="00000000" w:rsidRDefault="0053651E">
            <w:pPr>
              <w:jc w:val="right"/>
              <w:rPr>
                <w:rFonts w:eastAsia="Times New Roman"/>
                <w:sz w:val="16"/>
                <w:szCs w:val="16"/>
              </w:rPr>
            </w:pPr>
            <w:r>
              <w:rPr>
                <w:rStyle w:val="a6"/>
                <w:rFonts w:eastAsia="Times New Roman"/>
                <w:i w:val="0"/>
                <w:iCs w:val="0"/>
                <w:sz w:val="16"/>
                <w:szCs w:val="16"/>
              </w:rPr>
              <w:t>78,792,569</w:t>
            </w:r>
          </w:p>
        </w:tc>
        <w:tc>
          <w:tcPr>
            <w:tcW w:w="400" w:type="pct"/>
            <w:shd w:val="clear" w:color="auto" w:fill="FFFFFF"/>
            <w:vAlign w:val="bottom"/>
            <w:hideMark/>
          </w:tcPr>
          <w:p w14:paraId="46CF324C" w14:textId="77777777" w:rsidR="00000000" w:rsidRDefault="0053651E">
            <w:pPr>
              <w:jc w:val="right"/>
              <w:rPr>
                <w:rFonts w:eastAsia="Times New Roman"/>
                <w:sz w:val="16"/>
                <w:szCs w:val="16"/>
              </w:rPr>
            </w:pPr>
            <w:r>
              <w:rPr>
                <w:rStyle w:val="a6"/>
                <w:rFonts w:eastAsia="Times New Roman"/>
                <w:i w:val="0"/>
                <w:iCs w:val="0"/>
                <w:sz w:val="16"/>
                <w:szCs w:val="16"/>
              </w:rPr>
              <w:t>15,085,558</w:t>
            </w:r>
          </w:p>
        </w:tc>
        <w:tc>
          <w:tcPr>
            <w:tcW w:w="50" w:type="pct"/>
            <w:shd w:val="clear" w:color="auto" w:fill="FFFFFF"/>
            <w:vAlign w:val="bottom"/>
            <w:hideMark/>
          </w:tcPr>
          <w:p w14:paraId="15C97A6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6D69B7BA" w14:textId="77777777" w:rsidR="00000000" w:rsidRDefault="0053651E">
            <w:pPr>
              <w:jc w:val="right"/>
              <w:rPr>
                <w:rFonts w:eastAsia="Times New Roman"/>
                <w:sz w:val="16"/>
                <w:szCs w:val="16"/>
              </w:rPr>
            </w:pPr>
            <w:r>
              <w:rPr>
                <w:rStyle w:val="a6"/>
                <w:rFonts w:eastAsia="Times New Roman"/>
                <w:i w:val="0"/>
                <w:iCs w:val="0"/>
                <w:sz w:val="16"/>
                <w:szCs w:val="16"/>
              </w:rPr>
              <w:t>63,707,011</w:t>
            </w:r>
          </w:p>
        </w:tc>
        <w:tc>
          <w:tcPr>
            <w:tcW w:w="50" w:type="pct"/>
            <w:shd w:val="clear" w:color="auto" w:fill="FFFFFF"/>
            <w:vAlign w:val="bottom"/>
            <w:hideMark/>
          </w:tcPr>
          <w:p w14:paraId="0BBA538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6225C4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6F3BA0AE" w14:textId="77777777" w:rsidR="00000000" w:rsidRDefault="0053651E">
            <w:pPr>
              <w:pStyle w:val="a3"/>
              <w:spacing w:before="0" w:beforeAutospacing="0" w:after="0" w:afterAutospacing="0"/>
              <w:jc w:val="center"/>
              <w:rPr>
                <w:sz w:val="16"/>
                <w:szCs w:val="16"/>
              </w:rPr>
            </w:pPr>
            <w:r>
              <w:rPr>
                <w:rStyle w:val="a6"/>
                <w:i w:val="0"/>
                <w:iCs w:val="0"/>
                <w:sz w:val="16"/>
                <w:szCs w:val="16"/>
              </w:rPr>
              <w:t>2008(A)</w:t>
            </w:r>
          </w:p>
        </w:tc>
      </w:tr>
      <w:tr w:rsidR="00000000" w14:paraId="45B17E97" w14:textId="77777777">
        <w:trPr>
          <w:tblCellSpacing w:w="0" w:type="dxa"/>
        </w:trPr>
        <w:tc>
          <w:tcPr>
            <w:tcW w:w="50" w:type="pct"/>
            <w:shd w:val="clear" w:color="auto" w:fill="CCEEFF"/>
            <w:vAlign w:val="bottom"/>
            <w:hideMark/>
          </w:tcPr>
          <w:p w14:paraId="7D651A0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AA49AFF" w14:textId="77777777" w:rsidR="00000000" w:rsidRDefault="0053651E">
            <w:pPr>
              <w:pStyle w:val="a3"/>
              <w:spacing w:before="0" w:beforeAutospacing="0" w:after="0" w:afterAutospacing="0"/>
              <w:rPr>
                <w:sz w:val="16"/>
                <w:szCs w:val="16"/>
              </w:rPr>
            </w:pPr>
            <w:r>
              <w:rPr>
                <w:rStyle w:val="a6"/>
                <w:i w:val="0"/>
                <w:iCs w:val="0"/>
                <w:sz w:val="16"/>
                <w:szCs w:val="16"/>
              </w:rPr>
              <w:t>DULLES TOWN CROSSING</w:t>
            </w:r>
          </w:p>
        </w:tc>
        <w:tc>
          <w:tcPr>
            <w:tcW w:w="150" w:type="pct"/>
            <w:shd w:val="clear" w:color="auto" w:fill="CCEEFF"/>
            <w:vAlign w:val="bottom"/>
            <w:hideMark/>
          </w:tcPr>
          <w:p w14:paraId="07DAE64E"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CCEEFF"/>
            <w:vAlign w:val="bottom"/>
            <w:hideMark/>
          </w:tcPr>
          <w:p w14:paraId="73C2049E" w14:textId="77777777" w:rsidR="00000000" w:rsidRDefault="0053651E">
            <w:pPr>
              <w:jc w:val="right"/>
              <w:rPr>
                <w:rFonts w:eastAsia="Times New Roman"/>
                <w:sz w:val="16"/>
                <w:szCs w:val="16"/>
              </w:rPr>
            </w:pPr>
            <w:r>
              <w:rPr>
                <w:rStyle w:val="a6"/>
                <w:rFonts w:eastAsia="Times New Roman"/>
                <w:i w:val="0"/>
                <w:iCs w:val="0"/>
                <w:sz w:val="16"/>
                <w:szCs w:val="16"/>
              </w:rPr>
              <w:t>53,285,116</w:t>
            </w:r>
          </w:p>
        </w:tc>
        <w:tc>
          <w:tcPr>
            <w:tcW w:w="550" w:type="pct"/>
            <w:shd w:val="clear" w:color="auto" w:fill="CCEEFF"/>
            <w:vAlign w:val="bottom"/>
            <w:hideMark/>
          </w:tcPr>
          <w:p w14:paraId="753809C5" w14:textId="77777777" w:rsidR="00000000" w:rsidRDefault="0053651E">
            <w:pPr>
              <w:jc w:val="right"/>
              <w:rPr>
                <w:rFonts w:eastAsia="Times New Roman"/>
                <w:sz w:val="16"/>
                <w:szCs w:val="16"/>
              </w:rPr>
            </w:pPr>
            <w:r>
              <w:rPr>
                <w:rStyle w:val="a6"/>
                <w:rFonts w:eastAsia="Times New Roman"/>
                <w:i w:val="0"/>
                <w:iCs w:val="0"/>
                <w:sz w:val="16"/>
                <w:szCs w:val="16"/>
              </w:rPr>
              <w:t>104,175,738</w:t>
            </w:r>
          </w:p>
        </w:tc>
        <w:tc>
          <w:tcPr>
            <w:tcW w:w="350" w:type="pct"/>
            <w:shd w:val="clear" w:color="auto" w:fill="CCEEFF"/>
            <w:vAlign w:val="bottom"/>
            <w:hideMark/>
          </w:tcPr>
          <w:p w14:paraId="01DBCBD2" w14:textId="77777777" w:rsidR="00000000" w:rsidRDefault="0053651E">
            <w:pPr>
              <w:jc w:val="right"/>
              <w:rPr>
                <w:rFonts w:eastAsia="Times New Roman"/>
                <w:sz w:val="16"/>
                <w:szCs w:val="16"/>
              </w:rPr>
            </w:pPr>
            <w:r>
              <w:rPr>
                <w:rStyle w:val="a6"/>
                <w:rFonts w:eastAsia="Times New Roman"/>
                <w:i w:val="0"/>
                <w:iCs w:val="0"/>
                <w:sz w:val="16"/>
                <w:szCs w:val="16"/>
              </w:rPr>
              <w:t>287,938</w:t>
            </w:r>
          </w:p>
        </w:tc>
        <w:tc>
          <w:tcPr>
            <w:tcW w:w="300" w:type="pct"/>
            <w:shd w:val="clear" w:color="auto" w:fill="CCEEFF"/>
            <w:vAlign w:val="bottom"/>
            <w:hideMark/>
          </w:tcPr>
          <w:p w14:paraId="6826F780" w14:textId="77777777" w:rsidR="00000000" w:rsidRDefault="0053651E">
            <w:pPr>
              <w:jc w:val="right"/>
              <w:rPr>
                <w:rFonts w:eastAsia="Times New Roman"/>
                <w:sz w:val="16"/>
                <w:szCs w:val="16"/>
              </w:rPr>
            </w:pPr>
            <w:r>
              <w:rPr>
                <w:rStyle w:val="a6"/>
                <w:rFonts w:eastAsia="Times New Roman"/>
                <w:i w:val="0"/>
                <w:iCs w:val="0"/>
                <w:sz w:val="16"/>
                <w:szCs w:val="16"/>
              </w:rPr>
              <w:t>53,285,116</w:t>
            </w:r>
          </w:p>
        </w:tc>
        <w:tc>
          <w:tcPr>
            <w:tcW w:w="450" w:type="pct"/>
            <w:shd w:val="clear" w:color="auto" w:fill="CCEEFF"/>
            <w:vAlign w:val="bottom"/>
            <w:hideMark/>
          </w:tcPr>
          <w:p w14:paraId="39F1DCE5" w14:textId="77777777" w:rsidR="00000000" w:rsidRDefault="0053651E">
            <w:pPr>
              <w:jc w:val="right"/>
              <w:rPr>
                <w:rFonts w:eastAsia="Times New Roman"/>
                <w:sz w:val="16"/>
                <w:szCs w:val="16"/>
              </w:rPr>
            </w:pPr>
            <w:r>
              <w:rPr>
                <w:rStyle w:val="a6"/>
                <w:rFonts w:eastAsia="Times New Roman"/>
                <w:i w:val="0"/>
                <w:iCs w:val="0"/>
                <w:sz w:val="16"/>
                <w:szCs w:val="16"/>
              </w:rPr>
              <w:t>104,463,676</w:t>
            </w:r>
          </w:p>
        </w:tc>
        <w:tc>
          <w:tcPr>
            <w:tcW w:w="350" w:type="pct"/>
            <w:shd w:val="clear" w:color="auto" w:fill="CCEEFF"/>
            <w:vAlign w:val="bottom"/>
            <w:hideMark/>
          </w:tcPr>
          <w:p w14:paraId="0EB3FD2F" w14:textId="77777777" w:rsidR="00000000" w:rsidRDefault="0053651E">
            <w:pPr>
              <w:jc w:val="right"/>
              <w:rPr>
                <w:rFonts w:eastAsia="Times New Roman"/>
                <w:sz w:val="16"/>
                <w:szCs w:val="16"/>
              </w:rPr>
            </w:pPr>
            <w:r>
              <w:rPr>
                <w:rStyle w:val="a6"/>
                <w:rFonts w:eastAsia="Times New Roman"/>
                <w:i w:val="0"/>
                <w:iCs w:val="0"/>
                <w:sz w:val="16"/>
                <w:szCs w:val="16"/>
              </w:rPr>
              <w:t>157,748,792</w:t>
            </w:r>
          </w:p>
        </w:tc>
        <w:tc>
          <w:tcPr>
            <w:tcW w:w="400" w:type="pct"/>
            <w:shd w:val="clear" w:color="auto" w:fill="CCEEFF"/>
            <w:vAlign w:val="bottom"/>
            <w:hideMark/>
          </w:tcPr>
          <w:p w14:paraId="2A04AC32" w14:textId="77777777" w:rsidR="00000000" w:rsidRDefault="0053651E">
            <w:pPr>
              <w:jc w:val="right"/>
              <w:rPr>
                <w:rFonts w:eastAsia="Times New Roman"/>
                <w:sz w:val="16"/>
                <w:szCs w:val="16"/>
              </w:rPr>
            </w:pPr>
            <w:r>
              <w:rPr>
                <w:rStyle w:val="a6"/>
                <w:rFonts w:eastAsia="Times New Roman"/>
                <w:i w:val="0"/>
                <w:iCs w:val="0"/>
                <w:sz w:val="16"/>
                <w:szCs w:val="16"/>
              </w:rPr>
              <w:t>20,981,140</w:t>
            </w:r>
          </w:p>
        </w:tc>
        <w:tc>
          <w:tcPr>
            <w:tcW w:w="50" w:type="pct"/>
            <w:shd w:val="clear" w:color="auto" w:fill="CCEEFF"/>
            <w:vAlign w:val="bottom"/>
            <w:hideMark/>
          </w:tcPr>
          <w:p w14:paraId="104ED5E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B6FD8CD" w14:textId="77777777" w:rsidR="00000000" w:rsidRDefault="0053651E">
            <w:pPr>
              <w:jc w:val="right"/>
              <w:rPr>
                <w:rFonts w:eastAsia="Times New Roman"/>
                <w:sz w:val="16"/>
                <w:szCs w:val="16"/>
              </w:rPr>
            </w:pPr>
            <w:r>
              <w:rPr>
                <w:rStyle w:val="a6"/>
                <w:rFonts w:eastAsia="Times New Roman"/>
                <w:i w:val="0"/>
                <w:iCs w:val="0"/>
                <w:sz w:val="16"/>
                <w:szCs w:val="16"/>
              </w:rPr>
              <w:t>136,767,652</w:t>
            </w:r>
          </w:p>
        </w:tc>
        <w:tc>
          <w:tcPr>
            <w:tcW w:w="50" w:type="pct"/>
            <w:shd w:val="clear" w:color="auto" w:fill="CCEEFF"/>
            <w:vAlign w:val="bottom"/>
            <w:hideMark/>
          </w:tcPr>
          <w:p w14:paraId="4CDD15ED"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89EFCB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6650D2BD"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1CF782C1" w14:textId="77777777">
        <w:trPr>
          <w:tblCellSpacing w:w="0" w:type="dxa"/>
        </w:trPr>
        <w:tc>
          <w:tcPr>
            <w:tcW w:w="50" w:type="pct"/>
            <w:shd w:val="clear" w:color="auto" w:fill="FFFFFF"/>
            <w:vAlign w:val="bottom"/>
            <w:hideMark/>
          </w:tcPr>
          <w:p w14:paraId="4552503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1DBC392" w14:textId="77777777" w:rsidR="00000000" w:rsidRDefault="0053651E">
            <w:pPr>
              <w:pStyle w:val="a3"/>
              <w:spacing w:before="0" w:beforeAutospacing="0" w:after="0" w:afterAutospacing="0"/>
              <w:rPr>
                <w:sz w:val="16"/>
                <w:szCs w:val="16"/>
              </w:rPr>
            </w:pPr>
            <w:r>
              <w:rPr>
                <w:rStyle w:val="a6"/>
                <w:i w:val="0"/>
                <w:iCs w:val="0"/>
                <w:sz w:val="16"/>
                <w:szCs w:val="16"/>
              </w:rPr>
              <w:t>DOCSTONE COMMONS</w:t>
            </w:r>
          </w:p>
        </w:tc>
        <w:tc>
          <w:tcPr>
            <w:tcW w:w="150" w:type="pct"/>
            <w:shd w:val="clear" w:color="auto" w:fill="FFFFFF"/>
            <w:vAlign w:val="bottom"/>
            <w:hideMark/>
          </w:tcPr>
          <w:p w14:paraId="66EA61FF"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FFFFFF"/>
            <w:vAlign w:val="bottom"/>
            <w:hideMark/>
          </w:tcPr>
          <w:p w14:paraId="48BE690D" w14:textId="77777777" w:rsidR="00000000" w:rsidRDefault="0053651E">
            <w:pPr>
              <w:jc w:val="right"/>
              <w:rPr>
                <w:rFonts w:eastAsia="Times New Roman"/>
                <w:sz w:val="16"/>
                <w:szCs w:val="16"/>
              </w:rPr>
            </w:pPr>
            <w:r>
              <w:rPr>
                <w:rStyle w:val="a6"/>
                <w:rFonts w:eastAsia="Times New Roman"/>
                <w:i w:val="0"/>
                <w:iCs w:val="0"/>
                <w:sz w:val="16"/>
                <w:szCs w:val="16"/>
              </w:rPr>
              <w:t>3,839,249</w:t>
            </w:r>
          </w:p>
        </w:tc>
        <w:tc>
          <w:tcPr>
            <w:tcW w:w="550" w:type="pct"/>
            <w:shd w:val="clear" w:color="auto" w:fill="FFFFFF"/>
            <w:vAlign w:val="bottom"/>
            <w:hideMark/>
          </w:tcPr>
          <w:p w14:paraId="4BD0FA67" w14:textId="77777777" w:rsidR="00000000" w:rsidRDefault="0053651E">
            <w:pPr>
              <w:jc w:val="right"/>
              <w:rPr>
                <w:rFonts w:eastAsia="Times New Roman"/>
                <w:sz w:val="16"/>
                <w:szCs w:val="16"/>
              </w:rPr>
            </w:pPr>
            <w:r>
              <w:rPr>
                <w:rStyle w:val="a6"/>
                <w:rFonts w:eastAsia="Times New Roman"/>
                <w:i w:val="0"/>
                <w:iCs w:val="0"/>
                <w:sz w:val="16"/>
                <w:szCs w:val="16"/>
              </w:rPr>
              <w:t>11,468,264</w:t>
            </w:r>
          </w:p>
        </w:tc>
        <w:tc>
          <w:tcPr>
            <w:tcW w:w="350" w:type="pct"/>
            <w:shd w:val="clear" w:color="auto" w:fill="FFFFFF"/>
            <w:vAlign w:val="bottom"/>
            <w:hideMark/>
          </w:tcPr>
          <w:p w14:paraId="2B2323BA" w14:textId="77777777" w:rsidR="00000000" w:rsidRDefault="0053651E">
            <w:pPr>
              <w:jc w:val="right"/>
              <w:rPr>
                <w:rFonts w:eastAsia="Times New Roman"/>
                <w:sz w:val="16"/>
                <w:szCs w:val="16"/>
              </w:rPr>
            </w:pPr>
            <w:r>
              <w:rPr>
                <w:rStyle w:val="a6"/>
                <w:rFonts w:eastAsia="Times New Roman"/>
                <w:i w:val="0"/>
                <w:iCs w:val="0"/>
                <w:sz w:val="16"/>
                <w:szCs w:val="16"/>
              </w:rPr>
              <w:t>473,394</w:t>
            </w:r>
          </w:p>
        </w:tc>
        <w:tc>
          <w:tcPr>
            <w:tcW w:w="300" w:type="pct"/>
            <w:shd w:val="clear" w:color="auto" w:fill="FFFFFF"/>
            <w:vAlign w:val="bottom"/>
            <w:hideMark/>
          </w:tcPr>
          <w:p w14:paraId="7E1E5608" w14:textId="77777777" w:rsidR="00000000" w:rsidRDefault="0053651E">
            <w:pPr>
              <w:jc w:val="right"/>
              <w:rPr>
                <w:rFonts w:eastAsia="Times New Roman"/>
                <w:sz w:val="16"/>
                <w:szCs w:val="16"/>
              </w:rPr>
            </w:pPr>
            <w:r>
              <w:rPr>
                <w:rStyle w:val="a6"/>
                <w:rFonts w:eastAsia="Times New Roman"/>
                <w:i w:val="0"/>
                <w:iCs w:val="0"/>
                <w:sz w:val="16"/>
                <w:szCs w:val="16"/>
              </w:rPr>
              <w:t>3,903,963</w:t>
            </w:r>
          </w:p>
        </w:tc>
        <w:tc>
          <w:tcPr>
            <w:tcW w:w="450" w:type="pct"/>
            <w:shd w:val="clear" w:color="auto" w:fill="FFFFFF"/>
            <w:vAlign w:val="bottom"/>
            <w:hideMark/>
          </w:tcPr>
          <w:p w14:paraId="6CD76B56" w14:textId="77777777" w:rsidR="00000000" w:rsidRDefault="0053651E">
            <w:pPr>
              <w:jc w:val="right"/>
              <w:rPr>
                <w:rFonts w:eastAsia="Times New Roman"/>
                <w:sz w:val="16"/>
                <w:szCs w:val="16"/>
              </w:rPr>
            </w:pPr>
            <w:r>
              <w:rPr>
                <w:rStyle w:val="a6"/>
                <w:rFonts w:eastAsia="Times New Roman"/>
                <w:i w:val="0"/>
                <w:iCs w:val="0"/>
                <w:sz w:val="16"/>
                <w:szCs w:val="16"/>
              </w:rPr>
              <w:t>11,876,944</w:t>
            </w:r>
          </w:p>
        </w:tc>
        <w:tc>
          <w:tcPr>
            <w:tcW w:w="350" w:type="pct"/>
            <w:shd w:val="clear" w:color="auto" w:fill="FFFFFF"/>
            <w:vAlign w:val="bottom"/>
            <w:hideMark/>
          </w:tcPr>
          <w:p w14:paraId="1F3DBAF4" w14:textId="77777777" w:rsidR="00000000" w:rsidRDefault="0053651E">
            <w:pPr>
              <w:jc w:val="right"/>
              <w:rPr>
                <w:rFonts w:eastAsia="Times New Roman"/>
                <w:sz w:val="16"/>
                <w:szCs w:val="16"/>
              </w:rPr>
            </w:pPr>
            <w:r>
              <w:rPr>
                <w:rStyle w:val="a6"/>
                <w:rFonts w:eastAsia="Times New Roman"/>
                <w:i w:val="0"/>
                <w:iCs w:val="0"/>
                <w:sz w:val="16"/>
                <w:szCs w:val="16"/>
              </w:rPr>
              <w:t>15,780,907</w:t>
            </w:r>
          </w:p>
        </w:tc>
        <w:tc>
          <w:tcPr>
            <w:tcW w:w="400" w:type="pct"/>
            <w:shd w:val="clear" w:color="auto" w:fill="FFFFFF"/>
            <w:vAlign w:val="bottom"/>
            <w:hideMark/>
          </w:tcPr>
          <w:p w14:paraId="1E39EE19" w14:textId="77777777" w:rsidR="00000000" w:rsidRDefault="0053651E">
            <w:pPr>
              <w:jc w:val="right"/>
              <w:rPr>
                <w:rFonts w:eastAsia="Times New Roman"/>
                <w:sz w:val="16"/>
                <w:szCs w:val="16"/>
              </w:rPr>
            </w:pPr>
            <w:r>
              <w:rPr>
                <w:rStyle w:val="a6"/>
                <w:rFonts w:eastAsia="Times New Roman"/>
                <w:i w:val="0"/>
                <w:iCs w:val="0"/>
                <w:sz w:val="16"/>
                <w:szCs w:val="16"/>
              </w:rPr>
              <w:t>1,275,976</w:t>
            </w:r>
          </w:p>
        </w:tc>
        <w:tc>
          <w:tcPr>
            <w:tcW w:w="50" w:type="pct"/>
            <w:shd w:val="clear" w:color="auto" w:fill="FFFFFF"/>
            <w:vAlign w:val="bottom"/>
            <w:hideMark/>
          </w:tcPr>
          <w:p w14:paraId="2F6FE53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2B82D70" w14:textId="77777777" w:rsidR="00000000" w:rsidRDefault="0053651E">
            <w:pPr>
              <w:jc w:val="right"/>
              <w:rPr>
                <w:rFonts w:eastAsia="Times New Roman"/>
                <w:sz w:val="16"/>
                <w:szCs w:val="16"/>
              </w:rPr>
            </w:pPr>
            <w:r>
              <w:rPr>
                <w:rStyle w:val="a6"/>
                <w:rFonts w:eastAsia="Times New Roman"/>
                <w:i w:val="0"/>
                <w:iCs w:val="0"/>
                <w:sz w:val="16"/>
                <w:szCs w:val="16"/>
              </w:rPr>
              <w:t>14,504,931</w:t>
            </w:r>
          </w:p>
        </w:tc>
        <w:tc>
          <w:tcPr>
            <w:tcW w:w="50" w:type="pct"/>
            <w:shd w:val="clear" w:color="auto" w:fill="FFFFFF"/>
            <w:vAlign w:val="bottom"/>
            <w:hideMark/>
          </w:tcPr>
          <w:p w14:paraId="1EB41B1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E7F654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785CD8D6"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36D453A5" w14:textId="77777777">
        <w:trPr>
          <w:tblCellSpacing w:w="0" w:type="dxa"/>
        </w:trPr>
        <w:tc>
          <w:tcPr>
            <w:tcW w:w="50" w:type="pct"/>
            <w:shd w:val="clear" w:color="auto" w:fill="CCEEFF"/>
            <w:vAlign w:val="bottom"/>
            <w:hideMark/>
          </w:tcPr>
          <w:p w14:paraId="5E5FE71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030B040" w14:textId="77777777" w:rsidR="00000000" w:rsidRDefault="0053651E">
            <w:pPr>
              <w:pStyle w:val="a3"/>
              <w:spacing w:before="0" w:beforeAutospacing="0" w:after="0" w:afterAutospacing="0"/>
              <w:rPr>
                <w:sz w:val="16"/>
                <w:szCs w:val="16"/>
              </w:rPr>
            </w:pPr>
            <w:r>
              <w:rPr>
                <w:rStyle w:val="a6"/>
                <w:i w:val="0"/>
                <w:iCs w:val="0"/>
                <w:sz w:val="16"/>
                <w:szCs w:val="16"/>
              </w:rPr>
              <w:t>DOCSTONE O/P - STAPLES</w:t>
            </w:r>
          </w:p>
        </w:tc>
        <w:tc>
          <w:tcPr>
            <w:tcW w:w="150" w:type="pct"/>
            <w:shd w:val="clear" w:color="auto" w:fill="CCEEFF"/>
            <w:vAlign w:val="bottom"/>
            <w:hideMark/>
          </w:tcPr>
          <w:p w14:paraId="06E653C1"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CCEEFF"/>
            <w:vAlign w:val="bottom"/>
            <w:hideMark/>
          </w:tcPr>
          <w:p w14:paraId="4D27D80C" w14:textId="77777777" w:rsidR="00000000" w:rsidRDefault="0053651E">
            <w:pPr>
              <w:jc w:val="right"/>
              <w:rPr>
                <w:rFonts w:eastAsia="Times New Roman"/>
                <w:sz w:val="16"/>
                <w:szCs w:val="16"/>
              </w:rPr>
            </w:pPr>
            <w:r>
              <w:rPr>
                <w:rStyle w:val="a6"/>
                <w:rFonts w:eastAsia="Times New Roman"/>
                <w:i w:val="0"/>
                <w:iCs w:val="0"/>
                <w:sz w:val="16"/>
                <w:szCs w:val="16"/>
              </w:rPr>
              <w:t>1,425,307</w:t>
            </w:r>
          </w:p>
        </w:tc>
        <w:tc>
          <w:tcPr>
            <w:tcW w:w="550" w:type="pct"/>
            <w:shd w:val="clear" w:color="auto" w:fill="CCEEFF"/>
            <w:vAlign w:val="bottom"/>
            <w:hideMark/>
          </w:tcPr>
          <w:p w14:paraId="0C982266" w14:textId="77777777" w:rsidR="00000000" w:rsidRDefault="0053651E">
            <w:pPr>
              <w:jc w:val="right"/>
              <w:rPr>
                <w:rFonts w:eastAsia="Times New Roman"/>
                <w:sz w:val="16"/>
                <w:szCs w:val="16"/>
              </w:rPr>
            </w:pPr>
            <w:r>
              <w:rPr>
                <w:rStyle w:val="a6"/>
                <w:rFonts w:eastAsia="Times New Roman"/>
                <w:i w:val="0"/>
                <w:iCs w:val="0"/>
                <w:sz w:val="16"/>
                <w:szCs w:val="16"/>
              </w:rPr>
              <w:t>4,317,552</w:t>
            </w:r>
          </w:p>
        </w:tc>
        <w:tc>
          <w:tcPr>
            <w:tcW w:w="350" w:type="pct"/>
            <w:shd w:val="clear" w:color="auto" w:fill="CCEEFF"/>
            <w:vAlign w:val="bottom"/>
            <w:hideMark/>
          </w:tcPr>
          <w:p w14:paraId="436C54F5" w14:textId="77777777" w:rsidR="00000000" w:rsidRDefault="0053651E">
            <w:pPr>
              <w:jc w:val="right"/>
              <w:rPr>
                <w:rFonts w:eastAsia="Times New Roman"/>
                <w:sz w:val="16"/>
                <w:szCs w:val="16"/>
              </w:rPr>
            </w:pPr>
            <w:r>
              <w:rPr>
                <w:rStyle w:val="a6"/>
                <w:rFonts w:eastAsia="Times New Roman"/>
                <w:i w:val="0"/>
                <w:iCs w:val="0"/>
                <w:sz w:val="16"/>
                <w:szCs w:val="16"/>
              </w:rPr>
              <w:t>(883,709)</w:t>
            </w:r>
          </w:p>
        </w:tc>
        <w:tc>
          <w:tcPr>
            <w:tcW w:w="300" w:type="pct"/>
            <w:shd w:val="clear" w:color="auto" w:fill="CCEEFF"/>
            <w:vAlign w:val="bottom"/>
            <w:hideMark/>
          </w:tcPr>
          <w:p w14:paraId="2E0413CC" w14:textId="77777777" w:rsidR="00000000" w:rsidRDefault="0053651E">
            <w:pPr>
              <w:jc w:val="right"/>
              <w:rPr>
                <w:rFonts w:eastAsia="Times New Roman"/>
                <w:sz w:val="16"/>
                <w:szCs w:val="16"/>
              </w:rPr>
            </w:pPr>
            <w:r>
              <w:rPr>
                <w:rStyle w:val="a6"/>
                <w:rFonts w:eastAsia="Times New Roman"/>
                <w:i w:val="0"/>
                <w:iCs w:val="0"/>
                <w:sz w:val="16"/>
                <w:szCs w:val="16"/>
              </w:rPr>
              <w:t>1,167,588</w:t>
            </w:r>
          </w:p>
        </w:tc>
        <w:tc>
          <w:tcPr>
            <w:tcW w:w="450" w:type="pct"/>
            <w:shd w:val="clear" w:color="auto" w:fill="CCEEFF"/>
            <w:vAlign w:val="bottom"/>
            <w:hideMark/>
          </w:tcPr>
          <w:p w14:paraId="6D7835F3" w14:textId="77777777" w:rsidR="00000000" w:rsidRDefault="0053651E">
            <w:pPr>
              <w:jc w:val="right"/>
              <w:rPr>
                <w:rFonts w:eastAsia="Times New Roman"/>
                <w:sz w:val="16"/>
                <w:szCs w:val="16"/>
              </w:rPr>
            </w:pPr>
            <w:r>
              <w:rPr>
                <w:rStyle w:val="a6"/>
                <w:rFonts w:eastAsia="Times New Roman"/>
                <w:i w:val="0"/>
                <w:iCs w:val="0"/>
                <w:sz w:val="16"/>
                <w:szCs w:val="16"/>
              </w:rPr>
              <w:t>3,691,562</w:t>
            </w:r>
          </w:p>
        </w:tc>
        <w:tc>
          <w:tcPr>
            <w:tcW w:w="350" w:type="pct"/>
            <w:shd w:val="clear" w:color="auto" w:fill="CCEEFF"/>
            <w:vAlign w:val="bottom"/>
            <w:hideMark/>
          </w:tcPr>
          <w:p w14:paraId="37BA9800" w14:textId="77777777" w:rsidR="00000000" w:rsidRDefault="0053651E">
            <w:pPr>
              <w:jc w:val="right"/>
              <w:rPr>
                <w:rFonts w:eastAsia="Times New Roman"/>
                <w:sz w:val="16"/>
                <w:szCs w:val="16"/>
              </w:rPr>
            </w:pPr>
            <w:r>
              <w:rPr>
                <w:rStyle w:val="a6"/>
                <w:rFonts w:eastAsia="Times New Roman"/>
                <w:i w:val="0"/>
                <w:iCs w:val="0"/>
                <w:sz w:val="16"/>
                <w:szCs w:val="16"/>
              </w:rPr>
              <w:t>4,859,150</w:t>
            </w:r>
          </w:p>
        </w:tc>
        <w:tc>
          <w:tcPr>
            <w:tcW w:w="400" w:type="pct"/>
            <w:shd w:val="clear" w:color="auto" w:fill="CCEEFF"/>
            <w:vAlign w:val="bottom"/>
            <w:hideMark/>
          </w:tcPr>
          <w:p w14:paraId="0C66010F" w14:textId="77777777" w:rsidR="00000000" w:rsidRDefault="0053651E">
            <w:pPr>
              <w:jc w:val="right"/>
              <w:rPr>
                <w:rFonts w:eastAsia="Times New Roman"/>
                <w:sz w:val="16"/>
                <w:szCs w:val="16"/>
              </w:rPr>
            </w:pPr>
            <w:r>
              <w:rPr>
                <w:rStyle w:val="a6"/>
                <w:rFonts w:eastAsia="Times New Roman"/>
                <w:i w:val="0"/>
                <w:iCs w:val="0"/>
                <w:sz w:val="16"/>
                <w:szCs w:val="16"/>
              </w:rPr>
              <w:t>537,430</w:t>
            </w:r>
          </w:p>
        </w:tc>
        <w:tc>
          <w:tcPr>
            <w:tcW w:w="50" w:type="pct"/>
            <w:shd w:val="clear" w:color="auto" w:fill="CCEEFF"/>
            <w:vAlign w:val="bottom"/>
            <w:hideMark/>
          </w:tcPr>
          <w:p w14:paraId="404353B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1F0A22C" w14:textId="77777777" w:rsidR="00000000" w:rsidRDefault="0053651E">
            <w:pPr>
              <w:jc w:val="right"/>
              <w:rPr>
                <w:rFonts w:eastAsia="Times New Roman"/>
                <w:sz w:val="16"/>
                <w:szCs w:val="16"/>
              </w:rPr>
            </w:pPr>
            <w:r>
              <w:rPr>
                <w:rStyle w:val="a6"/>
                <w:rFonts w:eastAsia="Times New Roman"/>
                <w:i w:val="0"/>
                <w:iCs w:val="0"/>
                <w:sz w:val="16"/>
                <w:szCs w:val="16"/>
              </w:rPr>
              <w:t>4,321,720</w:t>
            </w:r>
          </w:p>
        </w:tc>
        <w:tc>
          <w:tcPr>
            <w:tcW w:w="50" w:type="pct"/>
            <w:shd w:val="clear" w:color="auto" w:fill="CCEEFF"/>
            <w:vAlign w:val="bottom"/>
            <w:hideMark/>
          </w:tcPr>
          <w:p w14:paraId="378A5F6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279ED9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2A9BD202"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0C92AE8D" w14:textId="77777777">
        <w:trPr>
          <w:tblCellSpacing w:w="0" w:type="dxa"/>
        </w:trPr>
        <w:tc>
          <w:tcPr>
            <w:tcW w:w="50" w:type="pct"/>
            <w:shd w:val="clear" w:color="auto" w:fill="FFFFFF"/>
            <w:vAlign w:val="bottom"/>
            <w:hideMark/>
          </w:tcPr>
          <w:p w14:paraId="0A99AE4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4BF51ED" w14:textId="77777777" w:rsidR="00000000" w:rsidRDefault="0053651E">
            <w:pPr>
              <w:pStyle w:val="a3"/>
              <w:spacing w:before="0" w:beforeAutospacing="0" w:after="0" w:afterAutospacing="0"/>
              <w:rPr>
                <w:sz w:val="16"/>
                <w:szCs w:val="16"/>
              </w:rPr>
            </w:pPr>
            <w:r>
              <w:rPr>
                <w:rStyle w:val="a6"/>
                <w:i w:val="0"/>
                <w:iCs w:val="0"/>
                <w:sz w:val="16"/>
                <w:szCs w:val="16"/>
              </w:rPr>
              <w:t>STAFFORD MARKETPLACE</w:t>
            </w:r>
          </w:p>
        </w:tc>
        <w:tc>
          <w:tcPr>
            <w:tcW w:w="150" w:type="pct"/>
            <w:shd w:val="clear" w:color="auto" w:fill="FFFFFF"/>
            <w:vAlign w:val="bottom"/>
            <w:hideMark/>
          </w:tcPr>
          <w:p w14:paraId="7AB6C829"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FFFFFF"/>
            <w:vAlign w:val="bottom"/>
            <w:hideMark/>
          </w:tcPr>
          <w:p w14:paraId="5129CFA5" w14:textId="77777777" w:rsidR="00000000" w:rsidRDefault="0053651E">
            <w:pPr>
              <w:jc w:val="right"/>
              <w:rPr>
                <w:rFonts w:eastAsia="Times New Roman"/>
                <w:sz w:val="16"/>
                <w:szCs w:val="16"/>
              </w:rPr>
            </w:pPr>
            <w:r>
              <w:rPr>
                <w:rStyle w:val="a6"/>
                <w:rFonts w:eastAsia="Times New Roman"/>
                <w:i w:val="0"/>
                <w:iCs w:val="0"/>
                <w:sz w:val="16"/>
                <w:szCs w:val="16"/>
              </w:rPr>
              <w:t>26,893,429</w:t>
            </w:r>
          </w:p>
        </w:tc>
        <w:tc>
          <w:tcPr>
            <w:tcW w:w="550" w:type="pct"/>
            <w:shd w:val="clear" w:color="auto" w:fill="FFFFFF"/>
            <w:vAlign w:val="bottom"/>
            <w:hideMark/>
          </w:tcPr>
          <w:p w14:paraId="4C0FC56E" w14:textId="77777777" w:rsidR="00000000" w:rsidRDefault="0053651E">
            <w:pPr>
              <w:jc w:val="right"/>
              <w:rPr>
                <w:rFonts w:eastAsia="Times New Roman"/>
                <w:sz w:val="16"/>
                <w:szCs w:val="16"/>
              </w:rPr>
            </w:pPr>
            <w:r>
              <w:rPr>
                <w:rStyle w:val="a6"/>
                <w:rFonts w:eastAsia="Times New Roman"/>
                <w:i w:val="0"/>
                <w:iCs w:val="0"/>
                <w:sz w:val="16"/>
                <w:szCs w:val="16"/>
              </w:rPr>
              <w:t>86,449,614</w:t>
            </w:r>
          </w:p>
        </w:tc>
        <w:tc>
          <w:tcPr>
            <w:tcW w:w="350" w:type="pct"/>
            <w:shd w:val="clear" w:color="auto" w:fill="FFFFFF"/>
            <w:vAlign w:val="bottom"/>
            <w:hideMark/>
          </w:tcPr>
          <w:p w14:paraId="1415FAA9" w14:textId="77777777" w:rsidR="00000000" w:rsidRDefault="0053651E">
            <w:pPr>
              <w:jc w:val="right"/>
              <w:rPr>
                <w:rFonts w:eastAsia="Times New Roman"/>
                <w:sz w:val="16"/>
                <w:szCs w:val="16"/>
              </w:rPr>
            </w:pPr>
            <w:r>
              <w:rPr>
                <w:rStyle w:val="a6"/>
                <w:rFonts w:eastAsia="Times New Roman"/>
                <w:i w:val="0"/>
                <w:iCs w:val="0"/>
                <w:sz w:val="16"/>
                <w:szCs w:val="16"/>
              </w:rPr>
              <w:t>764,107</w:t>
            </w:r>
          </w:p>
        </w:tc>
        <w:tc>
          <w:tcPr>
            <w:tcW w:w="300" w:type="pct"/>
            <w:shd w:val="clear" w:color="auto" w:fill="FFFFFF"/>
            <w:vAlign w:val="bottom"/>
            <w:hideMark/>
          </w:tcPr>
          <w:p w14:paraId="2A3DD5E0" w14:textId="77777777" w:rsidR="00000000" w:rsidRDefault="0053651E">
            <w:pPr>
              <w:jc w:val="right"/>
              <w:rPr>
                <w:rFonts w:eastAsia="Times New Roman"/>
                <w:sz w:val="16"/>
                <w:szCs w:val="16"/>
              </w:rPr>
            </w:pPr>
            <w:r>
              <w:rPr>
                <w:rStyle w:val="a6"/>
                <w:rFonts w:eastAsia="Times New Roman"/>
                <w:i w:val="0"/>
                <w:iCs w:val="0"/>
                <w:sz w:val="16"/>
                <w:szCs w:val="16"/>
              </w:rPr>
              <w:t>26,893,429</w:t>
            </w:r>
          </w:p>
        </w:tc>
        <w:tc>
          <w:tcPr>
            <w:tcW w:w="450" w:type="pct"/>
            <w:shd w:val="clear" w:color="auto" w:fill="FFFFFF"/>
            <w:vAlign w:val="bottom"/>
            <w:hideMark/>
          </w:tcPr>
          <w:p w14:paraId="2142B9DC" w14:textId="77777777" w:rsidR="00000000" w:rsidRDefault="0053651E">
            <w:pPr>
              <w:jc w:val="right"/>
              <w:rPr>
                <w:rFonts w:eastAsia="Times New Roman"/>
                <w:sz w:val="16"/>
                <w:szCs w:val="16"/>
              </w:rPr>
            </w:pPr>
            <w:r>
              <w:rPr>
                <w:rStyle w:val="a6"/>
                <w:rFonts w:eastAsia="Times New Roman"/>
                <w:i w:val="0"/>
                <w:iCs w:val="0"/>
                <w:sz w:val="16"/>
                <w:szCs w:val="16"/>
              </w:rPr>
              <w:t>87,213,721</w:t>
            </w:r>
          </w:p>
        </w:tc>
        <w:tc>
          <w:tcPr>
            <w:tcW w:w="350" w:type="pct"/>
            <w:shd w:val="clear" w:color="auto" w:fill="FFFFFF"/>
            <w:vAlign w:val="bottom"/>
            <w:hideMark/>
          </w:tcPr>
          <w:p w14:paraId="17E0EB57" w14:textId="77777777" w:rsidR="00000000" w:rsidRDefault="0053651E">
            <w:pPr>
              <w:jc w:val="right"/>
              <w:rPr>
                <w:rFonts w:eastAsia="Times New Roman"/>
                <w:sz w:val="16"/>
                <w:szCs w:val="16"/>
              </w:rPr>
            </w:pPr>
            <w:r>
              <w:rPr>
                <w:rStyle w:val="a6"/>
                <w:rFonts w:eastAsia="Times New Roman"/>
                <w:i w:val="0"/>
                <w:iCs w:val="0"/>
                <w:sz w:val="16"/>
                <w:szCs w:val="16"/>
              </w:rPr>
              <w:t>114,107,150</w:t>
            </w:r>
          </w:p>
        </w:tc>
        <w:tc>
          <w:tcPr>
            <w:tcW w:w="400" w:type="pct"/>
            <w:shd w:val="clear" w:color="auto" w:fill="FFFFFF"/>
            <w:vAlign w:val="bottom"/>
            <w:hideMark/>
          </w:tcPr>
          <w:p w14:paraId="2AB127D9" w14:textId="77777777" w:rsidR="00000000" w:rsidRDefault="0053651E">
            <w:pPr>
              <w:jc w:val="right"/>
              <w:rPr>
                <w:rFonts w:eastAsia="Times New Roman"/>
                <w:sz w:val="16"/>
                <w:szCs w:val="16"/>
              </w:rPr>
            </w:pPr>
            <w:r>
              <w:rPr>
                <w:rStyle w:val="a6"/>
                <w:rFonts w:eastAsia="Times New Roman"/>
                <w:i w:val="0"/>
                <w:iCs w:val="0"/>
                <w:sz w:val="16"/>
                <w:szCs w:val="16"/>
              </w:rPr>
              <w:t>14,820,039</w:t>
            </w:r>
          </w:p>
        </w:tc>
        <w:tc>
          <w:tcPr>
            <w:tcW w:w="50" w:type="pct"/>
            <w:shd w:val="clear" w:color="auto" w:fill="FFFFFF"/>
            <w:vAlign w:val="bottom"/>
            <w:hideMark/>
          </w:tcPr>
          <w:p w14:paraId="69526EF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A790B33" w14:textId="77777777" w:rsidR="00000000" w:rsidRDefault="0053651E">
            <w:pPr>
              <w:jc w:val="right"/>
              <w:rPr>
                <w:rFonts w:eastAsia="Times New Roman"/>
                <w:sz w:val="16"/>
                <w:szCs w:val="16"/>
              </w:rPr>
            </w:pPr>
            <w:r>
              <w:rPr>
                <w:rStyle w:val="a6"/>
                <w:rFonts w:eastAsia="Times New Roman"/>
                <w:i w:val="0"/>
                <w:iCs w:val="0"/>
                <w:sz w:val="16"/>
                <w:szCs w:val="16"/>
              </w:rPr>
              <w:t>99,287,111</w:t>
            </w:r>
          </w:p>
        </w:tc>
        <w:tc>
          <w:tcPr>
            <w:tcW w:w="50" w:type="pct"/>
            <w:shd w:val="clear" w:color="auto" w:fill="FFFFFF"/>
            <w:vAlign w:val="bottom"/>
            <w:hideMark/>
          </w:tcPr>
          <w:p w14:paraId="30AF5FD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52FCC3C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45EF68C2"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6479DB9E" w14:textId="77777777">
        <w:trPr>
          <w:tblCellSpacing w:w="0" w:type="dxa"/>
        </w:trPr>
        <w:tc>
          <w:tcPr>
            <w:tcW w:w="50" w:type="pct"/>
            <w:shd w:val="clear" w:color="auto" w:fill="CCEEFF"/>
            <w:vAlign w:val="bottom"/>
            <w:hideMark/>
          </w:tcPr>
          <w:p w14:paraId="723F030E"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66513E3" w14:textId="77777777" w:rsidR="00000000" w:rsidRDefault="0053651E">
            <w:pPr>
              <w:pStyle w:val="a3"/>
              <w:spacing w:before="0" w:beforeAutospacing="0" w:after="0" w:afterAutospacing="0"/>
              <w:rPr>
                <w:sz w:val="16"/>
                <w:szCs w:val="16"/>
              </w:rPr>
            </w:pPr>
            <w:r>
              <w:rPr>
                <w:rStyle w:val="a6"/>
                <w:i w:val="0"/>
                <w:iCs w:val="0"/>
                <w:sz w:val="16"/>
                <w:szCs w:val="16"/>
              </w:rPr>
              <w:t>GORDON PLAZA</w:t>
            </w:r>
          </w:p>
        </w:tc>
        <w:tc>
          <w:tcPr>
            <w:tcW w:w="150" w:type="pct"/>
            <w:shd w:val="clear" w:color="auto" w:fill="CCEEFF"/>
            <w:vAlign w:val="bottom"/>
            <w:hideMark/>
          </w:tcPr>
          <w:p w14:paraId="1EB8E992" w14:textId="77777777" w:rsidR="00000000" w:rsidRDefault="0053651E">
            <w:pPr>
              <w:pStyle w:val="a3"/>
              <w:spacing w:before="0" w:beforeAutospacing="0" w:after="0" w:afterAutospacing="0"/>
              <w:rPr>
                <w:sz w:val="16"/>
                <w:szCs w:val="16"/>
              </w:rPr>
            </w:pPr>
            <w:r>
              <w:rPr>
                <w:rStyle w:val="a6"/>
                <w:i w:val="0"/>
                <w:iCs w:val="0"/>
                <w:sz w:val="16"/>
                <w:szCs w:val="16"/>
              </w:rPr>
              <w:t>VA</w:t>
            </w:r>
          </w:p>
        </w:tc>
        <w:tc>
          <w:tcPr>
            <w:tcW w:w="300" w:type="pct"/>
            <w:shd w:val="clear" w:color="auto" w:fill="CCEEFF"/>
            <w:vAlign w:val="bottom"/>
            <w:hideMark/>
          </w:tcPr>
          <w:p w14:paraId="36E5547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50" w:type="pct"/>
            <w:shd w:val="clear" w:color="auto" w:fill="CCEEFF"/>
            <w:vAlign w:val="bottom"/>
            <w:hideMark/>
          </w:tcPr>
          <w:p w14:paraId="16E72012" w14:textId="77777777" w:rsidR="00000000" w:rsidRDefault="0053651E">
            <w:pPr>
              <w:jc w:val="right"/>
              <w:rPr>
                <w:rFonts w:eastAsia="Times New Roman"/>
                <w:sz w:val="16"/>
                <w:szCs w:val="16"/>
              </w:rPr>
            </w:pPr>
            <w:r>
              <w:rPr>
                <w:rStyle w:val="a6"/>
                <w:rFonts w:eastAsia="Times New Roman"/>
                <w:i w:val="0"/>
                <w:iCs w:val="0"/>
                <w:sz w:val="16"/>
                <w:szCs w:val="16"/>
              </w:rPr>
              <w:t>3,330,621</w:t>
            </w:r>
          </w:p>
        </w:tc>
        <w:tc>
          <w:tcPr>
            <w:tcW w:w="350" w:type="pct"/>
            <w:shd w:val="clear" w:color="auto" w:fill="CCEEFF"/>
            <w:vAlign w:val="bottom"/>
            <w:hideMark/>
          </w:tcPr>
          <w:p w14:paraId="3BC61227" w14:textId="77777777" w:rsidR="00000000" w:rsidRDefault="0053651E">
            <w:pPr>
              <w:jc w:val="right"/>
              <w:rPr>
                <w:rFonts w:eastAsia="Times New Roman"/>
                <w:sz w:val="16"/>
                <w:szCs w:val="16"/>
              </w:rPr>
            </w:pPr>
            <w:r>
              <w:rPr>
                <w:rStyle w:val="a6"/>
                <w:rFonts w:eastAsia="Times New Roman"/>
                <w:i w:val="0"/>
                <w:iCs w:val="0"/>
                <w:sz w:val="16"/>
                <w:szCs w:val="16"/>
              </w:rPr>
              <w:t>25,700</w:t>
            </w:r>
          </w:p>
        </w:tc>
        <w:tc>
          <w:tcPr>
            <w:tcW w:w="300" w:type="pct"/>
            <w:shd w:val="clear" w:color="auto" w:fill="CCEEFF"/>
            <w:vAlign w:val="bottom"/>
            <w:hideMark/>
          </w:tcPr>
          <w:p w14:paraId="38B3442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450" w:type="pct"/>
            <w:shd w:val="clear" w:color="auto" w:fill="CCEEFF"/>
            <w:vAlign w:val="bottom"/>
            <w:hideMark/>
          </w:tcPr>
          <w:p w14:paraId="504B3C4D" w14:textId="77777777" w:rsidR="00000000" w:rsidRDefault="0053651E">
            <w:pPr>
              <w:jc w:val="right"/>
              <w:rPr>
                <w:rFonts w:eastAsia="Times New Roman"/>
                <w:sz w:val="16"/>
                <w:szCs w:val="16"/>
              </w:rPr>
            </w:pPr>
            <w:r>
              <w:rPr>
                <w:rStyle w:val="a6"/>
                <w:rFonts w:eastAsia="Times New Roman"/>
                <w:i w:val="0"/>
                <w:iCs w:val="0"/>
                <w:sz w:val="16"/>
                <w:szCs w:val="16"/>
              </w:rPr>
              <w:t>3,356,321</w:t>
            </w:r>
          </w:p>
        </w:tc>
        <w:tc>
          <w:tcPr>
            <w:tcW w:w="350" w:type="pct"/>
            <w:shd w:val="clear" w:color="auto" w:fill="CCEEFF"/>
            <w:vAlign w:val="bottom"/>
            <w:hideMark/>
          </w:tcPr>
          <w:p w14:paraId="71553A86" w14:textId="77777777" w:rsidR="00000000" w:rsidRDefault="0053651E">
            <w:pPr>
              <w:jc w:val="right"/>
              <w:rPr>
                <w:rFonts w:eastAsia="Times New Roman"/>
                <w:sz w:val="16"/>
                <w:szCs w:val="16"/>
              </w:rPr>
            </w:pPr>
            <w:r>
              <w:rPr>
                <w:rStyle w:val="a6"/>
                <w:rFonts w:eastAsia="Times New Roman"/>
                <w:i w:val="0"/>
                <w:iCs w:val="0"/>
                <w:sz w:val="16"/>
                <w:szCs w:val="16"/>
              </w:rPr>
              <w:t>3,356,321</w:t>
            </w:r>
          </w:p>
        </w:tc>
        <w:tc>
          <w:tcPr>
            <w:tcW w:w="400" w:type="pct"/>
            <w:shd w:val="clear" w:color="auto" w:fill="CCEEFF"/>
            <w:vAlign w:val="bottom"/>
            <w:hideMark/>
          </w:tcPr>
          <w:p w14:paraId="6DB31DBD" w14:textId="77777777" w:rsidR="00000000" w:rsidRDefault="0053651E">
            <w:pPr>
              <w:jc w:val="right"/>
              <w:rPr>
                <w:rFonts w:eastAsia="Times New Roman"/>
                <w:sz w:val="16"/>
                <w:szCs w:val="16"/>
              </w:rPr>
            </w:pPr>
            <w:r>
              <w:rPr>
                <w:rStyle w:val="a6"/>
                <w:rFonts w:eastAsia="Times New Roman"/>
                <w:i w:val="0"/>
                <w:iCs w:val="0"/>
                <w:sz w:val="16"/>
                <w:szCs w:val="16"/>
              </w:rPr>
              <w:t>332,168</w:t>
            </w:r>
          </w:p>
        </w:tc>
        <w:tc>
          <w:tcPr>
            <w:tcW w:w="50" w:type="pct"/>
            <w:shd w:val="clear" w:color="auto" w:fill="CCEEFF"/>
            <w:vAlign w:val="bottom"/>
            <w:hideMark/>
          </w:tcPr>
          <w:p w14:paraId="0B88CDA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1A45579B" w14:textId="77777777" w:rsidR="00000000" w:rsidRDefault="0053651E">
            <w:pPr>
              <w:jc w:val="right"/>
              <w:rPr>
                <w:rFonts w:eastAsia="Times New Roman"/>
                <w:sz w:val="16"/>
                <w:szCs w:val="16"/>
              </w:rPr>
            </w:pPr>
            <w:r>
              <w:rPr>
                <w:rStyle w:val="a6"/>
                <w:rFonts w:eastAsia="Times New Roman"/>
                <w:i w:val="0"/>
                <w:iCs w:val="0"/>
                <w:sz w:val="16"/>
                <w:szCs w:val="16"/>
              </w:rPr>
              <w:t>3,024,153</w:t>
            </w:r>
          </w:p>
        </w:tc>
        <w:tc>
          <w:tcPr>
            <w:tcW w:w="50" w:type="pct"/>
            <w:shd w:val="clear" w:color="auto" w:fill="CCEEFF"/>
            <w:vAlign w:val="bottom"/>
            <w:hideMark/>
          </w:tcPr>
          <w:p w14:paraId="713E9F0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A68124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5592314B" w14:textId="77777777" w:rsidR="00000000" w:rsidRDefault="0053651E">
            <w:pPr>
              <w:pStyle w:val="a3"/>
              <w:spacing w:before="0" w:beforeAutospacing="0" w:after="0" w:afterAutospacing="0"/>
              <w:jc w:val="center"/>
              <w:rPr>
                <w:sz w:val="16"/>
                <w:szCs w:val="16"/>
              </w:rPr>
            </w:pPr>
            <w:r>
              <w:rPr>
                <w:rStyle w:val="a6"/>
                <w:i w:val="0"/>
                <w:iCs w:val="0"/>
                <w:sz w:val="16"/>
                <w:szCs w:val="16"/>
              </w:rPr>
              <w:t>2017(A)</w:t>
            </w:r>
          </w:p>
        </w:tc>
      </w:tr>
      <w:tr w:rsidR="00000000" w14:paraId="4FB569F2" w14:textId="77777777">
        <w:trPr>
          <w:tblCellSpacing w:w="0" w:type="dxa"/>
        </w:trPr>
        <w:tc>
          <w:tcPr>
            <w:tcW w:w="50" w:type="pct"/>
            <w:shd w:val="clear" w:color="auto" w:fill="FFFFFF"/>
            <w:vAlign w:val="bottom"/>
            <w:hideMark/>
          </w:tcPr>
          <w:p w14:paraId="31EB204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4422281" w14:textId="77777777" w:rsidR="00000000" w:rsidRDefault="0053651E">
            <w:pPr>
              <w:pStyle w:val="a3"/>
              <w:spacing w:before="0" w:beforeAutospacing="0" w:after="0" w:afterAutospacing="0"/>
              <w:rPr>
                <w:sz w:val="16"/>
                <w:szCs w:val="16"/>
              </w:rPr>
            </w:pPr>
            <w:r>
              <w:rPr>
                <w:rStyle w:val="a6"/>
                <w:i w:val="0"/>
                <w:iCs w:val="0"/>
                <w:sz w:val="16"/>
                <w:szCs w:val="16"/>
              </w:rPr>
              <w:t>AUBURN NORTH</w:t>
            </w:r>
          </w:p>
        </w:tc>
        <w:tc>
          <w:tcPr>
            <w:tcW w:w="150" w:type="pct"/>
            <w:shd w:val="clear" w:color="auto" w:fill="FFFFFF"/>
            <w:vAlign w:val="bottom"/>
            <w:hideMark/>
          </w:tcPr>
          <w:p w14:paraId="1832791F"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FFFFFF"/>
            <w:vAlign w:val="bottom"/>
            <w:hideMark/>
          </w:tcPr>
          <w:p w14:paraId="635D4DF6" w14:textId="77777777" w:rsidR="00000000" w:rsidRDefault="0053651E">
            <w:pPr>
              <w:jc w:val="right"/>
              <w:rPr>
                <w:rFonts w:eastAsia="Times New Roman"/>
                <w:sz w:val="16"/>
                <w:szCs w:val="16"/>
              </w:rPr>
            </w:pPr>
            <w:r>
              <w:rPr>
                <w:rStyle w:val="a6"/>
                <w:rFonts w:eastAsia="Times New Roman"/>
                <w:i w:val="0"/>
                <w:iCs w:val="0"/>
                <w:sz w:val="16"/>
                <w:szCs w:val="16"/>
              </w:rPr>
              <w:t>7,785,841</w:t>
            </w:r>
          </w:p>
        </w:tc>
        <w:tc>
          <w:tcPr>
            <w:tcW w:w="550" w:type="pct"/>
            <w:shd w:val="clear" w:color="auto" w:fill="FFFFFF"/>
            <w:vAlign w:val="bottom"/>
            <w:hideMark/>
          </w:tcPr>
          <w:p w14:paraId="0D84BCF3" w14:textId="77777777" w:rsidR="00000000" w:rsidRDefault="0053651E">
            <w:pPr>
              <w:jc w:val="right"/>
              <w:rPr>
                <w:rFonts w:eastAsia="Times New Roman"/>
                <w:sz w:val="16"/>
                <w:szCs w:val="16"/>
              </w:rPr>
            </w:pPr>
            <w:r>
              <w:rPr>
                <w:rStyle w:val="a6"/>
                <w:rFonts w:eastAsia="Times New Roman"/>
                <w:i w:val="0"/>
                <w:iCs w:val="0"/>
                <w:sz w:val="16"/>
                <w:szCs w:val="16"/>
              </w:rPr>
              <w:t>18,157,625</w:t>
            </w:r>
          </w:p>
        </w:tc>
        <w:tc>
          <w:tcPr>
            <w:tcW w:w="350" w:type="pct"/>
            <w:shd w:val="clear" w:color="auto" w:fill="FFFFFF"/>
            <w:vAlign w:val="bottom"/>
            <w:hideMark/>
          </w:tcPr>
          <w:p w14:paraId="38515CF1" w14:textId="77777777" w:rsidR="00000000" w:rsidRDefault="0053651E">
            <w:pPr>
              <w:jc w:val="right"/>
              <w:rPr>
                <w:rFonts w:eastAsia="Times New Roman"/>
                <w:sz w:val="16"/>
                <w:szCs w:val="16"/>
              </w:rPr>
            </w:pPr>
            <w:r>
              <w:rPr>
                <w:rStyle w:val="a6"/>
                <w:rFonts w:eastAsia="Times New Roman"/>
                <w:i w:val="0"/>
                <w:iCs w:val="0"/>
                <w:sz w:val="16"/>
                <w:szCs w:val="16"/>
              </w:rPr>
              <w:t>8,622,701</w:t>
            </w:r>
          </w:p>
        </w:tc>
        <w:tc>
          <w:tcPr>
            <w:tcW w:w="300" w:type="pct"/>
            <w:shd w:val="clear" w:color="auto" w:fill="FFFFFF"/>
            <w:vAlign w:val="bottom"/>
            <w:hideMark/>
          </w:tcPr>
          <w:p w14:paraId="246758E7" w14:textId="77777777" w:rsidR="00000000" w:rsidRDefault="0053651E">
            <w:pPr>
              <w:jc w:val="right"/>
              <w:rPr>
                <w:rFonts w:eastAsia="Times New Roman"/>
                <w:sz w:val="16"/>
                <w:szCs w:val="16"/>
              </w:rPr>
            </w:pPr>
            <w:r>
              <w:rPr>
                <w:rStyle w:val="a6"/>
                <w:rFonts w:eastAsia="Times New Roman"/>
                <w:i w:val="0"/>
                <w:iCs w:val="0"/>
                <w:sz w:val="16"/>
                <w:szCs w:val="16"/>
              </w:rPr>
              <w:t>7,785,841</w:t>
            </w:r>
          </w:p>
        </w:tc>
        <w:tc>
          <w:tcPr>
            <w:tcW w:w="450" w:type="pct"/>
            <w:shd w:val="clear" w:color="auto" w:fill="FFFFFF"/>
            <w:vAlign w:val="bottom"/>
            <w:hideMark/>
          </w:tcPr>
          <w:p w14:paraId="2BCA571B" w14:textId="77777777" w:rsidR="00000000" w:rsidRDefault="0053651E">
            <w:pPr>
              <w:jc w:val="right"/>
              <w:rPr>
                <w:rFonts w:eastAsia="Times New Roman"/>
                <w:sz w:val="16"/>
                <w:szCs w:val="16"/>
              </w:rPr>
            </w:pPr>
            <w:r>
              <w:rPr>
                <w:rStyle w:val="a6"/>
                <w:rFonts w:eastAsia="Times New Roman"/>
                <w:i w:val="0"/>
                <w:iCs w:val="0"/>
                <w:sz w:val="16"/>
                <w:szCs w:val="16"/>
              </w:rPr>
              <w:t>26,780,326</w:t>
            </w:r>
          </w:p>
        </w:tc>
        <w:tc>
          <w:tcPr>
            <w:tcW w:w="350" w:type="pct"/>
            <w:shd w:val="clear" w:color="auto" w:fill="FFFFFF"/>
            <w:vAlign w:val="bottom"/>
            <w:hideMark/>
          </w:tcPr>
          <w:p w14:paraId="0C7C81B3" w14:textId="77777777" w:rsidR="00000000" w:rsidRDefault="0053651E">
            <w:pPr>
              <w:jc w:val="right"/>
              <w:rPr>
                <w:rFonts w:eastAsia="Times New Roman"/>
                <w:sz w:val="16"/>
                <w:szCs w:val="16"/>
              </w:rPr>
            </w:pPr>
            <w:r>
              <w:rPr>
                <w:rStyle w:val="a6"/>
                <w:rFonts w:eastAsia="Times New Roman"/>
                <w:i w:val="0"/>
                <w:iCs w:val="0"/>
                <w:sz w:val="16"/>
                <w:szCs w:val="16"/>
              </w:rPr>
              <w:t>34,566,167</w:t>
            </w:r>
          </w:p>
        </w:tc>
        <w:tc>
          <w:tcPr>
            <w:tcW w:w="400" w:type="pct"/>
            <w:shd w:val="clear" w:color="auto" w:fill="FFFFFF"/>
            <w:vAlign w:val="bottom"/>
            <w:hideMark/>
          </w:tcPr>
          <w:p w14:paraId="1F88702B" w14:textId="77777777" w:rsidR="00000000" w:rsidRDefault="0053651E">
            <w:pPr>
              <w:jc w:val="right"/>
              <w:rPr>
                <w:rFonts w:eastAsia="Times New Roman"/>
                <w:sz w:val="16"/>
                <w:szCs w:val="16"/>
              </w:rPr>
            </w:pPr>
            <w:r>
              <w:rPr>
                <w:rStyle w:val="a6"/>
                <w:rFonts w:eastAsia="Times New Roman"/>
                <w:i w:val="0"/>
                <w:iCs w:val="0"/>
                <w:sz w:val="16"/>
                <w:szCs w:val="16"/>
              </w:rPr>
              <w:t>8,556,745</w:t>
            </w:r>
          </w:p>
        </w:tc>
        <w:tc>
          <w:tcPr>
            <w:tcW w:w="50" w:type="pct"/>
            <w:shd w:val="clear" w:color="auto" w:fill="FFFFFF"/>
            <w:vAlign w:val="bottom"/>
            <w:hideMark/>
          </w:tcPr>
          <w:p w14:paraId="5043E7A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81BD1AE" w14:textId="77777777" w:rsidR="00000000" w:rsidRDefault="0053651E">
            <w:pPr>
              <w:jc w:val="right"/>
              <w:rPr>
                <w:rFonts w:eastAsia="Times New Roman"/>
                <w:sz w:val="16"/>
                <w:szCs w:val="16"/>
              </w:rPr>
            </w:pPr>
            <w:r>
              <w:rPr>
                <w:rStyle w:val="a6"/>
                <w:rFonts w:eastAsia="Times New Roman"/>
                <w:i w:val="0"/>
                <w:iCs w:val="0"/>
                <w:sz w:val="16"/>
                <w:szCs w:val="16"/>
              </w:rPr>
              <w:t>26,009,422</w:t>
            </w:r>
          </w:p>
        </w:tc>
        <w:tc>
          <w:tcPr>
            <w:tcW w:w="50" w:type="pct"/>
            <w:shd w:val="clear" w:color="auto" w:fill="FFFFFF"/>
            <w:vAlign w:val="bottom"/>
            <w:hideMark/>
          </w:tcPr>
          <w:p w14:paraId="3E47E76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67849F5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65E2FA9E"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0406DAF3" w14:textId="77777777">
        <w:trPr>
          <w:tblCellSpacing w:w="0" w:type="dxa"/>
        </w:trPr>
        <w:tc>
          <w:tcPr>
            <w:tcW w:w="50" w:type="pct"/>
            <w:shd w:val="clear" w:color="auto" w:fill="CCEEFF"/>
            <w:vAlign w:val="bottom"/>
            <w:hideMark/>
          </w:tcPr>
          <w:p w14:paraId="7DAE4DF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22F2E463" w14:textId="77777777" w:rsidR="00000000" w:rsidRDefault="0053651E">
            <w:pPr>
              <w:pStyle w:val="a3"/>
              <w:spacing w:before="0" w:beforeAutospacing="0" w:after="0" w:afterAutospacing="0"/>
              <w:rPr>
                <w:sz w:val="16"/>
                <w:szCs w:val="16"/>
              </w:rPr>
            </w:pPr>
            <w:r>
              <w:rPr>
                <w:rStyle w:val="a6"/>
                <w:i w:val="0"/>
                <w:iCs w:val="0"/>
                <w:sz w:val="16"/>
                <w:szCs w:val="16"/>
              </w:rPr>
              <w:t>THE MARKETPLACE AT FACTORIA</w:t>
            </w:r>
          </w:p>
        </w:tc>
        <w:tc>
          <w:tcPr>
            <w:tcW w:w="150" w:type="pct"/>
            <w:shd w:val="clear" w:color="auto" w:fill="CCEEFF"/>
            <w:vAlign w:val="bottom"/>
            <w:hideMark/>
          </w:tcPr>
          <w:p w14:paraId="5B307F02"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CCEEFF"/>
            <w:vAlign w:val="bottom"/>
            <w:hideMark/>
          </w:tcPr>
          <w:p w14:paraId="6E854FC8" w14:textId="77777777" w:rsidR="00000000" w:rsidRDefault="0053651E">
            <w:pPr>
              <w:jc w:val="right"/>
              <w:rPr>
                <w:rFonts w:eastAsia="Times New Roman"/>
                <w:sz w:val="16"/>
                <w:szCs w:val="16"/>
              </w:rPr>
            </w:pPr>
            <w:r>
              <w:rPr>
                <w:rStyle w:val="a6"/>
                <w:rFonts w:eastAsia="Times New Roman"/>
                <w:i w:val="0"/>
                <w:iCs w:val="0"/>
                <w:sz w:val="16"/>
                <w:szCs w:val="16"/>
              </w:rPr>
              <w:t>60,502,358</w:t>
            </w:r>
          </w:p>
        </w:tc>
        <w:tc>
          <w:tcPr>
            <w:tcW w:w="550" w:type="pct"/>
            <w:shd w:val="clear" w:color="auto" w:fill="CCEEFF"/>
            <w:vAlign w:val="bottom"/>
            <w:hideMark/>
          </w:tcPr>
          <w:p w14:paraId="0B52A69E" w14:textId="77777777" w:rsidR="00000000" w:rsidRDefault="0053651E">
            <w:pPr>
              <w:jc w:val="right"/>
              <w:rPr>
                <w:rFonts w:eastAsia="Times New Roman"/>
                <w:sz w:val="16"/>
                <w:szCs w:val="16"/>
              </w:rPr>
            </w:pPr>
            <w:r>
              <w:rPr>
                <w:rStyle w:val="a6"/>
                <w:rFonts w:eastAsia="Times New Roman"/>
                <w:i w:val="0"/>
                <w:iCs w:val="0"/>
                <w:sz w:val="16"/>
                <w:szCs w:val="16"/>
              </w:rPr>
              <w:t>92,696,231</w:t>
            </w:r>
          </w:p>
        </w:tc>
        <w:tc>
          <w:tcPr>
            <w:tcW w:w="350" w:type="pct"/>
            <w:shd w:val="clear" w:color="auto" w:fill="CCEEFF"/>
            <w:vAlign w:val="bottom"/>
            <w:hideMark/>
          </w:tcPr>
          <w:p w14:paraId="7CCEB1B8" w14:textId="77777777" w:rsidR="00000000" w:rsidRDefault="0053651E">
            <w:pPr>
              <w:jc w:val="right"/>
              <w:rPr>
                <w:rFonts w:eastAsia="Times New Roman"/>
                <w:sz w:val="16"/>
                <w:szCs w:val="16"/>
              </w:rPr>
            </w:pPr>
            <w:r>
              <w:rPr>
                <w:rStyle w:val="a6"/>
                <w:rFonts w:eastAsia="Times New Roman"/>
                <w:i w:val="0"/>
                <w:iCs w:val="0"/>
                <w:sz w:val="16"/>
                <w:szCs w:val="16"/>
              </w:rPr>
              <w:t>10,936,949</w:t>
            </w:r>
          </w:p>
        </w:tc>
        <w:tc>
          <w:tcPr>
            <w:tcW w:w="300" w:type="pct"/>
            <w:shd w:val="clear" w:color="auto" w:fill="CCEEFF"/>
            <w:vAlign w:val="bottom"/>
            <w:hideMark/>
          </w:tcPr>
          <w:p w14:paraId="2084D422" w14:textId="77777777" w:rsidR="00000000" w:rsidRDefault="0053651E">
            <w:pPr>
              <w:jc w:val="right"/>
              <w:rPr>
                <w:rFonts w:eastAsia="Times New Roman"/>
                <w:sz w:val="16"/>
                <w:szCs w:val="16"/>
              </w:rPr>
            </w:pPr>
            <w:r>
              <w:rPr>
                <w:rStyle w:val="a6"/>
                <w:rFonts w:eastAsia="Times New Roman"/>
                <w:i w:val="0"/>
                <w:iCs w:val="0"/>
                <w:sz w:val="16"/>
                <w:szCs w:val="16"/>
              </w:rPr>
              <w:t>60,502,358</w:t>
            </w:r>
          </w:p>
        </w:tc>
        <w:tc>
          <w:tcPr>
            <w:tcW w:w="450" w:type="pct"/>
            <w:shd w:val="clear" w:color="auto" w:fill="CCEEFF"/>
            <w:vAlign w:val="bottom"/>
            <w:hideMark/>
          </w:tcPr>
          <w:p w14:paraId="22CAF299" w14:textId="77777777" w:rsidR="00000000" w:rsidRDefault="0053651E">
            <w:pPr>
              <w:jc w:val="right"/>
              <w:rPr>
                <w:rFonts w:eastAsia="Times New Roman"/>
                <w:sz w:val="16"/>
                <w:szCs w:val="16"/>
              </w:rPr>
            </w:pPr>
            <w:r>
              <w:rPr>
                <w:rStyle w:val="a6"/>
                <w:rFonts w:eastAsia="Times New Roman"/>
                <w:i w:val="0"/>
                <w:iCs w:val="0"/>
                <w:sz w:val="16"/>
                <w:szCs w:val="16"/>
              </w:rPr>
              <w:t>103,633,180</w:t>
            </w:r>
          </w:p>
        </w:tc>
        <w:tc>
          <w:tcPr>
            <w:tcW w:w="350" w:type="pct"/>
            <w:shd w:val="clear" w:color="auto" w:fill="CCEEFF"/>
            <w:vAlign w:val="bottom"/>
            <w:hideMark/>
          </w:tcPr>
          <w:p w14:paraId="5EC98DAE" w14:textId="77777777" w:rsidR="00000000" w:rsidRDefault="0053651E">
            <w:pPr>
              <w:jc w:val="right"/>
              <w:rPr>
                <w:rFonts w:eastAsia="Times New Roman"/>
                <w:sz w:val="16"/>
                <w:szCs w:val="16"/>
              </w:rPr>
            </w:pPr>
            <w:r>
              <w:rPr>
                <w:rStyle w:val="a6"/>
                <w:rFonts w:eastAsia="Times New Roman"/>
                <w:i w:val="0"/>
                <w:iCs w:val="0"/>
                <w:sz w:val="16"/>
                <w:szCs w:val="16"/>
              </w:rPr>
              <w:t>164,135,538</w:t>
            </w:r>
          </w:p>
        </w:tc>
        <w:tc>
          <w:tcPr>
            <w:tcW w:w="400" w:type="pct"/>
            <w:shd w:val="clear" w:color="auto" w:fill="CCEEFF"/>
            <w:vAlign w:val="bottom"/>
            <w:hideMark/>
          </w:tcPr>
          <w:p w14:paraId="754D2B97" w14:textId="77777777" w:rsidR="00000000" w:rsidRDefault="0053651E">
            <w:pPr>
              <w:jc w:val="right"/>
              <w:rPr>
                <w:rFonts w:eastAsia="Times New Roman"/>
                <w:sz w:val="16"/>
                <w:szCs w:val="16"/>
              </w:rPr>
            </w:pPr>
            <w:r>
              <w:rPr>
                <w:rStyle w:val="a6"/>
                <w:rFonts w:eastAsia="Times New Roman"/>
                <w:i w:val="0"/>
                <w:iCs w:val="0"/>
                <w:sz w:val="16"/>
                <w:szCs w:val="16"/>
              </w:rPr>
              <w:t>22,857,472</w:t>
            </w:r>
          </w:p>
        </w:tc>
        <w:tc>
          <w:tcPr>
            <w:tcW w:w="50" w:type="pct"/>
            <w:shd w:val="clear" w:color="auto" w:fill="CCEEFF"/>
            <w:vAlign w:val="bottom"/>
            <w:hideMark/>
          </w:tcPr>
          <w:p w14:paraId="2C8E48D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698CA1FD" w14:textId="77777777" w:rsidR="00000000" w:rsidRDefault="0053651E">
            <w:pPr>
              <w:jc w:val="right"/>
              <w:rPr>
                <w:rFonts w:eastAsia="Times New Roman"/>
                <w:sz w:val="16"/>
                <w:szCs w:val="16"/>
              </w:rPr>
            </w:pPr>
            <w:r>
              <w:rPr>
                <w:rStyle w:val="a6"/>
                <w:rFonts w:eastAsia="Times New Roman"/>
                <w:i w:val="0"/>
                <w:iCs w:val="0"/>
                <w:sz w:val="16"/>
                <w:szCs w:val="16"/>
              </w:rPr>
              <w:t>141,278,066</w:t>
            </w:r>
          </w:p>
        </w:tc>
        <w:tc>
          <w:tcPr>
            <w:tcW w:w="50" w:type="pct"/>
            <w:shd w:val="clear" w:color="auto" w:fill="CCEEFF"/>
            <w:vAlign w:val="bottom"/>
            <w:hideMark/>
          </w:tcPr>
          <w:p w14:paraId="532F50D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93DDB9E" w14:textId="77777777" w:rsidR="00000000" w:rsidRDefault="0053651E">
            <w:pPr>
              <w:jc w:val="right"/>
              <w:rPr>
                <w:rFonts w:eastAsia="Times New Roman"/>
                <w:sz w:val="16"/>
                <w:szCs w:val="16"/>
              </w:rPr>
            </w:pPr>
            <w:r>
              <w:rPr>
                <w:rStyle w:val="a6"/>
                <w:rFonts w:eastAsia="Times New Roman"/>
                <w:i w:val="0"/>
                <w:iCs w:val="0"/>
                <w:sz w:val="16"/>
                <w:szCs w:val="16"/>
              </w:rPr>
              <w:t>53,871,190</w:t>
            </w:r>
          </w:p>
        </w:tc>
        <w:tc>
          <w:tcPr>
            <w:tcW w:w="500" w:type="pct"/>
            <w:shd w:val="clear" w:color="auto" w:fill="CCEEFF"/>
            <w:vAlign w:val="bottom"/>
            <w:hideMark/>
          </w:tcPr>
          <w:p w14:paraId="351F121E" w14:textId="77777777" w:rsidR="00000000" w:rsidRDefault="0053651E">
            <w:pPr>
              <w:pStyle w:val="a3"/>
              <w:spacing w:before="0" w:beforeAutospacing="0" w:after="0" w:afterAutospacing="0"/>
              <w:jc w:val="center"/>
              <w:rPr>
                <w:sz w:val="16"/>
                <w:szCs w:val="16"/>
              </w:rPr>
            </w:pPr>
            <w:r>
              <w:rPr>
                <w:rStyle w:val="a6"/>
                <w:i w:val="0"/>
                <w:iCs w:val="0"/>
                <w:sz w:val="16"/>
                <w:szCs w:val="16"/>
              </w:rPr>
              <w:t>2013(A)</w:t>
            </w:r>
          </w:p>
        </w:tc>
      </w:tr>
      <w:tr w:rsidR="00000000" w14:paraId="1C067E7A" w14:textId="77777777">
        <w:trPr>
          <w:tblCellSpacing w:w="0" w:type="dxa"/>
        </w:trPr>
        <w:tc>
          <w:tcPr>
            <w:tcW w:w="50" w:type="pct"/>
            <w:shd w:val="clear" w:color="auto" w:fill="FFFFFF"/>
            <w:vAlign w:val="bottom"/>
            <w:hideMark/>
          </w:tcPr>
          <w:p w14:paraId="160A4BC9"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40A17A4" w14:textId="77777777" w:rsidR="00000000" w:rsidRDefault="0053651E">
            <w:pPr>
              <w:pStyle w:val="a3"/>
              <w:spacing w:before="0" w:beforeAutospacing="0" w:after="0" w:afterAutospacing="0"/>
              <w:rPr>
                <w:sz w:val="16"/>
                <w:szCs w:val="16"/>
              </w:rPr>
            </w:pPr>
            <w:r>
              <w:rPr>
                <w:rStyle w:val="a6"/>
                <w:i w:val="0"/>
                <w:iCs w:val="0"/>
                <w:sz w:val="16"/>
                <w:szCs w:val="16"/>
              </w:rPr>
              <w:t>FRONTIER VILLAGE SHOPPING CTR.</w:t>
            </w:r>
          </w:p>
        </w:tc>
        <w:tc>
          <w:tcPr>
            <w:tcW w:w="150" w:type="pct"/>
            <w:shd w:val="clear" w:color="auto" w:fill="FFFFFF"/>
            <w:vAlign w:val="bottom"/>
            <w:hideMark/>
          </w:tcPr>
          <w:p w14:paraId="3239BC34"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FFFFFF"/>
            <w:vAlign w:val="bottom"/>
            <w:hideMark/>
          </w:tcPr>
          <w:p w14:paraId="6BF5F79F" w14:textId="77777777" w:rsidR="00000000" w:rsidRDefault="0053651E">
            <w:pPr>
              <w:jc w:val="right"/>
              <w:rPr>
                <w:rFonts w:eastAsia="Times New Roman"/>
                <w:sz w:val="16"/>
                <w:szCs w:val="16"/>
              </w:rPr>
            </w:pPr>
            <w:r>
              <w:rPr>
                <w:rStyle w:val="a6"/>
                <w:rFonts w:eastAsia="Times New Roman"/>
                <w:i w:val="0"/>
                <w:iCs w:val="0"/>
                <w:sz w:val="16"/>
                <w:szCs w:val="16"/>
              </w:rPr>
              <w:t>10,750,863</w:t>
            </w:r>
          </w:p>
        </w:tc>
        <w:tc>
          <w:tcPr>
            <w:tcW w:w="550" w:type="pct"/>
            <w:shd w:val="clear" w:color="auto" w:fill="FFFFFF"/>
            <w:vAlign w:val="bottom"/>
            <w:hideMark/>
          </w:tcPr>
          <w:p w14:paraId="56297BB5" w14:textId="77777777" w:rsidR="00000000" w:rsidRDefault="0053651E">
            <w:pPr>
              <w:jc w:val="right"/>
              <w:rPr>
                <w:rFonts w:eastAsia="Times New Roman"/>
                <w:sz w:val="16"/>
                <w:szCs w:val="16"/>
              </w:rPr>
            </w:pPr>
            <w:r>
              <w:rPr>
                <w:rStyle w:val="a6"/>
                <w:rFonts w:eastAsia="Times New Roman"/>
                <w:i w:val="0"/>
                <w:iCs w:val="0"/>
                <w:sz w:val="16"/>
                <w:szCs w:val="16"/>
              </w:rPr>
              <w:t>44,860,769</w:t>
            </w:r>
          </w:p>
        </w:tc>
        <w:tc>
          <w:tcPr>
            <w:tcW w:w="350" w:type="pct"/>
            <w:shd w:val="clear" w:color="auto" w:fill="FFFFFF"/>
            <w:vAlign w:val="bottom"/>
            <w:hideMark/>
          </w:tcPr>
          <w:p w14:paraId="107BACCB" w14:textId="77777777" w:rsidR="00000000" w:rsidRDefault="0053651E">
            <w:pPr>
              <w:jc w:val="right"/>
              <w:rPr>
                <w:rFonts w:eastAsia="Times New Roman"/>
                <w:sz w:val="16"/>
                <w:szCs w:val="16"/>
              </w:rPr>
            </w:pPr>
            <w:r>
              <w:rPr>
                <w:rStyle w:val="a6"/>
                <w:rFonts w:eastAsia="Times New Roman"/>
                <w:i w:val="0"/>
                <w:iCs w:val="0"/>
                <w:sz w:val="16"/>
                <w:szCs w:val="16"/>
              </w:rPr>
              <w:t>96,299</w:t>
            </w:r>
          </w:p>
        </w:tc>
        <w:tc>
          <w:tcPr>
            <w:tcW w:w="300" w:type="pct"/>
            <w:shd w:val="clear" w:color="auto" w:fill="FFFFFF"/>
            <w:vAlign w:val="bottom"/>
            <w:hideMark/>
          </w:tcPr>
          <w:p w14:paraId="73A099A5" w14:textId="77777777" w:rsidR="00000000" w:rsidRDefault="0053651E">
            <w:pPr>
              <w:jc w:val="right"/>
              <w:rPr>
                <w:rFonts w:eastAsia="Times New Roman"/>
                <w:sz w:val="16"/>
                <w:szCs w:val="16"/>
              </w:rPr>
            </w:pPr>
            <w:r>
              <w:rPr>
                <w:rStyle w:val="a6"/>
                <w:rFonts w:eastAsia="Times New Roman"/>
                <w:i w:val="0"/>
                <w:iCs w:val="0"/>
                <w:sz w:val="16"/>
                <w:szCs w:val="16"/>
              </w:rPr>
              <w:t>10,750,863</w:t>
            </w:r>
          </w:p>
        </w:tc>
        <w:tc>
          <w:tcPr>
            <w:tcW w:w="450" w:type="pct"/>
            <w:shd w:val="clear" w:color="auto" w:fill="FFFFFF"/>
            <w:vAlign w:val="bottom"/>
            <w:hideMark/>
          </w:tcPr>
          <w:p w14:paraId="73334E18" w14:textId="77777777" w:rsidR="00000000" w:rsidRDefault="0053651E">
            <w:pPr>
              <w:jc w:val="right"/>
              <w:rPr>
                <w:rFonts w:eastAsia="Times New Roman"/>
                <w:sz w:val="16"/>
                <w:szCs w:val="16"/>
              </w:rPr>
            </w:pPr>
            <w:r>
              <w:rPr>
                <w:rStyle w:val="a6"/>
                <w:rFonts w:eastAsia="Times New Roman"/>
                <w:i w:val="0"/>
                <w:iCs w:val="0"/>
                <w:sz w:val="16"/>
                <w:szCs w:val="16"/>
              </w:rPr>
              <w:t>44,957,068</w:t>
            </w:r>
          </w:p>
        </w:tc>
        <w:tc>
          <w:tcPr>
            <w:tcW w:w="350" w:type="pct"/>
            <w:shd w:val="clear" w:color="auto" w:fill="FFFFFF"/>
            <w:vAlign w:val="bottom"/>
            <w:hideMark/>
          </w:tcPr>
          <w:p w14:paraId="1247D200" w14:textId="77777777" w:rsidR="00000000" w:rsidRDefault="0053651E">
            <w:pPr>
              <w:jc w:val="right"/>
              <w:rPr>
                <w:rFonts w:eastAsia="Times New Roman"/>
                <w:sz w:val="16"/>
                <w:szCs w:val="16"/>
              </w:rPr>
            </w:pPr>
            <w:r>
              <w:rPr>
                <w:rStyle w:val="a6"/>
                <w:rFonts w:eastAsia="Times New Roman"/>
                <w:i w:val="0"/>
                <w:iCs w:val="0"/>
                <w:sz w:val="16"/>
                <w:szCs w:val="16"/>
              </w:rPr>
              <w:t>55,707,931</w:t>
            </w:r>
          </w:p>
        </w:tc>
        <w:tc>
          <w:tcPr>
            <w:tcW w:w="400" w:type="pct"/>
            <w:shd w:val="clear" w:color="auto" w:fill="FFFFFF"/>
            <w:vAlign w:val="bottom"/>
            <w:hideMark/>
          </w:tcPr>
          <w:p w14:paraId="68501766" w14:textId="77777777" w:rsidR="00000000" w:rsidRDefault="0053651E">
            <w:pPr>
              <w:jc w:val="right"/>
              <w:rPr>
                <w:rFonts w:eastAsia="Times New Roman"/>
                <w:sz w:val="16"/>
                <w:szCs w:val="16"/>
              </w:rPr>
            </w:pPr>
            <w:r>
              <w:rPr>
                <w:rStyle w:val="a6"/>
                <w:rFonts w:eastAsia="Times New Roman"/>
                <w:i w:val="0"/>
                <w:iCs w:val="0"/>
                <w:sz w:val="16"/>
                <w:szCs w:val="16"/>
              </w:rPr>
              <w:t>7,746,343</w:t>
            </w:r>
          </w:p>
        </w:tc>
        <w:tc>
          <w:tcPr>
            <w:tcW w:w="50" w:type="pct"/>
            <w:shd w:val="clear" w:color="auto" w:fill="FFFFFF"/>
            <w:vAlign w:val="bottom"/>
            <w:hideMark/>
          </w:tcPr>
          <w:p w14:paraId="639E963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5F6C1D5" w14:textId="77777777" w:rsidR="00000000" w:rsidRDefault="0053651E">
            <w:pPr>
              <w:jc w:val="right"/>
              <w:rPr>
                <w:rFonts w:eastAsia="Times New Roman"/>
                <w:sz w:val="16"/>
                <w:szCs w:val="16"/>
              </w:rPr>
            </w:pPr>
            <w:r>
              <w:rPr>
                <w:rStyle w:val="a6"/>
                <w:rFonts w:eastAsia="Times New Roman"/>
                <w:i w:val="0"/>
                <w:iCs w:val="0"/>
                <w:sz w:val="16"/>
                <w:szCs w:val="16"/>
              </w:rPr>
              <w:t>47,961,588</w:t>
            </w:r>
          </w:p>
        </w:tc>
        <w:tc>
          <w:tcPr>
            <w:tcW w:w="50" w:type="pct"/>
            <w:shd w:val="clear" w:color="auto" w:fill="FFFFFF"/>
            <w:vAlign w:val="bottom"/>
            <w:hideMark/>
          </w:tcPr>
          <w:p w14:paraId="7676E52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4A416AF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4AB1A4A7"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77E3A931" w14:textId="77777777">
        <w:trPr>
          <w:tblCellSpacing w:w="0" w:type="dxa"/>
        </w:trPr>
        <w:tc>
          <w:tcPr>
            <w:tcW w:w="50" w:type="pct"/>
            <w:shd w:val="clear" w:color="auto" w:fill="CCEEFF"/>
            <w:vAlign w:val="bottom"/>
            <w:hideMark/>
          </w:tcPr>
          <w:p w14:paraId="402EBFB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C7D0467" w14:textId="77777777" w:rsidR="00000000" w:rsidRDefault="0053651E">
            <w:pPr>
              <w:pStyle w:val="a3"/>
              <w:spacing w:before="0" w:beforeAutospacing="0" w:after="0" w:afterAutospacing="0"/>
              <w:rPr>
                <w:sz w:val="16"/>
                <w:szCs w:val="16"/>
              </w:rPr>
            </w:pPr>
            <w:r>
              <w:rPr>
                <w:rStyle w:val="a6"/>
                <w:i w:val="0"/>
                <w:iCs w:val="0"/>
                <w:sz w:val="16"/>
                <w:szCs w:val="16"/>
              </w:rPr>
              <w:t>GATEWAY SHOPPING CENTER</w:t>
            </w:r>
          </w:p>
        </w:tc>
        <w:tc>
          <w:tcPr>
            <w:tcW w:w="150" w:type="pct"/>
            <w:shd w:val="clear" w:color="auto" w:fill="CCEEFF"/>
            <w:vAlign w:val="bottom"/>
            <w:hideMark/>
          </w:tcPr>
          <w:p w14:paraId="431EBD1B"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CCEEFF"/>
            <w:vAlign w:val="bottom"/>
            <w:hideMark/>
          </w:tcPr>
          <w:p w14:paraId="0D499EE9" w14:textId="77777777" w:rsidR="00000000" w:rsidRDefault="0053651E">
            <w:pPr>
              <w:jc w:val="right"/>
              <w:rPr>
                <w:rFonts w:eastAsia="Times New Roman"/>
                <w:sz w:val="16"/>
                <w:szCs w:val="16"/>
              </w:rPr>
            </w:pPr>
            <w:r>
              <w:rPr>
                <w:rStyle w:val="a6"/>
                <w:rFonts w:eastAsia="Times New Roman"/>
                <w:i w:val="0"/>
                <w:iCs w:val="0"/>
                <w:sz w:val="16"/>
                <w:szCs w:val="16"/>
              </w:rPr>
              <w:t>6,937,929</w:t>
            </w:r>
          </w:p>
        </w:tc>
        <w:tc>
          <w:tcPr>
            <w:tcW w:w="550" w:type="pct"/>
            <w:shd w:val="clear" w:color="auto" w:fill="CCEEFF"/>
            <w:vAlign w:val="bottom"/>
            <w:hideMark/>
          </w:tcPr>
          <w:p w14:paraId="5C620BE9" w14:textId="77777777" w:rsidR="00000000" w:rsidRDefault="0053651E">
            <w:pPr>
              <w:jc w:val="right"/>
              <w:rPr>
                <w:rFonts w:eastAsia="Times New Roman"/>
                <w:sz w:val="16"/>
                <w:szCs w:val="16"/>
              </w:rPr>
            </w:pPr>
            <w:r>
              <w:rPr>
                <w:rStyle w:val="a6"/>
                <w:rFonts w:eastAsia="Times New Roman"/>
                <w:i w:val="0"/>
                <w:iCs w:val="0"/>
                <w:sz w:val="16"/>
                <w:szCs w:val="16"/>
              </w:rPr>
              <w:t>11,270,322</w:t>
            </w:r>
          </w:p>
        </w:tc>
        <w:tc>
          <w:tcPr>
            <w:tcW w:w="350" w:type="pct"/>
            <w:shd w:val="clear" w:color="auto" w:fill="CCEEFF"/>
            <w:vAlign w:val="bottom"/>
            <w:hideMark/>
          </w:tcPr>
          <w:p w14:paraId="386FDD7C" w14:textId="77777777" w:rsidR="00000000" w:rsidRDefault="0053651E">
            <w:pPr>
              <w:jc w:val="right"/>
              <w:rPr>
                <w:rFonts w:eastAsia="Times New Roman"/>
                <w:sz w:val="16"/>
                <w:szCs w:val="16"/>
              </w:rPr>
            </w:pPr>
            <w:r>
              <w:rPr>
                <w:rStyle w:val="a6"/>
                <w:rFonts w:eastAsia="Times New Roman"/>
                <w:i w:val="0"/>
                <w:iCs w:val="0"/>
                <w:sz w:val="16"/>
                <w:szCs w:val="16"/>
              </w:rPr>
              <w:t>9,165,688</w:t>
            </w:r>
          </w:p>
        </w:tc>
        <w:tc>
          <w:tcPr>
            <w:tcW w:w="300" w:type="pct"/>
            <w:shd w:val="clear" w:color="auto" w:fill="CCEEFF"/>
            <w:vAlign w:val="bottom"/>
            <w:hideMark/>
          </w:tcPr>
          <w:p w14:paraId="3690B0D8" w14:textId="77777777" w:rsidR="00000000" w:rsidRDefault="0053651E">
            <w:pPr>
              <w:jc w:val="right"/>
              <w:rPr>
                <w:rFonts w:eastAsia="Times New Roman"/>
                <w:sz w:val="16"/>
                <w:szCs w:val="16"/>
              </w:rPr>
            </w:pPr>
            <w:r>
              <w:rPr>
                <w:rStyle w:val="a6"/>
                <w:rFonts w:eastAsia="Times New Roman"/>
                <w:i w:val="0"/>
                <w:iCs w:val="0"/>
                <w:sz w:val="16"/>
                <w:szCs w:val="16"/>
              </w:rPr>
              <w:t>6,937,929</w:t>
            </w:r>
          </w:p>
        </w:tc>
        <w:tc>
          <w:tcPr>
            <w:tcW w:w="450" w:type="pct"/>
            <w:shd w:val="clear" w:color="auto" w:fill="CCEEFF"/>
            <w:vAlign w:val="bottom"/>
            <w:hideMark/>
          </w:tcPr>
          <w:p w14:paraId="67DD1D4B" w14:textId="77777777" w:rsidR="00000000" w:rsidRDefault="0053651E">
            <w:pPr>
              <w:jc w:val="right"/>
              <w:rPr>
                <w:rFonts w:eastAsia="Times New Roman"/>
                <w:sz w:val="16"/>
                <w:szCs w:val="16"/>
              </w:rPr>
            </w:pPr>
            <w:r>
              <w:rPr>
                <w:rStyle w:val="a6"/>
                <w:rFonts w:eastAsia="Times New Roman"/>
                <w:i w:val="0"/>
                <w:iCs w:val="0"/>
                <w:sz w:val="16"/>
                <w:szCs w:val="16"/>
              </w:rPr>
              <w:t>20,436,010</w:t>
            </w:r>
          </w:p>
        </w:tc>
        <w:tc>
          <w:tcPr>
            <w:tcW w:w="350" w:type="pct"/>
            <w:shd w:val="clear" w:color="auto" w:fill="CCEEFF"/>
            <w:vAlign w:val="bottom"/>
            <w:hideMark/>
          </w:tcPr>
          <w:p w14:paraId="28B9A362" w14:textId="77777777" w:rsidR="00000000" w:rsidRDefault="0053651E">
            <w:pPr>
              <w:jc w:val="right"/>
              <w:rPr>
                <w:rFonts w:eastAsia="Times New Roman"/>
                <w:sz w:val="16"/>
                <w:szCs w:val="16"/>
              </w:rPr>
            </w:pPr>
            <w:r>
              <w:rPr>
                <w:rStyle w:val="a6"/>
                <w:rFonts w:eastAsia="Times New Roman"/>
                <w:i w:val="0"/>
                <w:iCs w:val="0"/>
                <w:sz w:val="16"/>
                <w:szCs w:val="16"/>
              </w:rPr>
              <w:t>27,373,939</w:t>
            </w:r>
          </w:p>
        </w:tc>
        <w:tc>
          <w:tcPr>
            <w:tcW w:w="400" w:type="pct"/>
            <w:shd w:val="clear" w:color="auto" w:fill="CCEEFF"/>
            <w:vAlign w:val="bottom"/>
            <w:hideMark/>
          </w:tcPr>
          <w:p w14:paraId="74BDB7F9" w14:textId="77777777" w:rsidR="00000000" w:rsidRDefault="0053651E">
            <w:pPr>
              <w:jc w:val="right"/>
              <w:rPr>
                <w:rFonts w:eastAsia="Times New Roman"/>
                <w:sz w:val="16"/>
                <w:szCs w:val="16"/>
              </w:rPr>
            </w:pPr>
            <w:r>
              <w:rPr>
                <w:rStyle w:val="a6"/>
                <w:rFonts w:eastAsia="Times New Roman"/>
                <w:i w:val="0"/>
                <w:iCs w:val="0"/>
                <w:sz w:val="16"/>
                <w:szCs w:val="16"/>
              </w:rPr>
              <w:t>1,751,684</w:t>
            </w:r>
          </w:p>
        </w:tc>
        <w:tc>
          <w:tcPr>
            <w:tcW w:w="50" w:type="pct"/>
            <w:shd w:val="clear" w:color="auto" w:fill="CCEEFF"/>
            <w:vAlign w:val="bottom"/>
            <w:hideMark/>
          </w:tcPr>
          <w:p w14:paraId="2D47AF57"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321E5507" w14:textId="77777777" w:rsidR="00000000" w:rsidRDefault="0053651E">
            <w:pPr>
              <w:jc w:val="right"/>
              <w:rPr>
                <w:rFonts w:eastAsia="Times New Roman"/>
                <w:sz w:val="16"/>
                <w:szCs w:val="16"/>
              </w:rPr>
            </w:pPr>
            <w:r>
              <w:rPr>
                <w:rStyle w:val="a6"/>
                <w:rFonts w:eastAsia="Times New Roman"/>
                <w:i w:val="0"/>
                <w:iCs w:val="0"/>
                <w:sz w:val="16"/>
                <w:szCs w:val="16"/>
              </w:rPr>
              <w:t>25,622,255</w:t>
            </w:r>
          </w:p>
        </w:tc>
        <w:tc>
          <w:tcPr>
            <w:tcW w:w="50" w:type="pct"/>
            <w:shd w:val="clear" w:color="auto" w:fill="CCEEFF"/>
            <w:vAlign w:val="bottom"/>
            <w:hideMark/>
          </w:tcPr>
          <w:p w14:paraId="50B0BEC4"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7933B2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5650E164"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3391085A" w14:textId="77777777">
        <w:trPr>
          <w:tblCellSpacing w:w="0" w:type="dxa"/>
        </w:trPr>
        <w:tc>
          <w:tcPr>
            <w:tcW w:w="50" w:type="pct"/>
            <w:shd w:val="clear" w:color="auto" w:fill="FFFFFF"/>
            <w:vAlign w:val="bottom"/>
            <w:hideMark/>
          </w:tcPr>
          <w:p w14:paraId="73DEC44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41C747E" w14:textId="77777777" w:rsidR="00000000" w:rsidRDefault="0053651E">
            <w:pPr>
              <w:pStyle w:val="a3"/>
              <w:spacing w:before="0" w:beforeAutospacing="0" w:after="0" w:afterAutospacing="0"/>
              <w:rPr>
                <w:sz w:val="16"/>
                <w:szCs w:val="16"/>
              </w:rPr>
            </w:pPr>
            <w:r>
              <w:rPr>
                <w:rStyle w:val="a6"/>
                <w:i w:val="0"/>
                <w:iCs w:val="0"/>
                <w:sz w:val="16"/>
                <w:szCs w:val="16"/>
              </w:rPr>
              <w:t>OLYMPIA WEST OUTPARCEL</w:t>
            </w:r>
          </w:p>
        </w:tc>
        <w:tc>
          <w:tcPr>
            <w:tcW w:w="150" w:type="pct"/>
            <w:shd w:val="clear" w:color="auto" w:fill="FFFFFF"/>
            <w:vAlign w:val="bottom"/>
            <w:hideMark/>
          </w:tcPr>
          <w:p w14:paraId="12ADCF22"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FFFFFF"/>
            <w:vAlign w:val="bottom"/>
            <w:hideMark/>
          </w:tcPr>
          <w:p w14:paraId="30EFF829" w14:textId="77777777" w:rsidR="00000000" w:rsidRDefault="0053651E">
            <w:pPr>
              <w:jc w:val="right"/>
              <w:rPr>
                <w:rFonts w:eastAsia="Times New Roman"/>
                <w:sz w:val="16"/>
                <w:szCs w:val="16"/>
              </w:rPr>
            </w:pPr>
            <w:r>
              <w:rPr>
                <w:rStyle w:val="a6"/>
                <w:rFonts w:eastAsia="Times New Roman"/>
                <w:i w:val="0"/>
                <w:iCs w:val="0"/>
                <w:sz w:val="16"/>
                <w:szCs w:val="16"/>
              </w:rPr>
              <w:t>360,000</w:t>
            </w:r>
          </w:p>
        </w:tc>
        <w:tc>
          <w:tcPr>
            <w:tcW w:w="550" w:type="pct"/>
            <w:shd w:val="clear" w:color="auto" w:fill="FFFFFF"/>
            <w:vAlign w:val="bottom"/>
            <w:hideMark/>
          </w:tcPr>
          <w:p w14:paraId="01100834" w14:textId="77777777" w:rsidR="00000000" w:rsidRDefault="0053651E">
            <w:pPr>
              <w:jc w:val="right"/>
              <w:rPr>
                <w:rFonts w:eastAsia="Times New Roman"/>
                <w:sz w:val="16"/>
                <w:szCs w:val="16"/>
              </w:rPr>
            </w:pPr>
            <w:r>
              <w:rPr>
                <w:rStyle w:val="a6"/>
                <w:rFonts w:eastAsia="Times New Roman"/>
                <w:i w:val="0"/>
                <w:iCs w:val="0"/>
                <w:sz w:val="16"/>
                <w:szCs w:val="16"/>
              </w:rPr>
              <w:t>799,640</w:t>
            </w:r>
          </w:p>
        </w:tc>
        <w:tc>
          <w:tcPr>
            <w:tcW w:w="350" w:type="pct"/>
            <w:shd w:val="clear" w:color="auto" w:fill="FFFFFF"/>
            <w:vAlign w:val="bottom"/>
            <w:hideMark/>
          </w:tcPr>
          <w:p w14:paraId="5F17550E" w14:textId="77777777" w:rsidR="00000000" w:rsidRDefault="0053651E">
            <w:pPr>
              <w:jc w:val="right"/>
              <w:rPr>
                <w:rFonts w:eastAsia="Times New Roman"/>
                <w:sz w:val="16"/>
                <w:szCs w:val="16"/>
              </w:rPr>
            </w:pPr>
            <w:r>
              <w:rPr>
                <w:rStyle w:val="a6"/>
                <w:rFonts w:eastAsia="Times New Roman"/>
                <w:i w:val="0"/>
                <w:iCs w:val="0"/>
                <w:sz w:val="16"/>
                <w:szCs w:val="16"/>
              </w:rPr>
              <w:t>100,360</w:t>
            </w:r>
          </w:p>
        </w:tc>
        <w:tc>
          <w:tcPr>
            <w:tcW w:w="300" w:type="pct"/>
            <w:shd w:val="clear" w:color="auto" w:fill="FFFFFF"/>
            <w:vAlign w:val="bottom"/>
            <w:hideMark/>
          </w:tcPr>
          <w:p w14:paraId="1D26F3B3" w14:textId="77777777" w:rsidR="00000000" w:rsidRDefault="0053651E">
            <w:pPr>
              <w:jc w:val="right"/>
              <w:rPr>
                <w:rFonts w:eastAsia="Times New Roman"/>
                <w:sz w:val="16"/>
                <w:szCs w:val="16"/>
              </w:rPr>
            </w:pPr>
            <w:r>
              <w:rPr>
                <w:rStyle w:val="a6"/>
                <w:rFonts w:eastAsia="Times New Roman"/>
                <w:i w:val="0"/>
                <w:iCs w:val="0"/>
                <w:sz w:val="16"/>
                <w:szCs w:val="16"/>
              </w:rPr>
              <w:t>360,000</w:t>
            </w:r>
          </w:p>
        </w:tc>
        <w:tc>
          <w:tcPr>
            <w:tcW w:w="450" w:type="pct"/>
            <w:shd w:val="clear" w:color="auto" w:fill="FFFFFF"/>
            <w:vAlign w:val="bottom"/>
            <w:hideMark/>
          </w:tcPr>
          <w:p w14:paraId="7A5FD165" w14:textId="77777777" w:rsidR="00000000" w:rsidRDefault="0053651E">
            <w:pPr>
              <w:jc w:val="right"/>
              <w:rPr>
                <w:rFonts w:eastAsia="Times New Roman"/>
                <w:sz w:val="16"/>
                <w:szCs w:val="16"/>
              </w:rPr>
            </w:pPr>
            <w:r>
              <w:rPr>
                <w:rStyle w:val="a6"/>
                <w:rFonts w:eastAsia="Times New Roman"/>
                <w:i w:val="0"/>
                <w:iCs w:val="0"/>
                <w:sz w:val="16"/>
                <w:szCs w:val="16"/>
              </w:rPr>
              <w:t>900,000</w:t>
            </w:r>
          </w:p>
        </w:tc>
        <w:tc>
          <w:tcPr>
            <w:tcW w:w="350" w:type="pct"/>
            <w:shd w:val="clear" w:color="auto" w:fill="FFFFFF"/>
            <w:vAlign w:val="bottom"/>
            <w:hideMark/>
          </w:tcPr>
          <w:p w14:paraId="48F118CF" w14:textId="77777777" w:rsidR="00000000" w:rsidRDefault="0053651E">
            <w:pPr>
              <w:jc w:val="right"/>
              <w:rPr>
                <w:rFonts w:eastAsia="Times New Roman"/>
                <w:sz w:val="16"/>
                <w:szCs w:val="16"/>
              </w:rPr>
            </w:pPr>
            <w:r>
              <w:rPr>
                <w:rStyle w:val="a6"/>
                <w:rFonts w:eastAsia="Times New Roman"/>
                <w:i w:val="0"/>
                <w:iCs w:val="0"/>
                <w:sz w:val="16"/>
                <w:szCs w:val="16"/>
              </w:rPr>
              <w:t>1,260,000</w:t>
            </w:r>
          </w:p>
        </w:tc>
        <w:tc>
          <w:tcPr>
            <w:tcW w:w="400" w:type="pct"/>
            <w:shd w:val="clear" w:color="auto" w:fill="FFFFFF"/>
            <w:vAlign w:val="bottom"/>
            <w:hideMark/>
          </w:tcPr>
          <w:p w14:paraId="6451A69F" w14:textId="77777777" w:rsidR="00000000" w:rsidRDefault="0053651E">
            <w:pPr>
              <w:jc w:val="right"/>
              <w:rPr>
                <w:rFonts w:eastAsia="Times New Roman"/>
                <w:sz w:val="16"/>
                <w:szCs w:val="16"/>
              </w:rPr>
            </w:pPr>
            <w:r>
              <w:rPr>
                <w:rStyle w:val="a6"/>
                <w:rFonts w:eastAsia="Times New Roman"/>
                <w:i w:val="0"/>
                <w:iCs w:val="0"/>
                <w:sz w:val="16"/>
                <w:szCs w:val="16"/>
              </w:rPr>
              <w:t>171,276</w:t>
            </w:r>
          </w:p>
        </w:tc>
        <w:tc>
          <w:tcPr>
            <w:tcW w:w="50" w:type="pct"/>
            <w:shd w:val="clear" w:color="auto" w:fill="FFFFFF"/>
            <w:vAlign w:val="bottom"/>
            <w:hideMark/>
          </w:tcPr>
          <w:p w14:paraId="2B72116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2128EFC" w14:textId="77777777" w:rsidR="00000000" w:rsidRDefault="0053651E">
            <w:pPr>
              <w:jc w:val="right"/>
              <w:rPr>
                <w:rFonts w:eastAsia="Times New Roman"/>
                <w:sz w:val="16"/>
                <w:szCs w:val="16"/>
              </w:rPr>
            </w:pPr>
            <w:r>
              <w:rPr>
                <w:rStyle w:val="a6"/>
                <w:rFonts w:eastAsia="Times New Roman"/>
                <w:i w:val="0"/>
                <w:iCs w:val="0"/>
                <w:sz w:val="16"/>
                <w:szCs w:val="16"/>
              </w:rPr>
              <w:t>1,088,724</w:t>
            </w:r>
          </w:p>
        </w:tc>
        <w:tc>
          <w:tcPr>
            <w:tcW w:w="50" w:type="pct"/>
            <w:shd w:val="clear" w:color="auto" w:fill="FFFFFF"/>
            <w:vAlign w:val="bottom"/>
            <w:hideMark/>
          </w:tcPr>
          <w:p w14:paraId="2D0428F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3A4A09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2DB27DCE"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06DDEDAE" w14:textId="77777777">
        <w:trPr>
          <w:tblCellSpacing w:w="0" w:type="dxa"/>
        </w:trPr>
        <w:tc>
          <w:tcPr>
            <w:tcW w:w="50" w:type="pct"/>
            <w:shd w:val="clear" w:color="auto" w:fill="CCEEFF"/>
            <w:vAlign w:val="bottom"/>
            <w:hideMark/>
          </w:tcPr>
          <w:p w14:paraId="5DFA273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0BFE7A9" w14:textId="77777777" w:rsidR="00000000" w:rsidRDefault="0053651E">
            <w:pPr>
              <w:pStyle w:val="a3"/>
              <w:spacing w:before="0" w:beforeAutospacing="0" w:after="0" w:afterAutospacing="0"/>
              <w:rPr>
                <w:sz w:val="16"/>
                <w:szCs w:val="16"/>
              </w:rPr>
            </w:pPr>
            <w:r>
              <w:rPr>
                <w:rStyle w:val="a6"/>
                <w:i w:val="0"/>
                <w:iCs w:val="0"/>
                <w:sz w:val="16"/>
                <w:szCs w:val="16"/>
              </w:rPr>
              <w:t>FRANKLIN PARK COMMONS</w:t>
            </w:r>
          </w:p>
        </w:tc>
        <w:tc>
          <w:tcPr>
            <w:tcW w:w="150" w:type="pct"/>
            <w:shd w:val="clear" w:color="auto" w:fill="CCEEFF"/>
            <w:vAlign w:val="bottom"/>
            <w:hideMark/>
          </w:tcPr>
          <w:p w14:paraId="3D272772"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CCEEFF"/>
            <w:vAlign w:val="bottom"/>
            <w:hideMark/>
          </w:tcPr>
          <w:p w14:paraId="22210D38" w14:textId="77777777" w:rsidR="00000000" w:rsidRDefault="0053651E">
            <w:pPr>
              <w:jc w:val="right"/>
              <w:rPr>
                <w:rFonts w:eastAsia="Times New Roman"/>
                <w:sz w:val="16"/>
                <w:szCs w:val="16"/>
              </w:rPr>
            </w:pPr>
            <w:r>
              <w:rPr>
                <w:rStyle w:val="a6"/>
                <w:rFonts w:eastAsia="Times New Roman"/>
                <w:i w:val="0"/>
                <w:iCs w:val="0"/>
                <w:sz w:val="16"/>
                <w:szCs w:val="16"/>
              </w:rPr>
              <w:t>5,418,825</w:t>
            </w:r>
          </w:p>
        </w:tc>
        <w:tc>
          <w:tcPr>
            <w:tcW w:w="550" w:type="pct"/>
            <w:shd w:val="clear" w:color="auto" w:fill="CCEEFF"/>
            <w:vAlign w:val="bottom"/>
            <w:hideMark/>
          </w:tcPr>
          <w:p w14:paraId="6904D7C9" w14:textId="77777777" w:rsidR="00000000" w:rsidRDefault="0053651E">
            <w:pPr>
              <w:jc w:val="right"/>
              <w:rPr>
                <w:rFonts w:eastAsia="Times New Roman"/>
                <w:sz w:val="16"/>
                <w:szCs w:val="16"/>
              </w:rPr>
            </w:pPr>
            <w:r>
              <w:rPr>
                <w:rStyle w:val="a6"/>
                <w:rFonts w:eastAsia="Times New Roman"/>
                <w:i w:val="0"/>
                <w:iCs w:val="0"/>
                <w:sz w:val="16"/>
                <w:szCs w:val="16"/>
              </w:rPr>
              <w:t>11,988,657</w:t>
            </w:r>
          </w:p>
        </w:tc>
        <w:tc>
          <w:tcPr>
            <w:tcW w:w="350" w:type="pct"/>
            <w:shd w:val="clear" w:color="auto" w:fill="CCEEFF"/>
            <w:vAlign w:val="bottom"/>
            <w:hideMark/>
          </w:tcPr>
          <w:p w14:paraId="79D72DEE" w14:textId="77777777" w:rsidR="00000000" w:rsidRDefault="0053651E">
            <w:pPr>
              <w:jc w:val="right"/>
              <w:rPr>
                <w:rFonts w:eastAsia="Times New Roman"/>
                <w:sz w:val="16"/>
                <w:szCs w:val="16"/>
              </w:rPr>
            </w:pPr>
            <w:r>
              <w:rPr>
                <w:rStyle w:val="a6"/>
                <w:rFonts w:eastAsia="Times New Roman"/>
                <w:i w:val="0"/>
                <w:iCs w:val="0"/>
                <w:sz w:val="16"/>
                <w:szCs w:val="16"/>
              </w:rPr>
              <w:t>3,869,221</w:t>
            </w:r>
          </w:p>
        </w:tc>
        <w:tc>
          <w:tcPr>
            <w:tcW w:w="300" w:type="pct"/>
            <w:shd w:val="clear" w:color="auto" w:fill="CCEEFF"/>
            <w:vAlign w:val="bottom"/>
            <w:hideMark/>
          </w:tcPr>
          <w:p w14:paraId="4F0A0396" w14:textId="77777777" w:rsidR="00000000" w:rsidRDefault="0053651E">
            <w:pPr>
              <w:jc w:val="right"/>
              <w:rPr>
                <w:rFonts w:eastAsia="Times New Roman"/>
                <w:sz w:val="16"/>
                <w:szCs w:val="16"/>
              </w:rPr>
            </w:pPr>
            <w:r>
              <w:rPr>
                <w:rStyle w:val="a6"/>
                <w:rFonts w:eastAsia="Times New Roman"/>
                <w:i w:val="0"/>
                <w:iCs w:val="0"/>
                <w:sz w:val="16"/>
                <w:szCs w:val="16"/>
              </w:rPr>
              <w:t>5,418,825</w:t>
            </w:r>
          </w:p>
        </w:tc>
        <w:tc>
          <w:tcPr>
            <w:tcW w:w="450" w:type="pct"/>
            <w:shd w:val="clear" w:color="auto" w:fill="CCEEFF"/>
            <w:vAlign w:val="bottom"/>
            <w:hideMark/>
          </w:tcPr>
          <w:p w14:paraId="4E3882B5" w14:textId="77777777" w:rsidR="00000000" w:rsidRDefault="0053651E">
            <w:pPr>
              <w:jc w:val="right"/>
              <w:rPr>
                <w:rFonts w:eastAsia="Times New Roman"/>
                <w:sz w:val="16"/>
                <w:szCs w:val="16"/>
              </w:rPr>
            </w:pPr>
            <w:r>
              <w:rPr>
                <w:rStyle w:val="a6"/>
                <w:rFonts w:eastAsia="Times New Roman"/>
                <w:i w:val="0"/>
                <w:iCs w:val="0"/>
                <w:sz w:val="16"/>
                <w:szCs w:val="16"/>
              </w:rPr>
              <w:t>15,857,878</w:t>
            </w:r>
          </w:p>
        </w:tc>
        <w:tc>
          <w:tcPr>
            <w:tcW w:w="350" w:type="pct"/>
            <w:shd w:val="clear" w:color="auto" w:fill="CCEEFF"/>
            <w:vAlign w:val="bottom"/>
            <w:hideMark/>
          </w:tcPr>
          <w:p w14:paraId="68FB4533" w14:textId="77777777" w:rsidR="00000000" w:rsidRDefault="0053651E">
            <w:pPr>
              <w:jc w:val="right"/>
              <w:rPr>
                <w:rFonts w:eastAsia="Times New Roman"/>
                <w:sz w:val="16"/>
                <w:szCs w:val="16"/>
              </w:rPr>
            </w:pPr>
            <w:r>
              <w:rPr>
                <w:rStyle w:val="a6"/>
                <w:rFonts w:eastAsia="Times New Roman"/>
                <w:i w:val="0"/>
                <w:iCs w:val="0"/>
                <w:sz w:val="16"/>
                <w:szCs w:val="16"/>
              </w:rPr>
              <w:t>21,276,703</w:t>
            </w:r>
          </w:p>
        </w:tc>
        <w:tc>
          <w:tcPr>
            <w:tcW w:w="400" w:type="pct"/>
            <w:shd w:val="clear" w:color="auto" w:fill="CCEEFF"/>
            <w:vAlign w:val="bottom"/>
            <w:hideMark/>
          </w:tcPr>
          <w:p w14:paraId="0A9AA181" w14:textId="77777777" w:rsidR="00000000" w:rsidRDefault="0053651E">
            <w:pPr>
              <w:jc w:val="right"/>
              <w:rPr>
                <w:rFonts w:eastAsia="Times New Roman"/>
                <w:sz w:val="16"/>
                <w:szCs w:val="16"/>
              </w:rPr>
            </w:pPr>
            <w:r>
              <w:rPr>
                <w:rStyle w:val="a6"/>
                <w:rFonts w:eastAsia="Times New Roman"/>
                <w:i w:val="0"/>
                <w:iCs w:val="0"/>
                <w:sz w:val="16"/>
                <w:szCs w:val="16"/>
              </w:rPr>
              <w:t>2,561,188</w:t>
            </w:r>
          </w:p>
        </w:tc>
        <w:tc>
          <w:tcPr>
            <w:tcW w:w="50" w:type="pct"/>
            <w:shd w:val="clear" w:color="auto" w:fill="CCEEFF"/>
            <w:vAlign w:val="bottom"/>
            <w:hideMark/>
          </w:tcPr>
          <w:p w14:paraId="69327B85"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0B99D38" w14:textId="77777777" w:rsidR="00000000" w:rsidRDefault="0053651E">
            <w:pPr>
              <w:jc w:val="right"/>
              <w:rPr>
                <w:rFonts w:eastAsia="Times New Roman"/>
                <w:sz w:val="16"/>
                <w:szCs w:val="16"/>
              </w:rPr>
            </w:pPr>
            <w:r>
              <w:rPr>
                <w:rStyle w:val="a6"/>
                <w:rFonts w:eastAsia="Times New Roman"/>
                <w:i w:val="0"/>
                <w:iCs w:val="0"/>
                <w:sz w:val="16"/>
                <w:szCs w:val="16"/>
              </w:rPr>
              <w:t>18,715,515</w:t>
            </w:r>
          </w:p>
        </w:tc>
        <w:tc>
          <w:tcPr>
            <w:tcW w:w="50" w:type="pct"/>
            <w:shd w:val="clear" w:color="auto" w:fill="CCEEFF"/>
            <w:vAlign w:val="bottom"/>
            <w:hideMark/>
          </w:tcPr>
          <w:p w14:paraId="7BD1498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26FDC3B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704AF676"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A3D15C0" w14:textId="77777777">
        <w:trPr>
          <w:tblCellSpacing w:w="0" w:type="dxa"/>
        </w:trPr>
        <w:tc>
          <w:tcPr>
            <w:tcW w:w="50" w:type="pct"/>
            <w:shd w:val="clear" w:color="auto" w:fill="FFFFFF"/>
            <w:vAlign w:val="bottom"/>
            <w:hideMark/>
          </w:tcPr>
          <w:p w14:paraId="0AF3D36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701C9D2" w14:textId="77777777" w:rsidR="00000000" w:rsidRDefault="0053651E">
            <w:pPr>
              <w:pStyle w:val="a3"/>
              <w:spacing w:before="0" w:beforeAutospacing="0" w:after="0" w:afterAutospacing="0"/>
              <w:rPr>
                <w:sz w:val="16"/>
                <w:szCs w:val="16"/>
              </w:rPr>
            </w:pPr>
            <w:r>
              <w:rPr>
                <w:rStyle w:val="a6"/>
                <w:i w:val="0"/>
                <w:iCs w:val="0"/>
                <w:sz w:val="16"/>
                <w:szCs w:val="16"/>
              </w:rPr>
              <w:t>SILVERDALE PLAZA</w:t>
            </w:r>
          </w:p>
        </w:tc>
        <w:tc>
          <w:tcPr>
            <w:tcW w:w="150" w:type="pct"/>
            <w:shd w:val="clear" w:color="auto" w:fill="FFFFFF"/>
            <w:vAlign w:val="bottom"/>
            <w:hideMark/>
          </w:tcPr>
          <w:p w14:paraId="2AA847FF" w14:textId="77777777" w:rsidR="00000000" w:rsidRDefault="0053651E">
            <w:pPr>
              <w:pStyle w:val="a3"/>
              <w:spacing w:before="0" w:beforeAutospacing="0" w:after="0" w:afterAutospacing="0"/>
              <w:rPr>
                <w:sz w:val="16"/>
                <w:szCs w:val="16"/>
              </w:rPr>
            </w:pPr>
            <w:r>
              <w:rPr>
                <w:rStyle w:val="a6"/>
                <w:i w:val="0"/>
                <w:iCs w:val="0"/>
                <w:sz w:val="16"/>
                <w:szCs w:val="16"/>
              </w:rPr>
              <w:t>WA</w:t>
            </w:r>
          </w:p>
        </w:tc>
        <w:tc>
          <w:tcPr>
            <w:tcW w:w="300" w:type="pct"/>
            <w:shd w:val="clear" w:color="auto" w:fill="FFFFFF"/>
            <w:vAlign w:val="bottom"/>
            <w:hideMark/>
          </w:tcPr>
          <w:p w14:paraId="14DEB8C9" w14:textId="77777777" w:rsidR="00000000" w:rsidRDefault="0053651E">
            <w:pPr>
              <w:jc w:val="right"/>
              <w:rPr>
                <w:rFonts w:eastAsia="Times New Roman"/>
                <w:sz w:val="16"/>
                <w:szCs w:val="16"/>
              </w:rPr>
            </w:pPr>
            <w:r>
              <w:rPr>
                <w:rStyle w:val="a6"/>
                <w:rFonts w:eastAsia="Times New Roman"/>
                <w:i w:val="0"/>
                <w:iCs w:val="0"/>
                <w:sz w:val="16"/>
                <w:szCs w:val="16"/>
              </w:rPr>
              <w:t>3,875,013</w:t>
            </w:r>
          </w:p>
        </w:tc>
        <w:tc>
          <w:tcPr>
            <w:tcW w:w="550" w:type="pct"/>
            <w:shd w:val="clear" w:color="auto" w:fill="FFFFFF"/>
            <w:vAlign w:val="bottom"/>
            <w:hideMark/>
          </w:tcPr>
          <w:p w14:paraId="3F63C4DF" w14:textId="77777777" w:rsidR="00000000" w:rsidRDefault="0053651E">
            <w:pPr>
              <w:jc w:val="right"/>
              <w:rPr>
                <w:rFonts w:eastAsia="Times New Roman"/>
                <w:sz w:val="16"/>
                <w:szCs w:val="16"/>
              </w:rPr>
            </w:pPr>
            <w:r>
              <w:rPr>
                <w:rStyle w:val="a6"/>
                <w:rFonts w:eastAsia="Times New Roman"/>
                <w:i w:val="0"/>
                <w:iCs w:val="0"/>
                <w:sz w:val="16"/>
                <w:szCs w:val="16"/>
              </w:rPr>
              <w:t>33,109,418</w:t>
            </w:r>
          </w:p>
        </w:tc>
        <w:tc>
          <w:tcPr>
            <w:tcW w:w="350" w:type="pct"/>
            <w:shd w:val="clear" w:color="auto" w:fill="FFFFFF"/>
            <w:vAlign w:val="bottom"/>
            <w:hideMark/>
          </w:tcPr>
          <w:p w14:paraId="71846E48" w14:textId="77777777" w:rsidR="00000000" w:rsidRDefault="0053651E">
            <w:pPr>
              <w:jc w:val="right"/>
              <w:rPr>
                <w:rFonts w:eastAsia="Times New Roman"/>
                <w:sz w:val="16"/>
                <w:szCs w:val="16"/>
              </w:rPr>
            </w:pPr>
            <w:r>
              <w:rPr>
                <w:rStyle w:val="a6"/>
                <w:rFonts w:eastAsia="Times New Roman"/>
                <w:i w:val="0"/>
                <w:iCs w:val="0"/>
                <w:sz w:val="16"/>
                <w:szCs w:val="16"/>
              </w:rPr>
              <w:t>86,051</w:t>
            </w:r>
          </w:p>
        </w:tc>
        <w:tc>
          <w:tcPr>
            <w:tcW w:w="300" w:type="pct"/>
            <w:shd w:val="clear" w:color="auto" w:fill="FFFFFF"/>
            <w:vAlign w:val="bottom"/>
            <w:hideMark/>
          </w:tcPr>
          <w:p w14:paraId="0087C71B" w14:textId="77777777" w:rsidR="00000000" w:rsidRDefault="0053651E">
            <w:pPr>
              <w:jc w:val="right"/>
              <w:rPr>
                <w:rFonts w:eastAsia="Times New Roman"/>
                <w:sz w:val="16"/>
                <w:szCs w:val="16"/>
              </w:rPr>
            </w:pPr>
            <w:r>
              <w:rPr>
                <w:rStyle w:val="a6"/>
                <w:rFonts w:eastAsia="Times New Roman"/>
                <w:i w:val="0"/>
                <w:iCs w:val="0"/>
                <w:sz w:val="16"/>
                <w:szCs w:val="16"/>
              </w:rPr>
              <w:t>3,755,613</w:t>
            </w:r>
          </w:p>
        </w:tc>
        <w:tc>
          <w:tcPr>
            <w:tcW w:w="450" w:type="pct"/>
            <w:shd w:val="clear" w:color="auto" w:fill="FFFFFF"/>
            <w:vAlign w:val="bottom"/>
            <w:hideMark/>
          </w:tcPr>
          <w:p w14:paraId="73EE0F87" w14:textId="77777777" w:rsidR="00000000" w:rsidRDefault="0053651E">
            <w:pPr>
              <w:jc w:val="right"/>
              <w:rPr>
                <w:rFonts w:eastAsia="Times New Roman"/>
                <w:sz w:val="16"/>
                <w:szCs w:val="16"/>
              </w:rPr>
            </w:pPr>
            <w:r>
              <w:rPr>
                <w:rStyle w:val="a6"/>
                <w:rFonts w:eastAsia="Times New Roman"/>
                <w:i w:val="0"/>
                <w:iCs w:val="0"/>
                <w:sz w:val="16"/>
                <w:szCs w:val="16"/>
              </w:rPr>
              <w:t>33,314,869</w:t>
            </w:r>
          </w:p>
        </w:tc>
        <w:tc>
          <w:tcPr>
            <w:tcW w:w="350" w:type="pct"/>
            <w:shd w:val="clear" w:color="auto" w:fill="FFFFFF"/>
            <w:vAlign w:val="bottom"/>
            <w:hideMark/>
          </w:tcPr>
          <w:p w14:paraId="0ED69B25" w14:textId="77777777" w:rsidR="00000000" w:rsidRDefault="0053651E">
            <w:pPr>
              <w:jc w:val="right"/>
              <w:rPr>
                <w:rFonts w:eastAsia="Times New Roman"/>
                <w:sz w:val="16"/>
                <w:szCs w:val="16"/>
              </w:rPr>
            </w:pPr>
            <w:r>
              <w:rPr>
                <w:rStyle w:val="a6"/>
                <w:rFonts w:eastAsia="Times New Roman"/>
                <w:i w:val="0"/>
                <w:iCs w:val="0"/>
                <w:sz w:val="16"/>
                <w:szCs w:val="16"/>
              </w:rPr>
              <w:t>37,070,482</w:t>
            </w:r>
          </w:p>
        </w:tc>
        <w:tc>
          <w:tcPr>
            <w:tcW w:w="400" w:type="pct"/>
            <w:shd w:val="clear" w:color="auto" w:fill="FFFFFF"/>
            <w:vAlign w:val="bottom"/>
            <w:hideMark/>
          </w:tcPr>
          <w:p w14:paraId="5A0A8513" w14:textId="77777777" w:rsidR="00000000" w:rsidRDefault="0053651E">
            <w:pPr>
              <w:jc w:val="right"/>
              <w:rPr>
                <w:rFonts w:eastAsia="Times New Roman"/>
                <w:sz w:val="16"/>
                <w:szCs w:val="16"/>
              </w:rPr>
            </w:pPr>
            <w:r>
              <w:rPr>
                <w:rStyle w:val="a6"/>
                <w:rFonts w:eastAsia="Times New Roman"/>
                <w:i w:val="0"/>
                <w:iCs w:val="0"/>
                <w:sz w:val="16"/>
                <w:szCs w:val="16"/>
              </w:rPr>
              <w:t>7,096,657</w:t>
            </w:r>
          </w:p>
        </w:tc>
        <w:tc>
          <w:tcPr>
            <w:tcW w:w="50" w:type="pct"/>
            <w:shd w:val="clear" w:color="auto" w:fill="FFFFFF"/>
            <w:vAlign w:val="bottom"/>
            <w:hideMark/>
          </w:tcPr>
          <w:p w14:paraId="60A0114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7C4AA49" w14:textId="77777777" w:rsidR="00000000" w:rsidRDefault="0053651E">
            <w:pPr>
              <w:jc w:val="right"/>
              <w:rPr>
                <w:rFonts w:eastAsia="Times New Roman"/>
                <w:sz w:val="16"/>
                <w:szCs w:val="16"/>
              </w:rPr>
            </w:pPr>
            <w:r>
              <w:rPr>
                <w:rStyle w:val="a6"/>
                <w:rFonts w:eastAsia="Times New Roman"/>
                <w:i w:val="0"/>
                <w:iCs w:val="0"/>
                <w:sz w:val="16"/>
                <w:szCs w:val="16"/>
              </w:rPr>
              <w:t>29,973,825</w:t>
            </w:r>
          </w:p>
        </w:tc>
        <w:tc>
          <w:tcPr>
            <w:tcW w:w="50" w:type="pct"/>
            <w:shd w:val="clear" w:color="auto" w:fill="FFFFFF"/>
            <w:vAlign w:val="bottom"/>
            <w:hideMark/>
          </w:tcPr>
          <w:p w14:paraId="4EC5A14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EC8732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3AF6D458"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36AEED0A" w14:textId="77777777">
        <w:trPr>
          <w:tblCellSpacing w:w="0" w:type="dxa"/>
        </w:trPr>
        <w:tc>
          <w:tcPr>
            <w:tcW w:w="50" w:type="pct"/>
            <w:gridSpan w:val="2"/>
            <w:shd w:val="clear" w:color="auto" w:fill="CCEEFF"/>
            <w:vAlign w:val="bottom"/>
            <w:hideMark/>
          </w:tcPr>
          <w:p w14:paraId="0478422B" w14:textId="77777777" w:rsidR="00000000" w:rsidRDefault="0053651E">
            <w:pPr>
              <w:pStyle w:val="a3"/>
              <w:spacing w:before="0" w:beforeAutospacing="0" w:after="0" w:afterAutospacing="0"/>
              <w:rPr>
                <w:sz w:val="16"/>
                <w:szCs w:val="16"/>
              </w:rPr>
            </w:pPr>
            <w:r>
              <w:rPr>
                <w:rStyle w:val="a6"/>
                <w:i w:val="0"/>
                <w:iCs w:val="0"/>
                <w:sz w:val="16"/>
                <w:szCs w:val="16"/>
              </w:rPr>
              <w:t>OTHER PROPERTY INTERESTS</w:t>
            </w:r>
          </w:p>
        </w:tc>
        <w:tc>
          <w:tcPr>
            <w:tcW w:w="150" w:type="pct"/>
            <w:shd w:val="clear" w:color="auto" w:fill="CCEEFF"/>
            <w:vAlign w:val="bottom"/>
            <w:hideMark/>
          </w:tcPr>
          <w:p w14:paraId="148F0FD0" w14:textId="77777777" w:rsidR="00000000" w:rsidRDefault="0053651E">
            <w:pPr>
              <w:rPr>
                <w:rFonts w:eastAsia="Times New Roman"/>
                <w:sz w:val="16"/>
                <w:szCs w:val="16"/>
              </w:rPr>
            </w:pPr>
            <w:r>
              <w:rPr>
                <w:rStyle w:val="a6"/>
                <w:rFonts w:eastAsia="Times New Roman"/>
                <w:i w:val="0"/>
                <w:iCs w:val="0"/>
                <w:sz w:val="16"/>
                <w:szCs w:val="16"/>
              </w:rPr>
              <w:t> </w:t>
            </w:r>
          </w:p>
        </w:tc>
        <w:tc>
          <w:tcPr>
            <w:tcW w:w="300" w:type="pct"/>
            <w:shd w:val="clear" w:color="auto" w:fill="CCEEFF"/>
            <w:vAlign w:val="bottom"/>
            <w:hideMark/>
          </w:tcPr>
          <w:p w14:paraId="4F5E6E23" w14:textId="77777777" w:rsidR="00000000" w:rsidRDefault="0053651E">
            <w:pPr>
              <w:rPr>
                <w:rFonts w:eastAsia="Times New Roman"/>
                <w:sz w:val="16"/>
                <w:szCs w:val="16"/>
              </w:rPr>
            </w:pPr>
            <w:r>
              <w:rPr>
                <w:rStyle w:val="a6"/>
                <w:rFonts w:eastAsia="Times New Roman"/>
                <w:i w:val="0"/>
                <w:iCs w:val="0"/>
                <w:sz w:val="16"/>
                <w:szCs w:val="16"/>
              </w:rPr>
              <w:t> </w:t>
            </w:r>
          </w:p>
        </w:tc>
        <w:tc>
          <w:tcPr>
            <w:tcW w:w="550" w:type="pct"/>
            <w:shd w:val="clear" w:color="auto" w:fill="CCEEFF"/>
            <w:vAlign w:val="bottom"/>
            <w:hideMark/>
          </w:tcPr>
          <w:p w14:paraId="74B40ACE" w14:textId="77777777" w:rsidR="00000000" w:rsidRDefault="0053651E">
            <w:pPr>
              <w:rPr>
                <w:rFonts w:eastAsia="Times New Roman"/>
                <w:sz w:val="16"/>
                <w:szCs w:val="16"/>
              </w:rPr>
            </w:pPr>
            <w:r>
              <w:rPr>
                <w:rStyle w:val="a6"/>
                <w:rFonts w:eastAsia="Times New Roman"/>
                <w:i w:val="0"/>
                <w:iCs w:val="0"/>
                <w:sz w:val="16"/>
                <w:szCs w:val="16"/>
              </w:rPr>
              <w:t> </w:t>
            </w:r>
          </w:p>
        </w:tc>
        <w:tc>
          <w:tcPr>
            <w:tcW w:w="350" w:type="pct"/>
            <w:shd w:val="clear" w:color="auto" w:fill="CCEEFF"/>
            <w:vAlign w:val="bottom"/>
            <w:hideMark/>
          </w:tcPr>
          <w:p w14:paraId="3A0F75BA" w14:textId="77777777" w:rsidR="00000000" w:rsidRDefault="0053651E">
            <w:pPr>
              <w:rPr>
                <w:rFonts w:eastAsia="Times New Roman"/>
                <w:sz w:val="16"/>
                <w:szCs w:val="16"/>
              </w:rPr>
            </w:pPr>
            <w:r>
              <w:rPr>
                <w:rStyle w:val="a6"/>
                <w:rFonts w:eastAsia="Times New Roman"/>
                <w:i w:val="0"/>
                <w:iCs w:val="0"/>
                <w:sz w:val="16"/>
                <w:szCs w:val="16"/>
              </w:rPr>
              <w:t> </w:t>
            </w:r>
          </w:p>
        </w:tc>
        <w:tc>
          <w:tcPr>
            <w:tcW w:w="300" w:type="pct"/>
            <w:shd w:val="clear" w:color="auto" w:fill="CCEEFF"/>
            <w:vAlign w:val="bottom"/>
            <w:hideMark/>
          </w:tcPr>
          <w:p w14:paraId="7E2421D4" w14:textId="77777777" w:rsidR="00000000" w:rsidRDefault="0053651E">
            <w:pPr>
              <w:rPr>
                <w:rFonts w:eastAsia="Times New Roman"/>
                <w:sz w:val="16"/>
                <w:szCs w:val="16"/>
              </w:rPr>
            </w:pPr>
            <w:r>
              <w:rPr>
                <w:rStyle w:val="a6"/>
                <w:rFonts w:eastAsia="Times New Roman"/>
                <w:i w:val="0"/>
                <w:iCs w:val="0"/>
                <w:sz w:val="16"/>
                <w:szCs w:val="16"/>
              </w:rPr>
              <w:t> </w:t>
            </w:r>
          </w:p>
        </w:tc>
        <w:tc>
          <w:tcPr>
            <w:tcW w:w="450" w:type="pct"/>
            <w:shd w:val="clear" w:color="auto" w:fill="CCEEFF"/>
            <w:vAlign w:val="bottom"/>
            <w:hideMark/>
          </w:tcPr>
          <w:p w14:paraId="4B32CA3C" w14:textId="77777777" w:rsidR="00000000" w:rsidRDefault="0053651E">
            <w:pPr>
              <w:rPr>
                <w:rFonts w:eastAsia="Times New Roman"/>
                <w:sz w:val="16"/>
                <w:szCs w:val="16"/>
              </w:rPr>
            </w:pPr>
            <w:r>
              <w:rPr>
                <w:rStyle w:val="a6"/>
                <w:rFonts w:eastAsia="Times New Roman"/>
                <w:i w:val="0"/>
                <w:iCs w:val="0"/>
                <w:sz w:val="16"/>
                <w:szCs w:val="16"/>
              </w:rPr>
              <w:t> </w:t>
            </w:r>
          </w:p>
        </w:tc>
        <w:tc>
          <w:tcPr>
            <w:tcW w:w="350" w:type="pct"/>
            <w:shd w:val="clear" w:color="auto" w:fill="CCEEFF"/>
            <w:vAlign w:val="bottom"/>
            <w:hideMark/>
          </w:tcPr>
          <w:p w14:paraId="76854253" w14:textId="77777777" w:rsidR="00000000" w:rsidRDefault="0053651E">
            <w:pPr>
              <w:rPr>
                <w:rFonts w:eastAsia="Times New Roman"/>
                <w:sz w:val="16"/>
                <w:szCs w:val="16"/>
              </w:rPr>
            </w:pPr>
            <w:r>
              <w:rPr>
                <w:rStyle w:val="a6"/>
                <w:rFonts w:eastAsia="Times New Roman"/>
                <w:i w:val="0"/>
                <w:iCs w:val="0"/>
                <w:sz w:val="16"/>
                <w:szCs w:val="16"/>
              </w:rPr>
              <w:t> </w:t>
            </w:r>
          </w:p>
        </w:tc>
        <w:tc>
          <w:tcPr>
            <w:tcW w:w="400" w:type="pct"/>
            <w:shd w:val="clear" w:color="auto" w:fill="CCEEFF"/>
            <w:vAlign w:val="bottom"/>
            <w:hideMark/>
          </w:tcPr>
          <w:p w14:paraId="714E64E2" w14:textId="77777777" w:rsidR="00000000" w:rsidRDefault="0053651E">
            <w:pPr>
              <w:rPr>
                <w:rFonts w:eastAsia="Times New Roman"/>
                <w:sz w:val="16"/>
                <w:szCs w:val="16"/>
              </w:rPr>
            </w:pPr>
            <w:r>
              <w:rPr>
                <w:rStyle w:val="a6"/>
                <w:rFonts w:eastAsia="Times New Roman"/>
                <w:i w:val="0"/>
                <w:iCs w:val="0"/>
                <w:sz w:val="16"/>
                <w:szCs w:val="16"/>
              </w:rPr>
              <w:t> </w:t>
            </w:r>
          </w:p>
        </w:tc>
        <w:tc>
          <w:tcPr>
            <w:tcW w:w="50" w:type="pct"/>
            <w:shd w:val="clear" w:color="auto" w:fill="CCEEFF"/>
            <w:vAlign w:val="bottom"/>
            <w:hideMark/>
          </w:tcPr>
          <w:p w14:paraId="67812052" w14:textId="77777777" w:rsidR="00000000" w:rsidRDefault="0053651E">
            <w:pPr>
              <w:rPr>
                <w:rFonts w:eastAsia="Times New Roman"/>
                <w:sz w:val="16"/>
                <w:szCs w:val="16"/>
              </w:rPr>
            </w:pPr>
            <w:r>
              <w:rPr>
                <w:rFonts w:eastAsia="Times New Roman"/>
                <w:sz w:val="16"/>
                <w:szCs w:val="16"/>
              </w:rPr>
              <w:t> </w:t>
            </w:r>
          </w:p>
        </w:tc>
        <w:tc>
          <w:tcPr>
            <w:tcW w:w="400" w:type="pct"/>
            <w:shd w:val="clear" w:color="auto" w:fill="CCEEFF"/>
            <w:vAlign w:val="bottom"/>
            <w:hideMark/>
          </w:tcPr>
          <w:p w14:paraId="5FC1CB1F" w14:textId="77777777" w:rsidR="00000000" w:rsidRDefault="0053651E">
            <w:pPr>
              <w:rPr>
                <w:rFonts w:eastAsia="Times New Roman"/>
                <w:sz w:val="16"/>
                <w:szCs w:val="16"/>
              </w:rPr>
            </w:pPr>
            <w:r>
              <w:rPr>
                <w:rStyle w:val="a6"/>
                <w:rFonts w:eastAsia="Times New Roman"/>
                <w:i w:val="0"/>
                <w:iCs w:val="0"/>
                <w:sz w:val="16"/>
                <w:szCs w:val="16"/>
              </w:rPr>
              <w:t> </w:t>
            </w:r>
          </w:p>
        </w:tc>
        <w:tc>
          <w:tcPr>
            <w:tcW w:w="50" w:type="pct"/>
            <w:shd w:val="clear" w:color="auto" w:fill="CCEEFF"/>
            <w:vAlign w:val="bottom"/>
            <w:hideMark/>
          </w:tcPr>
          <w:p w14:paraId="289A3C3B" w14:textId="77777777" w:rsidR="00000000" w:rsidRDefault="0053651E">
            <w:pPr>
              <w:rPr>
                <w:rFonts w:eastAsia="Times New Roman"/>
                <w:sz w:val="16"/>
                <w:szCs w:val="16"/>
              </w:rPr>
            </w:pPr>
            <w:r>
              <w:rPr>
                <w:rFonts w:eastAsia="Times New Roman"/>
                <w:sz w:val="16"/>
                <w:szCs w:val="16"/>
              </w:rPr>
              <w:t> </w:t>
            </w:r>
          </w:p>
        </w:tc>
        <w:tc>
          <w:tcPr>
            <w:tcW w:w="450" w:type="pct"/>
            <w:shd w:val="clear" w:color="auto" w:fill="CCEEFF"/>
            <w:vAlign w:val="bottom"/>
            <w:hideMark/>
          </w:tcPr>
          <w:p w14:paraId="4005605A" w14:textId="77777777" w:rsidR="00000000" w:rsidRDefault="0053651E">
            <w:pPr>
              <w:rPr>
                <w:rFonts w:eastAsia="Times New Roman"/>
                <w:sz w:val="16"/>
                <w:szCs w:val="16"/>
              </w:rPr>
            </w:pPr>
            <w:r>
              <w:rPr>
                <w:rStyle w:val="a6"/>
                <w:rFonts w:eastAsia="Times New Roman"/>
                <w:i w:val="0"/>
                <w:iCs w:val="0"/>
                <w:sz w:val="16"/>
                <w:szCs w:val="16"/>
              </w:rPr>
              <w:t> </w:t>
            </w:r>
          </w:p>
        </w:tc>
        <w:tc>
          <w:tcPr>
            <w:tcW w:w="500" w:type="pct"/>
            <w:shd w:val="clear" w:color="auto" w:fill="CCEEFF"/>
            <w:vAlign w:val="bottom"/>
            <w:hideMark/>
          </w:tcPr>
          <w:p w14:paraId="294E2A06" w14:textId="77777777" w:rsidR="00000000" w:rsidRDefault="0053651E">
            <w:pPr>
              <w:rPr>
                <w:rFonts w:eastAsia="Times New Roman"/>
                <w:sz w:val="16"/>
                <w:szCs w:val="16"/>
              </w:rPr>
            </w:pPr>
            <w:r>
              <w:rPr>
                <w:rStyle w:val="a6"/>
                <w:rFonts w:eastAsia="Times New Roman"/>
                <w:i w:val="0"/>
                <w:iCs w:val="0"/>
                <w:sz w:val="16"/>
                <w:szCs w:val="16"/>
              </w:rPr>
              <w:t> </w:t>
            </w:r>
          </w:p>
        </w:tc>
      </w:tr>
      <w:tr w:rsidR="00000000" w14:paraId="2271019F" w14:textId="77777777">
        <w:trPr>
          <w:tblCellSpacing w:w="0" w:type="dxa"/>
        </w:trPr>
        <w:tc>
          <w:tcPr>
            <w:tcW w:w="50" w:type="pct"/>
            <w:shd w:val="clear" w:color="auto" w:fill="FFFFFF"/>
            <w:vAlign w:val="bottom"/>
            <w:hideMark/>
          </w:tcPr>
          <w:p w14:paraId="6FC86FB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7720269" w14:textId="77777777" w:rsidR="00000000" w:rsidRDefault="0053651E">
            <w:pPr>
              <w:pStyle w:val="a3"/>
              <w:spacing w:before="0" w:beforeAutospacing="0" w:after="0" w:afterAutospacing="0"/>
              <w:rPr>
                <w:sz w:val="16"/>
                <w:szCs w:val="16"/>
              </w:rPr>
            </w:pPr>
            <w:r>
              <w:rPr>
                <w:rStyle w:val="a6"/>
                <w:i w:val="0"/>
                <w:iCs w:val="0"/>
                <w:sz w:val="16"/>
                <w:szCs w:val="16"/>
              </w:rPr>
              <w:t>EL MIRAGE</w:t>
            </w:r>
          </w:p>
        </w:tc>
        <w:tc>
          <w:tcPr>
            <w:tcW w:w="150" w:type="pct"/>
            <w:shd w:val="clear" w:color="auto" w:fill="FFFFFF"/>
            <w:vAlign w:val="bottom"/>
            <w:hideMark/>
          </w:tcPr>
          <w:p w14:paraId="6BD374FF"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2A3C4869" w14:textId="77777777" w:rsidR="00000000" w:rsidRDefault="0053651E">
            <w:pPr>
              <w:jc w:val="right"/>
              <w:rPr>
                <w:rFonts w:eastAsia="Times New Roman"/>
                <w:sz w:val="16"/>
                <w:szCs w:val="16"/>
              </w:rPr>
            </w:pPr>
            <w:r>
              <w:rPr>
                <w:rStyle w:val="a6"/>
                <w:rFonts w:eastAsia="Times New Roman"/>
                <w:i w:val="0"/>
                <w:iCs w:val="0"/>
                <w:sz w:val="16"/>
                <w:szCs w:val="16"/>
              </w:rPr>
              <w:t>6,786,441</w:t>
            </w:r>
          </w:p>
        </w:tc>
        <w:tc>
          <w:tcPr>
            <w:tcW w:w="550" w:type="pct"/>
            <w:shd w:val="clear" w:color="auto" w:fill="FFFFFF"/>
            <w:vAlign w:val="bottom"/>
            <w:hideMark/>
          </w:tcPr>
          <w:p w14:paraId="65B29BAA" w14:textId="77777777" w:rsidR="00000000" w:rsidRDefault="0053651E">
            <w:pPr>
              <w:jc w:val="right"/>
              <w:rPr>
                <w:rFonts w:eastAsia="Times New Roman"/>
                <w:sz w:val="16"/>
                <w:szCs w:val="16"/>
              </w:rPr>
            </w:pPr>
            <w:r>
              <w:rPr>
                <w:rStyle w:val="a6"/>
                <w:rFonts w:eastAsia="Times New Roman"/>
                <w:i w:val="0"/>
                <w:iCs w:val="0"/>
                <w:sz w:val="16"/>
                <w:szCs w:val="16"/>
              </w:rPr>
              <w:t>503,987</w:t>
            </w:r>
          </w:p>
        </w:tc>
        <w:tc>
          <w:tcPr>
            <w:tcW w:w="350" w:type="pct"/>
            <w:shd w:val="clear" w:color="auto" w:fill="FFFFFF"/>
            <w:vAlign w:val="bottom"/>
            <w:hideMark/>
          </w:tcPr>
          <w:p w14:paraId="100AB974" w14:textId="77777777" w:rsidR="00000000" w:rsidRDefault="0053651E">
            <w:pPr>
              <w:jc w:val="right"/>
              <w:rPr>
                <w:rFonts w:eastAsia="Times New Roman"/>
                <w:sz w:val="16"/>
                <w:szCs w:val="16"/>
              </w:rPr>
            </w:pPr>
            <w:r>
              <w:rPr>
                <w:rStyle w:val="a6"/>
                <w:rFonts w:eastAsia="Times New Roman"/>
                <w:i w:val="0"/>
                <w:iCs w:val="0"/>
                <w:sz w:val="16"/>
                <w:szCs w:val="16"/>
              </w:rPr>
              <w:t>(1,890,428)</w:t>
            </w:r>
          </w:p>
        </w:tc>
        <w:tc>
          <w:tcPr>
            <w:tcW w:w="300" w:type="pct"/>
            <w:shd w:val="clear" w:color="auto" w:fill="FFFFFF"/>
            <w:vAlign w:val="bottom"/>
            <w:hideMark/>
          </w:tcPr>
          <w:p w14:paraId="067951D0" w14:textId="77777777" w:rsidR="00000000" w:rsidRDefault="0053651E">
            <w:pPr>
              <w:jc w:val="right"/>
              <w:rPr>
                <w:rFonts w:eastAsia="Times New Roman"/>
                <w:sz w:val="16"/>
                <w:szCs w:val="16"/>
              </w:rPr>
            </w:pPr>
            <w:r>
              <w:rPr>
                <w:rStyle w:val="a6"/>
                <w:rFonts w:eastAsia="Times New Roman"/>
                <w:i w:val="0"/>
                <w:iCs w:val="0"/>
                <w:sz w:val="16"/>
                <w:szCs w:val="16"/>
              </w:rPr>
              <w:t>5,400,000</w:t>
            </w:r>
          </w:p>
        </w:tc>
        <w:tc>
          <w:tcPr>
            <w:tcW w:w="450" w:type="pct"/>
            <w:shd w:val="clear" w:color="auto" w:fill="FFFFFF"/>
            <w:vAlign w:val="bottom"/>
            <w:hideMark/>
          </w:tcPr>
          <w:p w14:paraId="774454A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13707E6F" w14:textId="77777777" w:rsidR="00000000" w:rsidRDefault="0053651E">
            <w:pPr>
              <w:jc w:val="right"/>
              <w:rPr>
                <w:rFonts w:eastAsia="Times New Roman"/>
                <w:sz w:val="16"/>
                <w:szCs w:val="16"/>
              </w:rPr>
            </w:pPr>
            <w:r>
              <w:rPr>
                <w:rStyle w:val="a6"/>
                <w:rFonts w:eastAsia="Times New Roman"/>
                <w:i w:val="0"/>
                <w:iCs w:val="0"/>
                <w:sz w:val="16"/>
                <w:szCs w:val="16"/>
              </w:rPr>
              <w:t>5,400,000</w:t>
            </w:r>
          </w:p>
        </w:tc>
        <w:tc>
          <w:tcPr>
            <w:tcW w:w="400" w:type="pct"/>
            <w:shd w:val="clear" w:color="auto" w:fill="FFFFFF"/>
            <w:vAlign w:val="bottom"/>
            <w:hideMark/>
          </w:tcPr>
          <w:p w14:paraId="5DAF343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5736EFC"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58759230" w14:textId="77777777" w:rsidR="00000000" w:rsidRDefault="0053651E">
            <w:pPr>
              <w:jc w:val="right"/>
              <w:rPr>
                <w:rFonts w:eastAsia="Times New Roman"/>
                <w:sz w:val="16"/>
                <w:szCs w:val="16"/>
              </w:rPr>
            </w:pPr>
            <w:r>
              <w:rPr>
                <w:rStyle w:val="a6"/>
                <w:rFonts w:eastAsia="Times New Roman"/>
                <w:i w:val="0"/>
                <w:iCs w:val="0"/>
                <w:sz w:val="16"/>
                <w:szCs w:val="16"/>
              </w:rPr>
              <w:t>5,400,000</w:t>
            </w:r>
          </w:p>
        </w:tc>
        <w:tc>
          <w:tcPr>
            <w:tcW w:w="50" w:type="pct"/>
            <w:shd w:val="clear" w:color="auto" w:fill="FFFFFF"/>
            <w:vAlign w:val="bottom"/>
            <w:hideMark/>
          </w:tcPr>
          <w:p w14:paraId="317610B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96BBE5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5572714A" w14:textId="77777777" w:rsidR="00000000" w:rsidRDefault="0053651E">
            <w:pPr>
              <w:pStyle w:val="a3"/>
              <w:spacing w:before="0" w:beforeAutospacing="0" w:after="0" w:afterAutospacing="0"/>
              <w:jc w:val="center"/>
              <w:rPr>
                <w:sz w:val="16"/>
                <w:szCs w:val="16"/>
              </w:rPr>
            </w:pPr>
            <w:r>
              <w:rPr>
                <w:rStyle w:val="a6"/>
                <w:i w:val="0"/>
                <w:iCs w:val="0"/>
                <w:sz w:val="16"/>
                <w:szCs w:val="16"/>
              </w:rPr>
              <w:t>2008(C)</w:t>
            </w:r>
          </w:p>
        </w:tc>
      </w:tr>
      <w:tr w:rsidR="00000000" w14:paraId="66FE3234" w14:textId="77777777">
        <w:trPr>
          <w:tblCellSpacing w:w="0" w:type="dxa"/>
        </w:trPr>
        <w:tc>
          <w:tcPr>
            <w:tcW w:w="50" w:type="pct"/>
            <w:shd w:val="clear" w:color="auto" w:fill="CCEEFF"/>
            <w:vAlign w:val="bottom"/>
            <w:hideMark/>
          </w:tcPr>
          <w:p w14:paraId="6457ED27"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C31DA72" w14:textId="77777777" w:rsidR="00000000" w:rsidRDefault="0053651E">
            <w:pPr>
              <w:pStyle w:val="a3"/>
              <w:spacing w:before="0" w:beforeAutospacing="0" w:after="0" w:afterAutospacing="0"/>
              <w:rPr>
                <w:sz w:val="16"/>
                <w:szCs w:val="16"/>
              </w:rPr>
            </w:pPr>
            <w:r>
              <w:rPr>
                <w:rStyle w:val="a6"/>
                <w:i w:val="0"/>
                <w:iCs w:val="0"/>
                <w:sz w:val="16"/>
                <w:szCs w:val="16"/>
              </w:rPr>
              <w:t>ASANTE RETAIL CENTER</w:t>
            </w:r>
          </w:p>
        </w:tc>
        <w:tc>
          <w:tcPr>
            <w:tcW w:w="150" w:type="pct"/>
            <w:shd w:val="clear" w:color="auto" w:fill="CCEEFF"/>
            <w:vAlign w:val="bottom"/>
            <w:hideMark/>
          </w:tcPr>
          <w:p w14:paraId="3F9602C2"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CCEEFF"/>
            <w:vAlign w:val="bottom"/>
            <w:hideMark/>
          </w:tcPr>
          <w:p w14:paraId="78F4A0EB" w14:textId="77777777" w:rsidR="00000000" w:rsidRDefault="0053651E">
            <w:pPr>
              <w:jc w:val="right"/>
              <w:rPr>
                <w:rFonts w:eastAsia="Times New Roman"/>
                <w:sz w:val="16"/>
                <w:szCs w:val="16"/>
              </w:rPr>
            </w:pPr>
            <w:r>
              <w:rPr>
                <w:rStyle w:val="a6"/>
                <w:rFonts w:eastAsia="Times New Roman"/>
                <w:i w:val="0"/>
                <w:iCs w:val="0"/>
                <w:sz w:val="16"/>
                <w:szCs w:val="16"/>
              </w:rPr>
              <w:t>8,702,635</w:t>
            </w:r>
          </w:p>
        </w:tc>
        <w:tc>
          <w:tcPr>
            <w:tcW w:w="550" w:type="pct"/>
            <w:shd w:val="clear" w:color="auto" w:fill="CCEEFF"/>
            <w:vAlign w:val="bottom"/>
            <w:hideMark/>
          </w:tcPr>
          <w:p w14:paraId="5BCE4C68" w14:textId="77777777" w:rsidR="00000000" w:rsidRDefault="0053651E">
            <w:pPr>
              <w:jc w:val="right"/>
              <w:rPr>
                <w:rFonts w:eastAsia="Times New Roman"/>
                <w:sz w:val="16"/>
                <w:szCs w:val="16"/>
              </w:rPr>
            </w:pPr>
            <w:r>
              <w:rPr>
                <w:rStyle w:val="a6"/>
                <w:rFonts w:eastAsia="Times New Roman"/>
                <w:i w:val="0"/>
                <w:iCs w:val="0"/>
                <w:sz w:val="16"/>
                <w:szCs w:val="16"/>
              </w:rPr>
              <w:t>3,405,683</w:t>
            </w:r>
          </w:p>
        </w:tc>
        <w:tc>
          <w:tcPr>
            <w:tcW w:w="350" w:type="pct"/>
            <w:shd w:val="clear" w:color="auto" w:fill="CCEEFF"/>
            <w:vAlign w:val="bottom"/>
            <w:hideMark/>
          </w:tcPr>
          <w:p w14:paraId="1456277F" w14:textId="77777777" w:rsidR="00000000" w:rsidRDefault="0053651E">
            <w:pPr>
              <w:jc w:val="right"/>
              <w:rPr>
                <w:rFonts w:eastAsia="Times New Roman"/>
                <w:sz w:val="16"/>
                <w:szCs w:val="16"/>
              </w:rPr>
            </w:pPr>
            <w:r>
              <w:rPr>
                <w:rStyle w:val="a6"/>
                <w:rFonts w:eastAsia="Times New Roman"/>
                <w:i w:val="0"/>
                <w:iCs w:val="0"/>
                <w:sz w:val="16"/>
                <w:szCs w:val="16"/>
              </w:rPr>
              <w:t>(1,068,846)</w:t>
            </w:r>
          </w:p>
        </w:tc>
        <w:tc>
          <w:tcPr>
            <w:tcW w:w="300" w:type="pct"/>
            <w:shd w:val="clear" w:color="auto" w:fill="CCEEFF"/>
            <w:vAlign w:val="bottom"/>
            <w:hideMark/>
          </w:tcPr>
          <w:p w14:paraId="4835F453" w14:textId="77777777" w:rsidR="00000000" w:rsidRDefault="0053651E">
            <w:pPr>
              <w:jc w:val="right"/>
              <w:rPr>
                <w:rFonts w:eastAsia="Times New Roman"/>
                <w:sz w:val="16"/>
                <w:szCs w:val="16"/>
              </w:rPr>
            </w:pPr>
            <w:r>
              <w:rPr>
                <w:rStyle w:val="a6"/>
                <w:rFonts w:eastAsia="Times New Roman"/>
                <w:i w:val="0"/>
                <w:iCs w:val="0"/>
                <w:sz w:val="16"/>
                <w:szCs w:val="16"/>
              </w:rPr>
              <w:t>11,039,472</w:t>
            </w:r>
          </w:p>
        </w:tc>
        <w:tc>
          <w:tcPr>
            <w:tcW w:w="450" w:type="pct"/>
            <w:shd w:val="clear" w:color="auto" w:fill="CCEEFF"/>
            <w:vAlign w:val="bottom"/>
            <w:hideMark/>
          </w:tcPr>
          <w:p w14:paraId="58EAEF0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47E13922" w14:textId="77777777" w:rsidR="00000000" w:rsidRDefault="0053651E">
            <w:pPr>
              <w:jc w:val="right"/>
              <w:rPr>
                <w:rFonts w:eastAsia="Times New Roman"/>
                <w:sz w:val="16"/>
                <w:szCs w:val="16"/>
              </w:rPr>
            </w:pPr>
            <w:r>
              <w:rPr>
                <w:rStyle w:val="a6"/>
                <w:rFonts w:eastAsia="Times New Roman"/>
                <w:i w:val="0"/>
                <w:iCs w:val="0"/>
                <w:sz w:val="16"/>
                <w:szCs w:val="16"/>
              </w:rPr>
              <w:t>11,039,472</w:t>
            </w:r>
          </w:p>
        </w:tc>
        <w:tc>
          <w:tcPr>
            <w:tcW w:w="400" w:type="pct"/>
            <w:shd w:val="clear" w:color="auto" w:fill="CCEEFF"/>
            <w:vAlign w:val="bottom"/>
            <w:hideMark/>
          </w:tcPr>
          <w:p w14:paraId="2659B9C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B38B46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96D943C" w14:textId="77777777" w:rsidR="00000000" w:rsidRDefault="0053651E">
            <w:pPr>
              <w:jc w:val="right"/>
              <w:rPr>
                <w:rFonts w:eastAsia="Times New Roman"/>
                <w:sz w:val="16"/>
                <w:szCs w:val="16"/>
              </w:rPr>
            </w:pPr>
            <w:r>
              <w:rPr>
                <w:rStyle w:val="a6"/>
                <w:rFonts w:eastAsia="Times New Roman"/>
                <w:i w:val="0"/>
                <w:iCs w:val="0"/>
                <w:sz w:val="16"/>
                <w:szCs w:val="16"/>
              </w:rPr>
              <w:t>11,039,472</w:t>
            </w:r>
          </w:p>
        </w:tc>
        <w:tc>
          <w:tcPr>
            <w:tcW w:w="50" w:type="pct"/>
            <w:shd w:val="clear" w:color="auto" w:fill="CCEEFF"/>
            <w:vAlign w:val="bottom"/>
            <w:hideMark/>
          </w:tcPr>
          <w:p w14:paraId="6BDC79D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043B283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6C828A3D" w14:textId="77777777" w:rsidR="00000000" w:rsidRDefault="0053651E">
            <w:pPr>
              <w:pStyle w:val="a3"/>
              <w:spacing w:before="0" w:beforeAutospacing="0" w:after="0" w:afterAutospacing="0"/>
              <w:jc w:val="center"/>
              <w:rPr>
                <w:sz w:val="16"/>
                <w:szCs w:val="16"/>
              </w:rPr>
            </w:pPr>
            <w:r>
              <w:rPr>
                <w:rStyle w:val="a6"/>
                <w:i w:val="0"/>
                <w:iCs w:val="0"/>
                <w:sz w:val="16"/>
                <w:szCs w:val="16"/>
              </w:rPr>
              <w:t>2004(C)</w:t>
            </w:r>
          </w:p>
        </w:tc>
      </w:tr>
      <w:tr w:rsidR="00000000" w14:paraId="2483DB4B" w14:textId="77777777">
        <w:trPr>
          <w:tblCellSpacing w:w="0" w:type="dxa"/>
        </w:trPr>
        <w:tc>
          <w:tcPr>
            <w:tcW w:w="50" w:type="pct"/>
            <w:shd w:val="clear" w:color="auto" w:fill="FFFFFF"/>
            <w:vAlign w:val="bottom"/>
            <w:hideMark/>
          </w:tcPr>
          <w:p w14:paraId="40D8F26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DD7F00B" w14:textId="77777777" w:rsidR="00000000" w:rsidRDefault="0053651E">
            <w:pPr>
              <w:pStyle w:val="a3"/>
              <w:spacing w:before="0" w:beforeAutospacing="0" w:after="0" w:afterAutospacing="0"/>
              <w:rPr>
                <w:sz w:val="16"/>
                <w:szCs w:val="16"/>
              </w:rPr>
            </w:pPr>
            <w:r>
              <w:rPr>
                <w:rStyle w:val="a6"/>
                <w:i w:val="0"/>
                <w:iCs w:val="0"/>
                <w:sz w:val="16"/>
                <w:szCs w:val="16"/>
              </w:rPr>
              <w:t>SURPRISE SPECTRUM</w:t>
            </w:r>
          </w:p>
        </w:tc>
        <w:tc>
          <w:tcPr>
            <w:tcW w:w="150" w:type="pct"/>
            <w:shd w:val="clear" w:color="auto" w:fill="FFFFFF"/>
            <w:vAlign w:val="bottom"/>
            <w:hideMark/>
          </w:tcPr>
          <w:p w14:paraId="4020D0A7" w14:textId="77777777" w:rsidR="00000000" w:rsidRDefault="0053651E">
            <w:pPr>
              <w:pStyle w:val="a3"/>
              <w:spacing w:before="0" w:beforeAutospacing="0" w:after="0" w:afterAutospacing="0"/>
              <w:rPr>
                <w:sz w:val="16"/>
                <w:szCs w:val="16"/>
              </w:rPr>
            </w:pPr>
            <w:r>
              <w:rPr>
                <w:rStyle w:val="a6"/>
                <w:i w:val="0"/>
                <w:iCs w:val="0"/>
                <w:sz w:val="16"/>
                <w:szCs w:val="16"/>
              </w:rPr>
              <w:t>AZ</w:t>
            </w:r>
          </w:p>
        </w:tc>
        <w:tc>
          <w:tcPr>
            <w:tcW w:w="300" w:type="pct"/>
            <w:shd w:val="clear" w:color="auto" w:fill="FFFFFF"/>
            <w:vAlign w:val="bottom"/>
            <w:hideMark/>
          </w:tcPr>
          <w:p w14:paraId="45F17DC5" w14:textId="77777777" w:rsidR="00000000" w:rsidRDefault="0053651E">
            <w:pPr>
              <w:jc w:val="right"/>
              <w:rPr>
                <w:rFonts w:eastAsia="Times New Roman"/>
                <w:sz w:val="16"/>
                <w:szCs w:val="16"/>
              </w:rPr>
            </w:pPr>
            <w:r>
              <w:rPr>
                <w:rStyle w:val="a6"/>
                <w:rFonts w:eastAsia="Times New Roman"/>
                <w:i w:val="0"/>
                <w:iCs w:val="0"/>
                <w:sz w:val="16"/>
                <w:szCs w:val="16"/>
              </w:rPr>
              <w:t>4,138,760</w:t>
            </w:r>
          </w:p>
        </w:tc>
        <w:tc>
          <w:tcPr>
            <w:tcW w:w="550" w:type="pct"/>
            <w:shd w:val="clear" w:color="auto" w:fill="FFFFFF"/>
            <w:vAlign w:val="bottom"/>
            <w:hideMark/>
          </w:tcPr>
          <w:p w14:paraId="5C72C602" w14:textId="77777777" w:rsidR="00000000" w:rsidRDefault="0053651E">
            <w:pPr>
              <w:jc w:val="right"/>
              <w:rPr>
                <w:rFonts w:eastAsia="Times New Roman"/>
                <w:sz w:val="16"/>
                <w:szCs w:val="16"/>
              </w:rPr>
            </w:pPr>
            <w:r>
              <w:rPr>
                <w:rStyle w:val="a6"/>
                <w:rFonts w:eastAsia="Times New Roman"/>
                <w:i w:val="0"/>
                <w:iCs w:val="0"/>
                <w:sz w:val="16"/>
                <w:szCs w:val="16"/>
              </w:rPr>
              <w:t>94,572</w:t>
            </w:r>
          </w:p>
        </w:tc>
        <w:tc>
          <w:tcPr>
            <w:tcW w:w="350" w:type="pct"/>
            <w:shd w:val="clear" w:color="auto" w:fill="FFFFFF"/>
            <w:vAlign w:val="bottom"/>
            <w:hideMark/>
          </w:tcPr>
          <w:p w14:paraId="3A231398" w14:textId="77777777" w:rsidR="00000000" w:rsidRDefault="0053651E">
            <w:pPr>
              <w:jc w:val="right"/>
              <w:rPr>
                <w:rFonts w:eastAsia="Times New Roman"/>
                <w:sz w:val="16"/>
                <w:szCs w:val="16"/>
              </w:rPr>
            </w:pPr>
            <w:r>
              <w:rPr>
                <w:rStyle w:val="a6"/>
                <w:rFonts w:eastAsia="Times New Roman"/>
                <w:i w:val="0"/>
                <w:iCs w:val="0"/>
                <w:sz w:val="16"/>
                <w:szCs w:val="16"/>
              </w:rPr>
              <w:t>(94,572)</w:t>
            </w:r>
          </w:p>
        </w:tc>
        <w:tc>
          <w:tcPr>
            <w:tcW w:w="300" w:type="pct"/>
            <w:shd w:val="clear" w:color="auto" w:fill="FFFFFF"/>
            <w:vAlign w:val="bottom"/>
            <w:hideMark/>
          </w:tcPr>
          <w:p w14:paraId="6EB37207" w14:textId="77777777" w:rsidR="00000000" w:rsidRDefault="0053651E">
            <w:pPr>
              <w:jc w:val="right"/>
              <w:rPr>
                <w:rFonts w:eastAsia="Times New Roman"/>
                <w:sz w:val="16"/>
                <w:szCs w:val="16"/>
              </w:rPr>
            </w:pPr>
            <w:r>
              <w:rPr>
                <w:rStyle w:val="a6"/>
                <w:rFonts w:eastAsia="Times New Roman"/>
                <w:i w:val="0"/>
                <w:iCs w:val="0"/>
                <w:sz w:val="16"/>
                <w:szCs w:val="16"/>
              </w:rPr>
              <w:t>4,138,760</w:t>
            </w:r>
          </w:p>
        </w:tc>
        <w:tc>
          <w:tcPr>
            <w:tcW w:w="450" w:type="pct"/>
            <w:shd w:val="clear" w:color="auto" w:fill="FFFFFF"/>
            <w:vAlign w:val="bottom"/>
            <w:hideMark/>
          </w:tcPr>
          <w:p w14:paraId="752A5F2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7590D7CB" w14:textId="77777777" w:rsidR="00000000" w:rsidRDefault="0053651E">
            <w:pPr>
              <w:jc w:val="right"/>
              <w:rPr>
                <w:rFonts w:eastAsia="Times New Roman"/>
                <w:sz w:val="16"/>
                <w:szCs w:val="16"/>
              </w:rPr>
            </w:pPr>
            <w:r>
              <w:rPr>
                <w:rStyle w:val="a6"/>
                <w:rFonts w:eastAsia="Times New Roman"/>
                <w:i w:val="0"/>
                <w:iCs w:val="0"/>
                <w:sz w:val="16"/>
                <w:szCs w:val="16"/>
              </w:rPr>
              <w:t>4,138,760</w:t>
            </w:r>
          </w:p>
        </w:tc>
        <w:tc>
          <w:tcPr>
            <w:tcW w:w="400" w:type="pct"/>
            <w:shd w:val="clear" w:color="auto" w:fill="FFFFFF"/>
            <w:vAlign w:val="bottom"/>
            <w:hideMark/>
          </w:tcPr>
          <w:p w14:paraId="50B3805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114FF568"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3866229" w14:textId="77777777" w:rsidR="00000000" w:rsidRDefault="0053651E">
            <w:pPr>
              <w:jc w:val="right"/>
              <w:rPr>
                <w:rFonts w:eastAsia="Times New Roman"/>
                <w:sz w:val="16"/>
                <w:szCs w:val="16"/>
              </w:rPr>
            </w:pPr>
            <w:r>
              <w:rPr>
                <w:rStyle w:val="a6"/>
                <w:rFonts w:eastAsia="Times New Roman"/>
                <w:i w:val="0"/>
                <w:iCs w:val="0"/>
                <w:sz w:val="16"/>
                <w:szCs w:val="16"/>
              </w:rPr>
              <w:t>4,138,760</w:t>
            </w:r>
          </w:p>
        </w:tc>
        <w:tc>
          <w:tcPr>
            <w:tcW w:w="50" w:type="pct"/>
            <w:shd w:val="clear" w:color="auto" w:fill="FFFFFF"/>
            <w:vAlign w:val="bottom"/>
            <w:hideMark/>
          </w:tcPr>
          <w:p w14:paraId="15708E65"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A1387D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7A4E2F92" w14:textId="77777777" w:rsidR="00000000" w:rsidRDefault="0053651E">
            <w:pPr>
              <w:pStyle w:val="a3"/>
              <w:spacing w:before="0" w:beforeAutospacing="0" w:after="0" w:afterAutospacing="0"/>
              <w:jc w:val="center"/>
              <w:rPr>
                <w:sz w:val="16"/>
                <w:szCs w:val="16"/>
              </w:rPr>
            </w:pPr>
            <w:r>
              <w:rPr>
                <w:rStyle w:val="a6"/>
                <w:i w:val="0"/>
                <w:iCs w:val="0"/>
                <w:sz w:val="16"/>
                <w:szCs w:val="16"/>
              </w:rPr>
              <w:t>2008(C)</w:t>
            </w:r>
          </w:p>
        </w:tc>
      </w:tr>
      <w:tr w:rsidR="00000000" w14:paraId="440F1FB6" w14:textId="77777777">
        <w:trPr>
          <w:tblCellSpacing w:w="0" w:type="dxa"/>
        </w:trPr>
        <w:tc>
          <w:tcPr>
            <w:tcW w:w="50" w:type="pct"/>
            <w:shd w:val="clear" w:color="auto" w:fill="CCEEFF"/>
            <w:vAlign w:val="bottom"/>
            <w:hideMark/>
          </w:tcPr>
          <w:p w14:paraId="71808B6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B7119B4" w14:textId="77777777" w:rsidR="00000000" w:rsidRDefault="0053651E">
            <w:pPr>
              <w:pStyle w:val="a3"/>
              <w:spacing w:before="0" w:beforeAutospacing="0" w:after="0" w:afterAutospacing="0"/>
              <w:rPr>
                <w:sz w:val="16"/>
                <w:szCs w:val="16"/>
              </w:rPr>
            </w:pPr>
            <w:r>
              <w:rPr>
                <w:rStyle w:val="a6"/>
                <w:i w:val="0"/>
                <w:iCs w:val="0"/>
                <w:sz w:val="16"/>
                <w:szCs w:val="16"/>
              </w:rPr>
              <w:t>LAKE WALES S.C.</w:t>
            </w:r>
          </w:p>
        </w:tc>
        <w:tc>
          <w:tcPr>
            <w:tcW w:w="150" w:type="pct"/>
            <w:shd w:val="clear" w:color="auto" w:fill="CCEEFF"/>
            <w:vAlign w:val="bottom"/>
            <w:hideMark/>
          </w:tcPr>
          <w:p w14:paraId="6CF3F138"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CCEEFF"/>
            <w:vAlign w:val="bottom"/>
            <w:hideMark/>
          </w:tcPr>
          <w:p w14:paraId="6579E1A9" w14:textId="77777777" w:rsidR="00000000" w:rsidRDefault="0053651E">
            <w:pPr>
              <w:jc w:val="right"/>
              <w:rPr>
                <w:rFonts w:eastAsia="Times New Roman"/>
                <w:sz w:val="16"/>
                <w:szCs w:val="16"/>
              </w:rPr>
            </w:pPr>
            <w:r>
              <w:rPr>
                <w:rStyle w:val="a6"/>
                <w:rFonts w:eastAsia="Times New Roman"/>
                <w:i w:val="0"/>
                <w:iCs w:val="0"/>
                <w:sz w:val="16"/>
                <w:szCs w:val="16"/>
              </w:rPr>
              <w:t>601,052</w:t>
            </w:r>
          </w:p>
        </w:tc>
        <w:tc>
          <w:tcPr>
            <w:tcW w:w="550" w:type="pct"/>
            <w:shd w:val="clear" w:color="auto" w:fill="CCEEFF"/>
            <w:vAlign w:val="bottom"/>
            <w:hideMark/>
          </w:tcPr>
          <w:p w14:paraId="0FD2F50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2B0EBED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00" w:type="pct"/>
            <w:shd w:val="clear" w:color="auto" w:fill="CCEEFF"/>
            <w:vAlign w:val="bottom"/>
            <w:hideMark/>
          </w:tcPr>
          <w:p w14:paraId="6FBC523C" w14:textId="77777777" w:rsidR="00000000" w:rsidRDefault="0053651E">
            <w:pPr>
              <w:jc w:val="right"/>
              <w:rPr>
                <w:rFonts w:eastAsia="Times New Roman"/>
                <w:sz w:val="16"/>
                <w:szCs w:val="16"/>
              </w:rPr>
            </w:pPr>
            <w:r>
              <w:rPr>
                <w:rStyle w:val="a6"/>
                <w:rFonts w:eastAsia="Times New Roman"/>
                <w:i w:val="0"/>
                <w:iCs w:val="0"/>
                <w:sz w:val="16"/>
                <w:szCs w:val="16"/>
              </w:rPr>
              <w:t>601,052</w:t>
            </w:r>
          </w:p>
        </w:tc>
        <w:tc>
          <w:tcPr>
            <w:tcW w:w="450" w:type="pct"/>
            <w:shd w:val="clear" w:color="auto" w:fill="CCEEFF"/>
            <w:vAlign w:val="bottom"/>
            <w:hideMark/>
          </w:tcPr>
          <w:p w14:paraId="26ABCBF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27BCD2D2" w14:textId="77777777" w:rsidR="00000000" w:rsidRDefault="0053651E">
            <w:pPr>
              <w:jc w:val="right"/>
              <w:rPr>
                <w:rFonts w:eastAsia="Times New Roman"/>
                <w:sz w:val="16"/>
                <w:szCs w:val="16"/>
              </w:rPr>
            </w:pPr>
            <w:r>
              <w:rPr>
                <w:rStyle w:val="a6"/>
                <w:rFonts w:eastAsia="Times New Roman"/>
                <w:i w:val="0"/>
                <w:iCs w:val="0"/>
                <w:sz w:val="16"/>
                <w:szCs w:val="16"/>
              </w:rPr>
              <w:t>601,052</w:t>
            </w:r>
          </w:p>
        </w:tc>
        <w:tc>
          <w:tcPr>
            <w:tcW w:w="400" w:type="pct"/>
            <w:shd w:val="clear" w:color="auto" w:fill="CCEEFF"/>
            <w:vAlign w:val="bottom"/>
            <w:hideMark/>
          </w:tcPr>
          <w:p w14:paraId="11F0811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294BE5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F572D42" w14:textId="77777777" w:rsidR="00000000" w:rsidRDefault="0053651E">
            <w:pPr>
              <w:jc w:val="right"/>
              <w:rPr>
                <w:rFonts w:eastAsia="Times New Roman"/>
                <w:sz w:val="16"/>
                <w:szCs w:val="16"/>
              </w:rPr>
            </w:pPr>
            <w:r>
              <w:rPr>
                <w:rStyle w:val="a6"/>
                <w:rFonts w:eastAsia="Times New Roman"/>
                <w:i w:val="0"/>
                <w:iCs w:val="0"/>
                <w:sz w:val="16"/>
                <w:szCs w:val="16"/>
              </w:rPr>
              <w:t>601,052</w:t>
            </w:r>
          </w:p>
        </w:tc>
        <w:tc>
          <w:tcPr>
            <w:tcW w:w="50" w:type="pct"/>
            <w:shd w:val="clear" w:color="auto" w:fill="CCEEFF"/>
            <w:vAlign w:val="bottom"/>
            <w:hideMark/>
          </w:tcPr>
          <w:p w14:paraId="3E6FF70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865586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12FE6255" w14:textId="77777777" w:rsidR="00000000" w:rsidRDefault="0053651E">
            <w:pPr>
              <w:pStyle w:val="a3"/>
              <w:spacing w:before="0" w:beforeAutospacing="0" w:after="0" w:afterAutospacing="0"/>
              <w:jc w:val="center"/>
              <w:rPr>
                <w:sz w:val="16"/>
                <w:szCs w:val="16"/>
              </w:rPr>
            </w:pPr>
            <w:r>
              <w:rPr>
                <w:rStyle w:val="a6"/>
                <w:i w:val="0"/>
                <w:iCs w:val="0"/>
                <w:sz w:val="16"/>
                <w:szCs w:val="16"/>
              </w:rPr>
              <w:t>2009(A)</w:t>
            </w:r>
          </w:p>
        </w:tc>
      </w:tr>
    </w:tbl>
    <w:p w14:paraId="134051E0"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
        <w:gridCol w:w="1903"/>
        <w:gridCol w:w="507"/>
        <w:gridCol w:w="920"/>
        <w:gridCol w:w="920"/>
        <w:gridCol w:w="920"/>
        <w:gridCol w:w="920"/>
        <w:gridCol w:w="920"/>
        <w:gridCol w:w="1000"/>
        <w:gridCol w:w="920"/>
        <w:gridCol w:w="40"/>
        <w:gridCol w:w="920"/>
        <w:gridCol w:w="40"/>
        <w:gridCol w:w="800"/>
        <w:gridCol w:w="543"/>
      </w:tblGrid>
      <w:tr w:rsidR="00000000" w14:paraId="40686D5E" w14:textId="77777777">
        <w:trPr>
          <w:tblCellSpacing w:w="0" w:type="dxa"/>
        </w:trPr>
        <w:tc>
          <w:tcPr>
            <w:tcW w:w="50" w:type="pct"/>
            <w:shd w:val="clear" w:color="auto" w:fill="FFFFFF"/>
            <w:vAlign w:val="bottom"/>
            <w:hideMark/>
          </w:tcPr>
          <w:p w14:paraId="2591C02A"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6385D12A" w14:textId="77777777" w:rsidR="00000000" w:rsidRDefault="0053651E">
            <w:pPr>
              <w:pStyle w:val="a3"/>
              <w:spacing w:before="0" w:beforeAutospacing="0" w:after="0" w:afterAutospacing="0"/>
              <w:rPr>
                <w:sz w:val="16"/>
                <w:szCs w:val="16"/>
              </w:rPr>
            </w:pPr>
            <w:r>
              <w:rPr>
                <w:rStyle w:val="a6"/>
                <w:i w:val="0"/>
                <w:iCs w:val="0"/>
                <w:sz w:val="16"/>
                <w:szCs w:val="16"/>
              </w:rPr>
              <w:t>LOWES S.C.</w:t>
            </w:r>
          </w:p>
        </w:tc>
        <w:tc>
          <w:tcPr>
            <w:tcW w:w="150" w:type="pct"/>
            <w:shd w:val="clear" w:color="auto" w:fill="FFFFFF"/>
            <w:vAlign w:val="bottom"/>
            <w:hideMark/>
          </w:tcPr>
          <w:p w14:paraId="1FB62428" w14:textId="77777777" w:rsidR="00000000" w:rsidRDefault="0053651E">
            <w:pPr>
              <w:pStyle w:val="a3"/>
              <w:spacing w:before="0" w:beforeAutospacing="0" w:after="0" w:afterAutospacing="0"/>
              <w:rPr>
                <w:sz w:val="16"/>
                <w:szCs w:val="16"/>
              </w:rPr>
            </w:pPr>
            <w:r>
              <w:rPr>
                <w:rStyle w:val="a6"/>
                <w:i w:val="0"/>
                <w:iCs w:val="0"/>
                <w:sz w:val="16"/>
                <w:szCs w:val="16"/>
              </w:rPr>
              <w:t>FL</w:t>
            </w:r>
          </w:p>
        </w:tc>
        <w:tc>
          <w:tcPr>
            <w:tcW w:w="300" w:type="pct"/>
            <w:shd w:val="clear" w:color="auto" w:fill="FFFFFF"/>
            <w:vAlign w:val="bottom"/>
            <w:hideMark/>
          </w:tcPr>
          <w:p w14:paraId="2995DB97" w14:textId="77777777" w:rsidR="00000000" w:rsidRDefault="0053651E">
            <w:pPr>
              <w:jc w:val="right"/>
              <w:rPr>
                <w:rFonts w:eastAsia="Times New Roman"/>
                <w:sz w:val="16"/>
                <w:szCs w:val="16"/>
              </w:rPr>
            </w:pPr>
            <w:r>
              <w:rPr>
                <w:rStyle w:val="a6"/>
                <w:rFonts w:eastAsia="Times New Roman"/>
                <w:i w:val="0"/>
                <w:iCs w:val="0"/>
                <w:sz w:val="16"/>
                <w:szCs w:val="16"/>
              </w:rPr>
              <w:t>1,620,203</w:t>
            </w:r>
          </w:p>
        </w:tc>
        <w:tc>
          <w:tcPr>
            <w:tcW w:w="550" w:type="pct"/>
            <w:shd w:val="clear" w:color="auto" w:fill="FFFFFF"/>
            <w:vAlign w:val="bottom"/>
            <w:hideMark/>
          </w:tcPr>
          <w:p w14:paraId="7515E72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64519EF4" w14:textId="77777777" w:rsidR="00000000" w:rsidRDefault="0053651E">
            <w:pPr>
              <w:jc w:val="right"/>
              <w:rPr>
                <w:rFonts w:eastAsia="Times New Roman"/>
                <w:sz w:val="16"/>
                <w:szCs w:val="16"/>
              </w:rPr>
            </w:pPr>
            <w:r>
              <w:rPr>
                <w:rStyle w:val="a6"/>
                <w:rFonts w:eastAsia="Times New Roman"/>
                <w:i w:val="0"/>
                <w:iCs w:val="0"/>
                <w:sz w:val="16"/>
                <w:szCs w:val="16"/>
              </w:rPr>
              <w:t>(1,399,538)</w:t>
            </w:r>
          </w:p>
        </w:tc>
        <w:tc>
          <w:tcPr>
            <w:tcW w:w="300" w:type="pct"/>
            <w:shd w:val="clear" w:color="auto" w:fill="FFFFFF"/>
            <w:vAlign w:val="bottom"/>
            <w:hideMark/>
          </w:tcPr>
          <w:p w14:paraId="2A4BE41D" w14:textId="77777777" w:rsidR="00000000" w:rsidRDefault="0053651E">
            <w:pPr>
              <w:jc w:val="right"/>
              <w:rPr>
                <w:rFonts w:eastAsia="Times New Roman"/>
                <w:sz w:val="16"/>
                <w:szCs w:val="16"/>
              </w:rPr>
            </w:pPr>
            <w:r>
              <w:rPr>
                <w:rStyle w:val="a6"/>
                <w:rFonts w:eastAsia="Times New Roman"/>
                <w:i w:val="0"/>
                <w:iCs w:val="0"/>
                <w:sz w:val="16"/>
                <w:szCs w:val="16"/>
              </w:rPr>
              <w:t>220,665</w:t>
            </w:r>
          </w:p>
        </w:tc>
        <w:tc>
          <w:tcPr>
            <w:tcW w:w="450" w:type="pct"/>
            <w:shd w:val="clear" w:color="auto" w:fill="FFFFFF"/>
            <w:vAlign w:val="bottom"/>
            <w:hideMark/>
          </w:tcPr>
          <w:p w14:paraId="3C7AEE7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531B6BCD" w14:textId="77777777" w:rsidR="00000000" w:rsidRDefault="0053651E">
            <w:pPr>
              <w:jc w:val="right"/>
              <w:rPr>
                <w:rFonts w:eastAsia="Times New Roman"/>
                <w:sz w:val="16"/>
                <w:szCs w:val="16"/>
              </w:rPr>
            </w:pPr>
            <w:r>
              <w:rPr>
                <w:rStyle w:val="a6"/>
                <w:rFonts w:eastAsia="Times New Roman"/>
                <w:i w:val="0"/>
                <w:iCs w:val="0"/>
                <w:sz w:val="16"/>
                <w:szCs w:val="16"/>
              </w:rPr>
              <w:t>220,665</w:t>
            </w:r>
          </w:p>
        </w:tc>
        <w:tc>
          <w:tcPr>
            <w:tcW w:w="400" w:type="pct"/>
            <w:shd w:val="clear" w:color="auto" w:fill="FFFFFF"/>
            <w:vAlign w:val="bottom"/>
            <w:hideMark/>
          </w:tcPr>
          <w:p w14:paraId="5E037B2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6976AC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9E8C45D" w14:textId="77777777" w:rsidR="00000000" w:rsidRDefault="0053651E">
            <w:pPr>
              <w:jc w:val="right"/>
              <w:rPr>
                <w:rFonts w:eastAsia="Times New Roman"/>
                <w:sz w:val="16"/>
                <w:szCs w:val="16"/>
              </w:rPr>
            </w:pPr>
            <w:r>
              <w:rPr>
                <w:rStyle w:val="a6"/>
                <w:rFonts w:eastAsia="Times New Roman"/>
                <w:i w:val="0"/>
                <w:iCs w:val="0"/>
                <w:sz w:val="16"/>
                <w:szCs w:val="16"/>
              </w:rPr>
              <w:t>220,665</w:t>
            </w:r>
          </w:p>
        </w:tc>
        <w:tc>
          <w:tcPr>
            <w:tcW w:w="50" w:type="pct"/>
            <w:shd w:val="clear" w:color="auto" w:fill="FFFFFF"/>
            <w:vAlign w:val="bottom"/>
            <w:hideMark/>
          </w:tcPr>
          <w:p w14:paraId="31C1FCB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A09365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4E76D8CF"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77D920C0" w14:textId="77777777">
        <w:trPr>
          <w:tblCellSpacing w:w="0" w:type="dxa"/>
        </w:trPr>
        <w:tc>
          <w:tcPr>
            <w:tcW w:w="50" w:type="pct"/>
            <w:shd w:val="clear" w:color="auto" w:fill="CCEEFF"/>
            <w:vAlign w:val="bottom"/>
            <w:hideMark/>
          </w:tcPr>
          <w:p w14:paraId="013885C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0708924" w14:textId="77777777" w:rsidR="00000000" w:rsidRDefault="0053651E">
            <w:pPr>
              <w:pStyle w:val="a3"/>
              <w:spacing w:before="0" w:beforeAutospacing="0" w:after="0" w:afterAutospacing="0"/>
              <w:rPr>
                <w:sz w:val="16"/>
                <w:szCs w:val="16"/>
              </w:rPr>
            </w:pPr>
            <w:r>
              <w:rPr>
                <w:rStyle w:val="a6"/>
                <w:i w:val="0"/>
                <w:iCs w:val="0"/>
                <w:sz w:val="16"/>
                <w:szCs w:val="16"/>
              </w:rPr>
              <w:t>TREASURE VALLEY</w:t>
            </w:r>
          </w:p>
        </w:tc>
        <w:tc>
          <w:tcPr>
            <w:tcW w:w="150" w:type="pct"/>
            <w:shd w:val="clear" w:color="auto" w:fill="CCEEFF"/>
            <w:vAlign w:val="bottom"/>
            <w:hideMark/>
          </w:tcPr>
          <w:p w14:paraId="284A1B39" w14:textId="77777777" w:rsidR="00000000" w:rsidRDefault="0053651E">
            <w:pPr>
              <w:pStyle w:val="a3"/>
              <w:spacing w:before="0" w:beforeAutospacing="0" w:after="0" w:afterAutospacing="0"/>
              <w:rPr>
                <w:sz w:val="16"/>
                <w:szCs w:val="16"/>
              </w:rPr>
            </w:pPr>
            <w:r>
              <w:rPr>
                <w:rStyle w:val="a6"/>
                <w:i w:val="0"/>
                <w:iCs w:val="0"/>
                <w:sz w:val="16"/>
                <w:szCs w:val="16"/>
              </w:rPr>
              <w:t>ID</w:t>
            </w:r>
          </w:p>
        </w:tc>
        <w:tc>
          <w:tcPr>
            <w:tcW w:w="300" w:type="pct"/>
            <w:shd w:val="clear" w:color="auto" w:fill="CCEEFF"/>
            <w:vAlign w:val="bottom"/>
            <w:hideMark/>
          </w:tcPr>
          <w:p w14:paraId="3E03235D" w14:textId="77777777" w:rsidR="00000000" w:rsidRDefault="0053651E">
            <w:pPr>
              <w:jc w:val="right"/>
              <w:rPr>
                <w:rFonts w:eastAsia="Times New Roman"/>
                <w:sz w:val="16"/>
                <w:szCs w:val="16"/>
              </w:rPr>
            </w:pPr>
            <w:r>
              <w:rPr>
                <w:rStyle w:val="a6"/>
                <w:rFonts w:eastAsia="Times New Roman"/>
                <w:i w:val="0"/>
                <w:iCs w:val="0"/>
                <w:sz w:val="16"/>
                <w:szCs w:val="16"/>
              </w:rPr>
              <w:t>6,501,240</w:t>
            </w:r>
          </w:p>
        </w:tc>
        <w:tc>
          <w:tcPr>
            <w:tcW w:w="550" w:type="pct"/>
            <w:shd w:val="clear" w:color="auto" w:fill="CCEEFF"/>
            <w:vAlign w:val="bottom"/>
            <w:hideMark/>
          </w:tcPr>
          <w:p w14:paraId="19706F7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0971096B" w14:textId="77777777" w:rsidR="00000000" w:rsidRDefault="0053651E">
            <w:pPr>
              <w:jc w:val="right"/>
              <w:rPr>
                <w:rFonts w:eastAsia="Times New Roman"/>
                <w:sz w:val="16"/>
                <w:szCs w:val="16"/>
              </w:rPr>
            </w:pPr>
            <w:r>
              <w:rPr>
                <w:rStyle w:val="a6"/>
                <w:rFonts w:eastAsia="Times New Roman"/>
                <w:i w:val="0"/>
                <w:iCs w:val="0"/>
                <w:sz w:val="16"/>
                <w:szCs w:val="16"/>
              </w:rPr>
              <w:t>(5,520,565)</w:t>
            </w:r>
          </w:p>
        </w:tc>
        <w:tc>
          <w:tcPr>
            <w:tcW w:w="300" w:type="pct"/>
            <w:shd w:val="clear" w:color="auto" w:fill="CCEEFF"/>
            <w:vAlign w:val="bottom"/>
            <w:hideMark/>
          </w:tcPr>
          <w:p w14:paraId="5082F189" w14:textId="77777777" w:rsidR="00000000" w:rsidRDefault="0053651E">
            <w:pPr>
              <w:jc w:val="right"/>
              <w:rPr>
                <w:rFonts w:eastAsia="Times New Roman"/>
                <w:sz w:val="16"/>
                <w:szCs w:val="16"/>
              </w:rPr>
            </w:pPr>
            <w:r>
              <w:rPr>
                <w:rStyle w:val="a6"/>
                <w:rFonts w:eastAsia="Times New Roman"/>
                <w:i w:val="0"/>
                <w:iCs w:val="0"/>
                <w:sz w:val="16"/>
                <w:szCs w:val="16"/>
              </w:rPr>
              <w:t>519,811</w:t>
            </w:r>
          </w:p>
        </w:tc>
        <w:tc>
          <w:tcPr>
            <w:tcW w:w="450" w:type="pct"/>
            <w:shd w:val="clear" w:color="auto" w:fill="CCEEFF"/>
            <w:vAlign w:val="bottom"/>
            <w:hideMark/>
          </w:tcPr>
          <w:p w14:paraId="4A79004B" w14:textId="77777777" w:rsidR="00000000" w:rsidRDefault="0053651E">
            <w:pPr>
              <w:jc w:val="right"/>
              <w:rPr>
                <w:rFonts w:eastAsia="Times New Roman"/>
                <w:sz w:val="16"/>
                <w:szCs w:val="16"/>
              </w:rPr>
            </w:pPr>
            <w:r>
              <w:rPr>
                <w:rStyle w:val="a6"/>
                <w:rFonts w:eastAsia="Times New Roman"/>
                <w:i w:val="0"/>
                <w:iCs w:val="0"/>
                <w:sz w:val="16"/>
                <w:szCs w:val="16"/>
              </w:rPr>
              <w:t>460,864</w:t>
            </w:r>
          </w:p>
        </w:tc>
        <w:tc>
          <w:tcPr>
            <w:tcW w:w="350" w:type="pct"/>
            <w:shd w:val="clear" w:color="auto" w:fill="CCEEFF"/>
            <w:vAlign w:val="bottom"/>
            <w:hideMark/>
          </w:tcPr>
          <w:p w14:paraId="1F0D09D3" w14:textId="77777777" w:rsidR="00000000" w:rsidRDefault="0053651E">
            <w:pPr>
              <w:jc w:val="right"/>
              <w:rPr>
                <w:rFonts w:eastAsia="Times New Roman"/>
                <w:sz w:val="16"/>
                <w:szCs w:val="16"/>
              </w:rPr>
            </w:pPr>
            <w:r>
              <w:rPr>
                <w:rStyle w:val="a6"/>
                <w:rFonts w:eastAsia="Times New Roman"/>
                <w:i w:val="0"/>
                <w:iCs w:val="0"/>
                <w:sz w:val="16"/>
                <w:szCs w:val="16"/>
              </w:rPr>
              <w:t>980,675</w:t>
            </w:r>
          </w:p>
        </w:tc>
        <w:tc>
          <w:tcPr>
            <w:tcW w:w="400" w:type="pct"/>
            <w:shd w:val="clear" w:color="auto" w:fill="CCEEFF"/>
            <w:vAlign w:val="bottom"/>
            <w:hideMark/>
          </w:tcPr>
          <w:p w14:paraId="523EAF8E" w14:textId="77777777" w:rsidR="00000000" w:rsidRDefault="0053651E">
            <w:pPr>
              <w:jc w:val="right"/>
              <w:rPr>
                <w:rFonts w:eastAsia="Times New Roman"/>
                <w:sz w:val="16"/>
                <w:szCs w:val="16"/>
              </w:rPr>
            </w:pPr>
            <w:r>
              <w:rPr>
                <w:rStyle w:val="a6"/>
                <w:rFonts w:eastAsia="Times New Roman"/>
                <w:i w:val="0"/>
                <w:iCs w:val="0"/>
                <w:sz w:val="16"/>
                <w:szCs w:val="16"/>
              </w:rPr>
              <w:t>460,864</w:t>
            </w:r>
          </w:p>
        </w:tc>
        <w:tc>
          <w:tcPr>
            <w:tcW w:w="50" w:type="pct"/>
            <w:shd w:val="clear" w:color="auto" w:fill="CCEEFF"/>
            <w:vAlign w:val="bottom"/>
            <w:hideMark/>
          </w:tcPr>
          <w:p w14:paraId="49E1B48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2D66B23" w14:textId="77777777" w:rsidR="00000000" w:rsidRDefault="0053651E">
            <w:pPr>
              <w:jc w:val="right"/>
              <w:rPr>
                <w:rFonts w:eastAsia="Times New Roman"/>
                <w:sz w:val="16"/>
                <w:szCs w:val="16"/>
              </w:rPr>
            </w:pPr>
            <w:r>
              <w:rPr>
                <w:rStyle w:val="a6"/>
                <w:rFonts w:eastAsia="Times New Roman"/>
                <w:i w:val="0"/>
                <w:iCs w:val="0"/>
                <w:sz w:val="16"/>
                <w:szCs w:val="16"/>
              </w:rPr>
              <w:t>519,811</w:t>
            </w:r>
          </w:p>
        </w:tc>
        <w:tc>
          <w:tcPr>
            <w:tcW w:w="50" w:type="pct"/>
            <w:shd w:val="clear" w:color="auto" w:fill="CCEEFF"/>
            <w:vAlign w:val="bottom"/>
            <w:hideMark/>
          </w:tcPr>
          <w:p w14:paraId="26D91959"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1AE3A1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3F70DCC" w14:textId="77777777" w:rsidR="00000000" w:rsidRDefault="0053651E">
            <w:pPr>
              <w:pStyle w:val="a3"/>
              <w:spacing w:before="0" w:beforeAutospacing="0" w:after="0" w:afterAutospacing="0"/>
              <w:jc w:val="center"/>
              <w:rPr>
                <w:sz w:val="16"/>
                <w:szCs w:val="16"/>
              </w:rPr>
            </w:pPr>
            <w:r>
              <w:rPr>
                <w:rStyle w:val="a6"/>
                <w:i w:val="0"/>
                <w:iCs w:val="0"/>
                <w:sz w:val="16"/>
                <w:szCs w:val="16"/>
              </w:rPr>
              <w:t>2005(C)</w:t>
            </w:r>
          </w:p>
        </w:tc>
      </w:tr>
      <w:tr w:rsidR="00000000" w14:paraId="237159CE" w14:textId="77777777">
        <w:trPr>
          <w:tblCellSpacing w:w="0" w:type="dxa"/>
        </w:trPr>
        <w:tc>
          <w:tcPr>
            <w:tcW w:w="50" w:type="pct"/>
            <w:shd w:val="clear" w:color="auto" w:fill="FFFFFF"/>
            <w:vAlign w:val="bottom"/>
            <w:hideMark/>
          </w:tcPr>
          <w:p w14:paraId="5FCA573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07FCCF0" w14:textId="77777777" w:rsidR="00000000" w:rsidRDefault="0053651E">
            <w:pPr>
              <w:pStyle w:val="a3"/>
              <w:spacing w:before="0" w:beforeAutospacing="0" w:after="0" w:afterAutospacing="0"/>
              <w:rPr>
                <w:sz w:val="16"/>
                <w:szCs w:val="16"/>
              </w:rPr>
            </w:pPr>
            <w:r>
              <w:rPr>
                <w:rStyle w:val="a6"/>
                <w:i w:val="0"/>
                <w:iCs w:val="0"/>
                <w:sz w:val="16"/>
                <w:szCs w:val="16"/>
              </w:rPr>
              <w:t>LINWOOD-INDIANAPOLIS</w:t>
            </w:r>
          </w:p>
        </w:tc>
        <w:tc>
          <w:tcPr>
            <w:tcW w:w="150" w:type="pct"/>
            <w:shd w:val="clear" w:color="auto" w:fill="FFFFFF"/>
            <w:vAlign w:val="bottom"/>
            <w:hideMark/>
          </w:tcPr>
          <w:p w14:paraId="71E600BB" w14:textId="77777777" w:rsidR="00000000" w:rsidRDefault="0053651E">
            <w:pPr>
              <w:pStyle w:val="a3"/>
              <w:spacing w:before="0" w:beforeAutospacing="0" w:after="0" w:afterAutospacing="0"/>
              <w:rPr>
                <w:sz w:val="16"/>
                <w:szCs w:val="16"/>
              </w:rPr>
            </w:pPr>
            <w:r>
              <w:rPr>
                <w:rStyle w:val="a6"/>
                <w:i w:val="0"/>
                <w:iCs w:val="0"/>
                <w:sz w:val="16"/>
                <w:szCs w:val="16"/>
              </w:rPr>
              <w:t>IN</w:t>
            </w:r>
          </w:p>
        </w:tc>
        <w:tc>
          <w:tcPr>
            <w:tcW w:w="300" w:type="pct"/>
            <w:shd w:val="clear" w:color="auto" w:fill="FFFFFF"/>
            <w:vAlign w:val="bottom"/>
            <w:hideMark/>
          </w:tcPr>
          <w:p w14:paraId="1FB6F55B" w14:textId="77777777" w:rsidR="00000000" w:rsidRDefault="0053651E">
            <w:pPr>
              <w:jc w:val="right"/>
              <w:rPr>
                <w:rFonts w:eastAsia="Times New Roman"/>
                <w:sz w:val="16"/>
                <w:szCs w:val="16"/>
              </w:rPr>
            </w:pPr>
            <w:r>
              <w:rPr>
                <w:rStyle w:val="a6"/>
                <w:rFonts w:eastAsia="Times New Roman"/>
                <w:i w:val="0"/>
                <w:iCs w:val="0"/>
                <w:sz w:val="16"/>
                <w:szCs w:val="16"/>
              </w:rPr>
              <w:t>31,045</w:t>
            </w:r>
          </w:p>
        </w:tc>
        <w:tc>
          <w:tcPr>
            <w:tcW w:w="550" w:type="pct"/>
            <w:shd w:val="clear" w:color="auto" w:fill="FFFFFF"/>
            <w:vAlign w:val="bottom"/>
            <w:hideMark/>
          </w:tcPr>
          <w:p w14:paraId="48EF5B6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21936DB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00" w:type="pct"/>
            <w:shd w:val="clear" w:color="auto" w:fill="FFFFFF"/>
            <w:vAlign w:val="bottom"/>
            <w:hideMark/>
          </w:tcPr>
          <w:p w14:paraId="2FE4EEC2" w14:textId="77777777" w:rsidR="00000000" w:rsidRDefault="0053651E">
            <w:pPr>
              <w:jc w:val="right"/>
              <w:rPr>
                <w:rFonts w:eastAsia="Times New Roman"/>
                <w:sz w:val="16"/>
                <w:szCs w:val="16"/>
              </w:rPr>
            </w:pPr>
            <w:r>
              <w:rPr>
                <w:rStyle w:val="a6"/>
                <w:rFonts w:eastAsia="Times New Roman"/>
                <w:i w:val="0"/>
                <w:iCs w:val="0"/>
                <w:sz w:val="16"/>
                <w:szCs w:val="16"/>
              </w:rPr>
              <w:t>31,045</w:t>
            </w:r>
          </w:p>
        </w:tc>
        <w:tc>
          <w:tcPr>
            <w:tcW w:w="450" w:type="pct"/>
            <w:shd w:val="clear" w:color="auto" w:fill="FFFFFF"/>
            <w:vAlign w:val="bottom"/>
            <w:hideMark/>
          </w:tcPr>
          <w:p w14:paraId="7CA843D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5E3EA3BB" w14:textId="77777777" w:rsidR="00000000" w:rsidRDefault="0053651E">
            <w:pPr>
              <w:jc w:val="right"/>
              <w:rPr>
                <w:rFonts w:eastAsia="Times New Roman"/>
                <w:sz w:val="16"/>
                <w:szCs w:val="16"/>
              </w:rPr>
            </w:pPr>
            <w:r>
              <w:rPr>
                <w:rStyle w:val="a6"/>
                <w:rFonts w:eastAsia="Times New Roman"/>
                <w:i w:val="0"/>
                <w:iCs w:val="0"/>
                <w:sz w:val="16"/>
                <w:szCs w:val="16"/>
              </w:rPr>
              <w:t>31,045</w:t>
            </w:r>
          </w:p>
        </w:tc>
        <w:tc>
          <w:tcPr>
            <w:tcW w:w="400" w:type="pct"/>
            <w:shd w:val="clear" w:color="auto" w:fill="FFFFFF"/>
            <w:vAlign w:val="bottom"/>
            <w:hideMark/>
          </w:tcPr>
          <w:p w14:paraId="241C320C"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8B8CC86"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148B2C8A" w14:textId="77777777" w:rsidR="00000000" w:rsidRDefault="0053651E">
            <w:pPr>
              <w:jc w:val="right"/>
              <w:rPr>
                <w:rFonts w:eastAsia="Times New Roman"/>
                <w:sz w:val="16"/>
                <w:szCs w:val="16"/>
              </w:rPr>
            </w:pPr>
            <w:r>
              <w:rPr>
                <w:rStyle w:val="a6"/>
                <w:rFonts w:eastAsia="Times New Roman"/>
                <w:i w:val="0"/>
                <w:iCs w:val="0"/>
                <w:sz w:val="16"/>
                <w:szCs w:val="16"/>
              </w:rPr>
              <w:t>31,045</w:t>
            </w:r>
          </w:p>
        </w:tc>
        <w:tc>
          <w:tcPr>
            <w:tcW w:w="50" w:type="pct"/>
            <w:shd w:val="clear" w:color="auto" w:fill="FFFFFF"/>
            <w:vAlign w:val="bottom"/>
            <w:hideMark/>
          </w:tcPr>
          <w:p w14:paraId="3A386746"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0DECAA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1E119442" w14:textId="77777777" w:rsidR="00000000" w:rsidRDefault="0053651E">
            <w:pPr>
              <w:pStyle w:val="a3"/>
              <w:spacing w:before="0" w:beforeAutospacing="0" w:after="0" w:afterAutospacing="0"/>
              <w:jc w:val="center"/>
              <w:rPr>
                <w:sz w:val="16"/>
                <w:szCs w:val="16"/>
              </w:rPr>
            </w:pPr>
            <w:r>
              <w:rPr>
                <w:rStyle w:val="a6"/>
                <w:i w:val="0"/>
                <w:iCs w:val="0"/>
                <w:sz w:val="16"/>
                <w:szCs w:val="16"/>
              </w:rPr>
              <w:t>1991(A)</w:t>
            </w:r>
          </w:p>
        </w:tc>
      </w:tr>
      <w:tr w:rsidR="00000000" w14:paraId="6CA4C921" w14:textId="77777777">
        <w:trPr>
          <w:tblCellSpacing w:w="0" w:type="dxa"/>
        </w:trPr>
        <w:tc>
          <w:tcPr>
            <w:tcW w:w="50" w:type="pct"/>
            <w:shd w:val="clear" w:color="auto" w:fill="CCEEFF"/>
            <w:vAlign w:val="bottom"/>
            <w:hideMark/>
          </w:tcPr>
          <w:p w14:paraId="4E8F05A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FD8E55B" w14:textId="77777777" w:rsidR="00000000" w:rsidRDefault="0053651E">
            <w:pPr>
              <w:pStyle w:val="a3"/>
              <w:spacing w:before="0" w:beforeAutospacing="0" w:after="0" w:afterAutospacing="0"/>
              <w:rPr>
                <w:sz w:val="16"/>
                <w:szCs w:val="16"/>
              </w:rPr>
            </w:pPr>
            <w:r>
              <w:rPr>
                <w:rStyle w:val="a6"/>
                <w:i w:val="0"/>
                <w:iCs w:val="0"/>
                <w:sz w:val="16"/>
                <w:szCs w:val="16"/>
              </w:rPr>
              <w:t>FLINT - VACANT LAND</w:t>
            </w:r>
          </w:p>
        </w:tc>
        <w:tc>
          <w:tcPr>
            <w:tcW w:w="150" w:type="pct"/>
            <w:shd w:val="clear" w:color="auto" w:fill="CCEEFF"/>
            <w:vAlign w:val="bottom"/>
            <w:hideMark/>
          </w:tcPr>
          <w:p w14:paraId="1EE3C068" w14:textId="77777777" w:rsidR="00000000" w:rsidRDefault="0053651E">
            <w:pPr>
              <w:pStyle w:val="a3"/>
              <w:spacing w:before="0" w:beforeAutospacing="0" w:after="0" w:afterAutospacing="0"/>
              <w:rPr>
                <w:sz w:val="16"/>
                <w:szCs w:val="16"/>
              </w:rPr>
            </w:pPr>
            <w:r>
              <w:rPr>
                <w:rStyle w:val="a6"/>
                <w:i w:val="0"/>
                <w:iCs w:val="0"/>
                <w:sz w:val="16"/>
                <w:szCs w:val="16"/>
              </w:rPr>
              <w:t>MI</w:t>
            </w:r>
          </w:p>
        </w:tc>
        <w:tc>
          <w:tcPr>
            <w:tcW w:w="300" w:type="pct"/>
            <w:shd w:val="clear" w:color="auto" w:fill="CCEEFF"/>
            <w:vAlign w:val="bottom"/>
            <w:hideMark/>
          </w:tcPr>
          <w:p w14:paraId="22592249" w14:textId="77777777" w:rsidR="00000000" w:rsidRDefault="0053651E">
            <w:pPr>
              <w:jc w:val="right"/>
              <w:rPr>
                <w:rFonts w:eastAsia="Times New Roman"/>
                <w:sz w:val="16"/>
                <w:szCs w:val="16"/>
              </w:rPr>
            </w:pPr>
            <w:r>
              <w:rPr>
                <w:rStyle w:val="a6"/>
                <w:rFonts w:eastAsia="Times New Roman"/>
                <w:i w:val="0"/>
                <w:iCs w:val="0"/>
                <w:sz w:val="16"/>
                <w:szCs w:val="16"/>
              </w:rPr>
              <w:t>101,424</w:t>
            </w:r>
          </w:p>
        </w:tc>
        <w:tc>
          <w:tcPr>
            <w:tcW w:w="550" w:type="pct"/>
            <w:shd w:val="clear" w:color="auto" w:fill="CCEEFF"/>
            <w:vAlign w:val="bottom"/>
            <w:hideMark/>
          </w:tcPr>
          <w:p w14:paraId="50850F7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1BAEB32E" w14:textId="77777777" w:rsidR="00000000" w:rsidRDefault="0053651E">
            <w:pPr>
              <w:jc w:val="right"/>
              <w:rPr>
                <w:rFonts w:eastAsia="Times New Roman"/>
                <w:sz w:val="16"/>
                <w:szCs w:val="16"/>
              </w:rPr>
            </w:pPr>
            <w:r>
              <w:rPr>
                <w:rStyle w:val="a6"/>
                <w:rFonts w:eastAsia="Times New Roman"/>
                <w:i w:val="0"/>
                <w:iCs w:val="0"/>
                <w:sz w:val="16"/>
                <w:szCs w:val="16"/>
              </w:rPr>
              <w:t>(10,000)</w:t>
            </w:r>
          </w:p>
        </w:tc>
        <w:tc>
          <w:tcPr>
            <w:tcW w:w="300" w:type="pct"/>
            <w:shd w:val="clear" w:color="auto" w:fill="CCEEFF"/>
            <w:vAlign w:val="bottom"/>
            <w:hideMark/>
          </w:tcPr>
          <w:p w14:paraId="181C9D9E" w14:textId="77777777" w:rsidR="00000000" w:rsidRDefault="0053651E">
            <w:pPr>
              <w:jc w:val="right"/>
              <w:rPr>
                <w:rFonts w:eastAsia="Times New Roman"/>
                <w:sz w:val="16"/>
                <w:szCs w:val="16"/>
              </w:rPr>
            </w:pPr>
            <w:r>
              <w:rPr>
                <w:rStyle w:val="a6"/>
                <w:rFonts w:eastAsia="Times New Roman"/>
                <w:i w:val="0"/>
                <w:iCs w:val="0"/>
                <w:sz w:val="16"/>
                <w:szCs w:val="16"/>
              </w:rPr>
              <w:t>91,424</w:t>
            </w:r>
          </w:p>
        </w:tc>
        <w:tc>
          <w:tcPr>
            <w:tcW w:w="450" w:type="pct"/>
            <w:shd w:val="clear" w:color="auto" w:fill="CCEEFF"/>
            <w:vAlign w:val="bottom"/>
            <w:hideMark/>
          </w:tcPr>
          <w:p w14:paraId="1CD768D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0EDD49DC" w14:textId="77777777" w:rsidR="00000000" w:rsidRDefault="0053651E">
            <w:pPr>
              <w:jc w:val="right"/>
              <w:rPr>
                <w:rFonts w:eastAsia="Times New Roman"/>
                <w:sz w:val="16"/>
                <w:szCs w:val="16"/>
              </w:rPr>
            </w:pPr>
            <w:r>
              <w:rPr>
                <w:rStyle w:val="a6"/>
                <w:rFonts w:eastAsia="Times New Roman"/>
                <w:i w:val="0"/>
                <w:iCs w:val="0"/>
                <w:sz w:val="16"/>
                <w:szCs w:val="16"/>
              </w:rPr>
              <w:t>91,424</w:t>
            </w:r>
          </w:p>
        </w:tc>
        <w:tc>
          <w:tcPr>
            <w:tcW w:w="400" w:type="pct"/>
            <w:shd w:val="clear" w:color="auto" w:fill="CCEEFF"/>
            <w:vAlign w:val="bottom"/>
            <w:hideMark/>
          </w:tcPr>
          <w:p w14:paraId="5A67434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68CEA2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6FF1769" w14:textId="77777777" w:rsidR="00000000" w:rsidRDefault="0053651E">
            <w:pPr>
              <w:jc w:val="right"/>
              <w:rPr>
                <w:rFonts w:eastAsia="Times New Roman"/>
                <w:sz w:val="16"/>
                <w:szCs w:val="16"/>
              </w:rPr>
            </w:pPr>
            <w:r>
              <w:rPr>
                <w:rStyle w:val="a6"/>
                <w:rFonts w:eastAsia="Times New Roman"/>
                <w:i w:val="0"/>
                <w:iCs w:val="0"/>
                <w:sz w:val="16"/>
                <w:szCs w:val="16"/>
              </w:rPr>
              <w:t>91,424</w:t>
            </w:r>
          </w:p>
        </w:tc>
        <w:tc>
          <w:tcPr>
            <w:tcW w:w="50" w:type="pct"/>
            <w:shd w:val="clear" w:color="auto" w:fill="CCEEFF"/>
            <w:vAlign w:val="bottom"/>
            <w:hideMark/>
          </w:tcPr>
          <w:p w14:paraId="2331D0B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91FDCF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666C87DB"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322D7C5C" w14:textId="77777777">
        <w:trPr>
          <w:tblCellSpacing w:w="0" w:type="dxa"/>
        </w:trPr>
        <w:tc>
          <w:tcPr>
            <w:tcW w:w="50" w:type="pct"/>
            <w:shd w:val="clear" w:color="auto" w:fill="FFFFFF"/>
            <w:vAlign w:val="bottom"/>
            <w:hideMark/>
          </w:tcPr>
          <w:p w14:paraId="08C4D866"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2AE79A1" w14:textId="77777777" w:rsidR="00000000" w:rsidRDefault="0053651E">
            <w:pPr>
              <w:pStyle w:val="a3"/>
              <w:spacing w:before="0" w:beforeAutospacing="0" w:after="0" w:afterAutospacing="0"/>
              <w:rPr>
                <w:sz w:val="16"/>
                <w:szCs w:val="16"/>
              </w:rPr>
            </w:pPr>
            <w:r>
              <w:rPr>
                <w:rStyle w:val="a6"/>
                <w:i w:val="0"/>
                <w:iCs w:val="0"/>
                <w:sz w:val="16"/>
                <w:szCs w:val="16"/>
              </w:rPr>
              <w:t>CHARLOTTE SPORTS &amp; FITNESS CTR</w:t>
            </w:r>
          </w:p>
        </w:tc>
        <w:tc>
          <w:tcPr>
            <w:tcW w:w="150" w:type="pct"/>
            <w:shd w:val="clear" w:color="auto" w:fill="FFFFFF"/>
            <w:vAlign w:val="bottom"/>
            <w:hideMark/>
          </w:tcPr>
          <w:p w14:paraId="7A7CCE48"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2102943A" w14:textId="77777777" w:rsidR="00000000" w:rsidRDefault="0053651E">
            <w:pPr>
              <w:jc w:val="right"/>
              <w:rPr>
                <w:rFonts w:eastAsia="Times New Roman"/>
                <w:sz w:val="16"/>
                <w:szCs w:val="16"/>
              </w:rPr>
            </w:pPr>
            <w:r>
              <w:rPr>
                <w:rStyle w:val="a6"/>
                <w:rFonts w:eastAsia="Times New Roman"/>
                <w:i w:val="0"/>
                <w:iCs w:val="0"/>
                <w:sz w:val="16"/>
                <w:szCs w:val="16"/>
              </w:rPr>
              <w:t>500,754</w:t>
            </w:r>
          </w:p>
        </w:tc>
        <w:tc>
          <w:tcPr>
            <w:tcW w:w="550" w:type="pct"/>
            <w:shd w:val="clear" w:color="auto" w:fill="FFFFFF"/>
            <w:vAlign w:val="bottom"/>
            <w:hideMark/>
          </w:tcPr>
          <w:p w14:paraId="7AFD270B" w14:textId="77777777" w:rsidR="00000000" w:rsidRDefault="0053651E">
            <w:pPr>
              <w:jc w:val="right"/>
              <w:rPr>
                <w:rFonts w:eastAsia="Times New Roman"/>
                <w:sz w:val="16"/>
                <w:szCs w:val="16"/>
              </w:rPr>
            </w:pPr>
            <w:r>
              <w:rPr>
                <w:rStyle w:val="a6"/>
                <w:rFonts w:eastAsia="Times New Roman"/>
                <w:i w:val="0"/>
                <w:iCs w:val="0"/>
                <w:sz w:val="16"/>
                <w:szCs w:val="16"/>
              </w:rPr>
              <w:t>1,858,643</w:t>
            </w:r>
          </w:p>
        </w:tc>
        <w:tc>
          <w:tcPr>
            <w:tcW w:w="350" w:type="pct"/>
            <w:shd w:val="clear" w:color="auto" w:fill="FFFFFF"/>
            <w:vAlign w:val="bottom"/>
            <w:hideMark/>
          </w:tcPr>
          <w:p w14:paraId="5CCFD71E" w14:textId="77777777" w:rsidR="00000000" w:rsidRDefault="0053651E">
            <w:pPr>
              <w:jc w:val="right"/>
              <w:rPr>
                <w:rFonts w:eastAsia="Times New Roman"/>
                <w:sz w:val="16"/>
                <w:szCs w:val="16"/>
              </w:rPr>
            </w:pPr>
            <w:r>
              <w:rPr>
                <w:rStyle w:val="a6"/>
                <w:rFonts w:eastAsia="Times New Roman"/>
                <w:i w:val="0"/>
                <w:iCs w:val="0"/>
                <w:sz w:val="16"/>
                <w:szCs w:val="16"/>
              </w:rPr>
              <w:t>499,465</w:t>
            </w:r>
          </w:p>
        </w:tc>
        <w:tc>
          <w:tcPr>
            <w:tcW w:w="300" w:type="pct"/>
            <w:shd w:val="clear" w:color="auto" w:fill="FFFFFF"/>
            <w:vAlign w:val="bottom"/>
            <w:hideMark/>
          </w:tcPr>
          <w:p w14:paraId="2C7C7922" w14:textId="77777777" w:rsidR="00000000" w:rsidRDefault="0053651E">
            <w:pPr>
              <w:jc w:val="right"/>
              <w:rPr>
                <w:rFonts w:eastAsia="Times New Roman"/>
                <w:sz w:val="16"/>
                <w:szCs w:val="16"/>
              </w:rPr>
            </w:pPr>
            <w:r>
              <w:rPr>
                <w:rStyle w:val="a6"/>
                <w:rFonts w:eastAsia="Times New Roman"/>
                <w:i w:val="0"/>
                <w:iCs w:val="0"/>
                <w:sz w:val="16"/>
                <w:szCs w:val="16"/>
              </w:rPr>
              <w:t>500,754</w:t>
            </w:r>
          </w:p>
        </w:tc>
        <w:tc>
          <w:tcPr>
            <w:tcW w:w="450" w:type="pct"/>
            <w:shd w:val="clear" w:color="auto" w:fill="FFFFFF"/>
            <w:vAlign w:val="bottom"/>
            <w:hideMark/>
          </w:tcPr>
          <w:p w14:paraId="3E3FE205" w14:textId="77777777" w:rsidR="00000000" w:rsidRDefault="0053651E">
            <w:pPr>
              <w:jc w:val="right"/>
              <w:rPr>
                <w:rFonts w:eastAsia="Times New Roman"/>
                <w:sz w:val="16"/>
                <w:szCs w:val="16"/>
              </w:rPr>
            </w:pPr>
            <w:r>
              <w:rPr>
                <w:rStyle w:val="a6"/>
                <w:rFonts w:eastAsia="Times New Roman"/>
                <w:i w:val="0"/>
                <w:iCs w:val="0"/>
                <w:sz w:val="16"/>
                <w:szCs w:val="16"/>
              </w:rPr>
              <w:t>2,358,108</w:t>
            </w:r>
          </w:p>
        </w:tc>
        <w:tc>
          <w:tcPr>
            <w:tcW w:w="350" w:type="pct"/>
            <w:shd w:val="clear" w:color="auto" w:fill="FFFFFF"/>
            <w:vAlign w:val="bottom"/>
            <w:hideMark/>
          </w:tcPr>
          <w:p w14:paraId="33CEBD66" w14:textId="77777777" w:rsidR="00000000" w:rsidRDefault="0053651E">
            <w:pPr>
              <w:jc w:val="right"/>
              <w:rPr>
                <w:rFonts w:eastAsia="Times New Roman"/>
                <w:sz w:val="16"/>
                <w:szCs w:val="16"/>
              </w:rPr>
            </w:pPr>
            <w:r>
              <w:rPr>
                <w:rStyle w:val="a6"/>
                <w:rFonts w:eastAsia="Times New Roman"/>
                <w:i w:val="0"/>
                <w:iCs w:val="0"/>
                <w:sz w:val="16"/>
                <w:szCs w:val="16"/>
              </w:rPr>
              <w:t>2,858,862</w:t>
            </w:r>
          </w:p>
        </w:tc>
        <w:tc>
          <w:tcPr>
            <w:tcW w:w="400" w:type="pct"/>
            <w:shd w:val="clear" w:color="auto" w:fill="FFFFFF"/>
            <w:vAlign w:val="bottom"/>
            <w:hideMark/>
          </w:tcPr>
          <w:p w14:paraId="1D44B4E5" w14:textId="77777777" w:rsidR="00000000" w:rsidRDefault="0053651E">
            <w:pPr>
              <w:jc w:val="right"/>
              <w:rPr>
                <w:rFonts w:eastAsia="Times New Roman"/>
                <w:sz w:val="16"/>
                <w:szCs w:val="16"/>
              </w:rPr>
            </w:pPr>
            <w:r>
              <w:rPr>
                <w:rStyle w:val="a6"/>
                <w:rFonts w:eastAsia="Times New Roman"/>
                <w:i w:val="0"/>
                <w:iCs w:val="0"/>
                <w:sz w:val="16"/>
                <w:szCs w:val="16"/>
              </w:rPr>
              <w:t>1,931,270</w:t>
            </w:r>
          </w:p>
        </w:tc>
        <w:tc>
          <w:tcPr>
            <w:tcW w:w="50" w:type="pct"/>
            <w:shd w:val="clear" w:color="auto" w:fill="FFFFFF"/>
            <w:vAlign w:val="bottom"/>
            <w:hideMark/>
          </w:tcPr>
          <w:p w14:paraId="6FDC6990"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5CAB83D" w14:textId="77777777" w:rsidR="00000000" w:rsidRDefault="0053651E">
            <w:pPr>
              <w:jc w:val="right"/>
              <w:rPr>
                <w:rFonts w:eastAsia="Times New Roman"/>
                <w:sz w:val="16"/>
                <w:szCs w:val="16"/>
              </w:rPr>
            </w:pPr>
            <w:r>
              <w:rPr>
                <w:rStyle w:val="a6"/>
                <w:rFonts w:eastAsia="Times New Roman"/>
                <w:i w:val="0"/>
                <w:iCs w:val="0"/>
                <w:sz w:val="16"/>
                <w:szCs w:val="16"/>
              </w:rPr>
              <w:t>927,592</w:t>
            </w:r>
          </w:p>
        </w:tc>
        <w:tc>
          <w:tcPr>
            <w:tcW w:w="50" w:type="pct"/>
            <w:shd w:val="clear" w:color="auto" w:fill="FFFFFF"/>
            <w:vAlign w:val="bottom"/>
            <w:hideMark/>
          </w:tcPr>
          <w:p w14:paraId="7D0AF0F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7CB613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405C5B75" w14:textId="77777777" w:rsidR="00000000" w:rsidRDefault="0053651E">
            <w:pPr>
              <w:pStyle w:val="a3"/>
              <w:spacing w:before="0" w:beforeAutospacing="0" w:after="0" w:afterAutospacing="0"/>
              <w:jc w:val="center"/>
              <w:rPr>
                <w:sz w:val="16"/>
                <w:szCs w:val="16"/>
              </w:rPr>
            </w:pPr>
            <w:r>
              <w:rPr>
                <w:rStyle w:val="a6"/>
                <w:i w:val="0"/>
                <w:iCs w:val="0"/>
                <w:sz w:val="16"/>
                <w:szCs w:val="16"/>
              </w:rPr>
              <w:t>1986(A)</w:t>
            </w:r>
          </w:p>
        </w:tc>
      </w:tr>
      <w:tr w:rsidR="00000000" w14:paraId="50245428" w14:textId="77777777">
        <w:trPr>
          <w:tblCellSpacing w:w="0" w:type="dxa"/>
        </w:trPr>
        <w:tc>
          <w:tcPr>
            <w:tcW w:w="50" w:type="pct"/>
            <w:shd w:val="clear" w:color="auto" w:fill="CCEEFF"/>
            <w:vAlign w:val="bottom"/>
            <w:hideMark/>
          </w:tcPr>
          <w:p w14:paraId="16089BA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34750E5" w14:textId="77777777" w:rsidR="00000000" w:rsidRDefault="0053651E">
            <w:pPr>
              <w:pStyle w:val="a3"/>
              <w:spacing w:before="0" w:beforeAutospacing="0" w:after="0" w:afterAutospacing="0"/>
              <w:rPr>
                <w:sz w:val="16"/>
                <w:szCs w:val="16"/>
              </w:rPr>
            </w:pPr>
            <w:r>
              <w:rPr>
                <w:rStyle w:val="a6"/>
                <w:i w:val="0"/>
                <w:iCs w:val="0"/>
                <w:sz w:val="16"/>
                <w:szCs w:val="16"/>
              </w:rPr>
              <w:t>SENATE/HILLSBOROUGH CROSSING</w:t>
            </w:r>
          </w:p>
        </w:tc>
        <w:tc>
          <w:tcPr>
            <w:tcW w:w="150" w:type="pct"/>
            <w:shd w:val="clear" w:color="auto" w:fill="CCEEFF"/>
            <w:vAlign w:val="bottom"/>
            <w:hideMark/>
          </w:tcPr>
          <w:p w14:paraId="41F74020"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4563EAC9" w14:textId="77777777" w:rsidR="00000000" w:rsidRDefault="0053651E">
            <w:pPr>
              <w:jc w:val="right"/>
              <w:rPr>
                <w:rFonts w:eastAsia="Times New Roman"/>
                <w:sz w:val="16"/>
                <w:szCs w:val="16"/>
              </w:rPr>
            </w:pPr>
            <w:r>
              <w:rPr>
                <w:rStyle w:val="a6"/>
                <w:rFonts w:eastAsia="Times New Roman"/>
                <w:i w:val="0"/>
                <w:iCs w:val="0"/>
                <w:sz w:val="16"/>
                <w:szCs w:val="16"/>
              </w:rPr>
              <w:t>519,395</w:t>
            </w:r>
          </w:p>
        </w:tc>
        <w:tc>
          <w:tcPr>
            <w:tcW w:w="550" w:type="pct"/>
            <w:shd w:val="clear" w:color="auto" w:fill="CCEEFF"/>
            <w:vAlign w:val="bottom"/>
            <w:hideMark/>
          </w:tcPr>
          <w:p w14:paraId="2532EEB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2DFCF08C" w14:textId="77777777" w:rsidR="00000000" w:rsidRDefault="0053651E">
            <w:pPr>
              <w:jc w:val="right"/>
              <w:rPr>
                <w:rFonts w:eastAsia="Times New Roman"/>
                <w:sz w:val="16"/>
                <w:szCs w:val="16"/>
              </w:rPr>
            </w:pPr>
            <w:r>
              <w:rPr>
                <w:rStyle w:val="a6"/>
                <w:rFonts w:eastAsia="Times New Roman"/>
                <w:i w:val="0"/>
                <w:iCs w:val="0"/>
                <w:sz w:val="16"/>
                <w:szCs w:val="16"/>
              </w:rPr>
              <w:t>(169,395)</w:t>
            </w:r>
          </w:p>
        </w:tc>
        <w:tc>
          <w:tcPr>
            <w:tcW w:w="300" w:type="pct"/>
            <w:shd w:val="clear" w:color="auto" w:fill="CCEEFF"/>
            <w:vAlign w:val="bottom"/>
            <w:hideMark/>
          </w:tcPr>
          <w:p w14:paraId="5BA4ED52" w14:textId="77777777" w:rsidR="00000000" w:rsidRDefault="0053651E">
            <w:pPr>
              <w:jc w:val="right"/>
              <w:rPr>
                <w:rFonts w:eastAsia="Times New Roman"/>
                <w:sz w:val="16"/>
                <w:szCs w:val="16"/>
              </w:rPr>
            </w:pPr>
            <w:r>
              <w:rPr>
                <w:rStyle w:val="a6"/>
                <w:rFonts w:eastAsia="Times New Roman"/>
                <w:i w:val="0"/>
                <w:iCs w:val="0"/>
                <w:sz w:val="16"/>
                <w:szCs w:val="16"/>
              </w:rPr>
              <w:t>350,000</w:t>
            </w:r>
          </w:p>
        </w:tc>
        <w:tc>
          <w:tcPr>
            <w:tcW w:w="450" w:type="pct"/>
            <w:shd w:val="clear" w:color="auto" w:fill="CCEEFF"/>
            <w:vAlign w:val="bottom"/>
            <w:hideMark/>
          </w:tcPr>
          <w:p w14:paraId="6131410C"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39995688" w14:textId="77777777" w:rsidR="00000000" w:rsidRDefault="0053651E">
            <w:pPr>
              <w:jc w:val="right"/>
              <w:rPr>
                <w:rFonts w:eastAsia="Times New Roman"/>
                <w:sz w:val="16"/>
                <w:szCs w:val="16"/>
              </w:rPr>
            </w:pPr>
            <w:r>
              <w:rPr>
                <w:rStyle w:val="a6"/>
                <w:rFonts w:eastAsia="Times New Roman"/>
                <w:i w:val="0"/>
                <w:iCs w:val="0"/>
                <w:sz w:val="16"/>
                <w:szCs w:val="16"/>
              </w:rPr>
              <w:t>350,000</w:t>
            </w:r>
          </w:p>
        </w:tc>
        <w:tc>
          <w:tcPr>
            <w:tcW w:w="400" w:type="pct"/>
            <w:shd w:val="clear" w:color="auto" w:fill="CCEEFF"/>
            <w:vAlign w:val="bottom"/>
            <w:hideMark/>
          </w:tcPr>
          <w:p w14:paraId="4A996BD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7ACAAEB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4C9D37E9" w14:textId="77777777" w:rsidR="00000000" w:rsidRDefault="0053651E">
            <w:pPr>
              <w:jc w:val="right"/>
              <w:rPr>
                <w:rFonts w:eastAsia="Times New Roman"/>
                <w:sz w:val="16"/>
                <w:szCs w:val="16"/>
              </w:rPr>
            </w:pPr>
            <w:r>
              <w:rPr>
                <w:rStyle w:val="a6"/>
                <w:rFonts w:eastAsia="Times New Roman"/>
                <w:i w:val="0"/>
                <w:iCs w:val="0"/>
                <w:sz w:val="16"/>
                <w:szCs w:val="16"/>
              </w:rPr>
              <w:t>350,000</w:t>
            </w:r>
          </w:p>
        </w:tc>
        <w:tc>
          <w:tcPr>
            <w:tcW w:w="50" w:type="pct"/>
            <w:shd w:val="clear" w:color="auto" w:fill="CCEEFF"/>
            <w:vAlign w:val="bottom"/>
            <w:hideMark/>
          </w:tcPr>
          <w:p w14:paraId="4676BDA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457CCD2"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75983DB" w14:textId="77777777" w:rsidR="00000000" w:rsidRDefault="0053651E">
            <w:pPr>
              <w:pStyle w:val="a3"/>
              <w:spacing w:before="0" w:beforeAutospacing="0" w:after="0" w:afterAutospacing="0"/>
              <w:jc w:val="center"/>
              <w:rPr>
                <w:sz w:val="16"/>
                <w:szCs w:val="16"/>
              </w:rPr>
            </w:pPr>
            <w:r>
              <w:rPr>
                <w:rStyle w:val="a6"/>
                <w:i w:val="0"/>
                <w:iCs w:val="0"/>
                <w:sz w:val="16"/>
                <w:szCs w:val="16"/>
              </w:rPr>
              <w:t>2003(A)</w:t>
            </w:r>
          </w:p>
        </w:tc>
      </w:tr>
      <w:tr w:rsidR="00000000" w14:paraId="026E9DD5" w14:textId="77777777">
        <w:trPr>
          <w:tblCellSpacing w:w="0" w:type="dxa"/>
        </w:trPr>
        <w:tc>
          <w:tcPr>
            <w:tcW w:w="50" w:type="pct"/>
            <w:shd w:val="clear" w:color="auto" w:fill="FFFFFF"/>
            <w:vAlign w:val="bottom"/>
            <w:hideMark/>
          </w:tcPr>
          <w:p w14:paraId="1CBD561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269C050C" w14:textId="77777777" w:rsidR="00000000" w:rsidRDefault="0053651E">
            <w:pPr>
              <w:pStyle w:val="a3"/>
              <w:spacing w:before="0" w:beforeAutospacing="0" w:after="0" w:afterAutospacing="0"/>
              <w:rPr>
                <w:sz w:val="16"/>
                <w:szCs w:val="16"/>
              </w:rPr>
            </w:pPr>
            <w:r>
              <w:rPr>
                <w:rStyle w:val="a6"/>
                <w:i w:val="0"/>
                <w:iCs w:val="0"/>
                <w:sz w:val="16"/>
                <w:szCs w:val="16"/>
              </w:rPr>
              <w:t>WAKEFIELD COMMONS III</w:t>
            </w:r>
          </w:p>
        </w:tc>
        <w:tc>
          <w:tcPr>
            <w:tcW w:w="150" w:type="pct"/>
            <w:shd w:val="clear" w:color="auto" w:fill="FFFFFF"/>
            <w:vAlign w:val="bottom"/>
            <w:hideMark/>
          </w:tcPr>
          <w:p w14:paraId="4A7A77A6"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FFFFFF"/>
            <w:vAlign w:val="bottom"/>
            <w:hideMark/>
          </w:tcPr>
          <w:p w14:paraId="574CF06C" w14:textId="77777777" w:rsidR="00000000" w:rsidRDefault="0053651E">
            <w:pPr>
              <w:jc w:val="right"/>
              <w:rPr>
                <w:rFonts w:eastAsia="Times New Roman"/>
                <w:sz w:val="16"/>
                <w:szCs w:val="16"/>
              </w:rPr>
            </w:pPr>
            <w:r>
              <w:rPr>
                <w:rStyle w:val="a6"/>
                <w:rFonts w:eastAsia="Times New Roman"/>
                <w:i w:val="0"/>
                <w:iCs w:val="0"/>
                <w:sz w:val="16"/>
                <w:szCs w:val="16"/>
              </w:rPr>
              <w:t>6,506,450</w:t>
            </w:r>
          </w:p>
        </w:tc>
        <w:tc>
          <w:tcPr>
            <w:tcW w:w="550" w:type="pct"/>
            <w:shd w:val="clear" w:color="auto" w:fill="FFFFFF"/>
            <w:vAlign w:val="bottom"/>
            <w:hideMark/>
          </w:tcPr>
          <w:p w14:paraId="3DB0464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2E8448D0" w14:textId="77777777" w:rsidR="00000000" w:rsidRDefault="0053651E">
            <w:pPr>
              <w:jc w:val="right"/>
              <w:rPr>
                <w:rFonts w:eastAsia="Times New Roman"/>
                <w:sz w:val="16"/>
                <w:szCs w:val="16"/>
              </w:rPr>
            </w:pPr>
            <w:r>
              <w:rPr>
                <w:rStyle w:val="a6"/>
                <w:rFonts w:eastAsia="Times New Roman"/>
                <w:i w:val="0"/>
                <w:iCs w:val="0"/>
                <w:sz w:val="16"/>
                <w:szCs w:val="16"/>
              </w:rPr>
              <w:t>(5,397,400)</w:t>
            </w:r>
          </w:p>
        </w:tc>
        <w:tc>
          <w:tcPr>
            <w:tcW w:w="300" w:type="pct"/>
            <w:shd w:val="clear" w:color="auto" w:fill="FFFFFF"/>
            <w:vAlign w:val="bottom"/>
            <w:hideMark/>
          </w:tcPr>
          <w:p w14:paraId="23EA308D" w14:textId="77777777" w:rsidR="00000000" w:rsidRDefault="0053651E">
            <w:pPr>
              <w:jc w:val="right"/>
              <w:rPr>
                <w:rFonts w:eastAsia="Times New Roman"/>
                <w:sz w:val="16"/>
                <w:szCs w:val="16"/>
              </w:rPr>
            </w:pPr>
            <w:r>
              <w:rPr>
                <w:rStyle w:val="a6"/>
                <w:rFonts w:eastAsia="Times New Roman"/>
                <w:i w:val="0"/>
                <w:iCs w:val="0"/>
                <w:sz w:val="16"/>
                <w:szCs w:val="16"/>
              </w:rPr>
              <w:t>1,475,214</w:t>
            </w:r>
          </w:p>
        </w:tc>
        <w:tc>
          <w:tcPr>
            <w:tcW w:w="450" w:type="pct"/>
            <w:shd w:val="clear" w:color="auto" w:fill="FFFFFF"/>
            <w:vAlign w:val="bottom"/>
            <w:hideMark/>
          </w:tcPr>
          <w:p w14:paraId="6A5554A8" w14:textId="77777777" w:rsidR="00000000" w:rsidRDefault="0053651E">
            <w:pPr>
              <w:jc w:val="right"/>
              <w:rPr>
                <w:rFonts w:eastAsia="Times New Roman"/>
                <w:sz w:val="16"/>
                <w:szCs w:val="16"/>
              </w:rPr>
            </w:pPr>
            <w:r>
              <w:rPr>
                <w:rStyle w:val="a6"/>
                <w:rFonts w:eastAsia="Times New Roman"/>
                <w:i w:val="0"/>
                <w:iCs w:val="0"/>
                <w:sz w:val="16"/>
                <w:szCs w:val="16"/>
              </w:rPr>
              <w:t>(366,164)</w:t>
            </w:r>
          </w:p>
        </w:tc>
        <w:tc>
          <w:tcPr>
            <w:tcW w:w="350" w:type="pct"/>
            <w:shd w:val="clear" w:color="auto" w:fill="FFFFFF"/>
            <w:vAlign w:val="bottom"/>
            <w:hideMark/>
          </w:tcPr>
          <w:p w14:paraId="669D9D27" w14:textId="77777777" w:rsidR="00000000" w:rsidRDefault="0053651E">
            <w:pPr>
              <w:jc w:val="right"/>
              <w:rPr>
                <w:rFonts w:eastAsia="Times New Roman"/>
                <w:sz w:val="16"/>
                <w:szCs w:val="16"/>
              </w:rPr>
            </w:pPr>
            <w:r>
              <w:rPr>
                <w:rStyle w:val="a6"/>
                <w:rFonts w:eastAsia="Times New Roman"/>
                <w:i w:val="0"/>
                <w:iCs w:val="0"/>
                <w:sz w:val="16"/>
                <w:szCs w:val="16"/>
              </w:rPr>
              <w:t>1,109,050</w:t>
            </w:r>
          </w:p>
        </w:tc>
        <w:tc>
          <w:tcPr>
            <w:tcW w:w="400" w:type="pct"/>
            <w:shd w:val="clear" w:color="auto" w:fill="FFFFFF"/>
            <w:vAlign w:val="bottom"/>
            <w:hideMark/>
          </w:tcPr>
          <w:p w14:paraId="47A2BF21" w14:textId="77777777" w:rsidR="00000000" w:rsidRDefault="0053651E">
            <w:pPr>
              <w:jc w:val="right"/>
              <w:rPr>
                <w:rFonts w:eastAsia="Times New Roman"/>
                <w:sz w:val="16"/>
                <w:szCs w:val="16"/>
              </w:rPr>
            </w:pPr>
            <w:r>
              <w:rPr>
                <w:rStyle w:val="a6"/>
                <w:rFonts w:eastAsia="Times New Roman"/>
                <w:i w:val="0"/>
                <w:iCs w:val="0"/>
                <w:sz w:val="16"/>
                <w:szCs w:val="16"/>
              </w:rPr>
              <w:t>235,612</w:t>
            </w:r>
          </w:p>
        </w:tc>
        <w:tc>
          <w:tcPr>
            <w:tcW w:w="50" w:type="pct"/>
            <w:shd w:val="clear" w:color="auto" w:fill="FFFFFF"/>
            <w:vAlign w:val="bottom"/>
            <w:hideMark/>
          </w:tcPr>
          <w:p w14:paraId="498B264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A489B6D" w14:textId="77777777" w:rsidR="00000000" w:rsidRDefault="0053651E">
            <w:pPr>
              <w:jc w:val="right"/>
              <w:rPr>
                <w:rFonts w:eastAsia="Times New Roman"/>
                <w:sz w:val="16"/>
                <w:szCs w:val="16"/>
              </w:rPr>
            </w:pPr>
            <w:r>
              <w:rPr>
                <w:rStyle w:val="a6"/>
                <w:rFonts w:eastAsia="Times New Roman"/>
                <w:i w:val="0"/>
                <w:iCs w:val="0"/>
                <w:sz w:val="16"/>
                <w:szCs w:val="16"/>
              </w:rPr>
              <w:t>873,438</w:t>
            </w:r>
          </w:p>
        </w:tc>
        <w:tc>
          <w:tcPr>
            <w:tcW w:w="50" w:type="pct"/>
            <w:shd w:val="clear" w:color="auto" w:fill="FFFFFF"/>
            <w:vAlign w:val="bottom"/>
            <w:hideMark/>
          </w:tcPr>
          <w:p w14:paraId="4E7FADC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33B0EB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5BAFCD94" w14:textId="77777777" w:rsidR="00000000" w:rsidRDefault="0053651E">
            <w:pPr>
              <w:pStyle w:val="a3"/>
              <w:spacing w:before="0" w:beforeAutospacing="0" w:after="0" w:afterAutospacing="0"/>
              <w:jc w:val="center"/>
              <w:rPr>
                <w:sz w:val="16"/>
                <w:szCs w:val="16"/>
              </w:rPr>
            </w:pPr>
            <w:r>
              <w:rPr>
                <w:rStyle w:val="a6"/>
                <w:i w:val="0"/>
                <w:iCs w:val="0"/>
                <w:sz w:val="16"/>
                <w:szCs w:val="16"/>
              </w:rPr>
              <w:t>2001(C)</w:t>
            </w:r>
          </w:p>
        </w:tc>
      </w:tr>
      <w:tr w:rsidR="00000000" w14:paraId="1C969F40" w14:textId="77777777">
        <w:trPr>
          <w:tblCellSpacing w:w="0" w:type="dxa"/>
        </w:trPr>
        <w:tc>
          <w:tcPr>
            <w:tcW w:w="50" w:type="pct"/>
            <w:shd w:val="clear" w:color="auto" w:fill="CCEEFF"/>
            <w:vAlign w:val="bottom"/>
            <w:hideMark/>
          </w:tcPr>
          <w:p w14:paraId="68A9998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4D7446EF" w14:textId="77777777" w:rsidR="00000000" w:rsidRDefault="0053651E">
            <w:pPr>
              <w:pStyle w:val="a3"/>
              <w:spacing w:before="0" w:beforeAutospacing="0" w:after="0" w:afterAutospacing="0"/>
              <w:rPr>
                <w:sz w:val="16"/>
                <w:szCs w:val="16"/>
              </w:rPr>
            </w:pPr>
            <w:r>
              <w:rPr>
                <w:rStyle w:val="a6"/>
                <w:i w:val="0"/>
                <w:iCs w:val="0"/>
                <w:sz w:val="16"/>
                <w:szCs w:val="16"/>
              </w:rPr>
              <w:t>WAKEFIELD CROSSINGS</w:t>
            </w:r>
          </w:p>
        </w:tc>
        <w:tc>
          <w:tcPr>
            <w:tcW w:w="150" w:type="pct"/>
            <w:shd w:val="clear" w:color="auto" w:fill="CCEEFF"/>
            <w:vAlign w:val="bottom"/>
            <w:hideMark/>
          </w:tcPr>
          <w:p w14:paraId="00D21CB7" w14:textId="77777777" w:rsidR="00000000" w:rsidRDefault="0053651E">
            <w:pPr>
              <w:pStyle w:val="a3"/>
              <w:spacing w:before="0" w:beforeAutospacing="0" w:after="0" w:afterAutospacing="0"/>
              <w:rPr>
                <w:sz w:val="16"/>
                <w:szCs w:val="16"/>
              </w:rPr>
            </w:pPr>
            <w:r>
              <w:rPr>
                <w:rStyle w:val="a6"/>
                <w:i w:val="0"/>
                <w:iCs w:val="0"/>
                <w:sz w:val="16"/>
                <w:szCs w:val="16"/>
              </w:rPr>
              <w:t>NC</w:t>
            </w:r>
          </w:p>
        </w:tc>
        <w:tc>
          <w:tcPr>
            <w:tcW w:w="300" w:type="pct"/>
            <w:shd w:val="clear" w:color="auto" w:fill="CCEEFF"/>
            <w:vAlign w:val="bottom"/>
            <w:hideMark/>
          </w:tcPr>
          <w:p w14:paraId="17A43C73" w14:textId="77777777" w:rsidR="00000000" w:rsidRDefault="0053651E">
            <w:pPr>
              <w:jc w:val="right"/>
              <w:rPr>
                <w:rFonts w:eastAsia="Times New Roman"/>
                <w:sz w:val="16"/>
                <w:szCs w:val="16"/>
              </w:rPr>
            </w:pPr>
            <w:r>
              <w:rPr>
                <w:rStyle w:val="a6"/>
                <w:rFonts w:eastAsia="Times New Roman"/>
                <w:i w:val="0"/>
                <w:iCs w:val="0"/>
                <w:sz w:val="16"/>
                <w:szCs w:val="16"/>
              </w:rPr>
              <w:t>3,413,932</w:t>
            </w:r>
          </w:p>
        </w:tc>
        <w:tc>
          <w:tcPr>
            <w:tcW w:w="550" w:type="pct"/>
            <w:shd w:val="clear" w:color="auto" w:fill="CCEEFF"/>
            <w:vAlign w:val="bottom"/>
            <w:hideMark/>
          </w:tcPr>
          <w:p w14:paraId="12AFC273"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7BC37D5E" w14:textId="77777777" w:rsidR="00000000" w:rsidRDefault="0053651E">
            <w:pPr>
              <w:jc w:val="right"/>
              <w:rPr>
                <w:rFonts w:eastAsia="Times New Roman"/>
                <w:sz w:val="16"/>
                <w:szCs w:val="16"/>
              </w:rPr>
            </w:pPr>
            <w:r>
              <w:rPr>
                <w:rStyle w:val="a6"/>
                <w:rFonts w:eastAsia="Times New Roman"/>
                <w:i w:val="0"/>
                <w:iCs w:val="0"/>
                <w:sz w:val="16"/>
                <w:szCs w:val="16"/>
              </w:rPr>
              <w:t>(3,276,783)</w:t>
            </w:r>
          </w:p>
        </w:tc>
        <w:tc>
          <w:tcPr>
            <w:tcW w:w="300" w:type="pct"/>
            <w:shd w:val="clear" w:color="auto" w:fill="CCEEFF"/>
            <w:vAlign w:val="bottom"/>
            <w:hideMark/>
          </w:tcPr>
          <w:p w14:paraId="15AD8190" w14:textId="77777777" w:rsidR="00000000" w:rsidRDefault="0053651E">
            <w:pPr>
              <w:jc w:val="right"/>
              <w:rPr>
                <w:rFonts w:eastAsia="Times New Roman"/>
                <w:sz w:val="16"/>
                <w:szCs w:val="16"/>
              </w:rPr>
            </w:pPr>
            <w:r>
              <w:rPr>
                <w:rStyle w:val="a6"/>
                <w:rFonts w:eastAsia="Times New Roman"/>
                <w:i w:val="0"/>
                <w:iCs w:val="0"/>
                <w:sz w:val="16"/>
                <w:szCs w:val="16"/>
              </w:rPr>
              <w:t>137,149</w:t>
            </w:r>
          </w:p>
        </w:tc>
        <w:tc>
          <w:tcPr>
            <w:tcW w:w="450" w:type="pct"/>
            <w:shd w:val="clear" w:color="auto" w:fill="CCEEFF"/>
            <w:vAlign w:val="bottom"/>
            <w:hideMark/>
          </w:tcPr>
          <w:p w14:paraId="3C503DA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6D5A801E" w14:textId="77777777" w:rsidR="00000000" w:rsidRDefault="0053651E">
            <w:pPr>
              <w:jc w:val="right"/>
              <w:rPr>
                <w:rFonts w:eastAsia="Times New Roman"/>
                <w:sz w:val="16"/>
                <w:szCs w:val="16"/>
              </w:rPr>
            </w:pPr>
            <w:r>
              <w:rPr>
                <w:rStyle w:val="a6"/>
                <w:rFonts w:eastAsia="Times New Roman"/>
                <w:i w:val="0"/>
                <w:iCs w:val="0"/>
                <w:sz w:val="16"/>
                <w:szCs w:val="16"/>
              </w:rPr>
              <w:t>137,149</w:t>
            </w:r>
          </w:p>
        </w:tc>
        <w:tc>
          <w:tcPr>
            <w:tcW w:w="400" w:type="pct"/>
            <w:shd w:val="clear" w:color="auto" w:fill="CCEEFF"/>
            <w:vAlign w:val="bottom"/>
            <w:hideMark/>
          </w:tcPr>
          <w:p w14:paraId="43F1E52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1F1C6F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369CBFE" w14:textId="77777777" w:rsidR="00000000" w:rsidRDefault="0053651E">
            <w:pPr>
              <w:jc w:val="right"/>
              <w:rPr>
                <w:rFonts w:eastAsia="Times New Roman"/>
                <w:sz w:val="16"/>
                <w:szCs w:val="16"/>
              </w:rPr>
            </w:pPr>
            <w:r>
              <w:rPr>
                <w:rStyle w:val="a6"/>
                <w:rFonts w:eastAsia="Times New Roman"/>
                <w:i w:val="0"/>
                <w:iCs w:val="0"/>
                <w:sz w:val="16"/>
                <w:szCs w:val="16"/>
              </w:rPr>
              <w:t>137,149</w:t>
            </w:r>
          </w:p>
        </w:tc>
        <w:tc>
          <w:tcPr>
            <w:tcW w:w="50" w:type="pct"/>
            <w:shd w:val="clear" w:color="auto" w:fill="CCEEFF"/>
            <w:vAlign w:val="bottom"/>
            <w:hideMark/>
          </w:tcPr>
          <w:p w14:paraId="2CC38AD8"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4B2437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25D2A1D1" w14:textId="77777777" w:rsidR="00000000" w:rsidRDefault="0053651E">
            <w:pPr>
              <w:pStyle w:val="a3"/>
              <w:spacing w:before="0" w:beforeAutospacing="0" w:after="0" w:afterAutospacing="0"/>
              <w:jc w:val="center"/>
              <w:rPr>
                <w:sz w:val="16"/>
                <w:szCs w:val="16"/>
              </w:rPr>
            </w:pPr>
            <w:r>
              <w:rPr>
                <w:rStyle w:val="a6"/>
                <w:i w:val="0"/>
                <w:iCs w:val="0"/>
                <w:sz w:val="16"/>
                <w:szCs w:val="16"/>
              </w:rPr>
              <w:t>2001(C)</w:t>
            </w:r>
          </w:p>
        </w:tc>
      </w:tr>
      <w:tr w:rsidR="00000000" w14:paraId="242955E9" w14:textId="77777777">
        <w:trPr>
          <w:tblCellSpacing w:w="0" w:type="dxa"/>
        </w:trPr>
        <w:tc>
          <w:tcPr>
            <w:tcW w:w="50" w:type="pct"/>
            <w:shd w:val="clear" w:color="auto" w:fill="FFFFFF"/>
            <w:vAlign w:val="bottom"/>
            <w:hideMark/>
          </w:tcPr>
          <w:p w14:paraId="5968294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0C053AA7" w14:textId="77777777" w:rsidR="00000000" w:rsidRDefault="0053651E">
            <w:pPr>
              <w:pStyle w:val="a3"/>
              <w:spacing w:before="0" w:beforeAutospacing="0" w:after="0" w:afterAutospacing="0"/>
              <w:rPr>
                <w:sz w:val="16"/>
                <w:szCs w:val="16"/>
              </w:rPr>
            </w:pPr>
            <w:r>
              <w:rPr>
                <w:rStyle w:val="a6"/>
                <w:i w:val="0"/>
                <w:iCs w:val="0"/>
                <w:sz w:val="16"/>
                <w:szCs w:val="16"/>
              </w:rPr>
              <w:t>HILLSBOROUGH PROMENADE</w:t>
            </w:r>
          </w:p>
        </w:tc>
        <w:tc>
          <w:tcPr>
            <w:tcW w:w="150" w:type="pct"/>
            <w:shd w:val="clear" w:color="auto" w:fill="FFFFFF"/>
            <w:vAlign w:val="bottom"/>
            <w:hideMark/>
          </w:tcPr>
          <w:p w14:paraId="3FA7DDAD" w14:textId="77777777" w:rsidR="00000000" w:rsidRDefault="0053651E">
            <w:pPr>
              <w:pStyle w:val="a3"/>
              <w:spacing w:before="0" w:beforeAutospacing="0" w:after="0" w:afterAutospacing="0"/>
              <w:rPr>
                <w:sz w:val="16"/>
                <w:szCs w:val="16"/>
              </w:rPr>
            </w:pPr>
            <w:r>
              <w:rPr>
                <w:rStyle w:val="a6"/>
                <w:i w:val="0"/>
                <w:iCs w:val="0"/>
                <w:sz w:val="16"/>
                <w:szCs w:val="16"/>
              </w:rPr>
              <w:t>NJ</w:t>
            </w:r>
          </w:p>
        </w:tc>
        <w:tc>
          <w:tcPr>
            <w:tcW w:w="300" w:type="pct"/>
            <w:shd w:val="clear" w:color="auto" w:fill="FFFFFF"/>
            <w:vAlign w:val="bottom"/>
            <w:hideMark/>
          </w:tcPr>
          <w:p w14:paraId="25F01ADA" w14:textId="77777777" w:rsidR="00000000" w:rsidRDefault="0053651E">
            <w:pPr>
              <w:jc w:val="right"/>
              <w:rPr>
                <w:rFonts w:eastAsia="Times New Roman"/>
                <w:sz w:val="16"/>
                <w:szCs w:val="16"/>
              </w:rPr>
            </w:pPr>
            <w:r>
              <w:rPr>
                <w:rStyle w:val="a6"/>
                <w:rFonts w:eastAsia="Times New Roman"/>
                <w:i w:val="0"/>
                <w:iCs w:val="0"/>
                <w:sz w:val="16"/>
                <w:szCs w:val="16"/>
              </w:rPr>
              <w:t>11,886,809</w:t>
            </w:r>
          </w:p>
        </w:tc>
        <w:tc>
          <w:tcPr>
            <w:tcW w:w="550" w:type="pct"/>
            <w:shd w:val="clear" w:color="auto" w:fill="FFFFFF"/>
            <w:vAlign w:val="bottom"/>
            <w:hideMark/>
          </w:tcPr>
          <w:p w14:paraId="0742F15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2E316FC6" w14:textId="77777777" w:rsidR="00000000" w:rsidRDefault="0053651E">
            <w:pPr>
              <w:jc w:val="right"/>
              <w:rPr>
                <w:rFonts w:eastAsia="Times New Roman"/>
                <w:sz w:val="16"/>
                <w:szCs w:val="16"/>
              </w:rPr>
            </w:pPr>
            <w:r>
              <w:rPr>
                <w:rStyle w:val="a6"/>
                <w:rFonts w:eastAsia="Times New Roman"/>
                <w:i w:val="0"/>
                <w:iCs w:val="0"/>
                <w:sz w:val="16"/>
                <w:szCs w:val="16"/>
              </w:rPr>
              <w:t>(6,632,045)</w:t>
            </w:r>
          </w:p>
        </w:tc>
        <w:tc>
          <w:tcPr>
            <w:tcW w:w="300" w:type="pct"/>
            <w:shd w:val="clear" w:color="auto" w:fill="FFFFFF"/>
            <w:vAlign w:val="bottom"/>
            <w:hideMark/>
          </w:tcPr>
          <w:p w14:paraId="3999B840" w14:textId="77777777" w:rsidR="00000000" w:rsidRDefault="0053651E">
            <w:pPr>
              <w:jc w:val="right"/>
              <w:rPr>
                <w:rFonts w:eastAsia="Times New Roman"/>
                <w:sz w:val="16"/>
                <w:szCs w:val="16"/>
              </w:rPr>
            </w:pPr>
            <w:r>
              <w:rPr>
                <w:rStyle w:val="a6"/>
                <w:rFonts w:eastAsia="Times New Roman"/>
                <w:i w:val="0"/>
                <w:iCs w:val="0"/>
                <w:sz w:val="16"/>
                <w:szCs w:val="16"/>
              </w:rPr>
              <w:t>5,006,054</w:t>
            </w:r>
          </w:p>
        </w:tc>
        <w:tc>
          <w:tcPr>
            <w:tcW w:w="450" w:type="pct"/>
            <w:shd w:val="clear" w:color="auto" w:fill="FFFFFF"/>
            <w:vAlign w:val="bottom"/>
            <w:hideMark/>
          </w:tcPr>
          <w:p w14:paraId="593E475D" w14:textId="77777777" w:rsidR="00000000" w:rsidRDefault="0053651E">
            <w:pPr>
              <w:jc w:val="right"/>
              <w:rPr>
                <w:rFonts w:eastAsia="Times New Roman"/>
                <w:sz w:val="16"/>
                <w:szCs w:val="16"/>
              </w:rPr>
            </w:pPr>
            <w:r>
              <w:rPr>
                <w:rStyle w:val="a6"/>
                <w:rFonts w:eastAsia="Times New Roman"/>
                <w:i w:val="0"/>
                <w:iCs w:val="0"/>
                <w:sz w:val="16"/>
                <w:szCs w:val="16"/>
              </w:rPr>
              <w:t>248,710</w:t>
            </w:r>
          </w:p>
        </w:tc>
        <w:tc>
          <w:tcPr>
            <w:tcW w:w="350" w:type="pct"/>
            <w:shd w:val="clear" w:color="auto" w:fill="FFFFFF"/>
            <w:vAlign w:val="bottom"/>
            <w:hideMark/>
          </w:tcPr>
          <w:p w14:paraId="4544AC00" w14:textId="77777777" w:rsidR="00000000" w:rsidRDefault="0053651E">
            <w:pPr>
              <w:jc w:val="right"/>
              <w:rPr>
                <w:rFonts w:eastAsia="Times New Roman"/>
                <w:sz w:val="16"/>
                <w:szCs w:val="16"/>
              </w:rPr>
            </w:pPr>
            <w:r>
              <w:rPr>
                <w:rStyle w:val="a6"/>
                <w:rFonts w:eastAsia="Times New Roman"/>
                <w:i w:val="0"/>
                <w:iCs w:val="0"/>
                <w:sz w:val="16"/>
                <w:szCs w:val="16"/>
              </w:rPr>
              <w:t>5,254,764</w:t>
            </w:r>
          </w:p>
        </w:tc>
        <w:tc>
          <w:tcPr>
            <w:tcW w:w="400" w:type="pct"/>
            <w:shd w:val="clear" w:color="auto" w:fill="FFFFFF"/>
            <w:vAlign w:val="bottom"/>
            <w:hideMark/>
          </w:tcPr>
          <w:p w14:paraId="76876772" w14:textId="77777777" w:rsidR="00000000" w:rsidRDefault="0053651E">
            <w:pPr>
              <w:jc w:val="right"/>
              <w:rPr>
                <w:rFonts w:eastAsia="Times New Roman"/>
                <w:sz w:val="16"/>
                <w:szCs w:val="16"/>
              </w:rPr>
            </w:pPr>
            <w:r>
              <w:rPr>
                <w:rStyle w:val="a6"/>
                <w:rFonts w:eastAsia="Times New Roman"/>
                <w:i w:val="0"/>
                <w:iCs w:val="0"/>
                <w:sz w:val="16"/>
                <w:szCs w:val="16"/>
              </w:rPr>
              <w:t>63,957</w:t>
            </w:r>
          </w:p>
        </w:tc>
        <w:tc>
          <w:tcPr>
            <w:tcW w:w="50" w:type="pct"/>
            <w:shd w:val="clear" w:color="auto" w:fill="FFFFFF"/>
            <w:vAlign w:val="bottom"/>
            <w:hideMark/>
          </w:tcPr>
          <w:p w14:paraId="43986C63"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4982E210" w14:textId="77777777" w:rsidR="00000000" w:rsidRDefault="0053651E">
            <w:pPr>
              <w:jc w:val="right"/>
              <w:rPr>
                <w:rFonts w:eastAsia="Times New Roman"/>
                <w:sz w:val="16"/>
                <w:szCs w:val="16"/>
              </w:rPr>
            </w:pPr>
            <w:r>
              <w:rPr>
                <w:rStyle w:val="a6"/>
                <w:rFonts w:eastAsia="Times New Roman"/>
                <w:i w:val="0"/>
                <w:iCs w:val="0"/>
                <w:sz w:val="16"/>
                <w:szCs w:val="16"/>
              </w:rPr>
              <w:t>5,190,807</w:t>
            </w:r>
          </w:p>
        </w:tc>
        <w:tc>
          <w:tcPr>
            <w:tcW w:w="50" w:type="pct"/>
            <w:shd w:val="clear" w:color="auto" w:fill="FFFFFF"/>
            <w:vAlign w:val="bottom"/>
            <w:hideMark/>
          </w:tcPr>
          <w:p w14:paraId="3D27605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AA701D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63FE0C43" w14:textId="77777777" w:rsidR="00000000" w:rsidRDefault="0053651E">
            <w:pPr>
              <w:pStyle w:val="a3"/>
              <w:spacing w:before="0" w:beforeAutospacing="0" w:after="0" w:afterAutospacing="0"/>
              <w:jc w:val="center"/>
              <w:rPr>
                <w:sz w:val="16"/>
                <w:szCs w:val="16"/>
              </w:rPr>
            </w:pPr>
            <w:r>
              <w:rPr>
                <w:rStyle w:val="a6"/>
                <w:i w:val="0"/>
                <w:iCs w:val="0"/>
                <w:sz w:val="16"/>
                <w:szCs w:val="16"/>
              </w:rPr>
              <w:t>2001(C)</w:t>
            </w:r>
          </w:p>
        </w:tc>
      </w:tr>
      <w:tr w:rsidR="00000000" w14:paraId="0FF6E0A5" w14:textId="77777777">
        <w:trPr>
          <w:tblCellSpacing w:w="0" w:type="dxa"/>
        </w:trPr>
        <w:tc>
          <w:tcPr>
            <w:tcW w:w="50" w:type="pct"/>
            <w:shd w:val="clear" w:color="auto" w:fill="CCEEFF"/>
            <w:vAlign w:val="bottom"/>
            <w:hideMark/>
          </w:tcPr>
          <w:p w14:paraId="60D190E0"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2AFDB48" w14:textId="77777777" w:rsidR="00000000" w:rsidRDefault="0053651E">
            <w:pPr>
              <w:pStyle w:val="a3"/>
              <w:spacing w:before="0" w:beforeAutospacing="0" w:after="0" w:afterAutospacing="0"/>
              <w:rPr>
                <w:sz w:val="16"/>
                <w:szCs w:val="16"/>
              </w:rPr>
            </w:pPr>
            <w:r>
              <w:rPr>
                <w:rStyle w:val="a6"/>
                <w:i w:val="0"/>
                <w:iCs w:val="0"/>
                <w:sz w:val="16"/>
                <w:szCs w:val="16"/>
              </w:rPr>
              <w:t>KEY BANK BUILDING</w:t>
            </w:r>
          </w:p>
        </w:tc>
        <w:tc>
          <w:tcPr>
            <w:tcW w:w="150" w:type="pct"/>
            <w:shd w:val="clear" w:color="auto" w:fill="CCEEFF"/>
            <w:vAlign w:val="bottom"/>
            <w:hideMark/>
          </w:tcPr>
          <w:p w14:paraId="0F7C474E"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2DC82F43" w14:textId="77777777" w:rsidR="00000000" w:rsidRDefault="0053651E">
            <w:pPr>
              <w:jc w:val="right"/>
              <w:rPr>
                <w:rFonts w:eastAsia="Times New Roman"/>
                <w:sz w:val="16"/>
                <w:szCs w:val="16"/>
              </w:rPr>
            </w:pPr>
            <w:r>
              <w:rPr>
                <w:rStyle w:val="a6"/>
                <w:rFonts w:eastAsia="Times New Roman"/>
                <w:i w:val="0"/>
                <w:iCs w:val="0"/>
                <w:sz w:val="16"/>
                <w:szCs w:val="16"/>
              </w:rPr>
              <w:t>1,500,000</w:t>
            </w:r>
          </w:p>
        </w:tc>
        <w:tc>
          <w:tcPr>
            <w:tcW w:w="550" w:type="pct"/>
            <w:shd w:val="clear" w:color="auto" w:fill="CCEEFF"/>
            <w:vAlign w:val="bottom"/>
            <w:hideMark/>
          </w:tcPr>
          <w:p w14:paraId="73C9F275" w14:textId="77777777" w:rsidR="00000000" w:rsidRDefault="0053651E">
            <w:pPr>
              <w:jc w:val="right"/>
              <w:rPr>
                <w:rFonts w:eastAsia="Times New Roman"/>
                <w:sz w:val="16"/>
                <w:szCs w:val="16"/>
              </w:rPr>
            </w:pPr>
            <w:r>
              <w:rPr>
                <w:rStyle w:val="a6"/>
                <w:rFonts w:eastAsia="Times New Roman"/>
                <w:i w:val="0"/>
                <w:iCs w:val="0"/>
                <w:sz w:val="16"/>
                <w:szCs w:val="16"/>
              </w:rPr>
              <w:t>40,486,755</w:t>
            </w:r>
          </w:p>
        </w:tc>
        <w:tc>
          <w:tcPr>
            <w:tcW w:w="350" w:type="pct"/>
            <w:shd w:val="clear" w:color="auto" w:fill="CCEEFF"/>
            <w:vAlign w:val="bottom"/>
            <w:hideMark/>
          </w:tcPr>
          <w:p w14:paraId="25675988" w14:textId="77777777" w:rsidR="00000000" w:rsidRDefault="0053651E">
            <w:pPr>
              <w:jc w:val="right"/>
              <w:rPr>
                <w:rFonts w:eastAsia="Times New Roman"/>
                <w:sz w:val="16"/>
                <w:szCs w:val="16"/>
              </w:rPr>
            </w:pPr>
            <w:r>
              <w:rPr>
                <w:rStyle w:val="a6"/>
                <w:rFonts w:eastAsia="Times New Roman"/>
                <w:i w:val="0"/>
                <w:iCs w:val="0"/>
                <w:sz w:val="16"/>
                <w:szCs w:val="16"/>
              </w:rPr>
              <w:t>(8,111,240)</w:t>
            </w:r>
          </w:p>
        </w:tc>
        <w:tc>
          <w:tcPr>
            <w:tcW w:w="300" w:type="pct"/>
            <w:shd w:val="clear" w:color="auto" w:fill="CCEEFF"/>
            <w:vAlign w:val="bottom"/>
            <w:hideMark/>
          </w:tcPr>
          <w:p w14:paraId="08E286F5" w14:textId="77777777" w:rsidR="00000000" w:rsidRDefault="0053651E">
            <w:pPr>
              <w:jc w:val="right"/>
              <w:rPr>
                <w:rFonts w:eastAsia="Times New Roman"/>
                <w:sz w:val="16"/>
                <w:szCs w:val="16"/>
              </w:rPr>
            </w:pPr>
            <w:r>
              <w:rPr>
                <w:rStyle w:val="a6"/>
                <w:rFonts w:eastAsia="Times New Roman"/>
                <w:i w:val="0"/>
                <w:iCs w:val="0"/>
                <w:sz w:val="16"/>
                <w:szCs w:val="16"/>
              </w:rPr>
              <w:t>668,637</w:t>
            </w:r>
          </w:p>
        </w:tc>
        <w:tc>
          <w:tcPr>
            <w:tcW w:w="450" w:type="pct"/>
            <w:shd w:val="clear" w:color="auto" w:fill="CCEEFF"/>
            <w:vAlign w:val="bottom"/>
            <w:hideMark/>
          </w:tcPr>
          <w:p w14:paraId="75602298" w14:textId="77777777" w:rsidR="00000000" w:rsidRDefault="0053651E">
            <w:pPr>
              <w:jc w:val="right"/>
              <w:rPr>
                <w:rFonts w:eastAsia="Times New Roman"/>
                <w:sz w:val="16"/>
                <w:szCs w:val="16"/>
              </w:rPr>
            </w:pPr>
            <w:r>
              <w:rPr>
                <w:rStyle w:val="a6"/>
                <w:rFonts w:eastAsia="Times New Roman"/>
                <w:i w:val="0"/>
                <w:iCs w:val="0"/>
                <w:sz w:val="16"/>
                <w:szCs w:val="16"/>
              </w:rPr>
              <w:t>33,206,878</w:t>
            </w:r>
          </w:p>
        </w:tc>
        <w:tc>
          <w:tcPr>
            <w:tcW w:w="350" w:type="pct"/>
            <w:shd w:val="clear" w:color="auto" w:fill="CCEEFF"/>
            <w:vAlign w:val="bottom"/>
            <w:hideMark/>
          </w:tcPr>
          <w:p w14:paraId="041C06E7" w14:textId="77777777" w:rsidR="00000000" w:rsidRDefault="0053651E">
            <w:pPr>
              <w:jc w:val="right"/>
              <w:rPr>
                <w:rFonts w:eastAsia="Times New Roman"/>
                <w:sz w:val="16"/>
                <w:szCs w:val="16"/>
              </w:rPr>
            </w:pPr>
            <w:r>
              <w:rPr>
                <w:rStyle w:val="a6"/>
                <w:rFonts w:eastAsia="Times New Roman"/>
                <w:i w:val="0"/>
                <w:iCs w:val="0"/>
                <w:sz w:val="16"/>
                <w:szCs w:val="16"/>
              </w:rPr>
              <w:t>33,875,515</w:t>
            </w:r>
          </w:p>
        </w:tc>
        <w:tc>
          <w:tcPr>
            <w:tcW w:w="400" w:type="pct"/>
            <w:shd w:val="clear" w:color="auto" w:fill="CCEEFF"/>
            <w:vAlign w:val="bottom"/>
            <w:hideMark/>
          </w:tcPr>
          <w:p w14:paraId="42416BC3" w14:textId="77777777" w:rsidR="00000000" w:rsidRDefault="0053651E">
            <w:pPr>
              <w:jc w:val="right"/>
              <w:rPr>
                <w:rFonts w:eastAsia="Times New Roman"/>
                <w:sz w:val="16"/>
                <w:szCs w:val="16"/>
              </w:rPr>
            </w:pPr>
            <w:r>
              <w:rPr>
                <w:rStyle w:val="a6"/>
                <w:rFonts w:eastAsia="Times New Roman"/>
                <w:i w:val="0"/>
                <w:iCs w:val="0"/>
                <w:sz w:val="16"/>
                <w:szCs w:val="16"/>
              </w:rPr>
              <w:t>20,274,158</w:t>
            </w:r>
          </w:p>
        </w:tc>
        <w:tc>
          <w:tcPr>
            <w:tcW w:w="50" w:type="pct"/>
            <w:shd w:val="clear" w:color="auto" w:fill="CCEEFF"/>
            <w:vAlign w:val="bottom"/>
            <w:hideMark/>
          </w:tcPr>
          <w:p w14:paraId="62CFF93F"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F99C4D2" w14:textId="77777777" w:rsidR="00000000" w:rsidRDefault="0053651E">
            <w:pPr>
              <w:jc w:val="right"/>
              <w:rPr>
                <w:rFonts w:eastAsia="Times New Roman"/>
                <w:sz w:val="16"/>
                <w:szCs w:val="16"/>
              </w:rPr>
            </w:pPr>
            <w:r>
              <w:rPr>
                <w:rStyle w:val="a6"/>
                <w:rFonts w:eastAsia="Times New Roman"/>
                <w:i w:val="0"/>
                <w:iCs w:val="0"/>
                <w:sz w:val="16"/>
                <w:szCs w:val="16"/>
              </w:rPr>
              <w:t>13,601,357</w:t>
            </w:r>
          </w:p>
        </w:tc>
        <w:tc>
          <w:tcPr>
            <w:tcW w:w="50" w:type="pct"/>
            <w:shd w:val="clear" w:color="auto" w:fill="CCEEFF"/>
            <w:vAlign w:val="bottom"/>
            <w:hideMark/>
          </w:tcPr>
          <w:p w14:paraId="29208B7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6092887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708A9805" w14:textId="77777777" w:rsidR="00000000" w:rsidRDefault="0053651E">
            <w:pPr>
              <w:pStyle w:val="a3"/>
              <w:spacing w:before="0" w:beforeAutospacing="0" w:after="0" w:afterAutospacing="0"/>
              <w:jc w:val="center"/>
              <w:rPr>
                <w:sz w:val="16"/>
                <w:szCs w:val="16"/>
              </w:rPr>
            </w:pPr>
            <w:r>
              <w:rPr>
                <w:rStyle w:val="a6"/>
                <w:i w:val="0"/>
                <w:iCs w:val="0"/>
                <w:sz w:val="16"/>
                <w:szCs w:val="16"/>
              </w:rPr>
              <w:t>2006(A)</w:t>
            </w:r>
          </w:p>
        </w:tc>
      </w:tr>
      <w:tr w:rsidR="00000000" w14:paraId="799F0E62" w14:textId="77777777">
        <w:trPr>
          <w:tblCellSpacing w:w="0" w:type="dxa"/>
        </w:trPr>
        <w:tc>
          <w:tcPr>
            <w:tcW w:w="50" w:type="pct"/>
            <w:shd w:val="clear" w:color="auto" w:fill="FFFFFF"/>
            <w:vAlign w:val="bottom"/>
            <w:hideMark/>
          </w:tcPr>
          <w:p w14:paraId="0D14D1EB"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72C5CBC8" w14:textId="77777777" w:rsidR="00000000" w:rsidRDefault="0053651E">
            <w:pPr>
              <w:pStyle w:val="a3"/>
              <w:spacing w:before="0" w:beforeAutospacing="0" w:after="0" w:afterAutospacing="0"/>
              <w:rPr>
                <w:sz w:val="16"/>
                <w:szCs w:val="16"/>
              </w:rPr>
            </w:pPr>
            <w:r>
              <w:rPr>
                <w:rStyle w:val="a6"/>
                <w:i w:val="0"/>
                <w:iCs w:val="0"/>
                <w:sz w:val="16"/>
                <w:szCs w:val="16"/>
              </w:rPr>
              <w:t>NORTHPORT LAND PARCEL</w:t>
            </w:r>
          </w:p>
        </w:tc>
        <w:tc>
          <w:tcPr>
            <w:tcW w:w="150" w:type="pct"/>
            <w:shd w:val="clear" w:color="auto" w:fill="FFFFFF"/>
            <w:vAlign w:val="bottom"/>
            <w:hideMark/>
          </w:tcPr>
          <w:p w14:paraId="2927A654"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7124A2EE"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50" w:type="pct"/>
            <w:shd w:val="clear" w:color="auto" w:fill="FFFFFF"/>
            <w:vAlign w:val="bottom"/>
            <w:hideMark/>
          </w:tcPr>
          <w:p w14:paraId="258B6A11" w14:textId="77777777" w:rsidR="00000000" w:rsidRDefault="0053651E">
            <w:pPr>
              <w:jc w:val="right"/>
              <w:rPr>
                <w:rFonts w:eastAsia="Times New Roman"/>
                <w:sz w:val="16"/>
                <w:szCs w:val="16"/>
              </w:rPr>
            </w:pPr>
            <w:r>
              <w:rPr>
                <w:rStyle w:val="a6"/>
                <w:rFonts w:eastAsia="Times New Roman"/>
                <w:i w:val="0"/>
                <w:iCs w:val="0"/>
                <w:sz w:val="16"/>
                <w:szCs w:val="16"/>
              </w:rPr>
              <w:t>14,460</w:t>
            </w:r>
          </w:p>
        </w:tc>
        <w:tc>
          <w:tcPr>
            <w:tcW w:w="350" w:type="pct"/>
            <w:shd w:val="clear" w:color="auto" w:fill="FFFFFF"/>
            <w:vAlign w:val="bottom"/>
            <w:hideMark/>
          </w:tcPr>
          <w:p w14:paraId="7070CD56" w14:textId="77777777" w:rsidR="00000000" w:rsidRDefault="0053651E">
            <w:pPr>
              <w:jc w:val="right"/>
              <w:rPr>
                <w:rFonts w:eastAsia="Times New Roman"/>
                <w:sz w:val="16"/>
                <w:szCs w:val="16"/>
              </w:rPr>
            </w:pPr>
            <w:r>
              <w:rPr>
                <w:rStyle w:val="a6"/>
                <w:rFonts w:eastAsia="Times New Roman"/>
                <w:i w:val="0"/>
                <w:iCs w:val="0"/>
                <w:sz w:val="16"/>
                <w:szCs w:val="16"/>
              </w:rPr>
              <w:t>93,975</w:t>
            </w:r>
          </w:p>
        </w:tc>
        <w:tc>
          <w:tcPr>
            <w:tcW w:w="300" w:type="pct"/>
            <w:shd w:val="clear" w:color="auto" w:fill="FFFFFF"/>
            <w:vAlign w:val="bottom"/>
            <w:hideMark/>
          </w:tcPr>
          <w:p w14:paraId="3282612B"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450" w:type="pct"/>
            <w:shd w:val="clear" w:color="auto" w:fill="FFFFFF"/>
            <w:vAlign w:val="bottom"/>
            <w:hideMark/>
          </w:tcPr>
          <w:p w14:paraId="4ED66B16" w14:textId="77777777" w:rsidR="00000000" w:rsidRDefault="0053651E">
            <w:pPr>
              <w:jc w:val="right"/>
              <w:rPr>
                <w:rFonts w:eastAsia="Times New Roman"/>
                <w:sz w:val="16"/>
                <w:szCs w:val="16"/>
              </w:rPr>
            </w:pPr>
            <w:r>
              <w:rPr>
                <w:rStyle w:val="a6"/>
                <w:rFonts w:eastAsia="Times New Roman"/>
                <w:i w:val="0"/>
                <w:iCs w:val="0"/>
                <w:sz w:val="16"/>
                <w:szCs w:val="16"/>
              </w:rPr>
              <w:t>108,435</w:t>
            </w:r>
          </w:p>
        </w:tc>
        <w:tc>
          <w:tcPr>
            <w:tcW w:w="350" w:type="pct"/>
            <w:shd w:val="clear" w:color="auto" w:fill="FFFFFF"/>
            <w:vAlign w:val="bottom"/>
            <w:hideMark/>
          </w:tcPr>
          <w:p w14:paraId="12D71B3D" w14:textId="77777777" w:rsidR="00000000" w:rsidRDefault="0053651E">
            <w:pPr>
              <w:jc w:val="right"/>
              <w:rPr>
                <w:rFonts w:eastAsia="Times New Roman"/>
                <w:sz w:val="16"/>
                <w:szCs w:val="16"/>
              </w:rPr>
            </w:pPr>
            <w:r>
              <w:rPr>
                <w:rStyle w:val="a6"/>
                <w:rFonts w:eastAsia="Times New Roman"/>
                <w:i w:val="0"/>
                <w:iCs w:val="0"/>
                <w:sz w:val="16"/>
                <w:szCs w:val="16"/>
              </w:rPr>
              <w:t>108,435</w:t>
            </w:r>
          </w:p>
        </w:tc>
        <w:tc>
          <w:tcPr>
            <w:tcW w:w="400" w:type="pct"/>
            <w:shd w:val="clear" w:color="auto" w:fill="FFFFFF"/>
            <w:vAlign w:val="bottom"/>
            <w:hideMark/>
          </w:tcPr>
          <w:p w14:paraId="613CAA61" w14:textId="77777777" w:rsidR="00000000" w:rsidRDefault="0053651E">
            <w:pPr>
              <w:jc w:val="right"/>
              <w:rPr>
                <w:rFonts w:eastAsia="Times New Roman"/>
                <w:sz w:val="16"/>
                <w:szCs w:val="16"/>
              </w:rPr>
            </w:pPr>
            <w:r>
              <w:rPr>
                <w:rStyle w:val="a6"/>
                <w:rFonts w:eastAsia="Times New Roman"/>
                <w:i w:val="0"/>
                <w:iCs w:val="0"/>
                <w:sz w:val="16"/>
                <w:szCs w:val="16"/>
              </w:rPr>
              <w:t>3,215</w:t>
            </w:r>
          </w:p>
        </w:tc>
        <w:tc>
          <w:tcPr>
            <w:tcW w:w="50" w:type="pct"/>
            <w:shd w:val="clear" w:color="auto" w:fill="FFFFFF"/>
            <w:vAlign w:val="bottom"/>
            <w:hideMark/>
          </w:tcPr>
          <w:p w14:paraId="6F61466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01D76864" w14:textId="77777777" w:rsidR="00000000" w:rsidRDefault="0053651E">
            <w:pPr>
              <w:jc w:val="right"/>
              <w:rPr>
                <w:rFonts w:eastAsia="Times New Roman"/>
                <w:sz w:val="16"/>
                <w:szCs w:val="16"/>
              </w:rPr>
            </w:pPr>
            <w:r>
              <w:rPr>
                <w:rStyle w:val="a6"/>
                <w:rFonts w:eastAsia="Times New Roman"/>
                <w:i w:val="0"/>
                <w:iCs w:val="0"/>
                <w:sz w:val="16"/>
                <w:szCs w:val="16"/>
              </w:rPr>
              <w:t>105,220</w:t>
            </w:r>
          </w:p>
        </w:tc>
        <w:tc>
          <w:tcPr>
            <w:tcW w:w="50" w:type="pct"/>
            <w:shd w:val="clear" w:color="auto" w:fill="FFFFFF"/>
            <w:vAlign w:val="bottom"/>
            <w:hideMark/>
          </w:tcPr>
          <w:p w14:paraId="3FCC7EFF"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2330DF19"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24EB8020"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168C538E" w14:textId="77777777">
        <w:trPr>
          <w:tblCellSpacing w:w="0" w:type="dxa"/>
        </w:trPr>
        <w:tc>
          <w:tcPr>
            <w:tcW w:w="50" w:type="pct"/>
            <w:shd w:val="clear" w:color="auto" w:fill="CCEEFF"/>
            <w:vAlign w:val="bottom"/>
            <w:hideMark/>
          </w:tcPr>
          <w:p w14:paraId="65F7BFBC"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6C836C21" w14:textId="77777777" w:rsidR="00000000" w:rsidRDefault="0053651E">
            <w:pPr>
              <w:pStyle w:val="a3"/>
              <w:spacing w:before="0" w:beforeAutospacing="0" w:after="0" w:afterAutospacing="0"/>
              <w:rPr>
                <w:sz w:val="16"/>
                <w:szCs w:val="16"/>
              </w:rPr>
            </w:pPr>
            <w:r>
              <w:rPr>
                <w:rStyle w:val="a6"/>
                <w:i w:val="0"/>
                <w:iCs w:val="0"/>
                <w:sz w:val="16"/>
                <w:szCs w:val="16"/>
              </w:rPr>
              <w:t>MERRY LANE (PARKING LOT)</w:t>
            </w:r>
          </w:p>
        </w:tc>
        <w:tc>
          <w:tcPr>
            <w:tcW w:w="150" w:type="pct"/>
            <w:shd w:val="clear" w:color="auto" w:fill="CCEEFF"/>
            <w:vAlign w:val="bottom"/>
            <w:hideMark/>
          </w:tcPr>
          <w:p w14:paraId="08D83038"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68BE7C21" w14:textId="77777777" w:rsidR="00000000" w:rsidRDefault="0053651E">
            <w:pPr>
              <w:jc w:val="right"/>
              <w:rPr>
                <w:rFonts w:eastAsia="Times New Roman"/>
                <w:sz w:val="16"/>
                <w:szCs w:val="16"/>
              </w:rPr>
            </w:pPr>
            <w:r>
              <w:rPr>
                <w:rStyle w:val="a6"/>
                <w:rFonts w:eastAsia="Times New Roman"/>
                <w:i w:val="0"/>
                <w:iCs w:val="0"/>
                <w:sz w:val="16"/>
                <w:szCs w:val="16"/>
              </w:rPr>
              <w:t>1,485,531</w:t>
            </w:r>
          </w:p>
        </w:tc>
        <w:tc>
          <w:tcPr>
            <w:tcW w:w="550" w:type="pct"/>
            <w:shd w:val="clear" w:color="auto" w:fill="CCEEFF"/>
            <w:vAlign w:val="bottom"/>
            <w:hideMark/>
          </w:tcPr>
          <w:p w14:paraId="6EACE922" w14:textId="77777777" w:rsidR="00000000" w:rsidRDefault="0053651E">
            <w:pPr>
              <w:jc w:val="right"/>
              <w:rPr>
                <w:rFonts w:eastAsia="Times New Roman"/>
                <w:sz w:val="16"/>
                <w:szCs w:val="16"/>
              </w:rPr>
            </w:pPr>
            <w:r>
              <w:rPr>
                <w:rStyle w:val="a6"/>
                <w:rFonts w:eastAsia="Times New Roman"/>
                <w:i w:val="0"/>
                <w:iCs w:val="0"/>
                <w:sz w:val="16"/>
                <w:szCs w:val="16"/>
              </w:rPr>
              <w:t>1,749</w:t>
            </w:r>
          </w:p>
        </w:tc>
        <w:tc>
          <w:tcPr>
            <w:tcW w:w="350" w:type="pct"/>
            <w:shd w:val="clear" w:color="auto" w:fill="CCEEFF"/>
            <w:vAlign w:val="bottom"/>
            <w:hideMark/>
          </w:tcPr>
          <w:p w14:paraId="7A78B3CF" w14:textId="77777777" w:rsidR="00000000" w:rsidRDefault="0053651E">
            <w:pPr>
              <w:jc w:val="right"/>
              <w:rPr>
                <w:rFonts w:eastAsia="Times New Roman"/>
                <w:sz w:val="16"/>
                <w:szCs w:val="16"/>
              </w:rPr>
            </w:pPr>
            <w:r>
              <w:rPr>
                <w:rStyle w:val="a6"/>
                <w:rFonts w:eastAsia="Times New Roman"/>
                <w:i w:val="0"/>
                <w:iCs w:val="0"/>
                <w:sz w:val="16"/>
                <w:szCs w:val="16"/>
              </w:rPr>
              <w:t>876,876</w:t>
            </w:r>
          </w:p>
        </w:tc>
        <w:tc>
          <w:tcPr>
            <w:tcW w:w="300" w:type="pct"/>
            <w:shd w:val="clear" w:color="auto" w:fill="CCEEFF"/>
            <w:vAlign w:val="bottom"/>
            <w:hideMark/>
          </w:tcPr>
          <w:p w14:paraId="03971326" w14:textId="77777777" w:rsidR="00000000" w:rsidRDefault="0053651E">
            <w:pPr>
              <w:jc w:val="right"/>
              <w:rPr>
                <w:rFonts w:eastAsia="Times New Roman"/>
                <w:sz w:val="16"/>
                <w:szCs w:val="16"/>
              </w:rPr>
            </w:pPr>
            <w:r>
              <w:rPr>
                <w:rStyle w:val="a6"/>
                <w:rFonts w:eastAsia="Times New Roman"/>
                <w:i w:val="0"/>
                <w:iCs w:val="0"/>
                <w:sz w:val="16"/>
                <w:szCs w:val="16"/>
              </w:rPr>
              <w:t>1,485,531</w:t>
            </w:r>
          </w:p>
        </w:tc>
        <w:tc>
          <w:tcPr>
            <w:tcW w:w="450" w:type="pct"/>
            <w:shd w:val="clear" w:color="auto" w:fill="CCEEFF"/>
            <w:vAlign w:val="bottom"/>
            <w:hideMark/>
          </w:tcPr>
          <w:p w14:paraId="55C65186" w14:textId="77777777" w:rsidR="00000000" w:rsidRDefault="0053651E">
            <w:pPr>
              <w:jc w:val="right"/>
              <w:rPr>
                <w:rFonts w:eastAsia="Times New Roman"/>
                <w:sz w:val="16"/>
                <w:szCs w:val="16"/>
              </w:rPr>
            </w:pPr>
            <w:r>
              <w:rPr>
                <w:rStyle w:val="a6"/>
                <w:rFonts w:eastAsia="Times New Roman"/>
                <w:i w:val="0"/>
                <w:iCs w:val="0"/>
                <w:sz w:val="16"/>
                <w:szCs w:val="16"/>
              </w:rPr>
              <w:t>878,625</w:t>
            </w:r>
          </w:p>
        </w:tc>
        <w:tc>
          <w:tcPr>
            <w:tcW w:w="350" w:type="pct"/>
            <w:shd w:val="clear" w:color="auto" w:fill="CCEEFF"/>
            <w:vAlign w:val="bottom"/>
            <w:hideMark/>
          </w:tcPr>
          <w:p w14:paraId="34326EC7" w14:textId="77777777" w:rsidR="00000000" w:rsidRDefault="0053651E">
            <w:pPr>
              <w:jc w:val="right"/>
              <w:rPr>
                <w:rFonts w:eastAsia="Times New Roman"/>
                <w:sz w:val="16"/>
                <w:szCs w:val="16"/>
              </w:rPr>
            </w:pPr>
            <w:r>
              <w:rPr>
                <w:rStyle w:val="a6"/>
                <w:rFonts w:eastAsia="Times New Roman"/>
                <w:i w:val="0"/>
                <w:iCs w:val="0"/>
                <w:sz w:val="16"/>
                <w:szCs w:val="16"/>
              </w:rPr>
              <w:t>2,364,156</w:t>
            </w:r>
          </w:p>
        </w:tc>
        <w:tc>
          <w:tcPr>
            <w:tcW w:w="400" w:type="pct"/>
            <w:shd w:val="clear" w:color="auto" w:fill="CCEEFF"/>
            <w:vAlign w:val="bottom"/>
            <w:hideMark/>
          </w:tcPr>
          <w:p w14:paraId="0DD08DC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4DAE73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2CE4714F" w14:textId="77777777" w:rsidR="00000000" w:rsidRDefault="0053651E">
            <w:pPr>
              <w:jc w:val="right"/>
              <w:rPr>
                <w:rFonts w:eastAsia="Times New Roman"/>
                <w:sz w:val="16"/>
                <w:szCs w:val="16"/>
              </w:rPr>
            </w:pPr>
            <w:r>
              <w:rPr>
                <w:rStyle w:val="a6"/>
                <w:rFonts w:eastAsia="Times New Roman"/>
                <w:i w:val="0"/>
                <w:iCs w:val="0"/>
                <w:sz w:val="16"/>
                <w:szCs w:val="16"/>
              </w:rPr>
              <w:t>2,364,156</w:t>
            </w:r>
          </w:p>
        </w:tc>
        <w:tc>
          <w:tcPr>
            <w:tcW w:w="50" w:type="pct"/>
            <w:shd w:val="clear" w:color="auto" w:fill="CCEEFF"/>
            <w:vAlign w:val="bottom"/>
            <w:hideMark/>
          </w:tcPr>
          <w:p w14:paraId="52DBBF1C"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33F8617"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4707EFEE"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4727450E" w14:textId="77777777">
        <w:trPr>
          <w:tblCellSpacing w:w="0" w:type="dxa"/>
        </w:trPr>
        <w:tc>
          <w:tcPr>
            <w:tcW w:w="50" w:type="pct"/>
            <w:shd w:val="clear" w:color="auto" w:fill="FFFFFF"/>
            <w:vAlign w:val="bottom"/>
            <w:hideMark/>
          </w:tcPr>
          <w:p w14:paraId="206E3D1D"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402B42CC" w14:textId="77777777" w:rsidR="00000000" w:rsidRDefault="0053651E">
            <w:pPr>
              <w:pStyle w:val="a3"/>
              <w:spacing w:before="0" w:beforeAutospacing="0" w:after="0" w:afterAutospacing="0"/>
              <w:rPr>
                <w:sz w:val="16"/>
                <w:szCs w:val="16"/>
              </w:rPr>
            </w:pPr>
            <w:r>
              <w:rPr>
                <w:rStyle w:val="a6"/>
                <w:i w:val="0"/>
                <w:iCs w:val="0"/>
                <w:sz w:val="16"/>
                <w:szCs w:val="16"/>
              </w:rPr>
              <w:t>JERICHO ATRIUM</w:t>
            </w:r>
          </w:p>
        </w:tc>
        <w:tc>
          <w:tcPr>
            <w:tcW w:w="150" w:type="pct"/>
            <w:shd w:val="clear" w:color="auto" w:fill="FFFFFF"/>
            <w:vAlign w:val="bottom"/>
            <w:hideMark/>
          </w:tcPr>
          <w:p w14:paraId="56AE6DF7"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FFFFFF"/>
            <w:vAlign w:val="bottom"/>
            <w:hideMark/>
          </w:tcPr>
          <w:p w14:paraId="7CBD7F1C" w14:textId="77777777" w:rsidR="00000000" w:rsidRDefault="0053651E">
            <w:pPr>
              <w:jc w:val="right"/>
              <w:rPr>
                <w:rFonts w:eastAsia="Times New Roman"/>
                <w:sz w:val="16"/>
                <w:szCs w:val="16"/>
              </w:rPr>
            </w:pPr>
            <w:r>
              <w:rPr>
                <w:rStyle w:val="a6"/>
                <w:rFonts w:eastAsia="Times New Roman"/>
                <w:i w:val="0"/>
                <w:iCs w:val="0"/>
                <w:sz w:val="16"/>
                <w:szCs w:val="16"/>
              </w:rPr>
              <w:t>10,624,099</w:t>
            </w:r>
          </w:p>
        </w:tc>
        <w:tc>
          <w:tcPr>
            <w:tcW w:w="550" w:type="pct"/>
            <w:shd w:val="clear" w:color="auto" w:fill="FFFFFF"/>
            <w:vAlign w:val="bottom"/>
            <w:hideMark/>
          </w:tcPr>
          <w:p w14:paraId="0CC241F9" w14:textId="77777777" w:rsidR="00000000" w:rsidRDefault="0053651E">
            <w:pPr>
              <w:jc w:val="right"/>
              <w:rPr>
                <w:rFonts w:eastAsia="Times New Roman"/>
                <w:sz w:val="16"/>
                <w:szCs w:val="16"/>
              </w:rPr>
            </w:pPr>
            <w:r>
              <w:rPr>
                <w:rStyle w:val="a6"/>
                <w:rFonts w:eastAsia="Times New Roman"/>
                <w:i w:val="0"/>
                <w:iCs w:val="0"/>
                <w:sz w:val="16"/>
                <w:szCs w:val="16"/>
              </w:rPr>
              <w:t>20,065,496</w:t>
            </w:r>
          </w:p>
        </w:tc>
        <w:tc>
          <w:tcPr>
            <w:tcW w:w="350" w:type="pct"/>
            <w:shd w:val="clear" w:color="auto" w:fill="FFFFFF"/>
            <w:vAlign w:val="bottom"/>
            <w:hideMark/>
          </w:tcPr>
          <w:p w14:paraId="1369970C" w14:textId="77777777" w:rsidR="00000000" w:rsidRDefault="0053651E">
            <w:pPr>
              <w:jc w:val="right"/>
              <w:rPr>
                <w:rFonts w:eastAsia="Times New Roman"/>
                <w:sz w:val="16"/>
                <w:szCs w:val="16"/>
              </w:rPr>
            </w:pPr>
            <w:r>
              <w:rPr>
                <w:rStyle w:val="a6"/>
                <w:rFonts w:eastAsia="Times New Roman"/>
                <w:i w:val="0"/>
                <w:iCs w:val="0"/>
                <w:sz w:val="16"/>
                <w:szCs w:val="16"/>
              </w:rPr>
              <w:t>3,449,673</w:t>
            </w:r>
          </w:p>
        </w:tc>
        <w:tc>
          <w:tcPr>
            <w:tcW w:w="300" w:type="pct"/>
            <w:shd w:val="clear" w:color="auto" w:fill="FFFFFF"/>
            <w:vAlign w:val="bottom"/>
            <w:hideMark/>
          </w:tcPr>
          <w:p w14:paraId="54D45391" w14:textId="77777777" w:rsidR="00000000" w:rsidRDefault="0053651E">
            <w:pPr>
              <w:jc w:val="right"/>
              <w:rPr>
                <w:rFonts w:eastAsia="Times New Roman"/>
                <w:sz w:val="16"/>
                <w:szCs w:val="16"/>
              </w:rPr>
            </w:pPr>
            <w:r>
              <w:rPr>
                <w:rStyle w:val="a6"/>
                <w:rFonts w:eastAsia="Times New Roman"/>
                <w:i w:val="0"/>
                <w:iCs w:val="0"/>
                <w:sz w:val="16"/>
                <w:szCs w:val="16"/>
              </w:rPr>
              <w:t>10,624,099</w:t>
            </w:r>
          </w:p>
        </w:tc>
        <w:tc>
          <w:tcPr>
            <w:tcW w:w="450" w:type="pct"/>
            <w:shd w:val="clear" w:color="auto" w:fill="FFFFFF"/>
            <w:vAlign w:val="bottom"/>
            <w:hideMark/>
          </w:tcPr>
          <w:p w14:paraId="7096C1F5" w14:textId="77777777" w:rsidR="00000000" w:rsidRDefault="0053651E">
            <w:pPr>
              <w:jc w:val="right"/>
              <w:rPr>
                <w:rFonts w:eastAsia="Times New Roman"/>
                <w:sz w:val="16"/>
                <w:szCs w:val="16"/>
              </w:rPr>
            </w:pPr>
            <w:r>
              <w:rPr>
                <w:rStyle w:val="a6"/>
                <w:rFonts w:eastAsia="Times New Roman"/>
                <w:i w:val="0"/>
                <w:iCs w:val="0"/>
                <w:sz w:val="16"/>
                <w:szCs w:val="16"/>
              </w:rPr>
              <w:t>23,515,169</w:t>
            </w:r>
          </w:p>
        </w:tc>
        <w:tc>
          <w:tcPr>
            <w:tcW w:w="350" w:type="pct"/>
            <w:shd w:val="clear" w:color="auto" w:fill="FFFFFF"/>
            <w:vAlign w:val="bottom"/>
            <w:hideMark/>
          </w:tcPr>
          <w:p w14:paraId="629BBD80" w14:textId="77777777" w:rsidR="00000000" w:rsidRDefault="0053651E">
            <w:pPr>
              <w:jc w:val="right"/>
              <w:rPr>
                <w:rFonts w:eastAsia="Times New Roman"/>
                <w:sz w:val="16"/>
                <w:szCs w:val="16"/>
              </w:rPr>
            </w:pPr>
            <w:r>
              <w:rPr>
                <w:rStyle w:val="a6"/>
                <w:rFonts w:eastAsia="Times New Roman"/>
                <w:i w:val="0"/>
                <w:iCs w:val="0"/>
                <w:sz w:val="16"/>
                <w:szCs w:val="16"/>
              </w:rPr>
              <w:t>34,139,268</w:t>
            </w:r>
          </w:p>
        </w:tc>
        <w:tc>
          <w:tcPr>
            <w:tcW w:w="400" w:type="pct"/>
            <w:shd w:val="clear" w:color="auto" w:fill="FFFFFF"/>
            <w:vAlign w:val="bottom"/>
            <w:hideMark/>
          </w:tcPr>
          <w:p w14:paraId="0BC1CE1D" w14:textId="77777777" w:rsidR="00000000" w:rsidRDefault="0053651E">
            <w:pPr>
              <w:jc w:val="right"/>
              <w:rPr>
                <w:rFonts w:eastAsia="Times New Roman"/>
                <w:sz w:val="16"/>
                <w:szCs w:val="16"/>
              </w:rPr>
            </w:pPr>
            <w:r>
              <w:rPr>
                <w:rStyle w:val="a6"/>
                <w:rFonts w:eastAsia="Times New Roman"/>
                <w:i w:val="0"/>
                <w:iCs w:val="0"/>
                <w:sz w:val="16"/>
                <w:szCs w:val="16"/>
              </w:rPr>
              <w:t>4,475,829</w:t>
            </w:r>
          </w:p>
        </w:tc>
        <w:tc>
          <w:tcPr>
            <w:tcW w:w="50" w:type="pct"/>
            <w:shd w:val="clear" w:color="auto" w:fill="FFFFFF"/>
            <w:vAlign w:val="bottom"/>
            <w:hideMark/>
          </w:tcPr>
          <w:p w14:paraId="250CF69E"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7D5DDB32" w14:textId="77777777" w:rsidR="00000000" w:rsidRDefault="0053651E">
            <w:pPr>
              <w:jc w:val="right"/>
              <w:rPr>
                <w:rFonts w:eastAsia="Times New Roman"/>
                <w:sz w:val="16"/>
                <w:szCs w:val="16"/>
              </w:rPr>
            </w:pPr>
            <w:r>
              <w:rPr>
                <w:rStyle w:val="a6"/>
                <w:rFonts w:eastAsia="Times New Roman"/>
                <w:i w:val="0"/>
                <w:iCs w:val="0"/>
                <w:sz w:val="16"/>
                <w:szCs w:val="16"/>
              </w:rPr>
              <w:t>29,663,439</w:t>
            </w:r>
          </w:p>
        </w:tc>
        <w:tc>
          <w:tcPr>
            <w:tcW w:w="50" w:type="pct"/>
            <w:shd w:val="clear" w:color="auto" w:fill="FFFFFF"/>
            <w:vAlign w:val="bottom"/>
            <w:hideMark/>
          </w:tcPr>
          <w:p w14:paraId="14AEF82A"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1773256C"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376F629F" w14:textId="77777777" w:rsidR="00000000" w:rsidRDefault="0053651E">
            <w:pPr>
              <w:pStyle w:val="a3"/>
              <w:spacing w:before="0" w:beforeAutospacing="0" w:after="0" w:afterAutospacing="0"/>
              <w:jc w:val="center"/>
              <w:rPr>
                <w:sz w:val="16"/>
                <w:szCs w:val="16"/>
              </w:rPr>
            </w:pPr>
            <w:r>
              <w:rPr>
                <w:rStyle w:val="a6"/>
                <w:i w:val="0"/>
                <w:iCs w:val="0"/>
                <w:sz w:val="16"/>
                <w:szCs w:val="16"/>
              </w:rPr>
              <w:t>2016(A)</w:t>
            </w:r>
          </w:p>
        </w:tc>
      </w:tr>
      <w:tr w:rsidR="00000000" w14:paraId="47727637" w14:textId="77777777">
        <w:trPr>
          <w:tblCellSpacing w:w="0" w:type="dxa"/>
        </w:trPr>
        <w:tc>
          <w:tcPr>
            <w:tcW w:w="50" w:type="pct"/>
            <w:shd w:val="clear" w:color="auto" w:fill="CCEEFF"/>
            <w:vAlign w:val="bottom"/>
            <w:hideMark/>
          </w:tcPr>
          <w:p w14:paraId="4890F50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7C146681" w14:textId="77777777" w:rsidR="00000000" w:rsidRDefault="0053651E">
            <w:pPr>
              <w:pStyle w:val="a3"/>
              <w:spacing w:before="0" w:beforeAutospacing="0" w:after="0" w:afterAutospacing="0"/>
              <w:rPr>
                <w:sz w:val="16"/>
                <w:szCs w:val="16"/>
              </w:rPr>
            </w:pPr>
            <w:r>
              <w:rPr>
                <w:rStyle w:val="a6"/>
                <w:i w:val="0"/>
                <w:iCs w:val="0"/>
                <w:sz w:val="16"/>
                <w:szCs w:val="16"/>
              </w:rPr>
              <w:t>BIRCHWOOD PARK</w:t>
            </w:r>
          </w:p>
        </w:tc>
        <w:tc>
          <w:tcPr>
            <w:tcW w:w="150" w:type="pct"/>
            <w:shd w:val="clear" w:color="auto" w:fill="CCEEFF"/>
            <w:vAlign w:val="bottom"/>
            <w:hideMark/>
          </w:tcPr>
          <w:p w14:paraId="35AD4AB7" w14:textId="77777777" w:rsidR="00000000" w:rsidRDefault="0053651E">
            <w:pPr>
              <w:pStyle w:val="a3"/>
              <w:spacing w:before="0" w:beforeAutospacing="0" w:after="0" w:afterAutospacing="0"/>
              <w:rPr>
                <w:sz w:val="16"/>
                <w:szCs w:val="16"/>
              </w:rPr>
            </w:pPr>
            <w:r>
              <w:rPr>
                <w:rStyle w:val="a6"/>
                <w:i w:val="0"/>
                <w:iCs w:val="0"/>
                <w:sz w:val="16"/>
                <w:szCs w:val="16"/>
              </w:rPr>
              <w:t>NY</w:t>
            </w:r>
          </w:p>
        </w:tc>
        <w:tc>
          <w:tcPr>
            <w:tcW w:w="300" w:type="pct"/>
            <w:shd w:val="clear" w:color="auto" w:fill="CCEEFF"/>
            <w:vAlign w:val="bottom"/>
            <w:hideMark/>
          </w:tcPr>
          <w:p w14:paraId="54181F07" w14:textId="77777777" w:rsidR="00000000" w:rsidRDefault="0053651E">
            <w:pPr>
              <w:jc w:val="right"/>
              <w:rPr>
                <w:rFonts w:eastAsia="Times New Roman"/>
                <w:sz w:val="16"/>
                <w:szCs w:val="16"/>
              </w:rPr>
            </w:pPr>
            <w:r>
              <w:rPr>
                <w:rStyle w:val="a6"/>
                <w:rFonts w:eastAsia="Times New Roman"/>
                <w:i w:val="0"/>
                <w:iCs w:val="0"/>
                <w:sz w:val="16"/>
                <w:szCs w:val="16"/>
              </w:rPr>
              <w:t>3,507,162</w:t>
            </w:r>
          </w:p>
        </w:tc>
        <w:tc>
          <w:tcPr>
            <w:tcW w:w="550" w:type="pct"/>
            <w:shd w:val="clear" w:color="auto" w:fill="CCEEFF"/>
            <w:vAlign w:val="bottom"/>
            <w:hideMark/>
          </w:tcPr>
          <w:p w14:paraId="3C6B337F" w14:textId="77777777" w:rsidR="00000000" w:rsidRDefault="0053651E">
            <w:pPr>
              <w:jc w:val="right"/>
              <w:rPr>
                <w:rFonts w:eastAsia="Times New Roman"/>
                <w:sz w:val="16"/>
                <w:szCs w:val="16"/>
              </w:rPr>
            </w:pPr>
            <w:r>
              <w:rPr>
                <w:rStyle w:val="a6"/>
                <w:rFonts w:eastAsia="Times New Roman"/>
                <w:i w:val="0"/>
                <w:iCs w:val="0"/>
                <w:sz w:val="16"/>
                <w:szCs w:val="16"/>
              </w:rPr>
              <w:t>4,126</w:t>
            </w:r>
          </w:p>
        </w:tc>
        <w:tc>
          <w:tcPr>
            <w:tcW w:w="350" w:type="pct"/>
            <w:shd w:val="clear" w:color="auto" w:fill="CCEEFF"/>
            <w:vAlign w:val="bottom"/>
            <w:hideMark/>
          </w:tcPr>
          <w:p w14:paraId="77A374D0" w14:textId="77777777" w:rsidR="00000000" w:rsidRDefault="0053651E">
            <w:pPr>
              <w:jc w:val="right"/>
              <w:rPr>
                <w:rFonts w:eastAsia="Times New Roman"/>
                <w:sz w:val="16"/>
                <w:szCs w:val="16"/>
              </w:rPr>
            </w:pPr>
            <w:r>
              <w:rPr>
                <w:rStyle w:val="a6"/>
                <w:rFonts w:eastAsia="Times New Roman"/>
                <w:i w:val="0"/>
                <w:iCs w:val="0"/>
                <w:sz w:val="16"/>
                <w:szCs w:val="16"/>
              </w:rPr>
              <w:t>(1,511,288)</w:t>
            </w:r>
          </w:p>
        </w:tc>
        <w:tc>
          <w:tcPr>
            <w:tcW w:w="300" w:type="pct"/>
            <w:shd w:val="clear" w:color="auto" w:fill="CCEEFF"/>
            <w:vAlign w:val="bottom"/>
            <w:hideMark/>
          </w:tcPr>
          <w:p w14:paraId="54C53C0F" w14:textId="77777777" w:rsidR="00000000" w:rsidRDefault="0053651E">
            <w:pPr>
              <w:jc w:val="right"/>
              <w:rPr>
                <w:rFonts w:eastAsia="Times New Roman"/>
                <w:sz w:val="16"/>
                <w:szCs w:val="16"/>
              </w:rPr>
            </w:pPr>
            <w:r>
              <w:rPr>
                <w:rStyle w:val="a6"/>
                <w:rFonts w:eastAsia="Times New Roman"/>
                <w:i w:val="0"/>
                <w:iCs w:val="0"/>
                <w:sz w:val="16"/>
                <w:szCs w:val="16"/>
              </w:rPr>
              <w:t>2,000,000</w:t>
            </w:r>
          </w:p>
        </w:tc>
        <w:tc>
          <w:tcPr>
            <w:tcW w:w="450" w:type="pct"/>
            <w:shd w:val="clear" w:color="auto" w:fill="CCEEFF"/>
            <w:vAlign w:val="bottom"/>
            <w:hideMark/>
          </w:tcPr>
          <w:p w14:paraId="2D9DE5E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1D891886" w14:textId="77777777" w:rsidR="00000000" w:rsidRDefault="0053651E">
            <w:pPr>
              <w:jc w:val="right"/>
              <w:rPr>
                <w:rFonts w:eastAsia="Times New Roman"/>
                <w:sz w:val="16"/>
                <w:szCs w:val="16"/>
              </w:rPr>
            </w:pPr>
            <w:r>
              <w:rPr>
                <w:rStyle w:val="a6"/>
                <w:rFonts w:eastAsia="Times New Roman"/>
                <w:i w:val="0"/>
                <w:iCs w:val="0"/>
                <w:sz w:val="16"/>
                <w:szCs w:val="16"/>
              </w:rPr>
              <w:t>2,000,000</w:t>
            </w:r>
          </w:p>
        </w:tc>
        <w:tc>
          <w:tcPr>
            <w:tcW w:w="400" w:type="pct"/>
            <w:shd w:val="clear" w:color="auto" w:fill="CCEEFF"/>
            <w:vAlign w:val="bottom"/>
            <w:hideMark/>
          </w:tcPr>
          <w:p w14:paraId="2F7E851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23C507A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8C40110" w14:textId="77777777" w:rsidR="00000000" w:rsidRDefault="0053651E">
            <w:pPr>
              <w:jc w:val="right"/>
              <w:rPr>
                <w:rFonts w:eastAsia="Times New Roman"/>
                <w:sz w:val="16"/>
                <w:szCs w:val="16"/>
              </w:rPr>
            </w:pPr>
            <w:r>
              <w:rPr>
                <w:rStyle w:val="a6"/>
                <w:rFonts w:eastAsia="Times New Roman"/>
                <w:i w:val="0"/>
                <w:iCs w:val="0"/>
                <w:sz w:val="16"/>
                <w:szCs w:val="16"/>
              </w:rPr>
              <w:t>2,000,000</w:t>
            </w:r>
          </w:p>
        </w:tc>
        <w:tc>
          <w:tcPr>
            <w:tcW w:w="50" w:type="pct"/>
            <w:shd w:val="clear" w:color="auto" w:fill="CCEEFF"/>
            <w:vAlign w:val="bottom"/>
            <w:hideMark/>
          </w:tcPr>
          <w:p w14:paraId="7269A9C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AA28DB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292339F0" w14:textId="77777777" w:rsidR="00000000" w:rsidRDefault="0053651E">
            <w:pPr>
              <w:pStyle w:val="a3"/>
              <w:spacing w:before="0" w:beforeAutospacing="0" w:after="0" w:afterAutospacing="0"/>
              <w:jc w:val="center"/>
              <w:rPr>
                <w:sz w:val="16"/>
                <w:szCs w:val="16"/>
              </w:rPr>
            </w:pPr>
            <w:r>
              <w:rPr>
                <w:rStyle w:val="a6"/>
                <w:i w:val="0"/>
                <w:iCs w:val="0"/>
                <w:sz w:val="16"/>
                <w:szCs w:val="16"/>
              </w:rPr>
              <w:t>2007(A)</w:t>
            </w:r>
          </w:p>
        </w:tc>
      </w:tr>
      <w:tr w:rsidR="00000000" w14:paraId="77DE9DA1" w14:textId="77777777">
        <w:trPr>
          <w:tblCellSpacing w:w="0" w:type="dxa"/>
        </w:trPr>
        <w:tc>
          <w:tcPr>
            <w:tcW w:w="50" w:type="pct"/>
            <w:shd w:val="clear" w:color="auto" w:fill="FFFFFF"/>
            <w:vAlign w:val="bottom"/>
            <w:hideMark/>
          </w:tcPr>
          <w:p w14:paraId="0D2E0782"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39E2AC71" w14:textId="77777777" w:rsidR="00000000" w:rsidRDefault="0053651E">
            <w:pPr>
              <w:pStyle w:val="a3"/>
              <w:spacing w:before="0" w:beforeAutospacing="0" w:after="0" w:afterAutospacing="0"/>
              <w:rPr>
                <w:sz w:val="16"/>
                <w:szCs w:val="16"/>
              </w:rPr>
            </w:pPr>
            <w:r>
              <w:rPr>
                <w:rStyle w:val="a6"/>
                <w:i w:val="0"/>
                <w:iCs w:val="0"/>
                <w:sz w:val="16"/>
                <w:szCs w:val="16"/>
              </w:rPr>
              <w:t>HIGH PARK CTR RETAIL</w:t>
            </w:r>
          </w:p>
        </w:tc>
        <w:tc>
          <w:tcPr>
            <w:tcW w:w="150" w:type="pct"/>
            <w:shd w:val="clear" w:color="auto" w:fill="FFFFFF"/>
            <w:vAlign w:val="bottom"/>
            <w:hideMark/>
          </w:tcPr>
          <w:p w14:paraId="47FE36F4" w14:textId="77777777" w:rsidR="00000000" w:rsidRDefault="0053651E">
            <w:pPr>
              <w:pStyle w:val="a3"/>
              <w:spacing w:before="0" w:beforeAutospacing="0" w:after="0" w:afterAutospacing="0"/>
              <w:rPr>
                <w:sz w:val="16"/>
                <w:szCs w:val="16"/>
              </w:rPr>
            </w:pPr>
            <w:r>
              <w:rPr>
                <w:rStyle w:val="a6"/>
                <w:i w:val="0"/>
                <w:iCs w:val="0"/>
                <w:sz w:val="16"/>
                <w:szCs w:val="16"/>
              </w:rPr>
              <w:t>OH</w:t>
            </w:r>
          </w:p>
        </w:tc>
        <w:tc>
          <w:tcPr>
            <w:tcW w:w="300" w:type="pct"/>
            <w:shd w:val="clear" w:color="auto" w:fill="FFFFFF"/>
            <w:vAlign w:val="bottom"/>
            <w:hideMark/>
          </w:tcPr>
          <w:p w14:paraId="7E8F088D" w14:textId="77777777" w:rsidR="00000000" w:rsidRDefault="0053651E">
            <w:pPr>
              <w:jc w:val="right"/>
              <w:rPr>
                <w:rFonts w:eastAsia="Times New Roman"/>
                <w:sz w:val="16"/>
                <w:szCs w:val="16"/>
              </w:rPr>
            </w:pPr>
            <w:r>
              <w:rPr>
                <w:rStyle w:val="a6"/>
                <w:rFonts w:eastAsia="Times New Roman"/>
                <w:i w:val="0"/>
                <w:iCs w:val="0"/>
                <w:sz w:val="16"/>
                <w:szCs w:val="16"/>
              </w:rPr>
              <w:t>3,783,875</w:t>
            </w:r>
          </w:p>
        </w:tc>
        <w:tc>
          <w:tcPr>
            <w:tcW w:w="550" w:type="pct"/>
            <w:shd w:val="clear" w:color="auto" w:fill="FFFFFF"/>
            <w:vAlign w:val="bottom"/>
            <w:hideMark/>
          </w:tcPr>
          <w:p w14:paraId="5048083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76706E69" w14:textId="77777777" w:rsidR="00000000" w:rsidRDefault="0053651E">
            <w:pPr>
              <w:jc w:val="right"/>
              <w:rPr>
                <w:rFonts w:eastAsia="Times New Roman"/>
                <w:sz w:val="16"/>
                <w:szCs w:val="16"/>
              </w:rPr>
            </w:pPr>
            <w:r>
              <w:rPr>
                <w:rStyle w:val="a6"/>
                <w:rFonts w:eastAsia="Times New Roman"/>
                <w:i w:val="0"/>
                <w:iCs w:val="0"/>
                <w:sz w:val="16"/>
                <w:szCs w:val="16"/>
              </w:rPr>
              <w:t>(3,298,325)</w:t>
            </w:r>
          </w:p>
        </w:tc>
        <w:tc>
          <w:tcPr>
            <w:tcW w:w="300" w:type="pct"/>
            <w:shd w:val="clear" w:color="auto" w:fill="FFFFFF"/>
            <w:vAlign w:val="bottom"/>
            <w:hideMark/>
          </w:tcPr>
          <w:p w14:paraId="5248AE13" w14:textId="77777777" w:rsidR="00000000" w:rsidRDefault="0053651E">
            <w:pPr>
              <w:jc w:val="right"/>
              <w:rPr>
                <w:rFonts w:eastAsia="Times New Roman"/>
                <w:sz w:val="16"/>
                <w:szCs w:val="16"/>
              </w:rPr>
            </w:pPr>
            <w:r>
              <w:rPr>
                <w:rStyle w:val="a6"/>
                <w:rFonts w:eastAsia="Times New Roman"/>
                <w:i w:val="0"/>
                <w:iCs w:val="0"/>
                <w:sz w:val="16"/>
                <w:szCs w:val="16"/>
              </w:rPr>
              <w:t>485,550</w:t>
            </w:r>
          </w:p>
        </w:tc>
        <w:tc>
          <w:tcPr>
            <w:tcW w:w="450" w:type="pct"/>
            <w:shd w:val="clear" w:color="auto" w:fill="FFFFFF"/>
            <w:vAlign w:val="bottom"/>
            <w:hideMark/>
          </w:tcPr>
          <w:p w14:paraId="494AF98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FFFFFF"/>
            <w:vAlign w:val="bottom"/>
            <w:hideMark/>
          </w:tcPr>
          <w:p w14:paraId="5C5375BA" w14:textId="77777777" w:rsidR="00000000" w:rsidRDefault="0053651E">
            <w:pPr>
              <w:jc w:val="right"/>
              <w:rPr>
                <w:rFonts w:eastAsia="Times New Roman"/>
                <w:sz w:val="16"/>
                <w:szCs w:val="16"/>
              </w:rPr>
            </w:pPr>
            <w:r>
              <w:rPr>
                <w:rStyle w:val="a6"/>
                <w:rFonts w:eastAsia="Times New Roman"/>
                <w:i w:val="0"/>
                <w:iCs w:val="0"/>
                <w:sz w:val="16"/>
                <w:szCs w:val="16"/>
              </w:rPr>
              <w:t>485,550</w:t>
            </w:r>
          </w:p>
        </w:tc>
        <w:tc>
          <w:tcPr>
            <w:tcW w:w="400" w:type="pct"/>
            <w:shd w:val="clear" w:color="auto" w:fill="FFFFFF"/>
            <w:vAlign w:val="bottom"/>
            <w:hideMark/>
          </w:tcPr>
          <w:p w14:paraId="08D83791"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9D864B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D9D3679" w14:textId="77777777" w:rsidR="00000000" w:rsidRDefault="0053651E">
            <w:pPr>
              <w:jc w:val="right"/>
              <w:rPr>
                <w:rFonts w:eastAsia="Times New Roman"/>
                <w:sz w:val="16"/>
                <w:szCs w:val="16"/>
              </w:rPr>
            </w:pPr>
            <w:r>
              <w:rPr>
                <w:rStyle w:val="a6"/>
                <w:rFonts w:eastAsia="Times New Roman"/>
                <w:i w:val="0"/>
                <w:iCs w:val="0"/>
                <w:sz w:val="16"/>
                <w:szCs w:val="16"/>
              </w:rPr>
              <w:t>485,550</w:t>
            </w:r>
          </w:p>
        </w:tc>
        <w:tc>
          <w:tcPr>
            <w:tcW w:w="50" w:type="pct"/>
            <w:shd w:val="clear" w:color="auto" w:fill="FFFFFF"/>
            <w:vAlign w:val="bottom"/>
            <w:hideMark/>
          </w:tcPr>
          <w:p w14:paraId="033F7FF3"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361C4566"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759F35C4" w14:textId="77777777" w:rsidR="00000000" w:rsidRDefault="0053651E">
            <w:pPr>
              <w:pStyle w:val="a3"/>
              <w:spacing w:before="0" w:beforeAutospacing="0" w:after="0" w:afterAutospacing="0"/>
              <w:jc w:val="center"/>
              <w:rPr>
                <w:sz w:val="16"/>
                <w:szCs w:val="16"/>
              </w:rPr>
            </w:pPr>
            <w:r>
              <w:rPr>
                <w:rStyle w:val="a6"/>
                <w:i w:val="0"/>
                <w:iCs w:val="0"/>
                <w:sz w:val="16"/>
                <w:szCs w:val="16"/>
              </w:rPr>
              <w:t>2001(C)</w:t>
            </w:r>
          </w:p>
        </w:tc>
      </w:tr>
      <w:tr w:rsidR="00000000" w14:paraId="2830F137" w14:textId="77777777">
        <w:trPr>
          <w:tblCellSpacing w:w="0" w:type="dxa"/>
        </w:trPr>
        <w:tc>
          <w:tcPr>
            <w:tcW w:w="50" w:type="pct"/>
            <w:shd w:val="clear" w:color="auto" w:fill="CCEEFF"/>
            <w:vAlign w:val="bottom"/>
            <w:hideMark/>
          </w:tcPr>
          <w:p w14:paraId="32522C64"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157DB865" w14:textId="77777777" w:rsidR="00000000" w:rsidRDefault="0053651E">
            <w:pPr>
              <w:pStyle w:val="a3"/>
              <w:spacing w:before="0" w:beforeAutospacing="0" w:after="0" w:afterAutospacing="0"/>
              <w:rPr>
                <w:sz w:val="16"/>
                <w:szCs w:val="16"/>
              </w:rPr>
            </w:pPr>
            <w:r>
              <w:rPr>
                <w:rStyle w:val="a6"/>
                <w:i w:val="0"/>
                <w:iCs w:val="0"/>
                <w:sz w:val="16"/>
                <w:szCs w:val="16"/>
              </w:rPr>
              <w:t>MCMINNVILLE PLAZA</w:t>
            </w:r>
          </w:p>
        </w:tc>
        <w:tc>
          <w:tcPr>
            <w:tcW w:w="150" w:type="pct"/>
            <w:shd w:val="clear" w:color="auto" w:fill="CCEEFF"/>
            <w:vAlign w:val="bottom"/>
            <w:hideMark/>
          </w:tcPr>
          <w:p w14:paraId="1317B9C9" w14:textId="77777777" w:rsidR="00000000" w:rsidRDefault="0053651E">
            <w:pPr>
              <w:pStyle w:val="a3"/>
              <w:spacing w:before="0" w:beforeAutospacing="0" w:after="0" w:afterAutospacing="0"/>
              <w:rPr>
                <w:sz w:val="16"/>
                <w:szCs w:val="16"/>
              </w:rPr>
            </w:pPr>
            <w:r>
              <w:rPr>
                <w:rStyle w:val="a6"/>
                <w:i w:val="0"/>
                <w:iCs w:val="0"/>
                <w:sz w:val="16"/>
                <w:szCs w:val="16"/>
              </w:rPr>
              <w:t>OR</w:t>
            </w:r>
          </w:p>
        </w:tc>
        <w:tc>
          <w:tcPr>
            <w:tcW w:w="300" w:type="pct"/>
            <w:shd w:val="clear" w:color="auto" w:fill="CCEEFF"/>
            <w:vAlign w:val="bottom"/>
            <w:hideMark/>
          </w:tcPr>
          <w:p w14:paraId="103F0540" w14:textId="77777777" w:rsidR="00000000" w:rsidRDefault="0053651E">
            <w:pPr>
              <w:jc w:val="right"/>
              <w:rPr>
                <w:rFonts w:eastAsia="Times New Roman"/>
                <w:sz w:val="16"/>
                <w:szCs w:val="16"/>
              </w:rPr>
            </w:pPr>
            <w:r>
              <w:rPr>
                <w:rStyle w:val="a6"/>
                <w:rFonts w:eastAsia="Times New Roman"/>
                <w:i w:val="0"/>
                <w:iCs w:val="0"/>
                <w:sz w:val="16"/>
                <w:szCs w:val="16"/>
              </w:rPr>
              <w:t>4,062,327</w:t>
            </w:r>
          </w:p>
        </w:tc>
        <w:tc>
          <w:tcPr>
            <w:tcW w:w="550" w:type="pct"/>
            <w:shd w:val="clear" w:color="auto" w:fill="CCEEFF"/>
            <w:vAlign w:val="bottom"/>
            <w:hideMark/>
          </w:tcPr>
          <w:p w14:paraId="5CB928B0"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350" w:type="pct"/>
            <w:shd w:val="clear" w:color="auto" w:fill="CCEEFF"/>
            <w:vAlign w:val="bottom"/>
            <w:hideMark/>
          </w:tcPr>
          <w:p w14:paraId="465AC9DE" w14:textId="77777777" w:rsidR="00000000" w:rsidRDefault="0053651E">
            <w:pPr>
              <w:jc w:val="right"/>
              <w:rPr>
                <w:rFonts w:eastAsia="Times New Roman"/>
                <w:sz w:val="16"/>
                <w:szCs w:val="16"/>
              </w:rPr>
            </w:pPr>
            <w:r>
              <w:rPr>
                <w:rStyle w:val="a6"/>
                <w:rFonts w:eastAsia="Times New Roman"/>
                <w:i w:val="0"/>
                <w:iCs w:val="0"/>
                <w:sz w:val="16"/>
                <w:szCs w:val="16"/>
              </w:rPr>
              <w:t>33,920</w:t>
            </w:r>
          </w:p>
        </w:tc>
        <w:tc>
          <w:tcPr>
            <w:tcW w:w="300" w:type="pct"/>
            <w:shd w:val="clear" w:color="auto" w:fill="CCEEFF"/>
            <w:vAlign w:val="bottom"/>
            <w:hideMark/>
          </w:tcPr>
          <w:p w14:paraId="23FF3300" w14:textId="77777777" w:rsidR="00000000" w:rsidRDefault="0053651E">
            <w:pPr>
              <w:jc w:val="right"/>
              <w:rPr>
                <w:rFonts w:eastAsia="Times New Roman"/>
                <w:sz w:val="16"/>
                <w:szCs w:val="16"/>
              </w:rPr>
            </w:pPr>
            <w:r>
              <w:rPr>
                <w:rStyle w:val="a6"/>
                <w:rFonts w:eastAsia="Times New Roman"/>
                <w:i w:val="0"/>
                <w:iCs w:val="0"/>
                <w:sz w:val="16"/>
                <w:szCs w:val="16"/>
              </w:rPr>
              <w:t>4,062,327</w:t>
            </w:r>
          </w:p>
        </w:tc>
        <w:tc>
          <w:tcPr>
            <w:tcW w:w="450" w:type="pct"/>
            <w:shd w:val="clear" w:color="auto" w:fill="CCEEFF"/>
            <w:vAlign w:val="bottom"/>
            <w:hideMark/>
          </w:tcPr>
          <w:p w14:paraId="10544951" w14:textId="77777777" w:rsidR="00000000" w:rsidRDefault="0053651E">
            <w:pPr>
              <w:jc w:val="right"/>
              <w:rPr>
                <w:rFonts w:eastAsia="Times New Roman"/>
                <w:sz w:val="16"/>
                <w:szCs w:val="16"/>
              </w:rPr>
            </w:pPr>
            <w:r>
              <w:rPr>
                <w:rStyle w:val="a6"/>
                <w:rFonts w:eastAsia="Times New Roman"/>
                <w:i w:val="0"/>
                <w:iCs w:val="0"/>
                <w:sz w:val="16"/>
                <w:szCs w:val="16"/>
              </w:rPr>
              <w:t>33,920</w:t>
            </w:r>
          </w:p>
        </w:tc>
        <w:tc>
          <w:tcPr>
            <w:tcW w:w="350" w:type="pct"/>
            <w:shd w:val="clear" w:color="auto" w:fill="CCEEFF"/>
            <w:vAlign w:val="bottom"/>
            <w:hideMark/>
          </w:tcPr>
          <w:p w14:paraId="0C8D5264" w14:textId="77777777" w:rsidR="00000000" w:rsidRDefault="0053651E">
            <w:pPr>
              <w:jc w:val="right"/>
              <w:rPr>
                <w:rFonts w:eastAsia="Times New Roman"/>
                <w:sz w:val="16"/>
                <w:szCs w:val="16"/>
              </w:rPr>
            </w:pPr>
            <w:r>
              <w:rPr>
                <w:rStyle w:val="a6"/>
                <w:rFonts w:eastAsia="Times New Roman"/>
                <w:i w:val="0"/>
                <w:iCs w:val="0"/>
                <w:sz w:val="16"/>
                <w:szCs w:val="16"/>
              </w:rPr>
              <w:t>4,096,247</w:t>
            </w:r>
          </w:p>
        </w:tc>
        <w:tc>
          <w:tcPr>
            <w:tcW w:w="400" w:type="pct"/>
            <w:shd w:val="clear" w:color="auto" w:fill="CCEEFF"/>
            <w:vAlign w:val="bottom"/>
            <w:hideMark/>
          </w:tcPr>
          <w:p w14:paraId="249E6F04"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6D15B82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7545B55C" w14:textId="77777777" w:rsidR="00000000" w:rsidRDefault="0053651E">
            <w:pPr>
              <w:jc w:val="right"/>
              <w:rPr>
                <w:rFonts w:eastAsia="Times New Roman"/>
                <w:sz w:val="16"/>
                <w:szCs w:val="16"/>
              </w:rPr>
            </w:pPr>
            <w:r>
              <w:rPr>
                <w:rStyle w:val="a6"/>
                <w:rFonts w:eastAsia="Times New Roman"/>
                <w:i w:val="0"/>
                <w:iCs w:val="0"/>
                <w:sz w:val="16"/>
                <w:szCs w:val="16"/>
              </w:rPr>
              <w:t>4,096,247</w:t>
            </w:r>
          </w:p>
        </w:tc>
        <w:tc>
          <w:tcPr>
            <w:tcW w:w="50" w:type="pct"/>
            <w:shd w:val="clear" w:color="auto" w:fill="CCEEFF"/>
            <w:vAlign w:val="bottom"/>
            <w:hideMark/>
          </w:tcPr>
          <w:p w14:paraId="0E4B6F8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7F015CAF"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724DA7F2" w14:textId="77777777" w:rsidR="00000000" w:rsidRDefault="0053651E">
            <w:pPr>
              <w:pStyle w:val="a3"/>
              <w:spacing w:before="0" w:beforeAutospacing="0" w:after="0" w:afterAutospacing="0"/>
              <w:jc w:val="center"/>
              <w:rPr>
                <w:sz w:val="16"/>
                <w:szCs w:val="16"/>
              </w:rPr>
            </w:pPr>
            <w:r>
              <w:rPr>
                <w:rStyle w:val="a6"/>
                <w:i w:val="0"/>
                <w:iCs w:val="0"/>
                <w:sz w:val="16"/>
                <w:szCs w:val="16"/>
              </w:rPr>
              <w:t>2006(C)</w:t>
            </w:r>
          </w:p>
        </w:tc>
      </w:tr>
      <w:tr w:rsidR="00000000" w14:paraId="2258528C" w14:textId="77777777">
        <w:trPr>
          <w:tblCellSpacing w:w="0" w:type="dxa"/>
        </w:trPr>
        <w:tc>
          <w:tcPr>
            <w:tcW w:w="50" w:type="pct"/>
            <w:shd w:val="clear" w:color="auto" w:fill="FFFFFF"/>
            <w:vAlign w:val="bottom"/>
            <w:hideMark/>
          </w:tcPr>
          <w:p w14:paraId="78A2A005"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1E1E63E" w14:textId="77777777" w:rsidR="00000000" w:rsidRDefault="0053651E">
            <w:pPr>
              <w:pStyle w:val="a3"/>
              <w:spacing w:before="0" w:beforeAutospacing="0" w:after="0" w:afterAutospacing="0"/>
              <w:rPr>
                <w:sz w:val="16"/>
                <w:szCs w:val="16"/>
              </w:rPr>
            </w:pPr>
            <w:r>
              <w:rPr>
                <w:rStyle w:val="a6"/>
                <w:i w:val="0"/>
                <w:iCs w:val="0"/>
                <w:sz w:val="16"/>
                <w:szCs w:val="16"/>
              </w:rPr>
              <w:t>COULTER AVE. PARCEL</w:t>
            </w:r>
          </w:p>
        </w:tc>
        <w:tc>
          <w:tcPr>
            <w:tcW w:w="150" w:type="pct"/>
            <w:shd w:val="clear" w:color="auto" w:fill="FFFFFF"/>
            <w:vAlign w:val="bottom"/>
            <w:hideMark/>
          </w:tcPr>
          <w:p w14:paraId="224A86E8" w14:textId="77777777" w:rsidR="00000000" w:rsidRDefault="0053651E">
            <w:pPr>
              <w:pStyle w:val="a3"/>
              <w:spacing w:before="0" w:beforeAutospacing="0" w:after="0" w:afterAutospacing="0"/>
              <w:rPr>
                <w:sz w:val="16"/>
                <w:szCs w:val="16"/>
              </w:rPr>
            </w:pPr>
            <w:r>
              <w:rPr>
                <w:rStyle w:val="a6"/>
                <w:i w:val="0"/>
                <w:iCs w:val="0"/>
                <w:sz w:val="16"/>
                <w:szCs w:val="16"/>
              </w:rPr>
              <w:t>PA</w:t>
            </w:r>
          </w:p>
        </w:tc>
        <w:tc>
          <w:tcPr>
            <w:tcW w:w="300" w:type="pct"/>
            <w:shd w:val="clear" w:color="auto" w:fill="FFFFFF"/>
            <w:vAlign w:val="bottom"/>
            <w:hideMark/>
          </w:tcPr>
          <w:p w14:paraId="20263678" w14:textId="77777777" w:rsidR="00000000" w:rsidRDefault="0053651E">
            <w:pPr>
              <w:jc w:val="right"/>
              <w:rPr>
                <w:rFonts w:eastAsia="Times New Roman"/>
                <w:sz w:val="16"/>
                <w:szCs w:val="16"/>
              </w:rPr>
            </w:pPr>
            <w:r>
              <w:rPr>
                <w:rStyle w:val="a6"/>
                <w:rFonts w:eastAsia="Times New Roman"/>
                <w:i w:val="0"/>
                <w:iCs w:val="0"/>
                <w:sz w:val="16"/>
                <w:szCs w:val="16"/>
              </w:rPr>
              <w:t>577,630</w:t>
            </w:r>
          </w:p>
        </w:tc>
        <w:tc>
          <w:tcPr>
            <w:tcW w:w="550" w:type="pct"/>
            <w:shd w:val="clear" w:color="auto" w:fill="FFFFFF"/>
            <w:vAlign w:val="bottom"/>
            <w:hideMark/>
          </w:tcPr>
          <w:p w14:paraId="7504584E" w14:textId="77777777" w:rsidR="00000000" w:rsidRDefault="0053651E">
            <w:pPr>
              <w:jc w:val="right"/>
              <w:rPr>
                <w:rFonts w:eastAsia="Times New Roman"/>
                <w:sz w:val="16"/>
                <w:szCs w:val="16"/>
              </w:rPr>
            </w:pPr>
            <w:r>
              <w:rPr>
                <w:rStyle w:val="a6"/>
                <w:rFonts w:eastAsia="Times New Roman"/>
                <w:i w:val="0"/>
                <w:iCs w:val="0"/>
                <w:sz w:val="16"/>
                <w:szCs w:val="16"/>
              </w:rPr>
              <w:t>1,348,019</w:t>
            </w:r>
          </w:p>
        </w:tc>
        <w:tc>
          <w:tcPr>
            <w:tcW w:w="350" w:type="pct"/>
            <w:shd w:val="clear" w:color="auto" w:fill="FFFFFF"/>
            <w:vAlign w:val="bottom"/>
            <w:hideMark/>
          </w:tcPr>
          <w:p w14:paraId="42BCA9D0" w14:textId="77777777" w:rsidR="00000000" w:rsidRDefault="0053651E">
            <w:pPr>
              <w:jc w:val="right"/>
              <w:rPr>
                <w:rFonts w:eastAsia="Times New Roman"/>
                <w:sz w:val="16"/>
                <w:szCs w:val="16"/>
              </w:rPr>
            </w:pPr>
            <w:r>
              <w:rPr>
                <w:rStyle w:val="a6"/>
                <w:rFonts w:eastAsia="Times New Roman"/>
                <w:i w:val="0"/>
                <w:iCs w:val="0"/>
                <w:sz w:val="16"/>
                <w:szCs w:val="16"/>
              </w:rPr>
              <w:t>15,311,765</w:t>
            </w:r>
          </w:p>
        </w:tc>
        <w:tc>
          <w:tcPr>
            <w:tcW w:w="300" w:type="pct"/>
            <w:shd w:val="clear" w:color="auto" w:fill="FFFFFF"/>
            <w:vAlign w:val="bottom"/>
            <w:hideMark/>
          </w:tcPr>
          <w:p w14:paraId="5ACB659B" w14:textId="77777777" w:rsidR="00000000" w:rsidRDefault="0053651E">
            <w:pPr>
              <w:jc w:val="right"/>
              <w:rPr>
                <w:rFonts w:eastAsia="Times New Roman"/>
                <w:sz w:val="16"/>
                <w:szCs w:val="16"/>
              </w:rPr>
            </w:pPr>
            <w:r>
              <w:rPr>
                <w:rStyle w:val="a6"/>
                <w:rFonts w:eastAsia="Times New Roman"/>
                <w:i w:val="0"/>
                <w:iCs w:val="0"/>
                <w:sz w:val="16"/>
                <w:szCs w:val="16"/>
              </w:rPr>
              <w:t>16,795,296</w:t>
            </w:r>
          </w:p>
        </w:tc>
        <w:tc>
          <w:tcPr>
            <w:tcW w:w="450" w:type="pct"/>
            <w:shd w:val="clear" w:color="auto" w:fill="FFFFFF"/>
            <w:vAlign w:val="bottom"/>
            <w:hideMark/>
          </w:tcPr>
          <w:p w14:paraId="4805CB5E" w14:textId="77777777" w:rsidR="00000000" w:rsidRDefault="0053651E">
            <w:pPr>
              <w:jc w:val="right"/>
              <w:rPr>
                <w:rFonts w:eastAsia="Times New Roman"/>
                <w:sz w:val="16"/>
                <w:szCs w:val="16"/>
              </w:rPr>
            </w:pPr>
            <w:r>
              <w:rPr>
                <w:rStyle w:val="a6"/>
                <w:rFonts w:eastAsia="Times New Roman"/>
                <w:i w:val="0"/>
                <w:iCs w:val="0"/>
                <w:sz w:val="16"/>
                <w:szCs w:val="16"/>
              </w:rPr>
              <w:t>442,118</w:t>
            </w:r>
          </w:p>
        </w:tc>
        <w:tc>
          <w:tcPr>
            <w:tcW w:w="350" w:type="pct"/>
            <w:shd w:val="clear" w:color="auto" w:fill="FFFFFF"/>
            <w:vAlign w:val="bottom"/>
            <w:hideMark/>
          </w:tcPr>
          <w:p w14:paraId="2157A9BF" w14:textId="77777777" w:rsidR="00000000" w:rsidRDefault="0053651E">
            <w:pPr>
              <w:jc w:val="right"/>
              <w:rPr>
                <w:rFonts w:eastAsia="Times New Roman"/>
                <w:sz w:val="16"/>
                <w:szCs w:val="16"/>
              </w:rPr>
            </w:pPr>
            <w:r>
              <w:rPr>
                <w:rStyle w:val="a6"/>
                <w:rFonts w:eastAsia="Times New Roman"/>
                <w:i w:val="0"/>
                <w:iCs w:val="0"/>
                <w:sz w:val="16"/>
                <w:szCs w:val="16"/>
              </w:rPr>
              <w:t>17,237,414</w:t>
            </w:r>
          </w:p>
        </w:tc>
        <w:tc>
          <w:tcPr>
            <w:tcW w:w="400" w:type="pct"/>
            <w:shd w:val="clear" w:color="auto" w:fill="FFFFFF"/>
            <w:vAlign w:val="bottom"/>
            <w:hideMark/>
          </w:tcPr>
          <w:p w14:paraId="3B17BAA3" w14:textId="77777777" w:rsidR="00000000" w:rsidRDefault="0053651E">
            <w:pPr>
              <w:jc w:val="right"/>
              <w:rPr>
                <w:rFonts w:eastAsia="Times New Roman"/>
                <w:sz w:val="16"/>
                <w:szCs w:val="16"/>
              </w:rPr>
            </w:pPr>
            <w:r>
              <w:rPr>
                <w:rStyle w:val="a6"/>
                <w:rFonts w:eastAsia="Times New Roman"/>
                <w:i w:val="0"/>
                <w:iCs w:val="0"/>
                <w:sz w:val="16"/>
                <w:szCs w:val="16"/>
              </w:rPr>
              <w:t>46,612</w:t>
            </w:r>
          </w:p>
        </w:tc>
        <w:tc>
          <w:tcPr>
            <w:tcW w:w="50" w:type="pct"/>
            <w:shd w:val="clear" w:color="auto" w:fill="FFFFFF"/>
            <w:vAlign w:val="bottom"/>
            <w:hideMark/>
          </w:tcPr>
          <w:p w14:paraId="185FC62D"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2D426059" w14:textId="77777777" w:rsidR="00000000" w:rsidRDefault="0053651E">
            <w:pPr>
              <w:jc w:val="right"/>
              <w:rPr>
                <w:rFonts w:eastAsia="Times New Roman"/>
                <w:sz w:val="16"/>
                <w:szCs w:val="16"/>
              </w:rPr>
            </w:pPr>
            <w:r>
              <w:rPr>
                <w:rStyle w:val="a6"/>
                <w:rFonts w:eastAsia="Times New Roman"/>
                <w:i w:val="0"/>
                <w:iCs w:val="0"/>
                <w:sz w:val="16"/>
                <w:szCs w:val="16"/>
              </w:rPr>
              <w:t>17,190,802</w:t>
            </w:r>
          </w:p>
        </w:tc>
        <w:tc>
          <w:tcPr>
            <w:tcW w:w="50" w:type="pct"/>
            <w:shd w:val="clear" w:color="auto" w:fill="FFFFFF"/>
            <w:vAlign w:val="bottom"/>
            <w:hideMark/>
          </w:tcPr>
          <w:p w14:paraId="6677126B"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010A75C8"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09552425" w14:textId="77777777" w:rsidR="00000000" w:rsidRDefault="0053651E">
            <w:pPr>
              <w:pStyle w:val="a3"/>
              <w:spacing w:before="0" w:beforeAutospacing="0" w:after="0" w:afterAutospacing="0"/>
              <w:jc w:val="center"/>
              <w:rPr>
                <w:sz w:val="16"/>
                <w:szCs w:val="16"/>
              </w:rPr>
            </w:pPr>
            <w:r>
              <w:rPr>
                <w:rStyle w:val="a6"/>
                <w:i w:val="0"/>
                <w:iCs w:val="0"/>
                <w:sz w:val="16"/>
                <w:szCs w:val="16"/>
              </w:rPr>
              <w:t>2015(A)</w:t>
            </w:r>
          </w:p>
        </w:tc>
      </w:tr>
      <w:tr w:rsidR="00000000" w14:paraId="2FFC5FF1" w14:textId="77777777">
        <w:trPr>
          <w:tblCellSpacing w:w="0" w:type="dxa"/>
        </w:trPr>
        <w:tc>
          <w:tcPr>
            <w:tcW w:w="50" w:type="pct"/>
            <w:shd w:val="clear" w:color="auto" w:fill="CCEEFF"/>
            <w:vAlign w:val="bottom"/>
            <w:hideMark/>
          </w:tcPr>
          <w:p w14:paraId="31637F31"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CCEEFF"/>
            <w:vAlign w:val="bottom"/>
            <w:hideMark/>
          </w:tcPr>
          <w:p w14:paraId="51135114" w14:textId="77777777" w:rsidR="00000000" w:rsidRDefault="0053651E">
            <w:pPr>
              <w:pStyle w:val="a3"/>
              <w:spacing w:before="0" w:beforeAutospacing="0" w:after="0" w:afterAutospacing="0"/>
              <w:rPr>
                <w:sz w:val="16"/>
                <w:szCs w:val="16"/>
              </w:rPr>
            </w:pPr>
            <w:r>
              <w:rPr>
                <w:rStyle w:val="a6"/>
                <w:i w:val="0"/>
                <w:iCs w:val="0"/>
                <w:sz w:val="16"/>
                <w:szCs w:val="16"/>
              </w:rPr>
              <w:t>BLUE RIDGE</w:t>
            </w:r>
          </w:p>
        </w:tc>
        <w:tc>
          <w:tcPr>
            <w:tcW w:w="150" w:type="pct"/>
            <w:shd w:val="clear" w:color="auto" w:fill="CCEEFF"/>
            <w:vAlign w:val="bottom"/>
            <w:hideMark/>
          </w:tcPr>
          <w:p w14:paraId="6D1A5F64" w14:textId="77777777" w:rsidR="00000000" w:rsidRDefault="0053651E">
            <w:pPr>
              <w:pStyle w:val="a3"/>
              <w:spacing w:before="0" w:beforeAutospacing="0" w:after="0" w:afterAutospacing="0"/>
              <w:rPr>
                <w:sz w:val="16"/>
                <w:szCs w:val="16"/>
              </w:rPr>
            </w:pPr>
            <w:r>
              <w:rPr>
                <w:rStyle w:val="a6"/>
                <w:i w:val="0"/>
                <w:iCs w:val="0"/>
                <w:sz w:val="16"/>
                <w:szCs w:val="16"/>
              </w:rPr>
              <w:t>Various</w:t>
            </w:r>
          </w:p>
        </w:tc>
        <w:tc>
          <w:tcPr>
            <w:tcW w:w="300" w:type="pct"/>
            <w:shd w:val="clear" w:color="auto" w:fill="CCEEFF"/>
            <w:vAlign w:val="bottom"/>
            <w:hideMark/>
          </w:tcPr>
          <w:p w14:paraId="27CA6FDF" w14:textId="77777777" w:rsidR="00000000" w:rsidRDefault="0053651E">
            <w:pPr>
              <w:jc w:val="right"/>
              <w:rPr>
                <w:rFonts w:eastAsia="Times New Roman"/>
                <w:sz w:val="16"/>
                <w:szCs w:val="16"/>
              </w:rPr>
            </w:pPr>
            <w:r>
              <w:rPr>
                <w:rStyle w:val="a6"/>
                <w:rFonts w:eastAsia="Times New Roman"/>
                <w:i w:val="0"/>
                <w:iCs w:val="0"/>
                <w:sz w:val="16"/>
                <w:szCs w:val="16"/>
              </w:rPr>
              <w:t>12,346,900</w:t>
            </w:r>
          </w:p>
        </w:tc>
        <w:tc>
          <w:tcPr>
            <w:tcW w:w="550" w:type="pct"/>
            <w:shd w:val="clear" w:color="auto" w:fill="CCEEFF"/>
            <w:vAlign w:val="bottom"/>
            <w:hideMark/>
          </w:tcPr>
          <w:p w14:paraId="1C329142" w14:textId="77777777" w:rsidR="00000000" w:rsidRDefault="0053651E">
            <w:pPr>
              <w:jc w:val="right"/>
              <w:rPr>
                <w:rFonts w:eastAsia="Times New Roman"/>
                <w:sz w:val="16"/>
                <w:szCs w:val="16"/>
              </w:rPr>
            </w:pPr>
            <w:r>
              <w:rPr>
                <w:rStyle w:val="a6"/>
                <w:rFonts w:eastAsia="Times New Roman"/>
                <w:i w:val="0"/>
                <w:iCs w:val="0"/>
                <w:sz w:val="16"/>
                <w:szCs w:val="16"/>
              </w:rPr>
              <w:t>71,529,796</w:t>
            </w:r>
          </w:p>
        </w:tc>
        <w:tc>
          <w:tcPr>
            <w:tcW w:w="350" w:type="pct"/>
            <w:shd w:val="clear" w:color="auto" w:fill="CCEEFF"/>
            <w:vAlign w:val="bottom"/>
            <w:hideMark/>
          </w:tcPr>
          <w:p w14:paraId="5AFB633F" w14:textId="77777777" w:rsidR="00000000" w:rsidRDefault="0053651E">
            <w:pPr>
              <w:jc w:val="right"/>
              <w:rPr>
                <w:rFonts w:eastAsia="Times New Roman"/>
                <w:sz w:val="16"/>
                <w:szCs w:val="16"/>
              </w:rPr>
            </w:pPr>
            <w:r>
              <w:rPr>
                <w:rStyle w:val="a6"/>
                <w:rFonts w:eastAsia="Times New Roman"/>
                <w:i w:val="0"/>
                <w:iCs w:val="0"/>
                <w:sz w:val="16"/>
                <w:szCs w:val="16"/>
              </w:rPr>
              <w:t>(52,520,857)</w:t>
            </w:r>
          </w:p>
        </w:tc>
        <w:tc>
          <w:tcPr>
            <w:tcW w:w="300" w:type="pct"/>
            <w:shd w:val="clear" w:color="auto" w:fill="CCEEFF"/>
            <w:vAlign w:val="bottom"/>
            <w:hideMark/>
          </w:tcPr>
          <w:p w14:paraId="791B52A8" w14:textId="77777777" w:rsidR="00000000" w:rsidRDefault="0053651E">
            <w:pPr>
              <w:jc w:val="right"/>
              <w:rPr>
                <w:rFonts w:eastAsia="Times New Roman"/>
                <w:sz w:val="16"/>
                <w:szCs w:val="16"/>
              </w:rPr>
            </w:pPr>
            <w:r>
              <w:rPr>
                <w:rStyle w:val="a6"/>
                <w:rFonts w:eastAsia="Times New Roman"/>
                <w:i w:val="0"/>
                <w:iCs w:val="0"/>
                <w:sz w:val="16"/>
                <w:szCs w:val="16"/>
              </w:rPr>
              <w:t>3,554,097</w:t>
            </w:r>
          </w:p>
        </w:tc>
        <w:tc>
          <w:tcPr>
            <w:tcW w:w="450" w:type="pct"/>
            <w:shd w:val="clear" w:color="auto" w:fill="CCEEFF"/>
            <w:vAlign w:val="bottom"/>
            <w:hideMark/>
          </w:tcPr>
          <w:p w14:paraId="283EF104" w14:textId="77777777" w:rsidR="00000000" w:rsidRDefault="0053651E">
            <w:pPr>
              <w:jc w:val="right"/>
              <w:rPr>
                <w:rFonts w:eastAsia="Times New Roman"/>
                <w:sz w:val="16"/>
                <w:szCs w:val="16"/>
              </w:rPr>
            </w:pPr>
            <w:r>
              <w:rPr>
                <w:rStyle w:val="a6"/>
                <w:rFonts w:eastAsia="Times New Roman"/>
                <w:i w:val="0"/>
                <w:iCs w:val="0"/>
                <w:sz w:val="16"/>
                <w:szCs w:val="16"/>
              </w:rPr>
              <w:t>27,801,742</w:t>
            </w:r>
          </w:p>
        </w:tc>
        <w:tc>
          <w:tcPr>
            <w:tcW w:w="350" w:type="pct"/>
            <w:shd w:val="clear" w:color="auto" w:fill="CCEEFF"/>
            <w:vAlign w:val="bottom"/>
            <w:hideMark/>
          </w:tcPr>
          <w:p w14:paraId="11B0F535" w14:textId="77777777" w:rsidR="00000000" w:rsidRDefault="0053651E">
            <w:pPr>
              <w:jc w:val="right"/>
              <w:rPr>
                <w:rFonts w:eastAsia="Times New Roman"/>
                <w:sz w:val="16"/>
                <w:szCs w:val="16"/>
              </w:rPr>
            </w:pPr>
            <w:r>
              <w:rPr>
                <w:rStyle w:val="a6"/>
                <w:rFonts w:eastAsia="Times New Roman"/>
                <w:i w:val="0"/>
                <w:iCs w:val="0"/>
                <w:sz w:val="16"/>
                <w:szCs w:val="16"/>
              </w:rPr>
              <w:t>31,355,839</w:t>
            </w:r>
          </w:p>
        </w:tc>
        <w:tc>
          <w:tcPr>
            <w:tcW w:w="400" w:type="pct"/>
            <w:shd w:val="clear" w:color="auto" w:fill="CCEEFF"/>
            <w:vAlign w:val="bottom"/>
            <w:hideMark/>
          </w:tcPr>
          <w:p w14:paraId="4CBBA20F" w14:textId="77777777" w:rsidR="00000000" w:rsidRDefault="0053651E">
            <w:pPr>
              <w:jc w:val="right"/>
              <w:rPr>
                <w:rFonts w:eastAsia="Times New Roman"/>
                <w:sz w:val="16"/>
                <w:szCs w:val="16"/>
              </w:rPr>
            </w:pPr>
            <w:r>
              <w:rPr>
                <w:rStyle w:val="a6"/>
                <w:rFonts w:eastAsia="Times New Roman"/>
                <w:i w:val="0"/>
                <w:iCs w:val="0"/>
                <w:sz w:val="16"/>
                <w:szCs w:val="16"/>
              </w:rPr>
              <w:t>19,111,024</w:t>
            </w:r>
          </w:p>
        </w:tc>
        <w:tc>
          <w:tcPr>
            <w:tcW w:w="50" w:type="pct"/>
            <w:shd w:val="clear" w:color="auto" w:fill="CCEEFF"/>
            <w:vAlign w:val="bottom"/>
            <w:hideMark/>
          </w:tcPr>
          <w:p w14:paraId="5544EEF1"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08F770E" w14:textId="77777777" w:rsidR="00000000" w:rsidRDefault="0053651E">
            <w:pPr>
              <w:jc w:val="right"/>
              <w:rPr>
                <w:rFonts w:eastAsia="Times New Roman"/>
                <w:sz w:val="16"/>
                <w:szCs w:val="16"/>
              </w:rPr>
            </w:pPr>
            <w:r>
              <w:rPr>
                <w:rStyle w:val="a6"/>
                <w:rFonts w:eastAsia="Times New Roman"/>
                <w:i w:val="0"/>
                <w:iCs w:val="0"/>
                <w:sz w:val="16"/>
                <w:szCs w:val="16"/>
              </w:rPr>
              <w:t>12,244,815</w:t>
            </w:r>
          </w:p>
        </w:tc>
        <w:tc>
          <w:tcPr>
            <w:tcW w:w="50" w:type="pct"/>
            <w:shd w:val="clear" w:color="auto" w:fill="CCEEFF"/>
            <w:vAlign w:val="bottom"/>
            <w:hideMark/>
          </w:tcPr>
          <w:p w14:paraId="2AD73652"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1D4BA04A"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7950E8B5" w14:textId="77777777" w:rsidR="00000000" w:rsidRDefault="0053651E">
            <w:pPr>
              <w:pStyle w:val="a3"/>
              <w:spacing w:before="0" w:beforeAutospacing="0" w:after="0" w:afterAutospacing="0"/>
              <w:jc w:val="center"/>
              <w:rPr>
                <w:sz w:val="16"/>
                <w:szCs w:val="16"/>
              </w:rPr>
            </w:pPr>
            <w:r>
              <w:rPr>
                <w:rStyle w:val="a6"/>
                <w:i w:val="0"/>
                <w:iCs w:val="0"/>
                <w:sz w:val="16"/>
                <w:szCs w:val="16"/>
              </w:rPr>
              <w:t>2005(A)</w:t>
            </w:r>
          </w:p>
        </w:tc>
      </w:tr>
      <w:tr w:rsidR="00000000" w14:paraId="6C681AB7" w14:textId="77777777">
        <w:trPr>
          <w:tblCellSpacing w:w="0" w:type="dxa"/>
        </w:trPr>
        <w:tc>
          <w:tcPr>
            <w:tcW w:w="50" w:type="pct"/>
            <w:shd w:val="clear" w:color="auto" w:fill="FFFFFF"/>
            <w:vAlign w:val="bottom"/>
            <w:hideMark/>
          </w:tcPr>
          <w:p w14:paraId="7FF96183"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1D1ECAF0" w14:textId="77777777" w:rsidR="00000000" w:rsidRDefault="0053651E">
            <w:pPr>
              <w:pStyle w:val="a3"/>
              <w:spacing w:before="0" w:beforeAutospacing="0" w:after="0" w:afterAutospacing="0"/>
              <w:rPr>
                <w:sz w:val="16"/>
                <w:szCs w:val="16"/>
              </w:rPr>
            </w:pPr>
            <w:r>
              <w:rPr>
                <w:rStyle w:val="a6"/>
                <w:i w:val="0"/>
                <w:iCs w:val="0"/>
                <w:sz w:val="16"/>
                <w:szCs w:val="16"/>
              </w:rPr>
              <w:t>MICROPROPERTIES</w:t>
            </w:r>
          </w:p>
        </w:tc>
        <w:tc>
          <w:tcPr>
            <w:tcW w:w="150" w:type="pct"/>
            <w:shd w:val="clear" w:color="auto" w:fill="FFFFFF"/>
            <w:vAlign w:val="bottom"/>
            <w:hideMark/>
          </w:tcPr>
          <w:p w14:paraId="415C25D7" w14:textId="77777777" w:rsidR="00000000" w:rsidRDefault="0053651E">
            <w:pPr>
              <w:pStyle w:val="a3"/>
              <w:spacing w:before="0" w:beforeAutospacing="0" w:after="0" w:afterAutospacing="0"/>
              <w:rPr>
                <w:sz w:val="16"/>
                <w:szCs w:val="16"/>
              </w:rPr>
            </w:pPr>
            <w:r>
              <w:rPr>
                <w:rStyle w:val="a6"/>
                <w:i w:val="0"/>
                <w:iCs w:val="0"/>
                <w:sz w:val="16"/>
                <w:szCs w:val="16"/>
              </w:rPr>
              <w:t>TX</w:t>
            </w:r>
          </w:p>
        </w:tc>
        <w:tc>
          <w:tcPr>
            <w:tcW w:w="300" w:type="pct"/>
            <w:shd w:val="clear" w:color="auto" w:fill="FFFFFF"/>
            <w:vAlign w:val="bottom"/>
            <w:hideMark/>
          </w:tcPr>
          <w:p w14:paraId="07247BFB" w14:textId="77777777" w:rsidR="00000000" w:rsidRDefault="0053651E">
            <w:pPr>
              <w:jc w:val="right"/>
              <w:rPr>
                <w:rFonts w:eastAsia="Times New Roman"/>
                <w:sz w:val="16"/>
                <w:szCs w:val="16"/>
              </w:rPr>
            </w:pPr>
            <w:r>
              <w:rPr>
                <w:rStyle w:val="a6"/>
                <w:rFonts w:eastAsia="Times New Roman"/>
                <w:i w:val="0"/>
                <w:iCs w:val="0"/>
                <w:sz w:val="16"/>
                <w:szCs w:val="16"/>
              </w:rPr>
              <w:t>528,534</w:t>
            </w:r>
          </w:p>
        </w:tc>
        <w:tc>
          <w:tcPr>
            <w:tcW w:w="550" w:type="pct"/>
            <w:shd w:val="clear" w:color="auto" w:fill="FFFFFF"/>
            <w:vAlign w:val="bottom"/>
            <w:hideMark/>
          </w:tcPr>
          <w:p w14:paraId="1DB4FB9E" w14:textId="77777777" w:rsidR="00000000" w:rsidRDefault="0053651E">
            <w:pPr>
              <w:jc w:val="right"/>
              <w:rPr>
                <w:rFonts w:eastAsia="Times New Roman"/>
                <w:sz w:val="16"/>
                <w:szCs w:val="16"/>
              </w:rPr>
            </w:pPr>
            <w:r>
              <w:rPr>
                <w:rStyle w:val="a6"/>
                <w:rFonts w:eastAsia="Times New Roman"/>
                <w:i w:val="0"/>
                <w:iCs w:val="0"/>
                <w:sz w:val="16"/>
                <w:szCs w:val="16"/>
              </w:rPr>
              <w:t>1,090,980</w:t>
            </w:r>
          </w:p>
        </w:tc>
        <w:tc>
          <w:tcPr>
            <w:tcW w:w="350" w:type="pct"/>
            <w:shd w:val="clear" w:color="auto" w:fill="FFFFFF"/>
            <w:vAlign w:val="bottom"/>
            <w:hideMark/>
          </w:tcPr>
          <w:p w14:paraId="43258F0D" w14:textId="77777777" w:rsidR="00000000" w:rsidRDefault="0053651E">
            <w:pPr>
              <w:jc w:val="right"/>
              <w:rPr>
                <w:rFonts w:eastAsia="Times New Roman"/>
                <w:sz w:val="16"/>
                <w:szCs w:val="16"/>
              </w:rPr>
            </w:pPr>
            <w:r>
              <w:rPr>
                <w:rStyle w:val="a6"/>
                <w:rFonts w:eastAsia="Times New Roman"/>
                <w:i w:val="0"/>
                <w:iCs w:val="0"/>
                <w:sz w:val="16"/>
                <w:szCs w:val="16"/>
              </w:rPr>
              <w:t>(1,266,986)</w:t>
            </w:r>
          </w:p>
        </w:tc>
        <w:tc>
          <w:tcPr>
            <w:tcW w:w="300" w:type="pct"/>
            <w:shd w:val="clear" w:color="auto" w:fill="FFFFFF"/>
            <w:vAlign w:val="bottom"/>
            <w:hideMark/>
          </w:tcPr>
          <w:p w14:paraId="12EDB779" w14:textId="77777777" w:rsidR="00000000" w:rsidRDefault="0053651E">
            <w:pPr>
              <w:jc w:val="right"/>
              <w:rPr>
                <w:rFonts w:eastAsia="Times New Roman"/>
                <w:sz w:val="16"/>
                <w:szCs w:val="16"/>
              </w:rPr>
            </w:pPr>
            <w:r>
              <w:rPr>
                <w:rStyle w:val="a6"/>
                <w:rFonts w:eastAsia="Times New Roman"/>
                <w:i w:val="0"/>
                <w:iCs w:val="0"/>
                <w:sz w:val="16"/>
                <w:szCs w:val="16"/>
              </w:rPr>
              <w:t>220,492</w:t>
            </w:r>
          </w:p>
        </w:tc>
        <w:tc>
          <w:tcPr>
            <w:tcW w:w="450" w:type="pct"/>
            <w:shd w:val="clear" w:color="auto" w:fill="FFFFFF"/>
            <w:vAlign w:val="bottom"/>
            <w:hideMark/>
          </w:tcPr>
          <w:p w14:paraId="44A456F4" w14:textId="77777777" w:rsidR="00000000" w:rsidRDefault="0053651E">
            <w:pPr>
              <w:jc w:val="right"/>
              <w:rPr>
                <w:rFonts w:eastAsia="Times New Roman"/>
                <w:sz w:val="16"/>
                <w:szCs w:val="16"/>
              </w:rPr>
            </w:pPr>
            <w:r>
              <w:rPr>
                <w:rStyle w:val="a6"/>
                <w:rFonts w:eastAsia="Times New Roman"/>
                <w:i w:val="0"/>
                <w:iCs w:val="0"/>
                <w:sz w:val="16"/>
                <w:szCs w:val="16"/>
              </w:rPr>
              <w:t>132,036</w:t>
            </w:r>
          </w:p>
        </w:tc>
        <w:tc>
          <w:tcPr>
            <w:tcW w:w="350" w:type="pct"/>
            <w:shd w:val="clear" w:color="auto" w:fill="FFFFFF"/>
            <w:vAlign w:val="bottom"/>
            <w:hideMark/>
          </w:tcPr>
          <w:p w14:paraId="6FA898BE" w14:textId="77777777" w:rsidR="00000000" w:rsidRDefault="0053651E">
            <w:pPr>
              <w:jc w:val="right"/>
              <w:rPr>
                <w:rFonts w:eastAsia="Times New Roman"/>
                <w:sz w:val="16"/>
                <w:szCs w:val="16"/>
              </w:rPr>
            </w:pPr>
            <w:r>
              <w:rPr>
                <w:rStyle w:val="a6"/>
                <w:rFonts w:eastAsia="Times New Roman"/>
                <w:i w:val="0"/>
                <w:iCs w:val="0"/>
                <w:sz w:val="16"/>
                <w:szCs w:val="16"/>
              </w:rPr>
              <w:t>352,528</w:t>
            </w:r>
          </w:p>
        </w:tc>
        <w:tc>
          <w:tcPr>
            <w:tcW w:w="400" w:type="pct"/>
            <w:shd w:val="clear" w:color="auto" w:fill="FFFFFF"/>
            <w:vAlign w:val="bottom"/>
            <w:hideMark/>
          </w:tcPr>
          <w:p w14:paraId="31F8A384" w14:textId="77777777" w:rsidR="00000000" w:rsidRDefault="0053651E">
            <w:pPr>
              <w:jc w:val="right"/>
              <w:rPr>
                <w:rFonts w:eastAsia="Times New Roman"/>
                <w:sz w:val="16"/>
                <w:szCs w:val="16"/>
              </w:rPr>
            </w:pPr>
            <w:r>
              <w:rPr>
                <w:rStyle w:val="a6"/>
                <w:rFonts w:eastAsia="Times New Roman"/>
                <w:i w:val="0"/>
                <w:iCs w:val="0"/>
                <w:sz w:val="16"/>
                <w:szCs w:val="16"/>
              </w:rPr>
              <w:t>70,806</w:t>
            </w:r>
          </w:p>
        </w:tc>
        <w:tc>
          <w:tcPr>
            <w:tcW w:w="50" w:type="pct"/>
            <w:shd w:val="clear" w:color="auto" w:fill="FFFFFF"/>
            <w:vAlign w:val="bottom"/>
            <w:hideMark/>
          </w:tcPr>
          <w:p w14:paraId="2AA5C769"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FFFFFF"/>
            <w:vAlign w:val="bottom"/>
            <w:hideMark/>
          </w:tcPr>
          <w:p w14:paraId="34DFD36C" w14:textId="77777777" w:rsidR="00000000" w:rsidRDefault="0053651E">
            <w:pPr>
              <w:jc w:val="right"/>
              <w:rPr>
                <w:rFonts w:eastAsia="Times New Roman"/>
                <w:sz w:val="16"/>
                <w:szCs w:val="16"/>
              </w:rPr>
            </w:pPr>
            <w:r>
              <w:rPr>
                <w:rStyle w:val="a6"/>
                <w:rFonts w:eastAsia="Times New Roman"/>
                <w:i w:val="0"/>
                <w:iCs w:val="0"/>
                <w:sz w:val="16"/>
                <w:szCs w:val="16"/>
              </w:rPr>
              <w:t>281,722</w:t>
            </w:r>
          </w:p>
        </w:tc>
        <w:tc>
          <w:tcPr>
            <w:tcW w:w="50" w:type="pct"/>
            <w:shd w:val="clear" w:color="auto" w:fill="FFFFFF"/>
            <w:vAlign w:val="bottom"/>
            <w:hideMark/>
          </w:tcPr>
          <w:p w14:paraId="09BEACA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FFFFFF"/>
            <w:vAlign w:val="bottom"/>
            <w:hideMark/>
          </w:tcPr>
          <w:p w14:paraId="72F16085"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FFFFFF"/>
            <w:vAlign w:val="bottom"/>
            <w:hideMark/>
          </w:tcPr>
          <w:p w14:paraId="3110CBD3" w14:textId="77777777" w:rsidR="00000000" w:rsidRDefault="0053651E">
            <w:pPr>
              <w:pStyle w:val="a3"/>
              <w:spacing w:before="0" w:beforeAutospacing="0" w:after="0" w:afterAutospacing="0"/>
              <w:jc w:val="center"/>
              <w:rPr>
                <w:sz w:val="16"/>
                <w:szCs w:val="16"/>
              </w:rPr>
            </w:pPr>
            <w:r>
              <w:rPr>
                <w:rStyle w:val="a6"/>
                <w:i w:val="0"/>
                <w:iCs w:val="0"/>
                <w:sz w:val="16"/>
                <w:szCs w:val="16"/>
              </w:rPr>
              <w:t>2012(A)</w:t>
            </w:r>
          </w:p>
        </w:tc>
      </w:tr>
      <w:tr w:rsidR="00000000" w14:paraId="16F7F83D" w14:textId="77777777">
        <w:trPr>
          <w:tblCellSpacing w:w="0" w:type="dxa"/>
        </w:trPr>
        <w:tc>
          <w:tcPr>
            <w:tcW w:w="50" w:type="pct"/>
            <w:gridSpan w:val="2"/>
            <w:shd w:val="clear" w:color="auto" w:fill="CCEEFF"/>
            <w:vAlign w:val="bottom"/>
            <w:hideMark/>
          </w:tcPr>
          <w:p w14:paraId="70D5E01B" w14:textId="77777777" w:rsidR="00000000" w:rsidRDefault="0053651E">
            <w:pPr>
              <w:pStyle w:val="a3"/>
              <w:spacing w:before="0" w:beforeAutospacing="0" w:after="0" w:afterAutospacing="0"/>
              <w:rPr>
                <w:sz w:val="16"/>
                <w:szCs w:val="16"/>
              </w:rPr>
            </w:pPr>
            <w:r>
              <w:rPr>
                <w:rStyle w:val="a6"/>
                <w:i w:val="0"/>
                <w:iCs w:val="0"/>
                <w:sz w:val="16"/>
                <w:szCs w:val="16"/>
              </w:rPr>
              <w:t>BALANCE OF PORTFOLIO (4)</w:t>
            </w:r>
          </w:p>
        </w:tc>
        <w:tc>
          <w:tcPr>
            <w:tcW w:w="150" w:type="pct"/>
            <w:shd w:val="clear" w:color="auto" w:fill="CCEEFF"/>
            <w:vAlign w:val="bottom"/>
            <w:hideMark/>
          </w:tcPr>
          <w:p w14:paraId="58034EF0" w14:textId="77777777" w:rsidR="00000000" w:rsidRDefault="0053651E">
            <w:pPr>
              <w:pStyle w:val="a3"/>
              <w:spacing w:before="0" w:beforeAutospacing="0" w:after="0" w:afterAutospacing="0"/>
              <w:rPr>
                <w:sz w:val="16"/>
                <w:szCs w:val="16"/>
              </w:rPr>
            </w:pPr>
            <w:r>
              <w:rPr>
                <w:rStyle w:val="a6"/>
                <w:i w:val="0"/>
                <w:iCs w:val="0"/>
                <w:sz w:val="16"/>
                <w:szCs w:val="16"/>
              </w:rPr>
              <w:t>Various</w:t>
            </w:r>
          </w:p>
        </w:tc>
        <w:tc>
          <w:tcPr>
            <w:tcW w:w="300" w:type="pct"/>
            <w:shd w:val="clear" w:color="auto" w:fill="CCEEFF"/>
            <w:vAlign w:val="bottom"/>
            <w:hideMark/>
          </w:tcPr>
          <w:p w14:paraId="11F83305" w14:textId="77777777" w:rsidR="00000000" w:rsidRDefault="0053651E">
            <w:pPr>
              <w:jc w:val="right"/>
              <w:rPr>
                <w:rFonts w:eastAsia="Times New Roman"/>
                <w:sz w:val="16"/>
                <w:szCs w:val="16"/>
              </w:rPr>
            </w:pPr>
            <w:r>
              <w:rPr>
                <w:rStyle w:val="a6"/>
                <w:rFonts w:eastAsia="Times New Roman"/>
                <w:i w:val="0"/>
                <w:iCs w:val="0"/>
                <w:sz w:val="16"/>
                <w:szCs w:val="16"/>
              </w:rPr>
              <w:t>1,907,178</w:t>
            </w:r>
          </w:p>
        </w:tc>
        <w:tc>
          <w:tcPr>
            <w:tcW w:w="550" w:type="pct"/>
            <w:shd w:val="clear" w:color="auto" w:fill="CCEEFF"/>
            <w:vAlign w:val="bottom"/>
            <w:hideMark/>
          </w:tcPr>
          <w:p w14:paraId="79C9F485" w14:textId="77777777" w:rsidR="00000000" w:rsidRDefault="0053651E">
            <w:pPr>
              <w:jc w:val="right"/>
              <w:rPr>
                <w:rFonts w:eastAsia="Times New Roman"/>
                <w:sz w:val="16"/>
                <w:szCs w:val="16"/>
              </w:rPr>
            </w:pPr>
            <w:r>
              <w:rPr>
                <w:rStyle w:val="a6"/>
                <w:rFonts w:eastAsia="Times New Roman"/>
                <w:i w:val="0"/>
                <w:iCs w:val="0"/>
                <w:sz w:val="16"/>
                <w:szCs w:val="16"/>
              </w:rPr>
              <w:t>65,127,203</w:t>
            </w:r>
          </w:p>
        </w:tc>
        <w:tc>
          <w:tcPr>
            <w:tcW w:w="350" w:type="pct"/>
            <w:shd w:val="clear" w:color="auto" w:fill="CCEEFF"/>
            <w:vAlign w:val="bottom"/>
            <w:hideMark/>
          </w:tcPr>
          <w:p w14:paraId="53B68AE0" w14:textId="77777777" w:rsidR="00000000" w:rsidRDefault="0053651E">
            <w:pPr>
              <w:jc w:val="right"/>
              <w:rPr>
                <w:rFonts w:eastAsia="Times New Roman"/>
                <w:sz w:val="16"/>
                <w:szCs w:val="16"/>
              </w:rPr>
            </w:pPr>
            <w:r>
              <w:rPr>
                <w:rStyle w:val="a6"/>
                <w:rFonts w:eastAsia="Times New Roman"/>
                <w:i w:val="0"/>
                <w:iCs w:val="0"/>
                <w:sz w:val="16"/>
                <w:szCs w:val="16"/>
              </w:rPr>
              <w:t>(23,978,562)</w:t>
            </w:r>
          </w:p>
        </w:tc>
        <w:tc>
          <w:tcPr>
            <w:tcW w:w="300" w:type="pct"/>
            <w:shd w:val="clear" w:color="auto" w:fill="CCEEFF"/>
            <w:vAlign w:val="bottom"/>
            <w:hideMark/>
          </w:tcPr>
          <w:p w14:paraId="1CFA9742" w14:textId="77777777" w:rsidR="00000000" w:rsidRDefault="0053651E">
            <w:pPr>
              <w:jc w:val="right"/>
              <w:rPr>
                <w:rFonts w:eastAsia="Times New Roman"/>
                <w:sz w:val="16"/>
                <w:szCs w:val="16"/>
              </w:rPr>
            </w:pPr>
            <w:r>
              <w:rPr>
                <w:rStyle w:val="a6"/>
                <w:rFonts w:eastAsia="Times New Roman"/>
                <w:i w:val="0"/>
                <w:iCs w:val="0"/>
                <w:sz w:val="16"/>
                <w:szCs w:val="16"/>
              </w:rPr>
              <w:t>116</w:t>
            </w:r>
          </w:p>
        </w:tc>
        <w:tc>
          <w:tcPr>
            <w:tcW w:w="450" w:type="pct"/>
            <w:shd w:val="clear" w:color="auto" w:fill="CCEEFF"/>
            <w:vAlign w:val="bottom"/>
            <w:hideMark/>
          </w:tcPr>
          <w:p w14:paraId="54897752" w14:textId="77777777" w:rsidR="00000000" w:rsidRDefault="0053651E">
            <w:pPr>
              <w:jc w:val="right"/>
              <w:rPr>
                <w:rFonts w:eastAsia="Times New Roman"/>
                <w:sz w:val="16"/>
                <w:szCs w:val="16"/>
              </w:rPr>
            </w:pPr>
            <w:r>
              <w:rPr>
                <w:rStyle w:val="a6"/>
                <w:rFonts w:eastAsia="Times New Roman"/>
                <w:i w:val="0"/>
                <w:iCs w:val="0"/>
                <w:sz w:val="16"/>
                <w:szCs w:val="16"/>
              </w:rPr>
              <w:t>43,055,703</w:t>
            </w:r>
          </w:p>
        </w:tc>
        <w:tc>
          <w:tcPr>
            <w:tcW w:w="350" w:type="pct"/>
            <w:shd w:val="clear" w:color="auto" w:fill="CCEEFF"/>
            <w:vAlign w:val="bottom"/>
            <w:hideMark/>
          </w:tcPr>
          <w:p w14:paraId="38B37568" w14:textId="77777777" w:rsidR="00000000" w:rsidRDefault="0053651E">
            <w:pPr>
              <w:jc w:val="right"/>
              <w:rPr>
                <w:rFonts w:eastAsia="Times New Roman"/>
                <w:sz w:val="16"/>
                <w:szCs w:val="16"/>
              </w:rPr>
            </w:pPr>
            <w:r>
              <w:rPr>
                <w:rStyle w:val="a6"/>
                <w:rFonts w:eastAsia="Times New Roman"/>
                <w:i w:val="0"/>
                <w:iCs w:val="0"/>
                <w:sz w:val="16"/>
                <w:szCs w:val="16"/>
              </w:rPr>
              <w:t>43,055,819</w:t>
            </w:r>
          </w:p>
        </w:tc>
        <w:tc>
          <w:tcPr>
            <w:tcW w:w="400" w:type="pct"/>
            <w:shd w:val="clear" w:color="auto" w:fill="CCEEFF"/>
            <w:vAlign w:val="bottom"/>
            <w:hideMark/>
          </w:tcPr>
          <w:p w14:paraId="57ABF0D8" w14:textId="77777777" w:rsidR="00000000" w:rsidRDefault="0053651E">
            <w:pPr>
              <w:jc w:val="right"/>
              <w:rPr>
                <w:rFonts w:eastAsia="Times New Roman"/>
                <w:sz w:val="16"/>
                <w:szCs w:val="16"/>
              </w:rPr>
            </w:pPr>
            <w:r>
              <w:rPr>
                <w:rStyle w:val="a6"/>
                <w:rFonts w:eastAsia="Times New Roman"/>
                <w:i w:val="0"/>
                <w:iCs w:val="0"/>
                <w:sz w:val="16"/>
                <w:szCs w:val="16"/>
              </w:rPr>
              <w:t>5,108,323</w:t>
            </w:r>
          </w:p>
        </w:tc>
        <w:tc>
          <w:tcPr>
            <w:tcW w:w="50" w:type="pct"/>
            <w:shd w:val="clear" w:color="auto" w:fill="CCEEFF"/>
            <w:vAlign w:val="bottom"/>
            <w:hideMark/>
          </w:tcPr>
          <w:p w14:paraId="7A43750B"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08EE1A64" w14:textId="77777777" w:rsidR="00000000" w:rsidRDefault="0053651E">
            <w:pPr>
              <w:jc w:val="right"/>
              <w:rPr>
                <w:rFonts w:eastAsia="Times New Roman"/>
                <w:sz w:val="16"/>
                <w:szCs w:val="16"/>
              </w:rPr>
            </w:pPr>
            <w:r>
              <w:rPr>
                <w:rStyle w:val="a6"/>
                <w:rFonts w:eastAsia="Times New Roman"/>
                <w:i w:val="0"/>
                <w:iCs w:val="0"/>
                <w:sz w:val="16"/>
                <w:szCs w:val="16"/>
              </w:rPr>
              <w:t>37,947,496</w:t>
            </w:r>
          </w:p>
        </w:tc>
        <w:tc>
          <w:tcPr>
            <w:tcW w:w="50" w:type="pct"/>
            <w:shd w:val="clear" w:color="auto" w:fill="CCEEFF"/>
            <w:vAlign w:val="bottom"/>
            <w:hideMark/>
          </w:tcPr>
          <w:p w14:paraId="31771751"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40C63F9D" w14:textId="77777777" w:rsidR="00000000" w:rsidRDefault="0053651E">
            <w:pPr>
              <w:jc w:val="right"/>
              <w:rPr>
                <w:rFonts w:eastAsia="Times New Roman"/>
                <w:sz w:val="16"/>
                <w:szCs w:val="16"/>
              </w:rPr>
            </w:pPr>
            <w:r>
              <w:rPr>
                <w:rStyle w:val="a6"/>
                <w:rFonts w:eastAsia="Times New Roman"/>
                <w:i w:val="0"/>
                <w:iCs w:val="0"/>
                <w:sz w:val="16"/>
                <w:szCs w:val="16"/>
              </w:rPr>
              <w:t>-</w:t>
            </w:r>
          </w:p>
        </w:tc>
        <w:tc>
          <w:tcPr>
            <w:tcW w:w="500" w:type="pct"/>
            <w:shd w:val="clear" w:color="auto" w:fill="CCEEFF"/>
            <w:vAlign w:val="bottom"/>
            <w:hideMark/>
          </w:tcPr>
          <w:p w14:paraId="108344ED" w14:textId="77777777" w:rsidR="00000000" w:rsidRDefault="0053651E">
            <w:pPr>
              <w:rPr>
                <w:rFonts w:eastAsia="Times New Roman"/>
                <w:sz w:val="16"/>
                <w:szCs w:val="16"/>
              </w:rPr>
            </w:pPr>
            <w:r>
              <w:rPr>
                <w:rStyle w:val="a6"/>
                <w:rFonts w:eastAsia="Times New Roman"/>
                <w:i w:val="0"/>
                <w:iCs w:val="0"/>
                <w:sz w:val="16"/>
                <w:szCs w:val="16"/>
              </w:rPr>
              <w:t> </w:t>
            </w:r>
          </w:p>
        </w:tc>
      </w:tr>
      <w:tr w:rsidR="00000000" w14:paraId="4875DB0F" w14:textId="77777777">
        <w:trPr>
          <w:tblCellSpacing w:w="0" w:type="dxa"/>
        </w:trPr>
        <w:tc>
          <w:tcPr>
            <w:tcW w:w="50" w:type="pct"/>
            <w:shd w:val="clear" w:color="auto" w:fill="FFFFFF"/>
            <w:vAlign w:val="bottom"/>
            <w:hideMark/>
          </w:tcPr>
          <w:p w14:paraId="41FB0238" w14:textId="77777777" w:rsidR="00000000" w:rsidRDefault="0053651E">
            <w:pPr>
              <w:rPr>
                <w:rFonts w:eastAsia="Times New Roman"/>
                <w:sz w:val="16"/>
                <w:szCs w:val="16"/>
              </w:rPr>
            </w:pPr>
            <w:r>
              <w:rPr>
                <w:rFonts w:eastAsia="Times New Roman"/>
                <w:sz w:val="16"/>
                <w:szCs w:val="16"/>
              </w:rPr>
              <w:t> </w:t>
            </w:r>
          </w:p>
        </w:tc>
        <w:tc>
          <w:tcPr>
            <w:tcW w:w="650" w:type="pct"/>
            <w:shd w:val="clear" w:color="auto" w:fill="FFFFFF"/>
            <w:vAlign w:val="bottom"/>
            <w:hideMark/>
          </w:tcPr>
          <w:p w14:paraId="5590F1D0" w14:textId="77777777" w:rsidR="00000000" w:rsidRDefault="0053651E">
            <w:pPr>
              <w:rPr>
                <w:rFonts w:eastAsia="Times New Roman"/>
                <w:sz w:val="16"/>
                <w:szCs w:val="16"/>
              </w:rPr>
            </w:pPr>
            <w:r>
              <w:rPr>
                <w:rFonts w:eastAsia="Times New Roman"/>
                <w:sz w:val="16"/>
                <w:szCs w:val="16"/>
              </w:rPr>
              <w:t> </w:t>
            </w:r>
          </w:p>
        </w:tc>
        <w:tc>
          <w:tcPr>
            <w:tcW w:w="150" w:type="pct"/>
            <w:shd w:val="clear" w:color="auto" w:fill="FFFFFF"/>
            <w:vAlign w:val="bottom"/>
            <w:hideMark/>
          </w:tcPr>
          <w:p w14:paraId="34999FBD"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0491F413" w14:textId="77777777" w:rsidR="00000000" w:rsidRDefault="0053651E">
            <w:pPr>
              <w:rPr>
                <w:rFonts w:eastAsia="Times New Roman"/>
                <w:sz w:val="16"/>
                <w:szCs w:val="16"/>
              </w:rPr>
            </w:pPr>
            <w:r>
              <w:rPr>
                <w:rFonts w:eastAsia="Times New Roman"/>
                <w:sz w:val="16"/>
                <w:szCs w:val="16"/>
              </w:rPr>
              <w:t> </w:t>
            </w:r>
          </w:p>
        </w:tc>
        <w:tc>
          <w:tcPr>
            <w:tcW w:w="550" w:type="pct"/>
            <w:tcBorders>
              <w:bottom w:val="single" w:sz="6" w:space="0" w:color="000000"/>
            </w:tcBorders>
            <w:shd w:val="clear" w:color="auto" w:fill="FFFFFF"/>
            <w:vAlign w:val="bottom"/>
            <w:hideMark/>
          </w:tcPr>
          <w:p w14:paraId="6E4D2B48"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14:paraId="218253B5" w14:textId="77777777" w:rsidR="00000000" w:rsidRDefault="0053651E">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1FD2059F"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FFFFFF"/>
            <w:vAlign w:val="bottom"/>
            <w:hideMark/>
          </w:tcPr>
          <w:p w14:paraId="572E6772" w14:textId="77777777" w:rsidR="00000000" w:rsidRDefault="0053651E">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14:paraId="2A437395" w14:textId="77777777" w:rsidR="00000000" w:rsidRDefault="0053651E">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FFFFFF"/>
            <w:vAlign w:val="bottom"/>
            <w:hideMark/>
          </w:tcPr>
          <w:p w14:paraId="78B5D592"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2CF35F3" w14:textId="77777777" w:rsidR="00000000" w:rsidRDefault="0053651E">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FFFFFF"/>
            <w:vAlign w:val="bottom"/>
            <w:hideMark/>
          </w:tcPr>
          <w:p w14:paraId="1255AB7C" w14:textId="77777777" w:rsidR="00000000" w:rsidRDefault="0053651E">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BA05F6D" w14:textId="77777777" w:rsidR="00000000" w:rsidRDefault="0053651E">
            <w:pPr>
              <w:rPr>
                <w:rFonts w:eastAsia="Times New Roman"/>
                <w:sz w:val="16"/>
                <w:szCs w:val="16"/>
              </w:rPr>
            </w:pPr>
            <w:r>
              <w:rPr>
                <w:rFonts w:eastAsia="Times New Roman"/>
                <w:sz w:val="16"/>
                <w:szCs w:val="16"/>
              </w:rPr>
              <w:t> </w:t>
            </w:r>
          </w:p>
        </w:tc>
        <w:tc>
          <w:tcPr>
            <w:tcW w:w="450" w:type="pct"/>
            <w:tcBorders>
              <w:bottom w:val="single" w:sz="6" w:space="0" w:color="000000"/>
            </w:tcBorders>
            <w:shd w:val="clear" w:color="auto" w:fill="FFFFFF"/>
            <w:vAlign w:val="bottom"/>
            <w:hideMark/>
          </w:tcPr>
          <w:p w14:paraId="5279DF51" w14:textId="77777777" w:rsidR="00000000" w:rsidRDefault="0053651E">
            <w:pPr>
              <w:rPr>
                <w:rFonts w:eastAsia="Times New Roman"/>
                <w:sz w:val="16"/>
                <w:szCs w:val="16"/>
              </w:rPr>
            </w:pPr>
            <w:r>
              <w:rPr>
                <w:rFonts w:eastAsia="Times New Roman"/>
                <w:sz w:val="16"/>
                <w:szCs w:val="16"/>
              </w:rPr>
              <w:t> </w:t>
            </w:r>
          </w:p>
        </w:tc>
        <w:tc>
          <w:tcPr>
            <w:tcW w:w="500" w:type="pct"/>
            <w:tcBorders>
              <w:bottom w:val="single" w:sz="6" w:space="0" w:color="000000"/>
            </w:tcBorders>
            <w:shd w:val="clear" w:color="auto" w:fill="FFFFFF"/>
            <w:vAlign w:val="bottom"/>
            <w:hideMark/>
          </w:tcPr>
          <w:p w14:paraId="2879170B" w14:textId="77777777" w:rsidR="00000000" w:rsidRDefault="0053651E">
            <w:pPr>
              <w:rPr>
                <w:rFonts w:eastAsia="Times New Roman"/>
                <w:sz w:val="16"/>
                <w:szCs w:val="16"/>
              </w:rPr>
            </w:pPr>
            <w:r>
              <w:rPr>
                <w:rFonts w:eastAsia="Times New Roman"/>
                <w:sz w:val="16"/>
                <w:szCs w:val="16"/>
              </w:rPr>
              <w:t> </w:t>
            </w:r>
          </w:p>
        </w:tc>
      </w:tr>
      <w:tr w:rsidR="00000000" w14:paraId="76BC0061" w14:textId="77777777">
        <w:trPr>
          <w:tblCellSpacing w:w="0" w:type="dxa"/>
        </w:trPr>
        <w:tc>
          <w:tcPr>
            <w:tcW w:w="700" w:type="pct"/>
            <w:gridSpan w:val="3"/>
            <w:shd w:val="clear" w:color="auto" w:fill="CCEEFF"/>
            <w:vAlign w:val="bottom"/>
            <w:hideMark/>
          </w:tcPr>
          <w:p w14:paraId="6C61B506" w14:textId="77777777" w:rsidR="00000000" w:rsidRDefault="0053651E">
            <w:pPr>
              <w:pStyle w:val="a3"/>
              <w:spacing w:before="0" w:beforeAutospacing="0" w:after="0" w:afterAutospacing="0"/>
              <w:rPr>
                <w:sz w:val="16"/>
                <w:szCs w:val="16"/>
              </w:rPr>
            </w:pPr>
            <w:r>
              <w:rPr>
                <w:rStyle w:val="a6"/>
                <w:i w:val="0"/>
                <w:iCs w:val="0"/>
                <w:sz w:val="16"/>
                <w:szCs w:val="16"/>
              </w:rPr>
              <w:t>  TOTALS</w:t>
            </w:r>
          </w:p>
        </w:tc>
        <w:tc>
          <w:tcPr>
            <w:tcW w:w="300" w:type="pct"/>
            <w:shd w:val="clear" w:color="auto" w:fill="CCEEFF"/>
            <w:vAlign w:val="bottom"/>
            <w:hideMark/>
          </w:tcPr>
          <w:p w14:paraId="7B6A9A91" w14:textId="77777777" w:rsidR="00000000" w:rsidRDefault="0053651E">
            <w:pPr>
              <w:jc w:val="right"/>
              <w:rPr>
                <w:rFonts w:eastAsia="Times New Roman"/>
                <w:sz w:val="16"/>
                <w:szCs w:val="16"/>
              </w:rPr>
            </w:pPr>
            <w:r>
              <w:rPr>
                <w:rStyle w:val="a6"/>
                <w:rFonts w:eastAsia="Times New Roman"/>
                <w:i w:val="0"/>
                <w:iCs w:val="0"/>
                <w:sz w:val="16"/>
                <w:szCs w:val="16"/>
              </w:rPr>
              <w:t>2,913,545,177</w:t>
            </w:r>
          </w:p>
        </w:tc>
        <w:tc>
          <w:tcPr>
            <w:tcW w:w="550" w:type="pct"/>
            <w:shd w:val="clear" w:color="auto" w:fill="CCEEFF"/>
            <w:vAlign w:val="bottom"/>
            <w:hideMark/>
          </w:tcPr>
          <w:p w14:paraId="43B8A263" w14:textId="77777777" w:rsidR="00000000" w:rsidRDefault="0053651E">
            <w:pPr>
              <w:jc w:val="right"/>
              <w:rPr>
                <w:rFonts w:eastAsia="Times New Roman"/>
                <w:sz w:val="16"/>
                <w:szCs w:val="16"/>
              </w:rPr>
            </w:pPr>
            <w:r>
              <w:rPr>
                <w:rStyle w:val="a6"/>
                <w:rFonts w:eastAsia="Times New Roman"/>
                <w:i w:val="0"/>
                <w:iCs w:val="0"/>
                <w:sz w:val="16"/>
                <w:szCs w:val="16"/>
              </w:rPr>
              <w:t>6,905,751,796</w:t>
            </w:r>
          </w:p>
        </w:tc>
        <w:tc>
          <w:tcPr>
            <w:tcW w:w="350" w:type="pct"/>
            <w:shd w:val="clear" w:color="auto" w:fill="CCEEFF"/>
            <w:vAlign w:val="bottom"/>
            <w:hideMark/>
          </w:tcPr>
          <w:p w14:paraId="1D3A9798" w14:textId="77777777" w:rsidR="00000000" w:rsidRDefault="0053651E">
            <w:pPr>
              <w:jc w:val="right"/>
              <w:rPr>
                <w:rFonts w:eastAsia="Times New Roman"/>
                <w:sz w:val="16"/>
                <w:szCs w:val="16"/>
              </w:rPr>
            </w:pPr>
            <w:r>
              <w:rPr>
                <w:rStyle w:val="a6"/>
                <w:rFonts w:eastAsia="Times New Roman"/>
                <w:i w:val="0"/>
                <w:iCs w:val="0"/>
                <w:sz w:val="16"/>
                <w:szCs w:val="16"/>
              </w:rPr>
              <w:t>2,109,979,480</w:t>
            </w:r>
          </w:p>
        </w:tc>
        <w:tc>
          <w:tcPr>
            <w:tcW w:w="300" w:type="pct"/>
            <w:shd w:val="clear" w:color="auto" w:fill="CCEEFF"/>
            <w:vAlign w:val="bottom"/>
            <w:hideMark/>
          </w:tcPr>
          <w:p w14:paraId="6BD65DB6" w14:textId="77777777" w:rsidR="00000000" w:rsidRDefault="0053651E">
            <w:pPr>
              <w:jc w:val="right"/>
              <w:rPr>
                <w:rFonts w:eastAsia="Times New Roman"/>
                <w:sz w:val="16"/>
                <w:szCs w:val="16"/>
              </w:rPr>
            </w:pPr>
            <w:r>
              <w:rPr>
                <w:rStyle w:val="a6"/>
                <w:rFonts w:eastAsia="Times New Roman"/>
                <w:i w:val="0"/>
                <w:iCs w:val="0"/>
                <w:sz w:val="16"/>
                <w:szCs w:val="16"/>
              </w:rPr>
              <w:t>3,008,324,499</w:t>
            </w:r>
          </w:p>
        </w:tc>
        <w:tc>
          <w:tcPr>
            <w:tcW w:w="450" w:type="pct"/>
            <w:shd w:val="clear" w:color="auto" w:fill="CCEEFF"/>
            <w:vAlign w:val="bottom"/>
            <w:hideMark/>
          </w:tcPr>
          <w:p w14:paraId="19D5F180" w14:textId="77777777" w:rsidR="00000000" w:rsidRDefault="0053651E">
            <w:pPr>
              <w:jc w:val="right"/>
              <w:rPr>
                <w:rFonts w:eastAsia="Times New Roman"/>
                <w:sz w:val="16"/>
                <w:szCs w:val="16"/>
              </w:rPr>
            </w:pPr>
            <w:r>
              <w:rPr>
                <w:rStyle w:val="a6"/>
                <w:rFonts w:eastAsia="Times New Roman"/>
                <w:i w:val="0"/>
                <w:iCs w:val="0"/>
                <w:sz w:val="16"/>
                <w:szCs w:val="16"/>
              </w:rPr>
              <w:t>8,920,951,954</w:t>
            </w:r>
          </w:p>
        </w:tc>
        <w:tc>
          <w:tcPr>
            <w:tcW w:w="350" w:type="pct"/>
            <w:shd w:val="clear" w:color="auto" w:fill="CCEEFF"/>
            <w:vAlign w:val="bottom"/>
            <w:hideMark/>
          </w:tcPr>
          <w:p w14:paraId="3F9E8202" w14:textId="77777777" w:rsidR="00000000" w:rsidRDefault="0053651E">
            <w:pPr>
              <w:jc w:val="right"/>
              <w:rPr>
                <w:rFonts w:eastAsia="Times New Roman"/>
                <w:sz w:val="16"/>
                <w:szCs w:val="16"/>
              </w:rPr>
            </w:pPr>
            <w:r>
              <w:rPr>
                <w:rStyle w:val="a6"/>
                <w:rFonts w:eastAsia="Times New Roman"/>
                <w:i w:val="0"/>
                <w:iCs w:val="0"/>
                <w:sz w:val="16"/>
                <w:szCs w:val="16"/>
              </w:rPr>
              <w:t>11,929,276,453</w:t>
            </w:r>
          </w:p>
        </w:tc>
        <w:tc>
          <w:tcPr>
            <w:tcW w:w="400" w:type="pct"/>
            <w:shd w:val="clear" w:color="auto" w:fill="CCEEFF"/>
            <w:vAlign w:val="bottom"/>
            <w:hideMark/>
          </w:tcPr>
          <w:p w14:paraId="3EEE5DA5" w14:textId="77777777" w:rsidR="00000000" w:rsidRDefault="0053651E">
            <w:pPr>
              <w:jc w:val="right"/>
              <w:rPr>
                <w:rFonts w:eastAsia="Times New Roman"/>
                <w:sz w:val="16"/>
                <w:szCs w:val="16"/>
              </w:rPr>
            </w:pPr>
            <w:r>
              <w:rPr>
                <w:rStyle w:val="a6"/>
                <w:rFonts w:eastAsia="Times New Roman"/>
                <w:i w:val="0"/>
                <w:iCs w:val="0"/>
                <w:sz w:val="16"/>
                <w:szCs w:val="16"/>
              </w:rPr>
              <w:t>2,500,052,642</w:t>
            </w:r>
          </w:p>
        </w:tc>
        <w:tc>
          <w:tcPr>
            <w:tcW w:w="50" w:type="pct"/>
            <w:shd w:val="clear" w:color="auto" w:fill="CCEEFF"/>
            <w:vAlign w:val="bottom"/>
            <w:hideMark/>
          </w:tcPr>
          <w:p w14:paraId="598B5164" w14:textId="77777777" w:rsidR="00000000" w:rsidRDefault="0053651E">
            <w:pPr>
              <w:jc w:val="right"/>
              <w:rPr>
                <w:rFonts w:eastAsia="Times New Roman"/>
                <w:sz w:val="16"/>
                <w:szCs w:val="16"/>
              </w:rPr>
            </w:pPr>
            <w:r>
              <w:rPr>
                <w:rFonts w:eastAsia="Times New Roman"/>
                <w:sz w:val="16"/>
                <w:szCs w:val="16"/>
              </w:rPr>
              <w:t> </w:t>
            </w:r>
          </w:p>
        </w:tc>
        <w:tc>
          <w:tcPr>
            <w:tcW w:w="400" w:type="pct"/>
            <w:shd w:val="clear" w:color="auto" w:fill="CCEEFF"/>
            <w:vAlign w:val="bottom"/>
            <w:hideMark/>
          </w:tcPr>
          <w:p w14:paraId="50BE49FC" w14:textId="77777777" w:rsidR="00000000" w:rsidRDefault="0053651E">
            <w:pPr>
              <w:jc w:val="right"/>
              <w:rPr>
                <w:rFonts w:eastAsia="Times New Roman"/>
                <w:sz w:val="16"/>
                <w:szCs w:val="16"/>
              </w:rPr>
            </w:pPr>
            <w:r>
              <w:rPr>
                <w:rStyle w:val="a6"/>
                <w:rFonts w:eastAsia="Times New Roman"/>
                <w:i w:val="0"/>
                <w:iCs w:val="0"/>
                <w:sz w:val="16"/>
                <w:szCs w:val="16"/>
              </w:rPr>
              <w:t>9,429,223,811</w:t>
            </w:r>
          </w:p>
        </w:tc>
        <w:tc>
          <w:tcPr>
            <w:tcW w:w="50" w:type="pct"/>
            <w:shd w:val="clear" w:color="auto" w:fill="CCEEFF"/>
            <w:vAlign w:val="bottom"/>
            <w:hideMark/>
          </w:tcPr>
          <w:p w14:paraId="2F292E87" w14:textId="77777777" w:rsidR="00000000" w:rsidRDefault="0053651E">
            <w:pPr>
              <w:jc w:val="right"/>
              <w:rPr>
                <w:rFonts w:eastAsia="Times New Roman"/>
                <w:sz w:val="16"/>
                <w:szCs w:val="16"/>
              </w:rPr>
            </w:pPr>
            <w:r>
              <w:rPr>
                <w:rFonts w:eastAsia="Times New Roman"/>
                <w:sz w:val="16"/>
                <w:szCs w:val="16"/>
              </w:rPr>
              <w:t> </w:t>
            </w:r>
          </w:p>
        </w:tc>
        <w:tc>
          <w:tcPr>
            <w:tcW w:w="450" w:type="pct"/>
            <w:shd w:val="clear" w:color="auto" w:fill="CCEEFF"/>
            <w:vAlign w:val="bottom"/>
            <w:hideMark/>
          </w:tcPr>
          <w:p w14:paraId="59EAACAF" w14:textId="77777777" w:rsidR="00000000" w:rsidRDefault="0053651E">
            <w:pPr>
              <w:jc w:val="right"/>
              <w:rPr>
                <w:rFonts w:eastAsia="Times New Roman"/>
                <w:sz w:val="16"/>
                <w:szCs w:val="16"/>
              </w:rPr>
            </w:pPr>
            <w:r>
              <w:rPr>
                <w:rStyle w:val="a6"/>
                <w:rFonts w:eastAsia="Times New Roman"/>
                <w:i w:val="0"/>
                <w:iCs w:val="0"/>
                <w:sz w:val="16"/>
                <w:szCs w:val="16"/>
              </w:rPr>
              <w:t>484,008,122</w:t>
            </w:r>
          </w:p>
        </w:tc>
        <w:tc>
          <w:tcPr>
            <w:tcW w:w="500" w:type="pct"/>
            <w:shd w:val="clear" w:color="auto" w:fill="CCEEFF"/>
            <w:vAlign w:val="bottom"/>
            <w:hideMark/>
          </w:tcPr>
          <w:p w14:paraId="1AEFA5E5" w14:textId="77777777" w:rsidR="00000000" w:rsidRDefault="0053651E">
            <w:pPr>
              <w:rPr>
                <w:rFonts w:eastAsia="Times New Roman"/>
                <w:sz w:val="16"/>
                <w:szCs w:val="16"/>
              </w:rPr>
            </w:pPr>
            <w:r>
              <w:rPr>
                <w:rStyle w:val="a6"/>
                <w:rFonts w:eastAsia="Times New Roman"/>
                <w:i w:val="0"/>
                <w:iCs w:val="0"/>
                <w:sz w:val="16"/>
                <w:szCs w:val="16"/>
              </w:rPr>
              <w:t> </w:t>
            </w:r>
          </w:p>
        </w:tc>
      </w:tr>
    </w:tbl>
    <w:p w14:paraId="2567804D" w14:textId="77777777" w:rsidR="00000000" w:rsidRDefault="0053651E">
      <w:pPr>
        <w:pStyle w:val="a3"/>
        <w:spacing w:before="0" w:beforeAutospacing="0" w:after="0" w:afterAutospacing="0"/>
        <w:rPr>
          <w:sz w:val="20"/>
          <w:szCs w:val="20"/>
        </w:rPr>
      </w:pPr>
      <w:r>
        <w:rPr>
          <w:sz w:val="20"/>
          <w:szCs w:val="20"/>
        </w:rPr>
        <w:t> </w:t>
      </w:r>
    </w:p>
    <w:p w14:paraId="0EB1D594"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4"/>
        <w:gridCol w:w="7208"/>
        <w:gridCol w:w="814"/>
      </w:tblGrid>
      <w:tr w:rsidR="00000000" w14:paraId="2B6DA823" w14:textId="77777777">
        <w:trPr>
          <w:gridAfter w:val="1"/>
          <w:wAfter w:w="830" w:type="dxa"/>
          <w:tblCellSpacing w:w="0" w:type="dxa"/>
        </w:trPr>
        <w:tc>
          <w:tcPr>
            <w:tcW w:w="150" w:type="pct"/>
            <w:hideMark/>
          </w:tcPr>
          <w:p w14:paraId="575B4CCE"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1</w:t>
            </w:r>
            <w:r>
              <w:rPr>
                <w:rFonts w:eastAsia="Times New Roman"/>
                <w:sz w:val="20"/>
                <w:szCs w:val="20"/>
              </w:rPr>
              <w:t>) </w:t>
            </w:r>
          </w:p>
        </w:tc>
        <w:tc>
          <w:tcPr>
            <w:tcW w:w="4350" w:type="pct"/>
            <w:vAlign w:val="bottom"/>
            <w:hideMark/>
          </w:tcPr>
          <w:p w14:paraId="649E63F5" w14:textId="77777777" w:rsidR="00000000" w:rsidRDefault="0053651E">
            <w:pPr>
              <w:pStyle w:val="a3"/>
              <w:spacing w:before="0" w:beforeAutospacing="0" w:after="0" w:afterAutospacing="0"/>
              <w:rPr>
                <w:sz w:val="20"/>
                <w:szCs w:val="20"/>
              </w:rPr>
            </w:pPr>
            <w:r>
              <w:rPr>
                <w:sz w:val="20"/>
                <w:szCs w:val="20"/>
              </w:rPr>
              <w:t>The negative balance for costs capitalized subsequent to acquisition could include parcels/out-parcels sold, assets held-for-sale, provision for losses and/or demolition of part of a property for redevelopment. </w:t>
            </w:r>
          </w:p>
        </w:tc>
      </w:tr>
      <w:tr w:rsidR="00000000" w14:paraId="7632B613" w14:textId="77777777">
        <w:trPr>
          <w:tblCellSpacing w:w="0" w:type="dxa"/>
        </w:trPr>
        <w:tc>
          <w:tcPr>
            <w:tcW w:w="150" w:type="pct"/>
            <w:hideMark/>
          </w:tcPr>
          <w:p w14:paraId="28D82367"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2</w:t>
            </w:r>
            <w:r>
              <w:rPr>
                <w:rFonts w:eastAsia="Times New Roman"/>
                <w:sz w:val="20"/>
                <w:szCs w:val="20"/>
              </w:rPr>
              <w:t>) </w:t>
            </w:r>
          </w:p>
        </w:tc>
        <w:tc>
          <w:tcPr>
            <w:tcW w:w="4350" w:type="pct"/>
            <w:vAlign w:val="bottom"/>
            <w:hideMark/>
          </w:tcPr>
          <w:p w14:paraId="06D2F459" w14:textId="77777777" w:rsidR="00000000" w:rsidRDefault="0053651E">
            <w:pPr>
              <w:pStyle w:val="a3"/>
              <w:spacing w:before="0" w:beforeAutospacing="0" w:after="0" w:afterAutospacing="0"/>
              <w:rPr>
                <w:sz w:val="20"/>
                <w:szCs w:val="20"/>
              </w:rPr>
            </w:pPr>
            <w:r>
              <w:rPr>
                <w:sz w:val="20"/>
                <w:szCs w:val="20"/>
              </w:rPr>
              <w:t>Includes fair market value of debt adjustments, net and deferred financing costs, net. </w:t>
            </w:r>
          </w:p>
        </w:tc>
        <w:tc>
          <w:tcPr>
            <w:tcW w:w="500" w:type="pct"/>
            <w:vAlign w:val="bottom"/>
            <w:hideMark/>
          </w:tcPr>
          <w:p w14:paraId="65F4AA36" w14:textId="77777777" w:rsidR="00000000" w:rsidRDefault="0053651E">
            <w:pPr>
              <w:rPr>
                <w:rFonts w:eastAsia="Times New Roman"/>
                <w:sz w:val="20"/>
                <w:szCs w:val="20"/>
              </w:rPr>
            </w:pPr>
            <w:r>
              <w:rPr>
                <w:rFonts w:eastAsia="Times New Roman"/>
                <w:sz w:val="20"/>
                <w:szCs w:val="20"/>
              </w:rPr>
              <w:t> </w:t>
            </w:r>
          </w:p>
        </w:tc>
      </w:tr>
      <w:tr w:rsidR="00000000" w14:paraId="7D50C005" w14:textId="77777777">
        <w:trPr>
          <w:tblCellSpacing w:w="0" w:type="dxa"/>
        </w:trPr>
        <w:tc>
          <w:tcPr>
            <w:tcW w:w="150" w:type="pct"/>
            <w:hideMark/>
          </w:tcPr>
          <w:p w14:paraId="127FFCA7"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3</w:t>
            </w:r>
            <w:r>
              <w:rPr>
                <w:rFonts w:eastAsia="Times New Roman"/>
                <w:sz w:val="20"/>
                <w:szCs w:val="20"/>
              </w:rPr>
              <w:t>) </w:t>
            </w:r>
          </w:p>
        </w:tc>
        <w:tc>
          <w:tcPr>
            <w:tcW w:w="4350" w:type="pct"/>
            <w:vAlign w:val="bottom"/>
            <w:hideMark/>
          </w:tcPr>
          <w:p w14:paraId="530C4EFC" w14:textId="77777777" w:rsidR="00000000" w:rsidRDefault="0053651E">
            <w:pPr>
              <w:pStyle w:val="a3"/>
              <w:spacing w:before="0" w:beforeAutospacing="0" w:after="0" w:afterAutospacing="0"/>
              <w:rPr>
                <w:sz w:val="20"/>
                <w:szCs w:val="20"/>
              </w:rPr>
            </w:pPr>
            <w:r>
              <w:rPr>
                <w:sz w:val="20"/>
                <w:szCs w:val="20"/>
              </w:rPr>
              <w:t>Shopping center includes active real estate under development project or land held for development. </w:t>
            </w:r>
          </w:p>
        </w:tc>
        <w:tc>
          <w:tcPr>
            <w:tcW w:w="500" w:type="pct"/>
            <w:vAlign w:val="bottom"/>
            <w:hideMark/>
          </w:tcPr>
          <w:p w14:paraId="1A3EFBDB" w14:textId="77777777" w:rsidR="00000000" w:rsidRDefault="0053651E">
            <w:pPr>
              <w:rPr>
                <w:rFonts w:eastAsia="Times New Roman"/>
                <w:sz w:val="20"/>
                <w:szCs w:val="20"/>
              </w:rPr>
            </w:pPr>
            <w:r>
              <w:rPr>
                <w:rFonts w:eastAsia="Times New Roman"/>
                <w:sz w:val="20"/>
                <w:szCs w:val="20"/>
              </w:rPr>
              <w:t> </w:t>
            </w:r>
          </w:p>
        </w:tc>
      </w:tr>
      <w:tr w:rsidR="00000000" w14:paraId="465A57DE" w14:textId="77777777">
        <w:trPr>
          <w:tblCellSpacing w:w="0" w:type="dxa"/>
        </w:trPr>
        <w:tc>
          <w:tcPr>
            <w:tcW w:w="150" w:type="pct"/>
            <w:hideMark/>
          </w:tcPr>
          <w:p w14:paraId="1DE37A40" w14:textId="77777777" w:rsidR="00000000" w:rsidRDefault="0053651E">
            <w:pPr>
              <w:rPr>
                <w:rFonts w:eastAsia="Times New Roman"/>
                <w:sz w:val="20"/>
                <w:szCs w:val="20"/>
              </w:rPr>
            </w:pPr>
            <w:r>
              <w:rPr>
                <w:rFonts w:eastAsia="Times New Roman"/>
                <w:sz w:val="20"/>
                <w:szCs w:val="20"/>
              </w:rPr>
              <w:t>(</w:t>
            </w:r>
            <w:r>
              <w:rPr>
                <w:rStyle w:val="a6"/>
                <w:rFonts w:eastAsia="Times New Roman"/>
                <w:i w:val="0"/>
                <w:iCs w:val="0"/>
                <w:sz w:val="20"/>
                <w:szCs w:val="20"/>
              </w:rPr>
              <w:t>4</w:t>
            </w:r>
            <w:r>
              <w:rPr>
                <w:rFonts w:eastAsia="Times New Roman"/>
                <w:sz w:val="20"/>
                <w:szCs w:val="20"/>
              </w:rPr>
              <w:t>) </w:t>
            </w:r>
          </w:p>
        </w:tc>
        <w:tc>
          <w:tcPr>
            <w:tcW w:w="4350" w:type="pct"/>
            <w:vAlign w:val="bottom"/>
            <w:hideMark/>
          </w:tcPr>
          <w:p w14:paraId="3AD5BB99" w14:textId="77777777" w:rsidR="00000000" w:rsidRDefault="0053651E">
            <w:pPr>
              <w:pStyle w:val="a3"/>
              <w:spacing w:before="0" w:beforeAutospacing="0" w:after="0" w:afterAutospacing="0"/>
              <w:rPr>
                <w:sz w:val="20"/>
                <w:szCs w:val="20"/>
              </w:rPr>
            </w:pPr>
            <w:r>
              <w:rPr>
                <w:sz w:val="20"/>
                <w:szCs w:val="20"/>
              </w:rPr>
              <w:t>Includes fixtures, leasehold improvements and other</w:t>
            </w:r>
            <w:r>
              <w:rPr>
                <w:sz w:val="20"/>
                <w:szCs w:val="20"/>
              </w:rPr>
              <w:t xml:space="preserve"> costs capitalized. </w:t>
            </w:r>
          </w:p>
        </w:tc>
        <w:tc>
          <w:tcPr>
            <w:tcW w:w="500" w:type="pct"/>
            <w:vAlign w:val="bottom"/>
            <w:hideMark/>
          </w:tcPr>
          <w:p w14:paraId="348AA7F6" w14:textId="77777777" w:rsidR="00000000" w:rsidRDefault="0053651E">
            <w:pPr>
              <w:rPr>
                <w:rFonts w:eastAsia="Times New Roman"/>
                <w:sz w:val="20"/>
                <w:szCs w:val="20"/>
              </w:rPr>
            </w:pPr>
            <w:r>
              <w:rPr>
                <w:rFonts w:eastAsia="Times New Roman"/>
                <w:sz w:val="20"/>
                <w:szCs w:val="20"/>
              </w:rPr>
              <w:t> </w:t>
            </w:r>
          </w:p>
        </w:tc>
      </w:tr>
    </w:tbl>
    <w:p w14:paraId="12E9AEC7"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93652A6" w14:textId="77777777">
        <w:trPr>
          <w:tblCellSpacing w:w="0" w:type="dxa"/>
        </w:trPr>
        <w:tc>
          <w:tcPr>
            <w:tcW w:w="3465" w:type="pct"/>
            <w:vAlign w:val="bottom"/>
            <w:hideMark/>
          </w:tcPr>
          <w:p w14:paraId="29E2B494" w14:textId="77777777" w:rsidR="00000000" w:rsidRDefault="0053651E">
            <w:pPr>
              <w:pStyle w:val="a3"/>
              <w:spacing w:before="0" w:beforeAutospacing="0" w:after="0" w:afterAutospacing="0"/>
              <w:rPr>
                <w:sz w:val="20"/>
                <w:szCs w:val="20"/>
              </w:rPr>
            </w:pPr>
            <w:r>
              <w:rPr>
                <w:sz w:val="20"/>
                <w:szCs w:val="20"/>
              </w:rPr>
              <w:t>Depreciation and amortization are provided on the straight-line method over the estimated useful lives of the assets as follows:</w:t>
            </w:r>
          </w:p>
        </w:tc>
      </w:tr>
    </w:tbl>
    <w:p w14:paraId="340DB60C"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2"/>
        <w:gridCol w:w="4984"/>
      </w:tblGrid>
      <w:tr w:rsidR="00000000" w14:paraId="12FBC942" w14:textId="77777777">
        <w:trPr>
          <w:tblCellSpacing w:w="0" w:type="dxa"/>
        </w:trPr>
        <w:tc>
          <w:tcPr>
            <w:tcW w:w="2000" w:type="pct"/>
            <w:vAlign w:val="bottom"/>
            <w:hideMark/>
          </w:tcPr>
          <w:p w14:paraId="0D0DBB10" w14:textId="77777777" w:rsidR="00000000" w:rsidRDefault="0053651E">
            <w:pPr>
              <w:pStyle w:val="a3"/>
              <w:spacing w:before="0" w:beforeAutospacing="0" w:after="0" w:afterAutospacing="0"/>
              <w:rPr>
                <w:sz w:val="20"/>
                <w:szCs w:val="20"/>
              </w:rPr>
            </w:pPr>
            <w:r>
              <w:rPr>
                <w:sz w:val="20"/>
                <w:szCs w:val="20"/>
              </w:rPr>
              <w:t>Buildings and building improvements (in years)</w:t>
            </w:r>
          </w:p>
        </w:tc>
        <w:tc>
          <w:tcPr>
            <w:tcW w:w="3000" w:type="pct"/>
            <w:vAlign w:val="bottom"/>
            <w:hideMark/>
          </w:tcPr>
          <w:p w14:paraId="62CDF9FA" w14:textId="77777777" w:rsidR="00000000" w:rsidRDefault="0053651E">
            <w:pPr>
              <w:pStyle w:val="a3"/>
              <w:spacing w:before="0" w:beforeAutospacing="0" w:after="0" w:afterAutospacing="0"/>
              <w:rPr>
                <w:sz w:val="20"/>
                <w:szCs w:val="20"/>
              </w:rPr>
            </w:pPr>
            <w:r>
              <w:rPr>
                <w:sz w:val="20"/>
                <w:szCs w:val="20"/>
              </w:rPr>
              <w:t>5 to 50</w:t>
            </w:r>
          </w:p>
        </w:tc>
      </w:tr>
      <w:tr w:rsidR="00000000" w14:paraId="5C1E29A2" w14:textId="77777777">
        <w:trPr>
          <w:tblCellSpacing w:w="0" w:type="dxa"/>
        </w:trPr>
        <w:tc>
          <w:tcPr>
            <w:tcW w:w="2000" w:type="pct"/>
            <w:vAlign w:val="bottom"/>
            <w:hideMark/>
          </w:tcPr>
          <w:p w14:paraId="6064AFDB" w14:textId="77777777" w:rsidR="00000000" w:rsidRDefault="0053651E">
            <w:pPr>
              <w:pStyle w:val="a3"/>
              <w:spacing w:before="0" w:beforeAutospacing="0" w:after="0" w:afterAutospacing="0"/>
              <w:rPr>
                <w:sz w:val="20"/>
                <w:szCs w:val="20"/>
              </w:rPr>
            </w:pPr>
            <w:r>
              <w:rPr>
                <w:sz w:val="20"/>
                <w:szCs w:val="20"/>
              </w:rPr>
              <w:t>Fixtures, building and leasehold improvements</w:t>
            </w:r>
          </w:p>
        </w:tc>
        <w:tc>
          <w:tcPr>
            <w:tcW w:w="3000" w:type="pct"/>
            <w:vAlign w:val="bottom"/>
            <w:hideMark/>
          </w:tcPr>
          <w:p w14:paraId="11BB5E52" w14:textId="77777777" w:rsidR="00000000" w:rsidRDefault="0053651E">
            <w:pPr>
              <w:pStyle w:val="a3"/>
              <w:spacing w:before="0" w:beforeAutospacing="0" w:after="0" w:afterAutospacing="0"/>
              <w:rPr>
                <w:sz w:val="20"/>
                <w:szCs w:val="20"/>
              </w:rPr>
            </w:pPr>
            <w:r>
              <w:rPr>
                <w:sz w:val="20"/>
                <w:szCs w:val="20"/>
              </w:rPr>
              <w:t>Terms of leases or useful lives, whichever is shorter</w:t>
            </w:r>
          </w:p>
        </w:tc>
      </w:tr>
      <w:tr w:rsidR="00000000" w14:paraId="07B3AD2B" w14:textId="77777777">
        <w:trPr>
          <w:tblCellSpacing w:w="0" w:type="dxa"/>
        </w:trPr>
        <w:tc>
          <w:tcPr>
            <w:tcW w:w="2000" w:type="pct"/>
            <w:vAlign w:val="bottom"/>
            <w:hideMark/>
          </w:tcPr>
          <w:p w14:paraId="0C300E63" w14:textId="77777777" w:rsidR="00000000" w:rsidRDefault="0053651E">
            <w:pPr>
              <w:pStyle w:val="a3"/>
              <w:spacing w:before="0" w:beforeAutospacing="0" w:after="0" w:afterAutospacing="0"/>
              <w:ind w:left="360"/>
              <w:rPr>
                <w:sz w:val="20"/>
                <w:szCs w:val="20"/>
              </w:rPr>
            </w:pPr>
            <w:r>
              <w:rPr>
                <w:sz w:val="20"/>
                <w:szCs w:val="20"/>
              </w:rPr>
              <w:t>(including certain identified intangible assets)</w:t>
            </w:r>
          </w:p>
        </w:tc>
        <w:tc>
          <w:tcPr>
            <w:tcW w:w="3000" w:type="pct"/>
            <w:vAlign w:val="bottom"/>
            <w:hideMark/>
          </w:tcPr>
          <w:p w14:paraId="2AA499F9" w14:textId="77777777" w:rsidR="00000000" w:rsidRDefault="0053651E">
            <w:pPr>
              <w:rPr>
                <w:rFonts w:eastAsia="Times New Roman"/>
                <w:sz w:val="20"/>
                <w:szCs w:val="20"/>
              </w:rPr>
            </w:pPr>
            <w:r>
              <w:rPr>
                <w:rFonts w:eastAsia="Times New Roman"/>
                <w:sz w:val="20"/>
                <w:szCs w:val="20"/>
              </w:rPr>
              <w:t> </w:t>
            </w:r>
          </w:p>
        </w:tc>
      </w:tr>
    </w:tbl>
    <w:p w14:paraId="1306F795"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7A38705" w14:textId="77777777">
        <w:trPr>
          <w:tblCellSpacing w:w="0" w:type="dxa"/>
        </w:trPr>
        <w:tc>
          <w:tcPr>
            <w:tcW w:w="2670" w:type="pct"/>
            <w:vAlign w:val="bottom"/>
            <w:hideMark/>
          </w:tcPr>
          <w:p w14:paraId="0D54C202" w14:textId="77777777" w:rsidR="00000000" w:rsidRDefault="0053651E">
            <w:pPr>
              <w:pStyle w:val="a3"/>
              <w:spacing w:before="0" w:beforeAutospacing="0" w:after="0" w:afterAutospacing="0"/>
              <w:rPr>
                <w:sz w:val="20"/>
                <w:szCs w:val="20"/>
              </w:rPr>
            </w:pPr>
            <w:r>
              <w:rPr>
                <w:sz w:val="20"/>
                <w:szCs w:val="20"/>
              </w:rPr>
              <w:t>The aggregate cost for Federal income tax purposes was approximately $10.0 billion at</w:t>
            </w:r>
            <w:r>
              <w:rPr>
                <w:sz w:val="20"/>
                <w:szCs w:val="20"/>
              </w:rPr>
              <w:t xml:space="preserve"> </w:t>
            </w:r>
            <w:r>
              <w:rPr>
                <w:rStyle w:val="a6"/>
                <w:i w:val="0"/>
                <w:iCs w:val="0"/>
                <w:sz w:val="20"/>
                <w:szCs w:val="20"/>
              </w:rPr>
              <w:t>December 31, 2019.</w:t>
            </w:r>
          </w:p>
        </w:tc>
      </w:tr>
      <w:tr w:rsidR="00000000" w14:paraId="603C9F01" w14:textId="77777777">
        <w:trPr>
          <w:tblCellSpacing w:w="0" w:type="dxa"/>
        </w:trPr>
        <w:tc>
          <w:tcPr>
            <w:tcW w:w="1210" w:type="pct"/>
            <w:vAlign w:val="bottom"/>
            <w:hideMark/>
          </w:tcPr>
          <w:p w14:paraId="277F7873" w14:textId="77777777" w:rsidR="00000000" w:rsidRDefault="0053651E">
            <w:pPr>
              <w:rPr>
                <w:rFonts w:eastAsia="Times New Roman"/>
                <w:sz w:val="20"/>
                <w:szCs w:val="20"/>
              </w:rPr>
            </w:pPr>
            <w:r>
              <w:rPr>
                <w:rFonts w:eastAsia="Times New Roman"/>
                <w:sz w:val="20"/>
                <w:szCs w:val="20"/>
              </w:rPr>
              <w:t> </w:t>
            </w:r>
          </w:p>
        </w:tc>
      </w:tr>
      <w:tr w:rsidR="00000000" w14:paraId="50E5DB40" w14:textId="77777777">
        <w:trPr>
          <w:tblCellSpacing w:w="0" w:type="dxa"/>
        </w:trPr>
        <w:tc>
          <w:tcPr>
            <w:tcW w:w="3465" w:type="pct"/>
            <w:vAlign w:val="bottom"/>
            <w:hideMark/>
          </w:tcPr>
          <w:p w14:paraId="10ACD14B" w14:textId="77777777" w:rsidR="00000000" w:rsidRDefault="0053651E">
            <w:pPr>
              <w:pStyle w:val="a3"/>
              <w:spacing w:before="0" w:beforeAutospacing="0" w:after="0" w:afterAutospacing="0"/>
              <w:rPr>
                <w:sz w:val="20"/>
                <w:szCs w:val="20"/>
              </w:rPr>
            </w:pPr>
            <w:r>
              <w:rPr>
                <w:sz w:val="20"/>
                <w:szCs w:val="20"/>
              </w:rPr>
              <w:t>The changes in total real estate asset</w:t>
            </w:r>
            <w:r>
              <w:rPr>
                <w:sz w:val="20"/>
                <w:szCs w:val="20"/>
              </w:rPr>
              <w:t>s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as follows:</w:t>
            </w:r>
          </w:p>
        </w:tc>
      </w:tr>
    </w:tbl>
    <w:p w14:paraId="1D18F826"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05"/>
        <w:gridCol w:w="50"/>
        <w:gridCol w:w="100"/>
        <w:gridCol w:w="1250"/>
        <w:gridCol w:w="67"/>
        <w:gridCol w:w="50"/>
        <w:gridCol w:w="100"/>
        <w:gridCol w:w="1250"/>
        <w:gridCol w:w="67"/>
        <w:gridCol w:w="50"/>
        <w:gridCol w:w="100"/>
        <w:gridCol w:w="1250"/>
        <w:gridCol w:w="67"/>
      </w:tblGrid>
      <w:tr w:rsidR="00000000" w14:paraId="5B7749E4" w14:textId="77777777">
        <w:trPr>
          <w:tblCellSpacing w:w="0" w:type="dxa"/>
        </w:trPr>
        <w:tc>
          <w:tcPr>
            <w:tcW w:w="0" w:type="auto"/>
            <w:vAlign w:val="bottom"/>
            <w:hideMark/>
          </w:tcPr>
          <w:p w14:paraId="61F491BC"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7E87C185"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3917FE8F"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Borders>
              <w:top w:val="single" w:sz="6" w:space="0" w:color="000000"/>
              <w:bottom w:val="single" w:sz="6" w:space="0" w:color="000000"/>
            </w:tcBorders>
            <w:vAlign w:val="bottom"/>
            <w:hideMark/>
          </w:tcPr>
          <w:p w14:paraId="688D7582" w14:textId="77777777" w:rsidR="00000000" w:rsidRDefault="0053651E">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14:paraId="15E1F9F6"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193EFDE7"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Borders>
              <w:top w:val="single" w:sz="6" w:space="0" w:color="000000"/>
              <w:bottom w:val="single" w:sz="6" w:space="0" w:color="000000"/>
            </w:tcBorders>
            <w:vAlign w:val="bottom"/>
            <w:hideMark/>
          </w:tcPr>
          <w:p w14:paraId="209F4EDA" w14:textId="77777777" w:rsidR="00000000" w:rsidRDefault="0053651E">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14:paraId="1AA0C30F"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2467E354" w14:textId="77777777" w:rsidR="00000000" w:rsidRDefault="0053651E">
            <w:pPr>
              <w:pStyle w:val="a3"/>
              <w:spacing w:before="0" w:beforeAutospacing="0" w:after="0" w:afterAutospacing="0"/>
              <w:jc w:val="center"/>
              <w:rPr>
                <w:sz w:val="20"/>
                <w:szCs w:val="20"/>
              </w:rPr>
            </w:pPr>
            <w:r>
              <w:rPr>
                <w:b/>
                <w:bCs/>
                <w:sz w:val="20"/>
                <w:szCs w:val="20"/>
              </w:rPr>
              <w:t xml:space="preserve">2017 </w:t>
            </w:r>
          </w:p>
        </w:tc>
        <w:tc>
          <w:tcPr>
            <w:tcW w:w="0" w:type="auto"/>
            <w:tcMar>
              <w:top w:w="0" w:type="dxa"/>
              <w:left w:w="0" w:type="dxa"/>
              <w:bottom w:w="15" w:type="dxa"/>
              <w:right w:w="0" w:type="dxa"/>
            </w:tcMar>
            <w:vAlign w:val="bottom"/>
            <w:hideMark/>
          </w:tcPr>
          <w:p w14:paraId="4088CEEE" w14:textId="77777777" w:rsidR="00000000" w:rsidRDefault="0053651E">
            <w:pPr>
              <w:rPr>
                <w:rFonts w:eastAsia="Times New Roman"/>
                <w:sz w:val="20"/>
                <w:szCs w:val="20"/>
              </w:rPr>
            </w:pPr>
            <w:r>
              <w:rPr>
                <w:rFonts w:eastAsia="Times New Roman"/>
                <w:sz w:val="20"/>
                <w:szCs w:val="20"/>
              </w:rPr>
              <w:t> </w:t>
            </w:r>
          </w:p>
        </w:tc>
      </w:tr>
      <w:tr w:rsidR="00000000" w14:paraId="0E19EE11" w14:textId="77777777">
        <w:trPr>
          <w:tblCellSpacing w:w="0" w:type="dxa"/>
        </w:trPr>
        <w:tc>
          <w:tcPr>
            <w:tcW w:w="2750" w:type="pct"/>
            <w:shd w:val="clear" w:color="auto" w:fill="CCEEFF"/>
            <w:vAlign w:val="bottom"/>
            <w:hideMark/>
          </w:tcPr>
          <w:p w14:paraId="0A5A89F8" w14:textId="77777777" w:rsidR="00000000" w:rsidRDefault="0053651E">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14:paraId="4E6BB64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3C8AB3"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4EA1C4C0" w14:textId="77777777" w:rsidR="00000000" w:rsidRDefault="0053651E">
            <w:pPr>
              <w:jc w:val="right"/>
              <w:rPr>
                <w:rFonts w:eastAsia="Times New Roman"/>
                <w:sz w:val="20"/>
                <w:szCs w:val="20"/>
              </w:rPr>
            </w:pPr>
            <w:r>
              <w:rPr>
                <w:rFonts w:eastAsia="Times New Roman"/>
                <w:sz w:val="20"/>
                <w:szCs w:val="20"/>
              </w:rPr>
              <w:t>11,877,190,495</w:t>
            </w:r>
          </w:p>
        </w:tc>
        <w:tc>
          <w:tcPr>
            <w:tcW w:w="50" w:type="pct"/>
            <w:shd w:val="clear" w:color="auto" w:fill="CCEEFF"/>
            <w:vAlign w:val="bottom"/>
            <w:hideMark/>
          </w:tcPr>
          <w:p w14:paraId="2F05DD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1A07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AF6A8F"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0897F121" w14:textId="77777777" w:rsidR="00000000" w:rsidRDefault="0053651E">
            <w:pPr>
              <w:jc w:val="right"/>
              <w:rPr>
                <w:rFonts w:eastAsia="Times New Roman"/>
                <w:sz w:val="20"/>
                <w:szCs w:val="20"/>
              </w:rPr>
            </w:pPr>
            <w:r>
              <w:rPr>
                <w:rFonts w:eastAsia="Times New Roman"/>
                <w:sz w:val="20"/>
                <w:szCs w:val="20"/>
              </w:rPr>
              <w:t>12,653,444,998</w:t>
            </w:r>
          </w:p>
        </w:tc>
        <w:tc>
          <w:tcPr>
            <w:tcW w:w="50" w:type="pct"/>
            <w:shd w:val="clear" w:color="auto" w:fill="CCEEFF"/>
            <w:vAlign w:val="bottom"/>
            <w:hideMark/>
          </w:tcPr>
          <w:p w14:paraId="480A38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947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C87700"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5C89FF55" w14:textId="77777777" w:rsidR="00000000" w:rsidRDefault="0053651E">
            <w:pPr>
              <w:jc w:val="right"/>
              <w:rPr>
                <w:rFonts w:eastAsia="Times New Roman"/>
                <w:sz w:val="20"/>
                <w:szCs w:val="20"/>
              </w:rPr>
            </w:pPr>
            <w:r>
              <w:rPr>
                <w:rFonts w:eastAsia="Times New Roman"/>
                <w:sz w:val="20"/>
                <w:szCs w:val="20"/>
              </w:rPr>
              <w:t>12,008,075,148</w:t>
            </w:r>
          </w:p>
        </w:tc>
        <w:tc>
          <w:tcPr>
            <w:tcW w:w="50" w:type="pct"/>
            <w:shd w:val="clear" w:color="auto" w:fill="CCEEFF"/>
            <w:vAlign w:val="bottom"/>
            <w:hideMark/>
          </w:tcPr>
          <w:p w14:paraId="351552E5" w14:textId="77777777" w:rsidR="00000000" w:rsidRDefault="0053651E">
            <w:pPr>
              <w:rPr>
                <w:rFonts w:eastAsia="Times New Roman"/>
                <w:sz w:val="20"/>
                <w:szCs w:val="20"/>
              </w:rPr>
            </w:pPr>
            <w:r>
              <w:rPr>
                <w:rFonts w:eastAsia="Times New Roman"/>
                <w:sz w:val="20"/>
                <w:szCs w:val="20"/>
              </w:rPr>
              <w:t> </w:t>
            </w:r>
          </w:p>
        </w:tc>
      </w:tr>
      <w:tr w:rsidR="00000000" w14:paraId="56C3C9AC" w14:textId="77777777">
        <w:trPr>
          <w:tblCellSpacing w:w="0" w:type="dxa"/>
        </w:trPr>
        <w:tc>
          <w:tcPr>
            <w:tcW w:w="0" w:type="auto"/>
            <w:shd w:val="clear" w:color="auto" w:fill="FFFFFF"/>
            <w:vAlign w:val="bottom"/>
            <w:hideMark/>
          </w:tcPr>
          <w:p w14:paraId="13CEB19C" w14:textId="77777777" w:rsidR="00000000" w:rsidRDefault="0053651E">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14:paraId="7B80605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C21E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AD54F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23EF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7118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93D6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C5FAA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CB446"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CCDB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3C37E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A482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EDDE8" w14:textId="77777777" w:rsidR="00000000" w:rsidRDefault="0053651E">
            <w:pPr>
              <w:rPr>
                <w:rFonts w:eastAsia="Times New Roman"/>
                <w:sz w:val="20"/>
                <w:szCs w:val="20"/>
              </w:rPr>
            </w:pPr>
            <w:r>
              <w:rPr>
                <w:rFonts w:eastAsia="Times New Roman"/>
                <w:sz w:val="20"/>
                <w:szCs w:val="20"/>
              </w:rPr>
              <w:t> </w:t>
            </w:r>
          </w:p>
        </w:tc>
      </w:tr>
      <w:tr w:rsidR="00000000" w14:paraId="2E371F14" w14:textId="77777777">
        <w:trPr>
          <w:tblCellSpacing w:w="0" w:type="dxa"/>
        </w:trPr>
        <w:tc>
          <w:tcPr>
            <w:tcW w:w="0" w:type="auto"/>
            <w:shd w:val="clear" w:color="auto" w:fill="CCEEFF"/>
            <w:vAlign w:val="bottom"/>
            <w:hideMark/>
          </w:tcPr>
          <w:p w14:paraId="301CB4C3" w14:textId="77777777" w:rsidR="00000000" w:rsidRDefault="0053651E">
            <w:pPr>
              <w:pStyle w:val="a3"/>
              <w:spacing w:before="0" w:beforeAutospacing="0" w:after="0" w:afterAutospacing="0"/>
              <w:ind w:left="180"/>
              <w:rPr>
                <w:sz w:val="20"/>
                <w:szCs w:val="20"/>
              </w:rPr>
            </w:pPr>
            <w:r>
              <w:rPr>
                <w:sz w:val="20"/>
                <w:szCs w:val="20"/>
              </w:rPr>
              <w:t>Acquisitions</w:t>
            </w:r>
          </w:p>
        </w:tc>
        <w:tc>
          <w:tcPr>
            <w:tcW w:w="50" w:type="pct"/>
            <w:shd w:val="clear" w:color="auto" w:fill="CCEEFF"/>
            <w:vAlign w:val="bottom"/>
            <w:hideMark/>
          </w:tcPr>
          <w:p w14:paraId="584F58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F6D78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6B6D7FD" w14:textId="77777777" w:rsidR="00000000" w:rsidRDefault="0053651E">
            <w:pPr>
              <w:jc w:val="right"/>
              <w:rPr>
                <w:rFonts w:eastAsia="Times New Roman"/>
                <w:sz w:val="20"/>
                <w:szCs w:val="20"/>
              </w:rPr>
            </w:pPr>
            <w:r>
              <w:rPr>
                <w:rFonts w:eastAsia="Times New Roman"/>
                <w:sz w:val="20"/>
                <w:szCs w:val="20"/>
              </w:rPr>
              <w:t>43,970,631</w:t>
            </w:r>
          </w:p>
        </w:tc>
        <w:tc>
          <w:tcPr>
            <w:tcW w:w="50" w:type="pct"/>
            <w:shd w:val="clear" w:color="auto" w:fill="CCEEFF"/>
            <w:vAlign w:val="bottom"/>
            <w:hideMark/>
          </w:tcPr>
          <w:p w14:paraId="5F88FA9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38D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53F0D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4A8AAB" w14:textId="77777777" w:rsidR="00000000" w:rsidRDefault="0053651E">
            <w:pPr>
              <w:jc w:val="right"/>
              <w:rPr>
                <w:rFonts w:eastAsia="Times New Roman"/>
                <w:sz w:val="20"/>
                <w:szCs w:val="20"/>
              </w:rPr>
            </w:pPr>
            <w:r>
              <w:rPr>
                <w:rFonts w:eastAsia="Times New Roman"/>
                <w:sz w:val="20"/>
                <w:szCs w:val="20"/>
              </w:rPr>
              <w:t>3,420,020</w:t>
            </w:r>
          </w:p>
        </w:tc>
        <w:tc>
          <w:tcPr>
            <w:tcW w:w="50" w:type="pct"/>
            <w:shd w:val="clear" w:color="auto" w:fill="CCEEFF"/>
            <w:vAlign w:val="bottom"/>
            <w:hideMark/>
          </w:tcPr>
          <w:p w14:paraId="0DB6AE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613D5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7A455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C3BAB5" w14:textId="77777777" w:rsidR="00000000" w:rsidRDefault="0053651E">
            <w:pPr>
              <w:jc w:val="right"/>
              <w:rPr>
                <w:rFonts w:eastAsia="Times New Roman"/>
                <w:sz w:val="20"/>
                <w:szCs w:val="20"/>
              </w:rPr>
            </w:pPr>
            <w:r>
              <w:rPr>
                <w:rFonts w:eastAsia="Times New Roman"/>
                <w:sz w:val="20"/>
                <w:szCs w:val="20"/>
              </w:rPr>
              <w:t>438,125,265</w:t>
            </w:r>
          </w:p>
        </w:tc>
        <w:tc>
          <w:tcPr>
            <w:tcW w:w="50" w:type="pct"/>
            <w:shd w:val="clear" w:color="auto" w:fill="CCEEFF"/>
            <w:vAlign w:val="bottom"/>
            <w:hideMark/>
          </w:tcPr>
          <w:p w14:paraId="61DE74E3" w14:textId="77777777" w:rsidR="00000000" w:rsidRDefault="0053651E">
            <w:pPr>
              <w:rPr>
                <w:rFonts w:eastAsia="Times New Roman"/>
                <w:sz w:val="20"/>
                <w:szCs w:val="20"/>
              </w:rPr>
            </w:pPr>
            <w:r>
              <w:rPr>
                <w:rFonts w:eastAsia="Times New Roman"/>
                <w:sz w:val="20"/>
                <w:szCs w:val="20"/>
              </w:rPr>
              <w:t> </w:t>
            </w:r>
          </w:p>
        </w:tc>
      </w:tr>
      <w:tr w:rsidR="00000000" w14:paraId="126D0AA6" w14:textId="77777777">
        <w:trPr>
          <w:tblCellSpacing w:w="0" w:type="dxa"/>
        </w:trPr>
        <w:tc>
          <w:tcPr>
            <w:tcW w:w="0" w:type="auto"/>
            <w:shd w:val="clear" w:color="auto" w:fill="FFFFFF"/>
            <w:vAlign w:val="bottom"/>
            <w:hideMark/>
          </w:tcPr>
          <w:p w14:paraId="13B00A5A" w14:textId="77777777" w:rsidR="00000000" w:rsidRDefault="0053651E">
            <w:pPr>
              <w:pStyle w:val="a3"/>
              <w:spacing w:before="0" w:beforeAutospacing="0" w:after="0" w:afterAutospacing="0"/>
              <w:ind w:left="180"/>
              <w:rPr>
                <w:sz w:val="20"/>
                <w:szCs w:val="20"/>
              </w:rPr>
            </w:pPr>
            <w:r>
              <w:rPr>
                <w:sz w:val="20"/>
                <w:szCs w:val="20"/>
              </w:rPr>
              <w:t>Improvements</w:t>
            </w:r>
          </w:p>
        </w:tc>
        <w:tc>
          <w:tcPr>
            <w:tcW w:w="50" w:type="pct"/>
            <w:shd w:val="clear" w:color="auto" w:fill="FFFFFF"/>
            <w:vAlign w:val="bottom"/>
            <w:hideMark/>
          </w:tcPr>
          <w:p w14:paraId="6389C8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CF84F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2DA013" w14:textId="77777777" w:rsidR="00000000" w:rsidRDefault="0053651E">
            <w:pPr>
              <w:jc w:val="right"/>
              <w:rPr>
                <w:rFonts w:eastAsia="Times New Roman"/>
                <w:sz w:val="20"/>
                <w:szCs w:val="20"/>
              </w:rPr>
            </w:pPr>
            <w:r>
              <w:rPr>
                <w:rFonts w:eastAsia="Times New Roman"/>
                <w:sz w:val="20"/>
                <w:szCs w:val="20"/>
              </w:rPr>
              <w:t>404,210,910</w:t>
            </w:r>
          </w:p>
        </w:tc>
        <w:tc>
          <w:tcPr>
            <w:tcW w:w="50" w:type="pct"/>
            <w:shd w:val="clear" w:color="auto" w:fill="FFFFFF"/>
            <w:vAlign w:val="bottom"/>
            <w:hideMark/>
          </w:tcPr>
          <w:p w14:paraId="0462BB4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B7DD2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ACD24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0BB9D9" w14:textId="77777777" w:rsidR="00000000" w:rsidRDefault="0053651E">
            <w:pPr>
              <w:jc w:val="right"/>
              <w:rPr>
                <w:rFonts w:eastAsia="Times New Roman"/>
                <w:sz w:val="20"/>
                <w:szCs w:val="20"/>
              </w:rPr>
            </w:pPr>
            <w:r>
              <w:rPr>
                <w:rFonts w:eastAsia="Times New Roman"/>
                <w:sz w:val="20"/>
                <w:szCs w:val="20"/>
              </w:rPr>
              <w:t>554,408,568</w:t>
            </w:r>
          </w:p>
        </w:tc>
        <w:tc>
          <w:tcPr>
            <w:tcW w:w="50" w:type="pct"/>
            <w:shd w:val="clear" w:color="auto" w:fill="FFFFFF"/>
            <w:vAlign w:val="bottom"/>
            <w:hideMark/>
          </w:tcPr>
          <w:p w14:paraId="63E57B5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8C92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0B0C7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BE9AC10" w14:textId="77777777" w:rsidR="00000000" w:rsidRDefault="0053651E">
            <w:pPr>
              <w:jc w:val="right"/>
              <w:rPr>
                <w:rFonts w:eastAsia="Times New Roman"/>
                <w:sz w:val="20"/>
                <w:szCs w:val="20"/>
              </w:rPr>
            </w:pPr>
            <w:r>
              <w:rPr>
                <w:rFonts w:eastAsia="Times New Roman"/>
                <w:sz w:val="20"/>
                <w:szCs w:val="20"/>
              </w:rPr>
              <w:t>414,955,609</w:t>
            </w:r>
          </w:p>
        </w:tc>
        <w:tc>
          <w:tcPr>
            <w:tcW w:w="50" w:type="pct"/>
            <w:shd w:val="clear" w:color="auto" w:fill="FFFFFF"/>
            <w:vAlign w:val="bottom"/>
            <w:hideMark/>
          </w:tcPr>
          <w:p w14:paraId="0E7AA733" w14:textId="77777777" w:rsidR="00000000" w:rsidRDefault="0053651E">
            <w:pPr>
              <w:rPr>
                <w:rFonts w:eastAsia="Times New Roman"/>
                <w:sz w:val="20"/>
                <w:szCs w:val="20"/>
              </w:rPr>
            </w:pPr>
            <w:r>
              <w:rPr>
                <w:rFonts w:eastAsia="Times New Roman"/>
                <w:sz w:val="20"/>
                <w:szCs w:val="20"/>
              </w:rPr>
              <w:t> </w:t>
            </w:r>
          </w:p>
        </w:tc>
      </w:tr>
      <w:tr w:rsidR="00000000" w14:paraId="18619353" w14:textId="77777777">
        <w:trPr>
          <w:tblCellSpacing w:w="0" w:type="dxa"/>
        </w:trPr>
        <w:tc>
          <w:tcPr>
            <w:tcW w:w="0" w:type="auto"/>
            <w:shd w:val="clear" w:color="auto" w:fill="CCEEFF"/>
            <w:vAlign w:val="bottom"/>
            <w:hideMark/>
          </w:tcPr>
          <w:p w14:paraId="7C3E41D7" w14:textId="77777777" w:rsidR="00000000" w:rsidRDefault="0053651E">
            <w:pPr>
              <w:pStyle w:val="a3"/>
              <w:spacing w:before="0" w:beforeAutospacing="0" w:after="0" w:afterAutospacing="0"/>
              <w:ind w:left="180"/>
              <w:rPr>
                <w:sz w:val="20"/>
                <w:szCs w:val="20"/>
              </w:rPr>
            </w:pPr>
            <w:r>
              <w:rPr>
                <w:sz w:val="20"/>
                <w:szCs w:val="20"/>
              </w:rPr>
              <w:t>Transfers from unconsolidated joint ventures</w:t>
            </w:r>
          </w:p>
        </w:tc>
        <w:tc>
          <w:tcPr>
            <w:tcW w:w="50" w:type="pct"/>
            <w:shd w:val="clear" w:color="auto" w:fill="CCEEFF"/>
            <w:vAlign w:val="bottom"/>
            <w:hideMark/>
          </w:tcPr>
          <w:p w14:paraId="7B70D68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E2076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441D919"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D326B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456D3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7AC938"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8629B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EFADFB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655C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ABBE9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7BB079C" w14:textId="77777777" w:rsidR="00000000" w:rsidRDefault="0053651E">
            <w:pPr>
              <w:jc w:val="right"/>
              <w:rPr>
                <w:rFonts w:eastAsia="Times New Roman"/>
                <w:sz w:val="20"/>
                <w:szCs w:val="20"/>
              </w:rPr>
            </w:pPr>
            <w:r>
              <w:rPr>
                <w:rFonts w:eastAsia="Times New Roman"/>
                <w:sz w:val="20"/>
                <w:szCs w:val="20"/>
              </w:rPr>
              <w:t>329,194,717</w:t>
            </w:r>
          </w:p>
        </w:tc>
        <w:tc>
          <w:tcPr>
            <w:tcW w:w="50" w:type="pct"/>
            <w:shd w:val="clear" w:color="auto" w:fill="CCEEFF"/>
            <w:vAlign w:val="bottom"/>
            <w:hideMark/>
          </w:tcPr>
          <w:p w14:paraId="0D1FCF54" w14:textId="77777777" w:rsidR="00000000" w:rsidRDefault="0053651E">
            <w:pPr>
              <w:rPr>
                <w:rFonts w:eastAsia="Times New Roman"/>
                <w:sz w:val="20"/>
                <w:szCs w:val="20"/>
              </w:rPr>
            </w:pPr>
            <w:r>
              <w:rPr>
                <w:rFonts w:eastAsia="Times New Roman"/>
                <w:sz w:val="20"/>
                <w:szCs w:val="20"/>
              </w:rPr>
              <w:t> </w:t>
            </w:r>
          </w:p>
        </w:tc>
      </w:tr>
      <w:tr w:rsidR="00000000" w14:paraId="053CD960" w14:textId="77777777">
        <w:trPr>
          <w:tblCellSpacing w:w="0" w:type="dxa"/>
        </w:trPr>
        <w:tc>
          <w:tcPr>
            <w:tcW w:w="0" w:type="auto"/>
            <w:shd w:val="clear" w:color="auto" w:fill="FFFFFF"/>
            <w:vAlign w:val="bottom"/>
            <w:hideMark/>
          </w:tcPr>
          <w:p w14:paraId="725D8767" w14:textId="77777777" w:rsidR="00000000" w:rsidRDefault="0053651E">
            <w:pPr>
              <w:pStyle w:val="a3"/>
              <w:spacing w:before="0" w:beforeAutospacing="0" w:after="0" w:afterAutospacing="0"/>
              <w:ind w:left="180"/>
              <w:rPr>
                <w:sz w:val="20"/>
                <w:szCs w:val="20"/>
              </w:rPr>
            </w:pPr>
            <w:r>
              <w:rPr>
                <w:sz w:val="20"/>
                <w:szCs w:val="20"/>
              </w:rPr>
              <w:t>Change in exchange rate</w:t>
            </w:r>
          </w:p>
        </w:tc>
        <w:tc>
          <w:tcPr>
            <w:tcW w:w="50" w:type="pct"/>
            <w:shd w:val="clear" w:color="auto" w:fill="FFFFFF"/>
            <w:vAlign w:val="bottom"/>
            <w:hideMark/>
          </w:tcPr>
          <w:p w14:paraId="092079B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EA791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7331FE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F5B802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509B4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61F2B3"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FA872D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C49F28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E9F1C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ECEC6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4362374" w14:textId="77777777" w:rsidR="00000000" w:rsidRDefault="0053651E">
            <w:pPr>
              <w:jc w:val="right"/>
              <w:rPr>
                <w:rFonts w:eastAsia="Times New Roman"/>
                <w:sz w:val="20"/>
                <w:szCs w:val="20"/>
              </w:rPr>
            </w:pPr>
            <w:r>
              <w:rPr>
                <w:rFonts w:eastAsia="Times New Roman"/>
                <w:sz w:val="20"/>
                <w:szCs w:val="20"/>
              </w:rPr>
              <w:t>1,035,816</w:t>
            </w:r>
          </w:p>
        </w:tc>
        <w:tc>
          <w:tcPr>
            <w:tcW w:w="50" w:type="pct"/>
            <w:shd w:val="clear" w:color="auto" w:fill="FFFFFF"/>
            <w:vAlign w:val="bottom"/>
            <w:hideMark/>
          </w:tcPr>
          <w:p w14:paraId="1BFAF2AF" w14:textId="77777777" w:rsidR="00000000" w:rsidRDefault="0053651E">
            <w:pPr>
              <w:rPr>
                <w:rFonts w:eastAsia="Times New Roman"/>
                <w:sz w:val="20"/>
                <w:szCs w:val="20"/>
              </w:rPr>
            </w:pPr>
            <w:r>
              <w:rPr>
                <w:rFonts w:eastAsia="Times New Roman"/>
                <w:sz w:val="20"/>
                <w:szCs w:val="20"/>
              </w:rPr>
              <w:t> </w:t>
            </w:r>
          </w:p>
        </w:tc>
      </w:tr>
      <w:tr w:rsidR="00000000" w14:paraId="0CCCBEB7" w14:textId="77777777">
        <w:trPr>
          <w:tblCellSpacing w:w="0" w:type="dxa"/>
        </w:trPr>
        <w:tc>
          <w:tcPr>
            <w:tcW w:w="0" w:type="auto"/>
            <w:shd w:val="clear" w:color="auto" w:fill="CCEEFF"/>
            <w:vAlign w:val="bottom"/>
            <w:hideMark/>
          </w:tcPr>
          <w:p w14:paraId="0A6BFB64" w14:textId="77777777" w:rsidR="00000000" w:rsidRDefault="0053651E">
            <w:pPr>
              <w:pStyle w:val="a3"/>
              <w:spacing w:before="0" w:beforeAutospacing="0" w:after="0" w:afterAutospacing="0"/>
              <w:rPr>
                <w:sz w:val="20"/>
                <w:szCs w:val="20"/>
              </w:rPr>
            </w:pPr>
            <w:r>
              <w:rPr>
                <w:sz w:val="20"/>
                <w:szCs w:val="20"/>
              </w:rPr>
              <w:t>Deductions during period:</w:t>
            </w:r>
          </w:p>
        </w:tc>
        <w:tc>
          <w:tcPr>
            <w:tcW w:w="0" w:type="auto"/>
            <w:shd w:val="clear" w:color="auto" w:fill="CCEEFF"/>
            <w:vAlign w:val="bottom"/>
            <w:hideMark/>
          </w:tcPr>
          <w:p w14:paraId="6B97D1B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44D24"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02FD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D7920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9473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D154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26A6B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613A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D5D8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954F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E450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BE713" w14:textId="77777777" w:rsidR="00000000" w:rsidRDefault="0053651E">
            <w:pPr>
              <w:rPr>
                <w:rFonts w:eastAsia="Times New Roman"/>
                <w:sz w:val="20"/>
                <w:szCs w:val="20"/>
              </w:rPr>
            </w:pPr>
            <w:r>
              <w:rPr>
                <w:rFonts w:eastAsia="Times New Roman"/>
                <w:sz w:val="20"/>
                <w:szCs w:val="20"/>
              </w:rPr>
              <w:t> </w:t>
            </w:r>
          </w:p>
        </w:tc>
      </w:tr>
      <w:tr w:rsidR="00000000" w14:paraId="6B47525A" w14:textId="77777777">
        <w:trPr>
          <w:tblCellSpacing w:w="0" w:type="dxa"/>
        </w:trPr>
        <w:tc>
          <w:tcPr>
            <w:tcW w:w="0" w:type="auto"/>
            <w:shd w:val="clear" w:color="auto" w:fill="FFFFFF"/>
            <w:vAlign w:val="bottom"/>
            <w:hideMark/>
          </w:tcPr>
          <w:p w14:paraId="25BD1ADE" w14:textId="77777777" w:rsidR="00000000" w:rsidRDefault="0053651E">
            <w:pPr>
              <w:pStyle w:val="a3"/>
              <w:spacing w:before="0" w:beforeAutospacing="0" w:after="0" w:afterAutospacing="0"/>
              <w:ind w:left="180"/>
              <w:rPr>
                <w:sz w:val="20"/>
                <w:szCs w:val="20"/>
              </w:rPr>
            </w:pPr>
            <w:r>
              <w:rPr>
                <w:sz w:val="20"/>
                <w:szCs w:val="20"/>
              </w:rPr>
              <w:t>Sales</w:t>
            </w:r>
          </w:p>
        </w:tc>
        <w:tc>
          <w:tcPr>
            <w:tcW w:w="50" w:type="pct"/>
            <w:shd w:val="clear" w:color="auto" w:fill="FFFFFF"/>
            <w:vAlign w:val="bottom"/>
            <w:hideMark/>
          </w:tcPr>
          <w:p w14:paraId="62BC8CD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73036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5570360" w14:textId="77777777" w:rsidR="00000000" w:rsidRDefault="0053651E">
            <w:pPr>
              <w:jc w:val="right"/>
              <w:rPr>
                <w:rFonts w:eastAsia="Times New Roman"/>
                <w:sz w:val="20"/>
                <w:szCs w:val="20"/>
              </w:rPr>
            </w:pPr>
            <w:r>
              <w:rPr>
                <w:rFonts w:eastAsia="Times New Roman"/>
                <w:sz w:val="20"/>
                <w:szCs w:val="20"/>
              </w:rPr>
              <w:t>(190,859,948</w:t>
            </w:r>
          </w:p>
        </w:tc>
        <w:tc>
          <w:tcPr>
            <w:tcW w:w="50" w:type="pct"/>
            <w:shd w:val="clear" w:color="auto" w:fill="FFFFFF"/>
            <w:vAlign w:val="bottom"/>
            <w:hideMark/>
          </w:tcPr>
          <w:p w14:paraId="66295C1B"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BBF56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6CB65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39AECE3" w14:textId="77777777" w:rsidR="00000000" w:rsidRDefault="0053651E">
            <w:pPr>
              <w:jc w:val="right"/>
              <w:rPr>
                <w:rFonts w:eastAsia="Times New Roman"/>
                <w:sz w:val="20"/>
                <w:szCs w:val="20"/>
              </w:rPr>
            </w:pPr>
            <w:r>
              <w:rPr>
                <w:rFonts w:eastAsia="Times New Roman"/>
                <w:sz w:val="20"/>
                <w:szCs w:val="20"/>
              </w:rPr>
              <w:t>(767,246,512</w:t>
            </w:r>
          </w:p>
        </w:tc>
        <w:tc>
          <w:tcPr>
            <w:tcW w:w="50" w:type="pct"/>
            <w:shd w:val="clear" w:color="auto" w:fill="FFFFFF"/>
            <w:vAlign w:val="bottom"/>
            <w:hideMark/>
          </w:tcPr>
          <w:p w14:paraId="097E816E"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55381EF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07F66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D852BCD" w14:textId="77777777" w:rsidR="00000000" w:rsidRDefault="0053651E">
            <w:pPr>
              <w:jc w:val="right"/>
              <w:rPr>
                <w:rFonts w:eastAsia="Times New Roman"/>
                <w:sz w:val="20"/>
                <w:szCs w:val="20"/>
              </w:rPr>
            </w:pPr>
            <w:r>
              <w:rPr>
                <w:rFonts w:eastAsia="Times New Roman"/>
                <w:sz w:val="20"/>
                <w:szCs w:val="20"/>
              </w:rPr>
              <w:t>(315,954,464</w:t>
            </w:r>
          </w:p>
        </w:tc>
        <w:tc>
          <w:tcPr>
            <w:tcW w:w="50" w:type="pct"/>
            <w:shd w:val="clear" w:color="auto" w:fill="FFFFFF"/>
            <w:vAlign w:val="bottom"/>
            <w:hideMark/>
          </w:tcPr>
          <w:p w14:paraId="78EE5BDE" w14:textId="77777777" w:rsidR="00000000" w:rsidRDefault="0053651E">
            <w:pPr>
              <w:rPr>
                <w:rFonts w:eastAsia="Times New Roman"/>
                <w:sz w:val="20"/>
                <w:szCs w:val="20"/>
              </w:rPr>
            </w:pPr>
            <w:r>
              <w:rPr>
                <w:rFonts w:eastAsia="Times New Roman"/>
                <w:sz w:val="20"/>
                <w:szCs w:val="20"/>
              </w:rPr>
              <w:t>)</w:t>
            </w:r>
          </w:p>
        </w:tc>
      </w:tr>
      <w:tr w:rsidR="00000000" w14:paraId="7B0F05EA" w14:textId="77777777">
        <w:trPr>
          <w:tblCellSpacing w:w="0" w:type="dxa"/>
        </w:trPr>
        <w:tc>
          <w:tcPr>
            <w:tcW w:w="0" w:type="auto"/>
            <w:shd w:val="clear" w:color="auto" w:fill="CCEEFF"/>
            <w:vAlign w:val="center"/>
            <w:hideMark/>
          </w:tcPr>
          <w:p w14:paraId="2A2F2688" w14:textId="77777777" w:rsidR="00000000" w:rsidRDefault="0053651E">
            <w:pPr>
              <w:rPr>
                <w:rFonts w:eastAsia="Times New Roman"/>
                <w:sz w:val="20"/>
                <w:szCs w:val="20"/>
              </w:rPr>
            </w:pPr>
            <w:r>
              <w:rPr>
                <w:rFonts w:eastAsia="Times New Roman"/>
                <w:sz w:val="20"/>
                <w:szCs w:val="20"/>
              </w:rPr>
              <w:t xml:space="preserve">    </w:t>
            </w:r>
            <w:r>
              <w:rPr>
                <w:rFonts w:eastAsia="Times New Roman"/>
                <w:sz w:val="20"/>
                <w:szCs w:val="20"/>
              </w:rPr>
              <w:t>Transfers to operating lease right-of-use assets, net</w:t>
            </w:r>
          </w:p>
        </w:tc>
        <w:tc>
          <w:tcPr>
            <w:tcW w:w="50" w:type="pct"/>
            <w:shd w:val="clear" w:color="auto" w:fill="CCEEFF"/>
            <w:vAlign w:val="center"/>
            <w:hideMark/>
          </w:tcPr>
          <w:p w14:paraId="6DE5EF2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29153491"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center"/>
            <w:hideMark/>
          </w:tcPr>
          <w:p w14:paraId="2D8E608A" w14:textId="77777777" w:rsidR="00000000" w:rsidRDefault="0053651E">
            <w:pPr>
              <w:jc w:val="right"/>
              <w:rPr>
                <w:rFonts w:eastAsia="Times New Roman"/>
                <w:sz w:val="20"/>
                <w:szCs w:val="20"/>
              </w:rPr>
            </w:pPr>
            <w:r>
              <w:rPr>
                <w:rFonts w:eastAsia="Times New Roman"/>
                <w:sz w:val="20"/>
                <w:szCs w:val="20"/>
              </w:rPr>
              <w:t>(8,525,554</w:t>
            </w:r>
          </w:p>
        </w:tc>
        <w:tc>
          <w:tcPr>
            <w:tcW w:w="50" w:type="pct"/>
            <w:shd w:val="clear" w:color="auto" w:fill="CCEEFF"/>
            <w:vAlign w:val="center"/>
            <w:hideMark/>
          </w:tcPr>
          <w:p w14:paraId="4A1A5B0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center"/>
            <w:hideMark/>
          </w:tcPr>
          <w:p w14:paraId="702243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6D84754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center"/>
            <w:hideMark/>
          </w:tcPr>
          <w:p w14:paraId="0D949863"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18A6D5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534EBB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center"/>
            <w:hideMark/>
          </w:tcPr>
          <w:p w14:paraId="0E7F0EB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center"/>
            <w:hideMark/>
          </w:tcPr>
          <w:p w14:paraId="3B65005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2CCACC5E" w14:textId="77777777" w:rsidR="00000000" w:rsidRDefault="0053651E">
            <w:pPr>
              <w:rPr>
                <w:rFonts w:eastAsia="Times New Roman"/>
                <w:sz w:val="20"/>
                <w:szCs w:val="20"/>
              </w:rPr>
            </w:pPr>
            <w:r>
              <w:rPr>
                <w:rFonts w:eastAsia="Times New Roman"/>
                <w:sz w:val="20"/>
                <w:szCs w:val="20"/>
              </w:rPr>
              <w:t> </w:t>
            </w:r>
          </w:p>
        </w:tc>
      </w:tr>
      <w:tr w:rsidR="00000000" w14:paraId="4AE106AB" w14:textId="77777777">
        <w:trPr>
          <w:tblCellSpacing w:w="0" w:type="dxa"/>
        </w:trPr>
        <w:tc>
          <w:tcPr>
            <w:tcW w:w="0" w:type="auto"/>
            <w:shd w:val="clear" w:color="auto" w:fill="FFFFFF"/>
            <w:vAlign w:val="bottom"/>
            <w:hideMark/>
          </w:tcPr>
          <w:p w14:paraId="0A62E510" w14:textId="77777777" w:rsidR="00000000" w:rsidRDefault="0053651E">
            <w:pPr>
              <w:pStyle w:val="a3"/>
              <w:spacing w:before="0" w:beforeAutospacing="0" w:after="0" w:afterAutospacing="0"/>
              <w:ind w:left="180"/>
              <w:rPr>
                <w:sz w:val="20"/>
                <w:szCs w:val="20"/>
              </w:rPr>
            </w:pPr>
            <w:r>
              <w:rPr>
                <w:sz w:val="20"/>
                <w:szCs w:val="20"/>
              </w:rPr>
              <w:t>Transfers to unconsolidated joint ventures</w:t>
            </w:r>
          </w:p>
        </w:tc>
        <w:tc>
          <w:tcPr>
            <w:tcW w:w="50" w:type="pct"/>
            <w:shd w:val="clear" w:color="auto" w:fill="FFFFFF"/>
            <w:vAlign w:val="bottom"/>
            <w:hideMark/>
          </w:tcPr>
          <w:p w14:paraId="0EFA3E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3A9EF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F22840"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4FEFF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89CE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CFC84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843D112" w14:textId="77777777" w:rsidR="00000000" w:rsidRDefault="0053651E">
            <w:pPr>
              <w:jc w:val="right"/>
              <w:rPr>
                <w:rFonts w:eastAsia="Times New Roman"/>
                <w:sz w:val="20"/>
                <w:szCs w:val="20"/>
              </w:rPr>
            </w:pPr>
            <w:r>
              <w:rPr>
                <w:rFonts w:eastAsia="Times New Roman"/>
                <w:sz w:val="20"/>
                <w:szCs w:val="20"/>
              </w:rPr>
              <w:t>(315,728,832</w:t>
            </w:r>
          </w:p>
        </w:tc>
        <w:tc>
          <w:tcPr>
            <w:tcW w:w="50" w:type="pct"/>
            <w:shd w:val="clear" w:color="auto" w:fill="FFFFFF"/>
            <w:vAlign w:val="bottom"/>
            <w:hideMark/>
          </w:tcPr>
          <w:p w14:paraId="7CB8619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488618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7657C4"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611F21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98127CF" w14:textId="77777777" w:rsidR="00000000" w:rsidRDefault="0053651E">
            <w:pPr>
              <w:rPr>
                <w:rFonts w:eastAsia="Times New Roman"/>
                <w:sz w:val="20"/>
                <w:szCs w:val="20"/>
              </w:rPr>
            </w:pPr>
            <w:r>
              <w:rPr>
                <w:rFonts w:eastAsia="Times New Roman"/>
                <w:sz w:val="20"/>
                <w:szCs w:val="20"/>
              </w:rPr>
              <w:t> </w:t>
            </w:r>
          </w:p>
        </w:tc>
      </w:tr>
      <w:tr w:rsidR="00000000" w14:paraId="1213F824" w14:textId="77777777">
        <w:trPr>
          <w:tblCellSpacing w:w="0" w:type="dxa"/>
        </w:trPr>
        <w:tc>
          <w:tcPr>
            <w:tcW w:w="0" w:type="auto"/>
            <w:shd w:val="clear" w:color="auto" w:fill="CCEEFF"/>
            <w:vAlign w:val="bottom"/>
            <w:hideMark/>
          </w:tcPr>
          <w:p w14:paraId="35C99920" w14:textId="77777777" w:rsidR="00000000" w:rsidRDefault="0053651E">
            <w:pPr>
              <w:pStyle w:val="a3"/>
              <w:spacing w:before="0" w:beforeAutospacing="0" w:after="0" w:afterAutospacing="0"/>
              <w:ind w:left="180"/>
              <w:rPr>
                <w:sz w:val="20"/>
                <w:szCs w:val="20"/>
              </w:rPr>
            </w:pPr>
            <w:r>
              <w:rPr>
                <w:sz w:val="20"/>
                <w:szCs w:val="20"/>
              </w:rPr>
              <w:t>Assets held for sale</w:t>
            </w:r>
          </w:p>
        </w:tc>
        <w:tc>
          <w:tcPr>
            <w:tcW w:w="50" w:type="pct"/>
            <w:shd w:val="clear" w:color="auto" w:fill="CCEEFF"/>
            <w:vAlign w:val="bottom"/>
            <w:hideMark/>
          </w:tcPr>
          <w:p w14:paraId="120433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3E24A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911AB42" w14:textId="77777777" w:rsidR="00000000" w:rsidRDefault="0053651E">
            <w:pPr>
              <w:jc w:val="right"/>
              <w:rPr>
                <w:rFonts w:eastAsia="Times New Roman"/>
                <w:sz w:val="20"/>
                <w:szCs w:val="20"/>
              </w:rPr>
            </w:pPr>
            <w:r>
              <w:rPr>
                <w:rFonts w:eastAsia="Times New Roman"/>
                <w:sz w:val="20"/>
                <w:szCs w:val="20"/>
              </w:rPr>
              <w:t>(116,747,783</w:t>
            </w:r>
          </w:p>
        </w:tc>
        <w:tc>
          <w:tcPr>
            <w:tcW w:w="50" w:type="pct"/>
            <w:shd w:val="clear" w:color="auto" w:fill="CCEEFF"/>
            <w:vAlign w:val="bottom"/>
            <w:hideMark/>
          </w:tcPr>
          <w:p w14:paraId="15E3D57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0815C4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DB0A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1301FCF" w14:textId="77777777" w:rsidR="00000000" w:rsidRDefault="0053651E">
            <w:pPr>
              <w:jc w:val="right"/>
              <w:rPr>
                <w:rFonts w:eastAsia="Times New Roman"/>
                <w:sz w:val="20"/>
                <w:szCs w:val="20"/>
              </w:rPr>
            </w:pPr>
            <w:r>
              <w:rPr>
                <w:rFonts w:eastAsia="Times New Roman"/>
                <w:sz w:val="20"/>
                <w:szCs w:val="20"/>
              </w:rPr>
              <w:t>(69,741,938</w:t>
            </w:r>
          </w:p>
        </w:tc>
        <w:tc>
          <w:tcPr>
            <w:tcW w:w="50" w:type="pct"/>
            <w:shd w:val="clear" w:color="auto" w:fill="CCEEFF"/>
            <w:vAlign w:val="bottom"/>
            <w:hideMark/>
          </w:tcPr>
          <w:p w14:paraId="3E413A2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76141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20D986"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C459717" w14:textId="77777777" w:rsidR="00000000" w:rsidRDefault="0053651E">
            <w:pPr>
              <w:jc w:val="right"/>
              <w:rPr>
                <w:rFonts w:eastAsia="Times New Roman"/>
                <w:sz w:val="20"/>
                <w:szCs w:val="20"/>
              </w:rPr>
            </w:pPr>
            <w:r>
              <w:rPr>
                <w:rFonts w:eastAsia="Times New Roman"/>
                <w:sz w:val="20"/>
                <w:szCs w:val="20"/>
              </w:rPr>
              <w:t>(56,187,719</w:t>
            </w:r>
          </w:p>
        </w:tc>
        <w:tc>
          <w:tcPr>
            <w:tcW w:w="50" w:type="pct"/>
            <w:shd w:val="clear" w:color="auto" w:fill="CCEEFF"/>
            <w:vAlign w:val="bottom"/>
            <w:hideMark/>
          </w:tcPr>
          <w:p w14:paraId="34C203AE" w14:textId="77777777" w:rsidR="00000000" w:rsidRDefault="0053651E">
            <w:pPr>
              <w:rPr>
                <w:rFonts w:eastAsia="Times New Roman"/>
                <w:sz w:val="20"/>
                <w:szCs w:val="20"/>
              </w:rPr>
            </w:pPr>
            <w:r>
              <w:rPr>
                <w:rFonts w:eastAsia="Times New Roman"/>
                <w:sz w:val="20"/>
                <w:szCs w:val="20"/>
              </w:rPr>
              <w:t>)</w:t>
            </w:r>
          </w:p>
        </w:tc>
      </w:tr>
      <w:tr w:rsidR="00000000" w14:paraId="3DC4776E" w14:textId="77777777">
        <w:trPr>
          <w:tblCellSpacing w:w="0" w:type="dxa"/>
        </w:trPr>
        <w:tc>
          <w:tcPr>
            <w:tcW w:w="0" w:type="auto"/>
            <w:shd w:val="clear" w:color="auto" w:fill="FFFFFF"/>
            <w:vAlign w:val="bottom"/>
            <w:hideMark/>
          </w:tcPr>
          <w:p w14:paraId="23232CF6" w14:textId="77777777" w:rsidR="00000000" w:rsidRDefault="0053651E">
            <w:pPr>
              <w:pStyle w:val="a3"/>
              <w:spacing w:before="0" w:beforeAutospacing="0" w:after="0" w:afterAutospacing="0"/>
              <w:ind w:left="180"/>
              <w:rPr>
                <w:sz w:val="20"/>
                <w:szCs w:val="20"/>
              </w:rPr>
            </w:pPr>
            <w:r>
              <w:rPr>
                <w:sz w:val="20"/>
                <w:szCs w:val="20"/>
              </w:rPr>
              <w:t>Adjustment for fully depreciated assets</w:t>
            </w:r>
          </w:p>
        </w:tc>
        <w:tc>
          <w:tcPr>
            <w:tcW w:w="50" w:type="pct"/>
            <w:shd w:val="clear" w:color="auto" w:fill="FFFFFF"/>
            <w:vAlign w:val="bottom"/>
            <w:hideMark/>
          </w:tcPr>
          <w:p w14:paraId="17808F7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0CA79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28714A5" w14:textId="77777777" w:rsidR="00000000" w:rsidRDefault="0053651E">
            <w:pPr>
              <w:jc w:val="right"/>
              <w:rPr>
                <w:rFonts w:eastAsia="Times New Roman"/>
                <w:sz w:val="20"/>
                <w:szCs w:val="20"/>
              </w:rPr>
            </w:pPr>
            <w:r>
              <w:rPr>
                <w:rFonts w:eastAsia="Times New Roman"/>
                <w:sz w:val="20"/>
                <w:szCs w:val="20"/>
              </w:rPr>
              <w:t>(43,080,882</w:t>
            </w:r>
          </w:p>
        </w:tc>
        <w:tc>
          <w:tcPr>
            <w:tcW w:w="50" w:type="pct"/>
            <w:shd w:val="clear" w:color="auto" w:fill="FFFFFF"/>
            <w:vAlign w:val="bottom"/>
            <w:hideMark/>
          </w:tcPr>
          <w:p w14:paraId="632FB2EA"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7EFA4F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981EB2"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9DE8EC0" w14:textId="77777777" w:rsidR="00000000" w:rsidRDefault="0053651E">
            <w:pPr>
              <w:jc w:val="right"/>
              <w:rPr>
                <w:rFonts w:eastAsia="Times New Roman"/>
                <w:sz w:val="20"/>
                <w:szCs w:val="20"/>
              </w:rPr>
            </w:pPr>
            <w:r>
              <w:rPr>
                <w:rFonts w:eastAsia="Times New Roman"/>
                <w:sz w:val="20"/>
                <w:szCs w:val="20"/>
              </w:rPr>
              <w:t>(72,992,791</w:t>
            </w:r>
          </w:p>
        </w:tc>
        <w:tc>
          <w:tcPr>
            <w:tcW w:w="50" w:type="pct"/>
            <w:shd w:val="clear" w:color="auto" w:fill="FFFFFF"/>
            <w:vAlign w:val="bottom"/>
            <w:hideMark/>
          </w:tcPr>
          <w:p w14:paraId="3A17076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2085033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D84EC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A5342A5" w14:textId="77777777" w:rsidR="00000000" w:rsidRDefault="0053651E">
            <w:pPr>
              <w:jc w:val="right"/>
              <w:rPr>
                <w:rFonts w:eastAsia="Times New Roman"/>
                <w:sz w:val="20"/>
                <w:szCs w:val="20"/>
              </w:rPr>
            </w:pPr>
            <w:r>
              <w:rPr>
                <w:rFonts w:eastAsia="Times New Roman"/>
                <w:sz w:val="20"/>
                <w:szCs w:val="20"/>
              </w:rPr>
              <w:t>(107,660,366</w:t>
            </w:r>
          </w:p>
        </w:tc>
        <w:tc>
          <w:tcPr>
            <w:tcW w:w="50" w:type="pct"/>
            <w:shd w:val="clear" w:color="auto" w:fill="FFFFFF"/>
            <w:vAlign w:val="bottom"/>
            <w:hideMark/>
          </w:tcPr>
          <w:p w14:paraId="173094AD" w14:textId="77777777" w:rsidR="00000000" w:rsidRDefault="0053651E">
            <w:pPr>
              <w:rPr>
                <w:rFonts w:eastAsia="Times New Roman"/>
                <w:sz w:val="20"/>
                <w:szCs w:val="20"/>
              </w:rPr>
            </w:pPr>
            <w:r>
              <w:rPr>
                <w:rFonts w:eastAsia="Times New Roman"/>
                <w:sz w:val="20"/>
                <w:szCs w:val="20"/>
              </w:rPr>
              <w:t>)</w:t>
            </w:r>
          </w:p>
        </w:tc>
      </w:tr>
      <w:tr w:rsidR="00000000" w14:paraId="762BB9FA" w14:textId="77777777">
        <w:trPr>
          <w:tblCellSpacing w:w="0" w:type="dxa"/>
        </w:trPr>
        <w:tc>
          <w:tcPr>
            <w:tcW w:w="0" w:type="auto"/>
            <w:shd w:val="clear" w:color="auto" w:fill="CCEEFF"/>
            <w:vAlign w:val="bottom"/>
            <w:hideMark/>
          </w:tcPr>
          <w:p w14:paraId="352694D9" w14:textId="77777777" w:rsidR="00000000" w:rsidRDefault="0053651E">
            <w:pPr>
              <w:pStyle w:val="a3"/>
              <w:spacing w:before="0" w:beforeAutospacing="0" w:after="0" w:afterAutospacing="0"/>
              <w:ind w:left="180"/>
              <w:rPr>
                <w:sz w:val="20"/>
                <w:szCs w:val="20"/>
              </w:rPr>
            </w:pPr>
            <w:r>
              <w:rPr>
                <w:sz w:val="20"/>
                <w:szCs w:val="20"/>
              </w:rPr>
              <w:t>Adjustment of property carrying values</w:t>
            </w:r>
          </w:p>
        </w:tc>
        <w:tc>
          <w:tcPr>
            <w:tcW w:w="50" w:type="pct"/>
            <w:shd w:val="clear" w:color="auto" w:fill="CCEEFF"/>
            <w:vAlign w:val="bottom"/>
            <w:hideMark/>
          </w:tcPr>
          <w:p w14:paraId="2429132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D0ECED"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81E228E" w14:textId="77777777" w:rsidR="00000000" w:rsidRDefault="0053651E">
            <w:pPr>
              <w:jc w:val="right"/>
              <w:rPr>
                <w:rFonts w:eastAsia="Times New Roman"/>
                <w:sz w:val="20"/>
                <w:szCs w:val="20"/>
              </w:rPr>
            </w:pPr>
            <w:r>
              <w:rPr>
                <w:rFonts w:eastAsia="Times New Roman"/>
                <w:sz w:val="20"/>
                <w:szCs w:val="20"/>
              </w:rPr>
              <w:t>(36,881,416</w:t>
            </w:r>
          </w:p>
        </w:tc>
        <w:tc>
          <w:tcPr>
            <w:tcW w:w="50" w:type="pct"/>
            <w:tcBorders>
              <w:bottom w:val="single" w:sz="6" w:space="0" w:color="000000"/>
            </w:tcBorders>
            <w:shd w:val="clear" w:color="auto" w:fill="CCEEFF"/>
            <w:vAlign w:val="bottom"/>
            <w:hideMark/>
          </w:tcPr>
          <w:p w14:paraId="27206EFD"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224EABB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F1F449B"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D97CB12" w14:textId="77777777" w:rsidR="00000000" w:rsidRDefault="0053651E">
            <w:pPr>
              <w:jc w:val="right"/>
              <w:rPr>
                <w:rFonts w:eastAsia="Times New Roman"/>
                <w:sz w:val="20"/>
                <w:szCs w:val="20"/>
              </w:rPr>
            </w:pPr>
            <w:r>
              <w:rPr>
                <w:rFonts w:eastAsia="Times New Roman"/>
                <w:sz w:val="20"/>
                <w:szCs w:val="20"/>
              </w:rPr>
              <w:t>(108,373,018</w:t>
            </w:r>
          </w:p>
        </w:tc>
        <w:tc>
          <w:tcPr>
            <w:tcW w:w="50" w:type="pct"/>
            <w:tcBorders>
              <w:bottom w:val="single" w:sz="6" w:space="0" w:color="000000"/>
            </w:tcBorders>
            <w:shd w:val="clear" w:color="auto" w:fill="CCEEFF"/>
            <w:vAlign w:val="bottom"/>
            <w:hideMark/>
          </w:tcPr>
          <w:p w14:paraId="3356466F"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0FD8E273"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740C4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506CF1D" w14:textId="77777777" w:rsidR="00000000" w:rsidRDefault="0053651E">
            <w:pPr>
              <w:jc w:val="right"/>
              <w:rPr>
                <w:rFonts w:eastAsia="Times New Roman"/>
                <w:sz w:val="20"/>
                <w:szCs w:val="20"/>
              </w:rPr>
            </w:pPr>
            <w:r>
              <w:rPr>
                <w:rFonts w:eastAsia="Times New Roman"/>
                <w:sz w:val="20"/>
                <w:szCs w:val="20"/>
              </w:rPr>
              <w:t>(58,139,008</w:t>
            </w:r>
          </w:p>
        </w:tc>
        <w:tc>
          <w:tcPr>
            <w:tcW w:w="50" w:type="pct"/>
            <w:shd w:val="clear" w:color="auto" w:fill="CCEEFF"/>
            <w:tcMar>
              <w:top w:w="0" w:type="dxa"/>
              <w:left w:w="0" w:type="dxa"/>
              <w:bottom w:w="15" w:type="dxa"/>
              <w:right w:w="0" w:type="dxa"/>
            </w:tcMar>
            <w:vAlign w:val="bottom"/>
            <w:hideMark/>
          </w:tcPr>
          <w:p w14:paraId="41445989" w14:textId="77777777" w:rsidR="00000000" w:rsidRDefault="0053651E">
            <w:pPr>
              <w:rPr>
                <w:rFonts w:eastAsia="Times New Roman"/>
                <w:sz w:val="20"/>
                <w:szCs w:val="20"/>
              </w:rPr>
            </w:pPr>
            <w:r>
              <w:rPr>
                <w:rFonts w:eastAsia="Times New Roman"/>
                <w:sz w:val="20"/>
                <w:szCs w:val="20"/>
              </w:rPr>
              <w:t>)</w:t>
            </w:r>
          </w:p>
        </w:tc>
      </w:tr>
      <w:tr w:rsidR="00000000" w14:paraId="11F3213F" w14:textId="77777777">
        <w:trPr>
          <w:tblCellSpacing w:w="0" w:type="dxa"/>
        </w:trPr>
        <w:tc>
          <w:tcPr>
            <w:tcW w:w="0" w:type="auto"/>
            <w:shd w:val="clear" w:color="auto" w:fill="FFFFFF"/>
            <w:vAlign w:val="bottom"/>
            <w:hideMark/>
          </w:tcPr>
          <w:p w14:paraId="068AAA87" w14:textId="77777777" w:rsidR="00000000" w:rsidRDefault="0053651E">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14:paraId="10BCB68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2B2A5A5"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A896D8E" w14:textId="77777777" w:rsidR="00000000" w:rsidRDefault="0053651E">
            <w:pPr>
              <w:jc w:val="right"/>
              <w:rPr>
                <w:rFonts w:eastAsia="Times New Roman"/>
                <w:sz w:val="20"/>
                <w:szCs w:val="20"/>
              </w:rPr>
            </w:pPr>
            <w:r>
              <w:rPr>
                <w:rFonts w:eastAsia="Times New Roman"/>
                <w:sz w:val="20"/>
                <w:szCs w:val="20"/>
              </w:rPr>
              <w:t>11,929,276,453</w:t>
            </w:r>
          </w:p>
        </w:tc>
        <w:tc>
          <w:tcPr>
            <w:tcW w:w="50" w:type="pct"/>
            <w:tcBorders>
              <w:bottom w:val="double" w:sz="6" w:space="0" w:color="000000"/>
            </w:tcBorders>
            <w:shd w:val="clear" w:color="auto" w:fill="FFFFFF"/>
            <w:vAlign w:val="bottom"/>
            <w:hideMark/>
          </w:tcPr>
          <w:p w14:paraId="553CA66B"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2C93BCD"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D07F4A6"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5416197" w14:textId="77777777" w:rsidR="00000000" w:rsidRDefault="0053651E">
            <w:pPr>
              <w:jc w:val="right"/>
              <w:rPr>
                <w:rFonts w:eastAsia="Times New Roman"/>
                <w:sz w:val="20"/>
                <w:szCs w:val="20"/>
              </w:rPr>
            </w:pPr>
            <w:r>
              <w:rPr>
                <w:rFonts w:eastAsia="Times New Roman"/>
                <w:sz w:val="20"/>
                <w:szCs w:val="20"/>
              </w:rPr>
              <w:t>11,877,190,495</w:t>
            </w:r>
          </w:p>
        </w:tc>
        <w:tc>
          <w:tcPr>
            <w:tcW w:w="50" w:type="pct"/>
            <w:tcBorders>
              <w:bottom w:val="double" w:sz="6" w:space="0" w:color="000000"/>
            </w:tcBorders>
            <w:shd w:val="clear" w:color="auto" w:fill="FFFFFF"/>
            <w:vAlign w:val="bottom"/>
            <w:hideMark/>
          </w:tcPr>
          <w:p w14:paraId="7849BD2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FEACFE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3663BA"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79CA0BF" w14:textId="77777777" w:rsidR="00000000" w:rsidRDefault="0053651E">
            <w:pPr>
              <w:jc w:val="right"/>
              <w:rPr>
                <w:rFonts w:eastAsia="Times New Roman"/>
                <w:sz w:val="20"/>
                <w:szCs w:val="20"/>
              </w:rPr>
            </w:pPr>
            <w:r>
              <w:rPr>
                <w:rFonts w:eastAsia="Times New Roman"/>
                <w:sz w:val="20"/>
                <w:szCs w:val="20"/>
              </w:rPr>
              <w:t>12,653,444,998</w:t>
            </w:r>
          </w:p>
        </w:tc>
        <w:tc>
          <w:tcPr>
            <w:tcW w:w="50" w:type="pct"/>
            <w:shd w:val="clear" w:color="auto" w:fill="FFFFFF"/>
            <w:tcMar>
              <w:top w:w="0" w:type="dxa"/>
              <w:left w:w="0" w:type="dxa"/>
              <w:bottom w:w="45" w:type="dxa"/>
              <w:right w:w="0" w:type="dxa"/>
            </w:tcMar>
            <w:vAlign w:val="bottom"/>
            <w:hideMark/>
          </w:tcPr>
          <w:p w14:paraId="4ECFB8D8" w14:textId="77777777" w:rsidR="00000000" w:rsidRDefault="0053651E">
            <w:pPr>
              <w:rPr>
                <w:rFonts w:eastAsia="Times New Roman"/>
                <w:sz w:val="20"/>
                <w:szCs w:val="20"/>
              </w:rPr>
            </w:pPr>
            <w:r>
              <w:rPr>
                <w:rFonts w:eastAsia="Times New Roman"/>
                <w:sz w:val="20"/>
                <w:szCs w:val="20"/>
              </w:rPr>
              <w:t> </w:t>
            </w:r>
          </w:p>
        </w:tc>
      </w:tr>
    </w:tbl>
    <w:p w14:paraId="374F1B25"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32612F8" w14:textId="77777777">
        <w:trPr>
          <w:tblCellSpacing w:w="0" w:type="dxa"/>
        </w:trPr>
        <w:tc>
          <w:tcPr>
            <w:tcW w:w="3465" w:type="pct"/>
            <w:vAlign w:val="bottom"/>
            <w:hideMark/>
          </w:tcPr>
          <w:p w14:paraId="70D12930" w14:textId="77777777" w:rsidR="00000000" w:rsidRDefault="0053651E">
            <w:pPr>
              <w:pStyle w:val="a3"/>
              <w:spacing w:before="0" w:beforeAutospacing="0" w:after="0" w:afterAutospacing="0"/>
              <w:rPr>
                <w:sz w:val="20"/>
                <w:szCs w:val="20"/>
              </w:rPr>
            </w:pPr>
            <w:r>
              <w:rPr>
                <w:sz w:val="20"/>
                <w:szCs w:val="20"/>
              </w:rPr>
              <w:t>The changes in accumulated depreciation for the years ended</w:t>
            </w:r>
            <w:r>
              <w:rPr>
                <w:sz w:val="20"/>
                <w:szCs w:val="20"/>
              </w:rPr>
              <w:t xml:space="preserve"> </w:t>
            </w:r>
            <w:r>
              <w:rPr>
                <w:rStyle w:val="a6"/>
                <w:i w:val="0"/>
                <w:iCs w:val="0"/>
                <w:sz w:val="20"/>
                <w:szCs w:val="20"/>
              </w:rPr>
              <w:t>December 31, 2019,</w:t>
            </w:r>
            <w:r>
              <w:rPr>
                <w:rStyle w:val="a6"/>
                <w:i w:val="0"/>
                <w:iCs w:val="0"/>
                <w:sz w:val="20"/>
                <w:szCs w:val="20"/>
              </w:rPr>
              <w:t xml:space="preserve"> </w:t>
            </w:r>
            <w:r>
              <w:rPr>
                <w:rStyle w:val="a6"/>
                <w:i w:val="0"/>
                <w:iCs w:val="0"/>
                <w:sz w:val="20"/>
                <w:szCs w:val="20"/>
              </w:rPr>
              <w:t>2018</w:t>
            </w:r>
            <w:r>
              <w:rPr>
                <w:sz w:val="20"/>
                <w:szCs w:val="20"/>
              </w:rPr>
              <w:t xml:space="preserve"> and</w:t>
            </w:r>
            <w:r>
              <w:rPr>
                <w:sz w:val="20"/>
                <w:szCs w:val="20"/>
              </w:rPr>
              <w:t xml:space="preserve"> </w:t>
            </w:r>
            <w:r>
              <w:rPr>
                <w:rStyle w:val="a6"/>
                <w:i w:val="0"/>
                <w:iCs w:val="0"/>
                <w:sz w:val="20"/>
                <w:szCs w:val="20"/>
              </w:rPr>
              <w:t>2017</w:t>
            </w:r>
            <w:r>
              <w:rPr>
                <w:sz w:val="20"/>
                <w:szCs w:val="20"/>
              </w:rPr>
              <w:t xml:space="preserve"> are as follows:</w:t>
            </w:r>
          </w:p>
        </w:tc>
      </w:tr>
    </w:tbl>
    <w:p w14:paraId="06B289BE"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05"/>
        <w:gridCol w:w="50"/>
        <w:gridCol w:w="100"/>
        <w:gridCol w:w="1150"/>
        <w:gridCol w:w="67"/>
        <w:gridCol w:w="50"/>
        <w:gridCol w:w="100"/>
        <w:gridCol w:w="1150"/>
        <w:gridCol w:w="67"/>
        <w:gridCol w:w="50"/>
        <w:gridCol w:w="100"/>
        <w:gridCol w:w="1150"/>
        <w:gridCol w:w="67"/>
      </w:tblGrid>
      <w:tr w:rsidR="00000000" w14:paraId="1842489C" w14:textId="77777777">
        <w:trPr>
          <w:tblCellSpacing w:w="0" w:type="dxa"/>
        </w:trPr>
        <w:tc>
          <w:tcPr>
            <w:tcW w:w="0" w:type="auto"/>
            <w:vAlign w:val="bottom"/>
            <w:hideMark/>
          </w:tcPr>
          <w:p w14:paraId="0A5AE2BE" w14:textId="77777777" w:rsidR="00000000" w:rsidRDefault="0053651E">
            <w:pPr>
              <w:rPr>
                <w:rFonts w:eastAsia="Times New Roman"/>
                <w:sz w:val="20"/>
                <w:szCs w:val="20"/>
              </w:rPr>
            </w:pPr>
            <w:r>
              <w:rPr>
                <w:rFonts w:eastAsia="Times New Roman"/>
                <w:sz w:val="20"/>
                <w:szCs w:val="20"/>
              </w:rPr>
              <w:t> </w:t>
            </w:r>
          </w:p>
        </w:tc>
        <w:tc>
          <w:tcPr>
            <w:tcW w:w="0" w:type="auto"/>
            <w:vAlign w:val="bottom"/>
            <w:hideMark/>
          </w:tcPr>
          <w:p w14:paraId="5BB946A6"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6DD82DE9" w14:textId="77777777" w:rsidR="00000000" w:rsidRDefault="0053651E">
            <w:pPr>
              <w:pStyle w:val="a3"/>
              <w:spacing w:before="0" w:beforeAutospacing="0" w:after="0" w:afterAutospacing="0"/>
              <w:jc w:val="center"/>
              <w:rPr>
                <w:sz w:val="20"/>
                <w:szCs w:val="20"/>
              </w:rPr>
            </w:pPr>
            <w:r>
              <w:rPr>
                <w:b/>
                <w:bCs/>
                <w:sz w:val="20"/>
                <w:szCs w:val="20"/>
              </w:rPr>
              <w:t>2019</w:t>
            </w:r>
          </w:p>
        </w:tc>
        <w:tc>
          <w:tcPr>
            <w:tcW w:w="0" w:type="auto"/>
            <w:tcBorders>
              <w:top w:val="single" w:sz="6" w:space="0" w:color="000000"/>
              <w:bottom w:val="single" w:sz="6" w:space="0" w:color="000000"/>
            </w:tcBorders>
            <w:vAlign w:val="bottom"/>
            <w:hideMark/>
          </w:tcPr>
          <w:p w14:paraId="19663B28" w14:textId="77777777" w:rsidR="00000000" w:rsidRDefault="0053651E">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14:paraId="01F83C96"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2B38EBCF" w14:textId="77777777" w:rsidR="00000000" w:rsidRDefault="0053651E">
            <w:pPr>
              <w:pStyle w:val="a3"/>
              <w:spacing w:before="0" w:beforeAutospacing="0" w:after="0" w:afterAutospacing="0"/>
              <w:jc w:val="center"/>
              <w:rPr>
                <w:sz w:val="20"/>
                <w:szCs w:val="20"/>
              </w:rPr>
            </w:pPr>
            <w:r>
              <w:rPr>
                <w:b/>
                <w:bCs/>
                <w:sz w:val="20"/>
                <w:szCs w:val="20"/>
              </w:rPr>
              <w:t>2018</w:t>
            </w:r>
          </w:p>
        </w:tc>
        <w:tc>
          <w:tcPr>
            <w:tcW w:w="0" w:type="auto"/>
            <w:tcBorders>
              <w:top w:val="single" w:sz="6" w:space="0" w:color="000000"/>
              <w:bottom w:val="single" w:sz="6" w:space="0" w:color="000000"/>
            </w:tcBorders>
            <w:vAlign w:val="bottom"/>
            <w:hideMark/>
          </w:tcPr>
          <w:p w14:paraId="41BB2936" w14:textId="77777777" w:rsidR="00000000" w:rsidRDefault="0053651E">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14:paraId="4428D243" w14:textId="77777777" w:rsidR="00000000" w:rsidRDefault="0053651E">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14:paraId="6D171F6A" w14:textId="77777777" w:rsidR="00000000" w:rsidRDefault="0053651E">
            <w:pPr>
              <w:pStyle w:val="a3"/>
              <w:spacing w:before="0" w:beforeAutospacing="0" w:after="0" w:afterAutospacing="0"/>
              <w:jc w:val="center"/>
              <w:rPr>
                <w:sz w:val="20"/>
                <w:szCs w:val="20"/>
              </w:rPr>
            </w:pPr>
            <w:r>
              <w:rPr>
                <w:b/>
                <w:bCs/>
                <w:sz w:val="20"/>
                <w:szCs w:val="20"/>
              </w:rPr>
              <w:t xml:space="preserve">2017 </w:t>
            </w:r>
          </w:p>
        </w:tc>
        <w:tc>
          <w:tcPr>
            <w:tcW w:w="0" w:type="auto"/>
            <w:tcMar>
              <w:top w:w="0" w:type="dxa"/>
              <w:left w:w="0" w:type="dxa"/>
              <w:bottom w:w="15" w:type="dxa"/>
              <w:right w:w="0" w:type="dxa"/>
            </w:tcMar>
            <w:vAlign w:val="bottom"/>
            <w:hideMark/>
          </w:tcPr>
          <w:p w14:paraId="2B1D25DD" w14:textId="77777777" w:rsidR="00000000" w:rsidRDefault="0053651E">
            <w:pPr>
              <w:rPr>
                <w:rFonts w:eastAsia="Times New Roman"/>
                <w:sz w:val="20"/>
                <w:szCs w:val="20"/>
              </w:rPr>
            </w:pPr>
            <w:r>
              <w:rPr>
                <w:rFonts w:eastAsia="Times New Roman"/>
                <w:sz w:val="20"/>
                <w:szCs w:val="20"/>
              </w:rPr>
              <w:t> </w:t>
            </w:r>
          </w:p>
        </w:tc>
      </w:tr>
      <w:tr w:rsidR="00000000" w14:paraId="34E9B1D3" w14:textId="77777777">
        <w:trPr>
          <w:tblCellSpacing w:w="0" w:type="dxa"/>
        </w:trPr>
        <w:tc>
          <w:tcPr>
            <w:tcW w:w="2750" w:type="pct"/>
            <w:shd w:val="clear" w:color="auto" w:fill="CCEEFF"/>
            <w:vAlign w:val="bottom"/>
            <w:hideMark/>
          </w:tcPr>
          <w:p w14:paraId="41E83A6D" w14:textId="77777777" w:rsidR="00000000" w:rsidRDefault="0053651E">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14:paraId="051632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9A513A"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1E2AE3AE" w14:textId="77777777" w:rsidR="00000000" w:rsidRDefault="0053651E">
            <w:pPr>
              <w:jc w:val="right"/>
              <w:rPr>
                <w:rFonts w:eastAsia="Times New Roman"/>
                <w:sz w:val="20"/>
                <w:szCs w:val="20"/>
              </w:rPr>
            </w:pPr>
            <w:r>
              <w:rPr>
                <w:rFonts w:eastAsia="Times New Roman"/>
                <w:sz w:val="20"/>
                <w:szCs w:val="20"/>
              </w:rPr>
              <w:t>2,385,287,743</w:t>
            </w:r>
          </w:p>
        </w:tc>
        <w:tc>
          <w:tcPr>
            <w:tcW w:w="50" w:type="pct"/>
            <w:shd w:val="clear" w:color="auto" w:fill="CCEEFF"/>
            <w:vAlign w:val="bottom"/>
            <w:hideMark/>
          </w:tcPr>
          <w:p w14:paraId="6E6D5A3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2B89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40847B"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57272D3C" w14:textId="77777777" w:rsidR="00000000" w:rsidRDefault="0053651E">
            <w:pPr>
              <w:jc w:val="right"/>
              <w:rPr>
                <w:rFonts w:eastAsia="Times New Roman"/>
                <w:sz w:val="20"/>
                <w:szCs w:val="20"/>
              </w:rPr>
            </w:pPr>
            <w:r>
              <w:rPr>
                <w:rFonts w:eastAsia="Times New Roman"/>
                <w:sz w:val="20"/>
                <w:szCs w:val="20"/>
              </w:rPr>
              <w:t>2,433,052,747</w:t>
            </w:r>
          </w:p>
        </w:tc>
        <w:tc>
          <w:tcPr>
            <w:tcW w:w="50" w:type="pct"/>
            <w:shd w:val="clear" w:color="auto" w:fill="CCEEFF"/>
            <w:vAlign w:val="bottom"/>
            <w:hideMark/>
          </w:tcPr>
          <w:p w14:paraId="14FF4CB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2F9E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DC30DB" w14:textId="77777777" w:rsidR="00000000" w:rsidRDefault="0053651E">
            <w:pPr>
              <w:rPr>
                <w:rFonts w:eastAsia="Times New Roman"/>
                <w:sz w:val="20"/>
                <w:szCs w:val="20"/>
              </w:rPr>
            </w:pPr>
            <w:r>
              <w:rPr>
                <w:rFonts w:eastAsia="Times New Roman"/>
                <w:sz w:val="20"/>
                <w:szCs w:val="20"/>
              </w:rPr>
              <w:t>$</w:t>
            </w:r>
          </w:p>
        </w:tc>
        <w:tc>
          <w:tcPr>
            <w:tcW w:w="600" w:type="pct"/>
            <w:shd w:val="clear" w:color="auto" w:fill="CCEEFF"/>
            <w:vAlign w:val="bottom"/>
            <w:hideMark/>
          </w:tcPr>
          <w:p w14:paraId="2C4B02D3" w14:textId="77777777" w:rsidR="00000000" w:rsidRDefault="0053651E">
            <w:pPr>
              <w:jc w:val="right"/>
              <w:rPr>
                <w:rFonts w:eastAsia="Times New Roman"/>
                <w:sz w:val="20"/>
                <w:szCs w:val="20"/>
              </w:rPr>
            </w:pPr>
            <w:r>
              <w:rPr>
                <w:rFonts w:eastAsia="Times New Roman"/>
                <w:sz w:val="20"/>
                <w:szCs w:val="20"/>
              </w:rPr>
              <w:t>2,278,291,645</w:t>
            </w:r>
          </w:p>
        </w:tc>
        <w:tc>
          <w:tcPr>
            <w:tcW w:w="50" w:type="pct"/>
            <w:shd w:val="clear" w:color="auto" w:fill="CCEEFF"/>
            <w:vAlign w:val="bottom"/>
            <w:hideMark/>
          </w:tcPr>
          <w:p w14:paraId="54B81425" w14:textId="77777777" w:rsidR="00000000" w:rsidRDefault="0053651E">
            <w:pPr>
              <w:rPr>
                <w:rFonts w:eastAsia="Times New Roman"/>
                <w:sz w:val="20"/>
                <w:szCs w:val="20"/>
              </w:rPr>
            </w:pPr>
            <w:r>
              <w:rPr>
                <w:rFonts w:eastAsia="Times New Roman"/>
                <w:sz w:val="20"/>
                <w:szCs w:val="20"/>
              </w:rPr>
              <w:t> </w:t>
            </w:r>
          </w:p>
        </w:tc>
      </w:tr>
      <w:tr w:rsidR="00000000" w14:paraId="0DBCF63C" w14:textId="77777777">
        <w:trPr>
          <w:tblCellSpacing w:w="0" w:type="dxa"/>
        </w:trPr>
        <w:tc>
          <w:tcPr>
            <w:tcW w:w="0" w:type="auto"/>
            <w:shd w:val="clear" w:color="auto" w:fill="FFFFFF"/>
            <w:vAlign w:val="bottom"/>
            <w:hideMark/>
          </w:tcPr>
          <w:p w14:paraId="0457B217" w14:textId="77777777" w:rsidR="00000000" w:rsidRDefault="0053651E">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14:paraId="3357C5F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1811F"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362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78580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D4A1E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349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94FA8"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1CB0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6B41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6D901"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FB34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CD825" w14:textId="77777777" w:rsidR="00000000" w:rsidRDefault="0053651E">
            <w:pPr>
              <w:rPr>
                <w:rFonts w:eastAsia="Times New Roman"/>
                <w:sz w:val="20"/>
                <w:szCs w:val="20"/>
              </w:rPr>
            </w:pPr>
            <w:r>
              <w:rPr>
                <w:rFonts w:eastAsia="Times New Roman"/>
                <w:sz w:val="20"/>
                <w:szCs w:val="20"/>
              </w:rPr>
              <w:t> </w:t>
            </w:r>
          </w:p>
        </w:tc>
      </w:tr>
      <w:tr w:rsidR="00000000" w14:paraId="06B29926" w14:textId="77777777">
        <w:trPr>
          <w:tblCellSpacing w:w="0" w:type="dxa"/>
        </w:trPr>
        <w:tc>
          <w:tcPr>
            <w:tcW w:w="0" w:type="auto"/>
            <w:shd w:val="clear" w:color="auto" w:fill="CCEEFF"/>
            <w:vAlign w:val="bottom"/>
            <w:hideMark/>
          </w:tcPr>
          <w:p w14:paraId="253F19C4" w14:textId="77777777" w:rsidR="00000000" w:rsidRDefault="0053651E">
            <w:pPr>
              <w:pStyle w:val="a3"/>
              <w:spacing w:before="0" w:beforeAutospacing="0" w:after="0" w:afterAutospacing="0"/>
              <w:ind w:left="180"/>
              <w:rPr>
                <w:sz w:val="20"/>
                <w:szCs w:val="20"/>
              </w:rPr>
            </w:pPr>
            <w:r>
              <w:rPr>
                <w:sz w:val="20"/>
                <w:szCs w:val="20"/>
              </w:rPr>
              <w:t>Depreciation for year</w:t>
            </w:r>
          </w:p>
        </w:tc>
        <w:tc>
          <w:tcPr>
            <w:tcW w:w="50" w:type="pct"/>
            <w:shd w:val="clear" w:color="auto" w:fill="CCEEFF"/>
            <w:vAlign w:val="bottom"/>
            <w:hideMark/>
          </w:tcPr>
          <w:p w14:paraId="00CC300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5A218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0C5145C" w14:textId="77777777" w:rsidR="00000000" w:rsidRDefault="0053651E">
            <w:pPr>
              <w:jc w:val="right"/>
              <w:rPr>
                <w:rFonts w:eastAsia="Times New Roman"/>
                <w:sz w:val="20"/>
                <w:szCs w:val="20"/>
              </w:rPr>
            </w:pPr>
            <w:r>
              <w:rPr>
                <w:rFonts w:eastAsia="Times New Roman"/>
                <w:sz w:val="20"/>
                <w:szCs w:val="20"/>
              </w:rPr>
              <w:t>260,533,557</w:t>
            </w:r>
          </w:p>
        </w:tc>
        <w:tc>
          <w:tcPr>
            <w:tcW w:w="50" w:type="pct"/>
            <w:shd w:val="clear" w:color="auto" w:fill="CCEEFF"/>
            <w:vAlign w:val="bottom"/>
            <w:hideMark/>
          </w:tcPr>
          <w:p w14:paraId="23AAC40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2E53D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4056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60ECA7" w14:textId="77777777" w:rsidR="00000000" w:rsidRDefault="0053651E">
            <w:pPr>
              <w:jc w:val="right"/>
              <w:rPr>
                <w:rFonts w:eastAsia="Times New Roman"/>
                <w:sz w:val="20"/>
                <w:szCs w:val="20"/>
              </w:rPr>
            </w:pPr>
            <w:r>
              <w:rPr>
                <w:rFonts w:eastAsia="Times New Roman"/>
                <w:sz w:val="20"/>
                <w:szCs w:val="20"/>
              </w:rPr>
              <w:t>293,667,298</w:t>
            </w:r>
          </w:p>
        </w:tc>
        <w:tc>
          <w:tcPr>
            <w:tcW w:w="50" w:type="pct"/>
            <w:shd w:val="clear" w:color="auto" w:fill="CCEEFF"/>
            <w:vAlign w:val="bottom"/>
            <w:hideMark/>
          </w:tcPr>
          <w:p w14:paraId="4463BC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4361D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0CC7FF"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617480" w14:textId="77777777" w:rsidR="00000000" w:rsidRDefault="0053651E">
            <w:pPr>
              <w:jc w:val="right"/>
              <w:rPr>
                <w:rFonts w:eastAsia="Times New Roman"/>
                <w:sz w:val="20"/>
                <w:szCs w:val="20"/>
              </w:rPr>
            </w:pPr>
            <w:r>
              <w:rPr>
                <w:rFonts w:eastAsia="Times New Roman"/>
                <w:sz w:val="20"/>
                <w:szCs w:val="20"/>
              </w:rPr>
              <w:t>368,919,387</w:t>
            </w:r>
          </w:p>
        </w:tc>
        <w:tc>
          <w:tcPr>
            <w:tcW w:w="50" w:type="pct"/>
            <w:shd w:val="clear" w:color="auto" w:fill="CCEEFF"/>
            <w:vAlign w:val="bottom"/>
            <w:hideMark/>
          </w:tcPr>
          <w:p w14:paraId="1FBF3DCD" w14:textId="77777777" w:rsidR="00000000" w:rsidRDefault="0053651E">
            <w:pPr>
              <w:rPr>
                <w:rFonts w:eastAsia="Times New Roman"/>
                <w:sz w:val="20"/>
                <w:szCs w:val="20"/>
              </w:rPr>
            </w:pPr>
            <w:r>
              <w:rPr>
                <w:rFonts w:eastAsia="Times New Roman"/>
                <w:sz w:val="20"/>
                <w:szCs w:val="20"/>
              </w:rPr>
              <w:t> </w:t>
            </w:r>
          </w:p>
        </w:tc>
      </w:tr>
      <w:tr w:rsidR="00000000" w14:paraId="3DF659C5" w14:textId="77777777">
        <w:trPr>
          <w:tblCellSpacing w:w="0" w:type="dxa"/>
        </w:trPr>
        <w:tc>
          <w:tcPr>
            <w:tcW w:w="0" w:type="auto"/>
            <w:shd w:val="clear" w:color="auto" w:fill="FFFFFF"/>
            <w:vAlign w:val="bottom"/>
            <w:hideMark/>
          </w:tcPr>
          <w:p w14:paraId="0CA9F8B6" w14:textId="77777777" w:rsidR="00000000" w:rsidRDefault="0053651E">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14:paraId="6FB7108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287B3"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CCAC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9AF0BA"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120CA0"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B361B"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79DCC"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D7BD7"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4D40D"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17D4C2"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49EEBE" w14:textId="77777777" w:rsidR="00000000" w:rsidRDefault="0053651E">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58C7D0" w14:textId="77777777" w:rsidR="00000000" w:rsidRDefault="0053651E">
            <w:pPr>
              <w:rPr>
                <w:rFonts w:eastAsia="Times New Roman"/>
                <w:sz w:val="20"/>
                <w:szCs w:val="20"/>
              </w:rPr>
            </w:pPr>
            <w:r>
              <w:rPr>
                <w:rFonts w:eastAsia="Times New Roman"/>
                <w:sz w:val="20"/>
                <w:szCs w:val="20"/>
              </w:rPr>
              <w:t> </w:t>
            </w:r>
          </w:p>
        </w:tc>
      </w:tr>
      <w:tr w:rsidR="00000000" w14:paraId="4313B0BA" w14:textId="77777777">
        <w:trPr>
          <w:tblCellSpacing w:w="0" w:type="dxa"/>
        </w:trPr>
        <w:tc>
          <w:tcPr>
            <w:tcW w:w="0" w:type="auto"/>
            <w:shd w:val="clear" w:color="auto" w:fill="CCEEFF"/>
            <w:vAlign w:val="bottom"/>
            <w:hideMark/>
          </w:tcPr>
          <w:p w14:paraId="2EDEA0ED" w14:textId="77777777" w:rsidR="00000000" w:rsidRDefault="0053651E">
            <w:pPr>
              <w:pStyle w:val="a3"/>
              <w:spacing w:before="0" w:beforeAutospacing="0" w:after="0" w:afterAutospacing="0"/>
              <w:ind w:left="180"/>
              <w:rPr>
                <w:sz w:val="20"/>
                <w:szCs w:val="20"/>
              </w:rPr>
            </w:pPr>
            <w:r>
              <w:rPr>
                <w:sz w:val="20"/>
                <w:szCs w:val="20"/>
              </w:rPr>
              <w:t>Sales</w:t>
            </w:r>
          </w:p>
        </w:tc>
        <w:tc>
          <w:tcPr>
            <w:tcW w:w="50" w:type="pct"/>
            <w:shd w:val="clear" w:color="auto" w:fill="CCEEFF"/>
            <w:vAlign w:val="bottom"/>
            <w:hideMark/>
          </w:tcPr>
          <w:p w14:paraId="2DD06D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F56EF5"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5AE8CE9" w14:textId="77777777" w:rsidR="00000000" w:rsidRDefault="0053651E">
            <w:pPr>
              <w:jc w:val="right"/>
              <w:rPr>
                <w:rFonts w:eastAsia="Times New Roman"/>
                <w:sz w:val="20"/>
                <w:szCs w:val="20"/>
              </w:rPr>
            </w:pPr>
            <w:r>
              <w:rPr>
                <w:rFonts w:eastAsia="Times New Roman"/>
                <w:sz w:val="20"/>
                <w:szCs w:val="20"/>
              </w:rPr>
              <w:t>(55,437,757</w:t>
            </w:r>
          </w:p>
        </w:tc>
        <w:tc>
          <w:tcPr>
            <w:tcW w:w="50" w:type="pct"/>
            <w:shd w:val="clear" w:color="auto" w:fill="CCEEFF"/>
            <w:vAlign w:val="bottom"/>
            <w:hideMark/>
          </w:tcPr>
          <w:p w14:paraId="4460B3AA"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4CD965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EDE1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A3BDBD1" w14:textId="77777777" w:rsidR="00000000" w:rsidRDefault="0053651E">
            <w:pPr>
              <w:jc w:val="right"/>
              <w:rPr>
                <w:rFonts w:eastAsia="Times New Roman"/>
                <w:sz w:val="20"/>
                <w:szCs w:val="20"/>
              </w:rPr>
            </w:pPr>
            <w:r>
              <w:rPr>
                <w:rFonts w:eastAsia="Times New Roman"/>
                <w:sz w:val="20"/>
                <w:szCs w:val="20"/>
              </w:rPr>
              <w:t>(</w:t>
            </w:r>
            <w:r>
              <w:rPr>
                <w:rFonts w:eastAsia="Times New Roman"/>
                <w:sz w:val="20"/>
                <w:szCs w:val="20"/>
              </w:rPr>
              <w:t>239,277,690</w:t>
            </w:r>
          </w:p>
        </w:tc>
        <w:tc>
          <w:tcPr>
            <w:tcW w:w="50" w:type="pct"/>
            <w:shd w:val="clear" w:color="auto" w:fill="CCEEFF"/>
            <w:vAlign w:val="bottom"/>
            <w:hideMark/>
          </w:tcPr>
          <w:p w14:paraId="656CE699"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1DD7573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39DEC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C25480B" w14:textId="77777777" w:rsidR="00000000" w:rsidRDefault="0053651E">
            <w:pPr>
              <w:jc w:val="right"/>
              <w:rPr>
                <w:rFonts w:eastAsia="Times New Roman"/>
                <w:sz w:val="20"/>
                <w:szCs w:val="20"/>
              </w:rPr>
            </w:pPr>
            <w:r>
              <w:rPr>
                <w:rFonts w:eastAsia="Times New Roman"/>
                <w:sz w:val="20"/>
                <w:szCs w:val="20"/>
              </w:rPr>
              <w:t>(86,798,173</w:t>
            </w:r>
          </w:p>
        </w:tc>
        <w:tc>
          <w:tcPr>
            <w:tcW w:w="50" w:type="pct"/>
            <w:shd w:val="clear" w:color="auto" w:fill="CCEEFF"/>
            <w:vAlign w:val="bottom"/>
            <w:hideMark/>
          </w:tcPr>
          <w:p w14:paraId="6D49CB93" w14:textId="77777777" w:rsidR="00000000" w:rsidRDefault="0053651E">
            <w:pPr>
              <w:rPr>
                <w:rFonts w:eastAsia="Times New Roman"/>
                <w:sz w:val="20"/>
                <w:szCs w:val="20"/>
              </w:rPr>
            </w:pPr>
            <w:r>
              <w:rPr>
                <w:rFonts w:eastAsia="Times New Roman"/>
                <w:sz w:val="20"/>
                <w:szCs w:val="20"/>
              </w:rPr>
              <w:t>)</w:t>
            </w:r>
          </w:p>
        </w:tc>
      </w:tr>
      <w:tr w:rsidR="00000000" w14:paraId="1F8F878D" w14:textId="77777777">
        <w:trPr>
          <w:tblCellSpacing w:w="0" w:type="dxa"/>
        </w:trPr>
        <w:tc>
          <w:tcPr>
            <w:tcW w:w="0" w:type="auto"/>
            <w:shd w:val="clear" w:color="auto" w:fill="FFFFFF"/>
            <w:vAlign w:val="center"/>
            <w:hideMark/>
          </w:tcPr>
          <w:p w14:paraId="656F9FD1" w14:textId="77777777" w:rsidR="00000000" w:rsidRDefault="0053651E">
            <w:pPr>
              <w:rPr>
                <w:rFonts w:eastAsia="Times New Roman"/>
                <w:sz w:val="20"/>
                <w:szCs w:val="20"/>
              </w:rPr>
            </w:pPr>
            <w:r>
              <w:rPr>
                <w:rFonts w:eastAsia="Times New Roman"/>
                <w:sz w:val="20"/>
                <w:szCs w:val="20"/>
              </w:rPr>
              <w:t>    Transfers to operating lease liabilities</w:t>
            </w:r>
          </w:p>
        </w:tc>
        <w:tc>
          <w:tcPr>
            <w:tcW w:w="50" w:type="pct"/>
            <w:shd w:val="clear" w:color="auto" w:fill="FFFFFF"/>
            <w:vAlign w:val="center"/>
            <w:hideMark/>
          </w:tcPr>
          <w:p w14:paraId="0653036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39B5235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center"/>
            <w:hideMark/>
          </w:tcPr>
          <w:p w14:paraId="751878B2" w14:textId="77777777" w:rsidR="00000000" w:rsidRDefault="0053651E">
            <w:pPr>
              <w:jc w:val="right"/>
              <w:rPr>
                <w:rFonts w:eastAsia="Times New Roman"/>
                <w:sz w:val="20"/>
                <w:szCs w:val="20"/>
              </w:rPr>
            </w:pPr>
            <w:r>
              <w:rPr>
                <w:rFonts w:eastAsia="Times New Roman"/>
                <w:sz w:val="20"/>
                <w:szCs w:val="20"/>
              </w:rPr>
              <w:t>(1,342,030</w:t>
            </w:r>
          </w:p>
        </w:tc>
        <w:tc>
          <w:tcPr>
            <w:tcW w:w="50" w:type="pct"/>
            <w:shd w:val="clear" w:color="auto" w:fill="FFFFFF"/>
            <w:vAlign w:val="center"/>
            <w:hideMark/>
          </w:tcPr>
          <w:p w14:paraId="46DB2D3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center"/>
            <w:hideMark/>
          </w:tcPr>
          <w:p w14:paraId="6161734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728FAF99"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center"/>
            <w:hideMark/>
          </w:tcPr>
          <w:p w14:paraId="0D506DC2"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14:paraId="618F51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523ADF5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center"/>
            <w:hideMark/>
          </w:tcPr>
          <w:p w14:paraId="37969DEA"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center"/>
            <w:hideMark/>
          </w:tcPr>
          <w:p w14:paraId="2834F246"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14:paraId="123F4039" w14:textId="77777777" w:rsidR="00000000" w:rsidRDefault="0053651E">
            <w:pPr>
              <w:rPr>
                <w:rFonts w:eastAsia="Times New Roman"/>
                <w:sz w:val="20"/>
                <w:szCs w:val="20"/>
              </w:rPr>
            </w:pPr>
            <w:r>
              <w:rPr>
                <w:rFonts w:eastAsia="Times New Roman"/>
                <w:sz w:val="20"/>
                <w:szCs w:val="20"/>
              </w:rPr>
              <w:t> </w:t>
            </w:r>
          </w:p>
        </w:tc>
      </w:tr>
      <w:tr w:rsidR="00000000" w14:paraId="2AF35857" w14:textId="77777777">
        <w:trPr>
          <w:tblCellSpacing w:w="0" w:type="dxa"/>
        </w:trPr>
        <w:tc>
          <w:tcPr>
            <w:tcW w:w="0" w:type="auto"/>
            <w:shd w:val="clear" w:color="auto" w:fill="CCEEFF"/>
            <w:vAlign w:val="bottom"/>
            <w:hideMark/>
          </w:tcPr>
          <w:p w14:paraId="604FF294" w14:textId="77777777" w:rsidR="00000000" w:rsidRDefault="0053651E">
            <w:pPr>
              <w:pStyle w:val="a3"/>
              <w:spacing w:before="0" w:beforeAutospacing="0" w:after="0" w:afterAutospacing="0"/>
              <w:ind w:left="180"/>
              <w:rPr>
                <w:sz w:val="20"/>
                <w:szCs w:val="20"/>
              </w:rPr>
            </w:pPr>
            <w:r>
              <w:rPr>
                <w:sz w:val="20"/>
                <w:szCs w:val="20"/>
              </w:rPr>
              <w:t>Transfers to unconsolidated joint ventures</w:t>
            </w:r>
          </w:p>
        </w:tc>
        <w:tc>
          <w:tcPr>
            <w:tcW w:w="50" w:type="pct"/>
            <w:shd w:val="clear" w:color="auto" w:fill="CCEEFF"/>
            <w:vAlign w:val="bottom"/>
            <w:hideMark/>
          </w:tcPr>
          <w:p w14:paraId="761A07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8F93D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2286545"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C1D5B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2FC8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19C7DC"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514EB15" w14:textId="77777777" w:rsidR="00000000" w:rsidRDefault="0053651E">
            <w:pPr>
              <w:jc w:val="right"/>
              <w:rPr>
                <w:rFonts w:eastAsia="Times New Roman"/>
                <w:sz w:val="20"/>
                <w:szCs w:val="20"/>
              </w:rPr>
            </w:pPr>
            <w:r>
              <w:rPr>
                <w:rFonts w:eastAsia="Times New Roman"/>
                <w:sz w:val="20"/>
                <w:szCs w:val="20"/>
              </w:rPr>
              <w:t>(11,634,554</w:t>
            </w:r>
          </w:p>
        </w:tc>
        <w:tc>
          <w:tcPr>
            <w:tcW w:w="50" w:type="pct"/>
            <w:shd w:val="clear" w:color="auto" w:fill="CCEEFF"/>
            <w:vAlign w:val="bottom"/>
            <w:hideMark/>
          </w:tcPr>
          <w:p w14:paraId="1E8B6C42" w14:textId="77777777" w:rsidR="00000000" w:rsidRDefault="0053651E">
            <w:pPr>
              <w:rPr>
                <w:rFonts w:eastAsia="Times New Roman"/>
                <w:sz w:val="20"/>
                <w:szCs w:val="20"/>
              </w:rPr>
            </w:pPr>
            <w:r>
              <w:rPr>
                <w:rFonts w:eastAsia="Times New Roman"/>
                <w:sz w:val="20"/>
                <w:szCs w:val="20"/>
              </w:rPr>
              <w:t>)</w:t>
            </w:r>
          </w:p>
        </w:tc>
        <w:tc>
          <w:tcPr>
            <w:tcW w:w="50" w:type="pct"/>
            <w:shd w:val="clear" w:color="auto" w:fill="CCEEFF"/>
            <w:vAlign w:val="bottom"/>
            <w:hideMark/>
          </w:tcPr>
          <w:p w14:paraId="65C4E6E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DC393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48AC287" w14:textId="77777777" w:rsidR="00000000" w:rsidRDefault="0053651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A557196" w14:textId="77777777" w:rsidR="00000000" w:rsidRDefault="0053651E">
            <w:pPr>
              <w:rPr>
                <w:rFonts w:eastAsia="Times New Roman"/>
                <w:sz w:val="20"/>
                <w:szCs w:val="20"/>
              </w:rPr>
            </w:pPr>
            <w:r>
              <w:rPr>
                <w:rFonts w:eastAsia="Times New Roman"/>
                <w:sz w:val="20"/>
                <w:szCs w:val="20"/>
              </w:rPr>
              <w:t> </w:t>
            </w:r>
          </w:p>
        </w:tc>
      </w:tr>
      <w:tr w:rsidR="00000000" w14:paraId="01480A94" w14:textId="77777777">
        <w:trPr>
          <w:tblCellSpacing w:w="0" w:type="dxa"/>
        </w:trPr>
        <w:tc>
          <w:tcPr>
            <w:tcW w:w="0" w:type="auto"/>
            <w:shd w:val="clear" w:color="auto" w:fill="FFFFFF"/>
            <w:vAlign w:val="bottom"/>
            <w:hideMark/>
          </w:tcPr>
          <w:p w14:paraId="5490DB12" w14:textId="77777777" w:rsidR="00000000" w:rsidRDefault="0053651E">
            <w:pPr>
              <w:pStyle w:val="a3"/>
              <w:spacing w:before="0" w:beforeAutospacing="0" w:after="0" w:afterAutospacing="0"/>
              <w:ind w:left="180"/>
              <w:rPr>
                <w:sz w:val="20"/>
                <w:szCs w:val="20"/>
              </w:rPr>
            </w:pPr>
            <w:r>
              <w:rPr>
                <w:sz w:val="20"/>
                <w:szCs w:val="20"/>
              </w:rPr>
              <w:t>Assets held for sale</w:t>
            </w:r>
          </w:p>
        </w:tc>
        <w:tc>
          <w:tcPr>
            <w:tcW w:w="50" w:type="pct"/>
            <w:shd w:val="clear" w:color="auto" w:fill="FFFFFF"/>
            <w:vAlign w:val="bottom"/>
            <w:hideMark/>
          </w:tcPr>
          <w:p w14:paraId="543116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41F1ED"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EEB03D0" w14:textId="77777777" w:rsidR="00000000" w:rsidRDefault="0053651E">
            <w:pPr>
              <w:jc w:val="right"/>
              <w:rPr>
                <w:rFonts w:eastAsia="Times New Roman"/>
                <w:sz w:val="20"/>
                <w:szCs w:val="20"/>
              </w:rPr>
            </w:pPr>
            <w:r>
              <w:rPr>
                <w:rFonts w:eastAsia="Times New Roman"/>
                <w:sz w:val="20"/>
                <w:szCs w:val="20"/>
              </w:rPr>
              <w:t>(32,642,081</w:t>
            </w:r>
          </w:p>
        </w:tc>
        <w:tc>
          <w:tcPr>
            <w:tcW w:w="50" w:type="pct"/>
            <w:shd w:val="clear" w:color="auto" w:fill="FFFFFF"/>
            <w:vAlign w:val="bottom"/>
            <w:hideMark/>
          </w:tcPr>
          <w:p w14:paraId="28FE2000"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381E66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5DBF80"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4884B59" w14:textId="77777777" w:rsidR="00000000" w:rsidRDefault="0053651E">
            <w:pPr>
              <w:jc w:val="right"/>
              <w:rPr>
                <w:rFonts w:eastAsia="Times New Roman"/>
                <w:sz w:val="20"/>
                <w:szCs w:val="20"/>
              </w:rPr>
            </w:pPr>
            <w:r>
              <w:rPr>
                <w:rFonts w:eastAsia="Times New Roman"/>
                <w:sz w:val="20"/>
                <w:szCs w:val="20"/>
              </w:rPr>
              <w:t>(17,527,267</w:t>
            </w:r>
          </w:p>
        </w:tc>
        <w:tc>
          <w:tcPr>
            <w:tcW w:w="50" w:type="pct"/>
            <w:shd w:val="clear" w:color="auto" w:fill="FFFFFF"/>
            <w:vAlign w:val="bottom"/>
            <w:hideMark/>
          </w:tcPr>
          <w:p w14:paraId="7BBF517F" w14:textId="77777777" w:rsidR="00000000" w:rsidRDefault="0053651E">
            <w:pPr>
              <w:rPr>
                <w:rFonts w:eastAsia="Times New Roman"/>
                <w:sz w:val="20"/>
                <w:szCs w:val="20"/>
              </w:rPr>
            </w:pPr>
            <w:r>
              <w:rPr>
                <w:rFonts w:eastAsia="Times New Roman"/>
                <w:sz w:val="20"/>
                <w:szCs w:val="20"/>
              </w:rPr>
              <w:t>)</w:t>
            </w:r>
          </w:p>
        </w:tc>
        <w:tc>
          <w:tcPr>
            <w:tcW w:w="50" w:type="pct"/>
            <w:shd w:val="clear" w:color="auto" w:fill="FFFFFF"/>
            <w:vAlign w:val="bottom"/>
            <w:hideMark/>
          </w:tcPr>
          <w:p w14:paraId="75A67B5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D793E7" w14:textId="77777777" w:rsidR="00000000" w:rsidRDefault="0053651E">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F51B4CB" w14:textId="77777777" w:rsidR="00000000" w:rsidRDefault="0053651E">
            <w:pPr>
              <w:jc w:val="right"/>
              <w:rPr>
                <w:rFonts w:eastAsia="Times New Roman"/>
                <w:sz w:val="20"/>
                <w:szCs w:val="20"/>
              </w:rPr>
            </w:pPr>
            <w:r>
              <w:rPr>
                <w:rFonts w:eastAsia="Times New Roman"/>
                <w:sz w:val="20"/>
                <w:szCs w:val="20"/>
              </w:rPr>
              <w:t>(</w:t>
            </w:r>
            <w:r>
              <w:rPr>
                <w:rFonts w:eastAsia="Times New Roman"/>
                <w:sz w:val="20"/>
                <w:szCs w:val="20"/>
              </w:rPr>
              <w:t>19,699,746</w:t>
            </w:r>
          </w:p>
        </w:tc>
        <w:tc>
          <w:tcPr>
            <w:tcW w:w="50" w:type="pct"/>
            <w:shd w:val="clear" w:color="auto" w:fill="FFFFFF"/>
            <w:vAlign w:val="bottom"/>
            <w:hideMark/>
          </w:tcPr>
          <w:p w14:paraId="7C91D291" w14:textId="77777777" w:rsidR="00000000" w:rsidRDefault="0053651E">
            <w:pPr>
              <w:rPr>
                <w:rFonts w:eastAsia="Times New Roman"/>
                <w:sz w:val="20"/>
                <w:szCs w:val="20"/>
              </w:rPr>
            </w:pPr>
            <w:r>
              <w:rPr>
                <w:rFonts w:eastAsia="Times New Roman"/>
                <w:sz w:val="20"/>
                <w:szCs w:val="20"/>
              </w:rPr>
              <w:t>)</w:t>
            </w:r>
          </w:p>
        </w:tc>
      </w:tr>
      <w:tr w:rsidR="00000000" w14:paraId="4022D6CE" w14:textId="77777777">
        <w:trPr>
          <w:tblCellSpacing w:w="0" w:type="dxa"/>
        </w:trPr>
        <w:tc>
          <w:tcPr>
            <w:tcW w:w="0" w:type="auto"/>
            <w:shd w:val="clear" w:color="auto" w:fill="CCEEFF"/>
            <w:vAlign w:val="bottom"/>
            <w:hideMark/>
          </w:tcPr>
          <w:p w14:paraId="43CA73A8" w14:textId="77777777" w:rsidR="00000000" w:rsidRDefault="0053651E">
            <w:pPr>
              <w:pStyle w:val="a3"/>
              <w:spacing w:before="0" w:beforeAutospacing="0" w:after="0" w:afterAutospacing="0"/>
              <w:ind w:left="180"/>
              <w:rPr>
                <w:sz w:val="20"/>
                <w:szCs w:val="20"/>
              </w:rPr>
            </w:pPr>
            <w:r>
              <w:rPr>
                <w:sz w:val="20"/>
                <w:szCs w:val="20"/>
              </w:rPr>
              <w:t>Adjustment for fully depreciated assets/other</w:t>
            </w:r>
          </w:p>
        </w:tc>
        <w:tc>
          <w:tcPr>
            <w:tcW w:w="50" w:type="pct"/>
            <w:shd w:val="clear" w:color="auto" w:fill="CCEEFF"/>
            <w:vAlign w:val="bottom"/>
            <w:hideMark/>
          </w:tcPr>
          <w:p w14:paraId="48C3CE19"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C660C3"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77ADDD9" w14:textId="77777777" w:rsidR="00000000" w:rsidRDefault="0053651E">
            <w:pPr>
              <w:jc w:val="right"/>
              <w:rPr>
                <w:rFonts w:eastAsia="Times New Roman"/>
                <w:sz w:val="20"/>
                <w:szCs w:val="20"/>
              </w:rPr>
            </w:pPr>
            <w:r>
              <w:rPr>
                <w:rFonts w:eastAsia="Times New Roman"/>
                <w:sz w:val="20"/>
                <w:szCs w:val="20"/>
              </w:rPr>
              <w:t>(56,346,790</w:t>
            </w:r>
          </w:p>
        </w:tc>
        <w:tc>
          <w:tcPr>
            <w:tcW w:w="50" w:type="pct"/>
            <w:tcBorders>
              <w:bottom w:val="single" w:sz="6" w:space="0" w:color="000000"/>
            </w:tcBorders>
            <w:shd w:val="clear" w:color="auto" w:fill="CCEEFF"/>
            <w:vAlign w:val="bottom"/>
            <w:hideMark/>
          </w:tcPr>
          <w:p w14:paraId="4F9DB2D6"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6FE28FE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B6D0A1"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D6E9052" w14:textId="77777777" w:rsidR="00000000" w:rsidRDefault="0053651E">
            <w:pPr>
              <w:jc w:val="right"/>
              <w:rPr>
                <w:rFonts w:eastAsia="Times New Roman"/>
                <w:sz w:val="20"/>
                <w:szCs w:val="20"/>
              </w:rPr>
            </w:pPr>
            <w:r>
              <w:rPr>
                <w:rFonts w:eastAsia="Times New Roman"/>
                <w:sz w:val="20"/>
                <w:szCs w:val="20"/>
              </w:rPr>
              <w:t>(72,992,791</w:t>
            </w:r>
          </w:p>
        </w:tc>
        <w:tc>
          <w:tcPr>
            <w:tcW w:w="50" w:type="pct"/>
            <w:tcBorders>
              <w:bottom w:val="single" w:sz="6" w:space="0" w:color="000000"/>
            </w:tcBorders>
            <w:shd w:val="clear" w:color="auto" w:fill="CCEEFF"/>
            <w:vAlign w:val="bottom"/>
            <w:hideMark/>
          </w:tcPr>
          <w:p w14:paraId="55A37FD7" w14:textId="77777777" w:rsidR="00000000" w:rsidRDefault="0053651E">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7C6C441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07C9F76" w14:textId="77777777" w:rsidR="00000000" w:rsidRDefault="0053651E">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7FE56CC" w14:textId="77777777" w:rsidR="00000000" w:rsidRDefault="0053651E">
            <w:pPr>
              <w:jc w:val="right"/>
              <w:rPr>
                <w:rFonts w:eastAsia="Times New Roman"/>
                <w:sz w:val="20"/>
                <w:szCs w:val="20"/>
              </w:rPr>
            </w:pPr>
            <w:r>
              <w:rPr>
                <w:rFonts w:eastAsia="Times New Roman"/>
                <w:sz w:val="20"/>
                <w:szCs w:val="20"/>
              </w:rPr>
              <w:t>(107,660,366</w:t>
            </w:r>
          </w:p>
        </w:tc>
        <w:tc>
          <w:tcPr>
            <w:tcW w:w="50" w:type="pct"/>
            <w:shd w:val="clear" w:color="auto" w:fill="CCEEFF"/>
            <w:tcMar>
              <w:top w:w="0" w:type="dxa"/>
              <w:left w:w="0" w:type="dxa"/>
              <w:bottom w:w="15" w:type="dxa"/>
              <w:right w:w="0" w:type="dxa"/>
            </w:tcMar>
            <w:vAlign w:val="bottom"/>
            <w:hideMark/>
          </w:tcPr>
          <w:p w14:paraId="63549D49" w14:textId="77777777" w:rsidR="00000000" w:rsidRDefault="0053651E">
            <w:pPr>
              <w:rPr>
                <w:rFonts w:eastAsia="Times New Roman"/>
                <w:sz w:val="20"/>
                <w:szCs w:val="20"/>
              </w:rPr>
            </w:pPr>
            <w:r>
              <w:rPr>
                <w:rFonts w:eastAsia="Times New Roman"/>
                <w:sz w:val="20"/>
                <w:szCs w:val="20"/>
              </w:rPr>
              <w:t>)</w:t>
            </w:r>
          </w:p>
        </w:tc>
      </w:tr>
      <w:tr w:rsidR="00000000" w14:paraId="6B8466DB" w14:textId="77777777">
        <w:trPr>
          <w:tblCellSpacing w:w="0" w:type="dxa"/>
        </w:trPr>
        <w:tc>
          <w:tcPr>
            <w:tcW w:w="0" w:type="auto"/>
            <w:shd w:val="clear" w:color="auto" w:fill="FFFFFF"/>
            <w:vAlign w:val="bottom"/>
            <w:hideMark/>
          </w:tcPr>
          <w:p w14:paraId="13977C26" w14:textId="77777777" w:rsidR="00000000" w:rsidRDefault="0053651E">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14:paraId="35827314"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85A5B9"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A3393C7" w14:textId="77777777" w:rsidR="00000000" w:rsidRDefault="0053651E">
            <w:pPr>
              <w:jc w:val="right"/>
              <w:rPr>
                <w:rFonts w:eastAsia="Times New Roman"/>
                <w:sz w:val="20"/>
                <w:szCs w:val="20"/>
              </w:rPr>
            </w:pPr>
            <w:r>
              <w:rPr>
                <w:rFonts w:eastAsia="Times New Roman"/>
                <w:sz w:val="20"/>
                <w:szCs w:val="20"/>
              </w:rPr>
              <w:t>2,500,052,642</w:t>
            </w:r>
          </w:p>
        </w:tc>
        <w:tc>
          <w:tcPr>
            <w:tcW w:w="50" w:type="pct"/>
            <w:tcBorders>
              <w:bottom w:val="double" w:sz="6" w:space="0" w:color="000000"/>
            </w:tcBorders>
            <w:shd w:val="clear" w:color="auto" w:fill="FFFFFF"/>
            <w:vAlign w:val="bottom"/>
            <w:hideMark/>
          </w:tcPr>
          <w:p w14:paraId="57B936D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77AF35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D5FA6A"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5F49C23" w14:textId="77777777" w:rsidR="00000000" w:rsidRDefault="0053651E">
            <w:pPr>
              <w:jc w:val="right"/>
              <w:rPr>
                <w:rFonts w:eastAsia="Times New Roman"/>
                <w:sz w:val="20"/>
                <w:szCs w:val="20"/>
              </w:rPr>
            </w:pPr>
            <w:r>
              <w:rPr>
                <w:rFonts w:eastAsia="Times New Roman"/>
                <w:sz w:val="20"/>
                <w:szCs w:val="20"/>
              </w:rPr>
              <w:t>2,385,287,743</w:t>
            </w:r>
          </w:p>
        </w:tc>
        <w:tc>
          <w:tcPr>
            <w:tcW w:w="50" w:type="pct"/>
            <w:tcBorders>
              <w:bottom w:val="double" w:sz="6" w:space="0" w:color="000000"/>
            </w:tcBorders>
            <w:shd w:val="clear" w:color="auto" w:fill="FFFFFF"/>
            <w:vAlign w:val="bottom"/>
            <w:hideMark/>
          </w:tcPr>
          <w:p w14:paraId="3416A635"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3F321A2"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15E30A7" w14:textId="77777777" w:rsidR="00000000" w:rsidRDefault="0053651E">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57D2042" w14:textId="77777777" w:rsidR="00000000" w:rsidRDefault="0053651E">
            <w:pPr>
              <w:jc w:val="right"/>
              <w:rPr>
                <w:rFonts w:eastAsia="Times New Roman"/>
                <w:sz w:val="20"/>
                <w:szCs w:val="20"/>
              </w:rPr>
            </w:pPr>
            <w:r>
              <w:rPr>
                <w:rFonts w:eastAsia="Times New Roman"/>
                <w:sz w:val="20"/>
                <w:szCs w:val="20"/>
              </w:rPr>
              <w:t>2,433,052,747</w:t>
            </w:r>
          </w:p>
        </w:tc>
        <w:tc>
          <w:tcPr>
            <w:tcW w:w="50" w:type="pct"/>
            <w:shd w:val="clear" w:color="auto" w:fill="FFFFFF"/>
            <w:tcMar>
              <w:top w:w="0" w:type="dxa"/>
              <w:left w:w="0" w:type="dxa"/>
              <w:bottom w:w="45" w:type="dxa"/>
              <w:right w:w="0" w:type="dxa"/>
            </w:tcMar>
            <w:vAlign w:val="bottom"/>
            <w:hideMark/>
          </w:tcPr>
          <w:p w14:paraId="7C4B302F" w14:textId="77777777" w:rsidR="00000000" w:rsidRDefault="0053651E">
            <w:pPr>
              <w:rPr>
                <w:rFonts w:eastAsia="Times New Roman"/>
                <w:sz w:val="20"/>
                <w:szCs w:val="20"/>
              </w:rPr>
            </w:pPr>
            <w:r>
              <w:rPr>
                <w:rFonts w:eastAsia="Times New Roman"/>
                <w:sz w:val="20"/>
                <w:szCs w:val="20"/>
              </w:rPr>
              <w:t> </w:t>
            </w:r>
          </w:p>
        </w:tc>
      </w:tr>
    </w:tbl>
    <w:p w14:paraId="516AD7D1" w14:textId="77777777" w:rsidR="00000000" w:rsidRDefault="0053651E">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2493B71" w14:textId="77777777">
        <w:trPr>
          <w:tblCellSpacing w:w="0" w:type="dxa"/>
        </w:trPr>
        <w:tc>
          <w:tcPr>
            <w:tcW w:w="1210" w:type="pct"/>
            <w:vAlign w:val="bottom"/>
            <w:hideMark/>
          </w:tcPr>
          <w:p w14:paraId="0AE65B4C" w14:textId="77777777" w:rsidR="00000000" w:rsidRDefault="0053651E">
            <w:pPr>
              <w:pStyle w:val="a3"/>
              <w:spacing w:before="0" w:beforeAutospacing="0" w:after="0" w:afterAutospacing="0"/>
              <w:rPr>
                <w:sz w:val="20"/>
                <w:szCs w:val="20"/>
              </w:rPr>
            </w:pPr>
            <w:r>
              <w:rPr>
                <w:sz w:val="20"/>
                <w:szCs w:val="20"/>
              </w:rPr>
              <w:t>Reclassifications:</w:t>
            </w:r>
          </w:p>
        </w:tc>
      </w:tr>
      <w:tr w:rsidR="00000000" w14:paraId="7F2F94FC" w14:textId="77777777">
        <w:trPr>
          <w:tblCellSpacing w:w="0" w:type="dxa"/>
        </w:trPr>
        <w:tc>
          <w:tcPr>
            <w:tcW w:w="3465" w:type="pct"/>
            <w:vAlign w:val="bottom"/>
            <w:hideMark/>
          </w:tcPr>
          <w:p w14:paraId="0E7A26CF" w14:textId="77777777" w:rsidR="00000000" w:rsidRDefault="0053651E">
            <w:pPr>
              <w:pStyle w:val="a3"/>
              <w:spacing w:before="0" w:beforeAutospacing="0" w:after="0" w:afterAutospacing="0"/>
              <w:rPr>
                <w:sz w:val="20"/>
                <w:szCs w:val="20"/>
              </w:rPr>
            </w:pPr>
            <w:r>
              <w:rPr>
                <w:sz w:val="20"/>
                <w:szCs w:val="20"/>
              </w:rPr>
              <w:t>Certain Amounts in the Prior Period Have Been Reclassified in Order to Conform with the Current Period's Presentation.</w:t>
            </w:r>
          </w:p>
        </w:tc>
      </w:tr>
    </w:tbl>
    <w:p w14:paraId="5F7373D1" w14:textId="77777777" w:rsidR="00000000" w:rsidRDefault="0053651E">
      <w:pPr>
        <w:pStyle w:val="a3"/>
        <w:spacing w:before="0" w:beforeAutospacing="0" w:after="0" w:afterAutospacing="0"/>
        <w:rPr>
          <w:sz w:val="20"/>
          <w:szCs w:val="20"/>
        </w:rPr>
      </w:pPr>
      <w:r>
        <w:rPr>
          <w:sz w:val="20"/>
          <w:szCs w:val="20"/>
        </w:rPr>
        <w:t> </w:t>
      </w:r>
    </w:p>
    <w:p w14:paraId="6B2F04E5" w14:textId="77777777" w:rsidR="00000000" w:rsidRDefault="0053651E">
      <w:pPr>
        <w:jc w:val="center"/>
        <w:divId w:val="1584726844"/>
        <w:rPr>
          <w:rFonts w:eastAsia="Times New Roman"/>
          <w:sz w:val="20"/>
          <w:szCs w:val="20"/>
        </w:rPr>
      </w:pPr>
      <w:r>
        <w:rPr>
          <w:rFonts w:eastAsia="Times New Roman"/>
          <w:sz w:val="20"/>
          <w:szCs w:val="20"/>
        </w:rPr>
        <w:t xml:space="preserve">89 </w:t>
      </w:r>
    </w:p>
    <w:p w14:paraId="05DBBB95" w14:textId="77777777" w:rsidR="00000000" w:rsidRDefault="0053651E">
      <w:pPr>
        <w:divId w:val="1584726844"/>
        <w:rPr>
          <w:rFonts w:eastAsia="Times New Roman"/>
          <w:sz w:val="20"/>
          <w:szCs w:val="20"/>
        </w:rPr>
      </w:pPr>
      <w:r>
        <w:rPr>
          <w:rFonts w:eastAsia="Times New Roman"/>
          <w:sz w:val="20"/>
          <w:szCs w:val="20"/>
        </w:rPr>
        <w:pict w14:anchorId="49B835E9">
          <v:rect id="_x0000_i1120" style="width:0;height:1.5pt" o:hralign="center" o:hrstd="t" o:hr="t" fillcolor="#a0a0a0" stroked="f"/>
        </w:pict>
      </w:r>
    </w:p>
    <w:p w14:paraId="59B7F64E" w14:textId="77777777" w:rsidR="00000000" w:rsidRDefault="0053651E">
      <w:pPr>
        <w:divId w:val="15847268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70EA80" w14:textId="77777777" w:rsidR="00000000" w:rsidRDefault="0053651E">
      <w:pPr>
        <w:divId w:val="587738110"/>
        <w:rPr>
          <w:rFonts w:eastAsia="Times New Roman"/>
          <w:sz w:val="20"/>
          <w:szCs w:val="20"/>
        </w:rPr>
      </w:pPr>
      <w:r>
        <w:rPr>
          <w:rFonts w:eastAsia="Times New Roman"/>
          <w:sz w:val="20"/>
          <w:szCs w:val="20"/>
        </w:rPr>
        <w:t xml:space="preserve">  </w:t>
      </w:r>
    </w:p>
    <w:p w14:paraId="63E0F402" w14:textId="77777777" w:rsidR="00000000" w:rsidRDefault="0053651E">
      <w:pPr>
        <w:pStyle w:val="a3"/>
        <w:spacing w:before="0" w:beforeAutospacing="0" w:after="0" w:afterAutospacing="0"/>
        <w:rPr>
          <w:sz w:val="20"/>
          <w:szCs w:val="20"/>
        </w:rPr>
      </w:pPr>
      <w:r>
        <w:rPr>
          <w:sz w:val="20"/>
          <w:szCs w:val="20"/>
        </w:rPr>
        <w:t> </w:t>
      </w:r>
    </w:p>
    <w:p w14:paraId="47FDE3D1" w14:textId="77777777" w:rsidR="00000000" w:rsidRDefault="0053651E">
      <w:pPr>
        <w:divId w:val="1148665832"/>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E3DD716" w14:textId="77777777">
        <w:trPr>
          <w:tblCellSpacing w:w="0" w:type="dxa"/>
        </w:trPr>
        <w:tc>
          <w:tcPr>
            <w:tcW w:w="0" w:type="auto"/>
            <w:vAlign w:val="bottom"/>
            <w:hideMark/>
          </w:tcPr>
          <w:p w14:paraId="7219AE3A" w14:textId="77777777" w:rsidR="00000000" w:rsidRDefault="0053651E">
            <w:pPr>
              <w:pStyle w:val="a3"/>
              <w:spacing w:before="0" w:beforeAutospacing="0" w:after="0" w:afterAutospacing="0"/>
              <w:jc w:val="center"/>
              <w:rPr>
                <w:sz w:val="20"/>
                <w:szCs w:val="20"/>
              </w:rPr>
            </w:pPr>
            <w:r>
              <w:rPr>
                <w:b/>
                <w:bCs/>
                <w:sz w:val="20"/>
                <w:szCs w:val="20"/>
              </w:rPr>
              <w:t>KIMCO REALTY CORPORATION AND SUBSIDIARIES</w:t>
            </w:r>
          </w:p>
        </w:tc>
      </w:tr>
      <w:tr w:rsidR="00000000" w14:paraId="68015852" w14:textId="77777777">
        <w:trPr>
          <w:tblCellSpacing w:w="0" w:type="dxa"/>
        </w:trPr>
        <w:tc>
          <w:tcPr>
            <w:tcW w:w="0" w:type="auto"/>
            <w:vAlign w:val="bottom"/>
            <w:hideMark/>
          </w:tcPr>
          <w:p w14:paraId="0571561D" w14:textId="77777777" w:rsidR="00000000" w:rsidRDefault="0053651E">
            <w:pPr>
              <w:pStyle w:val="a3"/>
              <w:spacing w:before="0" w:beforeAutospacing="0" w:after="0" w:afterAutospacing="0"/>
              <w:jc w:val="center"/>
              <w:rPr>
                <w:sz w:val="20"/>
                <w:szCs w:val="20"/>
              </w:rPr>
            </w:pPr>
            <w:r>
              <w:rPr>
                <w:b/>
                <w:bCs/>
                <w:sz w:val="20"/>
                <w:szCs w:val="20"/>
              </w:rPr>
              <w:t>SCHEDULE IV - MORTGAGE LOANS ON REAL ESTATE</w:t>
            </w:r>
          </w:p>
        </w:tc>
      </w:tr>
      <w:tr w:rsidR="00000000" w14:paraId="0041E15A" w14:textId="77777777">
        <w:trPr>
          <w:tblCellSpacing w:w="0" w:type="dxa"/>
        </w:trPr>
        <w:tc>
          <w:tcPr>
            <w:tcW w:w="0" w:type="auto"/>
            <w:vAlign w:val="bottom"/>
            <w:hideMark/>
          </w:tcPr>
          <w:p w14:paraId="16A62E10" w14:textId="77777777" w:rsidR="00000000" w:rsidRDefault="0053651E">
            <w:pPr>
              <w:pStyle w:val="a3"/>
              <w:spacing w:before="0" w:beforeAutospacing="0" w:after="0" w:afterAutospacing="0"/>
              <w:jc w:val="center"/>
              <w:rPr>
                <w:sz w:val="20"/>
                <w:szCs w:val="20"/>
              </w:rPr>
            </w:pPr>
            <w:r>
              <w:rPr>
                <w:b/>
                <w:bCs/>
                <w:sz w:val="20"/>
                <w:szCs w:val="20"/>
              </w:rPr>
              <w:t>As of</w:t>
            </w:r>
            <w:r>
              <w:rPr>
                <w:b/>
                <w:bCs/>
                <w:sz w:val="20"/>
                <w:szCs w:val="20"/>
              </w:rPr>
              <w:t xml:space="preserve"> </w:t>
            </w:r>
            <w:r>
              <w:rPr>
                <w:rStyle w:val="a6"/>
                <w:b/>
                <w:bCs/>
                <w:i w:val="0"/>
                <w:iCs w:val="0"/>
                <w:sz w:val="20"/>
                <w:szCs w:val="20"/>
              </w:rPr>
              <w:t>December 31, 2019</w:t>
            </w:r>
          </w:p>
        </w:tc>
      </w:tr>
      <w:tr w:rsidR="00000000" w14:paraId="0A099FA1" w14:textId="77777777">
        <w:trPr>
          <w:tblCellSpacing w:w="0" w:type="dxa"/>
        </w:trPr>
        <w:tc>
          <w:tcPr>
            <w:tcW w:w="0" w:type="auto"/>
            <w:vAlign w:val="bottom"/>
            <w:hideMark/>
          </w:tcPr>
          <w:p w14:paraId="7A6EDC62" w14:textId="77777777" w:rsidR="00000000" w:rsidRDefault="0053651E">
            <w:pPr>
              <w:pStyle w:val="a3"/>
              <w:spacing w:before="0" w:beforeAutospacing="0" w:after="0" w:afterAutospacing="0"/>
              <w:jc w:val="center"/>
              <w:rPr>
                <w:sz w:val="20"/>
                <w:szCs w:val="20"/>
              </w:rPr>
            </w:pPr>
            <w:r>
              <w:rPr>
                <w:b/>
                <w:bCs/>
                <w:sz w:val="20"/>
                <w:szCs w:val="20"/>
              </w:rPr>
              <w:t>(in thousands)</w:t>
            </w:r>
          </w:p>
        </w:tc>
      </w:tr>
    </w:tbl>
    <w:p w14:paraId="2E3DA74D"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38"/>
        <w:gridCol w:w="60"/>
        <w:gridCol w:w="60"/>
        <w:gridCol w:w="725"/>
        <w:gridCol w:w="61"/>
        <w:gridCol w:w="61"/>
        <w:gridCol w:w="778"/>
        <w:gridCol w:w="61"/>
        <w:gridCol w:w="756"/>
        <w:gridCol w:w="61"/>
        <w:gridCol w:w="101"/>
        <w:gridCol w:w="726"/>
        <w:gridCol w:w="61"/>
        <w:gridCol w:w="61"/>
        <w:gridCol w:w="101"/>
        <w:gridCol w:w="819"/>
        <w:gridCol w:w="61"/>
        <w:gridCol w:w="61"/>
        <w:gridCol w:w="101"/>
        <w:gridCol w:w="819"/>
        <w:gridCol w:w="61"/>
        <w:gridCol w:w="61"/>
        <w:gridCol w:w="101"/>
        <w:gridCol w:w="850"/>
        <w:gridCol w:w="61"/>
      </w:tblGrid>
      <w:tr w:rsidR="00000000" w14:paraId="2ACECC73" w14:textId="77777777">
        <w:trPr>
          <w:tblCellSpacing w:w="0" w:type="dxa"/>
        </w:trPr>
        <w:tc>
          <w:tcPr>
            <w:tcW w:w="1000" w:type="pct"/>
            <w:tcBorders>
              <w:bottom w:val="single" w:sz="6" w:space="0" w:color="000000"/>
            </w:tcBorders>
            <w:vAlign w:val="bottom"/>
            <w:hideMark/>
          </w:tcPr>
          <w:p w14:paraId="0E47F736" w14:textId="77777777" w:rsidR="00000000" w:rsidRDefault="0053651E">
            <w:pPr>
              <w:pStyle w:val="a3"/>
              <w:spacing w:before="0" w:beforeAutospacing="0" w:after="0" w:afterAutospacing="0"/>
              <w:jc w:val="center"/>
              <w:rPr>
                <w:sz w:val="20"/>
                <w:szCs w:val="20"/>
              </w:rPr>
            </w:pPr>
            <w:r>
              <w:rPr>
                <w:b/>
                <w:bCs/>
                <w:sz w:val="20"/>
                <w:szCs w:val="20"/>
              </w:rPr>
              <w:t>Description</w:t>
            </w:r>
          </w:p>
        </w:tc>
        <w:tc>
          <w:tcPr>
            <w:tcW w:w="50" w:type="pct"/>
            <w:tcBorders>
              <w:bottom w:val="single" w:sz="6" w:space="0" w:color="000000"/>
            </w:tcBorders>
            <w:vAlign w:val="bottom"/>
            <w:hideMark/>
          </w:tcPr>
          <w:p w14:paraId="79E39BF8"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BE372A1" w14:textId="77777777" w:rsidR="00000000" w:rsidRDefault="0053651E">
            <w:pPr>
              <w:pStyle w:val="a3"/>
              <w:spacing w:before="0" w:beforeAutospacing="0" w:after="0" w:afterAutospacing="0"/>
              <w:jc w:val="center"/>
              <w:rPr>
                <w:sz w:val="20"/>
                <w:szCs w:val="20"/>
              </w:rPr>
            </w:pPr>
            <w:r>
              <w:rPr>
                <w:b/>
                <w:bCs/>
                <w:sz w:val="20"/>
                <w:szCs w:val="20"/>
              </w:rPr>
              <w:t>Interest</w:t>
            </w:r>
          </w:p>
          <w:p w14:paraId="4FB155F1" w14:textId="77777777" w:rsidR="00000000" w:rsidRDefault="0053651E">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vAlign w:val="bottom"/>
            <w:hideMark/>
          </w:tcPr>
          <w:p w14:paraId="613AD504"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290AEBD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14:paraId="2305AA50" w14:textId="77777777" w:rsidR="00000000" w:rsidRDefault="0053651E">
            <w:pPr>
              <w:pStyle w:val="a3"/>
              <w:spacing w:before="0" w:beforeAutospacing="0" w:after="0" w:afterAutospacing="0"/>
              <w:jc w:val="center"/>
              <w:rPr>
                <w:sz w:val="20"/>
                <w:szCs w:val="20"/>
              </w:rPr>
            </w:pPr>
            <w:r>
              <w:rPr>
                <w:b/>
                <w:bCs/>
                <w:sz w:val="20"/>
                <w:szCs w:val="20"/>
              </w:rPr>
              <w:t>Final</w:t>
            </w:r>
          </w:p>
          <w:p w14:paraId="2B637C6E" w14:textId="77777777" w:rsidR="00000000" w:rsidRDefault="0053651E">
            <w:pPr>
              <w:pStyle w:val="a3"/>
              <w:spacing w:before="0" w:beforeAutospacing="0" w:after="0" w:afterAutospacing="0"/>
              <w:jc w:val="center"/>
              <w:rPr>
                <w:sz w:val="20"/>
                <w:szCs w:val="20"/>
              </w:rPr>
            </w:pPr>
            <w:r>
              <w:rPr>
                <w:b/>
                <w:bCs/>
                <w:sz w:val="20"/>
                <w:szCs w:val="20"/>
              </w:rPr>
              <w:t>Maturity</w:t>
            </w:r>
          </w:p>
          <w:p w14:paraId="22A958BC" w14:textId="77777777" w:rsidR="00000000" w:rsidRDefault="0053651E">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tcBorders>
            <w:vAlign w:val="bottom"/>
            <w:hideMark/>
          </w:tcPr>
          <w:p w14:paraId="55BDF6CB" w14:textId="77777777" w:rsidR="00000000" w:rsidRDefault="0053651E">
            <w:pPr>
              <w:jc w:val="cente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14:paraId="73B1A30F" w14:textId="77777777" w:rsidR="00000000" w:rsidRDefault="0053651E">
            <w:pPr>
              <w:pStyle w:val="a3"/>
              <w:spacing w:before="0" w:beforeAutospacing="0" w:after="0" w:afterAutospacing="0"/>
              <w:jc w:val="center"/>
              <w:rPr>
                <w:sz w:val="20"/>
                <w:szCs w:val="20"/>
              </w:rPr>
            </w:pPr>
            <w:r>
              <w:rPr>
                <w:b/>
                <w:bCs/>
                <w:sz w:val="20"/>
                <w:szCs w:val="20"/>
              </w:rPr>
              <w:t>Periodic</w:t>
            </w:r>
          </w:p>
          <w:p w14:paraId="00C96413" w14:textId="77777777" w:rsidR="00000000" w:rsidRDefault="0053651E">
            <w:pPr>
              <w:pStyle w:val="a3"/>
              <w:spacing w:before="0" w:beforeAutospacing="0" w:after="0" w:afterAutospacing="0"/>
              <w:jc w:val="center"/>
              <w:rPr>
                <w:sz w:val="20"/>
                <w:szCs w:val="20"/>
              </w:rPr>
            </w:pPr>
            <w:r>
              <w:rPr>
                <w:b/>
                <w:bCs/>
                <w:sz w:val="20"/>
                <w:szCs w:val="20"/>
              </w:rPr>
              <w:t>Payment</w:t>
            </w:r>
          </w:p>
          <w:p w14:paraId="4910D67D" w14:textId="77777777" w:rsidR="00000000" w:rsidRDefault="0053651E">
            <w:pPr>
              <w:pStyle w:val="a3"/>
              <w:spacing w:before="0" w:beforeAutospacing="0" w:after="0" w:afterAutospacing="0"/>
              <w:jc w:val="center"/>
              <w:rPr>
                <w:sz w:val="20"/>
                <w:szCs w:val="20"/>
              </w:rPr>
            </w:pPr>
            <w:r>
              <w:rPr>
                <w:b/>
                <w:bCs/>
                <w:sz w:val="20"/>
                <w:szCs w:val="20"/>
              </w:rPr>
              <w:t>Terms (a)</w:t>
            </w:r>
          </w:p>
        </w:tc>
        <w:tc>
          <w:tcPr>
            <w:tcW w:w="50" w:type="pct"/>
            <w:tcBorders>
              <w:bottom w:val="single" w:sz="6" w:space="0" w:color="000000"/>
            </w:tcBorders>
            <w:vAlign w:val="bottom"/>
            <w:hideMark/>
          </w:tcPr>
          <w:p w14:paraId="26014BFC"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ACCC7EF" w14:textId="77777777" w:rsidR="00000000" w:rsidRDefault="0053651E">
            <w:pPr>
              <w:pStyle w:val="a3"/>
              <w:spacing w:before="0" w:beforeAutospacing="0" w:after="0" w:afterAutospacing="0"/>
              <w:jc w:val="center"/>
              <w:rPr>
                <w:sz w:val="20"/>
                <w:szCs w:val="20"/>
              </w:rPr>
            </w:pPr>
            <w:r>
              <w:rPr>
                <w:b/>
                <w:bCs/>
                <w:sz w:val="20"/>
                <w:szCs w:val="20"/>
              </w:rPr>
              <w:t>Prior Liens</w:t>
            </w:r>
          </w:p>
        </w:tc>
        <w:tc>
          <w:tcPr>
            <w:tcW w:w="50" w:type="pct"/>
            <w:tcBorders>
              <w:bottom w:val="single" w:sz="6" w:space="0" w:color="000000"/>
            </w:tcBorders>
            <w:vAlign w:val="bottom"/>
            <w:hideMark/>
          </w:tcPr>
          <w:p w14:paraId="3D1ED6F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6328C17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D925A2E" w14:textId="77777777" w:rsidR="00000000" w:rsidRDefault="0053651E">
            <w:pPr>
              <w:pStyle w:val="a3"/>
              <w:spacing w:before="0" w:beforeAutospacing="0" w:after="0" w:afterAutospacing="0"/>
              <w:jc w:val="center"/>
              <w:rPr>
                <w:sz w:val="20"/>
                <w:szCs w:val="20"/>
              </w:rPr>
            </w:pPr>
            <w:r>
              <w:rPr>
                <w:b/>
                <w:bCs/>
                <w:sz w:val="20"/>
                <w:szCs w:val="20"/>
              </w:rPr>
              <w:t>Original Face</w:t>
            </w:r>
          </w:p>
          <w:p w14:paraId="629A64C9" w14:textId="77777777" w:rsidR="00000000" w:rsidRDefault="0053651E">
            <w:pPr>
              <w:pStyle w:val="a3"/>
              <w:spacing w:before="0" w:beforeAutospacing="0" w:after="0" w:afterAutospacing="0"/>
              <w:jc w:val="center"/>
              <w:rPr>
                <w:sz w:val="20"/>
                <w:szCs w:val="20"/>
              </w:rPr>
            </w:pPr>
            <w:r>
              <w:rPr>
                <w:b/>
                <w:bCs/>
                <w:sz w:val="20"/>
                <w:szCs w:val="20"/>
              </w:rPr>
              <w:t>Amount</w:t>
            </w:r>
          </w:p>
          <w:p w14:paraId="58195733" w14:textId="77777777" w:rsidR="00000000" w:rsidRDefault="0053651E">
            <w:pPr>
              <w:pStyle w:val="a3"/>
              <w:spacing w:before="0" w:beforeAutospacing="0" w:after="0" w:afterAutospacing="0"/>
              <w:jc w:val="center"/>
              <w:rPr>
                <w:sz w:val="20"/>
                <w:szCs w:val="20"/>
              </w:rPr>
            </w:pPr>
            <w:r>
              <w:rPr>
                <w:b/>
                <w:bCs/>
                <w:sz w:val="20"/>
                <w:szCs w:val="20"/>
              </w:rPr>
              <w:t>of Mortgages</w:t>
            </w:r>
          </w:p>
        </w:tc>
        <w:tc>
          <w:tcPr>
            <w:tcW w:w="50" w:type="pct"/>
            <w:tcBorders>
              <w:bottom w:val="single" w:sz="6" w:space="0" w:color="000000"/>
            </w:tcBorders>
            <w:vAlign w:val="bottom"/>
            <w:hideMark/>
          </w:tcPr>
          <w:p w14:paraId="5F3313BF"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5896685"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32ED7E1" w14:textId="77777777" w:rsidR="00000000" w:rsidRDefault="0053651E">
            <w:pPr>
              <w:pStyle w:val="a3"/>
              <w:spacing w:before="0" w:beforeAutospacing="0" w:after="0" w:afterAutospacing="0"/>
              <w:jc w:val="center"/>
              <w:rPr>
                <w:sz w:val="20"/>
                <w:szCs w:val="20"/>
              </w:rPr>
            </w:pPr>
            <w:r>
              <w:rPr>
                <w:b/>
                <w:bCs/>
                <w:sz w:val="20"/>
                <w:szCs w:val="20"/>
              </w:rPr>
              <w:t>Carrying Amount of Mortgages (b)</w:t>
            </w:r>
          </w:p>
        </w:tc>
        <w:tc>
          <w:tcPr>
            <w:tcW w:w="50" w:type="pct"/>
            <w:tcBorders>
              <w:bottom w:val="single" w:sz="6" w:space="0" w:color="000000"/>
            </w:tcBorders>
            <w:vAlign w:val="bottom"/>
            <w:hideMark/>
          </w:tcPr>
          <w:p w14:paraId="771CAB3A"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21E1BDC4" w14:textId="77777777" w:rsidR="00000000" w:rsidRDefault="0053651E">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C39DF0B" w14:textId="77777777" w:rsidR="00000000" w:rsidRDefault="0053651E">
            <w:pPr>
              <w:pStyle w:val="a3"/>
              <w:spacing w:before="0" w:beforeAutospacing="0" w:after="0" w:afterAutospacing="0"/>
              <w:jc w:val="center"/>
              <w:rPr>
                <w:sz w:val="20"/>
                <w:szCs w:val="20"/>
              </w:rPr>
            </w:pPr>
            <w:r>
              <w:rPr>
                <w:b/>
                <w:bCs/>
                <w:sz w:val="20"/>
                <w:szCs w:val="20"/>
              </w:rPr>
              <w:t xml:space="preserve">Principal </w:t>
            </w:r>
          </w:p>
          <w:p w14:paraId="032E96D8" w14:textId="77777777" w:rsidR="00000000" w:rsidRDefault="0053651E">
            <w:pPr>
              <w:pStyle w:val="a3"/>
              <w:spacing w:before="0" w:beforeAutospacing="0" w:after="0" w:afterAutospacing="0"/>
              <w:jc w:val="center"/>
              <w:rPr>
                <w:sz w:val="20"/>
                <w:szCs w:val="20"/>
              </w:rPr>
            </w:pPr>
            <w:r>
              <w:rPr>
                <w:b/>
                <w:bCs/>
                <w:sz w:val="20"/>
                <w:szCs w:val="20"/>
              </w:rPr>
              <w:t>Amount of</w:t>
            </w:r>
          </w:p>
          <w:p w14:paraId="2D5D9B09" w14:textId="77777777" w:rsidR="00000000" w:rsidRDefault="0053651E">
            <w:pPr>
              <w:pStyle w:val="a3"/>
              <w:spacing w:before="0" w:beforeAutospacing="0" w:after="0" w:afterAutospacing="0"/>
              <w:jc w:val="center"/>
              <w:rPr>
                <w:sz w:val="20"/>
                <w:szCs w:val="20"/>
              </w:rPr>
            </w:pPr>
            <w:r>
              <w:rPr>
                <w:b/>
                <w:bCs/>
                <w:sz w:val="20"/>
                <w:szCs w:val="20"/>
              </w:rPr>
              <w:t xml:space="preserve">Loans </w:t>
            </w:r>
          </w:p>
          <w:p w14:paraId="7B117572" w14:textId="77777777" w:rsidR="00000000" w:rsidRDefault="0053651E">
            <w:pPr>
              <w:pStyle w:val="a3"/>
              <w:spacing w:before="0" w:beforeAutospacing="0" w:after="0" w:afterAutospacing="0"/>
              <w:jc w:val="center"/>
              <w:rPr>
                <w:sz w:val="20"/>
                <w:szCs w:val="20"/>
              </w:rPr>
            </w:pPr>
            <w:r>
              <w:rPr>
                <w:b/>
                <w:bCs/>
                <w:sz w:val="20"/>
                <w:szCs w:val="20"/>
              </w:rPr>
              <w:t>Subject to</w:t>
            </w:r>
          </w:p>
          <w:p w14:paraId="67D38AB3" w14:textId="77777777" w:rsidR="00000000" w:rsidRDefault="0053651E">
            <w:pPr>
              <w:pStyle w:val="a3"/>
              <w:spacing w:before="0" w:beforeAutospacing="0" w:after="0" w:afterAutospacing="0"/>
              <w:jc w:val="center"/>
              <w:rPr>
                <w:sz w:val="20"/>
                <w:szCs w:val="20"/>
              </w:rPr>
            </w:pPr>
            <w:r>
              <w:rPr>
                <w:b/>
                <w:bCs/>
                <w:sz w:val="20"/>
                <w:szCs w:val="20"/>
              </w:rPr>
              <w:t>Delinquent Principal</w:t>
            </w:r>
          </w:p>
          <w:p w14:paraId="397CF1A2" w14:textId="77777777" w:rsidR="00000000" w:rsidRDefault="0053651E">
            <w:pPr>
              <w:pStyle w:val="a3"/>
              <w:spacing w:before="0" w:beforeAutospacing="0" w:after="0" w:afterAutospacing="0"/>
              <w:jc w:val="center"/>
              <w:rPr>
                <w:sz w:val="20"/>
                <w:szCs w:val="20"/>
              </w:rPr>
            </w:pPr>
            <w:r>
              <w:rPr>
                <w:b/>
                <w:bCs/>
                <w:sz w:val="20"/>
                <w:szCs w:val="20"/>
              </w:rPr>
              <w:t>or Interest</w:t>
            </w:r>
          </w:p>
        </w:tc>
        <w:tc>
          <w:tcPr>
            <w:tcW w:w="50" w:type="pct"/>
            <w:tcMar>
              <w:top w:w="0" w:type="dxa"/>
              <w:left w:w="0" w:type="dxa"/>
              <w:bottom w:w="15" w:type="dxa"/>
              <w:right w:w="0" w:type="dxa"/>
            </w:tcMar>
            <w:vAlign w:val="bottom"/>
            <w:hideMark/>
          </w:tcPr>
          <w:p w14:paraId="094EB051" w14:textId="77777777" w:rsidR="00000000" w:rsidRDefault="0053651E">
            <w:pPr>
              <w:rPr>
                <w:rFonts w:eastAsia="Times New Roman"/>
                <w:sz w:val="20"/>
                <w:szCs w:val="20"/>
              </w:rPr>
            </w:pPr>
            <w:r>
              <w:rPr>
                <w:rFonts w:eastAsia="Times New Roman"/>
                <w:sz w:val="20"/>
                <w:szCs w:val="20"/>
              </w:rPr>
              <w:t> </w:t>
            </w:r>
          </w:p>
        </w:tc>
      </w:tr>
      <w:tr w:rsidR="00000000" w14:paraId="605200EA" w14:textId="77777777">
        <w:trPr>
          <w:tblCellSpacing w:w="0" w:type="dxa"/>
        </w:trPr>
        <w:tc>
          <w:tcPr>
            <w:tcW w:w="1000" w:type="pct"/>
            <w:vAlign w:val="bottom"/>
            <w:hideMark/>
          </w:tcPr>
          <w:p w14:paraId="5A861405"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4BADF27"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00FC51D"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2809E39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1E6D140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9A5901A"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3F962D8E"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F5E80F1"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67858E04"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09A62206"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573E93E"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0AC7B7A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2ADE64FB"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30D4B1B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AB1E290"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454D938A"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C21FE2F"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F211DE0"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4483FB2F"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164807A1"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64595EE3"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39A1B8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5A1F0DEA" w14:textId="77777777" w:rsidR="00000000" w:rsidRDefault="0053651E">
            <w:pPr>
              <w:rPr>
                <w:rFonts w:eastAsia="Times New Roman"/>
                <w:sz w:val="20"/>
                <w:szCs w:val="20"/>
              </w:rPr>
            </w:pPr>
            <w:r>
              <w:rPr>
                <w:rFonts w:eastAsia="Times New Roman"/>
                <w:sz w:val="20"/>
                <w:szCs w:val="20"/>
              </w:rPr>
              <w:t> </w:t>
            </w:r>
          </w:p>
        </w:tc>
        <w:tc>
          <w:tcPr>
            <w:tcW w:w="450" w:type="pct"/>
            <w:vAlign w:val="bottom"/>
            <w:hideMark/>
          </w:tcPr>
          <w:p w14:paraId="7465BE38" w14:textId="77777777" w:rsidR="00000000" w:rsidRDefault="0053651E">
            <w:pPr>
              <w:rPr>
                <w:rFonts w:eastAsia="Times New Roman"/>
                <w:sz w:val="20"/>
                <w:szCs w:val="20"/>
              </w:rPr>
            </w:pPr>
            <w:r>
              <w:rPr>
                <w:rFonts w:eastAsia="Times New Roman"/>
                <w:sz w:val="20"/>
                <w:szCs w:val="20"/>
              </w:rPr>
              <w:t> </w:t>
            </w:r>
          </w:p>
        </w:tc>
        <w:tc>
          <w:tcPr>
            <w:tcW w:w="50" w:type="pct"/>
            <w:vAlign w:val="bottom"/>
            <w:hideMark/>
          </w:tcPr>
          <w:p w14:paraId="7E3F5FFA" w14:textId="77777777" w:rsidR="00000000" w:rsidRDefault="0053651E">
            <w:pPr>
              <w:rPr>
                <w:rFonts w:eastAsia="Times New Roman"/>
                <w:sz w:val="20"/>
                <w:szCs w:val="20"/>
              </w:rPr>
            </w:pPr>
            <w:r>
              <w:rPr>
                <w:rFonts w:eastAsia="Times New Roman"/>
                <w:sz w:val="20"/>
                <w:szCs w:val="20"/>
              </w:rPr>
              <w:t> </w:t>
            </w:r>
          </w:p>
        </w:tc>
      </w:tr>
      <w:tr w:rsidR="00000000" w14:paraId="59F9F142" w14:textId="77777777">
        <w:trPr>
          <w:tblCellSpacing w:w="0" w:type="dxa"/>
        </w:trPr>
        <w:tc>
          <w:tcPr>
            <w:tcW w:w="1000" w:type="pct"/>
            <w:shd w:val="clear" w:color="auto" w:fill="CCEEFF"/>
            <w:vAlign w:val="bottom"/>
            <w:hideMark/>
          </w:tcPr>
          <w:p w14:paraId="44F9FE07" w14:textId="77777777" w:rsidR="00000000" w:rsidRDefault="0053651E">
            <w:pPr>
              <w:pStyle w:val="a3"/>
              <w:spacing w:before="0" w:beforeAutospacing="0" w:after="0" w:afterAutospacing="0"/>
              <w:rPr>
                <w:sz w:val="20"/>
                <w:szCs w:val="20"/>
              </w:rPr>
            </w:pPr>
            <w:r>
              <w:rPr>
                <w:b/>
                <w:bCs/>
                <w:sz w:val="20"/>
                <w:szCs w:val="20"/>
                <w:u w:val="single"/>
              </w:rPr>
              <w:t>Mortgage Loans:</w:t>
            </w:r>
          </w:p>
        </w:tc>
        <w:tc>
          <w:tcPr>
            <w:tcW w:w="50" w:type="pct"/>
            <w:shd w:val="clear" w:color="auto" w:fill="CCEEFF"/>
            <w:vAlign w:val="bottom"/>
            <w:hideMark/>
          </w:tcPr>
          <w:p w14:paraId="4593376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C10A43"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77B38DBE"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E51B752"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FF2A40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8B4E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5CBE6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01AB6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1A099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EE4735"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022EB14C"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4545972"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2F844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56BAAD"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1F445B8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C7864B3"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1BBD6E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305EBF"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10AF7E6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7913E63"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A13374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3D6EEC"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05D5276F"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D567CAD" w14:textId="77777777" w:rsidR="00000000" w:rsidRDefault="0053651E">
            <w:pPr>
              <w:rPr>
                <w:rFonts w:eastAsia="Times New Roman"/>
                <w:sz w:val="20"/>
                <w:szCs w:val="20"/>
              </w:rPr>
            </w:pPr>
            <w:r>
              <w:rPr>
                <w:rFonts w:eastAsia="Times New Roman"/>
                <w:b/>
                <w:bCs/>
                <w:sz w:val="20"/>
                <w:szCs w:val="20"/>
              </w:rPr>
              <w:t> </w:t>
            </w:r>
          </w:p>
        </w:tc>
      </w:tr>
      <w:tr w:rsidR="00000000" w14:paraId="3D5710C7" w14:textId="77777777">
        <w:trPr>
          <w:tblCellSpacing w:w="0" w:type="dxa"/>
        </w:trPr>
        <w:tc>
          <w:tcPr>
            <w:tcW w:w="1000" w:type="pct"/>
            <w:shd w:val="clear" w:color="auto" w:fill="FFFFFF"/>
            <w:vAlign w:val="bottom"/>
            <w:hideMark/>
          </w:tcPr>
          <w:p w14:paraId="64A946D8" w14:textId="77777777" w:rsidR="00000000" w:rsidRDefault="0053651E">
            <w:pPr>
              <w:pStyle w:val="a3"/>
              <w:spacing w:before="0" w:beforeAutospacing="0" w:after="0" w:afterAutospacing="0"/>
              <w:ind w:left="180"/>
              <w:rPr>
                <w:sz w:val="20"/>
                <w:szCs w:val="20"/>
              </w:rPr>
            </w:pPr>
            <w:r>
              <w:rPr>
                <w:b/>
                <w:bCs/>
                <w:i/>
                <w:iCs/>
                <w:sz w:val="20"/>
                <w:szCs w:val="20"/>
              </w:rPr>
              <w:t xml:space="preserve">Retail </w:t>
            </w:r>
          </w:p>
        </w:tc>
        <w:tc>
          <w:tcPr>
            <w:tcW w:w="50" w:type="pct"/>
            <w:shd w:val="clear" w:color="auto" w:fill="FFFFFF"/>
            <w:vAlign w:val="bottom"/>
            <w:hideMark/>
          </w:tcPr>
          <w:p w14:paraId="4D0FAC7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57ABC4"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57655EEF"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66F7E3D8"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4EECBA5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AB4C85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7752D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0B16D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D3E2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A2B064"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6455ADAA"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45F43B95"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459EA16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A24022"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78834B23"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5FE68868"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2A0BE0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9DB1F3"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50C08F78"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064CC06B"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497E89D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7A9CBA"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78DB5812"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11CE95D7" w14:textId="77777777" w:rsidR="00000000" w:rsidRDefault="0053651E">
            <w:pPr>
              <w:rPr>
                <w:rFonts w:eastAsia="Times New Roman"/>
                <w:sz w:val="20"/>
                <w:szCs w:val="20"/>
              </w:rPr>
            </w:pPr>
            <w:r>
              <w:rPr>
                <w:rFonts w:eastAsia="Times New Roman"/>
                <w:b/>
                <w:bCs/>
                <w:i/>
                <w:iCs/>
                <w:sz w:val="20"/>
                <w:szCs w:val="20"/>
              </w:rPr>
              <w:t> </w:t>
            </w:r>
          </w:p>
        </w:tc>
      </w:tr>
      <w:tr w:rsidR="00000000" w14:paraId="38E6E521" w14:textId="77777777">
        <w:trPr>
          <w:tblCellSpacing w:w="0" w:type="dxa"/>
        </w:trPr>
        <w:tc>
          <w:tcPr>
            <w:tcW w:w="1000" w:type="pct"/>
            <w:shd w:val="clear" w:color="auto" w:fill="CCEEFF"/>
            <w:vAlign w:val="bottom"/>
            <w:hideMark/>
          </w:tcPr>
          <w:p w14:paraId="502B7A8F" w14:textId="77777777" w:rsidR="00000000" w:rsidRDefault="0053651E">
            <w:pPr>
              <w:pStyle w:val="a3"/>
              <w:spacing w:before="0" w:beforeAutospacing="0" w:after="0" w:afterAutospacing="0"/>
              <w:ind w:left="360"/>
              <w:rPr>
                <w:sz w:val="20"/>
                <w:szCs w:val="20"/>
              </w:rPr>
            </w:pPr>
            <w:r>
              <w:rPr>
                <w:sz w:val="20"/>
                <w:szCs w:val="20"/>
              </w:rPr>
              <w:t>Las Vegas, NV</w:t>
            </w:r>
          </w:p>
        </w:tc>
        <w:tc>
          <w:tcPr>
            <w:tcW w:w="50" w:type="pct"/>
            <w:shd w:val="clear" w:color="auto" w:fill="CCEEFF"/>
            <w:vAlign w:val="bottom"/>
            <w:hideMark/>
          </w:tcPr>
          <w:p w14:paraId="2F0998B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356DD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C4A403" w14:textId="77777777" w:rsidR="00000000" w:rsidRDefault="0053651E">
            <w:pPr>
              <w:jc w:val="center"/>
              <w:rPr>
                <w:rFonts w:eastAsia="Times New Roman"/>
                <w:sz w:val="20"/>
                <w:szCs w:val="20"/>
              </w:rPr>
            </w:pPr>
            <w:r>
              <w:rPr>
                <w:rFonts w:eastAsia="Times New Roman"/>
                <w:sz w:val="20"/>
                <w:szCs w:val="20"/>
              </w:rPr>
              <w:t>12.00%</w:t>
            </w:r>
          </w:p>
        </w:tc>
        <w:tc>
          <w:tcPr>
            <w:tcW w:w="50" w:type="pct"/>
            <w:shd w:val="clear" w:color="auto" w:fill="CCEEFF"/>
            <w:vAlign w:val="bottom"/>
            <w:hideMark/>
          </w:tcPr>
          <w:p w14:paraId="4CD4A9B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7F5B7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1E41B53" w14:textId="77777777" w:rsidR="00000000" w:rsidRDefault="0053651E">
            <w:pPr>
              <w:pStyle w:val="a3"/>
              <w:spacing w:before="0" w:beforeAutospacing="0" w:after="0" w:afterAutospacing="0"/>
              <w:jc w:val="center"/>
              <w:rPr>
                <w:sz w:val="20"/>
                <w:szCs w:val="20"/>
              </w:rPr>
            </w:pPr>
            <w:r>
              <w:rPr>
                <w:rStyle w:val="a6"/>
                <w:i w:val="0"/>
                <w:iCs w:val="0"/>
                <w:sz w:val="20"/>
                <w:szCs w:val="20"/>
              </w:rPr>
              <w:t>May-33</w:t>
            </w:r>
          </w:p>
        </w:tc>
        <w:tc>
          <w:tcPr>
            <w:tcW w:w="50" w:type="pct"/>
            <w:shd w:val="clear" w:color="auto" w:fill="CCEEFF"/>
            <w:vAlign w:val="bottom"/>
            <w:hideMark/>
          </w:tcPr>
          <w:p w14:paraId="36F9231C"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14:paraId="0EC4A87D" w14:textId="77777777" w:rsidR="00000000" w:rsidRDefault="0053651E">
            <w:pPr>
              <w:pStyle w:val="a3"/>
              <w:spacing w:before="0" w:beforeAutospacing="0" w:after="0" w:afterAutospacing="0"/>
              <w:jc w:val="center"/>
              <w:rPr>
                <w:sz w:val="20"/>
                <w:szCs w:val="20"/>
              </w:rPr>
            </w:pPr>
            <w:r>
              <w:rPr>
                <w:rStyle w:val="a6"/>
                <w:i w:val="0"/>
                <w:iCs w:val="0"/>
                <w:sz w:val="20"/>
                <w:szCs w:val="20"/>
              </w:rPr>
              <w:t>I</w:t>
            </w:r>
          </w:p>
        </w:tc>
        <w:tc>
          <w:tcPr>
            <w:tcW w:w="50" w:type="pct"/>
            <w:shd w:val="clear" w:color="auto" w:fill="CCEEFF"/>
            <w:vAlign w:val="bottom"/>
            <w:hideMark/>
          </w:tcPr>
          <w:p w14:paraId="298089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2973E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8517AE2" w14:textId="77777777" w:rsidR="00000000" w:rsidRDefault="0053651E">
            <w:pPr>
              <w:jc w:val="right"/>
              <w:rPr>
                <w:rFonts w:eastAsia="Times New Roman"/>
                <w:sz w:val="20"/>
                <w:szCs w:val="20"/>
              </w:rPr>
            </w:pPr>
            <w:r>
              <w:rPr>
                <w:rStyle w:val="a6"/>
                <w:rFonts w:eastAsia="Times New Roman"/>
                <w:i w:val="0"/>
                <w:iCs w:val="0"/>
                <w:sz w:val="20"/>
                <w:szCs w:val="20"/>
              </w:rPr>
              <w:t>-</w:t>
            </w:r>
          </w:p>
        </w:tc>
        <w:tc>
          <w:tcPr>
            <w:tcW w:w="50" w:type="pct"/>
            <w:shd w:val="clear" w:color="auto" w:fill="CCEEFF"/>
            <w:vAlign w:val="bottom"/>
            <w:hideMark/>
          </w:tcPr>
          <w:p w14:paraId="58E3E8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5C2D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59CCD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14FADF" w14:textId="77777777" w:rsidR="00000000" w:rsidRDefault="0053651E">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14:paraId="34E92D0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7154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C9BF8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C623EB" w14:textId="77777777" w:rsidR="00000000" w:rsidRDefault="0053651E">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14:paraId="005CC1D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53C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66749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92C1CB" w14:textId="77777777" w:rsidR="00000000" w:rsidRDefault="0053651E">
            <w:pPr>
              <w:jc w:val="right"/>
              <w:rPr>
                <w:rFonts w:eastAsia="Times New Roman"/>
                <w:sz w:val="20"/>
                <w:szCs w:val="20"/>
              </w:rPr>
            </w:pPr>
            <w:r>
              <w:rPr>
                <w:rStyle w:val="a6"/>
                <w:rFonts w:eastAsia="Times New Roman"/>
                <w:i w:val="0"/>
                <w:iCs w:val="0"/>
                <w:sz w:val="20"/>
                <w:szCs w:val="20"/>
              </w:rPr>
              <w:t>-</w:t>
            </w:r>
          </w:p>
        </w:tc>
        <w:tc>
          <w:tcPr>
            <w:tcW w:w="50" w:type="pct"/>
            <w:shd w:val="clear" w:color="auto" w:fill="CCEEFF"/>
            <w:vAlign w:val="bottom"/>
            <w:hideMark/>
          </w:tcPr>
          <w:p w14:paraId="4121632F" w14:textId="77777777" w:rsidR="00000000" w:rsidRDefault="0053651E">
            <w:pPr>
              <w:rPr>
                <w:rFonts w:eastAsia="Times New Roman"/>
                <w:sz w:val="20"/>
                <w:szCs w:val="20"/>
              </w:rPr>
            </w:pPr>
            <w:r>
              <w:rPr>
                <w:rFonts w:eastAsia="Times New Roman"/>
                <w:sz w:val="20"/>
                <w:szCs w:val="20"/>
              </w:rPr>
              <w:t> </w:t>
            </w:r>
          </w:p>
        </w:tc>
      </w:tr>
      <w:tr w:rsidR="00000000" w14:paraId="3063590A" w14:textId="77777777">
        <w:trPr>
          <w:tblCellSpacing w:w="0" w:type="dxa"/>
        </w:trPr>
        <w:tc>
          <w:tcPr>
            <w:tcW w:w="1000" w:type="pct"/>
            <w:shd w:val="clear" w:color="auto" w:fill="FFFFFF"/>
            <w:vAlign w:val="bottom"/>
            <w:hideMark/>
          </w:tcPr>
          <w:p w14:paraId="0CF101C7" w14:textId="77777777" w:rsidR="00000000" w:rsidRDefault="0053651E">
            <w:pPr>
              <w:pStyle w:val="a3"/>
              <w:spacing w:before="0" w:beforeAutospacing="0" w:after="0" w:afterAutospacing="0"/>
              <w:ind w:left="360"/>
              <w:rPr>
                <w:sz w:val="20"/>
                <w:szCs w:val="20"/>
              </w:rPr>
            </w:pPr>
            <w:r>
              <w:rPr>
                <w:sz w:val="20"/>
                <w:szCs w:val="20"/>
              </w:rPr>
              <w:t>Walker, MI</w:t>
            </w:r>
          </w:p>
        </w:tc>
        <w:tc>
          <w:tcPr>
            <w:tcW w:w="50" w:type="pct"/>
            <w:shd w:val="clear" w:color="auto" w:fill="FFFFFF"/>
            <w:vAlign w:val="bottom"/>
            <w:hideMark/>
          </w:tcPr>
          <w:p w14:paraId="14DDDA2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06E01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8D07921" w14:textId="77777777" w:rsidR="00000000" w:rsidRDefault="0053651E">
            <w:pPr>
              <w:jc w:val="center"/>
              <w:rPr>
                <w:rFonts w:eastAsia="Times New Roman"/>
                <w:sz w:val="20"/>
                <w:szCs w:val="20"/>
              </w:rPr>
            </w:pPr>
            <w:r>
              <w:rPr>
                <w:rFonts w:eastAsia="Times New Roman"/>
                <w:sz w:val="20"/>
                <w:szCs w:val="20"/>
              </w:rPr>
              <w:t>4.00%</w:t>
            </w:r>
          </w:p>
        </w:tc>
        <w:tc>
          <w:tcPr>
            <w:tcW w:w="50" w:type="pct"/>
            <w:shd w:val="clear" w:color="auto" w:fill="FFFFFF"/>
            <w:vAlign w:val="bottom"/>
            <w:hideMark/>
          </w:tcPr>
          <w:p w14:paraId="40C38A2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6F51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458325" w14:textId="77777777" w:rsidR="00000000" w:rsidRDefault="0053651E">
            <w:pPr>
              <w:pStyle w:val="a3"/>
              <w:spacing w:before="0" w:beforeAutospacing="0" w:after="0" w:afterAutospacing="0"/>
              <w:jc w:val="center"/>
              <w:rPr>
                <w:sz w:val="20"/>
                <w:szCs w:val="20"/>
              </w:rPr>
            </w:pPr>
            <w:r>
              <w:rPr>
                <w:rStyle w:val="a6"/>
                <w:i w:val="0"/>
                <w:iCs w:val="0"/>
                <w:sz w:val="20"/>
                <w:szCs w:val="20"/>
              </w:rPr>
              <w:t>Dec-24</w:t>
            </w:r>
          </w:p>
        </w:tc>
        <w:tc>
          <w:tcPr>
            <w:tcW w:w="50" w:type="pct"/>
            <w:shd w:val="clear" w:color="auto" w:fill="FFFFFF"/>
            <w:vAlign w:val="bottom"/>
            <w:hideMark/>
          </w:tcPr>
          <w:p w14:paraId="7FC4EBB8"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FFFFFF"/>
            <w:vAlign w:val="bottom"/>
            <w:hideMark/>
          </w:tcPr>
          <w:p w14:paraId="4093E469" w14:textId="77777777" w:rsidR="00000000" w:rsidRDefault="0053651E">
            <w:pPr>
              <w:pStyle w:val="a3"/>
              <w:spacing w:before="0" w:beforeAutospacing="0" w:after="0" w:afterAutospacing="0"/>
              <w:jc w:val="center"/>
              <w:rPr>
                <w:sz w:val="20"/>
                <w:szCs w:val="20"/>
              </w:rPr>
            </w:pPr>
            <w:r>
              <w:rPr>
                <w:rStyle w:val="a6"/>
                <w:i w:val="0"/>
                <w:iCs w:val="0"/>
                <w:sz w:val="20"/>
                <w:szCs w:val="20"/>
              </w:rPr>
              <w:t>P&amp; I</w:t>
            </w:r>
          </w:p>
        </w:tc>
        <w:tc>
          <w:tcPr>
            <w:tcW w:w="50" w:type="pct"/>
            <w:shd w:val="clear" w:color="auto" w:fill="FFFFFF"/>
            <w:vAlign w:val="bottom"/>
            <w:hideMark/>
          </w:tcPr>
          <w:p w14:paraId="04AE5FA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80C1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13BAD2" w14:textId="77777777" w:rsidR="00000000" w:rsidRDefault="0053651E">
            <w:pPr>
              <w:jc w:val="right"/>
              <w:rPr>
                <w:rFonts w:eastAsia="Times New Roman"/>
                <w:sz w:val="20"/>
                <w:szCs w:val="20"/>
              </w:rPr>
            </w:pPr>
            <w:r>
              <w:rPr>
                <w:rStyle w:val="a6"/>
                <w:rFonts w:eastAsia="Times New Roman"/>
                <w:i w:val="0"/>
                <w:iCs w:val="0"/>
                <w:sz w:val="20"/>
                <w:szCs w:val="20"/>
              </w:rPr>
              <w:t>-</w:t>
            </w:r>
          </w:p>
        </w:tc>
        <w:tc>
          <w:tcPr>
            <w:tcW w:w="50" w:type="pct"/>
            <w:shd w:val="clear" w:color="auto" w:fill="FFFFFF"/>
            <w:vAlign w:val="bottom"/>
            <w:hideMark/>
          </w:tcPr>
          <w:p w14:paraId="13F2F18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9208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D1123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B48C8A" w14:textId="77777777" w:rsidR="00000000" w:rsidRDefault="0053651E">
            <w:pPr>
              <w:jc w:val="right"/>
              <w:rPr>
                <w:rFonts w:eastAsia="Times New Roman"/>
                <w:sz w:val="20"/>
                <w:szCs w:val="20"/>
              </w:rPr>
            </w:pPr>
            <w:r>
              <w:rPr>
                <w:rFonts w:eastAsia="Times New Roman"/>
                <w:sz w:val="20"/>
                <w:szCs w:val="20"/>
              </w:rPr>
              <w:t>3,750</w:t>
            </w:r>
          </w:p>
        </w:tc>
        <w:tc>
          <w:tcPr>
            <w:tcW w:w="50" w:type="pct"/>
            <w:shd w:val="clear" w:color="auto" w:fill="FFFFFF"/>
            <w:vAlign w:val="bottom"/>
            <w:hideMark/>
          </w:tcPr>
          <w:p w14:paraId="72806B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B02BC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8D7B3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6BBDC38" w14:textId="77777777" w:rsidR="00000000" w:rsidRDefault="0053651E">
            <w:pPr>
              <w:jc w:val="right"/>
              <w:rPr>
                <w:rFonts w:eastAsia="Times New Roman"/>
                <w:sz w:val="20"/>
                <w:szCs w:val="20"/>
              </w:rPr>
            </w:pPr>
            <w:r>
              <w:rPr>
                <w:rFonts w:eastAsia="Times New Roman"/>
                <w:sz w:val="20"/>
                <w:szCs w:val="20"/>
              </w:rPr>
              <w:t>3,750</w:t>
            </w:r>
          </w:p>
        </w:tc>
        <w:tc>
          <w:tcPr>
            <w:tcW w:w="50" w:type="pct"/>
            <w:shd w:val="clear" w:color="auto" w:fill="FFFFFF"/>
            <w:vAlign w:val="bottom"/>
            <w:hideMark/>
          </w:tcPr>
          <w:p w14:paraId="2FFC2CE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529A1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EE42D8"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6870DE5"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762CD138" w14:textId="77777777" w:rsidR="00000000" w:rsidRDefault="0053651E">
            <w:pPr>
              <w:rPr>
                <w:rFonts w:eastAsia="Times New Roman"/>
                <w:sz w:val="20"/>
                <w:szCs w:val="20"/>
              </w:rPr>
            </w:pPr>
            <w:r>
              <w:rPr>
                <w:rFonts w:eastAsia="Times New Roman"/>
                <w:sz w:val="20"/>
                <w:szCs w:val="20"/>
              </w:rPr>
              <w:t> </w:t>
            </w:r>
          </w:p>
        </w:tc>
      </w:tr>
      <w:tr w:rsidR="00000000" w14:paraId="2BC7FDD2" w14:textId="77777777">
        <w:trPr>
          <w:tblCellSpacing w:w="0" w:type="dxa"/>
        </w:trPr>
        <w:tc>
          <w:tcPr>
            <w:tcW w:w="1000" w:type="pct"/>
            <w:shd w:val="clear" w:color="auto" w:fill="CCEEFF"/>
            <w:vAlign w:val="bottom"/>
            <w:hideMark/>
          </w:tcPr>
          <w:p w14:paraId="6E5BACA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FC2C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4CF1A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DF66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79116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9DB1A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4B60D1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2123F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6E8BA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F18C3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C28E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DA6F2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E7E6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FA99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6AA7E7"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B827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DAD57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CC7D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CC76F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0FD1AC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FA1D5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4457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DF272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1EE74E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070141" w14:textId="77777777" w:rsidR="00000000" w:rsidRDefault="0053651E">
            <w:pPr>
              <w:rPr>
                <w:rFonts w:eastAsia="Times New Roman"/>
                <w:sz w:val="20"/>
                <w:szCs w:val="20"/>
              </w:rPr>
            </w:pPr>
            <w:r>
              <w:rPr>
                <w:rFonts w:eastAsia="Times New Roman"/>
                <w:sz w:val="20"/>
                <w:szCs w:val="20"/>
              </w:rPr>
              <w:t> </w:t>
            </w:r>
          </w:p>
        </w:tc>
      </w:tr>
      <w:tr w:rsidR="00000000" w14:paraId="1FE15519" w14:textId="77777777">
        <w:trPr>
          <w:tblCellSpacing w:w="0" w:type="dxa"/>
        </w:trPr>
        <w:tc>
          <w:tcPr>
            <w:tcW w:w="1000" w:type="pct"/>
            <w:shd w:val="clear" w:color="auto" w:fill="FFFFFF"/>
            <w:vAlign w:val="bottom"/>
            <w:hideMark/>
          </w:tcPr>
          <w:p w14:paraId="326127A6" w14:textId="77777777" w:rsidR="00000000" w:rsidRDefault="0053651E">
            <w:pPr>
              <w:pStyle w:val="a3"/>
              <w:spacing w:before="0" w:beforeAutospacing="0" w:after="0" w:afterAutospacing="0"/>
              <w:ind w:left="180"/>
              <w:rPr>
                <w:sz w:val="20"/>
                <w:szCs w:val="20"/>
              </w:rPr>
            </w:pPr>
            <w:r>
              <w:rPr>
                <w:b/>
                <w:bCs/>
                <w:i/>
                <w:iCs/>
                <w:sz w:val="20"/>
                <w:szCs w:val="20"/>
              </w:rPr>
              <w:t>Nonretail</w:t>
            </w:r>
          </w:p>
        </w:tc>
        <w:tc>
          <w:tcPr>
            <w:tcW w:w="50" w:type="pct"/>
            <w:shd w:val="clear" w:color="auto" w:fill="FFFFFF"/>
            <w:vAlign w:val="bottom"/>
            <w:hideMark/>
          </w:tcPr>
          <w:p w14:paraId="543AD44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EECB35"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36F6B687"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31C51FB4"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725DFAE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A6E765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BD962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637489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E98A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62C90E"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63C7E2DE"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0657551D"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5F68F3A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593240"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70E9AB7F"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4F6516B4"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7424E30F"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27B753"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7CB0D52C"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26EEFA03"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38FA16D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4AF019"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14:paraId="6EE9DF8C"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14:paraId="1D31F06D" w14:textId="77777777" w:rsidR="00000000" w:rsidRDefault="0053651E">
            <w:pPr>
              <w:rPr>
                <w:rFonts w:eastAsia="Times New Roman"/>
                <w:sz w:val="20"/>
                <w:szCs w:val="20"/>
              </w:rPr>
            </w:pPr>
            <w:r>
              <w:rPr>
                <w:rFonts w:eastAsia="Times New Roman"/>
                <w:b/>
                <w:bCs/>
                <w:i/>
                <w:iCs/>
                <w:sz w:val="20"/>
                <w:szCs w:val="20"/>
              </w:rPr>
              <w:t> </w:t>
            </w:r>
          </w:p>
        </w:tc>
      </w:tr>
      <w:tr w:rsidR="00000000" w14:paraId="7BF27C69" w14:textId="77777777">
        <w:trPr>
          <w:tblCellSpacing w:w="0" w:type="dxa"/>
        </w:trPr>
        <w:tc>
          <w:tcPr>
            <w:tcW w:w="1000" w:type="pct"/>
            <w:shd w:val="clear" w:color="auto" w:fill="CCEEFF"/>
            <w:vAlign w:val="bottom"/>
            <w:hideMark/>
          </w:tcPr>
          <w:p w14:paraId="228A6F35" w14:textId="77777777" w:rsidR="00000000" w:rsidRDefault="0053651E">
            <w:pPr>
              <w:pStyle w:val="a3"/>
              <w:spacing w:before="0" w:beforeAutospacing="0" w:after="0" w:afterAutospacing="0"/>
              <w:ind w:left="360"/>
              <w:rPr>
                <w:sz w:val="20"/>
                <w:szCs w:val="20"/>
              </w:rPr>
            </w:pPr>
            <w:r>
              <w:rPr>
                <w:sz w:val="20"/>
                <w:szCs w:val="20"/>
              </w:rPr>
              <w:t>Commack, NY</w:t>
            </w:r>
          </w:p>
        </w:tc>
        <w:tc>
          <w:tcPr>
            <w:tcW w:w="50" w:type="pct"/>
            <w:shd w:val="clear" w:color="auto" w:fill="CCEEFF"/>
            <w:vAlign w:val="bottom"/>
            <w:hideMark/>
          </w:tcPr>
          <w:p w14:paraId="33D916E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505CC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8053036" w14:textId="77777777" w:rsidR="00000000" w:rsidRDefault="0053651E">
            <w:pPr>
              <w:jc w:val="center"/>
              <w:rPr>
                <w:rFonts w:eastAsia="Times New Roman"/>
                <w:sz w:val="20"/>
                <w:szCs w:val="20"/>
              </w:rPr>
            </w:pPr>
            <w:r>
              <w:rPr>
                <w:rFonts w:eastAsia="Times New Roman"/>
                <w:sz w:val="20"/>
                <w:szCs w:val="20"/>
              </w:rPr>
              <w:t>7.41%</w:t>
            </w:r>
          </w:p>
        </w:tc>
        <w:tc>
          <w:tcPr>
            <w:tcW w:w="50" w:type="pct"/>
            <w:shd w:val="clear" w:color="auto" w:fill="CCEEFF"/>
            <w:vAlign w:val="bottom"/>
            <w:hideMark/>
          </w:tcPr>
          <w:p w14:paraId="2A177E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60C4D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6D5A35" w14:textId="77777777" w:rsidR="00000000" w:rsidRDefault="0053651E">
            <w:pPr>
              <w:pStyle w:val="a3"/>
              <w:spacing w:before="0" w:beforeAutospacing="0" w:after="0" w:afterAutospacing="0"/>
              <w:jc w:val="center"/>
              <w:rPr>
                <w:sz w:val="20"/>
                <w:szCs w:val="20"/>
              </w:rPr>
            </w:pPr>
            <w:r>
              <w:rPr>
                <w:rStyle w:val="a6"/>
                <w:i w:val="0"/>
                <w:iCs w:val="0"/>
                <w:sz w:val="20"/>
                <w:szCs w:val="20"/>
              </w:rPr>
              <w:t>Oct-26</w:t>
            </w:r>
          </w:p>
        </w:tc>
        <w:tc>
          <w:tcPr>
            <w:tcW w:w="50" w:type="pct"/>
            <w:shd w:val="clear" w:color="auto" w:fill="CCEEFF"/>
            <w:vAlign w:val="bottom"/>
            <w:hideMark/>
          </w:tcPr>
          <w:p w14:paraId="3F2A69C3"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14:paraId="592834C1" w14:textId="77777777" w:rsidR="00000000" w:rsidRDefault="0053651E">
            <w:pPr>
              <w:pStyle w:val="a3"/>
              <w:spacing w:before="0" w:beforeAutospacing="0" w:after="0" w:afterAutospacing="0"/>
              <w:jc w:val="center"/>
              <w:rPr>
                <w:sz w:val="20"/>
                <w:szCs w:val="20"/>
              </w:rPr>
            </w:pPr>
            <w:r>
              <w:rPr>
                <w:rStyle w:val="a6"/>
                <w:i w:val="0"/>
                <w:iCs w:val="0"/>
                <w:sz w:val="20"/>
                <w:szCs w:val="20"/>
              </w:rPr>
              <w:t>P&amp; I</w:t>
            </w:r>
          </w:p>
        </w:tc>
        <w:tc>
          <w:tcPr>
            <w:tcW w:w="50" w:type="pct"/>
            <w:shd w:val="clear" w:color="auto" w:fill="CCEEFF"/>
            <w:vAlign w:val="bottom"/>
            <w:hideMark/>
          </w:tcPr>
          <w:p w14:paraId="767CC4E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9B98C2"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B400A3E" w14:textId="77777777" w:rsidR="00000000" w:rsidRDefault="0053651E">
            <w:pPr>
              <w:jc w:val="right"/>
              <w:rPr>
                <w:rFonts w:eastAsia="Times New Roman"/>
                <w:sz w:val="20"/>
                <w:szCs w:val="20"/>
              </w:rPr>
            </w:pPr>
            <w:r>
              <w:rPr>
                <w:rStyle w:val="a6"/>
                <w:rFonts w:eastAsia="Times New Roman"/>
                <w:i w:val="0"/>
                <w:iCs w:val="0"/>
                <w:sz w:val="20"/>
                <w:szCs w:val="20"/>
              </w:rPr>
              <w:t>-</w:t>
            </w:r>
          </w:p>
        </w:tc>
        <w:tc>
          <w:tcPr>
            <w:tcW w:w="50" w:type="pct"/>
            <w:shd w:val="clear" w:color="auto" w:fill="CCEEFF"/>
            <w:vAlign w:val="bottom"/>
            <w:hideMark/>
          </w:tcPr>
          <w:p w14:paraId="32D5B61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7EB8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D3329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649C76A" w14:textId="77777777" w:rsidR="00000000" w:rsidRDefault="0053651E">
            <w:pPr>
              <w:jc w:val="right"/>
              <w:rPr>
                <w:rFonts w:eastAsia="Times New Roman"/>
                <w:sz w:val="20"/>
                <w:szCs w:val="20"/>
              </w:rPr>
            </w:pPr>
            <w:r>
              <w:rPr>
                <w:rFonts w:eastAsia="Times New Roman"/>
                <w:sz w:val="20"/>
                <w:szCs w:val="20"/>
              </w:rPr>
              <w:t>1,354</w:t>
            </w:r>
          </w:p>
        </w:tc>
        <w:tc>
          <w:tcPr>
            <w:tcW w:w="50" w:type="pct"/>
            <w:shd w:val="clear" w:color="auto" w:fill="CCEEFF"/>
            <w:vAlign w:val="bottom"/>
            <w:hideMark/>
          </w:tcPr>
          <w:p w14:paraId="37741C8D"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782E6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9915D0"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0E691B8" w14:textId="77777777" w:rsidR="00000000" w:rsidRDefault="0053651E">
            <w:pPr>
              <w:jc w:val="right"/>
              <w:rPr>
                <w:rFonts w:eastAsia="Times New Roman"/>
                <w:sz w:val="20"/>
                <w:szCs w:val="20"/>
              </w:rPr>
            </w:pPr>
            <w:r>
              <w:rPr>
                <w:rFonts w:eastAsia="Times New Roman"/>
                <w:sz w:val="20"/>
                <w:szCs w:val="20"/>
              </w:rPr>
              <w:t>301</w:t>
            </w:r>
          </w:p>
        </w:tc>
        <w:tc>
          <w:tcPr>
            <w:tcW w:w="50" w:type="pct"/>
            <w:shd w:val="clear" w:color="auto" w:fill="CCEEFF"/>
            <w:vAlign w:val="bottom"/>
            <w:hideMark/>
          </w:tcPr>
          <w:p w14:paraId="587132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B6151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533B6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1A3BB9"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14:paraId="7E722496" w14:textId="77777777" w:rsidR="00000000" w:rsidRDefault="0053651E">
            <w:pPr>
              <w:rPr>
                <w:rFonts w:eastAsia="Times New Roman"/>
                <w:sz w:val="20"/>
                <w:szCs w:val="20"/>
              </w:rPr>
            </w:pPr>
            <w:r>
              <w:rPr>
                <w:rFonts w:eastAsia="Times New Roman"/>
                <w:sz w:val="20"/>
                <w:szCs w:val="20"/>
              </w:rPr>
              <w:t> </w:t>
            </w:r>
          </w:p>
        </w:tc>
      </w:tr>
      <w:tr w:rsidR="00000000" w14:paraId="482BC510" w14:textId="77777777">
        <w:trPr>
          <w:tblCellSpacing w:w="0" w:type="dxa"/>
        </w:trPr>
        <w:tc>
          <w:tcPr>
            <w:tcW w:w="1000" w:type="pct"/>
            <w:shd w:val="clear" w:color="auto" w:fill="FFFFFF"/>
            <w:vAlign w:val="bottom"/>
            <w:hideMark/>
          </w:tcPr>
          <w:p w14:paraId="209BB3F8" w14:textId="77777777" w:rsidR="00000000" w:rsidRDefault="0053651E">
            <w:pPr>
              <w:pStyle w:val="a3"/>
              <w:spacing w:before="0" w:beforeAutospacing="0" w:after="0" w:afterAutospacing="0"/>
              <w:ind w:left="360"/>
              <w:rPr>
                <w:sz w:val="20"/>
                <w:szCs w:val="20"/>
              </w:rPr>
            </w:pPr>
            <w:r>
              <w:rPr>
                <w:sz w:val="20"/>
                <w:szCs w:val="20"/>
              </w:rPr>
              <w:t>Melbourne, FL</w:t>
            </w:r>
          </w:p>
        </w:tc>
        <w:tc>
          <w:tcPr>
            <w:tcW w:w="50" w:type="pct"/>
            <w:shd w:val="clear" w:color="auto" w:fill="FFFFFF"/>
            <w:vAlign w:val="bottom"/>
            <w:hideMark/>
          </w:tcPr>
          <w:p w14:paraId="1053F34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A7ED5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49E013" w14:textId="77777777" w:rsidR="00000000" w:rsidRDefault="0053651E">
            <w:pPr>
              <w:jc w:val="center"/>
              <w:rPr>
                <w:rFonts w:eastAsia="Times New Roman"/>
                <w:sz w:val="20"/>
                <w:szCs w:val="20"/>
              </w:rPr>
            </w:pPr>
            <w:r>
              <w:rPr>
                <w:rFonts w:eastAsia="Times New Roman"/>
                <w:sz w:val="20"/>
                <w:szCs w:val="20"/>
              </w:rPr>
              <w:t>6.88%</w:t>
            </w:r>
          </w:p>
        </w:tc>
        <w:tc>
          <w:tcPr>
            <w:tcW w:w="50" w:type="pct"/>
            <w:shd w:val="clear" w:color="auto" w:fill="FFFFFF"/>
            <w:vAlign w:val="bottom"/>
            <w:hideMark/>
          </w:tcPr>
          <w:p w14:paraId="75262A4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306C1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0AF6BB8" w14:textId="77777777" w:rsidR="00000000" w:rsidRDefault="0053651E">
            <w:pPr>
              <w:pStyle w:val="a3"/>
              <w:spacing w:before="0" w:beforeAutospacing="0" w:after="0" w:afterAutospacing="0"/>
              <w:jc w:val="center"/>
              <w:rPr>
                <w:sz w:val="20"/>
                <w:szCs w:val="20"/>
              </w:rPr>
            </w:pPr>
            <w:r>
              <w:rPr>
                <w:rStyle w:val="a6"/>
                <w:i w:val="0"/>
                <w:iCs w:val="0"/>
                <w:sz w:val="20"/>
                <w:szCs w:val="20"/>
              </w:rPr>
              <w:t>Dec-30</w:t>
            </w:r>
          </w:p>
        </w:tc>
        <w:tc>
          <w:tcPr>
            <w:tcW w:w="50" w:type="pct"/>
            <w:shd w:val="clear" w:color="auto" w:fill="FFFFFF"/>
            <w:vAlign w:val="bottom"/>
            <w:hideMark/>
          </w:tcPr>
          <w:p w14:paraId="44C468FB"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FFFFFF"/>
            <w:vAlign w:val="bottom"/>
            <w:hideMark/>
          </w:tcPr>
          <w:p w14:paraId="3DFC37AE" w14:textId="77777777" w:rsidR="00000000" w:rsidRDefault="0053651E">
            <w:pPr>
              <w:pStyle w:val="a3"/>
              <w:spacing w:before="0" w:beforeAutospacing="0" w:after="0" w:afterAutospacing="0"/>
              <w:jc w:val="center"/>
              <w:rPr>
                <w:sz w:val="20"/>
                <w:szCs w:val="20"/>
              </w:rPr>
            </w:pPr>
            <w:r>
              <w:rPr>
                <w:rStyle w:val="a6"/>
                <w:i w:val="0"/>
                <w:iCs w:val="0"/>
                <w:sz w:val="20"/>
                <w:szCs w:val="20"/>
              </w:rPr>
              <w:t>P&amp;I</w:t>
            </w:r>
          </w:p>
        </w:tc>
        <w:tc>
          <w:tcPr>
            <w:tcW w:w="50" w:type="pct"/>
            <w:shd w:val="clear" w:color="auto" w:fill="FFFFFF"/>
            <w:vAlign w:val="bottom"/>
            <w:hideMark/>
          </w:tcPr>
          <w:p w14:paraId="0FF0E7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EEED4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41272D9"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22CCBA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1918B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D680B3"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4140070" w14:textId="77777777" w:rsidR="00000000" w:rsidRDefault="0053651E">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0E617F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52640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3C3B1"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3076021" w14:textId="77777777" w:rsidR="00000000" w:rsidRDefault="0053651E">
            <w:pPr>
              <w:jc w:val="right"/>
              <w:rPr>
                <w:rFonts w:eastAsia="Times New Roman"/>
                <w:sz w:val="20"/>
                <w:szCs w:val="20"/>
              </w:rPr>
            </w:pPr>
            <w:r>
              <w:rPr>
                <w:rFonts w:eastAsia="Times New Roman"/>
                <w:sz w:val="20"/>
                <w:szCs w:val="20"/>
              </w:rPr>
              <w:t>261</w:t>
            </w:r>
          </w:p>
        </w:tc>
        <w:tc>
          <w:tcPr>
            <w:tcW w:w="50" w:type="pct"/>
            <w:shd w:val="clear" w:color="auto" w:fill="FFFFFF"/>
            <w:vAlign w:val="bottom"/>
            <w:hideMark/>
          </w:tcPr>
          <w:p w14:paraId="1CFF8B2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8A6E14"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ADA1F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2C9E56"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25C315E5" w14:textId="77777777" w:rsidR="00000000" w:rsidRDefault="0053651E">
            <w:pPr>
              <w:rPr>
                <w:rFonts w:eastAsia="Times New Roman"/>
                <w:sz w:val="20"/>
                <w:szCs w:val="20"/>
              </w:rPr>
            </w:pPr>
            <w:r>
              <w:rPr>
                <w:rFonts w:eastAsia="Times New Roman"/>
                <w:sz w:val="20"/>
                <w:szCs w:val="20"/>
              </w:rPr>
              <w:t> </w:t>
            </w:r>
          </w:p>
        </w:tc>
      </w:tr>
      <w:tr w:rsidR="00000000" w14:paraId="320B0F77" w14:textId="77777777">
        <w:trPr>
          <w:tblCellSpacing w:w="0" w:type="dxa"/>
        </w:trPr>
        <w:tc>
          <w:tcPr>
            <w:tcW w:w="1000" w:type="pct"/>
            <w:shd w:val="clear" w:color="auto" w:fill="CCEEFF"/>
            <w:vAlign w:val="bottom"/>
            <w:hideMark/>
          </w:tcPr>
          <w:p w14:paraId="5233CC9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3D2F5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4D54E6"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07BEDBEB" w14:textId="77777777" w:rsidR="00000000" w:rsidRDefault="0053651E">
            <w:pPr>
              <w:rPr>
                <w:rFonts w:eastAsia="Times New Roman"/>
                <w:sz w:val="20"/>
                <w:szCs w:val="20"/>
              </w:rPr>
            </w:pPr>
            <w:r>
              <w:rPr>
                <w:rStyle w:val="a6"/>
                <w:rFonts w:eastAsia="Times New Roman"/>
                <w:b/>
                <w:bCs/>
                <w:i w:val="0"/>
                <w:iCs w:val="0"/>
                <w:sz w:val="20"/>
                <w:szCs w:val="20"/>
              </w:rPr>
              <w:t> </w:t>
            </w:r>
          </w:p>
        </w:tc>
        <w:tc>
          <w:tcPr>
            <w:tcW w:w="50" w:type="pct"/>
            <w:shd w:val="clear" w:color="auto" w:fill="CCEEFF"/>
            <w:vAlign w:val="bottom"/>
            <w:hideMark/>
          </w:tcPr>
          <w:p w14:paraId="40076A1D"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77EA6A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CC9036"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14:paraId="52C55A55"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8274C3D"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14:paraId="16A4A67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91EE47" w14:textId="77777777" w:rsidR="00000000" w:rsidRDefault="0053651E">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0A6F0099" w14:textId="77777777" w:rsidR="00000000" w:rsidRDefault="0053651E">
            <w:pPr>
              <w:jc w:val="right"/>
              <w:rPr>
                <w:rFonts w:eastAsia="Times New Roman"/>
                <w:sz w:val="20"/>
                <w:szCs w:val="20"/>
              </w:rPr>
            </w:pPr>
            <w:r>
              <w:rPr>
                <w:rStyle w:val="a6"/>
                <w:rFonts w:eastAsia="Times New Roman"/>
                <w:b/>
                <w:bCs/>
                <w:i w:val="0"/>
                <w:iCs w:val="0"/>
                <w:sz w:val="20"/>
                <w:szCs w:val="20"/>
              </w:rPr>
              <w:t>-</w:t>
            </w:r>
          </w:p>
        </w:tc>
        <w:tc>
          <w:tcPr>
            <w:tcW w:w="50" w:type="pct"/>
            <w:shd w:val="clear" w:color="auto" w:fill="CCEEFF"/>
            <w:vAlign w:val="bottom"/>
            <w:hideMark/>
          </w:tcPr>
          <w:p w14:paraId="5F76A92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4002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C6C0D7" w14:textId="77777777" w:rsidR="00000000" w:rsidRDefault="0053651E">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38E0EECB" w14:textId="77777777" w:rsidR="00000000" w:rsidRDefault="0053651E">
            <w:pPr>
              <w:jc w:val="right"/>
              <w:rPr>
                <w:rFonts w:eastAsia="Times New Roman"/>
                <w:sz w:val="20"/>
                <w:szCs w:val="20"/>
              </w:rPr>
            </w:pPr>
            <w:r>
              <w:rPr>
                <w:rFonts w:eastAsia="Times New Roman"/>
                <w:b/>
                <w:bCs/>
                <w:sz w:val="20"/>
                <w:szCs w:val="20"/>
              </w:rPr>
              <w:t>8,679</w:t>
            </w:r>
          </w:p>
        </w:tc>
        <w:tc>
          <w:tcPr>
            <w:tcW w:w="50" w:type="pct"/>
            <w:shd w:val="clear" w:color="auto" w:fill="CCEEFF"/>
            <w:vAlign w:val="bottom"/>
            <w:hideMark/>
          </w:tcPr>
          <w:p w14:paraId="2835B0CC"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CC4DC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D10364" w14:textId="77777777" w:rsidR="00000000" w:rsidRDefault="0053651E">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637BF854" w14:textId="77777777" w:rsidR="00000000" w:rsidRDefault="0053651E">
            <w:pPr>
              <w:jc w:val="right"/>
              <w:rPr>
                <w:rFonts w:eastAsia="Times New Roman"/>
                <w:sz w:val="20"/>
                <w:szCs w:val="20"/>
              </w:rPr>
            </w:pPr>
            <w:r>
              <w:rPr>
                <w:rFonts w:eastAsia="Times New Roman"/>
                <w:b/>
                <w:bCs/>
                <w:sz w:val="20"/>
                <w:szCs w:val="20"/>
              </w:rPr>
              <w:t>7,387</w:t>
            </w:r>
          </w:p>
        </w:tc>
        <w:tc>
          <w:tcPr>
            <w:tcW w:w="50" w:type="pct"/>
            <w:shd w:val="clear" w:color="auto" w:fill="CCEEFF"/>
            <w:vAlign w:val="bottom"/>
            <w:hideMark/>
          </w:tcPr>
          <w:p w14:paraId="25F2A90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4B245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BE23A8" w14:textId="77777777" w:rsidR="00000000" w:rsidRDefault="0053651E">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536A95C8" w14:textId="77777777" w:rsidR="00000000" w:rsidRDefault="0053651E">
            <w:pPr>
              <w:jc w:val="right"/>
              <w:rPr>
                <w:rFonts w:eastAsia="Times New Roman"/>
                <w:sz w:val="20"/>
                <w:szCs w:val="20"/>
              </w:rPr>
            </w:pPr>
            <w:r>
              <w:rPr>
                <w:rStyle w:val="a6"/>
                <w:rFonts w:eastAsia="Times New Roman"/>
                <w:b/>
                <w:bCs/>
                <w:i w:val="0"/>
                <w:iCs w:val="0"/>
                <w:sz w:val="20"/>
                <w:szCs w:val="20"/>
              </w:rPr>
              <w:t>-</w:t>
            </w:r>
          </w:p>
        </w:tc>
        <w:tc>
          <w:tcPr>
            <w:tcW w:w="50" w:type="pct"/>
            <w:shd w:val="clear" w:color="auto" w:fill="CCEEFF"/>
            <w:vAlign w:val="bottom"/>
            <w:hideMark/>
          </w:tcPr>
          <w:p w14:paraId="3B010AE0" w14:textId="77777777" w:rsidR="00000000" w:rsidRDefault="0053651E">
            <w:pPr>
              <w:rPr>
                <w:rFonts w:eastAsia="Times New Roman"/>
                <w:sz w:val="20"/>
                <w:szCs w:val="20"/>
              </w:rPr>
            </w:pPr>
            <w:r>
              <w:rPr>
                <w:rFonts w:eastAsia="Times New Roman"/>
                <w:sz w:val="20"/>
                <w:szCs w:val="20"/>
              </w:rPr>
              <w:t> </w:t>
            </w:r>
          </w:p>
        </w:tc>
      </w:tr>
      <w:tr w:rsidR="00000000" w14:paraId="4B525A51" w14:textId="77777777">
        <w:trPr>
          <w:tblCellSpacing w:w="0" w:type="dxa"/>
        </w:trPr>
        <w:tc>
          <w:tcPr>
            <w:tcW w:w="1000" w:type="pct"/>
            <w:shd w:val="clear" w:color="auto" w:fill="FFFFFF"/>
            <w:vAlign w:val="bottom"/>
            <w:hideMark/>
          </w:tcPr>
          <w:p w14:paraId="6D5D04C5" w14:textId="77777777" w:rsidR="00000000" w:rsidRDefault="0053651E">
            <w:pPr>
              <w:pStyle w:val="a3"/>
              <w:spacing w:before="0" w:beforeAutospacing="0" w:after="0" w:afterAutospacing="0"/>
              <w:rPr>
                <w:sz w:val="20"/>
                <w:szCs w:val="20"/>
              </w:rPr>
            </w:pPr>
            <w:r>
              <w:rPr>
                <w:b/>
                <w:bCs/>
                <w:sz w:val="20"/>
                <w:szCs w:val="20"/>
                <w:u w:val="single"/>
              </w:rPr>
              <w:t>Other Financing Loans:</w:t>
            </w:r>
          </w:p>
        </w:tc>
        <w:tc>
          <w:tcPr>
            <w:tcW w:w="50" w:type="pct"/>
            <w:shd w:val="clear" w:color="auto" w:fill="FFFFFF"/>
            <w:vAlign w:val="bottom"/>
            <w:hideMark/>
          </w:tcPr>
          <w:p w14:paraId="248CF0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FDDBD5"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1EE7568B"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2BEFD602"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2AF1D774"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AE356F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CACD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5D026F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73068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CD4E9D"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0F4DCF74"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371C56B4"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55370E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3DFA60"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30BAFCCF"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10815310"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4C5C59B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E99CB7"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562DE1E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394081C9"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7ABFC33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B06ACC"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6FFDE3E8"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7A1D2647" w14:textId="77777777" w:rsidR="00000000" w:rsidRDefault="0053651E">
            <w:pPr>
              <w:rPr>
                <w:rFonts w:eastAsia="Times New Roman"/>
                <w:sz w:val="20"/>
                <w:szCs w:val="20"/>
              </w:rPr>
            </w:pPr>
            <w:r>
              <w:rPr>
                <w:rFonts w:eastAsia="Times New Roman"/>
                <w:b/>
                <w:bCs/>
                <w:sz w:val="20"/>
                <w:szCs w:val="20"/>
              </w:rPr>
              <w:t> </w:t>
            </w:r>
          </w:p>
        </w:tc>
      </w:tr>
      <w:tr w:rsidR="00000000" w14:paraId="1DDD54B1" w14:textId="77777777">
        <w:trPr>
          <w:tblCellSpacing w:w="0" w:type="dxa"/>
        </w:trPr>
        <w:tc>
          <w:tcPr>
            <w:tcW w:w="1000" w:type="pct"/>
            <w:shd w:val="clear" w:color="auto" w:fill="CCEEFF"/>
            <w:vAlign w:val="bottom"/>
            <w:hideMark/>
          </w:tcPr>
          <w:p w14:paraId="315FBE40" w14:textId="77777777" w:rsidR="00000000" w:rsidRDefault="0053651E">
            <w:pPr>
              <w:pStyle w:val="a3"/>
              <w:spacing w:before="0" w:beforeAutospacing="0" w:after="0" w:afterAutospacing="0"/>
              <w:ind w:left="180"/>
              <w:rPr>
                <w:sz w:val="20"/>
                <w:szCs w:val="20"/>
              </w:rPr>
            </w:pPr>
            <w:r>
              <w:rPr>
                <w:b/>
                <w:bCs/>
                <w:i/>
                <w:iCs/>
                <w:sz w:val="20"/>
                <w:szCs w:val="20"/>
              </w:rPr>
              <w:t>Nonretail</w:t>
            </w:r>
          </w:p>
        </w:tc>
        <w:tc>
          <w:tcPr>
            <w:tcW w:w="50" w:type="pct"/>
            <w:shd w:val="clear" w:color="auto" w:fill="CCEEFF"/>
            <w:vAlign w:val="bottom"/>
            <w:hideMark/>
          </w:tcPr>
          <w:p w14:paraId="41127B83"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191765"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14:paraId="46A3707B"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071F0304"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4BC36C3F"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1C84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1EA29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50E5C1"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8B07F6"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D42F5"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14:paraId="43BE7BA2"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7D99CC64"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104310AB"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E318CE"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14:paraId="5E3B88E0"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2CFEE4E6"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49A018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CA9C42"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14:paraId="00D94388"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2A006AAF"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6D0990D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068892" w14:textId="77777777" w:rsidR="00000000" w:rsidRDefault="0053651E">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14:paraId="4CB22008" w14:textId="77777777" w:rsidR="00000000" w:rsidRDefault="0053651E">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14:paraId="6883A853" w14:textId="77777777" w:rsidR="00000000" w:rsidRDefault="0053651E">
            <w:pPr>
              <w:rPr>
                <w:rFonts w:eastAsia="Times New Roman"/>
                <w:sz w:val="20"/>
                <w:szCs w:val="20"/>
              </w:rPr>
            </w:pPr>
            <w:r>
              <w:rPr>
                <w:rFonts w:eastAsia="Times New Roman"/>
                <w:b/>
                <w:bCs/>
                <w:i/>
                <w:iCs/>
                <w:sz w:val="20"/>
                <w:szCs w:val="20"/>
              </w:rPr>
              <w:t> </w:t>
            </w:r>
          </w:p>
        </w:tc>
      </w:tr>
      <w:tr w:rsidR="00000000" w14:paraId="2C515BBF" w14:textId="77777777">
        <w:trPr>
          <w:tblCellSpacing w:w="0" w:type="dxa"/>
        </w:trPr>
        <w:tc>
          <w:tcPr>
            <w:tcW w:w="1000" w:type="pct"/>
            <w:shd w:val="clear" w:color="auto" w:fill="FFFFFF"/>
            <w:vAlign w:val="bottom"/>
            <w:hideMark/>
          </w:tcPr>
          <w:p w14:paraId="4F06CA4A" w14:textId="77777777" w:rsidR="00000000" w:rsidRDefault="0053651E">
            <w:pPr>
              <w:pStyle w:val="a3"/>
              <w:spacing w:before="0" w:beforeAutospacing="0" w:after="0" w:afterAutospacing="0"/>
              <w:ind w:left="360"/>
              <w:rPr>
                <w:sz w:val="20"/>
                <w:szCs w:val="20"/>
              </w:rPr>
            </w:pPr>
            <w:r>
              <w:rPr>
                <w:sz w:val="20"/>
                <w:szCs w:val="20"/>
              </w:rPr>
              <w:t>Charlie Browns License</w:t>
            </w:r>
          </w:p>
        </w:tc>
        <w:tc>
          <w:tcPr>
            <w:tcW w:w="50" w:type="pct"/>
            <w:shd w:val="clear" w:color="auto" w:fill="FFFFFF"/>
            <w:vAlign w:val="bottom"/>
            <w:hideMark/>
          </w:tcPr>
          <w:p w14:paraId="528B575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A38CDC"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B5FBA5A" w14:textId="77777777" w:rsidR="00000000" w:rsidRDefault="0053651E">
            <w:pPr>
              <w:jc w:val="center"/>
              <w:rPr>
                <w:rFonts w:eastAsia="Times New Roman"/>
                <w:sz w:val="20"/>
                <w:szCs w:val="20"/>
              </w:rPr>
            </w:pPr>
            <w:r>
              <w:rPr>
                <w:rFonts w:eastAsia="Times New Roman"/>
                <w:sz w:val="20"/>
                <w:szCs w:val="20"/>
              </w:rPr>
              <w:t>2.28%</w:t>
            </w:r>
          </w:p>
        </w:tc>
        <w:tc>
          <w:tcPr>
            <w:tcW w:w="50" w:type="pct"/>
            <w:shd w:val="clear" w:color="auto" w:fill="FFFFFF"/>
            <w:vAlign w:val="bottom"/>
            <w:hideMark/>
          </w:tcPr>
          <w:p w14:paraId="727CCDC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EF6F9D"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999A8C" w14:textId="77777777" w:rsidR="00000000" w:rsidRDefault="0053651E">
            <w:pPr>
              <w:pStyle w:val="a3"/>
              <w:spacing w:before="0" w:beforeAutospacing="0" w:after="0" w:afterAutospacing="0"/>
              <w:jc w:val="center"/>
              <w:rPr>
                <w:sz w:val="20"/>
                <w:szCs w:val="20"/>
              </w:rPr>
            </w:pPr>
            <w:r>
              <w:rPr>
                <w:rStyle w:val="a6"/>
                <w:i w:val="0"/>
                <w:iCs w:val="0"/>
                <w:sz w:val="20"/>
                <w:szCs w:val="20"/>
              </w:rPr>
              <w:t>Apr-27</w:t>
            </w:r>
          </w:p>
        </w:tc>
        <w:tc>
          <w:tcPr>
            <w:tcW w:w="50" w:type="pct"/>
            <w:shd w:val="clear" w:color="auto" w:fill="FFFFFF"/>
            <w:vAlign w:val="bottom"/>
            <w:hideMark/>
          </w:tcPr>
          <w:p w14:paraId="23CAD5C3"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FFFFFF"/>
            <w:vAlign w:val="bottom"/>
            <w:hideMark/>
          </w:tcPr>
          <w:p w14:paraId="377758B5" w14:textId="77777777" w:rsidR="00000000" w:rsidRDefault="0053651E">
            <w:pPr>
              <w:pStyle w:val="a3"/>
              <w:spacing w:before="0" w:beforeAutospacing="0" w:after="0" w:afterAutospacing="0"/>
              <w:jc w:val="center"/>
              <w:rPr>
                <w:sz w:val="20"/>
                <w:szCs w:val="20"/>
              </w:rPr>
            </w:pPr>
            <w:r>
              <w:rPr>
                <w:rStyle w:val="a6"/>
                <w:i w:val="0"/>
                <w:iCs w:val="0"/>
                <w:sz w:val="20"/>
                <w:szCs w:val="20"/>
              </w:rPr>
              <w:t>P&amp; I</w:t>
            </w:r>
          </w:p>
        </w:tc>
        <w:tc>
          <w:tcPr>
            <w:tcW w:w="50" w:type="pct"/>
            <w:shd w:val="clear" w:color="auto" w:fill="FFFFFF"/>
            <w:vAlign w:val="bottom"/>
            <w:hideMark/>
          </w:tcPr>
          <w:p w14:paraId="7892DA70"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D2EDD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AFBA515"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42F8C4C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A228A9"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FECCD6"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10507BA" w14:textId="77777777" w:rsidR="00000000" w:rsidRDefault="0053651E">
            <w:pPr>
              <w:jc w:val="right"/>
              <w:rPr>
                <w:rFonts w:eastAsia="Times New Roman"/>
                <w:sz w:val="20"/>
                <w:szCs w:val="20"/>
              </w:rPr>
            </w:pPr>
            <w:r>
              <w:rPr>
                <w:rFonts w:eastAsia="Times New Roman"/>
                <w:sz w:val="20"/>
                <w:szCs w:val="20"/>
              </w:rPr>
              <w:t>600</w:t>
            </w:r>
          </w:p>
        </w:tc>
        <w:tc>
          <w:tcPr>
            <w:tcW w:w="50" w:type="pct"/>
            <w:shd w:val="clear" w:color="auto" w:fill="FFFFFF"/>
            <w:vAlign w:val="bottom"/>
            <w:hideMark/>
          </w:tcPr>
          <w:p w14:paraId="6906708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1855A5"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9A69E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DDE2115" w14:textId="77777777" w:rsidR="00000000" w:rsidRDefault="0053651E">
            <w:pPr>
              <w:jc w:val="right"/>
              <w:rPr>
                <w:rFonts w:eastAsia="Times New Roman"/>
                <w:sz w:val="20"/>
                <w:szCs w:val="20"/>
              </w:rPr>
            </w:pPr>
            <w:r>
              <w:rPr>
                <w:rFonts w:eastAsia="Times New Roman"/>
                <w:sz w:val="20"/>
                <w:szCs w:val="20"/>
              </w:rPr>
              <w:t>291</w:t>
            </w:r>
          </w:p>
        </w:tc>
        <w:tc>
          <w:tcPr>
            <w:tcW w:w="50" w:type="pct"/>
            <w:shd w:val="clear" w:color="auto" w:fill="FFFFFF"/>
            <w:vAlign w:val="bottom"/>
            <w:hideMark/>
          </w:tcPr>
          <w:p w14:paraId="3DA7EBC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0C561A"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502179"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F210CE1"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51F7D91F" w14:textId="77777777" w:rsidR="00000000" w:rsidRDefault="0053651E">
            <w:pPr>
              <w:rPr>
                <w:rFonts w:eastAsia="Times New Roman"/>
                <w:sz w:val="20"/>
                <w:szCs w:val="20"/>
              </w:rPr>
            </w:pPr>
            <w:r>
              <w:rPr>
                <w:rFonts w:eastAsia="Times New Roman"/>
                <w:sz w:val="20"/>
                <w:szCs w:val="20"/>
              </w:rPr>
              <w:t> </w:t>
            </w:r>
          </w:p>
        </w:tc>
      </w:tr>
      <w:tr w:rsidR="00000000" w14:paraId="3659818B" w14:textId="77777777">
        <w:trPr>
          <w:tblCellSpacing w:w="0" w:type="dxa"/>
        </w:trPr>
        <w:tc>
          <w:tcPr>
            <w:tcW w:w="1000" w:type="pct"/>
            <w:shd w:val="clear" w:color="auto" w:fill="CCEEFF"/>
            <w:vAlign w:val="bottom"/>
            <w:hideMark/>
          </w:tcPr>
          <w:p w14:paraId="48396DED" w14:textId="77777777" w:rsidR="00000000" w:rsidRDefault="0053651E">
            <w:pPr>
              <w:pStyle w:val="a3"/>
              <w:spacing w:before="0" w:beforeAutospacing="0" w:after="0" w:afterAutospacing="0"/>
              <w:ind w:left="360"/>
              <w:rPr>
                <w:sz w:val="20"/>
                <w:szCs w:val="20"/>
              </w:rPr>
            </w:pPr>
            <w:r>
              <w:rPr>
                <w:sz w:val="20"/>
                <w:szCs w:val="20"/>
              </w:rPr>
              <w:t>RONA Capital Partners</w:t>
            </w:r>
          </w:p>
        </w:tc>
        <w:tc>
          <w:tcPr>
            <w:tcW w:w="50" w:type="pct"/>
            <w:shd w:val="clear" w:color="auto" w:fill="CCEEFF"/>
            <w:vAlign w:val="bottom"/>
            <w:hideMark/>
          </w:tcPr>
          <w:p w14:paraId="5E3AF822"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E24C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BE63D90" w14:textId="77777777" w:rsidR="00000000" w:rsidRDefault="0053651E">
            <w:pPr>
              <w:jc w:val="center"/>
              <w:rPr>
                <w:rFonts w:eastAsia="Times New Roman"/>
                <w:sz w:val="20"/>
                <w:szCs w:val="20"/>
              </w:rPr>
            </w:pPr>
            <w:r>
              <w:rPr>
                <w:rFonts w:eastAsia="Times New Roman"/>
                <w:sz w:val="20"/>
                <w:szCs w:val="20"/>
              </w:rPr>
              <w:t>6.20%</w:t>
            </w:r>
          </w:p>
        </w:tc>
        <w:tc>
          <w:tcPr>
            <w:tcW w:w="50" w:type="pct"/>
            <w:shd w:val="clear" w:color="auto" w:fill="CCEEFF"/>
            <w:vAlign w:val="bottom"/>
            <w:hideMark/>
          </w:tcPr>
          <w:p w14:paraId="3AD49188" w14:textId="77777777" w:rsidR="00000000" w:rsidRDefault="0053651E">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DFEE8B"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4CEFFB2" w14:textId="77777777" w:rsidR="00000000" w:rsidRDefault="0053651E">
            <w:pPr>
              <w:pStyle w:val="a3"/>
              <w:spacing w:before="0" w:beforeAutospacing="0" w:after="0" w:afterAutospacing="0"/>
              <w:jc w:val="center"/>
              <w:rPr>
                <w:sz w:val="20"/>
                <w:szCs w:val="20"/>
              </w:rPr>
            </w:pPr>
            <w:r>
              <w:rPr>
                <w:rStyle w:val="a6"/>
                <w:i w:val="0"/>
                <w:iCs w:val="0"/>
                <w:sz w:val="20"/>
                <w:szCs w:val="20"/>
              </w:rPr>
              <w:t>May-20</w:t>
            </w:r>
          </w:p>
        </w:tc>
        <w:tc>
          <w:tcPr>
            <w:tcW w:w="50" w:type="pct"/>
            <w:shd w:val="clear" w:color="auto" w:fill="CCEEFF"/>
            <w:vAlign w:val="bottom"/>
            <w:hideMark/>
          </w:tcPr>
          <w:p w14:paraId="04342829" w14:textId="77777777" w:rsidR="00000000" w:rsidRDefault="0053651E">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14:paraId="5FF54DDD" w14:textId="77777777" w:rsidR="00000000" w:rsidRDefault="0053651E">
            <w:pPr>
              <w:pStyle w:val="a3"/>
              <w:spacing w:before="0" w:beforeAutospacing="0" w:after="0" w:afterAutospacing="0"/>
              <w:jc w:val="center"/>
              <w:rPr>
                <w:sz w:val="20"/>
                <w:szCs w:val="20"/>
              </w:rPr>
            </w:pPr>
            <w:r>
              <w:rPr>
                <w:rStyle w:val="a6"/>
                <w:i w:val="0"/>
                <w:iCs w:val="0"/>
                <w:sz w:val="20"/>
                <w:szCs w:val="20"/>
              </w:rPr>
              <w:t>P&amp;I</w:t>
            </w:r>
          </w:p>
        </w:tc>
        <w:tc>
          <w:tcPr>
            <w:tcW w:w="50" w:type="pct"/>
            <w:tcBorders>
              <w:bottom w:val="single" w:sz="6" w:space="0" w:color="000000"/>
            </w:tcBorders>
            <w:shd w:val="clear" w:color="auto" w:fill="CCEEFF"/>
            <w:vAlign w:val="bottom"/>
            <w:hideMark/>
          </w:tcPr>
          <w:p w14:paraId="60B8EE20"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942F79"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CEDF360"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tcBorders>
              <w:bottom w:val="single" w:sz="6" w:space="0" w:color="000000"/>
            </w:tcBorders>
            <w:shd w:val="clear" w:color="auto" w:fill="CCEEFF"/>
            <w:vAlign w:val="bottom"/>
            <w:hideMark/>
          </w:tcPr>
          <w:p w14:paraId="6F9E691D"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B336311"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D6C3B72"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C316E10" w14:textId="77777777" w:rsidR="00000000" w:rsidRDefault="0053651E">
            <w:pPr>
              <w:jc w:val="right"/>
              <w:rPr>
                <w:rFonts w:eastAsia="Times New Roman"/>
                <w:sz w:val="20"/>
                <w:szCs w:val="20"/>
              </w:rPr>
            </w:pPr>
            <w:r>
              <w:rPr>
                <w:rFonts w:eastAsia="Times New Roman"/>
                <w:sz w:val="20"/>
                <w:szCs w:val="20"/>
              </w:rPr>
              <w:t>175</w:t>
            </w:r>
          </w:p>
        </w:tc>
        <w:tc>
          <w:tcPr>
            <w:tcW w:w="50" w:type="pct"/>
            <w:tcBorders>
              <w:bottom w:val="single" w:sz="6" w:space="0" w:color="000000"/>
            </w:tcBorders>
            <w:shd w:val="clear" w:color="auto" w:fill="CCEEFF"/>
            <w:vAlign w:val="bottom"/>
            <w:hideMark/>
          </w:tcPr>
          <w:p w14:paraId="3F583A26"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BB91A8"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4CFA94E"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D9EF5EB" w14:textId="77777777" w:rsidR="00000000" w:rsidRDefault="0053651E">
            <w:pPr>
              <w:jc w:val="right"/>
              <w:rPr>
                <w:rFonts w:eastAsia="Times New Roman"/>
                <w:sz w:val="20"/>
                <w:szCs w:val="20"/>
              </w:rPr>
            </w:pPr>
            <w:r>
              <w:rPr>
                <w:rFonts w:eastAsia="Times New Roman"/>
                <w:sz w:val="20"/>
                <w:szCs w:val="20"/>
              </w:rPr>
              <w:t>150</w:t>
            </w:r>
          </w:p>
        </w:tc>
        <w:tc>
          <w:tcPr>
            <w:tcW w:w="50" w:type="pct"/>
            <w:tcBorders>
              <w:bottom w:val="single" w:sz="6" w:space="0" w:color="000000"/>
            </w:tcBorders>
            <w:shd w:val="clear" w:color="auto" w:fill="CCEEFF"/>
            <w:vAlign w:val="bottom"/>
            <w:hideMark/>
          </w:tcPr>
          <w:p w14:paraId="164D1762"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686CA5E" w14:textId="77777777" w:rsidR="00000000" w:rsidRDefault="0053651E">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0E41BB" w14:textId="77777777" w:rsidR="00000000" w:rsidRDefault="0053651E">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9FC64A5"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CCEEFF"/>
            <w:tcMar>
              <w:top w:w="0" w:type="dxa"/>
              <w:left w:w="0" w:type="dxa"/>
              <w:bottom w:w="15" w:type="dxa"/>
              <w:right w:w="0" w:type="dxa"/>
            </w:tcMar>
            <w:vAlign w:val="bottom"/>
            <w:hideMark/>
          </w:tcPr>
          <w:p w14:paraId="12ADF33F" w14:textId="77777777" w:rsidR="00000000" w:rsidRDefault="0053651E">
            <w:pPr>
              <w:rPr>
                <w:rFonts w:eastAsia="Times New Roman"/>
                <w:sz w:val="20"/>
                <w:szCs w:val="20"/>
              </w:rPr>
            </w:pPr>
            <w:r>
              <w:rPr>
                <w:rFonts w:eastAsia="Times New Roman"/>
                <w:sz w:val="20"/>
                <w:szCs w:val="20"/>
              </w:rPr>
              <w:t> </w:t>
            </w:r>
          </w:p>
        </w:tc>
      </w:tr>
      <w:tr w:rsidR="00000000" w14:paraId="63F22824" w14:textId="77777777">
        <w:trPr>
          <w:tblCellSpacing w:w="0" w:type="dxa"/>
        </w:trPr>
        <w:tc>
          <w:tcPr>
            <w:tcW w:w="1000" w:type="pct"/>
            <w:shd w:val="clear" w:color="auto" w:fill="FFFFFF"/>
            <w:vAlign w:val="bottom"/>
            <w:hideMark/>
          </w:tcPr>
          <w:p w14:paraId="22CB7A2E"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1AF187" w14:textId="77777777" w:rsidR="00000000" w:rsidRDefault="0053651E">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B0B86F" w14:textId="77777777" w:rsidR="00000000" w:rsidRDefault="0053651E">
            <w:pPr>
              <w:rPr>
                <w:rFonts w:eastAsia="Times New Roman"/>
                <w:sz w:val="20"/>
                <w:szCs w:val="20"/>
              </w:rPr>
            </w:pPr>
            <w:r>
              <w:rPr>
                <w:rFonts w:eastAsia="Times New Roman"/>
                <w:b/>
                <w:bCs/>
                <w:sz w:val="20"/>
                <w:szCs w:val="20"/>
              </w:rPr>
              <w:t> </w:t>
            </w:r>
          </w:p>
        </w:tc>
        <w:tc>
          <w:tcPr>
            <w:tcW w:w="450" w:type="pct"/>
            <w:shd w:val="clear" w:color="auto" w:fill="FFFFFF"/>
            <w:vAlign w:val="bottom"/>
            <w:hideMark/>
          </w:tcPr>
          <w:p w14:paraId="75A065D8" w14:textId="77777777" w:rsidR="00000000" w:rsidRDefault="0053651E">
            <w:pPr>
              <w:rPr>
                <w:rFonts w:eastAsia="Times New Roman"/>
                <w:sz w:val="20"/>
                <w:szCs w:val="20"/>
              </w:rPr>
            </w:pPr>
            <w:r>
              <w:rPr>
                <w:rStyle w:val="a6"/>
                <w:rFonts w:eastAsia="Times New Roman"/>
                <w:b/>
                <w:bCs/>
                <w:i w:val="0"/>
                <w:iCs w:val="0"/>
                <w:sz w:val="20"/>
                <w:szCs w:val="20"/>
              </w:rPr>
              <w:t> </w:t>
            </w:r>
          </w:p>
        </w:tc>
        <w:tc>
          <w:tcPr>
            <w:tcW w:w="50" w:type="pct"/>
            <w:shd w:val="clear" w:color="auto" w:fill="FFFFFF"/>
            <w:vAlign w:val="bottom"/>
            <w:hideMark/>
          </w:tcPr>
          <w:p w14:paraId="2570027C" w14:textId="77777777" w:rsidR="00000000" w:rsidRDefault="0053651E">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551C21FE"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50EA09"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422F302A" w14:textId="77777777" w:rsidR="00000000" w:rsidRDefault="0053651E">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7578D62" w14:textId="77777777" w:rsidR="00000000" w:rsidRDefault="0053651E">
            <w:pPr>
              <w:rPr>
                <w:rFonts w:eastAsia="Times New Roman"/>
                <w:sz w:val="20"/>
                <w:szCs w:val="20"/>
              </w:rPr>
            </w:pPr>
            <w:r>
              <w:rPr>
                <w:rStyle w:val="a6"/>
                <w:rFonts w:eastAsia="Times New Roman"/>
                <w:i w:val="0"/>
                <w:iCs w:val="0"/>
                <w:sz w:val="20"/>
                <w:szCs w:val="20"/>
              </w:rPr>
              <w:t> </w:t>
            </w:r>
          </w:p>
        </w:tc>
        <w:tc>
          <w:tcPr>
            <w:tcW w:w="50" w:type="pct"/>
            <w:tcBorders>
              <w:bottom w:val="double" w:sz="6" w:space="0" w:color="000000"/>
            </w:tcBorders>
            <w:shd w:val="clear" w:color="auto" w:fill="FFFFFF"/>
            <w:vAlign w:val="bottom"/>
            <w:hideMark/>
          </w:tcPr>
          <w:p w14:paraId="64D79F13"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EFE77C4"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43456834" w14:textId="77777777" w:rsidR="00000000" w:rsidRDefault="0053651E">
            <w:pPr>
              <w:jc w:val="right"/>
              <w:rPr>
                <w:rFonts w:eastAsia="Times New Roman"/>
                <w:sz w:val="20"/>
                <w:szCs w:val="20"/>
              </w:rPr>
            </w:pPr>
            <w:r>
              <w:rPr>
                <w:rStyle w:val="a6"/>
                <w:rFonts w:eastAsia="Times New Roman"/>
                <w:b/>
                <w:bCs/>
                <w:i w:val="0"/>
                <w:iCs w:val="0"/>
                <w:sz w:val="20"/>
                <w:szCs w:val="20"/>
              </w:rPr>
              <w:t>-</w:t>
            </w:r>
          </w:p>
        </w:tc>
        <w:tc>
          <w:tcPr>
            <w:tcW w:w="50" w:type="pct"/>
            <w:tcBorders>
              <w:bottom w:val="double" w:sz="6" w:space="0" w:color="000000"/>
            </w:tcBorders>
            <w:shd w:val="clear" w:color="auto" w:fill="FFFFFF"/>
            <w:vAlign w:val="bottom"/>
            <w:hideMark/>
          </w:tcPr>
          <w:p w14:paraId="58BB701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C86DC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92897C8"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75538C60" w14:textId="77777777" w:rsidR="00000000" w:rsidRDefault="0053651E">
            <w:pPr>
              <w:jc w:val="right"/>
              <w:rPr>
                <w:rFonts w:eastAsia="Times New Roman"/>
                <w:sz w:val="20"/>
                <w:szCs w:val="20"/>
              </w:rPr>
            </w:pPr>
            <w:r>
              <w:rPr>
                <w:rFonts w:eastAsia="Times New Roman"/>
                <w:b/>
                <w:bCs/>
                <w:sz w:val="20"/>
                <w:szCs w:val="20"/>
              </w:rPr>
              <w:t>9,454</w:t>
            </w:r>
          </w:p>
        </w:tc>
        <w:tc>
          <w:tcPr>
            <w:tcW w:w="50" w:type="pct"/>
            <w:tcBorders>
              <w:bottom w:val="double" w:sz="6" w:space="0" w:color="000000"/>
            </w:tcBorders>
            <w:shd w:val="clear" w:color="auto" w:fill="FFFFFF"/>
            <w:vAlign w:val="bottom"/>
            <w:hideMark/>
          </w:tcPr>
          <w:p w14:paraId="213D2BF9"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CCB4EA"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2455D75"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7A1F3348" w14:textId="77777777" w:rsidR="00000000" w:rsidRDefault="0053651E">
            <w:pPr>
              <w:jc w:val="right"/>
              <w:rPr>
                <w:rFonts w:eastAsia="Times New Roman"/>
                <w:sz w:val="20"/>
                <w:szCs w:val="20"/>
              </w:rPr>
            </w:pPr>
            <w:r>
              <w:rPr>
                <w:rFonts w:eastAsia="Times New Roman"/>
                <w:b/>
                <w:bCs/>
                <w:sz w:val="20"/>
                <w:szCs w:val="20"/>
              </w:rPr>
              <w:t>7,828</w:t>
            </w:r>
          </w:p>
        </w:tc>
        <w:tc>
          <w:tcPr>
            <w:tcW w:w="50" w:type="pct"/>
            <w:tcBorders>
              <w:bottom w:val="double" w:sz="6" w:space="0" w:color="000000"/>
            </w:tcBorders>
            <w:shd w:val="clear" w:color="auto" w:fill="FFFFFF"/>
            <w:vAlign w:val="bottom"/>
            <w:hideMark/>
          </w:tcPr>
          <w:p w14:paraId="19FF52EF"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31D6560" w14:textId="77777777" w:rsidR="00000000" w:rsidRDefault="0053651E">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9C709D0" w14:textId="77777777" w:rsidR="00000000" w:rsidRDefault="0053651E">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73D046CD" w14:textId="77777777" w:rsidR="00000000" w:rsidRDefault="0053651E">
            <w:pPr>
              <w:jc w:val="right"/>
              <w:rPr>
                <w:rFonts w:eastAsia="Times New Roman"/>
                <w:sz w:val="20"/>
                <w:szCs w:val="20"/>
              </w:rPr>
            </w:pPr>
            <w:r>
              <w:rPr>
                <w:rStyle w:val="a6"/>
                <w:rFonts w:eastAsia="Times New Roman"/>
                <w:b/>
                <w:bCs/>
                <w:i w:val="0"/>
                <w:iCs w:val="0"/>
                <w:sz w:val="20"/>
                <w:szCs w:val="20"/>
              </w:rPr>
              <w:t>-</w:t>
            </w:r>
          </w:p>
        </w:tc>
        <w:tc>
          <w:tcPr>
            <w:tcW w:w="50" w:type="pct"/>
            <w:shd w:val="clear" w:color="auto" w:fill="FFFFFF"/>
            <w:tcMar>
              <w:top w:w="0" w:type="dxa"/>
              <w:left w:w="0" w:type="dxa"/>
              <w:bottom w:w="45" w:type="dxa"/>
              <w:right w:w="0" w:type="dxa"/>
            </w:tcMar>
            <w:vAlign w:val="bottom"/>
            <w:hideMark/>
          </w:tcPr>
          <w:p w14:paraId="1839294D" w14:textId="77777777" w:rsidR="00000000" w:rsidRDefault="0053651E">
            <w:pPr>
              <w:rPr>
                <w:rFonts w:eastAsia="Times New Roman"/>
                <w:sz w:val="20"/>
                <w:szCs w:val="20"/>
              </w:rPr>
            </w:pPr>
            <w:r>
              <w:rPr>
                <w:rFonts w:eastAsia="Times New Roman"/>
                <w:sz w:val="20"/>
                <w:szCs w:val="20"/>
              </w:rPr>
              <w:t> </w:t>
            </w:r>
          </w:p>
        </w:tc>
      </w:tr>
    </w:tbl>
    <w:p w14:paraId="5BFADD9E" w14:textId="77777777" w:rsidR="00000000" w:rsidRDefault="0053651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8428F42" w14:textId="77777777">
        <w:trPr>
          <w:tblCellSpacing w:w="0" w:type="dxa"/>
        </w:trPr>
        <w:tc>
          <w:tcPr>
            <w:tcW w:w="1445" w:type="pct"/>
            <w:vAlign w:val="bottom"/>
            <w:hideMark/>
          </w:tcPr>
          <w:p w14:paraId="4214EFDB" w14:textId="77777777" w:rsidR="00000000" w:rsidRDefault="0053651E">
            <w:pPr>
              <w:pStyle w:val="a3"/>
              <w:spacing w:before="0" w:beforeAutospacing="0" w:after="0" w:afterAutospacing="0"/>
              <w:rPr>
                <w:sz w:val="20"/>
                <w:szCs w:val="20"/>
              </w:rPr>
            </w:pPr>
            <w:r>
              <w:rPr>
                <w:sz w:val="20"/>
                <w:szCs w:val="20"/>
              </w:rPr>
              <w:t>(a)  I = Interest only; P&amp;I = Principal &amp; Interest.</w:t>
            </w:r>
          </w:p>
        </w:tc>
      </w:tr>
      <w:tr w:rsidR="00000000" w14:paraId="51582A5C" w14:textId="77777777">
        <w:trPr>
          <w:tblCellSpacing w:w="0" w:type="dxa"/>
        </w:trPr>
        <w:tc>
          <w:tcPr>
            <w:tcW w:w="3245" w:type="pct"/>
            <w:vAlign w:val="bottom"/>
            <w:hideMark/>
          </w:tcPr>
          <w:p w14:paraId="6C7EA3A0" w14:textId="77777777" w:rsidR="00000000" w:rsidRDefault="0053651E">
            <w:pPr>
              <w:pStyle w:val="a3"/>
              <w:spacing w:before="0" w:beforeAutospacing="0" w:after="0" w:afterAutospacing="0"/>
              <w:rPr>
                <w:sz w:val="20"/>
                <w:szCs w:val="20"/>
              </w:rPr>
            </w:pPr>
            <w:r>
              <w:rPr>
                <w:sz w:val="20"/>
                <w:szCs w:val="20"/>
              </w:rPr>
              <w:t xml:space="preserve">(b)  </w:t>
            </w:r>
            <w:r>
              <w:rPr>
                <w:sz w:val="20"/>
                <w:szCs w:val="20"/>
              </w:rPr>
              <w:t>The aggregate cost for Federal income tax purposes was approximately $7.8 million as of</w:t>
            </w:r>
            <w:r>
              <w:rPr>
                <w:sz w:val="20"/>
                <w:szCs w:val="20"/>
              </w:rPr>
              <w:t xml:space="preserve"> </w:t>
            </w:r>
            <w:r>
              <w:rPr>
                <w:rStyle w:val="a6"/>
                <w:i w:val="0"/>
                <w:iCs w:val="0"/>
                <w:sz w:val="20"/>
                <w:szCs w:val="20"/>
              </w:rPr>
              <w:t>December 31, 2019.</w:t>
            </w:r>
          </w:p>
        </w:tc>
      </w:tr>
      <w:tr w:rsidR="00000000" w14:paraId="329B93BD" w14:textId="77777777">
        <w:trPr>
          <w:tblCellSpacing w:w="0" w:type="dxa"/>
        </w:trPr>
        <w:tc>
          <w:tcPr>
            <w:tcW w:w="1180" w:type="pct"/>
            <w:vAlign w:val="bottom"/>
            <w:hideMark/>
          </w:tcPr>
          <w:p w14:paraId="3E5DE15D" w14:textId="77777777" w:rsidR="00000000" w:rsidRDefault="0053651E">
            <w:pPr>
              <w:rPr>
                <w:rFonts w:eastAsia="Times New Roman"/>
                <w:sz w:val="20"/>
                <w:szCs w:val="20"/>
              </w:rPr>
            </w:pPr>
            <w:r>
              <w:rPr>
                <w:rFonts w:eastAsia="Times New Roman"/>
                <w:sz w:val="20"/>
                <w:szCs w:val="20"/>
              </w:rPr>
              <w:t> </w:t>
            </w:r>
          </w:p>
        </w:tc>
      </w:tr>
      <w:tr w:rsidR="00000000" w14:paraId="57D7C35D" w14:textId="77777777">
        <w:trPr>
          <w:tblCellSpacing w:w="0" w:type="dxa"/>
        </w:trPr>
        <w:tc>
          <w:tcPr>
            <w:tcW w:w="1180" w:type="pct"/>
            <w:vAlign w:val="bottom"/>
            <w:hideMark/>
          </w:tcPr>
          <w:p w14:paraId="157F832B" w14:textId="77777777" w:rsidR="00000000" w:rsidRDefault="0053651E">
            <w:pPr>
              <w:pStyle w:val="a3"/>
              <w:spacing w:before="0" w:beforeAutospacing="0" w:after="0" w:afterAutospacing="0"/>
              <w:rPr>
                <w:sz w:val="20"/>
                <w:szCs w:val="20"/>
              </w:rPr>
            </w:pPr>
            <w:r>
              <w:rPr>
                <w:sz w:val="20"/>
                <w:szCs w:val="20"/>
              </w:rPr>
              <w:t>For a reconciliation of mortgage and other financing receivables from</w:t>
            </w:r>
            <w:r>
              <w:rPr>
                <w:sz w:val="20"/>
                <w:szCs w:val="20"/>
              </w:rPr>
              <w:t xml:space="preserve"> </w:t>
            </w:r>
            <w:r>
              <w:rPr>
                <w:rStyle w:val="a6"/>
                <w:i w:val="0"/>
                <w:iCs w:val="0"/>
                <w:sz w:val="20"/>
                <w:szCs w:val="20"/>
              </w:rPr>
              <w:t xml:space="preserve">January 1, 2017 </w:t>
            </w:r>
            <w:r>
              <w:rPr>
                <w:sz w:val="20"/>
                <w:szCs w:val="20"/>
              </w:rPr>
              <w:t>to</w:t>
            </w:r>
            <w:r>
              <w:rPr>
                <w:sz w:val="20"/>
                <w:szCs w:val="20"/>
              </w:rPr>
              <w:t xml:space="preserve"> </w:t>
            </w:r>
            <w:r>
              <w:rPr>
                <w:rStyle w:val="a6"/>
                <w:i w:val="0"/>
                <w:iCs w:val="0"/>
                <w:sz w:val="20"/>
                <w:szCs w:val="20"/>
              </w:rPr>
              <w:t xml:space="preserve">December 31, 2019, </w:t>
            </w:r>
            <w:r>
              <w:rPr>
                <w:sz w:val="20"/>
                <w:szCs w:val="20"/>
              </w:rPr>
              <w:t>see Footnote</w:t>
            </w:r>
            <w:r>
              <w:rPr>
                <w:sz w:val="20"/>
                <w:szCs w:val="20"/>
              </w:rPr>
              <w:t xml:space="preserve"> </w:t>
            </w:r>
            <w:r>
              <w:rPr>
                <w:rStyle w:val="a6"/>
                <w:i w:val="0"/>
                <w:iCs w:val="0"/>
                <w:sz w:val="20"/>
                <w:szCs w:val="20"/>
              </w:rPr>
              <w:t>10</w:t>
            </w:r>
            <w:r>
              <w:rPr>
                <w:sz w:val="20"/>
                <w:szCs w:val="20"/>
              </w:rPr>
              <w:t xml:space="preserve"> </w:t>
            </w:r>
            <w:r>
              <w:rPr>
                <w:sz w:val="20"/>
                <w:szCs w:val="20"/>
              </w:rPr>
              <w:t>of the Notes to the Consolidated Financial Statements  included in this Form</w:t>
            </w:r>
            <w:r>
              <w:rPr>
                <w:sz w:val="20"/>
                <w:szCs w:val="20"/>
              </w:rPr>
              <w:t xml:space="preserve"> </w:t>
            </w:r>
            <w:r>
              <w:rPr>
                <w:rStyle w:val="a6"/>
                <w:i w:val="0"/>
                <w:iCs w:val="0"/>
                <w:sz w:val="20"/>
                <w:szCs w:val="20"/>
              </w:rPr>
              <w:t>10</w:t>
            </w:r>
            <w:r>
              <w:rPr>
                <w:sz w:val="20"/>
                <w:szCs w:val="20"/>
              </w:rPr>
              <w:t>-K.</w:t>
            </w:r>
          </w:p>
        </w:tc>
      </w:tr>
      <w:tr w:rsidR="00000000" w14:paraId="306AD0E6" w14:textId="77777777">
        <w:trPr>
          <w:tblCellSpacing w:w="0" w:type="dxa"/>
        </w:trPr>
        <w:tc>
          <w:tcPr>
            <w:tcW w:w="1180" w:type="pct"/>
            <w:vAlign w:val="bottom"/>
            <w:hideMark/>
          </w:tcPr>
          <w:p w14:paraId="0B6EB036" w14:textId="77777777" w:rsidR="00000000" w:rsidRDefault="0053651E">
            <w:pPr>
              <w:pStyle w:val="a3"/>
              <w:spacing w:before="0" w:beforeAutospacing="0" w:after="0" w:afterAutospacing="0"/>
              <w:rPr>
                <w:sz w:val="20"/>
                <w:szCs w:val="20"/>
              </w:rPr>
            </w:pPr>
            <w:r>
              <w:rPr>
                <w:sz w:val="20"/>
                <w:szCs w:val="20"/>
              </w:rPr>
              <w:t> </w:t>
            </w:r>
          </w:p>
        </w:tc>
      </w:tr>
      <w:tr w:rsidR="00000000" w14:paraId="0EB488E7" w14:textId="77777777">
        <w:trPr>
          <w:tblCellSpacing w:w="0" w:type="dxa"/>
        </w:trPr>
        <w:tc>
          <w:tcPr>
            <w:tcW w:w="4135" w:type="pct"/>
            <w:vAlign w:val="bottom"/>
            <w:hideMark/>
          </w:tcPr>
          <w:p w14:paraId="0CDCD3C3" w14:textId="77777777" w:rsidR="00000000" w:rsidRDefault="0053651E">
            <w:pPr>
              <w:pStyle w:val="a3"/>
              <w:spacing w:before="0" w:beforeAutospacing="0" w:after="0" w:afterAutospacing="0"/>
              <w:rPr>
                <w:sz w:val="20"/>
                <w:szCs w:val="20"/>
              </w:rPr>
            </w:pPr>
            <w:r>
              <w:rPr>
                <w:sz w:val="20"/>
                <w:szCs w:val="20"/>
              </w:rPr>
              <w:t>The Company feels it is</w:t>
            </w:r>
            <w:r>
              <w:rPr>
                <w:sz w:val="20"/>
                <w:szCs w:val="20"/>
              </w:rPr>
              <w:t xml:space="preserve"> </w:t>
            </w:r>
            <w:r>
              <w:rPr>
                <w:rStyle w:val="a6"/>
                <w:i w:val="0"/>
                <w:iCs w:val="0"/>
                <w:sz w:val="20"/>
                <w:szCs w:val="20"/>
              </w:rPr>
              <w:t>not</w:t>
            </w:r>
            <w:r>
              <w:rPr>
                <w:sz w:val="20"/>
                <w:szCs w:val="20"/>
              </w:rPr>
              <w:t xml:space="preserve"> practicable to estimate the fair value of each receivable as quoted market prices are</w:t>
            </w:r>
            <w:r>
              <w:rPr>
                <w:sz w:val="20"/>
                <w:szCs w:val="20"/>
              </w:rPr>
              <w:t xml:space="preserve"> </w:t>
            </w:r>
            <w:r>
              <w:rPr>
                <w:rStyle w:val="a6"/>
                <w:i w:val="0"/>
                <w:iCs w:val="0"/>
                <w:sz w:val="20"/>
                <w:szCs w:val="20"/>
              </w:rPr>
              <w:t>not</w:t>
            </w:r>
            <w:r>
              <w:rPr>
                <w:sz w:val="20"/>
                <w:szCs w:val="20"/>
              </w:rPr>
              <w:t xml:space="preserve"> available.  </w:t>
            </w:r>
          </w:p>
        </w:tc>
      </w:tr>
      <w:tr w:rsidR="00000000" w14:paraId="509285AB" w14:textId="77777777">
        <w:trPr>
          <w:tblCellSpacing w:w="0" w:type="dxa"/>
        </w:trPr>
        <w:tc>
          <w:tcPr>
            <w:tcW w:w="4135" w:type="pct"/>
            <w:vAlign w:val="bottom"/>
            <w:hideMark/>
          </w:tcPr>
          <w:p w14:paraId="3EF4CE13" w14:textId="77777777" w:rsidR="00000000" w:rsidRDefault="0053651E">
            <w:pPr>
              <w:rPr>
                <w:rFonts w:eastAsia="Times New Roman"/>
                <w:sz w:val="20"/>
                <w:szCs w:val="20"/>
              </w:rPr>
            </w:pPr>
            <w:r>
              <w:rPr>
                <w:rFonts w:eastAsia="Times New Roman"/>
                <w:sz w:val="20"/>
                <w:szCs w:val="20"/>
              </w:rPr>
              <w:t> </w:t>
            </w:r>
          </w:p>
        </w:tc>
      </w:tr>
      <w:tr w:rsidR="00000000" w14:paraId="5A513A89" w14:textId="77777777">
        <w:trPr>
          <w:tblCellSpacing w:w="0" w:type="dxa"/>
        </w:trPr>
        <w:tc>
          <w:tcPr>
            <w:tcW w:w="4135" w:type="pct"/>
            <w:vAlign w:val="bottom"/>
            <w:hideMark/>
          </w:tcPr>
          <w:p w14:paraId="201ED800" w14:textId="77777777" w:rsidR="00000000" w:rsidRDefault="0053651E">
            <w:pPr>
              <w:pStyle w:val="a3"/>
              <w:spacing w:before="0" w:beforeAutospacing="0" w:after="0" w:afterAutospacing="0"/>
              <w:rPr>
                <w:sz w:val="20"/>
                <w:szCs w:val="20"/>
              </w:rPr>
            </w:pPr>
            <w:r>
              <w:rPr>
                <w:sz w:val="20"/>
                <w:szCs w:val="20"/>
              </w:rPr>
              <w:t>The cost of obtaining an independe</w:t>
            </w:r>
            <w:r>
              <w:rPr>
                <w:sz w:val="20"/>
                <w:szCs w:val="20"/>
              </w:rPr>
              <w:t>nt valuation on these assets is deemed excessive considering the materiality of the total receivables.</w:t>
            </w:r>
          </w:p>
        </w:tc>
      </w:tr>
    </w:tbl>
    <w:p w14:paraId="793F7EFF" w14:textId="77777777" w:rsidR="00000000" w:rsidRDefault="0053651E">
      <w:pPr>
        <w:divId w:val="230189958"/>
        <w:rPr>
          <w:rFonts w:eastAsia="Times New Roman"/>
          <w:sz w:val="20"/>
          <w:szCs w:val="20"/>
        </w:rPr>
      </w:pPr>
      <w:r>
        <w:rPr>
          <w:rFonts w:eastAsia="Times New Roman"/>
          <w:sz w:val="20"/>
          <w:szCs w:val="20"/>
        </w:rPr>
        <w:t xml:space="preserve">  </w:t>
      </w:r>
    </w:p>
    <w:p w14:paraId="13F7E5B0" w14:textId="77777777" w:rsidR="00000000" w:rsidRDefault="0053651E">
      <w:pPr>
        <w:pStyle w:val="a3"/>
        <w:spacing w:before="0" w:beforeAutospacing="0" w:after="0" w:afterAutospacing="0"/>
        <w:jc w:val="center"/>
        <w:rPr>
          <w:sz w:val="20"/>
          <w:szCs w:val="20"/>
        </w:rPr>
      </w:pPr>
      <w:r>
        <w:rPr>
          <w:rStyle w:val="a6"/>
          <w:i w:val="0"/>
          <w:iCs w:val="0"/>
          <w:sz w:val="20"/>
          <w:szCs w:val="20"/>
        </w:rPr>
        <w:t>90</w:t>
      </w:r>
    </w:p>
    <w:p w14:paraId="28335DE4" w14:textId="77777777" w:rsidR="00000000" w:rsidRDefault="0053651E">
      <w:pPr>
        <w:pStyle w:val="a3"/>
        <w:spacing w:before="0" w:beforeAutospacing="0" w:after="0" w:afterAutospacing="0"/>
        <w:rPr>
          <w:sz w:val="20"/>
          <w:szCs w:val="20"/>
        </w:rPr>
      </w:pPr>
      <w:r>
        <w:rPr>
          <w:sz w:val="20"/>
          <w:szCs w:val="20"/>
        </w:rPr>
        <w:t> </w:t>
      </w:r>
    </w:p>
    <w:p w14:paraId="55A5BC35" w14:textId="77777777" w:rsidR="00000000" w:rsidRDefault="0053651E">
      <w:pPr>
        <w:pStyle w:val="a3"/>
        <w:spacing w:before="0" w:beforeAutospacing="0" w:after="0" w:afterAutospacing="0"/>
        <w:rPr>
          <w:sz w:val="20"/>
          <w:szCs w:val="20"/>
        </w:rPr>
      </w:pPr>
      <w:r>
        <w:rPr>
          <w:sz w:val="20"/>
          <w:szCs w:val="20"/>
        </w:rPr>
        <w:t> </w:t>
      </w:r>
    </w:p>
    <w:p w14:paraId="523228ED" w14:textId="77777777" w:rsidR="00000000" w:rsidRDefault="0053651E">
      <w:pPr>
        <w:pStyle w:val="a3"/>
        <w:spacing w:before="0" w:beforeAutospacing="0" w:after="0" w:afterAutospacing="0"/>
        <w:rPr>
          <w:sz w:val="20"/>
          <w:szCs w:val="20"/>
        </w:rPr>
      </w:pPr>
      <w:r>
        <w:rPr>
          <w:sz w:val="20"/>
          <w:szCs w:val="20"/>
        </w:rPr>
        <w:t> </w:t>
      </w:r>
    </w:p>
    <w:p w14:paraId="6958E69C" w14:textId="77777777" w:rsidR="00000000" w:rsidRDefault="0053651E">
      <w:pPr>
        <w:pStyle w:val="a3"/>
        <w:spacing w:before="0" w:beforeAutospacing="0" w:after="0" w:afterAutospacing="0"/>
        <w:rPr>
          <w:sz w:val="20"/>
          <w:szCs w:val="20"/>
        </w:rPr>
      </w:pPr>
      <w:r>
        <w:rPr>
          <w:sz w:val="20"/>
          <w:szCs w:val="20"/>
        </w:rPr>
        <w:t> </w:t>
      </w:r>
    </w:p>
    <w:p w14:paraId="1293D8B3" w14:textId="77777777" w:rsidR="00000000" w:rsidRDefault="0053651E">
      <w:pPr>
        <w:pStyle w:val="a3"/>
        <w:spacing w:before="0" w:beforeAutospacing="0" w:after="0" w:afterAutospacing="0"/>
        <w:rPr>
          <w:sz w:val="20"/>
          <w:szCs w:val="20"/>
        </w:rPr>
      </w:pPr>
      <w:r>
        <w:rPr>
          <w:sz w:val="20"/>
          <w:szCs w:val="20"/>
        </w:rPr>
        <w:t> </w:t>
      </w:r>
    </w:p>
    <w:p w14:paraId="4CECFF54" w14:textId="77777777" w:rsidR="00000000" w:rsidRDefault="0053651E">
      <w:pPr>
        <w:pStyle w:val="a3"/>
        <w:spacing w:before="0" w:beforeAutospacing="0" w:after="0" w:afterAutospacing="0"/>
        <w:rPr>
          <w:sz w:val="20"/>
          <w:szCs w:val="20"/>
        </w:rPr>
      </w:pPr>
      <w:r>
        <w:rPr>
          <w:sz w:val="20"/>
          <w:szCs w:val="20"/>
        </w:rPr>
        <w:t> </w:t>
      </w:r>
    </w:p>
    <w:p w14:paraId="3B0C0B1D" w14:textId="77777777" w:rsidR="00000000" w:rsidRDefault="0053651E">
      <w:pPr>
        <w:pStyle w:val="a3"/>
        <w:spacing w:before="0" w:beforeAutospacing="0" w:after="0" w:afterAutospacing="0"/>
        <w:rPr>
          <w:sz w:val="20"/>
          <w:szCs w:val="20"/>
        </w:rPr>
      </w:pPr>
      <w:r>
        <w:rPr>
          <w:sz w:val="20"/>
          <w:szCs w:val="20"/>
        </w:rPr>
        <w:t> </w:t>
      </w:r>
    </w:p>
    <w:p w14:paraId="581329F5" w14:textId="77777777" w:rsidR="00000000" w:rsidRDefault="0053651E">
      <w:pPr>
        <w:pStyle w:val="a3"/>
        <w:spacing w:before="0" w:beforeAutospacing="0" w:after="0" w:afterAutospacing="0"/>
        <w:rPr>
          <w:sz w:val="20"/>
          <w:szCs w:val="20"/>
        </w:rPr>
      </w:pPr>
      <w:r>
        <w:rPr>
          <w:sz w:val="20"/>
          <w:szCs w:val="20"/>
        </w:rPr>
        <w:t> </w:t>
      </w:r>
    </w:p>
    <w:p w14:paraId="723D6E59" w14:textId="77777777" w:rsidR="00000000" w:rsidRDefault="0053651E">
      <w:pPr>
        <w:pStyle w:val="a3"/>
        <w:spacing w:before="0" w:beforeAutospacing="0" w:after="0" w:afterAutospacing="0"/>
        <w:rPr>
          <w:sz w:val="20"/>
          <w:szCs w:val="20"/>
        </w:rPr>
      </w:pPr>
      <w:r>
        <w:rPr>
          <w:sz w:val="20"/>
          <w:szCs w:val="20"/>
        </w:rPr>
        <w:t> </w:t>
      </w:r>
    </w:p>
    <w:p w14:paraId="39BF3E13" w14:textId="77777777" w:rsidR="0053651E" w:rsidRDefault="0053651E">
      <w:pPr>
        <w:pStyle w:val="a3"/>
        <w:spacing w:before="0" w:beforeAutospacing="0" w:after="0" w:afterAutospacing="0"/>
        <w:rPr>
          <w:sz w:val="20"/>
          <w:szCs w:val="20"/>
        </w:rPr>
      </w:pPr>
      <w:r>
        <w:rPr>
          <w:sz w:val="20"/>
          <w:szCs w:val="20"/>
        </w:rPr>
        <w:t> </w:t>
      </w:r>
    </w:p>
    <w:sectPr w:rsidR="0053651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651E"/>
    <w:rsid w:val="0053651E"/>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191231"/>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C2F7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289">
      <w:marLeft w:val="0"/>
      <w:marRight w:val="0"/>
      <w:marTop w:val="0"/>
      <w:marBottom w:val="0"/>
      <w:divBdr>
        <w:top w:val="none" w:sz="0" w:space="0" w:color="auto"/>
        <w:left w:val="none" w:sz="0" w:space="0" w:color="auto"/>
        <w:bottom w:val="none" w:sz="0" w:space="0" w:color="auto"/>
        <w:right w:val="none" w:sz="0" w:space="0" w:color="auto"/>
      </w:divBdr>
    </w:div>
    <w:div w:id="55476087">
      <w:marLeft w:val="0"/>
      <w:marRight w:val="0"/>
      <w:marTop w:val="0"/>
      <w:marBottom w:val="0"/>
      <w:divBdr>
        <w:top w:val="none" w:sz="0" w:space="0" w:color="auto"/>
        <w:left w:val="none" w:sz="0" w:space="0" w:color="auto"/>
        <w:bottom w:val="none" w:sz="0" w:space="0" w:color="auto"/>
        <w:right w:val="none" w:sz="0" w:space="0" w:color="auto"/>
      </w:divBdr>
    </w:div>
    <w:div w:id="55512383">
      <w:marLeft w:val="0"/>
      <w:marRight w:val="0"/>
      <w:marTop w:val="0"/>
      <w:marBottom w:val="0"/>
      <w:divBdr>
        <w:top w:val="none" w:sz="0" w:space="0" w:color="auto"/>
        <w:left w:val="none" w:sz="0" w:space="0" w:color="auto"/>
        <w:bottom w:val="none" w:sz="0" w:space="0" w:color="auto"/>
        <w:right w:val="none" w:sz="0" w:space="0" w:color="auto"/>
      </w:divBdr>
    </w:div>
    <w:div w:id="66345183">
      <w:marLeft w:val="0"/>
      <w:marRight w:val="0"/>
      <w:marTop w:val="0"/>
      <w:marBottom w:val="0"/>
      <w:divBdr>
        <w:top w:val="none" w:sz="0" w:space="0" w:color="auto"/>
        <w:left w:val="none" w:sz="0" w:space="0" w:color="auto"/>
        <w:bottom w:val="none" w:sz="0" w:space="0" w:color="auto"/>
        <w:right w:val="none" w:sz="0" w:space="0" w:color="auto"/>
      </w:divBdr>
    </w:div>
    <w:div w:id="78143776">
      <w:marLeft w:val="0"/>
      <w:marRight w:val="0"/>
      <w:marTop w:val="0"/>
      <w:marBottom w:val="0"/>
      <w:divBdr>
        <w:top w:val="none" w:sz="0" w:space="0" w:color="auto"/>
        <w:left w:val="none" w:sz="0" w:space="0" w:color="auto"/>
        <w:bottom w:val="none" w:sz="0" w:space="0" w:color="auto"/>
        <w:right w:val="none" w:sz="0" w:space="0" w:color="auto"/>
      </w:divBdr>
    </w:div>
    <w:div w:id="83963851">
      <w:marLeft w:val="0"/>
      <w:marRight w:val="0"/>
      <w:marTop w:val="0"/>
      <w:marBottom w:val="0"/>
      <w:divBdr>
        <w:top w:val="none" w:sz="0" w:space="0" w:color="auto"/>
        <w:left w:val="none" w:sz="0" w:space="0" w:color="auto"/>
        <w:bottom w:val="none" w:sz="0" w:space="0" w:color="auto"/>
        <w:right w:val="none" w:sz="0" w:space="0" w:color="auto"/>
      </w:divBdr>
    </w:div>
    <w:div w:id="86508560">
      <w:marLeft w:val="0"/>
      <w:marRight w:val="0"/>
      <w:marTop w:val="0"/>
      <w:marBottom w:val="0"/>
      <w:divBdr>
        <w:top w:val="none" w:sz="0" w:space="0" w:color="auto"/>
        <w:left w:val="none" w:sz="0" w:space="0" w:color="auto"/>
        <w:bottom w:val="none" w:sz="0" w:space="0" w:color="auto"/>
        <w:right w:val="none" w:sz="0" w:space="0" w:color="auto"/>
      </w:divBdr>
    </w:div>
    <w:div w:id="109857263">
      <w:marLeft w:val="0"/>
      <w:marRight w:val="0"/>
      <w:marTop w:val="0"/>
      <w:marBottom w:val="0"/>
      <w:divBdr>
        <w:top w:val="none" w:sz="0" w:space="0" w:color="auto"/>
        <w:left w:val="none" w:sz="0" w:space="0" w:color="auto"/>
        <w:bottom w:val="none" w:sz="0" w:space="0" w:color="auto"/>
        <w:right w:val="none" w:sz="0" w:space="0" w:color="auto"/>
      </w:divBdr>
    </w:div>
    <w:div w:id="113335202">
      <w:marLeft w:val="0"/>
      <w:marRight w:val="0"/>
      <w:marTop w:val="0"/>
      <w:marBottom w:val="0"/>
      <w:divBdr>
        <w:top w:val="none" w:sz="0" w:space="0" w:color="auto"/>
        <w:left w:val="none" w:sz="0" w:space="0" w:color="auto"/>
        <w:bottom w:val="none" w:sz="0" w:space="0" w:color="auto"/>
        <w:right w:val="none" w:sz="0" w:space="0" w:color="auto"/>
      </w:divBdr>
    </w:div>
    <w:div w:id="120270030">
      <w:marLeft w:val="0"/>
      <w:marRight w:val="0"/>
      <w:marTop w:val="0"/>
      <w:marBottom w:val="0"/>
      <w:divBdr>
        <w:top w:val="none" w:sz="0" w:space="0" w:color="auto"/>
        <w:left w:val="none" w:sz="0" w:space="0" w:color="auto"/>
        <w:bottom w:val="none" w:sz="0" w:space="0" w:color="auto"/>
        <w:right w:val="none" w:sz="0" w:space="0" w:color="auto"/>
      </w:divBdr>
    </w:div>
    <w:div w:id="121535751">
      <w:marLeft w:val="0"/>
      <w:marRight w:val="0"/>
      <w:marTop w:val="0"/>
      <w:marBottom w:val="0"/>
      <w:divBdr>
        <w:top w:val="none" w:sz="0" w:space="0" w:color="auto"/>
        <w:left w:val="none" w:sz="0" w:space="0" w:color="auto"/>
        <w:bottom w:val="none" w:sz="0" w:space="0" w:color="auto"/>
        <w:right w:val="none" w:sz="0" w:space="0" w:color="auto"/>
      </w:divBdr>
    </w:div>
    <w:div w:id="125395485">
      <w:marLeft w:val="0"/>
      <w:marRight w:val="0"/>
      <w:marTop w:val="0"/>
      <w:marBottom w:val="0"/>
      <w:divBdr>
        <w:top w:val="none" w:sz="0" w:space="0" w:color="auto"/>
        <w:left w:val="none" w:sz="0" w:space="0" w:color="auto"/>
        <w:bottom w:val="none" w:sz="0" w:space="0" w:color="auto"/>
        <w:right w:val="none" w:sz="0" w:space="0" w:color="auto"/>
      </w:divBdr>
    </w:div>
    <w:div w:id="138351591">
      <w:marLeft w:val="0"/>
      <w:marRight w:val="0"/>
      <w:marTop w:val="0"/>
      <w:marBottom w:val="0"/>
      <w:divBdr>
        <w:top w:val="none" w:sz="0" w:space="0" w:color="auto"/>
        <w:left w:val="none" w:sz="0" w:space="0" w:color="auto"/>
        <w:bottom w:val="none" w:sz="0" w:space="0" w:color="auto"/>
        <w:right w:val="none" w:sz="0" w:space="0" w:color="auto"/>
      </w:divBdr>
    </w:div>
    <w:div w:id="151022635">
      <w:marLeft w:val="0"/>
      <w:marRight w:val="0"/>
      <w:marTop w:val="0"/>
      <w:marBottom w:val="0"/>
      <w:divBdr>
        <w:top w:val="none" w:sz="0" w:space="0" w:color="auto"/>
        <w:left w:val="none" w:sz="0" w:space="0" w:color="auto"/>
        <w:bottom w:val="none" w:sz="0" w:space="0" w:color="auto"/>
        <w:right w:val="none" w:sz="0" w:space="0" w:color="auto"/>
      </w:divBdr>
    </w:div>
    <w:div w:id="165168503">
      <w:marLeft w:val="0"/>
      <w:marRight w:val="0"/>
      <w:marTop w:val="0"/>
      <w:marBottom w:val="0"/>
      <w:divBdr>
        <w:top w:val="none" w:sz="0" w:space="0" w:color="auto"/>
        <w:left w:val="none" w:sz="0" w:space="0" w:color="auto"/>
        <w:bottom w:val="none" w:sz="0" w:space="0" w:color="auto"/>
        <w:right w:val="none" w:sz="0" w:space="0" w:color="auto"/>
      </w:divBdr>
    </w:div>
    <w:div w:id="174342452">
      <w:marLeft w:val="0"/>
      <w:marRight w:val="0"/>
      <w:marTop w:val="0"/>
      <w:marBottom w:val="0"/>
      <w:divBdr>
        <w:top w:val="none" w:sz="0" w:space="0" w:color="auto"/>
        <w:left w:val="none" w:sz="0" w:space="0" w:color="auto"/>
        <w:bottom w:val="none" w:sz="0" w:space="0" w:color="auto"/>
        <w:right w:val="none" w:sz="0" w:space="0" w:color="auto"/>
      </w:divBdr>
    </w:div>
    <w:div w:id="176778204">
      <w:marLeft w:val="0"/>
      <w:marRight w:val="0"/>
      <w:marTop w:val="0"/>
      <w:marBottom w:val="0"/>
      <w:divBdr>
        <w:top w:val="none" w:sz="0" w:space="0" w:color="auto"/>
        <w:left w:val="none" w:sz="0" w:space="0" w:color="auto"/>
        <w:bottom w:val="none" w:sz="0" w:space="0" w:color="auto"/>
        <w:right w:val="none" w:sz="0" w:space="0" w:color="auto"/>
      </w:divBdr>
    </w:div>
    <w:div w:id="183178592">
      <w:marLeft w:val="0"/>
      <w:marRight w:val="0"/>
      <w:marTop w:val="0"/>
      <w:marBottom w:val="0"/>
      <w:divBdr>
        <w:top w:val="none" w:sz="0" w:space="0" w:color="auto"/>
        <w:left w:val="none" w:sz="0" w:space="0" w:color="auto"/>
        <w:bottom w:val="none" w:sz="0" w:space="0" w:color="auto"/>
        <w:right w:val="none" w:sz="0" w:space="0" w:color="auto"/>
      </w:divBdr>
    </w:div>
    <w:div w:id="198276926">
      <w:marLeft w:val="0"/>
      <w:marRight w:val="0"/>
      <w:marTop w:val="0"/>
      <w:marBottom w:val="0"/>
      <w:divBdr>
        <w:top w:val="none" w:sz="0" w:space="0" w:color="auto"/>
        <w:left w:val="none" w:sz="0" w:space="0" w:color="auto"/>
        <w:bottom w:val="none" w:sz="0" w:space="0" w:color="auto"/>
        <w:right w:val="none" w:sz="0" w:space="0" w:color="auto"/>
      </w:divBdr>
    </w:div>
    <w:div w:id="204607594">
      <w:marLeft w:val="0"/>
      <w:marRight w:val="0"/>
      <w:marTop w:val="0"/>
      <w:marBottom w:val="0"/>
      <w:divBdr>
        <w:top w:val="none" w:sz="0" w:space="0" w:color="auto"/>
        <w:left w:val="none" w:sz="0" w:space="0" w:color="auto"/>
        <w:bottom w:val="none" w:sz="0" w:space="0" w:color="auto"/>
        <w:right w:val="none" w:sz="0" w:space="0" w:color="auto"/>
      </w:divBdr>
    </w:div>
    <w:div w:id="206650418">
      <w:marLeft w:val="0"/>
      <w:marRight w:val="0"/>
      <w:marTop w:val="0"/>
      <w:marBottom w:val="0"/>
      <w:divBdr>
        <w:top w:val="none" w:sz="0" w:space="0" w:color="auto"/>
        <w:left w:val="none" w:sz="0" w:space="0" w:color="auto"/>
        <w:bottom w:val="none" w:sz="0" w:space="0" w:color="auto"/>
        <w:right w:val="none" w:sz="0" w:space="0" w:color="auto"/>
      </w:divBdr>
      <w:divsChild>
        <w:div w:id="2022008197">
          <w:marLeft w:val="0"/>
          <w:marRight w:val="0"/>
          <w:marTop w:val="0"/>
          <w:marBottom w:val="0"/>
          <w:divBdr>
            <w:top w:val="none" w:sz="0" w:space="0" w:color="auto"/>
            <w:left w:val="none" w:sz="0" w:space="0" w:color="auto"/>
            <w:bottom w:val="none" w:sz="0" w:space="0" w:color="auto"/>
            <w:right w:val="none" w:sz="0" w:space="0" w:color="auto"/>
          </w:divBdr>
        </w:div>
      </w:divsChild>
    </w:div>
    <w:div w:id="210700188">
      <w:marLeft w:val="0"/>
      <w:marRight w:val="0"/>
      <w:marTop w:val="0"/>
      <w:marBottom w:val="0"/>
      <w:divBdr>
        <w:top w:val="none" w:sz="0" w:space="0" w:color="auto"/>
        <w:left w:val="none" w:sz="0" w:space="0" w:color="auto"/>
        <w:bottom w:val="none" w:sz="0" w:space="0" w:color="auto"/>
        <w:right w:val="none" w:sz="0" w:space="0" w:color="auto"/>
      </w:divBdr>
    </w:div>
    <w:div w:id="230189958">
      <w:marLeft w:val="0"/>
      <w:marRight w:val="0"/>
      <w:marTop w:val="0"/>
      <w:marBottom w:val="0"/>
      <w:divBdr>
        <w:top w:val="none" w:sz="0" w:space="0" w:color="auto"/>
        <w:left w:val="none" w:sz="0" w:space="0" w:color="auto"/>
        <w:bottom w:val="none" w:sz="0" w:space="0" w:color="auto"/>
        <w:right w:val="none" w:sz="0" w:space="0" w:color="auto"/>
      </w:divBdr>
    </w:div>
    <w:div w:id="237132058">
      <w:marLeft w:val="0"/>
      <w:marRight w:val="0"/>
      <w:marTop w:val="0"/>
      <w:marBottom w:val="0"/>
      <w:divBdr>
        <w:top w:val="none" w:sz="0" w:space="0" w:color="auto"/>
        <w:left w:val="none" w:sz="0" w:space="0" w:color="auto"/>
        <w:bottom w:val="none" w:sz="0" w:space="0" w:color="auto"/>
        <w:right w:val="none" w:sz="0" w:space="0" w:color="auto"/>
      </w:divBdr>
    </w:div>
    <w:div w:id="270626369">
      <w:marLeft w:val="0"/>
      <w:marRight w:val="0"/>
      <w:marTop w:val="0"/>
      <w:marBottom w:val="0"/>
      <w:divBdr>
        <w:top w:val="none" w:sz="0" w:space="0" w:color="auto"/>
        <w:left w:val="none" w:sz="0" w:space="0" w:color="auto"/>
        <w:bottom w:val="none" w:sz="0" w:space="0" w:color="auto"/>
        <w:right w:val="none" w:sz="0" w:space="0" w:color="auto"/>
      </w:divBdr>
    </w:div>
    <w:div w:id="279461055">
      <w:marLeft w:val="0"/>
      <w:marRight w:val="0"/>
      <w:marTop w:val="0"/>
      <w:marBottom w:val="0"/>
      <w:divBdr>
        <w:top w:val="none" w:sz="0" w:space="0" w:color="auto"/>
        <w:left w:val="none" w:sz="0" w:space="0" w:color="auto"/>
        <w:bottom w:val="none" w:sz="0" w:space="0" w:color="auto"/>
        <w:right w:val="none" w:sz="0" w:space="0" w:color="auto"/>
      </w:divBdr>
    </w:div>
    <w:div w:id="307708358">
      <w:marLeft w:val="0"/>
      <w:marRight w:val="0"/>
      <w:marTop w:val="0"/>
      <w:marBottom w:val="0"/>
      <w:divBdr>
        <w:top w:val="none" w:sz="0" w:space="0" w:color="auto"/>
        <w:left w:val="none" w:sz="0" w:space="0" w:color="auto"/>
        <w:bottom w:val="none" w:sz="0" w:space="0" w:color="auto"/>
        <w:right w:val="none" w:sz="0" w:space="0" w:color="auto"/>
      </w:divBdr>
    </w:div>
    <w:div w:id="309865170">
      <w:marLeft w:val="0"/>
      <w:marRight w:val="0"/>
      <w:marTop w:val="0"/>
      <w:marBottom w:val="0"/>
      <w:divBdr>
        <w:top w:val="none" w:sz="0" w:space="0" w:color="auto"/>
        <w:left w:val="none" w:sz="0" w:space="0" w:color="auto"/>
        <w:bottom w:val="none" w:sz="0" w:space="0" w:color="auto"/>
        <w:right w:val="none" w:sz="0" w:space="0" w:color="auto"/>
      </w:divBdr>
    </w:div>
    <w:div w:id="321154979">
      <w:marLeft w:val="0"/>
      <w:marRight w:val="0"/>
      <w:marTop w:val="0"/>
      <w:marBottom w:val="0"/>
      <w:divBdr>
        <w:top w:val="none" w:sz="0" w:space="0" w:color="auto"/>
        <w:left w:val="none" w:sz="0" w:space="0" w:color="auto"/>
        <w:bottom w:val="none" w:sz="0" w:space="0" w:color="auto"/>
        <w:right w:val="none" w:sz="0" w:space="0" w:color="auto"/>
      </w:divBdr>
    </w:div>
    <w:div w:id="329674968">
      <w:marLeft w:val="0"/>
      <w:marRight w:val="0"/>
      <w:marTop w:val="0"/>
      <w:marBottom w:val="0"/>
      <w:divBdr>
        <w:top w:val="none" w:sz="0" w:space="0" w:color="auto"/>
        <w:left w:val="none" w:sz="0" w:space="0" w:color="auto"/>
        <w:bottom w:val="none" w:sz="0" w:space="0" w:color="auto"/>
        <w:right w:val="none" w:sz="0" w:space="0" w:color="auto"/>
      </w:divBdr>
    </w:div>
    <w:div w:id="355892794">
      <w:marLeft w:val="0"/>
      <w:marRight w:val="0"/>
      <w:marTop w:val="0"/>
      <w:marBottom w:val="0"/>
      <w:divBdr>
        <w:top w:val="none" w:sz="0" w:space="0" w:color="auto"/>
        <w:left w:val="none" w:sz="0" w:space="0" w:color="auto"/>
        <w:bottom w:val="none" w:sz="0" w:space="0" w:color="auto"/>
        <w:right w:val="none" w:sz="0" w:space="0" w:color="auto"/>
      </w:divBdr>
    </w:div>
    <w:div w:id="390078874">
      <w:marLeft w:val="0"/>
      <w:marRight w:val="0"/>
      <w:marTop w:val="0"/>
      <w:marBottom w:val="0"/>
      <w:divBdr>
        <w:top w:val="none" w:sz="0" w:space="0" w:color="auto"/>
        <w:left w:val="none" w:sz="0" w:space="0" w:color="auto"/>
        <w:bottom w:val="none" w:sz="0" w:space="0" w:color="auto"/>
        <w:right w:val="none" w:sz="0" w:space="0" w:color="auto"/>
      </w:divBdr>
    </w:div>
    <w:div w:id="400568957">
      <w:marLeft w:val="0"/>
      <w:marRight w:val="0"/>
      <w:marTop w:val="0"/>
      <w:marBottom w:val="0"/>
      <w:divBdr>
        <w:top w:val="none" w:sz="0" w:space="0" w:color="auto"/>
        <w:left w:val="none" w:sz="0" w:space="0" w:color="auto"/>
        <w:bottom w:val="none" w:sz="0" w:space="0" w:color="auto"/>
        <w:right w:val="none" w:sz="0" w:space="0" w:color="auto"/>
      </w:divBdr>
    </w:div>
    <w:div w:id="427846321">
      <w:marLeft w:val="0"/>
      <w:marRight w:val="0"/>
      <w:marTop w:val="0"/>
      <w:marBottom w:val="0"/>
      <w:divBdr>
        <w:top w:val="none" w:sz="0" w:space="0" w:color="auto"/>
        <w:left w:val="none" w:sz="0" w:space="0" w:color="auto"/>
        <w:bottom w:val="none" w:sz="0" w:space="0" w:color="auto"/>
        <w:right w:val="none" w:sz="0" w:space="0" w:color="auto"/>
      </w:divBdr>
    </w:div>
    <w:div w:id="430782203">
      <w:marLeft w:val="0"/>
      <w:marRight w:val="0"/>
      <w:marTop w:val="0"/>
      <w:marBottom w:val="0"/>
      <w:divBdr>
        <w:top w:val="none" w:sz="0" w:space="0" w:color="auto"/>
        <w:left w:val="none" w:sz="0" w:space="0" w:color="auto"/>
        <w:bottom w:val="none" w:sz="0" w:space="0" w:color="auto"/>
        <w:right w:val="none" w:sz="0" w:space="0" w:color="auto"/>
      </w:divBdr>
    </w:div>
    <w:div w:id="455609167">
      <w:marLeft w:val="0"/>
      <w:marRight w:val="0"/>
      <w:marTop w:val="0"/>
      <w:marBottom w:val="0"/>
      <w:divBdr>
        <w:top w:val="none" w:sz="0" w:space="0" w:color="auto"/>
        <w:left w:val="none" w:sz="0" w:space="0" w:color="auto"/>
        <w:bottom w:val="none" w:sz="0" w:space="0" w:color="auto"/>
        <w:right w:val="none" w:sz="0" w:space="0" w:color="auto"/>
      </w:divBdr>
    </w:div>
    <w:div w:id="460462786">
      <w:marLeft w:val="0"/>
      <w:marRight w:val="0"/>
      <w:marTop w:val="0"/>
      <w:marBottom w:val="0"/>
      <w:divBdr>
        <w:top w:val="none" w:sz="0" w:space="0" w:color="auto"/>
        <w:left w:val="none" w:sz="0" w:space="0" w:color="auto"/>
        <w:bottom w:val="none" w:sz="0" w:space="0" w:color="auto"/>
        <w:right w:val="none" w:sz="0" w:space="0" w:color="auto"/>
      </w:divBdr>
    </w:div>
    <w:div w:id="478427704">
      <w:marLeft w:val="0"/>
      <w:marRight w:val="0"/>
      <w:marTop w:val="0"/>
      <w:marBottom w:val="0"/>
      <w:divBdr>
        <w:top w:val="none" w:sz="0" w:space="0" w:color="auto"/>
        <w:left w:val="none" w:sz="0" w:space="0" w:color="auto"/>
        <w:bottom w:val="none" w:sz="0" w:space="0" w:color="auto"/>
        <w:right w:val="none" w:sz="0" w:space="0" w:color="auto"/>
      </w:divBdr>
    </w:div>
    <w:div w:id="495192113">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535241539">
      <w:marLeft w:val="0"/>
      <w:marRight w:val="0"/>
      <w:marTop w:val="0"/>
      <w:marBottom w:val="0"/>
      <w:divBdr>
        <w:top w:val="none" w:sz="0" w:space="0" w:color="auto"/>
        <w:left w:val="none" w:sz="0" w:space="0" w:color="auto"/>
        <w:bottom w:val="none" w:sz="0" w:space="0" w:color="auto"/>
        <w:right w:val="none" w:sz="0" w:space="0" w:color="auto"/>
      </w:divBdr>
    </w:div>
    <w:div w:id="543834524">
      <w:marLeft w:val="0"/>
      <w:marRight w:val="0"/>
      <w:marTop w:val="0"/>
      <w:marBottom w:val="0"/>
      <w:divBdr>
        <w:top w:val="none" w:sz="0" w:space="0" w:color="auto"/>
        <w:left w:val="none" w:sz="0" w:space="0" w:color="auto"/>
        <w:bottom w:val="none" w:sz="0" w:space="0" w:color="auto"/>
        <w:right w:val="none" w:sz="0" w:space="0" w:color="auto"/>
      </w:divBdr>
      <w:divsChild>
        <w:div w:id="1803111070">
          <w:marLeft w:val="0"/>
          <w:marRight w:val="0"/>
          <w:marTop w:val="0"/>
          <w:marBottom w:val="0"/>
          <w:divBdr>
            <w:top w:val="none" w:sz="0" w:space="0" w:color="auto"/>
            <w:left w:val="none" w:sz="0" w:space="0" w:color="auto"/>
            <w:bottom w:val="none" w:sz="0" w:space="0" w:color="auto"/>
            <w:right w:val="none" w:sz="0" w:space="0" w:color="auto"/>
          </w:divBdr>
        </w:div>
        <w:div w:id="748768559">
          <w:marLeft w:val="0"/>
          <w:marRight w:val="0"/>
          <w:marTop w:val="0"/>
          <w:marBottom w:val="0"/>
          <w:divBdr>
            <w:top w:val="none" w:sz="0" w:space="0" w:color="auto"/>
            <w:left w:val="none" w:sz="0" w:space="0" w:color="auto"/>
            <w:bottom w:val="none" w:sz="0" w:space="0" w:color="auto"/>
            <w:right w:val="none" w:sz="0" w:space="0" w:color="auto"/>
          </w:divBdr>
        </w:div>
      </w:divsChild>
    </w:div>
    <w:div w:id="547227074">
      <w:marLeft w:val="0"/>
      <w:marRight w:val="0"/>
      <w:marTop w:val="0"/>
      <w:marBottom w:val="0"/>
      <w:divBdr>
        <w:top w:val="none" w:sz="0" w:space="0" w:color="auto"/>
        <w:left w:val="none" w:sz="0" w:space="0" w:color="auto"/>
        <w:bottom w:val="none" w:sz="0" w:space="0" w:color="auto"/>
        <w:right w:val="none" w:sz="0" w:space="0" w:color="auto"/>
      </w:divBdr>
    </w:div>
    <w:div w:id="562326400">
      <w:marLeft w:val="0"/>
      <w:marRight w:val="0"/>
      <w:marTop w:val="0"/>
      <w:marBottom w:val="0"/>
      <w:divBdr>
        <w:top w:val="none" w:sz="0" w:space="0" w:color="auto"/>
        <w:left w:val="none" w:sz="0" w:space="0" w:color="auto"/>
        <w:bottom w:val="none" w:sz="0" w:space="0" w:color="auto"/>
        <w:right w:val="none" w:sz="0" w:space="0" w:color="auto"/>
      </w:divBdr>
    </w:div>
    <w:div w:id="587738110">
      <w:marLeft w:val="0"/>
      <w:marRight w:val="0"/>
      <w:marTop w:val="0"/>
      <w:marBottom w:val="0"/>
      <w:divBdr>
        <w:top w:val="none" w:sz="0" w:space="0" w:color="auto"/>
        <w:left w:val="none" w:sz="0" w:space="0" w:color="auto"/>
        <w:bottom w:val="none" w:sz="0" w:space="0" w:color="auto"/>
        <w:right w:val="none" w:sz="0" w:space="0" w:color="auto"/>
      </w:divBdr>
    </w:div>
    <w:div w:id="602030628">
      <w:marLeft w:val="0"/>
      <w:marRight w:val="0"/>
      <w:marTop w:val="0"/>
      <w:marBottom w:val="0"/>
      <w:divBdr>
        <w:top w:val="none" w:sz="0" w:space="0" w:color="auto"/>
        <w:left w:val="none" w:sz="0" w:space="0" w:color="auto"/>
        <w:bottom w:val="none" w:sz="0" w:space="0" w:color="auto"/>
        <w:right w:val="none" w:sz="0" w:space="0" w:color="auto"/>
      </w:divBdr>
    </w:div>
    <w:div w:id="602496145">
      <w:marLeft w:val="0"/>
      <w:marRight w:val="0"/>
      <w:marTop w:val="0"/>
      <w:marBottom w:val="0"/>
      <w:divBdr>
        <w:top w:val="none" w:sz="0" w:space="0" w:color="auto"/>
        <w:left w:val="none" w:sz="0" w:space="0" w:color="auto"/>
        <w:bottom w:val="none" w:sz="0" w:space="0" w:color="auto"/>
        <w:right w:val="none" w:sz="0" w:space="0" w:color="auto"/>
      </w:divBdr>
    </w:div>
    <w:div w:id="611404160">
      <w:marLeft w:val="0"/>
      <w:marRight w:val="0"/>
      <w:marTop w:val="0"/>
      <w:marBottom w:val="0"/>
      <w:divBdr>
        <w:top w:val="none" w:sz="0" w:space="0" w:color="auto"/>
        <w:left w:val="none" w:sz="0" w:space="0" w:color="auto"/>
        <w:bottom w:val="none" w:sz="0" w:space="0" w:color="auto"/>
        <w:right w:val="none" w:sz="0" w:space="0" w:color="auto"/>
      </w:divBdr>
    </w:div>
    <w:div w:id="613055633">
      <w:marLeft w:val="0"/>
      <w:marRight w:val="0"/>
      <w:marTop w:val="0"/>
      <w:marBottom w:val="0"/>
      <w:divBdr>
        <w:top w:val="none" w:sz="0" w:space="0" w:color="auto"/>
        <w:left w:val="none" w:sz="0" w:space="0" w:color="auto"/>
        <w:bottom w:val="none" w:sz="0" w:space="0" w:color="auto"/>
        <w:right w:val="none" w:sz="0" w:space="0" w:color="auto"/>
      </w:divBdr>
    </w:div>
    <w:div w:id="639576273">
      <w:marLeft w:val="0"/>
      <w:marRight w:val="0"/>
      <w:marTop w:val="0"/>
      <w:marBottom w:val="0"/>
      <w:divBdr>
        <w:top w:val="none" w:sz="0" w:space="0" w:color="auto"/>
        <w:left w:val="none" w:sz="0" w:space="0" w:color="auto"/>
        <w:bottom w:val="none" w:sz="0" w:space="0" w:color="auto"/>
        <w:right w:val="none" w:sz="0" w:space="0" w:color="auto"/>
      </w:divBdr>
    </w:div>
    <w:div w:id="644702690">
      <w:marLeft w:val="0"/>
      <w:marRight w:val="0"/>
      <w:marTop w:val="0"/>
      <w:marBottom w:val="0"/>
      <w:divBdr>
        <w:top w:val="none" w:sz="0" w:space="0" w:color="auto"/>
        <w:left w:val="none" w:sz="0" w:space="0" w:color="auto"/>
        <w:bottom w:val="none" w:sz="0" w:space="0" w:color="auto"/>
        <w:right w:val="none" w:sz="0" w:space="0" w:color="auto"/>
      </w:divBdr>
    </w:div>
    <w:div w:id="674771476">
      <w:marLeft w:val="0"/>
      <w:marRight w:val="0"/>
      <w:marTop w:val="0"/>
      <w:marBottom w:val="0"/>
      <w:divBdr>
        <w:top w:val="none" w:sz="0" w:space="0" w:color="auto"/>
        <w:left w:val="none" w:sz="0" w:space="0" w:color="auto"/>
        <w:bottom w:val="none" w:sz="0" w:space="0" w:color="auto"/>
        <w:right w:val="none" w:sz="0" w:space="0" w:color="auto"/>
      </w:divBdr>
    </w:div>
    <w:div w:id="715351731">
      <w:marLeft w:val="0"/>
      <w:marRight w:val="0"/>
      <w:marTop w:val="0"/>
      <w:marBottom w:val="0"/>
      <w:divBdr>
        <w:top w:val="none" w:sz="0" w:space="0" w:color="auto"/>
        <w:left w:val="none" w:sz="0" w:space="0" w:color="auto"/>
        <w:bottom w:val="none" w:sz="0" w:space="0" w:color="auto"/>
        <w:right w:val="none" w:sz="0" w:space="0" w:color="auto"/>
      </w:divBdr>
    </w:div>
    <w:div w:id="741371122">
      <w:marLeft w:val="0"/>
      <w:marRight w:val="0"/>
      <w:marTop w:val="0"/>
      <w:marBottom w:val="0"/>
      <w:divBdr>
        <w:top w:val="none" w:sz="0" w:space="0" w:color="auto"/>
        <w:left w:val="none" w:sz="0" w:space="0" w:color="auto"/>
        <w:bottom w:val="none" w:sz="0" w:space="0" w:color="auto"/>
        <w:right w:val="none" w:sz="0" w:space="0" w:color="auto"/>
      </w:divBdr>
    </w:div>
    <w:div w:id="778068377">
      <w:marLeft w:val="0"/>
      <w:marRight w:val="0"/>
      <w:marTop w:val="0"/>
      <w:marBottom w:val="0"/>
      <w:divBdr>
        <w:top w:val="none" w:sz="0" w:space="0" w:color="auto"/>
        <w:left w:val="none" w:sz="0" w:space="0" w:color="auto"/>
        <w:bottom w:val="none" w:sz="0" w:space="0" w:color="auto"/>
        <w:right w:val="none" w:sz="0" w:space="0" w:color="auto"/>
      </w:divBdr>
    </w:div>
    <w:div w:id="816730819">
      <w:marLeft w:val="0"/>
      <w:marRight w:val="0"/>
      <w:marTop w:val="0"/>
      <w:marBottom w:val="0"/>
      <w:divBdr>
        <w:top w:val="none" w:sz="0" w:space="0" w:color="auto"/>
        <w:left w:val="none" w:sz="0" w:space="0" w:color="auto"/>
        <w:bottom w:val="none" w:sz="0" w:space="0" w:color="auto"/>
        <w:right w:val="none" w:sz="0" w:space="0" w:color="auto"/>
      </w:divBdr>
    </w:div>
    <w:div w:id="834302458">
      <w:marLeft w:val="0"/>
      <w:marRight w:val="0"/>
      <w:marTop w:val="0"/>
      <w:marBottom w:val="0"/>
      <w:divBdr>
        <w:top w:val="none" w:sz="0" w:space="0" w:color="auto"/>
        <w:left w:val="none" w:sz="0" w:space="0" w:color="auto"/>
        <w:bottom w:val="none" w:sz="0" w:space="0" w:color="auto"/>
        <w:right w:val="none" w:sz="0" w:space="0" w:color="auto"/>
      </w:divBdr>
    </w:div>
    <w:div w:id="852110459">
      <w:marLeft w:val="0"/>
      <w:marRight w:val="0"/>
      <w:marTop w:val="0"/>
      <w:marBottom w:val="0"/>
      <w:divBdr>
        <w:top w:val="none" w:sz="0" w:space="0" w:color="auto"/>
        <w:left w:val="none" w:sz="0" w:space="0" w:color="auto"/>
        <w:bottom w:val="none" w:sz="0" w:space="0" w:color="auto"/>
        <w:right w:val="none" w:sz="0" w:space="0" w:color="auto"/>
      </w:divBdr>
    </w:div>
    <w:div w:id="856389742">
      <w:marLeft w:val="0"/>
      <w:marRight w:val="0"/>
      <w:marTop w:val="0"/>
      <w:marBottom w:val="0"/>
      <w:divBdr>
        <w:top w:val="none" w:sz="0" w:space="0" w:color="auto"/>
        <w:left w:val="none" w:sz="0" w:space="0" w:color="auto"/>
        <w:bottom w:val="none" w:sz="0" w:space="0" w:color="auto"/>
        <w:right w:val="none" w:sz="0" w:space="0" w:color="auto"/>
      </w:divBdr>
    </w:div>
    <w:div w:id="866143987">
      <w:marLeft w:val="0"/>
      <w:marRight w:val="0"/>
      <w:marTop w:val="0"/>
      <w:marBottom w:val="0"/>
      <w:divBdr>
        <w:top w:val="none" w:sz="0" w:space="0" w:color="auto"/>
        <w:left w:val="none" w:sz="0" w:space="0" w:color="auto"/>
        <w:bottom w:val="none" w:sz="0" w:space="0" w:color="auto"/>
        <w:right w:val="none" w:sz="0" w:space="0" w:color="auto"/>
      </w:divBdr>
    </w:div>
    <w:div w:id="920262850">
      <w:marLeft w:val="0"/>
      <w:marRight w:val="0"/>
      <w:marTop w:val="0"/>
      <w:marBottom w:val="0"/>
      <w:divBdr>
        <w:top w:val="none" w:sz="0" w:space="0" w:color="auto"/>
        <w:left w:val="none" w:sz="0" w:space="0" w:color="auto"/>
        <w:bottom w:val="none" w:sz="0" w:space="0" w:color="auto"/>
        <w:right w:val="none" w:sz="0" w:space="0" w:color="auto"/>
      </w:divBdr>
    </w:div>
    <w:div w:id="937979705">
      <w:marLeft w:val="0"/>
      <w:marRight w:val="0"/>
      <w:marTop w:val="0"/>
      <w:marBottom w:val="0"/>
      <w:divBdr>
        <w:top w:val="none" w:sz="0" w:space="0" w:color="auto"/>
        <w:left w:val="none" w:sz="0" w:space="0" w:color="auto"/>
        <w:bottom w:val="none" w:sz="0" w:space="0" w:color="auto"/>
        <w:right w:val="none" w:sz="0" w:space="0" w:color="auto"/>
      </w:divBdr>
    </w:div>
    <w:div w:id="939411696">
      <w:marLeft w:val="0"/>
      <w:marRight w:val="0"/>
      <w:marTop w:val="0"/>
      <w:marBottom w:val="0"/>
      <w:divBdr>
        <w:top w:val="none" w:sz="0" w:space="0" w:color="auto"/>
        <w:left w:val="none" w:sz="0" w:space="0" w:color="auto"/>
        <w:bottom w:val="none" w:sz="0" w:space="0" w:color="auto"/>
        <w:right w:val="none" w:sz="0" w:space="0" w:color="auto"/>
      </w:divBdr>
    </w:div>
    <w:div w:id="977224442">
      <w:marLeft w:val="0"/>
      <w:marRight w:val="0"/>
      <w:marTop w:val="0"/>
      <w:marBottom w:val="0"/>
      <w:divBdr>
        <w:top w:val="none" w:sz="0" w:space="0" w:color="auto"/>
        <w:left w:val="none" w:sz="0" w:space="0" w:color="auto"/>
        <w:bottom w:val="none" w:sz="0" w:space="0" w:color="auto"/>
        <w:right w:val="none" w:sz="0" w:space="0" w:color="auto"/>
      </w:divBdr>
    </w:div>
    <w:div w:id="977301154">
      <w:marLeft w:val="0"/>
      <w:marRight w:val="0"/>
      <w:marTop w:val="0"/>
      <w:marBottom w:val="0"/>
      <w:divBdr>
        <w:top w:val="none" w:sz="0" w:space="0" w:color="auto"/>
        <w:left w:val="none" w:sz="0" w:space="0" w:color="auto"/>
        <w:bottom w:val="none" w:sz="0" w:space="0" w:color="auto"/>
        <w:right w:val="none" w:sz="0" w:space="0" w:color="auto"/>
      </w:divBdr>
    </w:div>
    <w:div w:id="980427964">
      <w:marLeft w:val="0"/>
      <w:marRight w:val="0"/>
      <w:marTop w:val="0"/>
      <w:marBottom w:val="0"/>
      <w:divBdr>
        <w:top w:val="none" w:sz="0" w:space="0" w:color="auto"/>
        <w:left w:val="none" w:sz="0" w:space="0" w:color="auto"/>
        <w:bottom w:val="none" w:sz="0" w:space="0" w:color="auto"/>
        <w:right w:val="none" w:sz="0" w:space="0" w:color="auto"/>
      </w:divBdr>
    </w:div>
    <w:div w:id="1005672184">
      <w:marLeft w:val="0"/>
      <w:marRight w:val="0"/>
      <w:marTop w:val="0"/>
      <w:marBottom w:val="0"/>
      <w:divBdr>
        <w:top w:val="none" w:sz="0" w:space="0" w:color="auto"/>
        <w:left w:val="none" w:sz="0" w:space="0" w:color="auto"/>
        <w:bottom w:val="none" w:sz="0" w:space="0" w:color="auto"/>
        <w:right w:val="none" w:sz="0" w:space="0" w:color="auto"/>
      </w:divBdr>
    </w:div>
    <w:div w:id="1016809957">
      <w:marLeft w:val="0"/>
      <w:marRight w:val="0"/>
      <w:marTop w:val="0"/>
      <w:marBottom w:val="0"/>
      <w:divBdr>
        <w:top w:val="none" w:sz="0" w:space="0" w:color="auto"/>
        <w:left w:val="none" w:sz="0" w:space="0" w:color="auto"/>
        <w:bottom w:val="none" w:sz="0" w:space="0" w:color="auto"/>
        <w:right w:val="none" w:sz="0" w:space="0" w:color="auto"/>
      </w:divBdr>
    </w:div>
    <w:div w:id="1029334994">
      <w:marLeft w:val="0"/>
      <w:marRight w:val="0"/>
      <w:marTop w:val="0"/>
      <w:marBottom w:val="0"/>
      <w:divBdr>
        <w:top w:val="none" w:sz="0" w:space="0" w:color="auto"/>
        <w:left w:val="none" w:sz="0" w:space="0" w:color="auto"/>
        <w:bottom w:val="none" w:sz="0" w:space="0" w:color="auto"/>
        <w:right w:val="none" w:sz="0" w:space="0" w:color="auto"/>
      </w:divBdr>
    </w:div>
    <w:div w:id="1031414706">
      <w:marLeft w:val="0"/>
      <w:marRight w:val="0"/>
      <w:marTop w:val="0"/>
      <w:marBottom w:val="0"/>
      <w:divBdr>
        <w:top w:val="none" w:sz="0" w:space="0" w:color="auto"/>
        <w:left w:val="none" w:sz="0" w:space="0" w:color="auto"/>
        <w:bottom w:val="none" w:sz="0" w:space="0" w:color="auto"/>
        <w:right w:val="none" w:sz="0" w:space="0" w:color="auto"/>
      </w:divBdr>
    </w:div>
    <w:div w:id="1048456202">
      <w:marLeft w:val="0"/>
      <w:marRight w:val="0"/>
      <w:marTop w:val="0"/>
      <w:marBottom w:val="0"/>
      <w:divBdr>
        <w:top w:val="none" w:sz="0" w:space="0" w:color="auto"/>
        <w:left w:val="none" w:sz="0" w:space="0" w:color="auto"/>
        <w:bottom w:val="none" w:sz="0" w:space="0" w:color="auto"/>
        <w:right w:val="none" w:sz="0" w:space="0" w:color="auto"/>
      </w:divBdr>
    </w:div>
    <w:div w:id="1059287255">
      <w:marLeft w:val="0"/>
      <w:marRight w:val="0"/>
      <w:marTop w:val="0"/>
      <w:marBottom w:val="0"/>
      <w:divBdr>
        <w:top w:val="none" w:sz="0" w:space="0" w:color="auto"/>
        <w:left w:val="none" w:sz="0" w:space="0" w:color="auto"/>
        <w:bottom w:val="none" w:sz="0" w:space="0" w:color="auto"/>
        <w:right w:val="none" w:sz="0" w:space="0" w:color="auto"/>
      </w:divBdr>
    </w:div>
    <w:div w:id="1061825314">
      <w:marLeft w:val="0"/>
      <w:marRight w:val="0"/>
      <w:marTop w:val="0"/>
      <w:marBottom w:val="0"/>
      <w:divBdr>
        <w:top w:val="none" w:sz="0" w:space="0" w:color="auto"/>
        <w:left w:val="none" w:sz="0" w:space="0" w:color="auto"/>
        <w:bottom w:val="none" w:sz="0" w:space="0" w:color="auto"/>
        <w:right w:val="none" w:sz="0" w:space="0" w:color="auto"/>
      </w:divBdr>
    </w:div>
    <w:div w:id="1070158320">
      <w:marLeft w:val="0"/>
      <w:marRight w:val="0"/>
      <w:marTop w:val="0"/>
      <w:marBottom w:val="0"/>
      <w:divBdr>
        <w:top w:val="none" w:sz="0" w:space="0" w:color="auto"/>
        <w:left w:val="none" w:sz="0" w:space="0" w:color="auto"/>
        <w:bottom w:val="none" w:sz="0" w:space="0" w:color="auto"/>
        <w:right w:val="none" w:sz="0" w:space="0" w:color="auto"/>
      </w:divBdr>
    </w:div>
    <w:div w:id="1081291773">
      <w:marLeft w:val="0"/>
      <w:marRight w:val="0"/>
      <w:marTop w:val="0"/>
      <w:marBottom w:val="0"/>
      <w:divBdr>
        <w:top w:val="none" w:sz="0" w:space="0" w:color="auto"/>
        <w:left w:val="none" w:sz="0" w:space="0" w:color="auto"/>
        <w:bottom w:val="none" w:sz="0" w:space="0" w:color="auto"/>
        <w:right w:val="none" w:sz="0" w:space="0" w:color="auto"/>
      </w:divBdr>
    </w:div>
    <w:div w:id="1087967195">
      <w:marLeft w:val="0"/>
      <w:marRight w:val="0"/>
      <w:marTop w:val="0"/>
      <w:marBottom w:val="0"/>
      <w:divBdr>
        <w:top w:val="none" w:sz="0" w:space="0" w:color="auto"/>
        <w:left w:val="none" w:sz="0" w:space="0" w:color="auto"/>
        <w:bottom w:val="none" w:sz="0" w:space="0" w:color="auto"/>
        <w:right w:val="none" w:sz="0" w:space="0" w:color="auto"/>
      </w:divBdr>
    </w:div>
    <w:div w:id="1099374834">
      <w:marLeft w:val="0"/>
      <w:marRight w:val="0"/>
      <w:marTop w:val="0"/>
      <w:marBottom w:val="0"/>
      <w:divBdr>
        <w:top w:val="none" w:sz="0" w:space="0" w:color="auto"/>
        <w:left w:val="none" w:sz="0" w:space="0" w:color="auto"/>
        <w:bottom w:val="none" w:sz="0" w:space="0" w:color="auto"/>
        <w:right w:val="none" w:sz="0" w:space="0" w:color="auto"/>
      </w:divBdr>
    </w:div>
    <w:div w:id="1127092503">
      <w:marLeft w:val="0"/>
      <w:marRight w:val="0"/>
      <w:marTop w:val="0"/>
      <w:marBottom w:val="0"/>
      <w:divBdr>
        <w:top w:val="none" w:sz="0" w:space="0" w:color="auto"/>
        <w:left w:val="none" w:sz="0" w:space="0" w:color="auto"/>
        <w:bottom w:val="none" w:sz="0" w:space="0" w:color="auto"/>
        <w:right w:val="none" w:sz="0" w:space="0" w:color="auto"/>
      </w:divBdr>
    </w:div>
    <w:div w:id="1140922415">
      <w:marLeft w:val="0"/>
      <w:marRight w:val="0"/>
      <w:marTop w:val="0"/>
      <w:marBottom w:val="0"/>
      <w:divBdr>
        <w:top w:val="none" w:sz="0" w:space="0" w:color="auto"/>
        <w:left w:val="none" w:sz="0" w:space="0" w:color="auto"/>
        <w:bottom w:val="none" w:sz="0" w:space="0" w:color="auto"/>
        <w:right w:val="none" w:sz="0" w:space="0" w:color="auto"/>
      </w:divBdr>
    </w:div>
    <w:div w:id="1148665832">
      <w:marLeft w:val="0"/>
      <w:marRight w:val="0"/>
      <w:marTop w:val="0"/>
      <w:marBottom w:val="0"/>
      <w:divBdr>
        <w:top w:val="none" w:sz="0" w:space="0" w:color="auto"/>
        <w:left w:val="none" w:sz="0" w:space="0" w:color="auto"/>
        <w:bottom w:val="none" w:sz="0" w:space="0" w:color="auto"/>
        <w:right w:val="none" w:sz="0" w:space="0" w:color="auto"/>
      </w:divBdr>
    </w:div>
    <w:div w:id="1155872269">
      <w:marLeft w:val="0"/>
      <w:marRight w:val="0"/>
      <w:marTop w:val="0"/>
      <w:marBottom w:val="0"/>
      <w:divBdr>
        <w:top w:val="none" w:sz="0" w:space="0" w:color="auto"/>
        <w:left w:val="none" w:sz="0" w:space="0" w:color="auto"/>
        <w:bottom w:val="none" w:sz="0" w:space="0" w:color="auto"/>
        <w:right w:val="none" w:sz="0" w:space="0" w:color="auto"/>
      </w:divBdr>
    </w:div>
    <w:div w:id="1158837865">
      <w:marLeft w:val="0"/>
      <w:marRight w:val="0"/>
      <w:marTop w:val="0"/>
      <w:marBottom w:val="0"/>
      <w:divBdr>
        <w:top w:val="none" w:sz="0" w:space="0" w:color="auto"/>
        <w:left w:val="none" w:sz="0" w:space="0" w:color="auto"/>
        <w:bottom w:val="none" w:sz="0" w:space="0" w:color="auto"/>
        <w:right w:val="none" w:sz="0" w:space="0" w:color="auto"/>
      </w:divBdr>
    </w:div>
    <w:div w:id="1184324895">
      <w:marLeft w:val="0"/>
      <w:marRight w:val="0"/>
      <w:marTop w:val="0"/>
      <w:marBottom w:val="0"/>
      <w:divBdr>
        <w:top w:val="none" w:sz="0" w:space="0" w:color="auto"/>
        <w:left w:val="none" w:sz="0" w:space="0" w:color="auto"/>
        <w:bottom w:val="none" w:sz="0" w:space="0" w:color="auto"/>
        <w:right w:val="none" w:sz="0" w:space="0" w:color="auto"/>
      </w:divBdr>
    </w:div>
    <w:div w:id="1213814111">
      <w:marLeft w:val="0"/>
      <w:marRight w:val="0"/>
      <w:marTop w:val="0"/>
      <w:marBottom w:val="0"/>
      <w:divBdr>
        <w:top w:val="none" w:sz="0" w:space="0" w:color="auto"/>
        <w:left w:val="none" w:sz="0" w:space="0" w:color="auto"/>
        <w:bottom w:val="none" w:sz="0" w:space="0" w:color="auto"/>
        <w:right w:val="none" w:sz="0" w:space="0" w:color="auto"/>
      </w:divBdr>
    </w:div>
    <w:div w:id="1214850656">
      <w:marLeft w:val="0"/>
      <w:marRight w:val="0"/>
      <w:marTop w:val="0"/>
      <w:marBottom w:val="0"/>
      <w:divBdr>
        <w:top w:val="none" w:sz="0" w:space="0" w:color="auto"/>
        <w:left w:val="none" w:sz="0" w:space="0" w:color="auto"/>
        <w:bottom w:val="none" w:sz="0" w:space="0" w:color="auto"/>
        <w:right w:val="none" w:sz="0" w:space="0" w:color="auto"/>
      </w:divBdr>
    </w:div>
    <w:div w:id="1217351824">
      <w:marLeft w:val="0"/>
      <w:marRight w:val="0"/>
      <w:marTop w:val="0"/>
      <w:marBottom w:val="0"/>
      <w:divBdr>
        <w:top w:val="none" w:sz="0" w:space="0" w:color="auto"/>
        <w:left w:val="none" w:sz="0" w:space="0" w:color="auto"/>
        <w:bottom w:val="none" w:sz="0" w:space="0" w:color="auto"/>
        <w:right w:val="none" w:sz="0" w:space="0" w:color="auto"/>
      </w:divBdr>
    </w:div>
    <w:div w:id="1236545573">
      <w:marLeft w:val="0"/>
      <w:marRight w:val="0"/>
      <w:marTop w:val="0"/>
      <w:marBottom w:val="0"/>
      <w:divBdr>
        <w:top w:val="none" w:sz="0" w:space="0" w:color="auto"/>
        <w:left w:val="none" w:sz="0" w:space="0" w:color="auto"/>
        <w:bottom w:val="none" w:sz="0" w:space="0" w:color="auto"/>
        <w:right w:val="none" w:sz="0" w:space="0" w:color="auto"/>
      </w:divBdr>
    </w:div>
    <w:div w:id="1244338987">
      <w:marLeft w:val="0"/>
      <w:marRight w:val="0"/>
      <w:marTop w:val="0"/>
      <w:marBottom w:val="0"/>
      <w:divBdr>
        <w:top w:val="none" w:sz="0" w:space="0" w:color="auto"/>
        <w:left w:val="none" w:sz="0" w:space="0" w:color="auto"/>
        <w:bottom w:val="none" w:sz="0" w:space="0" w:color="auto"/>
        <w:right w:val="none" w:sz="0" w:space="0" w:color="auto"/>
      </w:divBdr>
    </w:div>
    <w:div w:id="1255434136">
      <w:marLeft w:val="0"/>
      <w:marRight w:val="0"/>
      <w:marTop w:val="0"/>
      <w:marBottom w:val="0"/>
      <w:divBdr>
        <w:top w:val="none" w:sz="0" w:space="0" w:color="auto"/>
        <w:left w:val="none" w:sz="0" w:space="0" w:color="auto"/>
        <w:bottom w:val="none" w:sz="0" w:space="0" w:color="auto"/>
        <w:right w:val="none" w:sz="0" w:space="0" w:color="auto"/>
      </w:divBdr>
    </w:div>
    <w:div w:id="1273170366">
      <w:marLeft w:val="0"/>
      <w:marRight w:val="0"/>
      <w:marTop w:val="0"/>
      <w:marBottom w:val="0"/>
      <w:divBdr>
        <w:top w:val="none" w:sz="0" w:space="0" w:color="auto"/>
        <w:left w:val="none" w:sz="0" w:space="0" w:color="auto"/>
        <w:bottom w:val="none" w:sz="0" w:space="0" w:color="auto"/>
        <w:right w:val="none" w:sz="0" w:space="0" w:color="auto"/>
      </w:divBdr>
    </w:div>
    <w:div w:id="1286693065">
      <w:marLeft w:val="0"/>
      <w:marRight w:val="0"/>
      <w:marTop w:val="0"/>
      <w:marBottom w:val="0"/>
      <w:divBdr>
        <w:top w:val="none" w:sz="0" w:space="0" w:color="auto"/>
        <w:left w:val="none" w:sz="0" w:space="0" w:color="auto"/>
        <w:bottom w:val="none" w:sz="0" w:space="0" w:color="auto"/>
        <w:right w:val="none" w:sz="0" w:space="0" w:color="auto"/>
      </w:divBdr>
    </w:div>
    <w:div w:id="1288052346">
      <w:marLeft w:val="0"/>
      <w:marRight w:val="0"/>
      <w:marTop w:val="0"/>
      <w:marBottom w:val="0"/>
      <w:divBdr>
        <w:top w:val="none" w:sz="0" w:space="0" w:color="auto"/>
        <w:left w:val="none" w:sz="0" w:space="0" w:color="auto"/>
        <w:bottom w:val="none" w:sz="0" w:space="0" w:color="auto"/>
        <w:right w:val="none" w:sz="0" w:space="0" w:color="auto"/>
      </w:divBdr>
    </w:div>
    <w:div w:id="1394505387">
      <w:marLeft w:val="0"/>
      <w:marRight w:val="0"/>
      <w:marTop w:val="0"/>
      <w:marBottom w:val="0"/>
      <w:divBdr>
        <w:top w:val="none" w:sz="0" w:space="0" w:color="auto"/>
        <w:left w:val="none" w:sz="0" w:space="0" w:color="auto"/>
        <w:bottom w:val="none" w:sz="0" w:space="0" w:color="auto"/>
        <w:right w:val="none" w:sz="0" w:space="0" w:color="auto"/>
      </w:divBdr>
    </w:div>
    <w:div w:id="1401488823">
      <w:marLeft w:val="0"/>
      <w:marRight w:val="0"/>
      <w:marTop w:val="0"/>
      <w:marBottom w:val="0"/>
      <w:divBdr>
        <w:top w:val="none" w:sz="0" w:space="0" w:color="auto"/>
        <w:left w:val="none" w:sz="0" w:space="0" w:color="auto"/>
        <w:bottom w:val="none" w:sz="0" w:space="0" w:color="auto"/>
        <w:right w:val="none" w:sz="0" w:space="0" w:color="auto"/>
      </w:divBdr>
    </w:div>
    <w:div w:id="1415542533">
      <w:marLeft w:val="0"/>
      <w:marRight w:val="0"/>
      <w:marTop w:val="0"/>
      <w:marBottom w:val="0"/>
      <w:divBdr>
        <w:top w:val="none" w:sz="0" w:space="0" w:color="auto"/>
        <w:left w:val="none" w:sz="0" w:space="0" w:color="auto"/>
        <w:bottom w:val="none" w:sz="0" w:space="0" w:color="auto"/>
        <w:right w:val="none" w:sz="0" w:space="0" w:color="auto"/>
      </w:divBdr>
    </w:div>
    <w:div w:id="1434394193">
      <w:marLeft w:val="0"/>
      <w:marRight w:val="0"/>
      <w:marTop w:val="0"/>
      <w:marBottom w:val="0"/>
      <w:divBdr>
        <w:top w:val="none" w:sz="0" w:space="0" w:color="auto"/>
        <w:left w:val="none" w:sz="0" w:space="0" w:color="auto"/>
        <w:bottom w:val="none" w:sz="0" w:space="0" w:color="auto"/>
        <w:right w:val="none" w:sz="0" w:space="0" w:color="auto"/>
      </w:divBdr>
    </w:div>
    <w:div w:id="1453016549">
      <w:marLeft w:val="0"/>
      <w:marRight w:val="0"/>
      <w:marTop w:val="0"/>
      <w:marBottom w:val="0"/>
      <w:divBdr>
        <w:top w:val="none" w:sz="0" w:space="0" w:color="auto"/>
        <w:left w:val="none" w:sz="0" w:space="0" w:color="auto"/>
        <w:bottom w:val="none" w:sz="0" w:space="0" w:color="auto"/>
        <w:right w:val="none" w:sz="0" w:space="0" w:color="auto"/>
      </w:divBdr>
    </w:div>
    <w:div w:id="1460606970">
      <w:marLeft w:val="0"/>
      <w:marRight w:val="0"/>
      <w:marTop w:val="0"/>
      <w:marBottom w:val="0"/>
      <w:divBdr>
        <w:top w:val="none" w:sz="0" w:space="0" w:color="auto"/>
        <w:left w:val="none" w:sz="0" w:space="0" w:color="auto"/>
        <w:bottom w:val="none" w:sz="0" w:space="0" w:color="auto"/>
        <w:right w:val="none" w:sz="0" w:space="0" w:color="auto"/>
      </w:divBdr>
    </w:div>
    <w:div w:id="1473522172">
      <w:marLeft w:val="0"/>
      <w:marRight w:val="0"/>
      <w:marTop w:val="0"/>
      <w:marBottom w:val="0"/>
      <w:divBdr>
        <w:top w:val="none" w:sz="0" w:space="0" w:color="auto"/>
        <w:left w:val="none" w:sz="0" w:space="0" w:color="auto"/>
        <w:bottom w:val="none" w:sz="0" w:space="0" w:color="auto"/>
        <w:right w:val="none" w:sz="0" w:space="0" w:color="auto"/>
      </w:divBdr>
    </w:div>
    <w:div w:id="1492987874">
      <w:marLeft w:val="0"/>
      <w:marRight w:val="0"/>
      <w:marTop w:val="0"/>
      <w:marBottom w:val="0"/>
      <w:divBdr>
        <w:top w:val="none" w:sz="0" w:space="0" w:color="auto"/>
        <w:left w:val="none" w:sz="0" w:space="0" w:color="auto"/>
        <w:bottom w:val="none" w:sz="0" w:space="0" w:color="auto"/>
        <w:right w:val="none" w:sz="0" w:space="0" w:color="auto"/>
      </w:divBdr>
    </w:div>
    <w:div w:id="1566450292">
      <w:marLeft w:val="0"/>
      <w:marRight w:val="0"/>
      <w:marTop w:val="0"/>
      <w:marBottom w:val="0"/>
      <w:divBdr>
        <w:top w:val="none" w:sz="0" w:space="0" w:color="auto"/>
        <w:left w:val="none" w:sz="0" w:space="0" w:color="auto"/>
        <w:bottom w:val="none" w:sz="0" w:space="0" w:color="auto"/>
        <w:right w:val="none" w:sz="0" w:space="0" w:color="auto"/>
      </w:divBdr>
    </w:div>
    <w:div w:id="1575969590">
      <w:marLeft w:val="0"/>
      <w:marRight w:val="0"/>
      <w:marTop w:val="0"/>
      <w:marBottom w:val="0"/>
      <w:divBdr>
        <w:top w:val="none" w:sz="0" w:space="0" w:color="auto"/>
        <w:left w:val="none" w:sz="0" w:space="0" w:color="auto"/>
        <w:bottom w:val="none" w:sz="0" w:space="0" w:color="auto"/>
        <w:right w:val="none" w:sz="0" w:space="0" w:color="auto"/>
      </w:divBdr>
    </w:div>
    <w:div w:id="1577275651">
      <w:marLeft w:val="0"/>
      <w:marRight w:val="0"/>
      <w:marTop w:val="0"/>
      <w:marBottom w:val="0"/>
      <w:divBdr>
        <w:top w:val="none" w:sz="0" w:space="0" w:color="auto"/>
        <w:left w:val="none" w:sz="0" w:space="0" w:color="auto"/>
        <w:bottom w:val="none" w:sz="0" w:space="0" w:color="auto"/>
        <w:right w:val="none" w:sz="0" w:space="0" w:color="auto"/>
      </w:divBdr>
    </w:div>
    <w:div w:id="1584726844">
      <w:marLeft w:val="0"/>
      <w:marRight w:val="0"/>
      <w:marTop w:val="0"/>
      <w:marBottom w:val="0"/>
      <w:divBdr>
        <w:top w:val="none" w:sz="0" w:space="0" w:color="auto"/>
        <w:left w:val="none" w:sz="0" w:space="0" w:color="auto"/>
        <w:bottom w:val="none" w:sz="0" w:space="0" w:color="auto"/>
        <w:right w:val="none" w:sz="0" w:space="0" w:color="auto"/>
      </w:divBdr>
    </w:div>
    <w:div w:id="1603681631">
      <w:marLeft w:val="0"/>
      <w:marRight w:val="0"/>
      <w:marTop w:val="0"/>
      <w:marBottom w:val="0"/>
      <w:divBdr>
        <w:top w:val="none" w:sz="0" w:space="0" w:color="auto"/>
        <w:left w:val="none" w:sz="0" w:space="0" w:color="auto"/>
        <w:bottom w:val="none" w:sz="0" w:space="0" w:color="auto"/>
        <w:right w:val="none" w:sz="0" w:space="0" w:color="auto"/>
      </w:divBdr>
    </w:div>
    <w:div w:id="1608848685">
      <w:marLeft w:val="0"/>
      <w:marRight w:val="0"/>
      <w:marTop w:val="0"/>
      <w:marBottom w:val="0"/>
      <w:divBdr>
        <w:top w:val="none" w:sz="0" w:space="0" w:color="auto"/>
        <w:left w:val="none" w:sz="0" w:space="0" w:color="auto"/>
        <w:bottom w:val="none" w:sz="0" w:space="0" w:color="auto"/>
        <w:right w:val="none" w:sz="0" w:space="0" w:color="auto"/>
      </w:divBdr>
    </w:div>
    <w:div w:id="1632901272">
      <w:marLeft w:val="0"/>
      <w:marRight w:val="0"/>
      <w:marTop w:val="0"/>
      <w:marBottom w:val="0"/>
      <w:divBdr>
        <w:top w:val="none" w:sz="0" w:space="0" w:color="auto"/>
        <w:left w:val="none" w:sz="0" w:space="0" w:color="auto"/>
        <w:bottom w:val="none" w:sz="0" w:space="0" w:color="auto"/>
        <w:right w:val="none" w:sz="0" w:space="0" w:color="auto"/>
      </w:divBdr>
    </w:div>
    <w:div w:id="1644235042">
      <w:marLeft w:val="0"/>
      <w:marRight w:val="0"/>
      <w:marTop w:val="0"/>
      <w:marBottom w:val="0"/>
      <w:divBdr>
        <w:top w:val="none" w:sz="0" w:space="0" w:color="auto"/>
        <w:left w:val="none" w:sz="0" w:space="0" w:color="auto"/>
        <w:bottom w:val="none" w:sz="0" w:space="0" w:color="auto"/>
        <w:right w:val="none" w:sz="0" w:space="0" w:color="auto"/>
      </w:divBdr>
    </w:div>
    <w:div w:id="1661037447">
      <w:marLeft w:val="0"/>
      <w:marRight w:val="0"/>
      <w:marTop w:val="0"/>
      <w:marBottom w:val="0"/>
      <w:divBdr>
        <w:top w:val="none" w:sz="0" w:space="0" w:color="auto"/>
        <w:left w:val="none" w:sz="0" w:space="0" w:color="auto"/>
        <w:bottom w:val="none" w:sz="0" w:space="0" w:color="auto"/>
        <w:right w:val="none" w:sz="0" w:space="0" w:color="auto"/>
      </w:divBdr>
    </w:div>
    <w:div w:id="1685814743">
      <w:marLeft w:val="0"/>
      <w:marRight w:val="0"/>
      <w:marTop w:val="0"/>
      <w:marBottom w:val="0"/>
      <w:divBdr>
        <w:top w:val="none" w:sz="0" w:space="0" w:color="auto"/>
        <w:left w:val="none" w:sz="0" w:space="0" w:color="auto"/>
        <w:bottom w:val="none" w:sz="0" w:space="0" w:color="auto"/>
        <w:right w:val="none" w:sz="0" w:space="0" w:color="auto"/>
      </w:divBdr>
    </w:div>
    <w:div w:id="1694649272">
      <w:marLeft w:val="0"/>
      <w:marRight w:val="0"/>
      <w:marTop w:val="0"/>
      <w:marBottom w:val="0"/>
      <w:divBdr>
        <w:top w:val="none" w:sz="0" w:space="0" w:color="auto"/>
        <w:left w:val="none" w:sz="0" w:space="0" w:color="auto"/>
        <w:bottom w:val="none" w:sz="0" w:space="0" w:color="auto"/>
        <w:right w:val="none" w:sz="0" w:space="0" w:color="auto"/>
      </w:divBdr>
    </w:div>
    <w:div w:id="1704359577">
      <w:marLeft w:val="0"/>
      <w:marRight w:val="0"/>
      <w:marTop w:val="0"/>
      <w:marBottom w:val="0"/>
      <w:divBdr>
        <w:top w:val="none" w:sz="0" w:space="0" w:color="auto"/>
        <w:left w:val="none" w:sz="0" w:space="0" w:color="auto"/>
        <w:bottom w:val="none" w:sz="0" w:space="0" w:color="auto"/>
        <w:right w:val="none" w:sz="0" w:space="0" w:color="auto"/>
      </w:divBdr>
    </w:div>
    <w:div w:id="1737584322">
      <w:marLeft w:val="0"/>
      <w:marRight w:val="0"/>
      <w:marTop w:val="0"/>
      <w:marBottom w:val="0"/>
      <w:divBdr>
        <w:top w:val="none" w:sz="0" w:space="0" w:color="auto"/>
        <w:left w:val="none" w:sz="0" w:space="0" w:color="auto"/>
        <w:bottom w:val="none" w:sz="0" w:space="0" w:color="auto"/>
        <w:right w:val="none" w:sz="0" w:space="0" w:color="auto"/>
      </w:divBdr>
    </w:div>
    <w:div w:id="1748723594">
      <w:marLeft w:val="0"/>
      <w:marRight w:val="0"/>
      <w:marTop w:val="0"/>
      <w:marBottom w:val="0"/>
      <w:divBdr>
        <w:top w:val="none" w:sz="0" w:space="0" w:color="auto"/>
        <w:left w:val="none" w:sz="0" w:space="0" w:color="auto"/>
        <w:bottom w:val="none" w:sz="0" w:space="0" w:color="auto"/>
        <w:right w:val="none" w:sz="0" w:space="0" w:color="auto"/>
      </w:divBdr>
    </w:div>
    <w:div w:id="1781146699">
      <w:marLeft w:val="0"/>
      <w:marRight w:val="0"/>
      <w:marTop w:val="0"/>
      <w:marBottom w:val="0"/>
      <w:divBdr>
        <w:top w:val="none" w:sz="0" w:space="0" w:color="auto"/>
        <w:left w:val="none" w:sz="0" w:space="0" w:color="auto"/>
        <w:bottom w:val="none" w:sz="0" w:space="0" w:color="auto"/>
        <w:right w:val="none" w:sz="0" w:space="0" w:color="auto"/>
      </w:divBdr>
    </w:div>
    <w:div w:id="1787580219">
      <w:marLeft w:val="0"/>
      <w:marRight w:val="0"/>
      <w:marTop w:val="0"/>
      <w:marBottom w:val="0"/>
      <w:divBdr>
        <w:top w:val="none" w:sz="0" w:space="0" w:color="auto"/>
        <w:left w:val="none" w:sz="0" w:space="0" w:color="auto"/>
        <w:bottom w:val="none" w:sz="0" w:space="0" w:color="auto"/>
        <w:right w:val="none" w:sz="0" w:space="0" w:color="auto"/>
      </w:divBdr>
    </w:div>
    <w:div w:id="1791701726">
      <w:marLeft w:val="0"/>
      <w:marRight w:val="0"/>
      <w:marTop w:val="0"/>
      <w:marBottom w:val="0"/>
      <w:divBdr>
        <w:top w:val="none" w:sz="0" w:space="0" w:color="auto"/>
        <w:left w:val="none" w:sz="0" w:space="0" w:color="auto"/>
        <w:bottom w:val="none" w:sz="0" w:space="0" w:color="auto"/>
        <w:right w:val="none" w:sz="0" w:space="0" w:color="auto"/>
      </w:divBdr>
    </w:div>
    <w:div w:id="1805347085">
      <w:marLeft w:val="0"/>
      <w:marRight w:val="0"/>
      <w:marTop w:val="0"/>
      <w:marBottom w:val="0"/>
      <w:divBdr>
        <w:top w:val="none" w:sz="0" w:space="0" w:color="auto"/>
        <w:left w:val="none" w:sz="0" w:space="0" w:color="auto"/>
        <w:bottom w:val="none" w:sz="0" w:space="0" w:color="auto"/>
        <w:right w:val="none" w:sz="0" w:space="0" w:color="auto"/>
      </w:divBdr>
    </w:div>
    <w:div w:id="1813018134">
      <w:marLeft w:val="0"/>
      <w:marRight w:val="0"/>
      <w:marTop w:val="0"/>
      <w:marBottom w:val="0"/>
      <w:divBdr>
        <w:top w:val="none" w:sz="0" w:space="0" w:color="auto"/>
        <w:left w:val="none" w:sz="0" w:space="0" w:color="auto"/>
        <w:bottom w:val="none" w:sz="0" w:space="0" w:color="auto"/>
        <w:right w:val="none" w:sz="0" w:space="0" w:color="auto"/>
      </w:divBdr>
    </w:div>
    <w:div w:id="1814255615">
      <w:marLeft w:val="0"/>
      <w:marRight w:val="0"/>
      <w:marTop w:val="0"/>
      <w:marBottom w:val="0"/>
      <w:divBdr>
        <w:top w:val="none" w:sz="0" w:space="0" w:color="auto"/>
        <w:left w:val="none" w:sz="0" w:space="0" w:color="auto"/>
        <w:bottom w:val="none" w:sz="0" w:space="0" w:color="auto"/>
        <w:right w:val="none" w:sz="0" w:space="0" w:color="auto"/>
      </w:divBdr>
    </w:div>
    <w:div w:id="1820687587">
      <w:marLeft w:val="0"/>
      <w:marRight w:val="0"/>
      <w:marTop w:val="0"/>
      <w:marBottom w:val="0"/>
      <w:divBdr>
        <w:top w:val="none" w:sz="0" w:space="0" w:color="auto"/>
        <w:left w:val="none" w:sz="0" w:space="0" w:color="auto"/>
        <w:bottom w:val="none" w:sz="0" w:space="0" w:color="auto"/>
        <w:right w:val="none" w:sz="0" w:space="0" w:color="auto"/>
      </w:divBdr>
    </w:div>
    <w:div w:id="1826706693">
      <w:marLeft w:val="0"/>
      <w:marRight w:val="0"/>
      <w:marTop w:val="0"/>
      <w:marBottom w:val="0"/>
      <w:divBdr>
        <w:top w:val="none" w:sz="0" w:space="0" w:color="auto"/>
        <w:left w:val="none" w:sz="0" w:space="0" w:color="auto"/>
        <w:bottom w:val="none" w:sz="0" w:space="0" w:color="auto"/>
        <w:right w:val="none" w:sz="0" w:space="0" w:color="auto"/>
      </w:divBdr>
    </w:div>
    <w:div w:id="1858691606">
      <w:marLeft w:val="0"/>
      <w:marRight w:val="0"/>
      <w:marTop w:val="0"/>
      <w:marBottom w:val="0"/>
      <w:divBdr>
        <w:top w:val="none" w:sz="0" w:space="0" w:color="auto"/>
        <w:left w:val="none" w:sz="0" w:space="0" w:color="auto"/>
        <w:bottom w:val="none" w:sz="0" w:space="0" w:color="auto"/>
        <w:right w:val="none" w:sz="0" w:space="0" w:color="auto"/>
      </w:divBdr>
    </w:div>
    <w:div w:id="1860270963">
      <w:marLeft w:val="0"/>
      <w:marRight w:val="0"/>
      <w:marTop w:val="0"/>
      <w:marBottom w:val="0"/>
      <w:divBdr>
        <w:top w:val="none" w:sz="0" w:space="0" w:color="auto"/>
        <w:left w:val="none" w:sz="0" w:space="0" w:color="auto"/>
        <w:bottom w:val="none" w:sz="0" w:space="0" w:color="auto"/>
        <w:right w:val="none" w:sz="0" w:space="0" w:color="auto"/>
      </w:divBdr>
    </w:div>
    <w:div w:id="1878851604">
      <w:marLeft w:val="0"/>
      <w:marRight w:val="0"/>
      <w:marTop w:val="0"/>
      <w:marBottom w:val="0"/>
      <w:divBdr>
        <w:top w:val="none" w:sz="0" w:space="0" w:color="auto"/>
        <w:left w:val="none" w:sz="0" w:space="0" w:color="auto"/>
        <w:bottom w:val="none" w:sz="0" w:space="0" w:color="auto"/>
        <w:right w:val="none" w:sz="0" w:space="0" w:color="auto"/>
      </w:divBdr>
    </w:div>
    <w:div w:id="1886602755">
      <w:marLeft w:val="0"/>
      <w:marRight w:val="0"/>
      <w:marTop w:val="0"/>
      <w:marBottom w:val="0"/>
      <w:divBdr>
        <w:top w:val="none" w:sz="0" w:space="0" w:color="auto"/>
        <w:left w:val="none" w:sz="0" w:space="0" w:color="auto"/>
        <w:bottom w:val="none" w:sz="0" w:space="0" w:color="auto"/>
        <w:right w:val="none" w:sz="0" w:space="0" w:color="auto"/>
      </w:divBdr>
    </w:div>
    <w:div w:id="1921792104">
      <w:marLeft w:val="0"/>
      <w:marRight w:val="0"/>
      <w:marTop w:val="0"/>
      <w:marBottom w:val="0"/>
      <w:divBdr>
        <w:top w:val="none" w:sz="0" w:space="0" w:color="auto"/>
        <w:left w:val="none" w:sz="0" w:space="0" w:color="auto"/>
        <w:bottom w:val="none" w:sz="0" w:space="0" w:color="auto"/>
        <w:right w:val="none" w:sz="0" w:space="0" w:color="auto"/>
      </w:divBdr>
    </w:div>
    <w:div w:id="1937906855">
      <w:marLeft w:val="0"/>
      <w:marRight w:val="0"/>
      <w:marTop w:val="0"/>
      <w:marBottom w:val="0"/>
      <w:divBdr>
        <w:top w:val="none" w:sz="0" w:space="0" w:color="auto"/>
        <w:left w:val="none" w:sz="0" w:space="0" w:color="auto"/>
        <w:bottom w:val="none" w:sz="0" w:space="0" w:color="auto"/>
        <w:right w:val="none" w:sz="0" w:space="0" w:color="auto"/>
      </w:divBdr>
    </w:div>
    <w:div w:id="1941251878">
      <w:marLeft w:val="0"/>
      <w:marRight w:val="0"/>
      <w:marTop w:val="0"/>
      <w:marBottom w:val="0"/>
      <w:divBdr>
        <w:top w:val="none" w:sz="0" w:space="0" w:color="auto"/>
        <w:left w:val="none" w:sz="0" w:space="0" w:color="auto"/>
        <w:bottom w:val="none" w:sz="0" w:space="0" w:color="auto"/>
        <w:right w:val="none" w:sz="0" w:space="0" w:color="auto"/>
      </w:divBdr>
    </w:div>
    <w:div w:id="1949041991">
      <w:marLeft w:val="0"/>
      <w:marRight w:val="0"/>
      <w:marTop w:val="0"/>
      <w:marBottom w:val="0"/>
      <w:divBdr>
        <w:top w:val="none" w:sz="0" w:space="0" w:color="auto"/>
        <w:left w:val="none" w:sz="0" w:space="0" w:color="auto"/>
        <w:bottom w:val="none" w:sz="0" w:space="0" w:color="auto"/>
        <w:right w:val="none" w:sz="0" w:space="0" w:color="auto"/>
      </w:divBdr>
    </w:div>
    <w:div w:id="1951278536">
      <w:marLeft w:val="0"/>
      <w:marRight w:val="0"/>
      <w:marTop w:val="0"/>
      <w:marBottom w:val="0"/>
      <w:divBdr>
        <w:top w:val="none" w:sz="0" w:space="0" w:color="auto"/>
        <w:left w:val="none" w:sz="0" w:space="0" w:color="auto"/>
        <w:bottom w:val="none" w:sz="0" w:space="0" w:color="auto"/>
        <w:right w:val="none" w:sz="0" w:space="0" w:color="auto"/>
      </w:divBdr>
    </w:div>
    <w:div w:id="1967154864">
      <w:marLeft w:val="0"/>
      <w:marRight w:val="0"/>
      <w:marTop w:val="0"/>
      <w:marBottom w:val="0"/>
      <w:divBdr>
        <w:top w:val="none" w:sz="0" w:space="0" w:color="auto"/>
        <w:left w:val="none" w:sz="0" w:space="0" w:color="auto"/>
        <w:bottom w:val="none" w:sz="0" w:space="0" w:color="auto"/>
        <w:right w:val="none" w:sz="0" w:space="0" w:color="auto"/>
      </w:divBdr>
      <w:divsChild>
        <w:div w:id="1599681452">
          <w:marLeft w:val="0"/>
          <w:marRight w:val="0"/>
          <w:marTop w:val="0"/>
          <w:marBottom w:val="0"/>
          <w:divBdr>
            <w:top w:val="none" w:sz="0" w:space="0" w:color="auto"/>
            <w:left w:val="none" w:sz="0" w:space="0" w:color="auto"/>
            <w:bottom w:val="none" w:sz="0" w:space="0" w:color="auto"/>
            <w:right w:val="none" w:sz="0" w:space="0" w:color="auto"/>
          </w:divBdr>
        </w:div>
      </w:divsChild>
    </w:div>
    <w:div w:id="1968389765">
      <w:marLeft w:val="0"/>
      <w:marRight w:val="0"/>
      <w:marTop w:val="0"/>
      <w:marBottom w:val="0"/>
      <w:divBdr>
        <w:top w:val="none" w:sz="0" w:space="0" w:color="auto"/>
        <w:left w:val="none" w:sz="0" w:space="0" w:color="auto"/>
        <w:bottom w:val="none" w:sz="0" w:space="0" w:color="auto"/>
        <w:right w:val="none" w:sz="0" w:space="0" w:color="auto"/>
      </w:divBdr>
    </w:div>
    <w:div w:id="1993948686">
      <w:marLeft w:val="0"/>
      <w:marRight w:val="0"/>
      <w:marTop w:val="0"/>
      <w:marBottom w:val="0"/>
      <w:divBdr>
        <w:top w:val="none" w:sz="0" w:space="0" w:color="auto"/>
        <w:left w:val="none" w:sz="0" w:space="0" w:color="auto"/>
        <w:bottom w:val="none" w:sz="0" w:space="0" w:color="auto"/>
        <w:right w:val="none" w:sz="0" w:space="0" w:color="auto"/>
      </w:divBdr>
    </w:div>
    <w:div w:id="2021656490">
      <w:marLeft w:val="0"/>
      <w:marRight w:val="0"/>
      <w:marTop w:val="0"/>
      <w:marBottom w:val="0"/>
      <w:divBdr>
        <w:top w:val="none" w:sz="0" w:space="0" w:color="auto"/>
        <w:left w:val="none" w:sz="0" w:space="0" w:color="auto"/>
        <w:bottom w:val="none" w:sz="0" w:space="0" w:color="auto"/>
        <w:right w:val="none" w:sz="0" w:space="0" w:color="auto"/>
      </w:divBdr>
    </w:div>
    <w:div w:id="2045520593">
      <w:marLeft w:val="0"/>
      <w:marRight w:val="0"/>
      <w:marTop w:val="0"/>
      <w:marBottom w:val="0"/>
      <w:divBdr>
        <w:top w:val="none" w:sz="0" w:space="0" w:color="auto"/>
        <w:left w:val="none" w:sz="0" w:space="0" w:color="auto"/>
        <w:bottom w:val="none" w:sz="0" w:space="0" w:color="auto"/>
        <w:right w:val="none" w:sz="0" w:space="0" w:color="auto"/>
      </w:divBdr>
    </w:div>
    <w:div w:id="2053924211">
      <w:marLeft w:val="0"/>
      <w:marRight w:val="0"/>
      <w:marTop w:val="0"/>
      <w:marBottom w:val="0"/>
      <w:divBdr>
        <w:top w:val="none" w:sz="0" w:space="0" w:color="auto"/>
        <w:left w:val="none" w:sz="0" w:space="0" w:color="auto"/>
        <w:bottom w:val="none" w:sz="0" w:space="0" w:color="auto"/>
        <w:right w:val="none" w:sz="0" w:space="0" w:color="auto"/>
      </w:divBdr>
    </w:div>
    <w:div w:id="2076657832">
      <w:marLeft w:val="0"/>
      <w:marRight w:val="0"/>
      <w:marTop w:val="0"/>
      <w:marBottom w:val="0"/>
      <w:divBdr>
        <w:top w:val="none" w:sz="0" w:space="0" w:color="auto"/>
        <w:left w:val="none" w:sz="0" w:space="0" w:color="auto"/>
        <w:bottom w:val="none" w:sz="0" w:space="0" w:color="auto"/>
        <w:right w:val="none" w:sz="0" w:space="0" w:color="auto"/>
      </w:divBdr>
    </w:div>
    <w:div w:id="2113278736">
      <w:marLeft w:val="0"/>
      <w:marRight w:val="0"/>
      <w:marTop w:val="0"/>
      <w:marBottom w:val="0"/>
      <w:divBdr>
        <w:top w:val="none" w:sz="0" w:space="0" w:color="auto"/>
        <w:left w:val="none" w:sz="0" w:space="0" w:color="auto"/>
        <w:bottom w:val="none" w:sz="0" w:space="0" w:color="auto"/>
        <w:right w:val="none" w:sz="0" w:space="0" w:color="auto"/>
      </w:divBdr>
    </w:div>
    <w:div w:id="2120758175">
      <w:marLeft w:val="0"/>
      <w:marRight w:val="0"/>
      <w:marTop w:val="0"/>
      <w:marBottom w:val="0"/>
      <w:divBdr>
        <w:top w:val="none" w:sz="0" w:space="0" w:color="auto"/>
        <w:left w:val="none" w:sz="0" w:space="0" w:color="auto"/>
        <w:bottom w:val="none" w:sz="0" w:space="0" w:color="auto"/>
        <w:right w:val="none" w:sz="0" w:space="0" w:color="auto"/>
      </w:divBdr>
    </w:div>
    <w:div w:id="212423136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79101/000139843217000173/exh3_03.htm" TargetMode="External"/><Relationship Id="rId18" Type="http://schemas.openxmlformats.org/officeDocument/2006/relationships/hyperlink" Target="http://www.sec.gov/Archives/edgar/data/879101/000139843213000412/exh4_1.htm" TargetMode="External"/><Relationship Id="rId26" Type="http://schemas.openxmlformats.org/officeDocument/2006/relationships/hyperlink" Target="http://www.sec.gov/Archives/edgar/data/879101/000143774918003230/ex_105684.htm" TargetMode="External"/><Relationship Id="rId39" Type="http://schemas.openxmlformats.org/officeDocument/2006/relationships/fontTable" Target="fontTable.xml"/><Relationship Id="rId21" Type="http://schemas.openxmlformats.org/officeDocument/2006/relationships/hyperlink" Target="http://www.sec.gov/Archives/edgar/data/879101/000139843209000090/exh10_9.htm" TargetMode="External"/><Relationship Id="rId34" Type="http://schemas.openxmlformats.org/officeDocument/2006/relationships/hyperlink" Target="ex_171471.htm" TargetMode="External"/><Relationship Id="rId7" Type="http://schemas.openxmlformats.org/officeDocument/2006/relationships/hyperlink" Target="http://www.sec.gov/Archives/edgar/data/879101/000143774917003269/ex3-1b.htm" TargetMode="External"/><Relationship Id="rId12" Type="http://schemas.openxmlformats.org/officeDocument/2006/relationships/hyperlink" Target="http://www.sec.gov/Archives/edgar/data/879101/000139843217000118/exh3_3.htm" TargetMode="External"/><Relationship Id="rId17" Type="http://schemas.openxmlformats.org/officeDocument/2006/relationships/hyperlink" Target="http://www.sec.gov/Archives/edgar/data/879101/000139843209000364/exh4_1.htm" TargetMode="External"/><Relationship Id="rId25" Type="http://schemas.openxmlformats.org/officeDocument/2006/relationships/hyperlink" Target="http://www.sec.gov/Archives/edgar/data/879101/000143774917003269/ex10-6.htm" TargetMode="External"/><Relationship Id="rId33" Type="http://schemas.openxmlformats.org/officeDocument/2006/relationships/hyperlink" Target="ex_171294.htm" TargetMode="External"/><Relationship Id="rId38" Type="http://schemas.openxmlformats.org/officeDocument/2006/relationships/hyperlink" Target="ex_171478.htm" TargetMode="External"/><Relationship Id="rId2" Type="http://schemas.openxmlformats.org/officeDocument/2006/relationships/settings" Target="settings.xml"/><Relationship Id="rId16" Type="http://schemas.openxmlformats.org/officeDocument/2006/relationships/hyperlink" Target="http://www.sec.gov/Archives/edgar/data/879101/000095012307006086/y33993exv1w3.htm" TargetMode="External"/><Relationship Id="rId20" Type="http://schemas.openxmlformats.org/officeDocument/2006/relationships/hyperlink" Target="ex_173710.htm" TargetMode="External"/><Relationship Id="rId29" Type="http://schemas.openxmlformats.org/officeDocument/2006/relationships/hyperlink" Target="http://www.sec.gov/Archives/edgar/data/879101/000139843214000102/ex10-1.htm" TargetMode="External"/><Relationship Id="rId1" Type="http://schemas.openxmlformats.org/officeDocument/2006/relationships/styles" Target="styles.xml"/><Relationship Id="rId6" Type="http://schemas.openxmlformats.org/officeDocument/2006/relationships/hyperlink" Target="http://www.sec.gov/Archives/edgar/data/879101/000139843211000206/exh3_1a.htm" TargetMode="External"/><Relationship Id="rId11" Type="http://schemas.openxmlformats.org/officeDocument/2006/relationships/hyperlink" Target="http://www.sec.gov/Archives/edgar/data/879101/000139843212000875/ex3-2.htm" TargetMode="External"/><Relationship Id="rId24" Type="http://schemas.openxmlformats.org/officeDocument/2006/relationships/hyperlink" Target="http://www.sec.gov/Archives/edgar/data/879101/000139843210000184/exh10_5.htm" TargetMode="External"/><Relationship Id="rId32" Type="http://schemas.openxmlformats.org/officeDocument/2006/relationships/hyperlink" Target="http://www.sec.gov/Archives/edgar/data/879101/000139843215000274/exh10_01.htm" TargetMode="External"/><Relationship Id="rId37" Type="http://schemas.openxmlformats.org/officeDocument/2006/relationships/hyperlink" Target="ex_171293.htm" TargetMode="External"/><Relationship Id="rId40" Type="http://schemas.openxmlformats.org/officeDocument/2006/relationships/theme" Target="theme/theme1.xml"/><Relationship Id="rId5" Type="http://schemas.openxmlformats.org/officeDocument/2006/relationships/image" Target="file:///E:\projects\LLMs\new_data_collection\data_new\htm\KIMCO%20REALTY%20CORP\chart2.jpg" TargetMode="External"/><Relationship Id="rId15" Type="http://schemas.openxmlformats.org/officeDocument/2006/relationships/hyperlink" Target="http://www.sec.gov/Archives/edgar/data/879101/000112528206003262/b413601_ex4-3.txt" TargetMode="External"/><Relationship Id="rId23" Type="http://schemas.openxmlformats.org/officeDocument/2006/relationships/hyperlink" Target="http://www.sec.gov/Archives/edgar/data/879101/000139843213000558/ex99-1.htm" TargetMode="External"/><Relationship Id="rId28" Type="http://schemas.openxmlformats.org/officeDocument/2006/relationships/hyperlink" Target="http://www.sec.gov/Archives/edgar/data/879101/000143774912004817/ex10-3.htm" TargetMode="External"/><Relationship Id="rId36" Type="http://schemas.openxmlformats.org/officeDocument/2006/relationships/hyperlink" Target="ex_171292.htm" TargetMode="External"/><Relationship Id="rId10" Type="http://schemas.openxmlformats.org/officeDocument/2006/relationships/hyperlink" Target="http://www.sec.gov/Archives/edgar/data/879101/000139843212000537/ex3-2.htm" TargetMode="External"/><Relationship Id="rId19" Type="http://schemas.openxmlformats.org/officeDocument/2006/relationships/hyperlink" Target="http://www.sec.gov/Archives/edgar/data/879101/000139843214000177/exh4_1.htm" TargetMode="External"/><Relationship Id="rId31" Type="http://schemas.openxmlformats.org/officeDocument/2006/relationships/hyperlink" Target="http://www.sec.gov/Archives/edgar/data/879101/000139843215000043/exh10_1.htm" TargetMode="External"/><Relationship Id="rId4" Type="http://schemas.openxmlformats.org/officeDocument/2006/relationships/image" Target="file:///E:\projects\LLMs\new_data_collection\data_new\htm\KIMCO%20REALTY%20CORP\chart1.jpg" TargetMode="External"/><Relationship Id="rId9" Type="http://schemas.openxmlformats.org/officeDocument/2006/relationships/hyperlink" Target="http://www.sec.gov/Archives/edgar/data/879101/000139843212000219/exh3_2.htm" TargetMode="External"/><Relationship Id="rId14" Type="http://schemas.openxmlformats.org/officeDocument/2006/relationships/hyperlink" Target="http://www.sec.gov/Archives/edgar/data/879101/000139843209000090/exh3_2.htm" TargetMode="External"/><Relationship Id="rId22" Type="http://schemas.openxmlformats.org/officeDocument/2006/relationships/hyperlink" Target="http://www.sec.gov/Archives/edgar/data/879101/000139843209000090/exh99_1.htm" TargetMode="External"/><Relationship Id="rId27" Type="http://schemas.openxmlformats.org/officeDocument/2006/relationships/hyperlink" Target="http://www.sec.gov/Archives/edgar/data/879101/000139843210000184/exh10_8.htm" TargetMode="External"/><Relationship Id="rId30" Type="http://schemas.openxmlformats.org/officeDocument/2006/relationships/hyperlink" Target="http://www.sec.gov/Archives/edgar/data/879101/000139843217000023/exh10_1.htm" TargetMode="External"/><Relationship Id="rId35" Type="http://schemas.openxmlformats.org/officeDocument/2006/relationships/hyperlink" Target="ex_171291.htm" TargetMode="External"/><Relationship Id="rId8" Type="http://schemas.openxmlformats.org/officeDocument/2006/relationships/hyperlink" Target="http://www.sec.gov/Archives/edgar/data/879101/000139843211000206/exh3_1b.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83419</Words>
  <Characters>475490</Characters>
  <Application>Microsoft Office Word</Application>
  <DocSecurity>0</DocSecurity>
  <Lines>3962</Lines>
  <Paragraphs>1115</Paragraphs>
  <ScaleCrop>false</ScaleCrop>
  <Company/>
  <LinksUpToDate>false</LinksUpToDate>
  <CharactersWithSpaces>557794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kim20191231_10k.htm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